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784E3A" w14:textId="2653AE22" w:rsidR="004D5ED5" w:rsidRDefault="008E5519" w:rsidP="008E5519">
      <w:pPr>
        <w:pStyle w:val="Pagedecouverture"/>
        <w:rPr>
          <w:noProof/>
        </w:rPr>
      </w:pPr>
      <w:bookmarkStart w:id="0" w:name="LW_BM_COVERPAGE"/>
      <w:r>
        <w:rPr>
          <w:noProof/>
        </w:rPr>
        <w:pict w14:anchorId="0994CE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C692F0E-0C5C-4620-B25C-8F52A6A76EF2" style="width:455.25pt;height:300pt">
            <v:imagedata r:id="rId11" o:title=""/>
          </v:shape>
        </w:pict>
      </w:r>
    </w:p>
    <w:bookmarkEnd w:id="0"/>
    <w:p w14:paraId="1403A557" w14:textId="2A9822AE" w:rsidR="00A82453" w:rsidRPr="00A82453" w:rsidRDefault="00A82453" w:rsidP="00A82453">
      <w:pPr>
        <w:pStyle w:val="Pagedecouverture"/>
        <w:rPr>
          <w:noProof/>
        </w:rPr>
        <w:sectPr w:rsidR="00A82453" w:rsidRPr="00A82453" w:rsidSect="008E551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C078E63" w14:textId="7C8D393B" w:rsidR="00A833D1" w:rsidRPr="000752DF" w:rsidRDefault="5D1189CE" w:rsidP="00011DBF">
      <w:pPr>
        <w:pStyle w:val="ListParagraph"/>
        <w:numPr>
          <w:ilvl w:val="0"/>
          <w:numId w:val="5"/>
        </w:numPr>
        <w:rPr>
          <w:rFonts w:ascii="Times New Roman" w:hAnsi="Times New Roman" w:cs="Times New Roman"/>
          <w:b/>
          <w:bCs/>
          <w:noProof/>
        </w:rPr>
      </w:pPr>
      <w:bookmarkStart w:id="1" w:name="_GoBack"/>
      <w:bookmarkEnd w:id="1"/>
      <w:r>
        <w:rPr>
          <w:rFonts w:ascii="Times New Roman" w:hAnsi="Times New Roman"/>
          <w:b/>
          <w:noProof/>
        </w:rPr>
        <w:lastRenderedPageBreak/>
        <w:t>Introduction</w:t>
      </w:r>
    </w:p>
    <w:p w14:paraId="50904801" w14:textId="70A0CB7A" w:rsidR="00011DBF" w:rsidRPr="000752DF" w:rsidRDefault="1F08E236" w:rsidP="003F3C60">
      <w:pPr>
        <w:spacing w:line="278" w:lineRule="auto"/>
        <w:jc w:val="both"/>
        <w:rPr>
          <w:rFonts w:ascii="Times New Roman" w:eastAsia="Aptos" w:hAnsi="Times New Roman" w:cs="Times New Roman"/>
          <w:i/>
          <w:iCs/>
          <w:noProof/>
        </w:rPr>
      </w:pPr>
      <w:r>
        <w:rPr>
          <w:rFonts w:ascii="Times New Roman" w:hAnsi="Times New Roman"/>
          <w:noProof/>
        </w:rPr>
        <w:t>L’Union européenne est confrontée à des risques croissants et à des menaces sans précédent dans de nombreux secteurs. Ces risques vont de l’incertitude accrue, des tensions et conflits géopolitiques, des risques en matière de cybersécurité et de manipulation de l’information au changement climatique en passant par les risques croissants de catastrophes naturelles. Afin de renforcer la capacité de l’UE à anticiper ces menaces, à les prévenir et à y réagir, la Commission et le Service européen pour l’action extérieure (SEAE) ont présenté conjointement, le 26 mars 2025, la stratégie pour une union de la préparation</w:t>
      </w:r>
      <w:r>
        <w:rPr>
          <w:rStyle w:val="FootnoteReference"/>
          <w:rFonts w:ascii="Times New Roman" w:hAnsi="Times New Roman" w:cs="Times New Roman"/>
          <w:noProof/>
        </w:rPr>
        <w:footnoteReference w:id="2"/>
      </w:r>
      <w:r>
        <w:rPr>
          <w:rFonts w:ascii="Times New Roman" w:hAnsi="Times New Roman"/>
          <w:noProof/>
        </w:rPr>
        <w:t>. Le secteur financier de l’UE joue un rôle essentiel dans le maintien de fonctions sociétales vitales en toutes circonstances. C’est pourquoi, dans le cadre de la stratégie pour une union de la préparation et de la mise en œuvre de l’action 25 de l’annexe de ladite communication conjointe, la Commission procède actuellement à une évaluation complète du niveau de préparation dans le secteur financier. En particulier, elle évalue la capacité du secteur à continuer d’exercer ses fonctions critiques, notamment effectuer des paiements et financer l’économie, en toutes circonstances.</w:t>
      </w:r>
    </w:p>
    <w:p w14:paraId="677A300D" w14:textId="5270DC2E" w:rsidR="00D1332B" w:rsidRPr="000752DF" w:rsidRDefault="00D1332B" w:rsidP="004C1416">
      <w:pPr>
        <w:jc w:val="both"/>
        <w:rPr>
          <w:rFonts w:ascii="Times New Roman" w:hAnsi="Times New Roman" w:cs="Times New Roman"/>
          <w:noProof/>
        </w:rPr>
      </w:pPr>
      <w:r>
        <w:rPr>
          <w:rFonts w:ascii="Times New Roman" w:hAnsi="Times New Roman"/>
          <w:noProof/>
        </w:rPr>
        <w:t>La législation de l’UE sur les services financiers repose sur une solide tradition de prudence, de précaution, de résilience et d’anticipation. Ses objectifs sont clairs: préserver la stabilité financière, la résolution ordonnée des défaillances des établissements financiers, la gestion des crises et la garantie des dépôts, la protection des investisseurs et l’intégrité du marché. L’UE a achevé la révision complète de ses règles prudentielles et de son architecture de surveillance bancaire à la suite de la grande crise financière, qui avait été entreprise dès 2007. Ces réformes ont renforcé les établissements financiers de l’UE, ses marchés des capitaux et ses prestataires d’infrastructures de marchés financiers.</w:t>
      </w:r>
    </w:p>
    <w:p w14:paraId="653B1D07" w14:textId="46D3F12F" w:rsidR="001E23C3" w:rsidRPr="000752DF" w:rsidRDefault="00737B4C" w:rsidP="004C1416">
      <w:pPr>
        <w:jc w:val="both"/>
        <w:rPr>
          <w:rFonts w:ascii="Times New Roman" w:hAnsi="Times New Roman" w:cs="Times New Roman"/>
          <w:noProof/>
        </w:rPr>
      </w:pPr>
      <w:r>
        <w:rPr>
          <w:rFonts w:ascii="Times New Roman" w:hAnsi="Times New Roman"/>
          <w:noProof/>
        </w:rPr>
        <w:t>Aujourd’hui, le secteur financier de l’UE a atteint un niveau élevé de résilience grâce à la consolidation de trois piliers: i) des exigences de fonds propres fondées sur le risque pour les banques et les établissements financiers, ii) des exigences en matière de gouvernance et de transparence et iii) des mécanismes de coopération en matière de surveillance entre les États membres et entre les secteurs. L’UE a mis en place des politiques et des principes qui produisent des évaluations continues des risques d’événements extrêmes, dans les cadres de risque opérationnel ainsi que les plans de continuité des activités et les plans d’urgence.</w:t>
      </w:r>
    </w:p>
    <w:p w14:paraId="3018B34A" w14:textId="7BC17FB1" w:rsidR="00791D76" w:rsidRPr="000752DF" w:rsidRDefault="00D57932" w:rsidP="004C1416">
      <w:pPr>
        <w:jc w:val="both"/>
        <w:rPr>
          <w:rFonts w:ascii="Times New Roman" w:hAnsi="Times New Roman" w:cs="Times New Roman"/>
          <w:noProof/>
        </w:rPr>
      </w:pPr>
      <w:r>
        <w:rPr>
          <w:rFonts w:ascii="Times New Roman" w:hAnsi="Times New Roman"/>
          <w:noProof/>
        </w:rPr>
        <w:t>Le cadre de l’UE a été mis à l’épreuve par plusieurs épisodes de crise ces dernières années, tels que la pandémie de COVID-19, l’agression menée par la Russie contre l’Ukraine, la crise bancaire régionale aux États-Unis et la crise du Crédit Suisse en 2023, des pannes d’électricité, des cyberattaques et des incidents hybrides. Face à ces crises, le secteur financier de l’UE a fait preuve de robustesse et de résilience. Les autorités à l'échelon de l’UE et à l'échelon national ont agi rapidement et efficacement.</w:t>
      </w:r>
    </w:p>
    <w:p w14:paraId="1B6F0C4D" w14:textId="6AF1B5C9" w:rsidR="00DE4D9E" w:rsidRPr="000752DF" w:rsidRDefault="00AA17CD" w:rsidP="004C1416">
      <w:pPr>
        <w:jc w:val="both"/>
        <w:rPr>
          <w:rFonts w:ascii="Times New Roman" w:hAnsi="Times New Roman" w:cs="Times New Roman"/>
          <w:noProof/>
        </w:rPr>
      </w:pPr>
      <w:r>
        <w:rPr>
          <w:rFonts w:ascii="Times New Roman" w:hAnsi="Times New Roman"/>
          <w:noProof/>
        </w:rPr>
        <w:t>De manière générale, la préparation n’est pas statique; c’est un état dynamique et tourné vers l’avenir. Elle nécessite un cycle continu de planification, de formation, d’équipement, de tests, d’évaluation et d’amélioration. Elle requiert une volonté de faire face à tous les dangers en anticipant les risques, en développant les capacités, en assurant la coordination entre les secteurs (gouvernemental, privé, public) et en tirant les enseignements des événements passés afin de construire des communautés résilientes capables de prévenir les crises, de s’en protéger et de s’en relever si elles surviennent. Cela vaut également pour le secteur financier.</w:t>
      </w:r>
    </w:p>
    <w:p w14:paraId="4867A6BA" w14:textId="2C003B2A" w:rsidR="003F3C60" w:rsidRDefault="007A00C0" w:rsidP="00610522">
      <w:pPr>
        <w:jc w:val="both"/>
        <w:rPr>
          <w:rFonts w:ascii="Times New Roman" w:hAnsi="Times New Roman" w:cs="Times New Roman"/>
          <w:noProof/>
        </w:rPr>
      </w:pPr>
      <w:r>
        <w:rPr>
          <w:rFonts w:ascii="Times New Roman" w:hAnsi="Times New Roman"/>
          <w:noProof/>
        </w:rPr>
        <w:t>Le présent rapport donne une vue d’ensemble de l’état actuel de préparation du secteur financier de l’UE, sur la base de discussions continues avec la Banque centrale européenne, les autorités européennes de surveillance, le comité européen du risque systémique, le Conseil de résolution unique, les États membres et le secteur des services financiers.</w:t>
      </w:r>
    </w:p>
    <w:p w14:paraId="0206249C" w14:textId="77777777" w:rsidR="00BC44EB" w:rsidRPr="000752DF" w:rsidRDefault="00BC44EB" w:rsidP="00610522">
      <w:pPr>
        <w:jc w:val="both"/>
        <w:rPr>
          <w:rFonts w:ascii="Times New Roman" w:hAnsi="Times New Roman" w:cs="Times New Roman"/>
          <w:noProof/>
        </w:rPr>
      </w:pPr>
    </w:p>
    <w:p w14:paraId="6C8110CE" w14:textId="5CEBC000" w:rsidR="4E511C65" w:rsidRPr="000752DF" w:rsidRDefault="00BC46CD" w:rsidP="00B9545F">
      <w:pPr>
        <w:pStyle w:val="ListParagraph"/>
        <w:numPr>
          <w:ilvl w:val="0"/>
          <w:numId w:val="5"/>
        </w:numPr>
        <w:rPr>
          <w:rFonts w:ascii="Times New Roman" w:hAnsi="Times New Roman" w:cs="Times New Roman"/>
          <w:b/>
          <w:bCs/>
          <w:noProof/>
        </w:rPr>
      </w:pPr>
      <w:r>
        <w:rPr>
          <w:rFonts w:ascii="Times New Roman" w:hAnsi="Times New Roman"/>
          <w:b/>
          <w:noProof/>
        </w:rPr>
        <w:t>Préparation dans le marché unique de l’UE</w:t>
      </w:r>
    </w:p>
    <w:p w14:paraId="0ECD2134" w14:textId="724331CF" w:rsidR="00560021" w:rsidRPr="000752DF" w:rsidRDefault="003A216C" w:rsidP="00560021">
      <w:pPr>
        <w:jc w:val="both"/>
        <w:rPr>
          <w:rFonts w:ascii="Times New Roman" w:hAnsi="Times New Roman" w:cs="Times New Roman"/>
          <w:noProof/>
        </w:rPr>
      </w:pPr>
      <w:r>
        <w:rPr>
          <w:rFonts w:ascii="Times New Roman" w:hAnsi="Times New Roman"/>
          <w:noProof/>
        </w:rPr>
        <w:t>À l'échelle de l’UE, la préparation dans le secteur financier s’est améliorée au cours des dernières années grâce à des mesures législatives et à la création de structures de gouvernance au niveau de l'Union qui reflètent la nature transfrontière du secteur financier de l’UE. La gouvernance repose sur deux piliers: une réglementation de l’UE et des autorités de l’UE. Cette structure est complétée par une série de mesures prises au niveau de la zone euro, au niveau régional (impliquant plusieurs États membres) et au niveau des États membres.</w:t>
      </w:r>
    </w:p>
    <w:p w14:paraId="21BB67B8" w14:textId="1E063F9C" w:rsidR="000E51C7" w:rsidRPr="000752DF" w:rsidRDefault="00364F45" w:rsidP="009417C9">
      <w:pPr>
        <w:pStyle w:val="ListParagraph"/>
        <w:numPr>
          <w:ilvl w:val="1"/>
          <w:numId w:val="5"/>
        </w:numPr>
        <w:jc w:val="both"/>
        <w:rPr>
          <w:rFonts w:ascii="Times New Roman" w:hAnsi="Times New Roman" w:cs="Times New Roman"/>
          <w:noProof/>
          <w:u w:val="single"/>
        </w:rPr>
      </w:pPr>
      <w:r>
        <w:rPr>
          <w:rFonts w:ascii="Times New Roman" w:hAnsi="Times New Roman"/>
          <w:noProof/>
          <w:u w:val="single"/>
        </w:rPr>
        <w:t>Législation de l’UE régissant le secteur financier</w:t>
      </w:r>
    </w:p>
    <w:p w14:paraId="744196D1" w14:textId="06AC4F26" w:rsidR="003D1E32" w:rsidRPr="000752DF" w:rsidRDefault="00560021" w:rsidP="00560021">
      <w:pPr>
        <w:jc w:val="both"/>
        <w:rPr>
          <w:rFonts w:ascii="Times New Roman" w:hAnsi="Times New Roman" w:cs="Times New Roman"/>
          <w:noProof/>
        </w:rPr>
      </w:pPr>
      <w:r>
        <w:rPr>
          <w:rFonts w:ascii="Times New Roman" w:hAnsi="Times New Roman"/>
          <w:noProof/>
        </w:rPr>
        <w:t>Le secteur financier est régi à la fois par une législation sectorielle et par une législation transversale.</w:t>
      </w:r>
    </w:p>
    <w:p w14:paraId="6E12955C" w14:textId="1B650BB2" w:rsidR="00A247E5" w:rsidRPr="000752DF" w:rsidRDefault="00A247E5" w:rsidP="00560021">
      <w:pPr>
        <w:jc w:val="both"/>
        <w:rPr>
          <w:rFonts w:ascii="Times New Roman" w:hAnsi="Times New Roman" w:cs="Times New Roman"/>
          <w:i/>
          <w:iCs/>
          <w:noProof/>
        </w:rPr>
      </w:pPr>
      <w:r>
        <w:rPr>
          <w:rFonts w:ascii="Times New Roman" w:hAnsi="Times New Roman"/>
          <w:i/>
          <w:noProof/>
        </w:rPr>
        <w:t>Législation sectorielle</w:t>
      </w:r>
    </w:p>
    <w:p w14:paraId="4872C868" w14:textId="5B6A7FD0" w:rsidR="005B5409" w:rsidRDefault="008C0BAF" w:rsidP="00166633">
      <w:pPr>
        <w:jc w:val="both"/>
        <w:rPr>
          <w:rFonts w:ascii="Times New Roman" w:hAnsi="Times New Roman" w:cs="Times New Roman"/>
          <w:noProof/>
        </w:rPr>
      </w:pPr>
      <w:r>
        <w:rPr>
          <w:rFonts w:ascii="Times New Roman" w:hAnsi="Times New Roman"/>
          <w:noProof/>
        </w:rPr>
        <w:t>La législation sectorielle comprend la directive et le règlement sur les exigences de fonds propres (CRD/CRR)</w:t>
      </w:r>
      <w:r>
        <w:rPr>
          <w:rStyle w:val="FootnoteReference"/>
          <w:rFonts w:ascii="Times New Roman" w:hAnsi="Times New Roman" w:cs="Times New Roman"/>
          <w:noProof/>
        </w:rPr>
        <w:footnoteReference w:id="3"/>
      </w:r>
      <w:r>
        <w:rPr>
          <w:rFonts w:ascii="Times New Roman" w:hAnsi="Times New Roman"/>
          <w:noProof/>
        </w:rPr>
        <w:t>, Solvabilité II</w:t>
      </w:r>
      <w:r>
        <w:rPr>
          <w:rStyle w:val="FootnoteReference"/>
          <w:rFonts w:ascii="Times New Roman" w:hAnsi="Times New Roman" w:cs="Times New Roman"/>
          <w:noProof/>
        </w:rPr>
        <w:footnoteReference w:id="4"/>
      </w:r>
      <w:r>
        <w:rPr>
          <w:rFonts w:ascii="Times New Roman" w:hAnsi="Times New Roman"/>
          <w:noProof/>
        </w:rPr>
        <w:t>, la directive révisée sur les marchés d’instruments financiers (MiFID II)</w:t>
      </w:r>
      <w:r>
        <w:rPr>
          <w:rStyle w:val="FootnoteReference"/>
          <w:rFonts w:ascii="Times New Roman" w:hAnsi="Times New Roman" w:cs="Times New Roman"/>
          <w:noProof/>
        </w:rPr>
        <w:footnoteReference w:id="5"/>
      </w:r>
      <w:r>
        <w:rPr>
          <w:rFonts w:ascii="Times New Roman" w:hAnsi="Times New Roman"/>
          <w:noProof/>
        </w:rPr>
        <w:t>, le règlement sur l’infrastructure du marché européen (règlement EMIR)</w:t>
      </w:r>
      <w:r>
        <w:rPr>
          <w:rStyle w:val="FootnoteReference"/>
          <w:rFonts w:ascii="Times New Roman" w:hAnsi="Times New Roman" w:cs="Times New Roman"/>
          <w:noProof/>
        </w:rPr>
        <w:footnoteReference w:id="6"/>
      </w:r>
      <w:r>
        <w:rPr>
          <w:rFonts w:ascii="Times New Roman" w:hAnsi="Times New Roman"/>
          <w:noProof/>
        </w:rPr>
        <w:t xml:space="preserve"> et le règlement sur les dépositaires centraux de titres (règlement sur les DCT)</w:t>
      </w:r>
      <w:r>
        <w:rPr>
          <w:rStyle w:val="FootnoteReference"/>
          <w:rFonts w:ascii="Times New Roman" w:hAnsi="Times New Roman" w:cs="Times New Roman"/>
          <w:noProof/>
        </w:rPr>
        <w:footnoteReference w:id="7"/>
      </w:r>
      <w:r>
        <w:rPr>
          <w:rFonts w:ascii="Times New Roman" w:hAnsi="Times New Roman"/>
          <w:noProof/>
        </w:rPr>
        <w:t xml:space="preserve">. Ces actes législatifs mettent en place des exigences prudentielles visant à assurer la résilience, la stabilité et le bon fonctionnement des établissements financiers, des infrastructures financières et du système financier. </w:t>
      </w:r>
    </w:p>
    <w:p w14:paraId="2FC5ACD4" w14:textId="146CED9B" w:rsidR="008A28EE" w:rsidRPr="000752DF" w:rsidRDefault="00F87C6B" w:rsidP="00166633">
      <w:pPr>
        <w:jc w:val="both"/>
        <w:rPr>
          <w:rFonts w:ascii="Times New Roman" w:hAnsi="Times New Roman" w:cs="Times New Roman"/>
          <w:noProof/>
        </w:rPr>
      </w:pPr>
      <w:r>
        <w:rPr>
          <w:rFonts w:ascii="Times New Roman" w:hAnsi="Times New Roman"/>
          <w:noProof/>
        </w:rPr>
        <w:t>Du point de vue de la préparation, plusieurs actes législatifs sectoriels régissent la gestion des risques opérationnels, la résilience opérationnelle, la résilience des TIC, la continuité des activités et la gestion des crises. Par exemple, dans le secteur bancaire, le CRR/la CRD, la directive relative au redressement des banques et à la résolution de leurs défaillances (directive BRRD)</w:t>
      </w:r>
      <w:r>
        <w:rPr>
          <w:rStyle w:val="FootnoteReference"/>
          <w:rFonts w:ascii="Times New Roman" w:hAnsi="Times New Roman" w:cs="Times New Roman"/>
          <w:noProof/>
        </w:rPr>
        <w:footnoteReference w:id="8"/>
      </w:r>
      <w:r>
        <w:rPr>
          <w:rFonts w:ascii="Times New Roman" w:hAnsi="Times New Roman"/>
          <w:noProof/>
        </w:rPr>
        <w:t>, le règlement sur le mécanisme de résolution unique (règlement MRU)</w:t>
      </w:r>
      <w:r>
        <w:rPr>
          <w:rStyle w:val="FootnoteReference"/>
          <w:rFonts w:ascii="Times New Roman" w:hAnsi="Times New Roman" w:cs="Times New Roman"/>
          <w:noProof/>
        </w:rPr>
        <w:footnoteReference w:id="9"/>
      </w:r>
      <w:r>
        <w:rPr>
          <w:rFonts w:ascii="Times New Roman" w:hAnsi="Times New Roman"/>
          <w:noProof/>
        </w:rPr>
        <w:t xml:space="preserve"> et la directive relative aux systèmes de garantie des dépôts (directive DGSD)</w:t>
      </w:r>
      <w:r>
        <w:rPr>
          <w:rStyle w:val="FootnoteReference"/>
          <w:rFonts w:ascii="Times New Roman" w:hAnsi="Times New Roman" w:cs="Times New Roman"/>
          <w:noProof/>
        </w:rPr>
        <w:footnoteReference w:id="10"/>
      </w:r>
      <w:r>
        <w:rPr>
          <w:rFonts w:ascii="Times New Roman" w:hAnsi="Times New Roman"/>
          <w:noProof/>
        </w:rPr>
        <w:t xml:space="preserve"> garantissent que les banques ont la résilience nécessaire pour résister à un large éventail de risques potentiels, y compris des événements extrêmes. Il est attendu des banques qu’elles mettent en œuvre des cadres robustes de gouvernance et de gestion des risques, y compris des plans renforcés de continuité des activités, de communication et de redressement, afin de faire face efficacement à un large éventail de risques. Les principales caractéristiques des mesures pour faire face aux scénarios de risque, prévues tant à titre de précaution qu’à titre réactif, comprennent des exigences ex ante spécifiques pour les banques, telles que des plans de redressement et de résolution, conformément aux dispositions du règlement MRU et de la directive BRRD.</w:t>
      </w:r>
    </w:p>
    <w:p w14:paraId="3EC45926" w14:textId="1FC38581" w:rsidR="00DC781C" w:rsidRPr="000752DF" w:rsidRDefault="00DC781C" w:rsidP="00166633">
      <w:pPr>
        <w:jc w:val="both"/>
        <w:rPr>
          <w:rFonts w:ascii="Times New Roman" w:hAnsi="Times New Roman" w:cs="Times New Roman"/>
          <w:noProof/>
        </w:rPr>
      </w:pPr>
      <w:r>
        <w:rPr>
          <w:rFonts w:ascii="Times New Roman" w:hAnsi="Times New Roman"/>
          <w:noProof/>
        </w:rPr>
        <w:t>Outre les banques, les entreprises d’assurance au titre de Solvabilité II, les entreprises d’investissement au titre de MiFID II et les infrastructures de marchés telles que les contreparties centrales (CCP) et les dépositaires centraux de titres sont soumis à des exigences similaires pour assurer leur résilience opérationnelle, leur gestion des risques liés TIC, la continuité de leurs activités et leur gestion des crises. Celles-ci sont complétées par des exigences de renforcement, le cas échéant, de la planification du redressement et de la résolution. La gestion d’actifs et l’intermédiation financière non bancaire font également l’objet d’un cadre réglementaire de l’UE large et de plus en plus complet, comprenant la directive sur les organismes de placement collectif en valeurs mobilières (directive OPCVM), la directive sur les gestionnaires de fonds d’investissement alternatifs (directive GFIA) et le règlement sur les fonds monétaires (règlement MMF). Ces instruments imposent des exigences en matière de gestion des risques, de gestion de la liquidité, d’effet de levier, de valorisation et de transparence, afin de favoriser la stabilité du secteur. Les mesures visant à développer l’union de l’épargne et des investissements (UEI) en renforçant la capacité du secteur financier de l’UE à mettre en lien l’épargne avec les investissements productifs, améliorant ainsi le partage et la diversification des risques dans l’ensemble du secteur financier de l’UE, amélioreront sa résilience et sa préparation globales.</w:t>
      </w:r>
    </w:p>
    <w:p w14:paraId="5A19FFC8" w14:textId="68487797" w:rsidR="00CF1671" w:rsidRPr="000752DF" w:rsidRDefault="00CF1671" w:rsidP="00166633">
      <w:pPr>
        <w:jc w:val="both"/>
        <w:rPr>
          <w:rFonts w:ascii="Times New Roman" w:hAnsi="Times New Roman" w:cs="Times New Roman"/>
          <w:noProof/>
        </w:rPr>
      </w:pPr>
      <w:r>
        <w:rPr>
          <w:rFonts w:ascii="Times New Roman" w:hAnsi="Times New Roman"/>
          <w:noProof/>
        </w:rPr>
        <w:t xml:space="preserve">La Banque centrale européenne (BCE), qui est l’autorité de surveillance unique des banques dans 21 États membres, et les autorités nationales compétentes à l’intérieur et à l’extérieur de la zone euro placent la résilience financière et opérationnelle des banques au centre de leurs priorités en matière de surveillance. Les banques sont notamment encouragées à tenir dûment compte des risques géopolitiques et à les intégrer dans leurs processus de gestion des risques. Les expositions sur des contreparties de pays tiers, les incidences potentielles des sanctions étrangères sur les expositions et les dépendances à l’égard de prestataires de services et d’infrastructures externes devraient être prises en considération par les banques dans ce contexte. En outre, les banques devraient mettre en place un cadre de gouvernance robuste et une protection contre les cybermenaces et les autres menaces susceptibles de nuire à leur résilience opérationnelle. Il s’agit notamment de mesures visant à renforcer la sécurité et la protection contre les dommages physiques. Au-delà des mesures propres aux établissements, le cadre prudentiel bancaire de l’UE couvre également des canaux de risque plus larges, systémique et transfrontières. </w:t>
      </w:r>
    </w:p>
    <w:p w14:paraId="768D7F78" w14:textId="29F43B7D" w:rsidR="004B3AB5" w:rsidRPr="000752DF" w:rsidRDefault="00F0042A" w:rsidP="00CF1671">
      <w:pPr>
        <w:jc w:val="both"/>
        <w:rPr>
          <w:rFonts w:ascii="Times New Roman" w:hAnsi="Times New Roman" w:cs="Times New Roman"/>
          <w:noProof/>
        </w:rPr>
      </w:pPr>
      <w:r>
        <w:rPr>
          <w:rFonts w:ascii="Times New Roman" w:hAnsi="Times New Roman"/>
          <w:noProof/>
        </w:rPr>
        <w:t>Le cadre de gestion des crises crée une boîte à outils à utiliser lorsque la viabilité du prestataire d’une fonction critique est menacée. Le cadre révisé pour la gestion des crises bancaires et la garantie des dépôts, sur lequel un accord politique a été conclu en juin 2025, constitue une étape importante pour rendre le système de gestion des crises de l’UE encore plus efficace, en particulier pour les banques de petite et de moyenne taille.</w:t>
      </w:r>
    </w:p>
    <w:p w14:paraId="7B96D3AC" w14:textId="6495806F" w:rsidR="003D1E32" w:rsidRPr="000752DF" w:rsidRDefault="00A50622" w:rsidP="000D42F6">
      <w:pPr>
        <w:jc w:val="both"/>
        <w:rPr>
          <w:rFonts w:ascii="Times New Roman" w:hAnsi="Times New Roman" w:cs="Times New Roman"/>
          <w:noProof/>
        </w:rPr>
      </w:pPr>
      <w:r>
        <w:rPr>
          <w:rFonts w:ascii="Times New Roman" w:hAnsi="Times New Roman"/>
          <w:noProof/>
        </w:rPr>
        <w:t xml:space="preserve">Un aspect important de la préparation dans le secteur financier est la disponibilité d’instruments de paiement pour le public, qu’il s’agisse de paiements en espèces ou de paiements électroniques. Afin de garantir la disponibilité des </w:t>
      </w:r>
      <w:r>
        <w:rPr>
          <w:rFonts w:ascii="Times New Roman" w:hAnsi="Times New Roman"/>
          <w:b/>
          <w:noProof/>
        </w:rPr>
        <w:t>espèces</w:t>
      </w:r>
      <w:r>
        <w:rPr>
          <w:rFonts w:ascii="Times New Roman" w:hAnsi="Times New Roman"/>
          <w:noProof/>
        </w:rPr>
        <w:t xml:space="preserve"> en toutes circonstances, au niveau de l’Eurosystème, une mesure essentielle consiste à maintenir des stocks stratégiques communs de billets en euros. La BCE est l’organe central de coordination et de décision et organise des exercices périodiques de gestion des crises, incluant la communication de crise potentielle. Au niveau national, les banques centrales nationales (BCN) maintiennent des plans de continuité des activités afin de garantir que les retraits d’espèces et les dépôts restent disponibles.</w:t>
      </w:r>
    </w:p>
    <w:p w14:paraId="64435EB3" w14:textId="09F0AAB1" w:rsidR="003D1E32" w:rsidRPr="000752DF" w:rsidRDefault="00202C91" w:rsidP="000D42F6">
      <w:pPr>
        <w:jc w:val="both"/>
        <w:rPr>
          <w:rFonts w:ascii="Times New Roman" w:hAnsi="Times New Roman" w:cs="Times New Roman"/>
          <w:noProof/>
        </w:rPr>
      </w:pPr>
      <w:r>
        <w:rPr>
          <w:rFonts w:ascii="Times New Roman" w:hAnsi="Times New Roman"/>
          <w:noProof/>
        </w:rPr>
        <w:t>En parallèle, la proposition sur le cours légal des billets et pièces en euros, présentée par la Commission le 28 juin 2023, vise à faire en sorte que les espèces en euros restent largement acceptées comme moyen de paiement et soient faciles à obtenir pour les citoyens, les entreprises et les entités publiques dans l’ensemble de la zone euro. Les exigences visant à maintenir une infrastructure de gestion des espèces saine en temps normal favorisent la disponibilité d’espèces en situation d’urgence. La proposition de la Commission ne comportait pas de disposition sur la résilience, mais le Conseil l’a ajoutée dans son mandat de négociation, qui exige des États membres qu’ils mettent en place un plan de résilience en matière d’espèces ou une combinaison de mesures équivalentes.</w:t>
      </w:r>
    </w:p>
    <w:p w14:paraId="0794E48E" w14:textId="79BEFE53" w:rsidR="003D1E32" w:rsidRPr="000752DF" w:rsidRDefault="003D1E32" w:rsidP="000D42F6">
      <w:pPr>
        <w:jc w:val="both"/>
        <w:rPr>
          <w:rFonts w:ascii="Times New Roman" w:hAnsi="Times New Roman" w:cs="Times New Roman"/>
          <w:noProof/>
        </w:rPr>
      </w:pPr>
      <w:r>
        <w:rPr>
          <w:rFonts w:ascii="Times New Roman" w:hAnsi="Times New Roman"/>
          <w:noProof/>
        </w:rPr>
        <w:t>En outre, la troisième directive sur les services de paiement (DSP3), sur laquelle un accord politique a été conclu en novembre 2025, vise à renforcer l’accès à l'argent liquide dans les magasins en permettant aux détaillants de proposer un service de retraits d’espèces sans achat (</w:t>
      </w:r>
      <w:r>
        <w:rPr>
          <w:rFonts w:ascii="Times New Roman" w:hAnsi="Times New Roman"/>
          <w:i/>
          <w:iCs/>
          <w:noProof/>
        </w:rPr>
        <w:t>cash-in-shop</w:t>
      </w:r>
      <w:r>
        <w:rPr>
          <w:rFonts w:ascii="Times New Roman" w:hAnsi="Times New Roman"/>
          <w:noProof/>
        </w:rPr>
        <w:t>), jusqu’à un certain montant. Cela rend l’utilisation des espèces plus pratique, en particulier dans les zones rurales, en clarifiant les règles applicables aux détaillants et aux opérateurs de distributeurs automatiques de billets.</w:t>
      </w:r>
    </w:p>
    <w:p w14:paraId="7BE7A15F" w14:textId="251E66F0" w:rsidR="003D1E32" w:rsidRPr="000752DF" w:rsidRDefault="00745F58" w:rsidP="000D42F6">
      <w:pPr>
        <w:jc w:val="both"/>
        <w:rPr>
          <w:rFonts w:ascii="Times New Roman" w:hAnsi="Times New Roman" w:cs="Times New Roman"/>
          <w:noProof/>
        </w:rPr>
      </w:pPr>
      <w:r>
        <w:rPr>
          <w:rFonts w:ascii="Times New Roman" w:hAnsi="Times New Roman"/>
          <w:noProof/>
        </w:rPr>
        <w:t xml:space="preserve">Outre la disponibilité des espèces, il est essentiel de maintenir la continuité des </w:t>
      </w:r>
      <w:r>
        <w:rPr>
          <w:rFonts w:ascii="Times New Roman" w:hAnsi="Times New Roman"/>
          <w:b/>
          <w:noProof/>
        </w:rPr>
        <w:t>services de paiement</w:t>
      </w:r>
      <w:r>
        <w:rPr>
          <w:rFonts w:ascii="Times New Roman" w:hAnsi="Times New Roman"/>
          <w:noProof/>
        </w:rPr>
        <w:t>, y compris les paiements par carte, les paiements fondés sur des opérations de compte à compte (y compris par téléphone mobile), l’accès aux comptes de paiement et la possibilité d’effectuer des dépôts, afin de maintenir la confiance du public dans le système financier, de maintenir l’ordre public et d’assurer le fonctionnement de base de l’économie en cas de perturbation généralisée en fournissant au public un accès ininterrompu aux services de base.</w:t>
      </w:r>
    </w:p>
    <w:p w14:paraId="273F169F" w14:textId="0C21F18B" w:rsidR="00DD4286" w:rsidRPr="000752DF" w:rsidRDefault="00DD4286" w:rsidP="000D42F6">
      <w:pPr>
        <w:jc w:val="both"/>
        <w:rPr>
          <w:rFonts w:ascii="Times New Roman" w:hAnsi="Times New Roman" w:cs="Times New Roman"/>
          <w:noProof/>
        </w:rPr>
      </w:pPr>
      <w:r>
        <w:rPr>
          <w:rFonts w:ascii="Times New Roman" w:hAnsi="Times New Roman"/>
          <w:noProof/>
        </w:rPr>
        <w:t>La deuxième directive sur les services de paiement (DSP2), en vigueur, réglemente d’autres aspects, notamment la gestion des risques opérationnels et de sécurité et le signalement des incidents majeurs. L’objectif est de renforcer la sécurité et la résilience des systèmes de paiement dans l’ensemble de l’UE.</w:t>
      </w:r>
    </w:p>
    <w:p w14:paraId="32EC0BE1" w14:textId="5B5C69B0" w:rsidR="009D32D1" w:rsidRPr="000752DF" w:rsidRDefault="003D1E32" w:rsidP="003D1E32">
      <w:pPr>
        <w:jc w:val="both"/>
        <w:rPr>
          <w:rFonts w:ascii="Times New Roman" w:hAnsi="Times New Roman" w:cs="Times New Roman"/>
          <w:noProof/>
        </w:rPr>
      </w:pPr>
      <w:r>
        <w:rPr>
          <w:rFonts w:ascii="Times New Roman" w:hAnsi="Times New Roman"/>
          <w:noProof/>
        </w:rPr>
        <w:t>L’Eurosystème promeut la sécurité et l’efficacité des systèmes de paiement. Il a mis en place des exigences de supervision pour faire face aux principaux scénarios de risque recensés pour l’écosystème européen des paiements. Ces cadres définissent un ensemble exhaustif d’exigences en matière de gestion des risques opérationnels. Il s’agit notamment de mesures de gestion de la continuité des activités et de reprise rapide, ainsi que de dispositions spécifiques en matière de sécurité de l’information, de cyberrésilience, de sécurité physique, d’externalisation, de gestion des risques informatiques, ainsi que dans d’autres matières connexes. Le cadre couvre les instruments de paiement électronique (tels que les cartes, les prélèvements, les virements, la monnaie électronique et les portefeuilles numériques), ainsi que les systèmes (par exemple les réseaux de cartes) et les applications (par exemple les portefeuilles électroniques) qui permettent leur utilisation.</w:t>
      </w:r>
    </w:p>
    <w:p w14:paraId="0026B9DE" w14:textId="147F6FB6" w:rsidR="003D1E32" w:rsidRPr="000752DF" w:rsidRDefault="008E5A8F" w:rsidP="003D1E32">
      <w:pPr>
        <w:jc w:val="both"/>
        <w:rPr>
          <w:rFonts w:ascii="Times New Roman" w:hAnsi="Times New Roman" w:cs="Times New Roman"/>
          <w:noProof/>
        </w:rPr>
      </w:pPr>
      <w:r>
        <w:rPr>
          <w:rFonts w:ascii="Times New Roman" w:hAnsi="Times New Roman"/>
          <w:noProof/>
        </w:rPr>
        <w:t>Afin de renforcer la protection, l’article 15 du règlement de la BCE sur les systèmes de paiement d’importance systémique (SPIS) énonce d’autres exigences. Par exemple, il exige que les systèmes reprennent leur fonctionnement normal dans un délai de deux heures (y compris grâce à l’utilisation de sites secondaires) et que les opérateurs de SPIS soient en mesure d’effectuer avant la fin du jour ouvrable l’intégralité des règlements dus le jour au cours duquel l’incident s’est produit.</w:t>
      </w:r>
    </w:p>
    <w:p w14:paraId="562DD394" w14:textId="7E67592B" w:rsidR="00CE69E4" w:rsidRPr="000752DF" w:rsidRDefault="00CE69E4" w:rsidP="00CE69E4">
      <w:pPr>
        <w:jc w:val="both"/>
        <w:rPr>
          <w:rFonts w:ascii="Times New Roman" w:hAnsi="Times New Roman" w:cs="Times New Roman"/>
          <w:noProof/>
        </w:rPr>
      </w:pPr>
      <w:r>
        <w:rPr>
          <w:rFonts w:ascii="Times New Roman" w:hAnsi="Times New Roman"/>
          <w:noProof/>
        </w:rPr>
        <w:t>Le projet de création d’un euro numérique</w:t>
      </w:r>
      <w:r>
        <w:rPr>
          <w:noProof/>
        </w:rPr>
        <w:t xml:space="preserve"> </w:t>
      </w:r>
      <w:r>
        <w:rPr>
          <w:rFonts w:ascii="Times New Roman" w:hAnsi="Times New Roman"/>
          <w:noProof/>
        </w:rPr>
        <w:t>– une forme numérique d’espèces, complétant les espèces physiques et les solutions de paiement privées – donnerait au public un mode de paiement supplémentaire, tout en favorisant l’inclusion numérique et financière. En tant que premier système de paiement paneuropéen unifié, l’euro numérique contribuerait également à préserver le rôle international de l’euro. En renforçant l’autonomie stratégique ouverte de l’UE et en élargissant l’éventail des instruments de paiement disponibles, le projet d’euro numérique vise à renforcer encore la résilience globale des services de paiement. En ce qui concerne la proposition relative au cours légal, le Conseil a ajouté des dispositions supplémentaires pour renforcer encore la résilience de l’euro numérique. Dans ce contexte, les portefeuilles européens d’identité numérique (EUDI) seront interopérables avec les interfaces utilisateur de l’euro numérique, ce qui garantira une authentification sûre et fluide des utilisateurs</w:t>
      </w:r>
      <w:r>
        <w:rPr>
          <w:rStyle w:val="FootnoteReference"/>
          <w:rFonts w:ascii="Times New Roman" w:hAnsi="Times New Roman" w:cs="Times New Roman"/>
          <w:noProof/>
        </w:rPr>
        <w:footnoteReference w:id="11"/>
      </w:r>
      <w:r>
        <w:rPr>
          <w:rFonts w:ascii="Times New Roman" w:hAnsi="Times New Roman"/>
          <w:noProof/>
        </w:rPr>
        <w:t>.</w:t>
      </w:r>
    </w:p>
    <w:p w14:paraId="050A5B5C" w14:textId="4426E01E" w:rsidR="00F445BB" w:rsidRPr="000752DF" w:rsidRDefault="00DD4286" w:rsidP="07ACBF2F">
      <w:pPr>
        <w:jc w:val="both"/>
        <w:rPr>
          <w:rFonts w:ascii="Times New Roman" w:hAnsi="Times New Roman" w:cs="Times New Roman"/>
          <w:i/>
          <w:iCs/>
          <w:noProof/>
        </w:rPr>
      </w:pPr>
      <w:r>
        <w:rPr>
          <w:rFonts w:ascii="Times New Roman" w:hAnsi="Times New Roman"/>
          <w:i/>
          <w:noProof/>
        </w:rPr>
        <w:t>Législation transsectorielle dans le secteur financier</w:t>
      </w:r>
    </w:p>
    <w:p w14:paraId="3B43C2B1" w14:textId="64692209" w:rsidR="00923C96" w:rsidRDefault="00A30CC9" w:rsidP="73C35B7D">
      <w:pPr>
        <w:jc w:val="both"/>
        <w:rPr>
          <w:rFonts w:ascii="Times New Roman" w:hAnsi="Times New Roman" w:cs="Times New Roman"/>
          <w:noProof/>
        </w:rPr>
      </w:pPr>
      <w:r>
        <w:rPr>
          <w:rFonts w:ascii="Times New Roman" w:hAnsi="Times New Roman"/>
          <w:noProof/>
        </w:rPr>
        <w:t xml:space="preserve">Complétant la législation financière mise en évidence ci-dessus, le règlement sur la résilience opérationnelle numérique du secteur financier (règlement DORA) est un acte législatif sectoriel qui s’applique à l’ensemble du secteur financier de l’UE. Il couvre 20 types différents d’entités financières, dont les établissements de crédit, les prestataires de services de paiement, les infrastructures de marchés financiers, les entreprises d’assurance, les agences de notation de crédit et les gestionnaires d’actifs. </w:t>
      </w:r>
    </w:p>
    <w:p w14:paraId="094A0DCA" w14:textId="2349A3A1" w:rsidR="00775A05" w:rsidRDefault="00323210" w:rsidP="73C35B7D">
      <w:pPr>
        <w:jc w:val="both"/>
        <w:rPr>
          <w:rFonts w:ascii="Times New Roman" w:hAnsi="Times New Roman" w:cs="Times New Roman"/>
          <w:noProof/>
        </w:rPr>
      </w:pPr>
      <w:r>
        <w:rPr>
          <w:rFonts w:ascii="Times New Roman" w:hAnsi="Times New Roman"/>
          <w:noProof/>
        </w:rPr>
        <w:t xml:space="preserve">Le règlement DORA met fortement l’accent sur la résilience des entités financières, sur leur niveau de préparation pour faire face à d’éventuelles perturbations dans le domaine des TIC et sur la gestion des risques qui découlent de la dépendance des entités financières à l’égard des prestataires tiers de services TIC, dont les risques systémiques et les risques de concentration posés par les prestataires de services TIC critiques pour le secteur financier de l’UE. Le règlement DORA établit un cadre harmonisé et robuste pour renforcer la capacité du secteur financier de l’UE de prévenir les perturbations liées aux TIC, d’y résister, d’y réagir et de s’en remettre. Les entités financières doivent mettre en place un cadre global de gestion des risques liés aux TIC, incluant la gouvernance, l’inventaire des actifs, l’identification des risques, la protection, la détection, la réaction, le rétablissement et l’amélioration continue. Ainsi, les vulnérabilités et la résilience des systèmes et des processus seront gérés de manière proactive. Les entités financières sont également tenues de détecter les incidents majeurs liés aux TIC, de les classer et de les signaler aux autorités compétentes en utilisant des définitions, des seuils et des délais convenus, afin de permettre des réponses coordonnées entre les pays. Le règlement DORA impose des évaluations et des tests réguliers des processus, outils et dispositifs de résilience et de préparation des entités. </w:t>
      </w:r>
    </w:p>
    <w:p w14:paraId="03AA0CE3" w14:textId="69F04877" w:rsidR="00793657" w:rsidRPr="000752DF" w:rsidRDefault="00323210" w:rsidP="73C35B7D">
      <w:pPr>
        <w:jc w:val="both"/>
        <w:rPr>
          <w:rFonts w:ascii="Times New Roman" w:hAnsi="Times New Roman" w:cs="Times New Roman"/>
          <w:noProof/>
        </w:rPr>
      </w:pPr>
      <w:r>
        <w:rPr>
          <w:rFonts w:ascii="Times New Roman" w:hAnsi="Times New Roman"/>
          <w:noProof/>
        </w:rPr>
        <w:t>Les entités financières doivent également gérer les risques associés au recours à des prestataires tiers de services TIC, et en particulier à des prestataires tiers critiques. Le règlement DORA impose aux entités financières de faire preuve de la diligence requise en ce qui concerne le risque de concentration avant de conclure de nouveaux contrats avec des tiers prestataires de services TIC. Le règlement DORA inclut un cadre de supervision, en vertu duquel les trois autorités européennes de surveillance (AES)</w:t>
      </w:r>
      <w:r>
        <w:rPr>
          <w:rStyle w:val="FootnoteReference"/>
          <w:rFonts w:ascii="Times New Roman" w:hAnsi="Times New Roman" w:cs="Times New Roman"/>
          <w:noProof/>
        </w:rPr>
        <w:footnoteReference w:id="12"/>
      </w:r>
      <w:r>
        <w:rPr>
          <w:rFonts w:ascii="Times New Roman" w:hAnsi="Times New Roman"/>
          <w:noProof/>
        </w:rPr>
        <w:t>sont le superviseur des prestataires tiers critiques de services TIC, à l’échelle paneuropéenne, renforçant ainsi la résilience opérationnelle numérique globale dans l’ensemble du secteur financier de l’UE. En novembre 2025, les AES ont publié la liste des prestataires tiers de services TIC désignés comme critiques conformément au règlement DORA. Le cadre DORA est particulièrement bien adapté pour gérer la cybersécurité, la connectivité, la préparation et les risques opérationnels revêtant une forte dimension internationale.</w:t>
      </w:r>
    </w:p>
    <w:p w14:paraId="78572FDC" w14:textId="5D44C28A" w:rsidR="00F53ACD" w:rsidRPr="000752DF" w:rsidRDefault="00F53ACD" w:rsidP="00445FBA">
      <w:pPr>
        <w:jc w:val="both"/>
        <w:rPr>
          <w:rFonts w:ascii="Times New Roman" w:hAnsi="Times New Roman" w:cs="Times New Roman"/>
          <w:noProof/>
        </w:rPr>
      </w:pPr>
      <w:r>
        <w:rPr>
          <w:rFonts w:ascii="Times New Roman" w:hAnsi="Times New Roman"/>
          <w:noProof/>
        </w:rPr>
        <w:t xml:space="preserve">Outre le règlement DORA, qui est une </w:t>
      </w:r>
      <w:r>
        <w:rPr>
          <w:rFonts w:ascii="Times New Roman" w:hAnsi="Times New Roman"/>
          <w:i/>
          <w:noProof/>
        </w:rPr>
        <w:t>lex specialis</w:t>
      </w:r>
      <w:r>
        <w:rPr>
          <w:rFonts w:ascii="Times New Roman" w:hAnsi="Times New Roman"/>
          <w:noProof/>
        </w:rPr>
        <w:t xml:space="preserve"> pour le secteur financier, ce secteur est également couvert par des accords de coopération horizontale sur la résilience physique et numérique au titre de la directive sur la résilience des entités critiques (directive CER)</w:t>
      </w:r>
      <w:r>
        <w:rPr>
          <w:noProof/>
        </w:rPr>
        <w:t xml:space="preserve"> </w:t>
      </w:r>
      <w:bookmarkStart w:id="2" w:name="_Ref221539547"/>
      <w:r>
        <w:rPr>
          <w:rStyle w:val="FootnoteReference"/>
          <w:rFonts w:ascii="Times New Roman" w:eastAsia="Aptos" w:hAnsi="Times New Roman" w:cs="Times New Roman"/>
          <w:noProof/>
        </w:rPr>
        <w:footnoteReference w:id="13"/>
      </w:r>
      <w:bookmarkEnd w:id="2"/>
      <w:r>
        <w:rPr>
          <w:rFonts w:ascii="Times New Roman" w:hAnsi="Times New Roman"/>
          <w:noProof/>
        </w:rPr>
        <w:t>et de la directive SRI 2.</w:t>
      </w:r>
    </w:p>
    <w:p w14:paraId="47D61D43" w14:textId="2E13E75F" w:rsidR="0070628F" w:rsidRPr="000752DF" w:rsidRDefault="00445FBA" w:rsidP="00445FBA">
      <w:pPr>
        <w:jc w:val="both"/>
        <w:rPr>
          <w:rFonts w:ascii="Times New Roman" w:eastAsia="Aptos" w:hAnsi="Times New Roman" w:cs="Times New Roman"/>
          <w:noProof/>
        </w:rPr>
      </w:pPr>
      <w:r>
        <w:rPr>
          <w:rFonts w:ascii="Times New Roman" w:hAnsi="Times New Roman"/>
          <w:noProof/>
        </w:rPr>
        <w:t>La directive CER crée un cadre général qui traite de la résilience des entités critiques en ce qui concerne tous les dangers. Elle impose des évaluations des risques, des stratégies nationales et des mesures de résilience spécifiques pour les entités désignées comme critiques afin de veiller à ce qu’elles puissent continuer à assurer des fonctions sociétales vitales. Bien que la directive CER inclue le secteur bancaire et les infrastructures de marchés financiers parmi les secteurs critiques, le secteur financier est hors du champ d’application de toutes ses exigences de fond, étant donné qu’il est couvert par des dispositions beaucoup plus spécifiques au titre du règlement DORA. Le secteur financier demeure néanmoins dans le champ d’application de la directive CER pour les accords de coopération horizontale.</w:t>
      </w:r>
    </w:p>
    <w:p w14:paraId="180D79EA" w14:textId="643046AF" w:rsidR="00445FBA" w:rsidRDefault="0029676D" w:rsidP="00445FBA">
      <w:pPr>
        <w:jc w:val="both"/>
        <w:rPr>
          <w:rFonts w:ascii="Times New Roman" w:hAnsi="Times New Roman" w:cs="Times New Roman"/>
          <w:noProof/>
        </w:rPr>
      </w:pPr>
      <w:r>
        <w:rPr>
          <w:rFonts w:ascii="Times New Roman" w:hAnsi="Times New Roman"/>
          <w:noProof/>
        </w:rPr>
        <w:t>La directive SRI 2 fournit un cadre plus large pour la cybersécurité, qui couvre différents secteurs critiques. Le règlement DORA est considéré comme une</w:t>
      </w:r>
      <w:r>
        <w:rPr>
          <w:rFonts w:ascii="Times New Roman" w:hAnsi="Times New Roman"/>
          <w:i/>
          <w:noProof/>
        </w:rPr>
        <w:t xml:space="preserve"> lex specialis</w:t>
      </w:r>
      <w:r>
        <w:rPr>
          <w:rFonts w:ascii="Times New Roman" w:hAnsi="Times New Roman"/>
          <w:noProof/>
        </w:rPr>
        <w:t xml:space="preserve"> par rapport à la directive SRI 2, ce qui signifie que les exigences relatives à la gestion des risques et à la notification des incidents énoncées dans le règlement DORA s’appliquent en tant qu’acte juridique sectoriel de l’Union au lieu des dispositions de la directive SRI 2. Comme indiqué par la Commission dans ses lignes directrices sur l’application de l’article 4, paragraphes 1 et 2, de la directive SRI 2</w:t>
      </w:r>
      <w:r>
        <w:rPr>
          <w:rStyle w:val="FootnoteReference"/>
          <w:rFonts w:ascii="Times New Roman" w:hAnsi="Times New Roman" w:cs="Times New Roman"/>
          <w:noProof/>
        </w:rPr>
        <w:footnoteReference w:id="14"/>
      </w:r>
      <w:r>
        <w:rPr>
          <w:rFonts w:ascii="Times New Roman" w:hAnsi="Times New Roman"/>
          <w:noProof/>
        </w:rPr>
        <w:t>, certaines dispositions énoncées dans ladite directive qui sont essentielles pour assurer la préparation et atteindre un niveau élevé de résilience des entités financières continuent de s’appliquer, notamment les exigences relatives à l’adoption d’une stratégie de cybersécurité et à l’établissement d’un cadre national relatif à la gestion des crises de cybersécurité (avec obligation de désigner des autorités de gestion des crises de cybersécurité et d’adopter des plans nationaux de réaction aux crises et incidents de cybersécurité majeurs) qui couvrent les secteurs des banques et des infrastructures de marchés financiers. En outre, les centres de réponse aux incidents de sécurité informatiques (CSIRT) et le réseau européen d’organisations de liaison en cas de crises de cybersécurité (EU-CyCLONe) devraient s’acquitter de leurs tâches en ce qui concerne ces deux secteurs.</w:t>
      </w:r>
    </w:p>
    <w:p w14:paraId="2C7EFCFD" w14:textId="6F3C0305" w:rsidR="00F00D18" w:rsidRDefault="00F00D18" w:rsidP="00F00D18">
      <w:pPr>
        <w:jc w:val="both"/>
        <w:rPr>
          <w:rFonts w:ascii="Times New Roman" w:hAnsi="Times New Roman" w:cs="Times New Roman"/>
          <w:noProof/>
        </w:rPr>
      </w:pPr>
      <w:r>
        <w:rPr>
          <w:rFonts w:ascii="Times New Roman" w:hAnsi="Times New Roman"/>
          <w:noProof/>
        </w:rPr>
        <w:t>Les mesures de préparation décrites pour le secteur financier sont conçues pour trouver un équilibre entre le besoin de résilience et le principe de proportionnalité. Les exigences réglementaires et de surveillance sont adaptées à la taille, à la complexité et à l’importance systémique des établissements afin de ne pas imposer une charge disproportionnée aux petites entités. Pour éviter une charge administrative inutile, les cadres harmonisés tels que DORA rationalisent les exigences dans l’ensemble du secteur, en assurant la cohérence tout en réduisant les doubles emplois.</w:t>
      </w:r>
    </w:p>
    <w:p w14:paraId="40B31BAE" w14:textId="77777777" w:rsidR="00772FE8" w:rsidRPr="000752DF" w:rsidRDefault="00772FE8" w:rsidP="00F00D18">
      <w:pPr>
        <w:jc w:val="both"/>
        <w:rPr>
          <w:rFonts w:ascii="Times New Roman" w:hAnsi="Times New Roman" w:cs="Times New Roman"/>
          <w:noProof/>
        </w:rPr>
      </w:pPr>
    </w:p>
    <w:p w14:paraId="5B7ECD6D" w14:textId="6C4CD91D" w:rsidR="00DE22BC" w:rsidRPr="000752DF" w:rsidRDefault="00D41A6A" w:rsidP="00E8171B">
      <w:pPr>
        <w:pStyle w:val="ListParagraph"/>
        <w:numPr>
          <w:ilvl w:val="1"/>
          <w:numId w:val="5"/>
        </w:numPr>
        <w:jc w:val="both"/>
        <w:rPr>
          <w:rFonts w:ascii="Times New Roman" w:hAnsi="Times New Roman" w:cs="Times New Roman"/>
          <w:noProof/>
          <w:u w:val="single"/>
        </w:rPr>
      </w:pPr>
      <w:r>
        <w:rPr>
          <w:rFonts w:ascii="Times New Roman" w:hAnsi="Times New Roman"/>
          <w:noProof/>
          <w:u w:val="single"/>
        </w:rPr>
        <w:t>Autorités de l’UE: outils et coopération</w:t>
      </w:r>
    </w:p>
    <w:p w14:paraId="2D424A8E" w14:textId="0680D7D0" w:rsidR="008E31C6" w:rsidRPr="000752DF" w:rsidRDefault="00E32AF6" w:rsidP="008E31C6">
      <w:pPr>
        <w:jc w:val="both"/>
        <w:rPr>
          <w:rFonts w:ascii="Times New Roman" w:hAnsi="Times New Roman" w:cs="Times New Roman"/>
          <w:noProof/>
        </w:rPr>
      </w:pPr>
      <w:r>
        <w:rPr>
          <w:rFonts w:ascii="Times New Roman" w:hAnsi="Times New Roman"/>
          <w:noProof/>
        </w:rPr>
        <w:t>Les autorités de l’UE se voient confier des outils spécifiques qui peuvent être activés dans des situations d’urgence et qui maintiennent des dispositifs de préparation afin d’assurer la continuité des activités. Par exemple, les trois AES se sont vu attribuer des pouvoirs d’urgence en vertu de leurs règlements fondateurs. Dès qu’une situation d’urgence est officiellement constatée par le Conseil (en vertu de l’article 18 des règlements instituant les AES), ces autorités peuvent restreindre temporairement les activités financières visées à l’article 9 par des décisions individuelles. Elles exercent également une fonction de coordination générale entre les autorités nationales et au sein du système européen de surveillance financière (SESF) (article 31).</w:t>
      </w:r>
    </w:p>
    <w:p w14:paraId="2E915095" w14:textId="3AA228EC" w:rsidR="006938D4" w:rsidRPr="000752DF" w:rsidRDefault="00F16D06" w:rsidP="008E31C6">
      <w:pPr>
        <w:jc w:val="both"/>
        <w:rPr>
          <w:rFonts w:ascii="Times New Roman" w:hAnsi="Times New Roman" w:cs="Times New Roman"/>
          <w:noProof/>
        </w:rPr>
      </w:pPr>
      <w:r>
        <w:rPr>
          <w:rFonts w:ascii="Times New Roman" w:hAnsi="Times New Roman"/>
          <w:noProof/>
        </w:rPr>
        <w:t>Comme indiqué ci-dessus, la BCE est l’autorité de surveillance unique pour les banques des 21 États membres qui participent au mécanisme de surveillance unique, ce qui assure une surveillance prudentielle cohérente dans l’ensemble de la zone. Le Conseil de résolution unique est l’autorité de résolution unique pour ces États membres, responsable de la résolution ordonnée des défaillances bancaires, préservant ainsi la stabilité financière et réduisant au minimum les coûts pour les contribuables.</w:t>
      </w:r>
    </w:p>
    <w:p w14:paraId="4C4881F8" w14:textId="166DB5AF" w:rsidR="00814022" w:rsidRPr="000752DF" w:rsidRDefault="00076C9E" w:rsidP="00EB4CC7">
      <w:pPr>
        <w:jc w:val="both"/>
        <w:rPr>
          <w:rFonts w:ascii="Times New Roman" w:hAnsi="Times New Roman" w:cs="Times New Roman"/>
          <w:noProof/>
        </w:rPr>
      </w:pPr>
      <w:r>
        <w:rPr>
          <w:rFonts w:ascii="Times New Roman" w:hAnsi="Times New Roman"/>
          <w:noProof/>
        </w:rPr>
        <w:t>Afin de renforcer la résilience opérationnelle, toutes les autorités de l’UE ont mis au point des procédures internes en matière de continuité des activités, de dispositifs de préparation et de gestion des incidents critiques afin de faire face à divers dangers. Elles testent régulièrement ces mesures afin d’assurer la continuité des activités et de déterminer quels sont les processus opérationnels prioritaires à mettre en œuvre en cas d’urgence, et à quel niveau.</w:t>
      </w:r>
    </w:p>
    <w:p w14:paraId="6C3A27A0" w14:textId="413E6FB9" w:rsidR="00444918" w:rsidRPr="000752DF" w:rsidRDefault="00DA012C" w:rsidP="00444918">
      <w:pPr>
        <w:jc w:val="both"/>
        <w:rPr>
          <w:rFonts w:ascii="Times New Roman" w:hAnsi="Times New Roman" w:cs="Times New Roman"/>
          <w:noProof/>
        </w:rPr>
      </w:pPr>
      <w:r>
        <w:rPr>
          <w:rFonts w:ascii="Times New Roman" w:hAnsi="Times New Roman"/>
          <w:noProof/>
        </w:rPr>
        <w:t>Compte tenu de la nécessité de préserver l’intégrité et le bon fonctionnement du marché unique et du degré élevé d’interconnexion et de risque d’effets d’entraînement dans le secteur financier de l’UE, la coordination entre les différentes autorités de l’UE et la participation des États membres sont essentielles pour anticiper et gérer les crises susceptibles de toucher simultanément plusieurs régions de l’UE. Une participation précoce et une coopération rapide sont essentielles tant lors de la phase de planification qu’à chaque stade de la crise. Afin de faciliter la coopération et l’échange d’informations qui peuvent également être pertinents en cas de crise, plusieurs autorités de l’UE ont mis en place des instruments de coopération entre elles ou avec les autorités nationales compétentes ou les autorités nationales de résolution, ou ont conclu des protocoles d’accord (par exemple le protocole d’accord entre la BCE et le CRU); elles procèdent également à des exercices de simulation pour assurer une préparation adéquate aux crises.</w:t>
      </w:r>
    </w:p>
    <w:p w14:paraId="358F259F" w14:textId="68042EC0" w:rsidR="001B141C" w:rsidRDefault="00444918" w:rsidP="00444918">
      <w:pPr>
        <w:jc w:val="both"/>
        <w:rPr>
          <w:rFonts w:ascii="Times New Roman" w:hAnsi="Times New Roman" w:cs="Times New Roman"/>
          <w:noProof/>
        </w:rPr>
      </w:pPr>
      <w:r>
        <w:rPr>
          <w:rFonts w:ascii="Times New Roman" w:hAnsi="Times New Roman"/>
          <w:noProof/>
        </w:rPr>
        <w:t>Une étape importante dans ces travaux est le cadre de l’Union européenne pour la coordination des cyberincidents systémiques (EU-SCICF), établi en janvier 2025 par les AES. Ce cadre fournit une base stratégique pour la coopération lors d’incidents de cybersécurité importants</w:t>
      </w:r>
      <w:r>
        <w:rPr>
          <w:rStyle w:val="FootnoteReference"/>
          <w:rFonts w:ascii="Times New Roman" w:hAnsi="Times New Roman" w:cs="Times New Roman"/>
          <w:noProof/>
        </w:rPr>
        <w:footnoteReference w:id="15"/>
      </w:r>
      <w:r>
        <w:rPr>
          <w:rFonts w:ascii="Times New Roman" w:hAnsi="Times New Roman"/>
          <w:noProof/>
        </w:rPr>
        <w:t xml:space="preserve"> Il vise à faciliter le partage rapide d’informations et les réponses conjointes en mettant en place des protocoles pour évaluer et atténuer les menaces dans l’ensemble des États membres de l’UE. </w:t>
      </w:r>
    </w:p>
    <w:p w14:paraId="1D6A2F78" w14:textId="1DD75807" w:rsidR="00DB55D2" w:rsidRDefault="00DB55D2" w:rsidP="00DB55D2">
      <w:pPr>
        <w:jc w:val="both"/>
        <w:rPr>
          <w:rFonts w:ascii="Times New Roman" w:hAnsi="Times New Roman" w:cs="Times New Roman"/>
          <w:noProof/>
        </w:rPr>
      </w:pPr>
      <w:r>
        <w:rPr>
          <w:rFonts w:ascii="Times New Roman" w:hAnsi="Times New Roman"/>
          <w:noProof/>
        </w:rPr>
        <w:t>En outre, le Conseil a adopté en juin 2025 un schéma directeur pour la gestion des crises de cybersécurité</w:t>
      </w:r>
      <w:r>
        <w:rPr>
          <w:rStyle w:val="FootnoteReference"/>
          <w:rFonts w:ascii="Times New Roman" w:hAnsi="Times New Roman" w:cs="Times New Roman"/>
          <w:noProof/>
          <w:lang w:val="en-IE"/>
        </w:rPr>
        <w:footnoteReference w:id="16"/>
      </w:r>
      <w:r>
        <w:rPr>
          <w:rFonts w:ascii="Times New Roman" w:hAnsi="Times New Roman"/>
          <w:noProof/>
        </w:rPr>
        <w:t>, qui constitue un guide important pour les États membres en ce qui concerne l’amélioration de leur préparation, de leurs capacités de détection et de leur réaction aux incidents de cybersécurité, sur la base de tous les mécanismes pertinents, y compris ceux créés par la directive SRI 2, le règlement DORA (EU-SCICF) et le règlement sur la cybersolidarité.</w:t>
      </w:r>
    </w:p>
    <w:p w14:paraId="0E0F1F09" w14:textId="3DAF4A46" w:rsidR="00444918" w:rsidRPr="000752DF" w:rsidRDefault="00444918" w:rsidP="00444918">
      <w:pPr>
        <w:jc w:val="both"/>
        <w:rPr>
          <w:rFonts w:ascii="Times New Roman" w:eastAsia="MS Mincho" w:hAnsi="Times New Roman" w:cs="Times New Roman"/>
          <w:noProof/>
        </w:rPr>
      </w:pPr>
      <w:r>
        <w:rPr>
          <w:rFonts w:ascii="Times New Roman" w:hAnsi="Times New Roman"/>
          <w:noProof/>
        </w:rPr>
        <w:t>Des exercices réguliers peuvent être menés dans ce cadre pour veiller à ce que la préparation et les capacités de réaction restent robustes et efficaces. En outre, au niveau international, le protocole de réponse aux incidents de cybersécurité du G7 vise à unifier les efforts mondiaux de réaction aux menaces en matière de cybersécurité qui ont une incidence sur le secteur financier et à assurer des réactions rapides et coordonnées entre les pays et territoires.</w:t>
      </w:r>
    </w:p>
    <w:p w14:paraId="39312AB7" w14:textId="27282340" w:rsidR="000A178A" w:rsidRPr="000752DF" w:rsidRDefault="002002C4" w:rsidP="000A178A">
      <w:pPr>
        <w:jc w:val="both"/>
        <w:rPr>
          <w:rFonts w:ascii="Times New Roman" w:hAnsi="Times New Roman" w:cs="Times New Roman"/>
          <w:noProof/>
        </w:rPr>
      </w:pPr>
      <w:r>
        <w:rPr>
          <w:rFonts w:ascii="Times New Roman" w:hAnsi="Times New Roman"/>
          <w:noProof/>
        </w:rPr>
        <w:t>Chaque autorité de l’UE procède régulièrement à des évaluations des risques et prend d’autres mesures pour identifier les risques les plus pertinents par rapport à son mandat et à ses fonctions. Les évaluations des risques sont réalisées en coopération avec les autorités nationales, ce qui contribue à développer une compréhension commune et plus approfondie du paysage des risques et des risques auxquels il convient de donner la priorité. Les évaluations des risques alimentent souvent les systèmes d’alerte précoce, qui font eux-mêmes partie des cadres de préparation des autorités de l’UE. En outre, les dispositifs en matière de réglementation et de surveillance existant entre les autorités de l’UE et les parties prenantes du secteur privé permettent un dialogue continu sur les attentes réciproques en matière de préparation</w:t>
      </w:r>
      <w:r>
        <w:rPr>
          <w:rStyle w:val="FootnoteReference"/>
          <w:rFonts w:ascii="Times New Roman" w:hAnsi="Times New Roman" w:cs="Times New Roman"/>
          <w:noProof/>
        </w:rPr>
        <w:footnoteReference w:id="17"/>
      </w:r>
      <w:r>
        <w:rPr>
          <w:rFonts w:ascii="Times New Roman" w:hAnsi="Times New Roman"/>
          <w:noProof/>
        </w:rPr>
        <w:t>.</w:t>
      </w:r>
    </w:p>
    <w:p w14:paraId="101958D2" w14:textId="3F591BC9" w:rsidR="004309E9" w:rsidRPr="000752DF" w:rsidRDefault="00E37322" w:rsidP="009417C9">
      <w:pPr>
        <w:pStyle w:val="ListParagraph"/>
        <w:numPr>
          <w:ilvl w:val="1"/>
          <w:numId w:val="5"/>
        </w:numPr>
        <w:jc w:val="both"/>
        <w:rPr>
          <w:rFonts w:ascii="Times New Roman" w:hAnsi="Times New Roman" w:cs="Times New Roman"/>
          <w:noProof/>
          <w:u w:val="single"/>
        </w:rPr>
      </w:pPr>
      <w:r>
        <w:rPr>
          <w:rFonts w:ascii="Times New Roman" w:hAnsi="Times New Roman"/>
          <w:noProof/>
          <w:u w:val="single"/>
        </w:rPr>
        <w:t>Cadres aux échelons national et régional</w:t>
      </w:r>
    </w:p>
    <w:p w14:paraId="0B807535" w14:textId="733FEA14" w:rsidR="009D0438" w:rsidRPr="000752DF" w:rsidRDefault="00C876EB" w:rsidP="001532B6">
      <w:pPr>
        <w:jc w:val="both"/>
        <w:rPr>
          <w:rFonts w:ascii="Times New Roman" w:hAnsi="Times New Roman" w:cs="Times New Roman"/>
          <w:noProof/>
        </w:rPr>
      </w:pPr>
      <w:r>
        <w:rPr>
          <w:rFonts w:ascii="Times New Roman" w:hAnsi="Times New Roman"/>
          <w:noProof/>
        </w:rPr>
        <w:t>Outre la législation au niveau de l’UE, les États membres ont élaboré leurs propres programmes nationaux de préparation</w:t>
      </w:r>
      <w:r>
        <w:rPr>
          <w:rStyle w:val="FootnoteReference"/>
          <w:rFonts w:ascii="Times New Roman" w:hAnsi="Times New Roman" w:cs="Times New Roman"/>
          <w:noProof/>
        </w:rPr>
        <w:footnoteReference w:id="18"/>
      </w:r>
      <w:r>
        <w:rPr>
          <w:rFonts w:ascii="Times New Roman" w:hAnsi="Times New Roman"/>
          <w:noProof/>
        </w:rPr>
        <w:t>. Ces programmes vont généralement au-delà du secteur financier et couvrent la préparation de la société dans son ensemble à l’échelle nationale. Pour cette raison, les programmes nationaux diffèrent d’un État membre à l’autre, reflétant les différences entre structures gouvernementales et administratives nationales, ainsi qu’au niveau de l’étendue de leurs compétences. Dans le même temps, ces systèmes nationaux fonctionnent dans un cadre cohérent à l’échelle de l’UE et interagissent de plus en plus avec les dispositifs et les mécanismes de coordination transfrontière de l’UE.</w:t>
      </w:r>
    </w:p>
    <w:p w14:paraId="4ABD4D00" w14:textId="7186D520" w:rsidR="0024384F" w:rsidRPr="000752DF" w:rsidRDefault="009D0438" w:rsidP="001532B6">
      <w:pPr>
        <w:jc w:val="both"/>
        <w:rPr>
          <w:rFonts w:ascii="Times New Roman" w:hAnsi="Times New Roman" w:cs="Times New Roman"/>
          <w:noProof/>
        </w:rPr>
      </w:pPr>
      <w:r>
        <w:rPr>
          <w:rFonts w:ascii="Times New Roman" w:hAnsi="Times New Roman"/>
          <w:noProof/>
        </w:rPr>
        <w:t>La préparation du secteur financier est toujours un élément clé des stratégies nationales de préparation. Ce secteur, qui joue un rôle de premier plan en matière de préparation, est un exemple à suivre pour d’autres secteurs. Les stratégies nationales de préparation du secteur financier vont au-delà de l’acquis de l’UE et mettent l’accent sur des questions opérationnelles nationales. Les différences entre les systèmes financiers nationaux (par exemple: principales caractéristiques du secteur bancaire national, ampleur de l’utilisation des espèces, adoption de l’euro, participation à l’union bancaire) se reflètent naturellement dans la manière dont le niveau de préparation national du secteur financier est évalué et assuré.</w:t>
      </w:r>
    </w:p>
    <w:p w14:paraId="6C81631D" w14:textId="71AD6213" w:rsidR="00166633" w:rsidRPr="000752DF" w:rsidRDefault="00166633" w:rsidP="00166633">
      <w:pPr>
        <w:jc w:val="both"/>
        <w:rPr>
          <w:rFonts w:ascii="Times New Roman" w:hAnsi="Times New Roman" w:cs="Times New Roman"/>
          <w:noProof/>
        </w:rPr>
      </w:pPr>
      <w:r>
        <w:rPr>
          <w:rFonts w:ascii="Times New Roman" w:hAnsi="Times New Roman"/>
          <w:noProof/>
        </w:rPr>
        <w:t>Compte tenu du rôle central joué par les pouvoirs publics, en particulier en cas de crise ou d’incident majeur, des fonctions fiables de financement à court terme doivent rester disponibles afin d’éviter des pénuries de liquidités ou de financement au niveau de l’État et du secteur public au sens large, et d’éviter des répercussions plus vastes sur la société en termes de confiance du public et de stabilité financière. Toutefois, cela ne s’applique pas de la même manière à tous les cadres de crise: en particulier, la résolution des défaillances bancaires est conçue pour limiter le recours aux fonds publics, au moyen de mécanismes de renflouement interne et de mécanismes de résolution financés par le secteur.</w:t>
      </w:r>
    </w:p>
    <w:p w14:paraId="3AC44D0A" w14:textId="02EEBA8D" w:rsidR="00166633" w:rsidRPr="000752DF" w:rsidRDefault="006208AF" w:rsidP="00166633">
      <w:pPr>
        <w:jc w:val="both"/>
        <w:rPr>
          <w:rFonts w:ascii="Times New Roman" w:hAnsi="Times New Roman" w:cs="Times New Roman"/>
          <w:noProof/>
        </w:rPr>
      </w:pPr>
      <w:r>
        <w:rPr>
          <w:rFonts w:ascii="Times New Roman" w:hAnsi="Times New Roman"/>
          <w:noProof/>
        </w:rPr>
        <w:t>Afin d'assurer la résilience des fonctions de financement à court terme des gouvernements, les bureaux nationaux de gestion de la dette (BGD) ont élaboré des plans d’urgence et de continuité des activités afin de continuer à fonctionner également en cas de crise. Ces dispositifs sont de plus en plus souvent complétés par des échanges de bonnes pratiques et une coordination tant à l’échelon de l’UE qu’à l’échelon régional.</w:t>
      </w:r>
    </w:p>
    <w:p w14:paraId="17CC5C11" w14:textId="1350D81D" w:rsidR="00166633" w:rsidRPr="000752DF" w:rsidRDefault="00166633" w:rsidP="00166633">
      <w:pPr>
        <w:jc w:val="both"/>
        <w:rPr>
          <w:rFonts w:ascii="Times New Roman" w:hAnsi="Times New Roman" w:cs="Times New Roman"/>
          <w:noProof/>
        </w:rPr>
      </w:pPr>
      <w:r>
        <w:rPr>
          <w:rFonts w:ascii="Times New Roman" w:hAnsi="Times New Roman"/>
          <w:noProof/>
        </w:rPr>
        <w:t>En outre, le mécanisme européen de stabilité (MES) propose plusieurs instruments destinés à préserver la stabilité financière en apportant une assistance financière aux membres du MES, afin de renforcer la capacité de la zone euro à gérer les difficultés des émetteurs souverains et des banques. Ces instruments sont destinés à faire face aux crises systémiques et à compléter la préparation opérationnelle des États membres et de l’UE à des scénarios de perturbation plus tangibles.  Certains États membres ont mis au point des accords bilatéraux pour assurer la disponibilité d’un financement à court terme en cas d’indisponibilité de l’une des fonctions de base du BGD. La modification du traité instituant le MES est en suspens; sa finalisation renforcerait encore le filet de sécurité de la zone euro.</w:t>
      </w:r>
    </w:p>
    <w:p w14:paraId="5E5CD859" w14:textId="4EC4A031" w:rsidR="001B791D" w:rsidRPr="000752DF" w:rsidRDefault="001B791D" w:rsidP="001B791D">
      <w:pPr>
        <w:jc w:val="both"/>
        <w:rPr>
          <w:rFonts w:ascii="Times New Roman" w:hAnsi="Times New Roman" w:cs="Times New Roman"/>
          <w:noProof/>
        </w:rPr>
      </w:pPr>
      <w:r>
        <w:rPr>
          <w:rFonts w:ascii="Times New Roman" w:hAnsi="Times New Roman"/>
          <w:noProof/>
        </w:rPr>
        <w:t>Parallèlement, il existe des enceintes de coordination régionale, telles que le mécanisme de coopération nordique-baltique, une importante initiative régionale axée sur les pays de la mer Baltique. Ces enceintes favorisent la collaboration en matière de surveillance financière et de gestion des crises, les échanges d’informations sur les évaluations des risques et la planification stratégique. Elles illustrent la manière dont la coopération régionale peut améliorer la préparation.</w:t>
      </w:r>
    </w:p>
    <w:p w14:paraId="063B00A7" w14:textId="19BF4F87" w:rsidR="001B791D" w:rsidRPr="000752DF" w:rsidRDefault="00056CBA" w:rsidP="001532B6">
      <w:pPr>
        <w:jc w:val="both"/>
        <w:rPr>
          <w:rFonts w:ascii="Times New Roman" w:hAnsi="Times New Roman" w:cs="Times New Roman"/>
          <w:noProof/>
        </w:rPr>
      </w:pPr>
      <w:r>
        <w:rPr>
          <w:rFonts w:ascii="Times New Roman" w:hAnsi="Times New Roman"/>
          <w:noProof/>
        </w:rPr>
        <w:t>Plusieurs États membres ont mis en place des partenariats ou des enceintes de discussion public-privé spécifiques dans le cadre de leurs programmes nationaux de préparation (avec la participation de représentants du secteur privé de plusieurs secteurs).</w:t>
      </w:r>
    </w:p>
    <w:p w14:paraId="2EF949E5" w14:textId="3FA2951A" w:rsidR="00A155AA" w:rsidRDefault="00A155AA" w:rsidP="001532B6">
      <w:pPr>
        <w:jc w:val="both"/>
        <w:rPr>
          <w:rFonts w:ascii="Times New Roman" w:hAnsi="Times New Roman" w:cs="Times New Roman"/>
          <w:noProof/>
        </w:rPr>
      </w:pPr>
      <w:r>
        <w:rPr>
          <w:rFonts w:ascii="Times New Roman" w:hAnsi="Times New Roman"/>
          <w:noProof/>
        </w:rPr>
        <w:t>Dans l’ensemble, ces dispositifs à l'échelon de l’UE, à l'échelon régional et à l'échelon national font partie d’un cadre de préparation à plusieurs niveaux, dans lequel la coordination et la coopération européennes et régionales sont complétées par des actions nationales.</w:t>
      </w:r>
    </w:p>
    <w:p w14:paraId="74551668" w14:textId="77777777" w:rsidR="00056CBA" w:rsidRPr="000752DF" w:rsidRDefault="00056CBA" w:rsidP="001532B6">
      <w:pPr>
        <w:jc w:val="both"/>
        <w:rPr>
          <w:rFonts w:ascii="Times New Roman" w:hAnsi="Times New Roman" w:cs="Times New Roman"/>
          <w:noProof/>
        </w:rPr>
      </w:pPr>
    </w:p>
    <w:p w14:paraId="58C42714" w14:textId="5B3ECAA1" w:rsidR="00814022" w:rsidRPr="000752DF" w:rsidRDefault="00814022" w:rsidP="00A143AE">
      <w:pPr>
        <w:pStyle w:val="ListParagraph"/>
        <w:keepNext/>
        <w:numPr>
          <w:ilvl w:val="0"/>
          <w:numId w:val="5"/>
        </w:numPr>
        <w:spacing w:line="278" w:lineRule="auto"/>
        <w:ind w:left="714" w:hanging="357"/>
        <w:rPr>
          <w:rFonts w:ascii="Times New Roman" w:hAnsi="Times New Roman" w:cs="Times New Roman"/>
          <w:b/>
          <w:bCs/>
          <w:noProof/>
        </w:rPr>
      </w:pPr>
      <w:r>
        <w:rPr>
          <w:rFonts w:ascii="Times New Roman" w:hAnsi="Times New Roman"/>
          <w:b/>
          <w:noProof/>
        </w:rPr>
        <w:t>Tests de résistance</w:t>
      </w:r>
    </w:p>
    <w:p w14:paraId="0AEA645A" w14:textId="561FC37D" w:rsidR="002A1314" w:rsidRDefault="00A7256A" w:rsidP="00814022">
      <w:pPr>
        <w:jc w:val="both"/>
        <w:rPr>
          <w:rFonts w:ascii="Times New Roman" w:hAnsi="Times New Roman" w:cs="Times New Roman"/>
          <w:noProof/>
        </w:rPr>
      </w:pPr>
      <w:r>
        <w:rPr>
          <w:rFonts w:ascii="Times New Roman" w:hAnsi="Times New Roman"/>
          <w:noProof/>
        </w:rPr>
        <w:t>Les tests de résistance constituent un aspect essentiel de la préparation, comme le Conseil le reconnaît dans sa recommandation relative au renforcement de la résilience des infrastructures critiques</w:t>
      </w:r>
      <w:r>
        <w:rPr>
          <w:rStyle w:val="FootnoteReference"/>
          <w:rFonts w:ascii="Times New Roman" w:hAnsi="Times New Roman" w:cs="Times New Roman"/>
          <w:noProof/>
        </w:rPr>
        <w:footnoteReference w:id="19"/>
      </w:r>
      <w:r>
        <w:rPr>
          <w:rFonts w:ascii="Times New Roman" w:hAnsi="Times New Roman"/>
          <w:noProof/>
        </w:rPr>
        <w:t xml:space="preserve">. Dans le secteur financier, les tests de résistance constituent déjà une partie intégrante et essentielle de la surveillance des établissements financiers et des prestataires d’infrastructures de marchés financiers. Les tests de résistance renforcent la préparation du secteur financier en simulant des crises graves (telles que des récessions, des chocs climatiques ou des cyberattaques) afin de mettre au jour les vulnérabilités des établissements financiers en matière de fonds propres et de liquidité. Cela oblige les établissements et les prestataires à améliorer leur gestion des risques, à renforcer leurs coussins de fonds propres, à affiner leur planification stratégique et à renforcer leur résilience face aux chocs futurs, ce qui renforce la stabilité financière globale et la confiance des marchés. </w:t>
      </w:r>
    </w:p>
    <w:p w14:paraId="5A766C53" w14:textId="340AAB21" w:rsidR="00247A90" w:rsidRPr="000752DF" w:rsidRDefault="00330F93" w:rsidP="00814022">
      <w:pPr>
        <w:jc w:val="both"/>
        <w:rPr>
          <w:rFonts w:ascii="Times New Roman" w:hAnsi="Times New Roman" w:cs="Times New Roman"/>
          <w:noProof/>
        </w:rPr>
      </w:pPr>
      <w:r>
        <w:rPr>
          <w:rFonts w:ascii="Times New Roman" w:hAnsi="Times New Roman"/>
          <w:noProof/>
        </w:rPr>
        <w:t>Les tests de résistance contribuent également à la préparation en révélant des canaux de risque systémiques et transfrontières, notamment les sources d’instabilité financière mondiale, les tensions géopolitiques, les cyberincidents et les perturbations des infrastructures critiques.</w:t>
      </w:r>
    </w:p>
    <w:p w14:paraId="1FF859EA" w14:textId="2A2AF960" w:rsidR="00622C52" w:rsidRPr="000752DF" w:rsidRDefault="0007206A" w:rsidP="00622C52">
      <w:pPr>
        <w:jc w:val="both"/>
        <w:rPr>
          <w:rFonts w:ascii="Times New Roman" w:hAnsi="Times New Roman" w:cs="Times New Roman"/>
          <w:noProof/>
        </w:rPr>
      </w:pPr>
      <w:r>
        <w:rPr>
          <w:rFonts w:ascii="Times New Roman" w:hAnsi="Times New Roman"/>
          <w:noProof/>
        </w:rPr>
        <w:t xml:space="preserve">En ce qui concerne le </w:t>
      </w:r>
      <w:r>
        <w:rPr>
          <w:rFonts w:ascii="Times New Roman" w:hAnsi="Times New Roman"/>
          <w:b/>
          <w:noProof/>
        </w:rPr>
        <w:t>système bancaire</w:t>
      </w:r>
      <w:r>
        <w:rPr>
          <w:rFonts w:ascii="Times New Roman" w:hAnsi="Times New Roman"/>
          <w:noProof/>
        </w:rPr>
        <w:t>, l’Autorité bancaire européenne (ABE) est habilitée à lancer et à coordonner des tests de résistance du secteur bancaire à l’échelle de l’Union. Sur la base de ce mandat, l’ABE effectue tous les deux ans un test de résistance à l’échelle de l’UE couvrant environ 75 % du secteur bancaire. La CRD impose également aux autorités compétentes d’effectuer des tests de résistance prudentiels sur les établissements qu’elles surveillent, selon le cas mais au moins une fois par an. En outre, l’ABE a publié des orientations visant à ce que les autorités utilisent une méthode commune lorsqu’elles effectuent leurs tests de résistance prudentiels annuels.</w:t>
      </w:r>
    </w:p>
    <w:p w14:paraId="3A7B2570" w14:textId="4821AF1F" w:rsidR="00DE30F5" w:rsidRPr="000752DF" w:rsidRDefault="00622C52" w:rsidP="00814022">
      <w:pPr>
        <w:jc w:val="both"/>
        <w:rPr>
          <w:rFonts w:ascii="Times New Roman" w:hAnsi="Times New Roman" w:cs="Times New Roman"/>
          <w:noProof/>
        </w:rPr>
      </w:pPr>
      <w:r>
        <w:rPr>
          <w:rFonts w:ascii="Times New Roman" w:hAnsi="Times New Roman"/>
          <w:noProof/>
        </w:rPr>
        <w:t>Au sein de l’union bancaire, la BCE effectue régulièrement des tests de résistance, des analyses de scénarios et des simulations afin d’éclairer le processus de contrôle et d’évaluation prudentiels. La BCE procède également à des examens ciblés des accords de cyberrésilience et d’externalisation.</w:t>
      </w:r>
    </w:p>
    <w:p w14:paraId="343DBEA5" w14:textId="57CF86B7" w:rsidR="00812988" w:rsidRPr="000752DF" w:rsidRDefault="006F60C9" w:rsidP="006F60C9">
      <w:pPr>
        <w:jc w:val="both"/>
        <w:rPr>
          <w:rFonts w:ascii="Times New Roman" w:hAnsi="Times New Roman" w:cs="Times New Roman"/>
          <w:noProof/>
        </w:rPr>
      </w:pPr>
      <w:r>
        <w:rPr>
          <w:rFonts w:ascii="Times New Roman" w:hAnsi="Times New Roman"/>
          <w:noProof/>
        </w:rPr>
        <w:t xml:space="preserve">Dans le secteur </w:t>
      </w:r>
      <w:r>
        <w:rPr>
          <w:rFonts w:ascii="Times New Roman" w:hAnsi="Times New Roman"/>
          <w:b/>
          <w:noProof/>
        </w:rPr>
        <w:t>des assurances et des fonds de pension professionnels</w:t>
      </w:r>
      <w:r>
        <w:rPr>
          <w:rFonts w:ascii="Times New Roman" w:hAnsi="Times New Roman"/>
          <w:noProof/>
        </w:rPr>
        <w:t>, l’AEAPP effectue régulièrement, tous les trois ans, des tests de résistance à l’échelle de l’UE pour les entreprises d’assurance et de réassurance et pour les institutions de retraite professionnelle (IRP)</w:t>
      </w:r>
      <w:r>
        <w:rPr>
          <w:rStyle w:val="FootnoteReference"/>
          <w:rFonts w:ascii="Times New Roman" w:hAnsi="Times New Roman" w:cs="Times New Roman"/>
          <w:noProof/>
        </w:rPr>
        <w:footnoteReference w:id="20"/>
      </w:r>
      <w:r>
        <w:rPr>
          <w:rFonts w:ascii="Times New Roman" w:hAnsi="Times New Roman"/>
          <w:noProof/>
        </w:rPr>
        <w:t>, avec une composante «cyberrisque» et une composante «risque climatique».</w:t>
      </w:r>
    </w:p>
    <w:p w14:paraId="31BFF96B" w14:textId="4AA923C8" w:rsidR="006F60C9" w:rsidRPr="000752DF" w:rsidRDefault="00056CBA" w:rsidP="006F60C9">
      <w:pPr>
        <w:jc w:val="both"/>
        <w:rPr>
          <w:rFonts w:ascii="Times New Roman" w:hAnsi="Times New Roman" w:cs="Times New Roman"/>
          <w:noProof/>
        </w:rPr>
      </w:pPr>
      <w:r>
        <w:rPr>
          <w:rFonts w:ascii="Times New Roman" w:hAnsi="Times New Roman"/>
          <w:noProof/>
        </w:rPr>
        <w:t>L’Autorité européenne des marchés financiers (AEMF) effectue régulièrement des tests de résistance à l’échelle de l’UE portant sur la résilience des contreparties centrales, dans le cadre des évaluations prévues à l’article 32 du règlement instituant l’AEMF et à l’article 24 </w:t>
      </w:r>
      <w:r>
        <w:rPr>
          <w:rFonts w:ascii="Times New Roman" w:hAnsi="Times New Roman"/>
          <w:i/>
          <w:noProof/>
        </w:rPr>
        <w:t>bis</w:t>
      </w:r>
      <w:r>
        <w:rPr>
          <w:rFonts w:ascii="Times New Roman" w:hAnsi="Times New Roman"/>
          <w:noProof/>
        </w:rPr>
        <w:t xml:space="preserve"> du règlement EMIR. Bien que ces tests se concentrent sur la résilience des contreparties centrales face à des évolutions négatives des marchés, l’AEMF y inclut également d’autres types de risques exogènes.</w:t>
      </w:r>
    </w:p>
    <w:p w14:paraId="11201E05" w14:textId="55CE9F4C" w:rsidR="00814022" w:rsidRPr="000752DF" w:rsidRDefault="00814022" w:rsidP="00814022">
      <w:pPr>
        <w:jc w:val="both"/>
        <w:rPr>
          <w:rFonts w:ascii="Times New Roman" w:hAnsi="Times New Roman" w:cs="Times New Roman"/>
          <w:noProof/>
        </w:rPr>
      </w:pPr>
      <w:r>
        <w:rPr>
          <w:rFonts w:ascii="Times New Roman" w:hAnsi="Times New Roman"/>
          <w:noProof/>
        </w:rPr>
        <w:t>Le comité européen du risque systémique (CERS) élabore des scénarios défavorables pour les tests de résistance menés par l’ABE (banques), par l’AEAPP (assurances, fonds de pension) et par l’AEMF (contreparties centrales).</w:t>
      </w:r>
    </w:p>
    <w:p w14:paraId="70DF61E7" w14:textId="09A13673" w:rsidR="00637798" w:rsidRDefault="00637798" w:rsidP="009417C9">
      <w:pPr>
        <w:jc w:val="both"/>
        <w:rPr>
          <w:rFonts w:ascii="Times New Roman" w:hAnsi="Times New Roman" w:cs="Times New Roman"/>
          <w:noProof/>
        </w:rPr>
      </w:pPr>
      <w:r>
        <w:rPr>
          <w:rFonts w:ascii="Times New Roman" w:hAnsi="Times New Roman"/>
          <w:noProof/>
        </w:rPr>
        <w:t xml:space="preserve">La directive 2014/49/UE relative aux systèmes de garantie des dépôts (SGD) impose aux États membres de s'acquitter des tâches qui leur incombent en vertu de la directive. Les résultats de ces tests sont ensuite utilisés par l’ABE pour réaliser des examens par les pairs afin d’examiner la résilience des SGD. </w:t>
      </w:r>
    </w:p>
    <w:p w14:paraId="6869D33C" w14:textId="77777777" w:rsidR="00BB16FA" w:rsidRPr="000752DF" w:rsidRDefault="00BB16FA" w:rsidP="009417C9">
      <w:pPr>
        <w:jc w:val="both"/>
        <w:rPr>
          <w:rFonts w:ascii="Times New Roman" w:hAnsi="Times New Roman" w:cs="Times New Roman"/>
          <w:noProof/>
        </w:rPr>
      </w:pPr>
    </w:p>
    <w:p w14:paraId="155235BB" w14:textId="3664B5A4" w:rsidR="4B5F92AE" w:rsidRPr="000752DF" w:rsidRDefault="001C1343" w:rsidP="00E43EDE">
      <w:pPr>
        <w:pStyle w:val="ListParagraph"/>
        <w:numPr>
          <w:ilvl w:val="0"/>
          <w:numId w:val="5"/>
        </w:numPr>
        <w:rPr>
          <w:rFonts w:ascii="Times New Roman" w:hAnsi="Times New Roman" w:cs="Times New Roman"/>
          <w:b/>
          <w:bCs/>
          <w:noProof/>
        </w:rPr>
      </w:pPr>
      <w:r>
        <w:rPr>
          <w:rFonts w:ascii="Times New Roman" w:hAnsi="Times New Roman"/>
          <w:b/>
          <w:noProof/>
        </w:rPr>
        <w:t>Perspectives</w:t>
      </w:r>
    </w:p>
    <w:p w14:paraId="4C999E2D" w14:textId="16A369B7" w:rsidR="00B071A6" w:rsidRPr="000752DF" w:rsidRDefault="00B97627" w:rsidP="00FF2CFE">
      <w:pPr>
        <w:jc w:val="both"/>
        <w:rPr>
          <w:rFonts w:ascii="Times New Roman" w:hAnsi="Times New Roman" w:cs="Times New Roman"/>
          <w:noProof/>
        </w:rPr>
      </w:pPr>
      <w:r>
        <w:rPr>
          <w:rFonts w:ascii="Times New Roman" w:hAnsi="Times New Roman"/>
          <w:noProof/>
        </w:rPr>
        <w:t>La préparation du secteur financier de l’UE repose sur un cadre solide et multidimensionnel. Ce cadre se compose d’une législation sectorielle spécifique, d’une législation transversale et de mécanismes de coopération entre les secteurs et entre les États membres. La préparation du secteur financier de l’UE comporte également une dimension extérieure, par laquelle l’UE renforce non seulement sa stabilité financière, mais aussi son rôle en tant qu’entité dotée d'un secteur financier fiable et crédible au niveau mondial.</w:t>
      </w:r>
    </w:p>
    <w:p w14:paraId="4237686A" w14:textId="604102F2" w:rsidR="00BB6889" w:rsidRPr="000752DF" w:rsidRDefault="00B071A6" w:rsidP="00FF2CFE">
      <w:pPr>
        <w:jc w:val="both"/>
        <w:rPr>
          <w:rFonts w:ascii="Times New Roman" w:hAnsi="Times New Roman" w:cs="Times New Roman"/>
          <w:noProof/>
        </w:rPr>
      </w:pPr>
      <w:r>
        <w:rPr>
          <w:rFonts w:ascii="Times New Roman" w:hAnsi="Times New Roman"/>
          <w:noProof/>
        </w:rPr>
        <w:t>Le secteur financier de l’UE a fait la preuve de sa résilience lors de crises passées. Il a prouvé sa capacité à résister aux tempêtes qu’ont été la pandémie de COVID-19, l’agression menée par la Russie contre l’Ukraine, les crises financières dans d’autres pays et territoires, les cyberattaques et de nombreux autres épisodes.</w:t>
      </w:r>
    </w:p>
    <w:p w14:paraId="3EFB6700" w14:textId="148C17C9" w:rsidR="0059311E" w:rsidRPr="000752DF" w:rsidRDefault="006A10D5" w:rsidP="00903F3D">
      <w:pPr>
        <w:jc w:val="both"/>
        <w:rPr>
          <w:rFonts w:ascii="Times New Roman" w:hAnsi="Times New Roman" w:cs="Times New Roman"/>
          <w:noProof/>
        </w:rPr>
      </w:pPr>
      <w:r>
        <w:rPr>
          <w:rFonts w:ascii="Times New Roman" w:hAnsi="Times New Roman"/>
          <w:noProof/>
        </w:rPr>
        <w:t>Cependant, compte tenu des menaces sans précédent et de l’environnement géopolitique plus incertain auquel l’UE est confrontée, il importe d’évaluer en permanence le niveau de préparation du secteur financier de l’UE. L’UE poursuit ces travaux et pourrait engager toute adaptation nécessaire pour garantir des actions préventives et réactives rapides, concertées et proportionnées, tant à l’échelon de l’UE qu’à l’échelon des États membres, en vue de maintenir fermement le cap et de préserver les fonctions vitales du secteur financier de l’UE. À l’avenir, le développement de l’union de l’épargne et des investissements et l’introduction de l’euro numérique devraient renforcer la résilience globale du secteur financier de l’UE et améliorer encore son niveau de préparation.</w:t>
      </w:r>
    </w:p>
    <w:sectPr w:rsidR="0059311E" w:rsidRPr="000752DF" w:rsidSect="0024263F">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FC8B5B" w14:textId="77777777" w:rsidR="00500996" w:rsidRPr="000752DF" w:rsidRDefault="00500996" w:rsidP="00E8563C">
      <w:pPr>
        <w:spacing w:after="0" w:line="240" w:lineRule="auto"/>
      </w:pPr>
      <w:r>
        <w:separator/>
      </w:r>
    </w:p>
  </w:endnote>
  <w:endnote w:type="continuationSeparator" w:id="0">
    <w:p w14:paraId="222AD143" w14:textId="77777777" w:rsidR="00500996" w:rsidRPr="000752DF" w:rsidRDefault="00500996" w:rsidP="00E8563C">
      <w:pPr>
        <w:spacing w:after="0" w:line="240" w:lineRule="auto"/>
      </w:pPr>
      <w:r>
        <w:continuationSeparator/>
      </w:r>
    </w:p>
  </w:endnote>
  <w:endnote w:type="continuationNotice" w:id="1">
    <w:p w14:paraId="337BADAC" w14:textId="77777777" w:rsidR="00500996" w:rsidRPr="000752DF" w:rsidRDefault="005009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ptos Display">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3AE8D" w14:textId="6BBF0D8D" w:rsidR="008E5519" w:rsidRPr="008E5519" w:rsidRDefault="008E5519" w:rsidP="008E5519">
    <w:pPr>
      <w:pStyle w:val="FooterCoverPage"/>
      <w:rPr>
        <w:rFonts w:ascii="Arial" w:hAnsi="Arial" w:cs="Arial" w:hint="eastAsia"/>
        <w:b/>
        <w:sz w:val="48"/>
      </w:rPr>
    </w:pPr>
    <w:r w:rsidRPr="008E5519">
      <w:rPr>
        <w:rFonts w:ascii="Arial" w:hAnsi="Arial" w:cs="Arial"/>
        <w:b/>
        <w:sz w:val="48"/>
      </w:rPr>
      <w:t>FR</w:t>
    </w:r>
    <w:r w:rsidRPr="008E5519">
      <w:rPr>
        <w:rFonts w:ascii="Arial" w:hAnsi="Arial" w:cs="Arial"/>
        <w:b/>
        <w:sz w:val="48"/>
      </w:rPr>
      <w:tab/>
    </w:r>
    <w:r w:rsidRPr="008E5519">
      <w:rPr>
        <w:rFonts w:ascii="Arial" w:hAnsi="Arial" w:cs="Arial"/>
        <w:b/>
        <w:sz w:val="48"/>
      </w:rPr>
      <w:tab/>
    </w:r>
    <w:r w:rsidRPr="008E5519">
      <w:tab/>
    </w:r>
    <w:r w:rsidRPr="008E551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380DD" w14:textId="5C3149AE" w:rsidR="008E5519" w:rsidRPr="008E5519" w:rsidRDefault="008E5519" w:rsidP="008E5519">
    <w:pPr>
      <w:pStyle w:val="FooterCoverPage"/>
      <w:rPr>
        <w:rFonts w:ascii="Arial" w:hAnsi="Arial" w:cs="Arial" w:hint="eastAsia"/>
        <w:b/>
        <w:sz w:val="48"/>
      </w:rPr>
    </w:pPr>
    <w:r w:rsidRPr="008E5519">
      <w:rPr>
        <w:rFonts w:ascii="Arial" w:hAnsi="Arial" w:cs="Arial"/>
        <w:b/>
        <w:sz w:val="48"/>
      </w:rPr>
      <w:t>FR</w:t>
    </w:r>
    <w:r w:rsidRPr="008E5519">
      <w:rPr>
        <w:rFonts w:ascii="Arial" w:hAnsi="Arial" w:cs="Arial"/>
        <w:b/>
        <w:sz w:val="48"/>
      </w:rPr>
      <w:tab/>
    </w:r>
    <w:r w:rsidRPr="008E5519">
      <w:rPr>
        <w:rFonts w:ascii="Arial" w:hAnsi="Arial" w:cs="Arial"/>
        <w:b/>
        <w:sz w:val="48"/>
      </w:rPr>
      <w:tab/>
    </w:r>
    <w:r w:rsidRPr="008E5519">
      <w:tab/>
    </w:r>
    <w:r w:rsidRPr="008E551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C7232" w14:textId="77777777" w:rsidR="008E5519" w:rsidRPr="008E5519" w:rsidRDefault="008E5519" w:rsidP="008E5519">
    <w:pPr>
      <w:pStyle w:val="FooterCoverPage"/>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EA9E9" w14:textId="77777777" w:rsidR="009902EB" w:rsidRPr="000752DF" w:rsidRDefault="009902E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1647893"/>
      <w:docPartObj>
        <w:docPartGallery w:val="Page Numbers (Bottom of Page)"/>
        <w:docPartUnique/>
      </w:docPartObj>
    </w:sdtPr>
    <w:sdtEndPr/>
    <w:sdtContent>
      <w:p w14:paraId="0CAD87F4" w14:textId="565B0D90" w:rsidR="009902EB" w:rsidRPr="000752DF" w:rsidRDefault="009902EB">
        <w:pPr>
          <w:pStyle w:val="Footer"/>
          <w:jc w:val="center"/>
        </w:pPr>
        <w:r>
          <w:fldChar w:fldCharType="begin"/>
        </w:r>
        <w:r>
          <w:instrText xml:space="preserve"> PAGE   \* MERGEFORMAT </w:instrText>
        </w:r>
        <w:r>
          <w:fldChar w:fldCharType="separate"/>
        </w:r>
        <w:r w:rsidR="008E5519">
          <w:rPr>
            <w:rFonts w:hint="eastAsia"/>
            <w:noProof/>
          </w:rPr>
          <w:t>1</w:t>
        </w:r>
        <w:r>
          <w:fldChar w:fldCharType="end"/>
        </w:r>
      </w:p>
    </w:sdtContent>
  </w:sdt>
  <w:p w14:paraId="7845654B" w14:textId="77777777" w:rsidR="009902EB" w:rsidRPr="000752DF" w:rsidRDefault="009902E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6007C" w14:textId="77777777" w:rsidR="009902EB" w:rsidRPr="000752DF" w:rsidRDefault="009902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4F7BB1" w14:textId="77777777" w:rsidR="00500996" w:rsidRPr="000752DF" w:rsidRDefault="00500996" w:rsidP="00E8563C">
      <w:pPr>
        <w:spacing w:after="0" w:line="240" w:lineRule="auto"/>
      </w:pPr>
      <w:r>
        <w:separator/>
      </w:r>
    </w:p>
  </w:footnote>
  <w:footnote w:type="continuationSeparator" w:id="0">
    <w:p w14:paraId="09ECFAAE" w14:textId="77777777" w:rsidR="00500996" w:rsidRPr="000752DF" w:rsidRDefault="00500996" w:rsidP="00E8563C">
      <w:pPr>
        <w:spacing w:after="0" w:line="240" w:lineRule="auto"/>
      </w:pPr>
      <w:r>
        <w:continuationSeparator/>
      </w:r>
    </w:p>
  </w:footnote>
  <w:footnote w:type="continuationNotice" w:id="1">
    <w:p w14:paraId="7E9CB11B" w14:textId="77777777" w:rsidR="00500996" w:rsidRPr="000752DF" w:rsidRDefault="00500996">
      <w:pPr>
        <w:spacing w:after="0" w:line="240" w:lineRule="auto"/>
      </w:pPr>
    </w:p>
  </w:footnote>
  <w:footnote w:id="2">
    <w:p w14:paraId="49BCD332" w14:textId="589EF279" w:rsidR="00E8563C" w:rsidRPr="000752DF" w:rsidRDefault="00E8563C" w:rsidP="009417C9">
      <w:pPr>
        <w:pStyle w:val="FootnoteText"/>
      </w:pPr>
      <w:r>
        <w:rPr>
          <w:rStyle w:val="FootnoteReference"/>
        </w:rPr>
        <w:footnoteRef/>
      </w:r>
      <w:r>
        <w:tab/>
        <w:t xml:space="preserve">La Commission et le SEAE ont publié une </w:t>
      </w:r>
      <w:hyperlink r:id="rId1" w:history="1">
        <w:r>
          <w:rPr>
            <w:rStyle w:val="Hyperlink"/>
          </w:rPr>
          <w:t>communication conjointe</w:t>
        </w:r>
      </w:hyperlink>
      <w:r>
        <w:t xml:space="preserve"> sur </w:t>
      </w:r>
      <w:hyperlink r:id="rId2" w:history="1">
        <w:r>
          <w:rPr>
            <w:rStyle w:val="Hyperlink"/>
          </w:rPr>
          <w:t>la stratégie pour une union de la préparation</w:t>
        </w:r>
      </w:hyperlink>
      <w:r>
        <w:t>.</w:t>
      </w:r>
    </w:p>
  </w:footnote>
  <w:footnote w:id="3">
    <w:p w14:paraId="0C9B78CD" w14:textId="37278463" w:rsidR="005D571F" w:rsidRDefault="005D571F">
      <w:pPr>
        <w:pStyle w:val="FootnoteText"/>
      </w:pPr>
      <w:r>
        <w:rPr>
          <w:rStyle w:val="FootnoteReference"/>
        </w:rPr>
        <w:footnoteRef/>
      </w:r>
      <w:r>
        <w:tab/>
        <w:t>Directive 2013/36/UE du Parlement européen et du Conseil du 26 juin 2013 concernant l’accès à l’activité des établissements de crédit et la surveillance prudentielle des établissements de crédit, modifiant la directive 2002/87/CE et abrogeant les directives 2006/48/CE et 2006/49/CE (CRD);</w:t>
      </w:r>
    </w:p>
    <w:p w14:paraId="6546DD7D" w14:textId="5057AC4F" w:rsidR="00B111AB" w:rsidRPr="005D571F" w:rsidRDefault="00B111AB">
      <w:pPr>
        <w:pStyle w:val="FootnoteText"/>
      </w:pPr>
      <w:r>
        <w:tab/>
        <w:t>règlement (UE) nº 575/2013 du Parlement européen et du Conseil du 26 juin 2013 concernant les exigences prudentielles applicables aux établissements de crédit et modifiant le règlement (UE) nº 648/2012 (CRR).</w:t>
      </w:r>
    </w:p>
  </w:footnote>
  <w:footnote w:id="4">
    <w:p w14:paraId="1334EA2A" w14:textId="020EA382" w:rsidR="00937897" w:rsidRPr="00937897" w:rsidRDefault="00937897">
      <w:pPr>
        <w:pStyle w:val="FootnoteText"/>
      </w:pPr>
      <w:r>
        <w:rPr>
          <w:rStyle w:val="FootnoteReference"/>
        </w:rPr>
        <w:footnoteRef/>
      </w:r>
      <w:r>
        <w:tab/>
        <w:t>Texte consolidé: directive 2009/138/CE du Parlement européen et du Conseil du 25 novembre 2009 sur l’accès aux activités de l’assurance et de la réassurance et leur exercice (Solvabilité II).</w:t>
      </w:r>
    </w:p>
  </w:footnote>
  <w:footnote w:id="5">
    <w:p w14:paraId="3693ED11" w14:textId="06A36807" w:rsidR="00937897" w:rsidRPr="00937897" w:rsidRDefault="00937897">
      <w:pPr>
        <w:pStyle w:val="FootnoteText"/>
      </w:pPr>
      <w:r>
        <w:rPr>
          <w:rStyle w:val="FootnoteReference"/>
        </w:rPr>
        <w:footnoteRef/>
      </w:r>
      <w:r>
        <w:tab/>
        <w:t>Directive 2014/65/UE du Parlement européen et du Conseil du 15 mai 2014 concernant les marchés d’instruments financiers et modifiant la directive 2002/92/CE et la directive 2011/61/UE (MiFID II).</w:t>
      </w:r>
    </w:p>
  </w:footnote>
  <w:footnote w:id="6">
    <w:p w14:paraId="3350379F" w14:textId="45DA980E" w:rsidR="00F240BE" w:rsidRPr="00F240BE" w:rsidRDefault="00F240BE">
      <w:pPr>
        <w:pStyle w:val="FootnoteText"/>
      </w:pPr>
      <w:r>
        <w:rPr>
          <w:rStyle w:val="FootnoteReference"/>
        </w:rPr>
        <w:footnoteRef/>
      </w:r>
      <w:r>
        <w:tab/>
        <w:t>Règlement (UE) nº 648/2012 du Parlement européen et du Conseil du 4 juillet 2012 sur les produits dérivés de gré à gré, les contreparties centrales et les référentiels centraux (règlement EMIR).</w:t>
      </w:r>
    </w:p>
  </w:footnote>
  <w:footnote w:id="7">
    <w:p w14:paraId="1DCECA31" w14:textId="6E0834CE" w:rsidR="00515E30" w:rsidRPr="00515E30" w:rsidRDefault="00515E30">
      <w:pPr>
        <w:pStyle w:val="FootnoteText"/>
      </w:pPr>
      <w:r>
        <w:rPr>
          <w:rStyle w:val="FootnoteReference"/>
        </w:rPr>
        <w:footnoteRef/>
      </w:r>
      <w:r>
        <w:tab/>
        <w:t>Règlement (UE) nº 909/2014 du Parlement européen et du Conseil du 23 juillet 2014 concernant l’amélioration du règlement de titres dans l’Union européenne et les dépositaires centraux de titres, et modifiant les directives 98/26/CE et 2014/65/UE ainsi que le règlement (UE) nº 236/2012.</w:t>
      </w:r>
    </w:p>
  </w:footnote>
  <w:footnote w:id="8">
    <w:p w14:paraId="49DB2043" w14:textId="4BDEAAB0" w:rsidR="00F50221" w:rsidRPr="00F50221" w:rsidRDefault="00F50221">
      <w:pPr>
        <w:pStyle w:val="FootnoteText"/>
      </w:pPr>
      <w:r>
        <w:rPr>
          <w:rStyle w:val="FootnoteReference"/>
        </w:rPr>
        <w:footnoteRef/>
      </w:r>
      <w:r>
        <w:tab/>
        <w:t>Directive 2014/59/UE du Parlement européen et du Conseil du 15 mai 2014 établissant un cadre pour le redressement et la résolution des établissements de crédit et des entreprises d’investissement et modifiant la directive 82/891/CEE du Conseil ainsi que les directives du Parlement européen et du Conseil 2001/24/CE, 2002/47/CE, 2004/25/CE, 2005/56/CE, 2007/36/CE, 2011/35/UE, 2012/30/UE et 2013/36/UE et les règlements du Parlement européen et du Conseil (UE) nº 1093/2010 et (UE) nº 648/2012 (directive BRRD).</w:t>
      </w:r>
    </w:p>
  </w:footnote>
  <w:footnote w:id="9">
    <w:p w14:paraId="364F1915" w14:textId="3846F27C" w:rsidR="006570E2" w:rsidRPr="006570E2" w:rsidRDefault="006570E2">
      <w:pPr>
        <w:pStyle w:val="FootnoteText"/>
      </w:pPr>
      <w:r>
        <w:rPr>
          <w:rStyle w:val="FootnoteReference"/>
        </w:rPr>
        <w:footnoteRef/>
      </w:r>
      <w:r>
        <w:tab/>
        <w:t>Règlement (UE) nº 806/2014 du Parlement européen et du Conseil du 15 juillet 2014 établissant des règles et une procédure uniformes pour la résolution des établissements de crédit et de certaines entreprises d'investissement dans le cadre d'un mécanisme de résolution unique et d'un Fonds de résolution bancaire unique, et modifiant le règlement (UE) nº 1093/2010 (règlement MRU).</w:t>
      </w:r>
    </w:p>
  </w:footnote>
  <w:footnote w:id="10">
    <w:p w14:paraId="7FC40201" w14:textId="14D16301" w:rsidR="00D01429" w:rsidRPr="00D01429" w:rsidRDefault="00D01429">
      <w:pPr>
        <w:pStyle w:val="FootnoteText"/>
      </w:pPr>
      <w:r>
        <w:rPr>
          <w:rStyle w:val="FootnoteReference"/>
        </w:rPr>
        <w:footnoteRef/>
      </w:r>
      <w:r>
        <w:tab/>
        <w:t>Directive 2014/49/UE du Parlement européen et du Conseil du 16 avril 2014 relative aux systèmes de garantie des dépôts (directive DGSD).</w:t>
      </w:r>
    </w:p>
  </w:footnote>
  <w:footnote w:id="11">
    <w:p w14:paraId="067CC145" w14:textId="7AA1D53D" w:rsidR="00147CA9" w:rsidRPr="00147CA9" w:rsidRDefault="00147CA9">
      <w:pPr>
        <w:pStyle w:val="FootnoteText"/>
      </w:pPr>
      <w:r>
        <w:rPr>
          <w:rStyle w:val="FootnoteReference"/>
        </w:rPr>
        <w:footnoteRef/>
      </w:r>
      <w:r>
        <w:tab/>
        <w:t>Le cadre européen relatif à une identité numérique établit un écosystème sûr et fiable pour l’identification et l’authentification numériques ainsi que l’utilisation de preuves numériques, qui sera mis à la disposition de tous les citoyens de l’UE d’ici à la fin de 2026. Les portefeuilles européens d’identité numérique contribueront directement à la résilience et à la préparation du secteur financier de l’UE face aux crises, par la protection contre la fraude et l’usurpation d’identité dans les paiements, l’entrée en relation avec le client et d’autres services financiers.</w:t>
      </w:r>
    </w:p>
  </w:footnote>
  <w:footnote w:id="12">
    <w:p w14:paraId="50E4FF14" w14:textId="615AB901" w:rsidR="00035490" w:rsidRPr="00035490" w:rsidRDefault="00035490" w:rsidP="00CC5A8B">
      <w:pPr>
        <w:pStyle w:val="FootnoteText"/>
      </w:pPr>
      <w:r>
        <w:rPr>
          <w:rStyle w:val="FootnoteReference"/>
        </w:rPr>
        <w:footnoteRef/>
      </w:r>
      <w:r>
        <w:tab/>
        <w:t>Les trois AES sont l’Autorité bancaire européenne (ABE), l’Autorité européenne des assurances et des pensions professionnelles (AEAPP) et l’Autorité européenne des marchés financiers (AEMF).</w:t>
      </w:r>
    </w:p>
  </w:footnote>
  <w:footnote w:id="13">
    <w:p w14:paraId="42F1CB38" w14:textId="001C8659" w:rsidR="00DD1FAE" w:rsidRPr="000752DF" w:rsidRDefault="00DD1FAE" w:rsidP="00DD1FAE">
      <w:pPr>
        <w:pStyle w:val="FootnoteText"/>
        <w:ind w:left="426" w:hanging="426"/>
        <w:rPr>
          <w:rFonts w:asciiTheme="majorHAnsi" w:hAnsiTheme="majorHAnsi"/>
        </w:rPr>
      </w:pPr>
      <w:r>
        <w:rPr>
          <w:rStyle w:val="FootnoteReference"/>
        </w:rPr>
        <w:footnoteRef/>
      </w:r>
      <w:r>
        <w:tab/>
        <w:t>Directive (UE) 2022/2557 du Parlement européen et du Conseil du 14 décembre 2022 sur la résilience des entités critiques, et abrogeant la directive 2008/114/CE du Conseil. L'article 5, paragraphe 5, de la directive prévoit que la Commission, en coopération avec les États membres, élabore un modèle commun facultatif de rapport aux fins du respect du paragraphe 4 dudit article.</w:t>
      </w:r>
    </w:p>
  </w:footnote>
  <w:footnote w:id="14">
    <w:p w14:paraId="68F82761" w14:textId="259A9789" w:rsidR="007517BE" w:rsidRPr="00412B67" w:rsidRDefault="007517BE" w:rsidP="007517BE">
      <w:pPr>
        <w:pStyle w:val="FootnoteText"/>
      </w:pPr>
      <w:r>
        <w:rPr>
          <w:rStyle w:val="FootnoteReference"/>
        </w:rPr>
        <w:footnoteRef/>
      </w:r>
      <w:r>
        <w:tab/>
        <w:t>C(2023) 6068.</w:t>
      </w:r>
    </w:p>
  </w:footnote>
  <w:footnote w:id="15">
    <w:p w14:paraId="7526641F" w14:textId="4CD1BF09" w:rsidR="00444918" w:rsidRPr="000752DF" w:rsidRDefault="00444918" w:rsidP="00444918">
      <w:pPr>
        <w:pStyle w:val="FootnoteText"/>
        <w:ind w:left="426" w:hanging="426"/>
      </w:pPr>
      <w:r>
        <w:rPr>
          <w:rStyle w:val="FootnoteReference"/>
        </w:rPr>
        <w:footnoteRef/>
      </w:r>
      <w:r>
        <w:tab/>
        <w:t>L’EU-SCICF met également en œuvre l’article 49 du règlement DORA dans le but de renforcer la coordination avec d’autres cadres de crise de l’UE.</w:t>
      </w:r>
    </w:p>
  </w:footnote>
  <w:footnote w:id="16">
    <w:p w14:paraId="0DABC37F" w14:textId="2451C559" w:rsidR="00DB55D2" w:rsidRPr="00F40BF7" w:rsidRDefault="00DB55D2" w:rsidP="00D060A5">
      <w:pPr>
        <w:pStyle w:val="FootnoteText"/>
        <w:ind w:left="426" w:hanging="426"/>
      </w:pPr>
      <w:r>
        <w:rPr>
          <w:rStyle w:val="FootnoteReference"/>
        </w:rPr>
        <w:footnoteRef/>
      </w:r>
      <w:r>
        <w:tab/>
        <w:t xml:space="preserve">Recommandation du Conseil du 6 juin 2025 sur un schéma directeur de l’UE pour la gestion des crises de cybersécurité, </w:t>
      </w:r>
      <w:r>
        <w:rPr>
          <w:i/>
        </w:rPr>
        <w:t>JO C, C/2025/3445, 20.6.2025</w:t>
      </w:r>
      <w:r>
        <w:t xml:space="preserve">, </w:t>
      </w:r>
      <w:hyperlink r:id="rId3" w:tooltip="Permet d’accéder à ce document par l’intermédiaire de son URI ELI." w:history="1">
        <w:r>
          <w:rPr>
            <w:rStyle w:val="Hyperlink"/>
            <w:i/>
          </w:rPr>
          <w:t>http://data.europa.eu/eli/C/2025/3445/oj</w:t>
        </w:r>
      </w:hyperlink>
      <w:r>
        <w:t>.</w:t>
      </w:r>
    </w:p>
  </w:footnote>
  <w:footnote w:id="17">
    <w:p w14:paraId="4A7D3C5D" w14:textId="0D19D2F5" w:rsidR="004E375D" w:rsidRPr="000752DF" w:rsidRDefault="004E375D" w:rsidP="009417C9">
      <w:pPr>
        <w:pStyle w:val="FootnoteText"/>
        <w:ind w:left="426" w:hanging="426"/>
      </w:pPr>
      <w:r>
        <w:rPr>
          <w:rStyle w:val="FootnoteReference"/>
        </w:rPr>
        <w:footnoteRef/>
      </w:r>
      <w:r>
        <w:tab/>
        <w:t>La stratégie européenne pour une union de la préparation reconnaît l’importance de ces partenariats. Ses actions clés 36 et 37 visent à mettre en place une task-force public-privé en matière de préparation et à élaborer des protocoles d’urgence public-privé dans tous les secteurs.</w:t>
      </w:r>
    </w:p>
  </w:footnote>
  <w:footnote w:id="18">
    <w:p w14:paraId="5BF4F583" w14:textId="32BEA7BE" w:rsidR="00C7534D" w:rsidRPr="00AC4267" w:rsidRDefault="00C7534D">
      <w:pPr>
        <w:pStyle w:val="FootnoteText"/>
      </w:pPr>
      <w:r>
        <w:rPr>
          <w:rStyle w:val="FootnoteReference"/>
        </w:rPr>
        <w:footnoteRef/>
      </w:r>
      <w:r>
        <w:tab/>
        <w:t>Dans le cadre de ses travaux visant à mettre en œuvre le mandat de l’action 25 de l’annexe de la communication conjointe sur la stratégie pour une union de la préparation, la Commission s’est également appuyée sur des discussions continues avec les États membres sur les programmes de préparation.</w:t>
      </w:r>
    </w:p>
  </w:footnote>
  <w:footnote w:id="19">
    <w:p w14:paraId="2D452213" w14:textId="45839F33" w:rsidR="009132C4" w:rsidRPr="000752DF" w:rsidRDefault="009132C4" w:rsidP="00A34F30">
      <w:pPr>
        <w:pStyle w:val="FootnoteText"/>
      </w:pPr>
      <w:r>
        <w:rPr>
          <w:rStyle w:val="FootnoteReference"/>
        </w:rPr>
        <w:footnoteRef/>
      </w:r>
      <w:r>
        <w:tab/>
        <w:t>Recommandation du Conseil du 8 décembre 2022 relative à une approche coordonnée à l’échelle de l’Union pour renforcer la résilience des infrastructures critiques (2023/C 20/01).</w:t>
      </w:r>
    </w:p>
  </w:footnote>
  <w:footnote w:id="20">
    <w:p w14:paraId="703BF65F" w14:textId="5C607750" w:rsidR="000532CF" w:rsidRPr="000752DF" w:rsidRDefault="000532CF" w:rsidP="004D3A04">
      <w:pPr>
        <w:pStyle w:val="FootnoteText"/>
      </w:pPr>
      <w:r>
        <w:rPr>
          <w:rStyle w:val="FootnoteReference"/>
        </w:rPr>
        <w:footnoteRef/>
      </w:r>
      <w:r>
        <w:tab/>
        <w:t>Dans plusieurs États membres, les institutions de retraite professionnelle ne relèvent pas du champ d’application de la directive IRP II et ne sont donc pas soumises aux règles de l’UE. De tels fonds de pension ne sont pas soumis aux tests de résistance de l’AEAPP.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F3401" w14:textId="77777777" w:rsidR="008E5519" w:rsidRPr="008E5519" w:rsidRDefault="008E5519" w:rsidP="008E5519">
    <w:pPr>
      <w:pStyle w:val="HeaderCoverPag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E864B" w14:textId="77777777" w:rsidR="008E5519" w:rsidRPr="008E5519" w:rsidRDefault="008E5519" w:rsidP="008E5519">
    <w:pPr>
      <w:pStyle w:val="HeaderCoverPag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77697" w14:textId="77777777" w:rsidR="008E5519" w:rsidRPr="008E5519" w:rsidRDefault="008E5519" w:rsidP="008E5519">
    <w:pPr>
      <w:pStyle w:val="HeaderCoverPage"/>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85F05" w14:textId="77777777" w:rsidR="009902EB" w:rsidRPr="000752DF" w:rsidRDefault="009902E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5764B" w14:textId="77777777" w:rsidR="009902EB" w:rsidRPr="000752DF" w:rsidRDefault="009902E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1FA58" w14:textId="77777777" w:rsidR="009902EB" w:rsidRPr="000752DF" w:rsidRDefault="009902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7B41"/>
    <w:multiLevelType w:val="hybridMultilevel"/>
    <w:tmpl w:val="6D42F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635346"/>
    <w:multiLevelType w:val="multilevel"/>
    <w:tmpl w:val="BF3A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9C5613"/>
    <w:multiLevelType w:val="multilevel"/>
    <w:tmpl w:val="E0CA3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332D43"/>
    <w:multiLevelType w:val="hybridMultilevel"/>
    <w:tmpl w:val="17AC8594"/>
    <w:lvl w:ilvl="0" w:tplc="02F824CC">
      <w:start w:val="3"/>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AC0D74"/>
    <w:multiLevelType w:val="multilevel"/>
    <w:tmpl w:val="79C4E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C07E63"/>
    <w:multiLevelType w:val="hybridMultilevel"/>
    <w:tmpl w:val="BD087BF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0CEAEB"/>
    <w:multiLevelType w:val="hybridMultilevel"/>
    <w:tmpl w:val="957653D2"/>
    <w:lvl w:ilvl="0" w:tplc="299A7604">
      <w:start w:val="1"/>
      <w:numFmt w:val="bullet"/>
      <w:lvlText w:val=""/>
      <w:lvlJc w:val="left"/>
      <w:pPr>
        <w:ind w:left="720" w:hanging="360"/>
      </w:pPr>
      <w:rPr>
        <w:rFonts w:ascii="Symbol" w:hAnsi="Symbol" w:hint="default"/>
      </w:rPr>
    </w:lvl>
    <w:lvl w:ilvl="1" w:tplc="F1A86DE4">
      <w:start w:val="1"/>
      <w:numFmt w:val="bullet"/>
      <w:lvlText w:val="o"/>
      <w:lvlJc w:val="left"/>
      <w:pPr>
        <w:ind w:left="1440" w:hanging="360"/>
      </w:pPr>
      <w:rPr>
        <w:rFonts w:ascii="Courier New" w:hAnsi="Courier New" w:hint="default"/>
      </w:rPr>
    </w:lvl>
    <w:lvl w:ilvl="2" w:tplc="65EA4B86">
      <w:start w:val="1"/>
      <w:numFmt w:val="bullet"/>
      <w:lvlText w:val=""/>
      <w:lvlJc w:val="left"/>
      <w:pPr>
        <w:ind w:left="2160" w:hanging="360"/>
      </w:pPr>
      <w:rPr>
        <w:rFonts w:ascii="Wingdings" w:hAnsi="Wingdings" w:hint="default"/>
      </w:rPr>
    </w:lvl>
    <w:lvl w:ilvl="3" w:tplc="C58C1D5C">
      <w:start w:val="1"/>
      <w:numFmt w:val="bullet"/>
      <w:lvlText w:val=""/>
      <w:lvlJc w:val="left"/>
      <w:pPr>
        <w:ind w:left="2880" w:hanging="360"/>
      </w:pPr>
      <w:rPr>
        <w:rFonts w:ascii="Symbol" w:hAnsi="Symbol" w:hint="default"/>
      </w:rPr>
    </w:lvl>
    <w:lvl w:ilvl="4" w:tplc="974CC05E">
      <w:start w:val="1"/>
      <w:numFmt w:val="bullet"/>
      <w:lvlText w:val="o"/>
      <w:lvlJc w:val="left"/>
      <w:pPr>
        <w:ind w:left="3600" w:hanging="360"/>
      </w:pPr>
      <w:rPr>
        <w:rFonts w:ascii="Courier New" w:hAnsi="Courier New" w:hint="default"/>
      </w:rPr>
    </w:lvl>
    <w:lvl w:ilvl="5" w:tplc="70444C72">
      <w:start w:val="1"/>
      <w:numFmt w:val="bullet"/>
      <w:lvlText w:val=""/>
      <w:lvlJc w:val="left"/>
      <w:pPr>
        <w:ind w:left="4320" w:hanging="360"/>
      </w:pPr>
      <w:rPr>
        <w:rFonts w:ascii="Wingdings" w:hAnsi="Wingdings" w:hint="default"/>
      </w:rPr>
    </w:lvl>
    <w:lvl w:ilvl="6" w:tplc="44A83A54">
      <w:start w:val="1"/>
      <w:numFmt w:val="bullet"/>
      <w:lvlText w:val=""/>
      <w:lvlJc w:val="left"/>
      <w:pPr>
        <w:ind w:left="5040" w:hanging="360"/>
      </w:pPr>
      <w:rPr>
        <w:rFonts w:ascii="Symbol" w:hAnsi="Symbol" w:hint="default"/>
      </w:rPr>
    </w:lvl>
    <w:lvl w:ilvl="7" w:tplc="F22A0020">
      <w:start w:val="1"/>
      <w:numFmt w:val="bullet"/>
      <w:lvlText w:val="o"/>
      <w:lvlJc w:val="left"/>
      <w:pPr>
        <w:ind w:left="5760" w:hanging="360"/>
      </w:pPr>
      <w:rPr>
        <w:rFonts w:ascii="Courier New" w:hAnsi="Courier New" w:hint="default"/>
      </w:rPr>
    </w:lvl>
    <w:lvl w:ilvl="8" w:tplc="1ABC0FB4">
      <w:start w:val="1"/>
      <w:numFmt w:val="bullet"/>
      <w:lvlText w:val=""/>
      <w:lvlJc w:val="left"/>
      <w:pPr>
        <w:ind w:left="6480" w:hanging="360"/>
      </w:pPr>
      <w:rPr>
        <w:rFonts w:ascii="Wingdings" w:hAnsi="Wingdings" w:hint="default"/>
      </w:rPr>
    </w:lvl>
  </w:abstractNum>
  <w:abstractNum w:abstractNumId="7" w15:restartNumberingAfterBreak="0">
    <w:nsid w:val="12B853D6"/>
    <w:multiLevelType w:val="hybridMultilevel"/>
    <w:tmpl w:val="3B2A2F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2C3B2B"/>
    <w:multiLevelType w:val="hybridMultilevel"/>
    <w:tmpl w:val="5B5412F4"/>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4552764"/>
    <w:multiLevelType w:val="hybridMultilevel"/>
    <w:tmpl w:val="BE94AF2C"/>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E7B7B4B"/>
    <w:multiLevelType w:val="hybridMultilevel"/>
    <w:tmpl w:val="9E34B68C"/>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12D46FE"/>
    <w:multiLevelType w:val="hybridMultilevel"/>
    <w:tmpl w:val="C1820A76"/>
    <w:lvl w:ilvl="0" w:tplc="AE243A54">
      <w:start w:val="1"/>
      <w:numFmt w:val="bullet"/>
      <w:lvlText w:val=""/>
      <w:lvlJc w:val="left"/>
      <w:pPr>
        <w:ind w:left="720" w:hanging="360"/>
      </w:pPr>
      <w:rPr>
        <w:rFonts w:ascii="Symbol" w:hAnsi="Symbol" w:hint="default"/>
      </w:rPr>
    </w:lvl>
    <w:lvl w:ilvl="1" w:tplc="205CB972">
      <w:start w:val="1"/>
      <w:numFmt w:val="bullet"/>
      <w:lvlText w:val="o"/>
      <w:lvlJc w:val="left"/>
      <w:pPr>
        <w:ind w:left="1440" w:hanging="360"/>
      </w:pPr>
      <w:rPr>
        <w:rFonts w:ascii="Courier New" w:hAnsi="Courier New" w:hint="default"/>
      </w:rPr>
    </w:lvl>
    <w:lvl w:ilvl="2" w:tplc="E2A217B2">
      <w:start w:val="1"/>
      <w:numFmt w:val="bullet"/>
      <w:lvlText w:val=""/>
      <w:lvlJc w:val="left"/>
      <w:pPr>
        <w:ind w:left="2160" w:hanging="360"/>
      </w:pPr>
      <w:rPr>
        <w:rFonts w:ascii="Wingdings" w:hAnsi="Wingdings" w:hint="default"/>
      </w:rPr>
    </w:lvl>
    <w:lvl w:ilvl="3" w:tplc="4C76A5D2">
      <w:start w:val="1"/>
      <w:numFmt w:val="bullet"/>
      <w:lvlText w:val=""/>
      <w:lvlJc w:val="left"/>
      <w:pPr>
        <w:ind w:left="2880" w:hanging="360"/>
      </w:pPr>
      <w:rPr>
        <w:rFonts w:ascii="Symbol" w:hAnsi="Symbol" w:hint="default"/>
      </w:rPr>
    </w:lvl>
    <w:lvl w:ilvl="4" w:tplc="FA6A6ABE">
      <w:start w:val="1"/>
      <w:numFmt w:val="bullet"/>
      <w:lvlText w:val="o"/>
      <w:lvlJc w:val="left"/>
      <w:pPr>
        <w:ind w:left="3600" w:hanging="360"/>
      </w:pPr>
      <w:rPr>
        <w:rFonts w:ascii="Courier New" w:hAnsi="Courier New" w:hint="default"/>
      </w:rPr>
    </w:lvl>
    <w:lvl w:ilvl="5" w:tplc="76DA2868">
      <w:start w:val="1"/>
      <w:numFmt w:val="bullet"/>
      <w:lvlText w:val=""/>
      <w:lvlJc w:val="left"/>
      <w:pPr>
        <w:ind w:left="4320" w:hanging="360"/>
      </w:pPr>
      <w:rPr>
        <w:rFonts w:ascii="Wingdings" w:hAnsi="Wingdings" w:hint="default"/>
      </w:rPr>
    </w:lvl>
    <w:lvl w:ilvl="6" w:tplc="664E3076">
      <w:start w:val="1"/>
      <w:numFmt w:val="bullet"/>
      <w:lvlText w:val=""/>
      <w:lvlJc w:val="left"/>
      <w:pPr>
        <w:ind w:left="5040" w:hanging="360"/>
      </w:pPr>
      <w:rPr>
        <w:rFonts w:ascii="Symbol" w:hAnsi="Symbol" w:hint="default"/>
      </w:rPr>
    </w:lvl>
    <w:lvl w:ilvl="7" w:tplc="8432D68E">
      <w:start w:val="1"/>
      <w:numFmt w:val="bullet"/>
      <w:lvlText w:val="o"/>
      <w:lvlJc w:val="left"/>
      <w:pPr>
        <w:ind w:left="5760" w:hanging="360"/>
      </w:pPr>
      <w:rPr>
        <w:rFonts w:ascii="Courier New" w:hAnsi="Courier New" w:hint="default"/>
      </w:rPr>
    </w:lvl>
    <w:lvl w:ilvl="8" w:tplc="8304BBC8">
      <w:start w:val="1"/>
      <w:numFmt w:val="bullet"/>
      <w:lvlText w:val=""/>
      <w:lvlJc w:val="left"/>
      <w:pPr>
        <w:ind w:left="6480" w:hanging="360"/>
      </w:pPr>
      <w:rPr>
        <w:rFonts w:ascii="Wingdings" w:hAnsi="Wingdings" w:hint="default"/>
      </w:rPr>
    </w:lvl>
  </w:abstractNum>
  <w:abstractNum w:abstractNumId="12" w15:restartNumberingAfterBreak="0">
    <w:nsid w:val="264A2A95"/>
    <w:multiLevelType w:val="multilevel"/>
    <w:tmpl w:val="9036E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B172ED"/>
    <w:multiLevelType w:val="multilevel"/>
    <w:tmpl w:val="8E1A1B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E3D39E1"/>
    <w:multiLevelType w:val="hybridMultilevel"/>
    <w:tmpl w:val="99DC101C"/>
    <w:lvl w:ilvl="0" w:tplc="87009344">
      <w:start w:val="1"/>
      <w:numFmt w:val="bullet"/>
      <w:lvlText w:val=""/>
      <w:lvlJc w:val="left"/>
      <w:pPr>
        <w:ind w:left="720" w:hanging="360"/>
      </w:pPr>
      <w:rPr>
        <w:rFonts w:ascii="Symbol" w:hAnsi="Symbol" w:hint="default"/>
      </w:rPr>
    </w:lvl>
    <w:lvl w:ilvl="1" w:tplc="006A434E">
      <w:start w:val="1"/>
      <w:numFmt w:val="bullet"/>
      <w:lvlText w:val="o"/>
      <w:lvlJc w:val="left"/>
      <w:pPr>
        <w:ind w:left="1440" w:hanging="360"/>
      </w:pPr>
      <w:rPr>
        <w:rFonts w:ascii="Courier New" w:hAnsi="Courier New" w:hint="default"/>
      </w:rPr>
    </w:lvl>
    <w:lvl w:ilvl="2" w:tplc="9604A822">
      <w:start w:val="1"/>
      <w:numFmt w:val="bullet"/>
      <w:lvlText w:val=""/>
      <w:lvlJc w:val="left"/>
      <w:pPr>
        <w:ind w:left="2160" w:hanging="360"/>
      </w:pPr>
      <w:rPr>
        <w:rFonts w:ascii="Wingdings" w:hAnsi="Wingdings" w:hint="default"/>
      </w:rPr>
    </w:lvl>
    <w:lvl w:ilvl="3" w:tplc="CD167818">
      <w:start w:val="1"/>
      <w:numFmt w:val="bullet"/>
      <w:lvlText w:val=""/>
      <w:lvlJc w:val="left"/>
      <w:pPr>
        <w:ind w:left="2880" w:hanging="360"/>
      </w:pPr>
      <w:rPr>
        <w:rFonts w:ascii="Symbol" w:hAnsi="Symbol" w:hint="default"/>
      </w:rPr>
    </w:lvl>
    <w:lvl w:ilvl="4" w:tplc="91EEF496">
      <w:start w:val="1"/>
      <w:numFmt w:val="bullet"/>
      <w:lvlText w:val="o"/>
      <w:lvlJc w:val="left"/>
      <w:pPr>
        <w:ind w:left="3600" w:hanging="360"/>
      </w:pPr>
      <w:rPr>
        <w:rFonts w:ascii="Courier New" w:hAnsi="Courier New" w:hint="default"/>
      </w:rPr>
    </w:lvl>
    <w:lvl w:ilvl="5" w:tplc="A18AD8A6">
      <w:start w:val="1"/>
      <w:numFmt w:val="bullet"/>
      <w:lvlText w:val=""/>
      <w:lvlJc w:val="left"/>
      <w:pPr>
        <w:ind w:left="4320" w:hanging="360"/>
      </w:pPr>
      <w:rPr>
        <w:rFonts w:ascii="Wingdings" w:hAnsi="Wingdings" w:hint="default"/>
      </w:rPr>
    </w:lvl>
    <w:lvl w:ilvl="6" w:tplc="E2B4D990">
      <w:start w:val="1"/>
      <w:numFmt w:val="bullet"/>
      <w:lvlText w:val=""/>
      <w:lvlJc w:val="left"/>
      <w:pPr>
        <w:ind w:left="5040" w:hanging="360"/>
      </w:pPr>
      <w:rPr>
        <w:rFonts w:ascii="Symbol" w:hAnsi="Symbol" w:hint="default"/>
      </w:rPr>
    </w:lvl>
    <w:lvl w:ilvl="7" w:tplc="131A239E">
      <w:start w:val="1"/>
      <w:numFmt w:val="bullet"/>
      <w:lvlText w:val="o"/>
      <w:lvlJc w:val="left"/>
      <w:pPr>
        <w:ind w:left="5760" w:hanging="360"/>
      </w:pPr>
      <w:rPr>
        <w:rFonts w:ascii="Courier New" w:hAnsi="Courier New" w:hint="default"/>
      </w:rPr>
    </w:lvl>
    <w:lvl w:ilvl="8" w:tplc="B3DA5408">
      <w:start w:val="1"/>
      <w:numFmt w:val="bullet"/>
      <w:lvlText w:val=""/>
      <w:lvlJc w:val="left"/>
      <w:pPr>
        <w:ind w:left="6480" w:hanging="360"/>
      </w:pPr>
      <w:rPr>
        <w:rFonts w:ascii="Wingdings" w:hAnsi="Wingdings" w:hint="default"/>
      </w:rPr>
    </w:lvl>
  </w:abstractNum>
  <w:abstractNum w:abstractNumId="15" w15:restartNumberingAfterBreak="0">
    <w:nsid w:val="2F5213DF"/>
    <w:multiLevelType w:val="hybridMultilevel"/>
    <w:tmpl w:val="83446868"/>
    <w:lvl w:ilvl="0" w:tplc="E1B21B1C">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0D92242"/>
    <w:multiLevelType w:val="hybridMultilevel"/>
    <w:tmpl w:val="62B09244"/>
    <w:lvl w:ilvl="0" w:tplc="A3E629A6">
      <w:start w:val="1"/>
      <w:numFmt w:val="decimal"/>
      <w:lvlText w:val="%1."/>
      <w:lvlJc w:val="left"/>
      <w:pPr>
        <w:ind w:left="720" w:hanging="360"/>
      </w:pPr>
      <w:rPr>
        <w:rFonts w:asciiTheme="minorHAnsi" w:eastAsiaTheme="minorEastAsia" w:hAnsiTheme="minorHAnsi" w:cstheme="minorBidi"/>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3D35064"/>
    <w:multiLevelType w:val="multilevel"/>
    <w:tmpl w:val="AEF8F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D160F9"/>
    <w:multiLevelType w:val="hybridMultilevel"/>
    <w:tmpl w:val="6B6A62BE"/>
    <w:lvl w:ilvl="0" w:tplc="55CAA08A">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5444055"/>
    <w:multiLevelType w:val="multilevel"/>
    <w:tmpl w:val="66B0D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073D3F"/>
    <w:multiLevelType w:val="hybridMultilevel"/>
    <w:tmpl w:val="D20EF390"/>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2626E6D"/>
    <w:multiLevelType w:val="multilevel"/>
    <w:tmpl w:val="4236A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59B04B0"/>
    <w:multiLevelType w:val="hybridMultilevel"/>
    <w:tmpl w:val="DF6CE31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5E63CD6"/>
    <w:multiLevelType w:val="hybridMultilevel"/>
    <w:tmpl w:val="B7CEDB88"/>
    <w:lvl w:ilvl="0" w:tplc="F468D5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7B192B"/>
    <w:multiLevelType w:val="multilevel"/>
    <w:tmpl w:val="967A5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5A59B5"/>
    <w:multiLevelType w:val="multilevel"/>
    <w:tmpl w:val="584EF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69113A"/>
    <w:multiLevelType w:val="hybridMultilevel"/>
    <w:tmpl w:val="1BB07B1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B3A25D7"/>
    <w:multiLevelType w:val="hybridMultilevel"/>
    <w:tmpl w:val="6B6C6A7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4EAF45C2"/>
    <w:multiLevelType w:val="hybridMultilevel"/>
    <w:tmpl w:val="B5FC3C94"/>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53176DF"/>
    <w:multiLevelType w:val="multilevel"/>
    <w:tmpl w:val="3898A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7214C8C"/>
    <w:multiLevelType w:val="hybridMultilevel"/>
    <w:tmpl w:val="00B4473E"/>
    <w:lvl w:ilvl="0" w:tplc="E5B6F246">
      <w:start w:val="5"/>
      <w:numFmt w:val="bullet"/>
      <w:lvlText w:val="-"/>
      <w:lvlJc w:val="left"/>
      <w:pPr>
        <w:ind w:left="720" w:hanging="360"/>
      </w:pPr>
      <w:rPr>
        <w:rFonts w:ascii="Aptos" w:eastAsiaTheme="minorEastAsia"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8B7D66D"/>
    <w:multiLevelType w:val="hybridMultilevel"/>
    <w:tmpl w:val="23109A38"/>
    <w:lvl w:ilvl="0" w:tplc="FBB640DA">
      <w:start w:val="1"/>
      <w:numFmt w:val="bullet"/>
      <w:lvlText w:val="-"/>
      <w:lvlJc w:val="left"/>
      <w:pPr>
        <w:ind w:left="720" w:hanging="360"/>
      </w:pPr>
      <w:rPr>
        <w:rFonts w:ascii="Aptos" w:hAnsi="Aptos" w:hint="default"/>
      </w:rPr>
    </w:lvl>
    <w:lvl w:ilvl="1" w:tplc="80EA2500">
      <w:start w:val="1"/>
      <w:numFmt w:val="bullet"/>
      <w:lvlText w:val="o"/>
      <w:lvlJc w:val="left"/>
      <w:pPr>
        <w:ind w:left="1440" w:hanging="360"/>
      </w:pPr>
      <w:rPr>
        <w:rFonts w:ascii="Courier New" w:hAnsi="Courier New" w:hint="default"/>
      </w:rPr>
    </w:lvl>
    <w:lvl w:ilvl="2" w:tplc="BDA85672">
      <w:start w:val="1"/>
      <w:numFmt w:val="bullet"/>
      <w:lvlText w:val=""/>
      <w:lvlJc w:val="left"/>
      <w:pPr>
        <w:ind w:left="2160" w:hanging="360"/>
      </w:pPr>
      <w:rPr>
        <w:rFonts w:ascii="Wingdings" w:hAnsi="Wingdings" w:hint="default"/>
      </w:rPr>
    </w:lvl>
    <w:lvl w:ilvl="3" w:tplc="D5AA52A2">
      <w:start w:val="1"/>
      <w:numFmt w:val="bullet"/>
      <w:lvlText w:val=""/>
      <w:lvlJc w:val="left"/>
      <w:pPr>
        <w:ind w:left="2880" w:hanging="360"/>
      </w:pPr>
      <w:rPr>
        <w:rFonts w:ascii="Symbol" w:hAnsi="Symbol" w:hint="default"/>
      </w:rPr>
    </w:lvl>
    <w:lvl w:ilvl="4" w:tplc="75826EA0">
      <w:start w:val="1"/>
      <w:numFmt w:val="bullet"/>
      <w:lvlText w:val="o"/>
      <w:lvlJc w:val="left"/>
      <w:pPr>
        <w:ind w:left="3600" w:hanging="360"/>
      </w:pPr>
      <w:rPr>
        <w:rFonts w:ascii="Courier New" w:hAnsi="Courier New" w:hint="default"/>
      </w:rPr>
    </w:lvl>
    <w:lvl w:ilvl="5" w:tplc="50728630">
      <w:start w:val="1"/>
      <w:numFmt w:val="bullet"/>
      <w:lvlText w:val=""/>
      <w:lvlJc w:val="left"/>
      <w:pPr>
        <w:ind w:left="4320" w:hanging="360"/>
      </w:pPr>
      <w:rPr>
        <w:rFonts w:ascii="Wingdings" w:hAnsi="Wingdings" w:hint="default"/>
      </w:rPr>
    </w:lvl>
    <w:lvl w:ilvl="6" w:tplc="456CC4E8">
      <w:start w:val="1"/>
      <w:numFmt w:val="bullet"/>
      <w:lvlText w:val=""/>
      <w:lvlJc w:val="left"/>
      <w:pPr>
        <w:ind w:left="5040" w:hanging="360"/>
      </w:pPr>
      <w:rPr>
        <w:rFonts w:ascii="Symbol" w:hAnsi="Symbol" w:hint="default"/>
      </w:rPr>
    </w:lvl>
    <w:lvl w:ilvl="7" w:tplc="8BFA691A">
      <w:start w:val="1"/>
      <w:numFmt w:val="bullet"/>
      <w:lvlText w:val="o"/>
      <w:lvlJc w:val="left"/>
      <w:pPr>
        <w:ind w:left="5760" w:hanging="360"/>
      </w:pPr>
      <w:rPr>
        <w:rFonts w:ascii="Courier New" w:hAnsi="Courier New" w:hint="default"/>
      </w:rPr>
    </w:lvl>
    <w:lvl w:ilvl="8" w:tplc="6BB69490">
      <w:start w:val="1"/>
      <w:numFmt w:val="bullet"/>
      <w:lvlText w:val=""/>
      <w:lvlJc w:val="left"/>
      <w:pPr>
        <w:ind w:left="6480" w:hanging="360"/>
      </w:pPr>
      <w:rPr>
        <w:rFonts w:ascii="Wingdings" w:hAnsi="Wingdings" w:hint="default"/>
      </w:rPr>
    </w:lvl>
  </w:abstractNum>
  <w:abstractNum w:abstractNumId="32" w15:restartNumberingAfterBreak="0">
    <w:nsid w:val="5A2C0827"/>
    <w:multiLevelType w:val="hybridMultilevel"/>
    <w:tmpl w:val="A1BE7006"/>
    <w:lvl w:ilvl="0" w:tplc="002A9892">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484BB1"/>
    <w:multiLevelType w:val="multilevel"/>
    <w:tmpl w:val="2D1CD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A8B5C45"/>
    <w:multiLevelType w:val="hybridMultilevel"/>
    <w:tmpl w:val="15665B6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5FAA61D4">
      <w:start w:val="1"/>
      <w:numFmt w:val="bullet"/>
      <w:lvlText w:val="-"/>
      <w:lvlJc w:val="left"/>
      <w:pPr>
        <w:ind w:left="1800" w:hanging="360"/>
      </w:pPr>
      <w:rPr>
        <w:rFonts w:ascii="Times New Roman" w:eastAsiaTheme="minorEastAsia" w:hAnsi="Times New Roman" w:cs="Times New Roman"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5" w15:restartNumberingAfterBreak="0">
    <w:nsid w:val="68FE17EB"/>
    <w:multiLevelType w:val="hybridMultilevel"/>
    <w:tmpl w:val="84540800"/>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A871471"/>
    <w:multiLevelType w:val="multilevel"/>
    <w:tmpl w:val="CACA4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C83CC6"/>
    <w:multiLevelType w:val="multilevel"/>
    <w:tmpl w:val="5FBAD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D7A2208"/>
    <w:multiLevelType w:val="multilevel"/>
    <w:tmpl w:val="A592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5B3533"/>
    <w:multiLevelType w:val="hybridMultilevel"/>
    <w:tmpl w:val="449C8A9E"/>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210291E"/>
    <w:multiLevelType w:val="multilevel"/>
    <w:tmpl w:val="8E1A1B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4A236AD"/>
    <w:multiLevelType w:val="multilevel"/>
    <w:tmpl w:val="B3B6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5B56110"/>
    <w:multiLevelType w:val="hybridMultilevel"/>
    <w:tmpl w:val="D6F89C32"/>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7901702"/>
    <w:multiLevelType w:val="multilevel"/>
    <w:tmpl w:val="93DCD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8C27728"/>
    <w:multiLevelType w:val="multilevel"/>
    <w:tmpl w:val="29889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A7148F"/>
    <w:multiLevelType w:val="hybridMultilevel"/>
    <w:tmpl w:val="BD087BF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BC04D1B"/>
    <w:multiLevelType w:val="multilevel"/>
    <w:tmpl w:val="763C4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DD064A0"/>
    <w:multiLevelType w:val="hybridMultilevel"/>
    <w:tmpl w:val="5CD2509A"/>
    <w:lvl w:ilvl="0" w:tplc="DD522D04">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7E0836"/>
    <w:multiLevelType w:val="hybridMultilevel"/>
    <w:tmpl w:val="112040C0"/>
    <w:lvl w:ilvl="0" w:tplc="B2BECBC6">
      <w:numFmt w:val="bullet"/>
      <w:lvlText w:val="-"/>
      <w:lvlJc w:val="left"/>
      <w:pPr>
        <w:ind w:left="405" w:hanging="360"/>
      </w:pPr>
      <w:rPr>
        <w:rFonts w:ascii="Times New Roman" w:eastAsiaTheme="minorEastAsia" w:hAnsi="Times New Roman" w:cs="Times New Roman"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abstractNumId w:val="11"/>
  </w:num>
  <w:num w:numId="2">
    <w:abstractNumId w:val="6"/>
  </w:num>
  <w:num w:numId="3">
    <w:abstractNumId w:val="31"/>
  </w:num>
  <w:num w:numId="4">
    <w:abstractNumId w:val="14"/>
  </w:num>
  <w:num w:numId="5">
    <w:abstractNumId w:val="40"/>
  </w:num>
  <w:num w:numId="6">
    <w:abstractNumId w:val="0"/>
  </w:num>
  <w:num w:numId="7">
    <w:abstractNumId w:val="17"/>
  </w:num>
  <w:num w:numId="8">
    <w:abstractNumId w:val="2"/>
  </w:num>
  <w:num w:numId="9">
    <w:abstractNumId w:val="3"/>
  </w:num>
  <w:num w:numId="10">
    <w:abstractNumId w:val="7"/>
  </w:num>
  <w:num w:numId="11">
    <w:abstractNumId w:val="13"/>
  </w:num>
  <w:num w:numId="12">
    <w:abstractNumId w:val="23"/>
  </w:num>
  <w:num w:numId="13">
    <w:abstractNumId w:val="26"/>
  </w:num>
  <w:num w:numId="14">
    <w:abstractNumId w:val="22"/>
  </w:num>
  <w:num w:numId="15">
    <w:abstractNumId w:val="45"/>
  </w:num>
  <w:num w:numId="16">
    <w:abstractNumId w:val="32"/>
  </w:num>
  <w:num w:numId="17">
    <w:abstractNumId w:val="5"/>
  </w:num>
  <w:num w:numId="18">
    <w:abstractNumId w:val="47"/>
  </w:num>
  <w:num w:numId="19">
    <w:abstractNumId w:val="38"/>
  </w:num>
  <w:num w:numId="20">
    <w:abstractNumId w:val="44"/>
  </w:num>
  <w:num w:numId="21">
    <w:abstractNumId w:val="21"/>
  </w:num>
  <w:num w:numId="22">
    <w:abstractNumId w:val="37"/>
  </w:num>
  <w:num w:numId="23">
    <w:abstractNumId w:val="25"/>
  </w:num>
  <w:num w:numId="24">
    <w:abstractNumId w:val="33"/>
  </w:num>
  <w:num w:numId="25">
    <w:abstractNumId w:val="4"/>
  </w:num>
  <w:num w:numId="26">
    <w:abstractNumId w:val="1"/>
  </w:num>
  <w:num w:numId="27">
    <w:abstractNumId w:val="43"/>
  </w:num>
  <w:num w:numId="28">
    <w:abstractNumId w:val="24"/>
  </w:num>
  <w:num w:numId="29">
    <w:abstractNumId w:val="19"/>
  </w:num>
  <w:num w:numId="30">
    <w:abstractNumId w:val="36"/>
  </w:num>
  <w:num w:numId="31">
    <w:abstractNumId w:val="46"/>
  </w:num>
  <w:num w:numId="32">
    <w:abstractNumId w:val="41"/>
  </w:num>
  <w:num w:numId="33">
    <w:abstractNumId w:val="12"/>
  </w:num>
  <w:num w:numId="34">
    <w:abstractNumId w:val="29"/>
  </w:num>
  <w:num w:numId="35">
    <w:abstractNumId w:val="15"/>
  </w:num>
  <w:num w:numId="36">
    <w:abstractNumId w:val="48"/>
  </w:num>
  <w:num w:numId="37">
    <w:abstractNumId w:val="9"/>
  </w:num>
  <w:num w:numId="38">
    <w:abstractNumId w:val="10"/>
  </w:num>
  <w:num w:numId="39">
    <w:abstractNumId w:val="35"/>
  </w:num>
  <w:num w:numId="40">
    <w:abstractNumId w:val="20"/>
  </w:num>
  <w:num w:numId="41">
    <w:abstractNumId w:val="28"/>
  </w:num>
  <w:num w:numId="42">
    <w:abstractNumId w:val="8"/>
  </w:num>
  <w:num w:numId="43">
    <w:abstractNumId w:val="39"/>
  </w:num>
  <w:num w:numId="44">
    <w:abstractNumId w:val="42"/>
  </w:num>
  <w:num w:numId="45">
    <w:abstractNumId w:val="34"/>
  </w:num>
  <w:num w:numId="46">
    <w:abstractNumId w:val="18"/>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0"/>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CC692F0E-0C5C-4620-B25C-8F52A6A76EF2"/>
    <w:docVar w:name="LW_COVERPAGE_TYPE" w:val="1"/>
    <w:docVar w:name="LW_CROSSREFERENCE" w:val="&lt;UNUSED&gt;"/>
    <w:docVar w:name="LW_DocType" w:val="NORMAL"/>
    <w:docVar w:name="LW_EMISSION" w:val="10.3.2026"/>
    <w:docVar w:name="LW_EMISSION_ISODATE" w:val="2026-03-10"/>
    <w:docVar w:name="LW_EMISSION_LOCATION" w:val="BRX"/>
    <w:docVar w:name="LW_EMISSION_PREFIX" w:val="Bruxelles, le "/>
    <w:docVar w:name="LW_EMISSION_SUFFIX" w:val=" "/>
    <w:docVar w:name="LW_ID_DOCTYPE_NONLW" w:val="CP-005"/>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1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a préparation dans le secteur financier de l\u8217?UE_x000d__x000b__x000d__x000b_"/>
    <w:docVar w:name="LW_TYPE.DOC.CP" w:val="RAPPORT DE LA COMMISSION AU CONSEIL ET AU PARLEMENT EUROPÉEN"/>
    <w:docVar w:name="LwApiVersions" w:val="LW4CoDe 1.24.5.0; LW 9.2, Build 20251112"/>
    <w:docVar w:name="Stamp" w:val="\\dossiers.dgt.cec.eu.int\dossiers\FISMA\FISMA-2026-00079\FISMA-2026-00079-00-00-EN-EDT-00.202601200958398659778.DOCX"/>
  </w:docVars>
  <w:rsids>
    <w:rsidRoot w:val="14AA8B05"/>
    <w:rsid w:val="0000093E"/>
    <w:rsid w:val="00000C14"/>
    <w:rsid w:val="00000CFC"/>
    <w:rsid w:val="00000D28"/>
    <w:rsid w:val="00000DF5"/>
    <w:rsid w:val="000014C0"/>
    <w:rsid w:val="0000158F"/>
    <w:rsid w:val="000015F9"/>
    <w:rsid w:val="00001D43"/>
    <w:rsid w:val="00001F19"/>
    <w:rsid w:val="0000213E"/>
    <w:rsid w:val="00002480"/>
    <w:rsid w:val="00002EA8"/>
    <w:rsid w:val="00002F38"/>
    <w:rsid w:val="000030F5"/>
    <w:rsid w:val="0000339D"/>
    <w:rsid w:val="000035A4"/>
    <w:rsid w:val="000037E3"/>
    <w:rsid w:val="00003819"/>
    <w:rsid w:val="0000399C"/>
    <w:rsid w:val="00003A13"/>
    <w:rsid w:val="00003F38"/>
    <w:rsid w:val="00003FA2"/>
    <w:rsid w:val="000041D1"/>
    <w:rsid w:val="0000432B"/>
    <w:rsid w:val="0000478B"/>
    <w:rsid w:val="000047A5"/>
    <w:rsid w:val="000049E4"/>
    <w:rsid w:val="00004ADA"/>
    <w:rsid w:val="00004CA5"/>
    <w:rsid w:val="00005047"/>
    <w:rsid w:val="000050C5"/>
    <w:rsid w:val="0000511D"/>
    <w:rsid w:val="000053D0"/>
    <w:rsid w:val="0000566D"/>
    <w:rsid w:val="00005724"/>
    <w:rsid w:val="0000578F"/>
    <w:rsid w:val="00005A5D"/>
    <w:rsid w:val="00005B38"/>
    <w:rsid w:val="00005BB7"/>
    <w:rsid w:val="00005F47"/>
    <w:rsid w:val="000065EF"/>
    <w:rsid w:val="00006A99"/>
    <w:rsid w:val="00006C53"/>
    <w:rsid w:val="00007192"/>
    <w:rsid w:val="00007851"/>
    <w:rsid w:val="0000791F"/>
    <w:rsid w:val="00007B6E"/>
    <w:rsid w:val="00007FDE"/>
    <w:rsid w:val="0001001D"/>
    <w:rsid w:val="00010088"/>
    <w:rsid w:val="000100AA"/>
    <w:rsid w:val="000103B1"/>
    <w:rsid w:val="00010695"/>
    <w:rsid w:val="00010980"/>
    <w:rsid w:val="00010BAF"/>
    <w:rsid w:val="00011165"/>
    <w:rsid w:val="00011202"/>
    <w:rsid w:val="00011268"/>
    <w:rsid w:val="00011708"/>
    <w:rsid w:val="00011B10"/>
    <w:rsid w:val="00011BA6"/>
    <w:rsid w:val="00011D5C"/>
    <w:rsid w:val="00011DBF"/>
    <w:rsid w:val="00011E21"/>
    <w:rsid w:val="00011E9F"/>
    <w:rsid w:val="00012021"/>
    <w:rsid w:val="0001237F"/>
    <w:rsid w:val="00012841"/>
    <w:rsid w:val="000128C3"/>
    <w:rsid w:val="000128CA"/>
    <w:rsid w:val="0001292E"/>
    <w:rsid w:val="00012A6B"/>
    <w:rsid w:val="00012D79"/>
    <w:rsid w:val="00012DAD"/>
    <w:rsid w:val="00012F19"/>
    <w:rsid w:val="000131EE"/>
    <w:rsid w:val="000132DC"/>
    <w:rsid w:val="0001339E"/>
    <w:rsid w:val="00013534"/>
    <w:rsid w:val="00013624"/>
    <w:rsid w:val="0001362C"/>
    <w:rsid w:val="0001368B"/>
    <w:rsid w:val="00013712"/>
    <w:rsid w:val="00013861"/>
    <w:rsid w:val="000139EC"/>
    <w:rsid w:val="00013F38"/>
    <w:rsid w:val="0001492A"/>
    <w:rsid w:val="0001495C"/>
    <w:rsid w:val="00014B68"/>
    <w:rsid w:val="00014BD4"/>
    <w:rsid w:val="000151E8"/>
    <w:rsid w:val="00015723"/>
    <w:rsid w:val="000159E4"/>
    <w:rsid w:val="00015A2B"/>
    <w:rsid w:val="00015C04"/>
    <w:rsid w:val="00015F1C"/>
    <w:rsid w:val="0001602B"/>
    <w:rsid w:val="000162BC"/>
    <w:rsid w:val="00016594"/>
    <w:rsid w:val="000166AB"/>
    <w:rsid w:val="00016BBD"/>
    <w:rsid w:val="00016BE9"/>
    <w:rsid w:val="000172BA"/>
    <w:rsid w:val="0001745C"/>
    <w:rsid w:val="000175EA"/>
    <w:rsid w:val="00017636"/>
    <w:rsid w:val="00017943"/>
    <w:rsid w:val="00017AF6"/>
    <w:rsid w:val="00017BEF"/>
    <w:rsid w:val="00020138"/>
    <w:rsid w:val="0002020E"/>
    <w:rsid w:val="0002066B"/>
    <w:rsid w:val="0002067D"/>
    <w:rsid w:val="000206F0"/>
    <w:rsid w:val="000208E2"/>
    <w:rsid w:val="00020C1A"/>
    <w:rsid w:val="0002104F"/>
    <w:rsid w:val="00021268"/>
    <w:rsid w:val="000214EC"/>
    <w:rsid w:val="00021535"/>
    <w:rsid w:val="000216D7"/>
    <w:rsid w:val="00021791"/>
    <w:rsid w:val="00021B1B"/>
    <w:rsid w:val="00021CA8"/>
    <w:rsid w:val="00021FF3"/>
    <w:rsid w:val="000225B8"/>
    <w:rsid w:val="00022670"/>
    <w:rsid w:val="00022AA8"/>
    <w:rsid w:val="00022D51"/>
    <w:rsid w:val="000230C1"/>
    <w:rsid w:val="000233B9"/>
    <w:rsid w:val="00023913"/>
    <w:rsid w:val="00023A37"/>
    <w:rsid w:val="00023AB9"/>
    <w:rsid w:val="0002463F"/>
    <w:rsid w:val="00024835"/>
    <w:rsid w:val="00024B1A"/>
    <w:rsid w:val="00024EA6"/>
    <w:rsid w:val="00024EE2"/>
    <w:rsid w:val="00025435"/>
    <w:rsid w:val="000255A4"/>
    <w:rsid w:val="000256B3"/>
    <w:rsid w:val="000257DB"/>
    <w:rsid w:val="00025A9E"/>
    <w:rsid w:val="00025BA1"/>
    <w:rsid w:val="00025CFF"/>
    <w:rsid w:val="0002603E"/>
    <w:rsid w:val="00026439"/>
    <w:rsid w:val="00026462"/>
    <w:rsid w:val="0002687D"/>
    <w:rsid w:val="0002690A"/>
    <w:rsid w:val="00026B13"/>
    <w:rsid w:val="00026D19"/>
    <w:rsid w:val="00026D6F"/>
    <w:rsid w:val="00026E69"/>
    <w:rsid w:val="00026F49"/>
    <w:rsid w:val="000273BD"/>
    <w:rsid w:val="000275C7"/>
    <w:rsid w:val="00027873"/>
    <w:rsid w:val="00027E2B"/>
    <w:rsid w:val="00027FBB"/>
    <w:rsid w:val="00030571"/>
    <w:rsid w:val="000305F0"/>
    <w:rsid w:val="000307A7"/>
    <w:rsid w:val="00030A92"/>
    <w:rsid w:val="00030DBF"/>
    <w:rsid w:val="00030EE2"/>
    <w:rsid w:val="00030F0E"/>
    <w:rsid w:val="00030F19"/>
    <w:rsid w:val="0003109D"/>
    <w:rsid w:val="0003112B"/>
    <w:rsid w:val="000315FB"/>
    <w:rsid w:val="0003197D"/>
    <w:rsid w:val="00031C6B"/>
    <w:rsid w:val="00031D0E"/>
    <w:rsid w:val="00031EBD"/>
    <w:rsid w:val="00032270"/>
    <w:rsid w:val="00032B3D"/>
    <w:rsid w:val="00032F19"/>
    <w:rsid w:val="00033053"/>
    <w:rsid w:val="00033224"/>
    <w:rsid w:val="00033486"/>
    <w:rsid w:val="00033529"/>
    <w:rsid w:val="000336F9"/>
    <w:rsid w:val="00033AB9"/>
    <w:rsid w:val="00033BB9"/>
    <w:rsid w:val="00033DC1"/>
    <w:rsid w:val="000340A8"/>
    <w:rsid w:val="000341D9"/>
    <w:rsid w:val="00034272"/>
    <w:rsid w:val="0003441C"/>
    <w:rsid w:val="00034666"/>
    <w:rsid w:val="00034791"/>
    <w:rsid w:val="000348A6"/>
    <w:rsid w:val="00034BA8"/>
    <w:rsid w:val="00034C49"/>
    <w:rsid w:val="00034C76"/>
    <w:rsid w:val="00034D82"/>
    <w:rsid w:val="000351FB"/>
    <w:rsid w:val="00035490"/>
    <w:rsid w:val="000354E0"/>
    <w:rsid w:val="0003570F"/>
    <w:rsid w:val="00035710"/>
    <w:rsid w:val="00035B01"/>
    <w:rsid w:val="00035FBA"/>
    <w:rsid w:val="000362D5"/>
    <w:rsid w:val="000366F8"/>
    <w:rsid w:val="00036F0F"/>
    <w:rsid w:val="0003703F"/>
    <w:rsid w:val="00037134"/>
    <w:rsid w:val="000372A7"/>
    <w:rsid w:val="000373E3"/>
    <w:rsid w:val="000375A1"/>
    <w:rsid w:val="000377CA"/>
    <w:rsid w:val="00037901"/>
    <w:rsid w:val="00037F0C"/>
    <w:rsid w:val="00040688"/>
    <w:rsid w:val="0004090F"/>
    <w:rsid w:val="00040DB0"/>
    <w:rsid w:val="00041052"/>
    <w:rsid w:val="000416F5"/>
    <w:rsid w:val="00041781"/>
    <w:rsid w:val="0004179C"/>
    <w:rsid w:val="000419D6"/>
    <w:rsid w:val="00041D07"/>
    <w:rsid w:val="00041FA1"/>
    <w:rsid w:val="00041FEC"/>
    <w:rsid w:val="00042138"/>
    <w:rsid w:val="0004216C"/>
    <w:rsid w:val="00042341"/>
    <w:rsid w:val="00042587"/>
    <w:rsid w:val="00042680"/>
    <w:rsid w:val="000427F2"/>
    <w:rsid w:val="00042955"/>
    <w:rsid w:val="00042BB8"/>
    <w:rsid w:val="000431F5"/>
    <w:rsid w:val="0004366A"/>
    <w:rsid w:val="00043959"/>
    <w:rsid w:val="00043ADA"/>
    <w:rsid w:val="00043D0F"/>
    <w:rsid w:val="00043EB8"/>
    <w:rsid w:val="00043F27"/>
    <w:rsid w:val="000445F0"/>
    <w:rsid w:val="00044909"/>
    <w:rsid w:val="00044BF2"/>
    <w:rsid w:val="00044DA1"/>
    <w:rsid w:val="00044DED"/>
    <w:rsid w:val="00045338"/>
    <w:rsid w:val="000454F9"/>
    <w:rsid w:val="00045590"/>
    <w:rsid w:val="00045648"/>
    <w:rsid w:val="0004567C"/>
    <w:rsid w:val="000456B5"/>
    <w:rsid w:val="00045C5C"/>
    <w:rsid w:val="00045DC4"/>
    <w:rsid w:val="00045E82"/>
    <w:rsid w:val="00045F94"/>
    <w:rsid w:val="0004617B"/>
    <w:rsid w:val="000461EB"/>
    <w:rsid w:val="00046363"/>
    <w:rsid w:val="000465E9"/>
    <w:rsid w:val="0004725E"/>
    <w:rsid w:val="000472A4"/>
    <w:rsid w:val="000472B4"/>
    <w:rsid w:val="0004730A"/>
    <w:rsid w:val="0004733C"/>
    <w:rsid w:val="00047606"/>
    <w:rsid w:val="000476FE"/>
    <w:rsid w:val="0004799D"/>
    <w:rsid w:val="00047FDD"/>
    <w:rsid w:val="00050094"/>
    <w:rsid w:val="00050297"/>
    <w:rsid w:val="000502F4"/>
    <w:rsid w:val="0005045A"/>
    <w:rsid w:val="000505E2"/>
    <w:rsid w:val="0005063F"/>
    <w:rsid w:val="00050961"/>
    <w:rsid w:val="00050E0C"/>
    <w:rsid w:val="00050E23"/>
    <w:rsid w:val="00051345"/>
    <w:rsid w:val="0005151F"/>
    <w:rsid w:val="00051B2E"/>
    <w:rsid w:val="00051E22"/>
    <w:rsid w:val="00051E39"/>
    <w:rsid w:val="00051E5A"/>
    <w:rsid w:val="00051EFF"/>
    <w:rsid w:val="000522A8"/>
    <w:rsid w:val="000523E4"/>
    <w:rsid w:val="00052440"/>
    <w:rsid w:val="000527A8"/>
    <w:rsid w:val="00052C1C"/>
    <w:rsid w:val="000530B6"/>
    <w:rsid w:val="0005310A"/>
    <w:rsid w:val="00053162"/>
    <w:rsid w:val="000532CF"/>
    <w:rsid w:val="00053669"/>
    <w:rsid w:val="0005381D"/>
    <w:rsid w:val="000538C7"/>
    <w:rsid w:val="00053B2E"/>
    <w:rsid w:val="00053CB1"/>
    <w:rsid w:val="00054051"/>
    <w:rsid w:val="00054563"/>
    <w:rsid w:val="00054ED7"/>
    <w:rsid w:val="00054FA6"/>
    <w:rsid w:val="00054FE2"/>
    <w:rsid w:val="000550BF"/>
    <w:rsid w:val="00055118"/>
    <w:rsid w:val="00055356"/>
    <w:rsid w:val="000554F3"/>
    <w:rsid w:val="00055532"/>
    <w:rsid w:val="0005555A"/>
    <w:rsid w:val="00055887"/>
    <w:rsid w:val="00055950"/>
    <w:rsid w:val="000559DC"/>
    <w:rsid w:val="00055A9C"/>
    <w:rsid w:val="00056032"/>
    <w:rsid w:val="0005617A"/>
    <w:rsid w:val="00056401"/>
    <w:rsid w:val="000564CE"/>
    <w:rsid w:val="00056750"/>
    <w:rsid w:val="00056AD1"/>
    <w:rsid w:val="00056CBA"/>
    <w:rsid w:val="00057052"/>
    <w:rsid w:val="00057388"/>
    <w:rsid w:val="00057D00"/>
    <w:rsid w:val="00057D63"/>
    <w:rsid w:val="00057D90"/>
    <w:rsid w:val="00057FCD"/>
    <w:rsid w:val="000601C6"/>
    <w:rsid w:val="0006056F"/>
    <w:rsid w:val="00060C71"/>
    <w:rsid w:val="00060E0A"/>
    <w:rsid w:val="00060EE2"/>
    <w:rsid w:val="000612DF"/>
    <w:rsid w:val="000615A5"/>
    <w:rsid w:val="00061914"/>
    <w:rsid w:val="00061988"/>
    <w:rsid w:val="00061D35"/>
    <w:rsid w:val="00061E49"/>
    <w:rsid w:val="00061EB0"/>
    <w:rsid w:val="000628FD"/>
    <w:rsid w:val="00062A5F"/>
    <w:rsid w:val="00062A8D"/>
    <w:rsid w:val="00063036"/>
    <w:rsid w:val="000630BC"/>
    <w:rsid w:val="00063274"/>
    <w:rsid w:val="00063277"/>
    <w:rsid w:val="0006357E"/>
    <w:rsid w:val="00063847"/>
    <w:rsid w:val="00063B4D"/>
    <w:rsid w:val="00064163"/>
    <w:rsid w:val="00064382"/>
    <w:rsid w:val="00064444"/>
    <w:rsid w:val="0006459F"/>
    <w:rsid w:val="000646AF"/>
    <w:rsid w:val="000648C6"/>
    <w:rsid w:val="00064961"/>
    <w:rsid w:val="00064B0E"/>
    <w:rsid w:val="00065624"/>
    <w:rsid w:val="0006567E"/>
    <w:rsid w:val="00065A38"/>
    <w:rsid w:val="00065C34"/>
    <w:rsid w:val="00065CA7"/>
    <w:rsid w:val="00065E67"/>
    <w:rsid w:val="00066321"/>
    <w:rsid w:val="000663D1"/>
    <w:rsid w:val="000663FF"/>
    <w:rsid w:val="000666E6"/>
    <w:rsid w:val="00066722"/>
    <w:rsid w:val="000667C6"/>
    <w:rsid w:val="000668B0"/>
    <w:rsid w:val="000669DF"/>
    <w:rsid w:val="00066C71"/>
    <w:rsid w:val="000670D1"/>
    <w:rsid w:val="000670F9"/>
    <w:rsid w:val="0006727E"/>
    <w:rsid w:val="00067326"/>
    <w:rsid w:val="000677D8"/>
    <w:rsid w:val="00067FA3"/>
    <w:rsid w:val="0007002C"/>
    <w:rsid w:val="000700F9"/>
    <w:rsid w:val="00070197"/>
    <w:rsid w:val="000705B6"/>
    <w:rsid w:val="00070744"/>
    <w:rsid w:val="000708C4"/>
    <w:rsid w:val="0007091F"/>
    <w:rsid w:val="00070AD6"/>
    <w:rsid w:val="00070E9F"/>
    <w:rsid w:val="00071375"/>
    <w:rsid w:val="00071407"/>
    <w:rsid w:val="00071561"/>
    <w:rsid w:val="00071851"/>
    <w:rsid w:val="000718AB"/>
    <w:rsid w:val="00071F64"/>
    <w:rsid w:val="0007200D"/>
    <w:rsid w:val="0007203B"/>
    <w:rsid w:val="0007206A"/>
    <w:rsid w:val="00072150"/>
    <w:rsid w:val="000722EA"/>
    <w:rsid w:val="00072687"/>
    <w:rsid w:val="00072747"/>
    <w:rsid w:val="000730D4"/>
    <w:rsid w:val="00073301"/>
    <w:rsid w:val="00073513"/>
    <w:rsid w:val="0007363C"/>
    <w:rsid w:val="00073689"/>
    <w:rsid w:val="000737B5"/>
    <w:rsid w:val="000737BC"/>
    <w:rsid w:val="0007380D"/>
    <w:rsid w:val="00073C90"/>
    <w:rsid w:val="00073FA7"/>
    <w:rsid w:val="00074103"/>
    <w:rsid w:val="00074221"/>
    <w:rsid w:val="0007431A"/>
    <w:rsid w:val="00074376"/>
    <w:rsid w:val="0007483F"/>
    <w:rsid w:val="00074AD5"/>
    <w:rsid w:val="00074CB3"/>
    <w:rsid w:val="00074CC2"/>
    <w:rsid w:val="00074FDE"/>
    <w:rsid w:val="000752DF"/>
    <w:rsid w:val="000753D5"/>
    <w:rsid w:val="000757A5"/>
    <w:rsid w:val="00075B96"/>
    <w:rsid w:val="00075BD4"/>
    <w:rsid w:val="00075CC2"/>
    <w:rsid w:val="00075D57"/>
    <w:rsid w:val="00075DF4"/>
    <w:rsid w:val="0007657A"/>
    <w:rsid w:val="0007665F"/>
    <w:rsid w:val="00076C47"/>
    <w:rsid w:val="00076C9E"/>
    <w:rsid w:val="000770D5"/>
    <w:rsid w:val="0007758B"/>
    <w:rsid w:val="00077717"/>
    <w:rsid w:val="0007771F"/>
    <w:rsid w:val="00077799"/>
    <w:rsid w:val="000777A0"/>
    <w:rsid w:val="000779F3"/>
    <w:rsid w:val="000801FA"/>
    <w:rsid w:val="00080902"/>
    <w:rsid w:val="00080BE3"/>
    <w:rsid w:val="00080CD0"/>
    <w:rsid w:val="00080EF9"/>
    <w:rsid w:val="00080F59"/>
    <w:rsid w:val="0008125B"/>
    <w:rsid w:val="000812CD"/>
    <w:rsid w:val="00081544"/>
    <w:rsid w:val="00081634"/>
    <w:rsid w:val="00081996"/>
    <w:rsid w:val="00081A7C"/>
    <w:rsid w:val="00081AB3"/>
    <w:rsid w:val="00081DEA"/>
    <w:rsid w:val="00081DF8"/>
    <w:rsid w:val="000828FE"/>
    <w:rsid w:val="00082CA9"/>
    <w:rsid w:val="00083044"/>
    <w:rsid w:val="0008314F"/>
    <w:rsid w:val="0008315B"/>
    <w:rsid w:val="0008320F"/>
    <w:rsid w:val="0008327C"/>
    <w:rsid w:val="00083C2A"/>
    <w:rsid w:val="00083E1E"/>
    <w:rsid w:val="00083E47"/>
    <w:rsid w:val="00084141"/>
    <w:rsid w:val="00084345"/>
    <w:rsid w:val="000843AC"/>
    <w:rsid w:val="0008448A"/>
    <w:rsid w:val="000844D0"/>
    <w:rsid w:val="0008461A"/>
    <w:rsid w:val="00084666"/>
    <w:rsid w:val="00084732"/>
    <w:rsid w:val="000847DC"/>
    <w:rsid w:val="00084B24"/>
    <w:rsid w:val="00085166"/>
    <w:rsid w:val="00085269"/>
    <w:rsid w:val="000852CF"/>
    <w:rsid w:val="000853CB"/>
    <w:rsid w:val="000855E6"/>
    <w:rsid w:val="000856E4"/>
    <w:rsid w:val="00085819"/>
    <w:rsid w:val="00085978"/>
    <w:rsid w:val="00085A33"/>
    <w:rsid w:val="00085AAD"/>
    <w:rsid w:val="00085BFC"/>
    <w:rsid w:val="00085C15"/>
    <w:rsid w:val="00085DC5"/>
    <w:rsid w:val="00086017"/>
    <w:rsid w:val="00086255"/>
    <w:rsid w:val="00086372"/>
    <w:rsid w:val="00086416"/>
    <w:rsid w:val="00086550"/>
    <w:rsid w:val="00086A75"/>
    <w:rsid w:val="00086FC1"/>
    <w:rsid w:val="000870F1"/>
    <w:rsid w:val="000872CC"/>
    <w:rsid w:val="00087318"/>
    <w:rsid w:val="000874A3"/>
    <w:rsid w:val="00087833"/>
    <w:rsid w:val="0008788B"/>
    <w:rsid w:val="00087DBE"/>
    <w:rsid w:val="00090119"/>
    <w:rsid w:val="000902E2"/>
    <w:rsid w:val="0009041F"/>
    <w:rsid w:val="00090B39"/>
    <w:rsid w:val="00090FE8"/>
    <w:rsid w:val="0009105E"/>
    <w:rsid w:val="000911A5"/>
    <w:rsid w:val="000915C8"/>
    <w:rsid w:val="00091A88"/>
    <w:rsid w:val="00091C1B"/>
    <w:rsid w:val="00091E8F"/>
    <w:rsid w:val="00092379"/>
    <w:rsid w:val="00092409"/>
    <w:rsid w:val="00092482"/>
    <w:rsid w:val="000924CD"/>
    <w:rsid w:val="000926F9"/>
    <w:rsid w:val="00092873"/>
    <w:rsid w:val="000928AC"/>
    <w:rsid w:val="0009298D"/>
    <w:rsid w:val="000930E5"/>
    <w:rsid w:val="0009322E"/>
    <w:rsid w:val="00093579"/>
    <w:rsid w:val="000939D0"/>
    <w:rsid w:val="00094413"/>
    <w:rsid w:val="00094456"/>
    <w:rsid w:val="00094981"/>
    <w:rsid w:val="00094A5A"/>
    <w:rsid w:val="00094CD6"/>
    <w:rsid w:val="00094F33"/>
    <w:rsid w:val="000951AE"/>
    <w:rsid w:val="00095341"/>
    <w:rsid w:val="000954D4"/>
    <w:rsid w:val="00095786"/>
    <w:rsid w:val="00095E62"/>
    <w:rsid w:val="00095E97"/>
    <w:rsid w:val="000960A2"/>
    <w:rsid w:val="000960C8"/>
    <w:rsid w:val="000961D1"/>
    <w:rsid w:val="000964A9"/>
    <w:rsid w:val="00096856"/>
    <w:rsid w:val="0009694E"/>
    <w:rsid w:val="00096A94"/>
    <w:rsid w:val="00096A9F"/>
    <w:rsid w:val="00096B85"/>
    <w:rsid w:val="00097024"/>
    <w:rsid w:val="000970EF"/>
    <w:rsid w:val="000971F5"/>
    <w:rsid w:val="000973E3"/>
    <w:rsid w:val="000975E1"/>
    <w:rsid w:val="00097C36"/>
    <w:rsid w:val="00097CD1"/>
    <w:rsid w:val="00097CD6"/>
    <w:rsid w:val="00097E72"/>
    <w:rsid w:val="000A000F"/>
    <w:rsid w:val="000A0114"/>
    <w:rsid w:val="000A0218"/>
    <w:rsid w:val="000A0C34"/>
    <w:rsid w:val="000A1043"/>
    <w:rsid w:val="000A178A"/>
    <w:rsid w:val="000A1ACB"/>
    <w:rsid w:val="000A1B18"/>
    <w:rsid w:val="000A1E48"/>
    <w:rsid w:val="000A1E98"/>
    <w:rsid w:val="000A20B1"/>
    <w:rsid w:val="000A20B7"/>
    <w:rsid w:val="000A21CA"/>
    <w:rsid w:val="000A22CF"/>
    <w:rsid w:val="000A290A"/>
    <w:rsid w:val="000A2C2D"/>
    <w:rsid w:val="000A2C6A"/>
    <w:rsid w:val="000A2CD4"/>
    <w:rsid w:val="000A365D"/>
    <w:rsid w:val="000A3C2C"/>
    <w:rsid w:val="000A41C9"/>
    <w:rsid w:val="000A426A"/>
    <w:rsid w:val="000A4379"/>
    <w:rsid w:val="000A45D2"/>
    <w:rsid w:val="000A4C14"/>
    <w:rsid w:val="000A4E9A"/>
    <w:rsid w:val="000A4F4B"/>
    <w:rsid w:val="000A55B6"/>
    <w:rsid w:val="000A6067"/>
    <w:rsid w:val="000A608C"/>
    <w:rsid w:val="000A62A8"/>
    <w:rsid w:val="000A63DE"/>
    <w:rsid w:val="000A6B4F"/>
    <w:rsid w:val="000A7499"/>
    <w:rsid w:val="000A74C4"/>
    <w:rsid w:val="000A786F"/>
    <w:rsid w:val="000B016D"/>
    <w:rsid w:val="000B035C"/>
    <w:rsid w:val="000B051E"/>
    <w:rsid w:val="000B0737"/>
    <w:rsid w:val="000B08D6"/>
    <w:rsid w:val="000B0C55"/>
    <w:rsid w:val="000B0D24"/>
    <w:rsid w:val="000B0DCA"/>
    <w:rsid w:val="000B0FBE"/>
    <w:rsid w:val="000B1472"/>
    <w:rsid w:val="000B1608"/>
    <w:rsid w:val="000B17A6"/>
    <w:rsid w:val="000B1865"/>
    <w:rsid w:val="000B192F"/>
    <w:rsid w:val="000B1D68"/>
    <w:rsid w:val="000B1DFD"/>
    <w:rsid w:val="000B1E31"/>
    <w:rsid w:val="000B1EFA"/>
    <w:rsid w:val="000B24A0"/>
    <w:rsid w:val="000B262C"/>
    <w:rsid w:val="000B2703"/>
    <w:rsid w:val="000B28CE"/>
    <w:rsid w:val="000B2AC1"/>
    <w:rsid w:val="000B3032"/>
    <w:rsid w:val="000B338A"/>
    <w:rsid w:val="000B34BD"/>
    <w:rsid w:val="000B353C"/>
    <w:rsid w:val="000B358C"/>
    <w:rsid w:val="000B3598"/>
    <w:rsid w:val="000B3628"/>
    <w:rsid w:val="000B3BB0"/>
    <w:rsid w:val="000B3D7F"/>
    <w:rsid w:val="000B3DDE"/>
    <w:rsid w:val="000B4000"/>
    <w:rsid w:val="000B413F"/>
    <w:rsid w:val="000B499C"/>
    <w:rsid w:val="000B49A3"/>
    <w:rsid w:val="000B4ACD"/>
    <w:rsid w:val="000B4E24"/>
    <w:rsid w:val="000B4E61"/>
    <w:rsid w:val="000B51E2"/>
    <w:rsid w:val="000B56E6"/>
    <w:rsid w:val="000B57EE"/>
    <w:rsid w:val="000B5CDC"/>
    <w:rsid w:val="000B619B"/>
    <w:rsid w:val="000B63C8"/>
    <w:rsid w:val="000B666C"/>
    <w:rsid w:val="000B681B"/>
    <w:rsid w:val="000B6A23"/>
    <w:rsid w:val="000B6BE9"/>
    <w:rsid w:val="000B759F"/>
    <w:rsid w:val="000B76E4"/>
    <w:rsid w:val="000B7886"/>
    <w:rsid w:val="000B78FE"/>
    <w:rsid w:val="000B7A12"/>
    <w:rsid w:val="000B7BA6"/>
    <w:rsid w:val="000B7BBA"/>
    <w:rsid w:val="000B7CF5"/>
    <w:rsid w:val="000B7E51"/>
    <w:rsid w:val="000B7F82"/>
    <w:rsid w:val="000C005A"/>
    <w:rsid w:val="000C0838"/>
    <w:rsid w:val="000C120A"/>
    <w:rsid w:val="000C122E"/>
    <w:rsid w:val="000C171C"/>
    <w:rsid w:val="000C1915"/>
    <w:rsid w:val="000C1CAF"/>
    <w:rsid w:val="000C2432"/>
    <w:rsid w:val="000C2656"/>
    <w:rsid w:val="000C26A7"/>
    <w:rsid w:val="000C26ED"/>
    <w:rsid w:val="000C2D64"/>
    <w:rsid w:val="000C3092"/>
    <w:rsid w:val="000C35A1"/>
    <w:rsid w:val="000C364D"/>
    <w:rsid w:val="000C38D3"/>
    <w:rsid w:val="000C3ABF"/>
    <w:rsid w:val="000C3B9A"/>
    <w:rsid w:val="000C3C9E"/>
    <w:rsid w:val="000C3E7C"/>
    <w:rsid w:val="000C3ECD"/>
    <w:rsid w:val="000C40C4"/>
    <w:rsid w:val="000C4156"/>
    <w:rsid w:val="000C4389"/>
    <w:rsid w:val="000C4455"/>
    <w:rsid w:val="000C469A"/>
    <w:rsid w:val="000C4815"/>
    <w:rsid w:val="000C48C7"/>
    <w:rsid w:val="000C58C1"/>
    <w:rsid w:val="000C5903"/>
    <w:rsid w:val="000C5B76"/>
    <w:rsid w:val="000C5C9D"/>
    <w:rsid w:val="000C5DAB"/>
    <w:rsid w:val="000C5E68"/>
    <w:rsid w:val="000C6547"/>
    <w:rsid w:val="000C695C"/>
    <w:rsid w:val="000C6D9C"/>
    <w:rsid w:val="000C6EF6"/>
    <w:rsid w:val="000C7181"/>
    <w:rsid w:val="000C729E"/>
    <w:rsid w:val="000C72BE"/>
    <w:rsid w:val="000C743F"/>
    <w:rsid w:val="000C764A"/>
    <w:rsid w:val="000C7747"/>
    <w:rsid w:val="000C7A71"/>
    <w:rsid w:val="000C7C5D"/>
    <w:rsid w:val="000C7EBA"/>
    <w:rsid w:val="000C7FD8"/>
    <w:rsid w:val="000D0225"/>
    <w:rsid w:val="000D0429"/>
    <w:rsid w:val="000D0440"/>
    <w:rsid w:val="000D0469"/>
    <w:rsid w:val="000D064F"/>
    <w:rsid w:val="000D06CB"/>
    <w:rsid w:val="000D097C"/>
    <w:rsid w:val="000D0A23"/>
    <w:rsid w:val="000D0B56"/>
    <w:rsid w:val="000D0D68"/>
    <w:rsid w:val="000D0D73"/>
    <w:rsid w:val="000D0FEE"/>
    <w:rsid w:val="000D13BF"/>
    <w:rsid w:val="000D13C4"/>
    <w:rsid w:val="000D172E"/>
    <w:rsid w:val="000D18AC"/>
    <w:rsid w:val="000D1AE7"/>
    <w:rsid w:val="000D210B"/>
    <w:rsid w:val="000D217C"/>
    <w:rsid w:val="000D2B78"/>
    <w:rsid w:val="000D2BD6"/>
    <w:rsid w:val="000D2EB4"/>
    <w:rsid w:val="000D3397"/>
    <w:rsid w:val="000D3DE5"/>
    <w:rsid w:val="000D3E01"/>
    <w:rsid w:val="000D3F26"/>
    <w:rsid w:val="000D4084"/>
    <w:rsid w:val="000D414E"/>
    <w:rsid w:val="000D4150"/>
    <w:rsid w:val="000D42F6"/>
    <w:rsid w:val="000D4497"/>
    <w:rsid w:val="000D46D5"/>
    <w:rsid w:val="000D481C"/>
    <w:rsid w:val="000D48F0"/>
    <w:rsid w:val="000D4B7C"/>
    <w:rsid w:val="000D4DDA"/>
    <w:rsid w:val="000D4FA1"/>
    <w:rsid w:val="000D4FBA"/>
    <w:rsid w:val="000D553D"/>
    <w:rsid w:val="000D5853"/>
    <w:rsid w:val="000D5FD5"/>
    <w:rsid w:val="000D6068"/>
    <w:rsid w:val="000D6380"/>
    <w:rsid w:val="000D683B"/>
    <w:rsid w:val="000D6AB8"/>
    <w:rsid w:val="000D6B05"/>
    <w:rsid w:val="000D6CB8"/>
    <w:rsid w:val="000D6D0C"/>
    <w:rsid w:val="000D6F84"/>
    <w:rsid w:val="000D7094"/>
    <w:rsid w:val="000D7A59"/>
    <w:rsid w:val="000D7CB1"/>
    <w:rsid w:val="000D7CD9"/>
    <w:rsid w:val="000D7F48"/>
    <w:rsid w:val="000E07B1"/>
    <w:rsid w:val="000E08D1"/>
    <w:rsid w:val="000E12FC"/>
    <w:rsid w:val="000E1490"/>
    <w:rsid w:val="000E1A29"/>
    <w:rsid w:val="000E1A73"/>
    <w:rsid w:val="000E1F64"/>
    <w:rsid w:val="000E22E8"/>
    <w:rsid w:val="000E23D6"/>
    <w:rsid w:val="000E26C3"/>
    <w:rsid w:val="000E2B2A"/>
    <w:rsid w:val="000E2BC9"/>
    <w:rsid w:val="000E2EEF"/>
    <w:rsid w:val="000E2F5D"/>
    <w:rsid w:val="000E31EB"/>
    <w:rsid w:val="000E3404"/>
    <w:rsid w:val="000E354F"/>
    <w:rsid w:val="000E3729"/>
    <w:rsid w:val="000E3840"/>
    <w:rsid w:val="000E3A0A"/>
    <w:rsid w:val="000E3A5C"/>
    <w:rsid w:val="000E3C60"/>
    <w:rsid w:val="000E3FD4"/>
    <w:rsid w:val="000E4314"/>
    <w:rsid w:val="000E447C"/>
    <w:rsid w:val="000E44A9"/>
    <w:rsid w:val="000E49B3"/>
    <w:rsid w:val="000E49B7"/>
    <w:rsid w:val="000E4B57"/>
    <w:rsid w:val="000E517D"/>
    <w:rsid w:val="000E51C7"/>
    <w:rsid w:val="000E5294"/>
    <w:rsid w:val="000E52C1"/>
    <w:rsid w:val="000E5353"/>
    <w:rsid w:val="000E56C8"/>
    <w:rsid w:val="000E5800"/>
    <w:rsid w:val="000E5A72"/>
    <w:rsid w:val="000E5ABF"/>
    <w:rsid w:val="000E5C23"/>
    <w:rsid w:val="000E628E"/>
    <w:rsid w:val="000E633A"/>
    <w:rsid w:val="000E64D2"/>
    <w:rsid w:val="000E6B35"/>
    <w:rsid w:val="000E6CFC"/>
    <w:rsid w:val="000E6E0B"/>
    <w:rsid w:val="000E6F1A"/>
    <w:rsid w:val="000E7007"/>
    <w:rsid w:val="000E7043"/>
    <w:rsid w:val="000E748E"/>
    <w:rsid w:val="000E74A1"/>
    <w:rsid w:val="000E7596"/>
    <w:rsid w:val="000E781D"/>
    <w:rsid w:val="000E79B8"/>
    <w:rsid w:val="000F00E9"/>
    <w:rsid w:val="000F047A"/>
    <w:rsid w:val="000F0753"/>
    <w:rsid w:val="000F09A3"/>
    <w:rsid w:val="000F0C6D"/>
    <w:rsid w:val="000F0FE8"/>
    <w:rsid w:val="000F1153"/>
    <w:rsid w:val="000F16A2"/>
    <w:rsid w:val="000F1A92"/>
    <w:rsid w:val="000F21DD"/>
    <w:rsid w:val="000F26A3"/>
    <w:rsid w:val="000F2DA6"/>
    <w:rsid w:val="000F2DCC"/>
    <w:rsid w:val="000F2E10"/>
    <w:rsid w:val="000F2F2B"/>
    <w:rsid w:val="000F318A"/>
    <w:rsid w:val="000F32AF"/>
    <w:rsid w:val="000F32EA"/>
    <w:rsid w:val="000F3617"/>
    <w:rsid w:val="000F379B"/>
    <w:rsid w:val="000F3829"/>
    <w:rsid w:val="000F44DC"/>
    <w:rsid w:val="000F4565"/>
    <w:rsid w:val="000F4603"/>
    <w:rsid w:val="000F4774"/>
    <w:rsid w:val="000F4867"/>
    <w:rsid w:val="000F5080"/>
    <w:rsid w:val="000F5168"/>
    <w:rsid w:val="000F517F"/>
    <w:rsid w:val="000F5544"/>
    <w:rsid w:val="000F5610"/>
    <w:rsid w:val="000F5756"/>
    <w:rsid w:val="000F57F8"/>
    <w:rsid w:val="000F5BBB"/>
    <w:rsid w:val="000F62C5"/>
    <w:rsid w:val="000F6C2D"/>
    <w:rsid w:val="000F7330"/>
    <w:rsid w:val="000F7491"/>
    <w:rsid w:val="000F75B7"/>
    <w:rsid w:val="000F75CD"/>
    <w:rsid w:val="000F782C"/>
    <w:rsid w:val="000F78AD"/>
    <w:rsid w:val="000F7916"/>
    <w:rsid w:val="000F7A6B"/>
    <w:rsid w:val="000F7EF3"/>
    <w:rsid w:val="0010011D"/>
    <w:rsid w:val="0010037D"/>
    <w:rsid w:val="00100451"/>
    <w:rsid w:val="0010090E"/>
    <w:rsid w:val="001009E5"/>
    <w:rsid w:val="001011C5"/>
    <w:rsid w:val="00101289"/>
    <w:rsid w:val="00101681"/>
    <w:rsid w:val="00101720"/>
    <w:rsid w:val="00101AA4"/>
    <w:rsid w:val="00101D29"/>
    <w:rsid w:val="00101FB9"/>
    <w:rsid w:val="001029BE"/>
    <w:rsid w:val="00102BCE"/>
    <w:rsid w:val="00102CB4"/>
    <w:rsid w:val="00102CFF"/>
    <w:rsid w:val="00102FCC"/>
    <w:rsid w:val="00102FE8"/>
    <w:rsid w:val="00103232"/>
    <w:rsid w:val="0010326C"/>
    <w:rsid w:val="001038B2"/>
    <w:rsid w:val="001038E2"/>
    <w:rsid w:val="00103901"/>
    <w:rsid w:val="00103AE1"/>
    <w:rsid w:val="00103B31"/>
    <w:rsid w:val="0010408A"/>
    <w:rsid w:val="00104413"/>
    <w:rsid w:val="00104A47"/>
    <w:rsid w:val="00104CE4"/>
    <w:rsid w:val="00105179"/>
    <w:rsid w:val="001051BB"/>
    <w:rsid w:val="001055C9"/>
    <w:rsid w:val="00105922"/>
    <w:rsid w:val="00105D2E"/>
    <w:rsid w:val="00105ED1"/>
    <w:rsid w:val="00105EFB"/>
    <w:rsid w:val="00106463"/>
    <w:rsid w:val="0010683B"/>
    <w:rsid w:val="0010684D"/>
    <w:rsid w:val="00106AB9"/>
    <w:rsid w:val="00106E84"/>
    <w:rsid w:val="00106F78"/>
    <w:rsid w:val="0010725B"/>
    <w:rsid w:val="001074DD"/>
    <w:rsid w:val="001078A7"/>
    <w:rsid w:val="0010794F"/>
    <w:rsid w:val="00107B53"/>
    <w:rsid w:val="00107BF7"/>
    <w:rsid w:val="00107D41"/>
    <w:rsid w:val="00107E66"/>
    <w:rsid w:val="00107ED5"/>
    <w:rsid w:val="00107F23"/>
    <w:rsid w:val="00110528"/>
    <w:rsid w:val="00110775"/>
    <w:rsid w:val="001108F8"/>
    <w:rsid w:val="00110AE4"/>
    <w:rsid w:val="00110B7F"/>
    <w:rsid w:val="00110E68"/>
    <w:rsid w:val="00110EFB"/>
    <w:rsid w:val="001114D4"/>
    <w:rsid w:val="00111578"/>
    <w:rsid w:val="0011174F"/>
    <w:rsid w:val="00111C8F"/>
    <w:rsid w:val="001123EC"/>
    <w:rsid w:val="00112C76"/>
    <w:rsid w:val="00112E70"/>
    <w:rsid w:val="001134A5"/>
    <w:rsid w:val="00113523"/>
    <w:rsid w:val="0011373A"/>
    <w:rsid w:val="00113A87"/>
    <w:rsid w:val="00113D4C"/>
    <w:rsid w:val="00113E8D"/>
    <w:rsid w:val="00113F65"/>
    <w:rsid w:val="00114989"/>
    <w:rsid w:val="00114E79"/>
    <w:rsid w:val="001153B5"/>
    <w:rsid w:val="001155FF"/>
    <w:rsid w:val="0011565B"/>
    <w:rsid w:val="001156B2"/>
    <w:rsid w:val="00115A3E"/>
    <w:rsid w:val="00115A9A"/>
    <w:rsid w:val="00115A9B"/>
    <w:rsid w:val="00115CA6"/>
    <w:rsid w:val="00115D46"/>
    <w:rsid w:val="00115D6D"/>
    <w:rsid w:val="001161A0"/>
    <w:rsid w:val="0011673E"/>
    <w:rsid w:val="0011675E"/>
    <w:rsid w:val="00116B88"/>
    <w:rsid w:val="00116ED8"/>
    <w:rsid w:val="001177E7"/>
    <w:rsid w:val="00117C50"/>
    <w:rsid w:val="0012022E"/>
    <w:rsid w:val="0012026C"/>
    <w:rsid w:val="00120547"/>
    <w:rsid w:val="001206A5"/>
    <w:rsid w:val="00120AB2"/>
    <w:rsid w:val="00120B12"/>
    <w:rsid w:val="00120B58"/>
    <w:rsid w:val="00120CD6"/>
    <w:rsid w:val="00120CE8"/>
    <w:rsid w:val="00120FC2"/>
    <w:rsid w:val="001211B2"/>
    <w:rsid w:val="00121201"/>
    <w:rsid w:val="001212B1"/>
    <w:rsid w:val="00121337"/>
    <w:rsid w:val="001213C8"/>
    <w:rsid w:val="0012143C"/>
    <w:rsid w:val="001214D7"/>
    <w:rsid w:val="0012168E"/>
    <w:rsid w:val="001218A4"/>
    <w:rsid w:val="00121AD8"/>
    <w:rsid w:val="00121CF6"/>
    <w:rsid w:val="00121E6F"/>
    <w:rsid w:val="00122162"/>
    <w:rsid w:val="001222BB"/>
    <w:rsid w:val="00122C9B"/>
    <w:rsid w:val="00122DC6"/>
    <w:rsid w:val="00123106"/>
    <w:rsid w:val="00123354"/>
    <w:rsid w:val="0012335A"/>
    <w:rsid w:val="00123D55"/>
    <w:rsid w:val="00123F21"/>
    <w:rsid w:val="001242CB"/>
    <w:rsid w:val="00124E69"/>
    <w:rsid w:val="00124E89"/>
    <w:rsid w:val="0012568F"/>
    <w:rsid w:val="00125793"/>
    <w:rsid w:val="001257F6"/>
    <w:rsid w:val="00125807"/>
    <w:rsid w:val="00125B85"/>
    <w:rsid w:val="00125EF5"/>
    <w:rsid w:val="001260A9"/>
    <w:rsid w:val="00126409"/>
    <w:rsid w:val="00126909"/>
    <w:rsid w:val="00126A69"/>
    <w:rsid w:val="00126CF6"/>
    <w:rsid w:val="00127213"/>
    <w:rsid w:val="00127320"/>
    <w:rsid w:val="00127377"/>
    <w:rsid w:val="00127390"/>
    <w:rsid w:val="00127488"/>
    <w:rsid w:val="001277E1"/>
    <w:rsid w:val="001300BC"/>
    <w:rsid w:val="0013096A"/>
    <w:rsid w:val="001309DF"/>
    <w:rsid w:val="00130DC7"/>
    <w:rsid w:val="00130EA7"/>
    <w:rsid w:val="00130FDC"/>
    <w:rsid w:val="001310E0"/>
    <w:rsid w:val="0013118C"/>
    <w:rsid w:val="001312DD"/>
    <w:rsid w:val="001315A9"/>
    <w:rsid w:val="00131781"/>
    <w:rsid w:val="00131B93"/>
    <w:rsid w:val="00131CED"/>
    <w:rsid w:val="00131D3E"/>
    <w:rsid w:val="00132071"/>
    <w:rsid w:val="00132115"/>
    <w:rsid w:val="001322F5"/>
    <w:rsid w:val="00132513"/>
    <w:rsid w:val="001326D0"/>
    <w:rsid w:val="0013290A"/>
    <w:rsid w:val="00132944"/>
    <w:rsid w:val="00132BB1"/>
    <w:rsid w:val="00132DE0"/>
    <w:rsid w:val="00133595"/>
    <w:rsid w:val="0013386C"/>
    <w:rsid w:val="00133919"/>
    <w:rsid w:val="0013392D"/>
    <w:rsid w:val="00133F4F"/>
    <w:rsid w:val="00134063"/>
    <w:rsid w:val="00134420"/>
    <w:rsid w:val="001347D7"/>
    <w:rsid w:val="00134C1A"/>
    <w:rsid w:val="00134FB1"/>
    <w:rsid w:val="00135368"/>
    <w:rsid w:val="0013570C"/>
    <w:rsid w:val="00135861"/>
    <w:rsid w:val="001360B4"/>
    <w:rsid w:val="001363A4"/>
    <w:rsid w:val="00137023"/>
    <w:rsid w:val="0013746A"/>
    <w:rsid w:val="00137474"/>
    <w:rsid w:val="001375D4"/>
    <w:rsid w:val="001378F3"/>
    <w:rsid w:val="0013797C"/>
    <w:rsid w:val="00137AD4"/>
    <w:rsid w:val="00137ECE"/>
    <w:rsid w:val="00140060"/>
    <w:rsid w:val="001401AB"/>
    <w:rsid w:val="0014095E"/>
    <w:rsid w:val="00140A56"/>
    <w:rsid w:val="00140B33"/>
    <w:rsid w:val="00140C48"/>
    <w:rsid w:val="00140D4E"/>
    <w:rsid w:val="00140EEA"/>
    <w:rsid w:val="00140EFF"/>
    <w:rsid w:val="00141183"/>
    <w:rsid w:val="001412BC"/>
    <w:rsid w:val="00141438"/>
    <w:rsid w:val="001419AE"/>
    <w:rsid w:val="00141A52"/>
    <w:rsid w:val="00141B7E"/>
    <w:rsid w:val="00141BF2"/>
    <w:rsid w:val="00142209"/>
    <w:rsid w:val="00142277"/>
    <w:rsid w:val="00142279"/>
    <w:rsid w:val="00142518"/>
    <w:rsid w:val="001429A2"/>
    <w:rsid w:val="00142B90"/>
    <w:rsid w:val="00142BE7"/>
    <w:rsid w:val="00142E88"/>
    <w:rsid w:val="00142F0B"/>
    <w:rsid w:val="0014335A"/>
    <w:rsid w:val="0014339C"/>
    <w:rsid w:val="00143921"/>
    <w:rsid w:val="00143B38"/>
    <w:rsid w:val="00143B41"/>
    <w:rsid w:val="00143E91"/>
    <w:rsid w:val="00143F1F"/>
    <w:rsid w:val="0014472F"/>
    <w:rsid w:val="00144921"/>
    <w:rsid w:val="00144C3A"/>
    <w:rsid w:val="00144C75"/>
    <w:rsid w:val="00144D1E"/>
    <w:rsid w:val="00144E39"/>
    <w:rsid w:val="00144F03"/>
    <w:rsid w:val="00145281"/>
    <w:rsid w:val="00145635"/>
    <w:rsid w:val="001456AE"/>
    <w:rsid w:val="00145E7C"/>
    <w:rsid w:val="00145EB8"/>
    <w:rsid w:val="00146172"/>
    <w:rsid w:val="00146369"/>
    <w:rsid w:val="001463DA"/>
    <w:rsid w:val="001463F6"/>
    <w:rsid w:val="001468D5"/>
    <w:rsid w:val="00146AD8"/>
    <w:rsid w:val="00146B22"/>
    <w:rsid w:val="00146D7C"/>
    <w:rsid w:val="0014715D"/>
    <w:rsid w:val="001474D9"/>
    <w:rsid w:val="0014750D"/>
    <w:rsid w:val="00147709"/>
    <w:rsid w:val="001479A7"/>
    <w:rsid w:val="001479AF"/>
    <w:rsid w:val="00147BAC"/>
    <w:rsid w:val="00147CA9"/>
    <w:rsid w:val="00147D0F"/>
    <w:rsid w:val="00147D27"/>
    <w:rsid w:val="00147DDC"/>
    <w:rsid w:val="00150A0F"/>
    <w:rsid w:val="00150C3E"/>
    <w:rsid w:val="00150F8F"/>
    <w:rsid w:val="001513AE"/>
    <w:rsid w:val="00151421"/>
    <w:rsid w:val="0015184C"/>
    <w:rsid w:val="001518F4"/>
    <w:rsid w:val="00152022"/>
    <w:rsid w:val="00152173"/>
    <w:rsid w:val="00152B4D"/>
    <w:rsid w:val="00152C26"/>
    <w:rsid w:val="0015307F"/>
    <w:rsid w:val="0015315D"/>
    <w:rsid w:val="001532B6"/>
    <w:rsid w:val="001532ED"/>
    <w:rsid w:val="00153870"/>
    <w:rsid w:val="00153988"/>
    <w:rsid w:val="001539AD"/>
    <w:rsid w:val="00153C79"/>
    <w:rsid w:val="00153D6A"/>
    <w:rsid w:val="00154547"/>
    <w:rsid w:val="00154DB4"/>
    <w:rsid w:val="00154EEA"/>
    <w:rsid w:val="00154F4F"/>
    <w:rsid w:val="0015501B"/>
    <w:rsid w:val="00155205"/>
    <w:rsid w:val="00155675"/>
    <w:rsid w:val="001556D0"/>
    <w:rsid w:val="00155982"/>
    <w:rsid w:val="00155A3F"/>
    <w:rsid w:val="00155B00"/>
    <w:rsid w:val="00155DAD"/>
    <w:rsid w:val="00155F59"/>
    <w:rsid w:val="00155FEF"/>
    <w:rsid w:val="001565AD"/>
    <w:rsid w:val="00156800"/>
    <w:rsid w:val="00156997"/>
    <w:rsid w:val="00156B6D"/>
    <w:rsid w:val="00156F8B"/>
    <w:rsid w:val="001575D6"/>
    <w:rsid w:val="0015788C"/>
    <w:rsid w:val="001579BA"/>
    <w:rsid w:val="00157D55"/>
    <w:rsid w:val="00157DCD"/>
    <w:rsid w:val="0016006C"/>
    <w:rsid w:val="00160E62"/>
    <w:rsid w:val="00160FED"/>
    <w:rsid w:val="00161258"/>
    <w:rsid w:val="00161303"/>
    <w:rsid w:val="001614FD"/>
    <w:rsid w:val="001618E0"/>
    <w:rsid w:val="00161D4D"/>
    <w:rsid w:val="00162032"/>
    <w:rsid w:val="001620E0"/>
    <w:rsid w:val="00162190"/>
    <w:rsid w:val="00162191"/>
    <w:rsid w:val="001623ED"/>
    <w:rsid w:val="0016262F"/>
    <w:rsid w:val="00162814"/>
    <w:rsid w:val="0016294E"/>
    <w:rsid w:val="00162D36"/>
    <w:rsid w:val="00162EBA"/>
    <w:rsid w:val="0016333F"/>
    <w:rsid w:val="001638A5"/>
    <w:rsid w:val="00163A61"/>
    <w:rsid w:val="00163AF2"/>
    <w:rsid w:val="00163B98"/>
    <w:rsid w:val="00164407"/>
    <w:rsid w:val="00164564"/>
    <w:rsid w:val="001647C3"/>
    <w:rsid w:val="001648CD"/>
    <w:rsid w:val="00164D47"/>
    <w:rsid w:val="00164EC6"/>
    <w:rsid w:val="0016521A"/>
    <w:rsid w:val="001653ED"/>
    <w:rsid w:val="00165520"/>
    <w:rsid w:val="0016569C"/>
    <w:rsid w:val="00165850"/>
    <w:rsid w:val="00165882"/>
    <w:rsid w:val="00165ADF"/>
    <w:rsid w:val="00165C99"/>
    <w:rsid w:val="001661C2"/>
    <w:rsid w:val="001663A0"/>
    <w:rsid w:val="001665D1"/>
    <w:rsid w:val="00166633"/>
    <w:rsid w:val="00166666"/>
    <w:rsid w:val="00166B93"/>
    <w:rsid w:val="00166BFC"/>
    <w:rsid w:val="00166CEB"/>
    <w:rsid w:val="00166E20"/>
    <w:rsid w:val="0016706C"/>
    <w:rsid w:val="001670A7"/>
    <w:rsid w:val="00167155"/>
    <w:rsid w:val="001671A3"/>
    <w:rsid w:val="00167473"/>
    <w:rsid w:val="001674CA"/>
    <w:rsid w:val="001675D2"/>
    <w:rsid w:val="001677FE"/>
    <w:rsid w:val="001679B9"/>
    <w:rsid w:val="00167C78"/>
    <w:rsid w:val="00167DA8"/>
    <w:rsid w:val="00167DD0"/>
    <w:rsid w:val="00167ED8"/>
    <w:rsid w:val="00170445"/>
    <w:rsid w:val="00170B27"/>
    <w:rsid w:val="00170B4B"/>
    <w:rsid w:val="00170EFA"/>
    <w:rsid w:val="001711FA"/>
    <w:rsid w:val="00171239"/>
    <w:rsid w:val="0017123F"/>
    <w:rsid w:val="00171B1B"/>
    <w:rsid w:val="00171C12"/>
    <w:rsid w:val="00171E8E"/>
    <w:rsid w:val="00171EAD"/>
    <w:rsid w:val="00171F48"/>
    <w:rsid w:val="0017212E"/>
    <w:rsid w:val="0017212F"/>
    <w:rsid w:val="00172657"/>
    <w:rsid w:val="001727B9"/>
    <w:rsid w:val="0017288F"/>
    <w:rsid w:val="00172C78"/>
    <w:rsid w:val="00172FAB"/>
    <w:rsid w:val="00172FE0"/>
    <w:rsid w:val="0017357B"/>
    <w:rsid w:val="00173A57"/>
    <w:rsid w:val="00173AB4"/>
    <w:rsid w:val="00173DCE"/>
    <w:rsid w:val="00174245"/>
    <w:rsid w:val="001742F5"/>
    <w:rsid w:val="001744C0"/>
    <w:rsid w:val="001744C7"/>
    <w:rsid w:val="001745B3"/>
    <w:rsid w:val="00174636"/>
    <w:rsid w:val="001747A6"/>
    <w:rsid w:val="001747B0"/>
    <w:rsid w:val="00175113"/>
    <w:rsid w:val="0017515B"/>
    <w:rsid w:val="00175207"/>
    <w:rsid w:val="0017533D"/>
    <w:rsid w:val="001754DC"/>
    <w:rsid w:val="001755C0"/>
    <w:rsid w:val="0017570D"/>
    <w:rsid w:val="00175F87"/>
    <w:rsid w:val="001765B3"/>
    <w:rsid w:val="001766D9"/>
    <w:rsid w:val="001769F6"/>
    <w:rsid w:val="00176A64"/>
    <w:rsid w:val="00176C52"/>
    <w:rsid w:val="001771B8"/>
    <w:rsid w:val="0017725D"/>
    <w:rsid w:val="001775BD"/>
    <w:rsid w:val="001775FF"/>
    <w:rsid w:val="00177C87"/>
    <w:rsid w:val="00177CAC"/>
    <w:rsid w:val="0018006A"/>
    <w:rsid w:val="001808BE"/>
    <w:rsid w:val="00180A54"/>
    <w:rsid w:val="00180B13"/>
    <w:rsid w:val="00180B16"/>
    <w:rsid w:val="00180D67"/>
    <w:rsid w:val="00180F05"/>
    <w:rsid w:val="00180F07"/>
    <w:rsid w:val="00180F4E"/>
    <w:rsid w:val="001810E3"/>
    <w:rsid w:val="001812C9"/>
    <w:rsid w:val="0018141E"/>
    <w:rsid w:val="0018145A"/>
    <w:rsid w:val="0018146A"/>
    <w:rsid w:val="00181655"/>
    <w:rsid w:val="00181A34"/>
    <w:rsid w:val="00181F72"/>
    <w:rsid w:val="00182321"/>
    <w:rsid w:val="0018252C"/>
    <w:rsid w:val="001826A2"/>
    <w:rsid w:val="001826EF"/>
    <w:rsid w:val="00182C05"/>
    <w:rsid w:val="00182C66"/>
    <w:rsid w:val="00182E97"/>
    <w:rsid w:val="00182EFE"/>
    <w:rsid w:val="00183316"/>
    <w:rsid w:val="0018363A"/>
    <w:rsid w:val="0018370A"/>
    <w:rsid w:val="001837D8"/>
    <w:rsid w:val="00183912"/>
    <w:rsid w:val="00184171"/>
    <w:rsid w:val="001841F3"/>
    <w:rsid w:val="00184812"/>
    <w:rsid w:val="00184C65"/>
    <w:rsid w:val="00184E5C"/>
    <w:rsid w:val="00185015"/>
    <w:rsid w:val="001854DA"/>
    <w:rsid w:val="00185986"/>
    <w:rsid w:val="001860D4"/>
    <w:rsid w:val="00186230"/>
    <w:rsid w:val="00186683"/>
    <w:rsid w:val="00186784"/>
    <w:rsid w:val="00186851"/>
    <w:rsid w:val="0018697D"/>
    <w:rsid w:val="00186BA0"/>
    <w:rsid w:val="0018703B"/>
    <w:rsid w:val="001870A1"/>
    <w:rsid w:val="001870D2"/>
    <w:rsid w:val="0018710B"/>
    <w:rsid w:val="00187150"/>
    <w:rsid w:val="00187625"/>
    <w:rsid w:val="0018792B"/>
    <w:rsid w:val="00187F09"/>
    <w:rsid w:val="00187F6C"/>
    <w:rsid w:val="00187F97"/>
    <w:rsid w:val="00190621"/>
    <w:rsid w:val="0019087D"/>
    <w:rsid w:val="001908A0"/>
    <w:rsid w:val="001909DE"/>
    <w:rsid w:val="00190B19"/>
    <w:rsid w:val="00190FE7"/>
    <w:rsid w:val="00191935"/>
    <w:rsid w:val="00191D51"/>
    <w:rsid w:val="00191F9B"/>
    <w:rsid w:val="0019204D"/>
    <w:rsid w:val="00192123"/>
    <w:rsid w:val="0019271B"/>
    <w:rsid w:val="001927AC"/>
    <w:rsid w:val="00192986"/>
    <w:rsid w:val="00192CE8"/>
    <w:rsid w:val="00192F90"/>
    <w:rsid w:val="00193072"/>
    <w:rsid w:val="001931FA"/>
    <w:rsid w:val="00193649"/>
    <w:rsid w:val="001938D7"/>
    <w:rsid w:val="00193AEB"/>
    <w:rsid w:val="00193CCD"/>
    <w:rsid w:val="00193D49"/>
    <w:rsid w:val="00194030"/>
    <w:rsid w:val="00194060"/>
    <w:rsid w:val="00194BC0"/>
    <w:rsid w:val="00194C6B"/>
    <w:rsid w:val="00195105"/>
    <w:rsid w:val="00195369"/>
    <w:rsid w:val="001957D6"/>
    <w:rsid w:val="00195B53"/>
    <w:rsid w:val="00195D3A"/>
    <w:rsid w:val="001964B9"/>
    <w:rsid w:val="00196AC6"/>
    <w:rsid w:val="00196D86"/>
    <w:rsid w:val="00197289"/>
    <w:rsid w:val="0019738B"/>
    <w:rsid w:val="001A01CB"/>
    <w:rsid w:val="001A02AA"/>
    <w:rsid w:val="001A0707"/>
    <w:rsid w:val="001A09D6"/>
    <w:rsid w:val="001A0A60"/>
    <w:rsid w:val="001A1140"/>
    <w:rsid w:val="001A1379"/>
    <w:rsid w:val="001A160A"/>
    <w:rsid w:val="001A16D5"/>
    <w:rsid w:val="001A2163"/>
    <w:rsid w:val="001A22C9"/>
    <w:rsid w:val="001A23CB"/>
    <w:rsid w:val="001A23DF"/>
    <w:rsid w:val="001A2534"/>
    <w:rsid w:val="001A2553"/>
    <w:rsid w:val="001A263E"/>
    <w:rsid w:val="001A2659"/>
    <w:rsid w:val="001A26A2"/>
    <w:rsid w:val="001A27AD"/>
    <w:rsid w:val="001A2EA1"/>
    <w:rsid w:val="001A3066"/>
    <w:rsid w:val="001A3164"/>
    <w:rsid w:val="001A3335"/>
    <w:rsid w:val="001A35B2"/>
    <w:rsid w:val="001A3675"/>
    <w:rsid w:val="001A3B7F"/>
    <w:rsid w:val="001A3FBB"/>
    <w:rsid w:val="001A4096"/>
    <w:rsid w:val="001A4122"/>
    <w:rsid w:val="001A450E"/>
    <w:rsid w:val="001A4638"/>
    <w:rsid w:val="001A4748"/>
    <w:rsid w:val="001A4A0A"/>
    <w:rsid w:val="001A4DA9"/>
    <w:rsid w:val="001A5214"/>
    <w:rsid w:val="001A5350"/>
    <w:rsid w:val="001A5518"/>
    <w:rsid w:val="001A5D2C"/>
    <w:rsid w:val="001A5F98"/>
    <w:rsid w:val="001A605C"/>
    <w:rsid w:val="001A63FF"/>
    <w:rsid w:val="001A67AB"/>
    <w:rsid w:val="001A68D0"/>
    <w:rsid w:val="001A69E0"/>
    <w:rsid w:val="001A6BB0"/>
    <w:rsid w:val="001A72AD"/>
    <w:rsid w:val="001A7C06"/>
    <w:rsid w:val="001A7CF2"/>
    <w:rsid w:val="001A7D1D"/>
    <w:rsid w:val="001A7D35"/>
    <w:rsid w:val="001A7F75"/>
    <w:rsid w:val="001B01D4"/>
    <w:rsid w:val="001B0270"/>
    <w:rsid w:val="001B02FC"/>
    <w:rsid w:val="001B0984"/>
    <w:rsid w:val="001B0CB2"/>
    <w:rsid w:val="001B0E19"/>
    <w:rsid w:val="001B0E79"/>
    <w:rsid w:val="001B0F50"/>
    <w:rsid w:val="001B13A5"/>
    <w:rsid w:val="001B141C"/>
    <w:rsid w:val="001B145F"/>
    <w:rsid w:val="001B1955"/>
    <w:rsid w:val="001B1EF6"/>
    <w:rsid w:val="001B279E"/>
    <w:rsid w:val="001B2AA0"/>
    <w:rsid w:val="001B2D08"/>
    <w:rsid w:val="001B2D1C"/>
    <w:rsid w:val="001B2EFF"/>
    <w:rsid w:val="001B3018"/>
    <w:rsid w:val="001B3120"/>
    <w:rsid w:val="001B31C3"/>
    <w:rsid w:val="001B3A8A"/>
    <w:rsid w:val="001B4027"/>
    <w:rsid w:val="001B431F"/>
    <w:rsid w:val="001B43EB"/>
    <w:rsid w:val="001B47C3"/>
    <w:rsid w:val="001B4DDF"/>
    <w:rsid w:val="001B5192"/>
    <w:rsid w:val="001B539B"/>
    <w:rsid w:val="001B558B"/>
    <w:rsid w:val="001B55BF"/>
    <w:rsid w:val="001B5730"/>
    <w:rsid w:val="001B59E6"/>
    <w:rsid w:val="001B654C"/>
    <w:rsid w:val="001B6936"/>
    <w:rsid w:val="001B6FBA"/>
    <w:rsid w:val="001B7043"/>
    <w:rsid w:val="001B7351"/>
    <w:rsid w:val="001B7393"/>
    <w:rsid w:val="001B73C8"/>
    <w:rsid w:val="001B791D"/>
    <w:rsid w:val="001B7DE5"/>
    <w:rsid w:val="001C08C5"/>
    <w:rsid w:val="001C0A58"/>
    <w:rsid w:val="001C0B2F"/>
    <w:rsid w:val="001C0BA1"/>
    <w:rsid w:val="001C0EE5"/>
    <w:rsid w:val="001C1343"/>
    <w:rsid w:val="001C1375"/>
    <w:rsid w:val="001C137D"/>
    <w:rsid w:val="001C167A"/>
    <w:rsid w:val="001C195F"/>
    <w:rsid w:val="001C1A67"/>
    <w:rsid w:val="001C1BA2"/>
    <w:rsid w:val="001C1BDF"/>
    <w:rsid w:val="001C1D9B"/>
    <w:rsid w:val="001C1FD1"/>
    <w:rsid w:val="001C207A"/>
    <w:rsid w:val="001C21F3"/>
    <w:rsid w:val="001C2303"/>
    <w:rsid w:val="001C2AD4"/>
    <w:rsid w:val="001C3122"/>
    <w:rsid w:val="001C32B5"/>
    <w:rsid w:val="001C3444"/>
    <w:rsid w:val="001C392B"/>
    <w:rsid w:val="001C39AF"/>
    <w:rsid w:val="001C3F06"/>
    <w:rsid w:val="001C3F55"/>
    <w:rsid w:val="001C3FF2"/>
    <w:rsid w:val="001C5276"/>
    <w:rsid w:val="001C52D1"/>
    <w:rsid w:val="001C54DF"/>
    <w:rsid w:val="001C5559"/>
    <w:rsid w:val="001C5763"/>
    <w:rsid w:val="001C5AD5"/>
    <w:rsid w:val="001C671B"/>
    <w:rsid w:val="001C69B1"/>
    <w:rsid w:val="001C6ACD"/>
    <w:rsid w:val="001C6B46"/>
    <w:rsid w:val="001C6D52"/>
    <w:rsid w:val="001C731F"/>
    <w:rsid w:val="001C73DE"/>
    <w:rsid w:val="001C77B7"/>
    <w:rsid w:val="001C7AC2"/>
    <w:rsid w:val="001C7BD1"/>
    <w:rsid w:val="001C7C23"/>
    <w:rsid w:val="001C7C60"/>
    <w:rsid w:val="001C7D06"/>
    <w:rsid w:val="001C7FA9"/>
    <w:rsid w:val="001D0339"/>
    <w:rsid w:val="001D033C"/>
    <w:rsid w:val="001D0405"/>
    <w:rsid w:val="001D0409"/>
    <w:rsid w:val="001D0794"/>
    <w:rsid w:val="001D0924"/>
    <w:rsid w:val="001D0A9E"/>
    <w:rsid w:val="001D0BFF"/>
    <w:rsid w:val="001D0C8D"/>
    <w:rsid w:val="001D0E33"/>
    <w:rsid w:val="001D13E2"/>
    <w:rsid w:val="001D14C1"/>
    <w:rsid w:val="001D1566"/>
    <w:rsid w:val="001D1747"/>
    <w:rsid w:val="001D17FB"/>
    <w:rsid w:val="001D18B7"/>
    <w:rsid w:val="001D2499"/>
    <w:rsid w:val="001D263B"/>
    <w:rsid w:val="001D2665"/>
    <w:rsid w:val="001D26D5"/>
    <w:rsid w:val="001D28B8"/>
    <w:rsid w:val="001D29F2"/>
    <w:rsid w:val="001D2B5D"/>
    <w:rsid w:val="001D2F0C"/>
    <w:rsid w:val="001D2FF0"/>
    <w:rsid w:val="001D30C0"/>
    <w:rsid w:val="001D34A9"/>
    <w:rsid w:val="001D358D"/>
    <w:rsid w:val="001D3836"/>
    <w:rsid w:val="001D39FA"/>
    <w:rsid w:val="001D3F85"/>
    <w:rsid w:val="001D4302"/>
    <w:rsid w:val="001D480E"/>
    <w:rsid w:val="001D51D3"/>
    <w:rsid w:val="001D5232"/>
    <w:rsid w:val="001D52AE"/>
    <w:rsid w:val="001D57B1"/>
    <w:rsid w:val="001D5B2F"/>
    <w:rsid w:val="001D5D09"/>
    <w:rsid w:val="001D5F36"/>
    <w:rsid w:val="001D67FE"/>
    <w:rsid w:val="001D69A9"/>
    <w:rsid w:val="001D6BA8"/>
    <w:rsid w:val="001D6D0E"/>
    <w:rsid w:val="001D6D8E"/>
    <w:rsid w:val="001D6E3C"/>
    <w:rsid w:val="001D706F"/>
    <w:rsid w:val="001D7129"/>
    <w:rsid w:val="001D736D"/>
    <w:rsid w:val="001D786F"/>
    <w:rsid w:val="001E00B9"/>
    <w:rsid w:val="001E01AE"/>
    <w:rsid w:val="001E03EB"/>
    <w:rsid w:val="001E0F17"/>
    <w:rsid w:val="001E110D"/>
    <w:rsid w:val="001E1251"/>
    <w:rsid w:val="001E13D4"/>
    <w:rsid w:val="001E15EB"/>
    <w:rsid w:val="001E175E"/>
    <w:rsid w:val="001E19BC"/>
    <w:rsid w:val="001E1A08"/>
    <w:rsid w:val="001E1ABD"/>
    <w:rsid w:val="001E1BBB"/>
    <w:rsid w:val="001E1D8C"/>
    <w:rsid w:val="001E1E91"/>
    <w:rsid w:val="001E20C0"/>
    <w:rsid w:val="001E21D1"/>
    <w:rsid w:val="001E21E7"/>
    <w:rsid w:val="001E23AE"/>
    <w:rsid w:val="001E23C3"/>
    <w:rsid w:val="001E2727"/>
    <w:rsid w:val="001E2793"/>
    <w:rsid w:val="001E29E5"/>
    <w:rsid w:val="001E2F97"/>
    <w:rsid w:val="001E3273"/>
    <w:rsid w:val="001E3B1D"/>
    <w:rsid w:val="001E3FEE"/>
    <w:rsid w:val="001E40F5"/>
    <w:rsid w:val="001E43AF"/>
    <w:rsid w:val="001E446D"/>
    <w:rsid w:val="001E451C"/>
    <w:rsid w:val="001E4619"/>
    <w:rsid w:val="001E4F5D"/>
    <w:rsid w:val="001E4FFA"/>
    <w:rsid w:val="001E5630"/>
    <w:rsid w:val="001E577C"/>
    <w:rsid w:val="001E59A3"/>
    <w:rsid w:val="001E611B"/>
    <w:rsid w:val="001E63B7"/>
    <w:rsid w:val="001E68AC"/>
    <w:rsid w:val="001E6988"/>
    <w:rsid w:val="001E6B74"/>
    <w:rsid w:val="001E6F1D"/>
    <w:rsid w:val="001E6F2F"/>
    <w:rsid w:val="001E7208"/>
    <w:rsid w:val="001E723B"/>
    <w:rsid w:val="001E7303"/>
    <w:rsid w:val="001E79B7"/>
    <w:rsid w:val="001E7AF3"/>
    <w:rsid w:val="001E7C7C"/>
    <w:rsid w:val="001F02F6"/>
    <w:rsid w:val="001F04BB"/>
    <w:rsid w:val="001F06E1"/>
    <w:rsid w:val="001F0B42"/>
    <w:rsid w:val="001F0DC2"/>
    <w:rsid w:val="001F0DD1"/>
    <w:rsid w:val="001F1009"/>
    <w:rsid w:val="001F11C1"/>
    <w:rsid w:val="001F124A"/>
    <w:rsid w:val="001F16D3"/>
    <w:rsid w:val="001F1774"/>
    <w:rsid w:val="001F2224"/>
    <w:rsid w:val="001F254A"/>
    <w:rsid w:val="001F268F"/>
    <w:rsid w:val="001F2794"/>
    <w:rsid w:val="001F27D5"/>
    <w:rsid w:val="001F2828"/>
    <w:rsid w:val="001F2EA2"/>
    <w:rsid w:val="001F33D6"/>
    <w:rsid w:val="001F350F"/>
    <w:rsid w:val="001F3C0B"/>
    <w:rsid w:val="001F3E32"/>
    <w:rsid w:val="001F3EF7"/>
    <w:rsid w:val="001F4159"/>
    <w:rsid w:val="001F4216"/>
    <w:rsid w:val="001F4871"/>
    <w:rsid w:val="001F4FF6"/>
    <w:rsid w:val="001F5412"/>
    <w:rsid w:val="001F56C6"/>
    <w:rsid w:val="001F5C20"/>
    <w:rsid w:val="001F5DAF"/>
    <w:rsid w:val="001F605F"/>
    <w:rsid w:val="001F60AB"/>
    <w:rsid w:val="001F6844"/>
    <w:rsid w:val="001F6B38"/>
    <w:rsid w:val="001F6CC4"/>
    <w:rsid w:val="001F6CC7"/>
    <w:rsid w:val="001F6E24"/>
    <w:rsid w:val="001F6E27"/>
    <w:rsid w:val="001F6F11"/>
    <w:rsid w:val="001F71A3"/>
    <w:rsid w:val="001F73C1"/>
    <w:rsid w:val="001F78A2"/>
    <w:rsid w:val="001F7B97"/>
    <w:rsid w:val="001F7E43"/>
    <w:rsid w:val="001F7F55"/>
    <w:rsid w:val="002002C4"/>
    <w:rsid w:val="002005B1"/>
    <w:rsid w:val="002005BC"/>
    <w:rsid w:val="00200792"/>
    <w:rsid w:val="00200835"/>
    <w:rsid w:val="00200CC3"/>
    <w:rsid w:val="00200D52"/>
    <w:rsid w:val="002010EF"/>
    <w:rsid w:val="002014DC"/>
    <w:rsid w:val="00201C82"/>
    <w:rsid w:val="00201FD9"/>
    <w:rsid w:val="00202888"/>
    <w:rsid w:val="002028C9"/>
    <w:rsid w:val="00202962"/>
    <w:rsid w:val="00202C91"/>
    <w:rsid w:val="00202E9E"/>
    <w:rsid w:val="00202E9F"/>
    <w:rsid w:val="00203264"/>
    <w:rsid w:val="002035CB"/>
    <w:rsid w:val="002035E8"/>
    <w:rsid w:val="00203DA6"/>
    <w:rsid w:val="00203DAE"/>
    <w:rsid w:val="00204583"/>
    <w:rsid w:val="002045F8"/>
    <w:rsid w:val="002047D4"/>
    <w:rsid w:val="00204AE0"/>
    <w:rsid w:val="00204E6C"/>
    <w:rsid w:val="0020511A"/>
    <w:rsid w:val="002053A2"/>
    <w:rsid w:val="002057C8"/>
    <w:rsid w:val="00205B6E"/>
    <w:rsid w:val="00205BBB"/>
    <w:rsid w:val="00205C30"/>
    <w:rsid w:val="00205CF5"/>
    <w:rsid w:val="00205E21"/>
    <w:rsid w:val="00205EEB"/>
    <w:rsid w:val="00205F25"/>
    <w:rsid w:val="00206768"/>
    <w:rsid w:val="00206B43"/>
    <w:rsid w:val="00206B95"/>
    <w:rsid w:val="00206CA9"/>
    <w:rsid w:val="00206CFF"/>
    <w:rsid w:val="00206DAC"/>
    <w:rsid w:val="00206F70"/>
    <w:rsid w:val="0020732B"/>
    <w:rsid w:val="0020748F"/>
    <w:rsid w:val="002074E6"/>
    <w:rsid w:val="00207685"/>
    <w:rsid w:val="002076CA"/>
    <w:rsid w:val="002076D4"/>
    <w:rsid w:val="002077D6"/>
    <w:rsid w:val="0020799A"/>
    <w:rsid w:val="0020799E"/>
    <w:rsid w:val="002079F4"/>
    <w:rsid w:val="00207B73"/>
    <w:rsid w:val="002100AE"/>
    <w:rsid w:val="002101BA"/>
    <w:rsid w:val="0021027E"/>
    <w:rsid w:val="0021068F"/>
    <w:rsid w:val="00210BED"/>
    <w:rsid w:val="00210D25"/>
    <w:rsid w:val="00210EA1"/>
    <w:rsid w:val="00211289"/>
    <w:rsid w:val="00211395"/>
    <w:rsid w:val="0021175E"/>
    <w:rsid w:val="0021179E"/>
    <w:rsid w:val="00211AB6"/>
    <w:rsid w:val="00211CE7"/>
    <w:rsid w:val="002121A2"/>
    <w:rsid w:val="0021230D"/>
    <w:rsid w:val="0021234D"/>
    <w:rsid w:val="002123A4"/>
    <w:rsid w:val="002124AE"/>
    <w:rsid w:val="00212652"/>
    <w:rsid w:val="0021285D"/>
    <w:rsid w:val="00212AE6"/>
    <w:rsid w:val="00212C89"/>
    <w:rsid w:val="00213118"/>
    <w:rsid w:val="00213267"/>
    <w:rsid w:val="002134D1"/>
    <w:rsid w:val="002134DE"/>
    <w:rsid w:val="002135DF"/>
    <w:rsid w:val="00213764"/>
    <w:rsid w:val="0021376F"/>
    <w:rsid w:val="00213795"/>
    <w:rsid w:val="0021389C"/>
    <w:rsid w:val="002138F5"/>
    <w:rsid w:val="00213CFD"/>
    <w:rsid w:val="00213D3E"/>
    <w:rsid w:val="00213F5C"/>
    <w:rsid w:val="00214260"/>
    <w:rsid w:val="0021438D"/>
    <w:rsid w:val="00214412"/>
    <w:rsid w:val="00214ADD"/>
    <w:rsid w:val="00214BC3"/>
    <w:rsid w:val="00214C47"/>
    <w:rsid w:val="00214DA3"/>
    <w:rsid w:val="00214FE4"/>
    <w:rsid w:val="00215040"/>
    <w:rsid w:val="0021519F"/>
    <w:rsid w:val="0021526F"/>
    <w:rsid w:val="002153E4"/>
    <w:rsid w:val="00215594"/>
    <w:rsid w:val="002155EB"/>
    <w:rsid w:val="00215BBA"/>
    <w:rsid w:val="00215EBC"/>
    <w:rsid w:val="0021684A"/>
    <w:rsid w:val="00216C59"/>
    <w:rsid w:val="00216D5C"/>
    <w:rsid w:val="00216E7E"/>
    <w:rsid w:val="002175AE"/>
    <w:rsid w:val="00217719"/>
    <w:rsid w:val="00217810"/>
    <w:rsid w:val="00217967"/>
    <w:rsid w:val="00217A43"/>
    <w:rsid w:val="00217A78"/>
    <w:rsid w:val="00217B49"/>
    <w:rsid w:val="00217B63"/>
    <w:rsid w:val="00217E17"/>
    <w:rsid w:val="00220060"/>
    <w:rsid w:val="00220531"/>
    <w:rsid w:val="0022059D"/>
    <w:rsid w:val="002205D3"/>
    <w:rsid w:val="00220AB7"/>
    <w:rsid w:val="00220E49"/>
    <w:rsid w:val="00221040"/>
    <w:rsid w:val="0022107A"/>
    <w:rsid w:val="00221259"/>
    <w:rsid w:val="00221511"/>
    <w:rsid w:val="002215EA"/>
    <w:rsid w:val="002216C4"/>
    <w:rsid w:val="00221A94"/>
    <w:rsid w:val="00221CCE"/>
    <w:rsid w:val="00221E45"/>
    <w:rsid w:val="00221F7B"/>
    <w:rsid w:val="0022260A"/>
    <w:rsid w:val="00222651"/>
    <w:rsid w:val="00222685"/>
    <w:rsid w:val="00222934"/>
    <w:rsid w:val="00222E98"/>
    <w:rsid w:val="00222F18"/>
    <w:rsid w:val="00223586"/>
    <w:rsid w:val="002235C6"/>
    <w:rsid w:val="00223637"/>
    <w:rsid w:val="002239FE"/>
    <w:rsid w:val="00223BA3"/>
    <w:rsid w:val="00223DC8"/>
    <w:rsid w:val="00223EAC"/>
    <w:rsid w:val="00223FDB"/>
    <w:rsid w:val="002244D1"/>
    <w:rsid w:val="00224739"/>
    <w:rsid w:val="002247EB"/>
    <w:rsid w:val="00224BB6"/>
    <w:rsid w:val="00224D8B"/>
    <w:rsid w:val="00224DB3"/>
    <w:rsid w:val="002254EC"/>
    <w:rsid w:val="00225504"/>
    <w:rsid w:val="0022599C"/>
    <w:rsid w:val="00225CAC"/>
    <w:rsid w:val="00225EE6"/>
    <w:rsid w:val="00225F30"/>
    <w:rsid w:val="002260E0"/>
    <w:rsid w:val="00226584"/>
    <w:rsid w:val="00226730"/>
    <w:rsid w:val="002268F8"/>
    <w:rsid w:val="00226969"/>
    <w:rsid w:val="00226CD9"/>
    <w:rsid w:val="00226F3C"/>
    <w:rsid w:val="002272A4"/>
    <w:rsid w:val="00227366"/>
    <w:rsid w:val="002274A7"/>
    <w:rsid w:val="002279E9"/>
    <w:rsid w:val="002300F8"/>
    <w:rsid w:val="00230111"/>
    <w:rsid w:val="002301B3"/>
    <w:rsid w:val="00230531"/>
    <w:rsid w:val="0023053A"/>
    <w:rsid w:val="00230634"/>
    <w:rsid w:val="00230707"/>
    <w:rsid w:val="00230ADF"/>
    <w:rsid w:val="00230D76"/>
    <w:rsid w:val="00230EBB"/>
    <w:rsid w:val="0023115F"/>
    <w:rsid w:val="002315BB"/>
    <w:rsid w:val="00231B48"/>
    <w:rsid w:val="00232394"/>
    <w:rsid w:val="0023246B"/>
    <w:rsid w:val="002324EF"/>
    <w:rsid w:val="00232DAC"/>
    <w:rsid w:val="00232FE5"/>
    <w:rsid w:val="00233A87"/>
    <w:rsid w:val="0023404E"/>
    <w:rsid w:val="0023418F"/>
    <w:rsid w:val="00234362"/>
    <w:rsid w:val="002343D6"/>
    <w:rsid w:val="00234793"/>
    <w:rsid w:val="00234A0C"/>
    <w:rsid w:val="00234A17"/>
    <w:rsid w:val="00234D51"/>
    <w:rsid w:val="00235043"/>
    <w:rsid w:val="00235D71"/>
    <w:rsid w:val="00235FB9"/>
    <w:rsid w:val="0023607A"/>
    <w:rsid w:val="00236474"/>
    <w:rsid w:val="00236485"/>
    <w:rsid w:val="00236749"/>
    <w:rsid w:val="00236771"/>
    <w:rsid w:val="0023691E"/>
    <w:rsid w:val="002369C5"/>
    <w:rsid w:val="00236A1E"/>
    <w:rsid w:val="00236CF3"/>
    <w:rsid w:val="00236DDC"/>
    <w:rsid w:val="00236FC9"/>
    <w:rsid w:val="00237897"/>
    <w:rsid w:val="00237E4D"/>
    <w:rsid w:val="0024033F"/>
    <w:rsid w:val="00240579"/>
    <w:rsid w:val="0024057D"/>
    <w:rsid w:val="00240619"/>
    <w:rsid w:val="00240BB1"/>
    <w:rsid w:val="00240C81"/>
    <w:rsid w:val="00241254"/>
    <w:rsid w:val="00241307"/>
    <w:rsid w:val="0024132B"/>
    <w:rsid w:val="00241499"/>
    <w:rsid w:val="0024165C"/>
    <w:rsid w:val="00241863"/>
    <w:rsid w:val="0024263F"/>
    <w:rsid w:val="00242854"/>
    <w:rsid w:val="00242BA4"/>
    <w:rsid w:val="00242D96"/>
    <w:rsid w:val="0024311F"/>
    <w:rsid w:val="00243369"/>
    <w:rsid w:val="0024378E"/>
    <w:rsid w:val="0024384F"/>
    <w:rsid w:val="0024394C"/>
    <w:rsid w:val="00243A88"/>
    <w:rsid w:val="00243CD1"/>
    <w:rsid w:val="00243E9E"/>
    <w:rsid w:val="002445A2"/>
    <w:rsid w:val="002445B1"/>
    <w:rsid w:val="002449F6"/>
    <w:rsid w:val="00244A58"/>
    <w:rsid w:val="00244BB6"/>
    <w:rsid w:val="002457D4"/>
    <w:rsid w:val="00245AEE"/>
    <w:rsid w:val="00246001"/>
    <w:rsid w:val="00246520"/>
    <w:rsid w:val="00246FCA"/>
    <w:rsid w:val="00247046"/>
    <w:rsid w:val="002470D4"/>
    <w:rsid w:val="0024738B"/>
    <w:rsid w:val="002477E9"/>
    <w:rsid w:val="00247817"/>
    <w:rsid w:val="00247A90"/>
    <w:rsid w:val="00247B80"/>
    <w:rsid w:val="00247FE4"/>
    <w:rsid w:val="00250493"/>
    <w:rsid w:val="002507DA"/>
    <w:rsid w:val="002513FE"/>
    <w:rsid w:val="00251708"/>
    <w:rsid w:val="00251A95"/>
    <w:rsid w:val="00251C40"/>
    <w:rsid w:val="00251D4F"/>
    <w:rsid w:val="00251F1A"/>
    <w:rsid w:val="002524B3"/>
    <w:rsid w:val="00252530"/>
    <w:rsid w:val="002525B0"/>
    <w:rsid w:val="00252954"/>
    <w:rsid w:val="00252A71"/>
    <w:rsid w:val="00252C6C"/>
    <w:rsid w:val="00252F92"/>
    <w:rsid w:val="002531AC"/>
    <w:rsid w:val="0025323C"/>
    <w:rsid w:val="002535D1"/>
    <w:rsid w:val="00253EE8"/>
    <w:rsid w:val="002540FE"/>
    <w:rsid w:val="00254246"/>
    <w:rsid w:val="00254305"/>
    <w:rsid w:val="00254493"/>
    <w:rsid w:val="002544BA"/>
    <w:rsid w:val="002545A1"/>
    <w:rsid w:val="002546C1"/>
    <w:rsid w:val="00254707"/>
    <w:rsid w:val="00254717"/>
    <w:rsid w:val="00254AAC"/>
    <w:rsid w:val="00254BC6"/>
    <w:rsid w:val="00254EBA"/>
    <w:rsid w:val="00255085"/>
    <w:rsid w:val="002551D3"/>
    <w:rsid w:val="002552CE"/>
    <w:rsid w:val="00255402"/>
    <w:rsid w:val="00255474"/>
    <w:rsid w:val="00255B0D"/>
    <w:rsid w:val="00255F0E"/>
    <w:rsid w:val="00256161"/>
    <w:rsid w:val="00256738"/>
    <w:rsid w:val="00256ABB"/>
    <w:rsid w:val="00257061"/>
    <w:rsid w:val="002572D8"/>
    <w:rsid w:val="00257A7F"/>
    <w:rsid w:val="00257D80"/>
    <w:rsid w:val="00257DA4"/>
    <w:rsid w:val="00260092"/>
    <w:rsid w:val="002606A8"/>
    <w:rsid w:val="00260AB2"/>
    <w:rsid w:val="00260BE9"/>
    <w:rsid w:val="00260E99"/>
    <w:rsid w:val="00261648"/>
    <w:rsid w:val="002618FC"/>
    <w:rsid w:val="00261C6B"/>
    <w:rsid w:val="00261CF9"/>
    <w:rsid w:val="0026222C"/>
    <w:rsid w:val="00262254"/>
    <w:rsid w:val="0026235D"/>
    <w:rsid w:val="002623EC"/>
    <w:rsid w:val="0026273A"/>
    <w:rsid w:val="00262C76"/>
    <w:rsid w:val="00263AC2"/>
    <w:rsid w:val="00263B30"/>
    <w:rsid w:val="00263FB8"/>
    <w:rsid w:val="002642F0"/>
    <w:rsid w:val="00264383"/>
    <w:rsid w:val="002645B8"/>
    <w:rsid w:val="0026472C"/>
    <w:rsid w:val="002648A5"/>
    <w:rsid w:val="0026496E"/>
    <w:rsid w:val="00264E51"/>
    <w:rsid w:val="00264F7A"/>
    <w:rsid w:val="0026524B"/>
    <w:rsid w:val="0026534F"/>
    <w:rsid w:val="002653C5"/>
    <w:rsid w:val="00265520"/>
    <w:rsid w:val="0026588C"/>
    <w:rsid w:val="00265E61"/>
    <w:rsid w:val="002667CA"/>
    <w:rsid w:val="002668E6"/>
    <w:rsid w:val="00266953"/>
    <w:rsid w:val="00266BE8"/>
    <w:rsid w:val="0026705A"/>
    <w:rsid w:val="002672A0"/>
    <w:rsid w:val="00267CA0"/>
    <w:rsid w:val="00270224"/>
    <w:rsid w:val="002702C2"/>
    <w:rsid w:val="0027037D"/>
    <w:rsid w:val="0027038D"/>
    <w:rsid w:val="002703F6"/>
    <w:rsid w:val="002703F9"/>
    <w:rsid w:val="00270529"/>
    <w:rsid w:val="00270D97"/>
    <w:rsid w:val="00271143"/>
    <w:rsid w:val="00271361"/>
    <w:rsid w:val="00271CF2"/>
    <w:rsid w:val="00271F33"/>
    <w:rsid w:val="00271FC6"/>
    <w:rsid w:val="00272725"/>
    <w:rsid w:val="00272872"/>
    <w:rsid w:val="00272A0F"/>
    <w:rsid w:val="00272B33"/>
    <w:rsid w:val="00272BD6"/>
    <w:rsid w:val="00272E42"/>
    <w:rsid w:val="00272E5E"/>
    <w:rsid w:val="00273264"/>
    <w:rsid w:val="002732DC"/>
    <w:rsid w:val="002733C6"/>
    <w:rsid w:val="00273519"/>
    <w:rsid w:val="002735CF"/>
    <w:rsid w:val="00273EAA"/>
    <w:rsid w:val="00274247"/>
    <w:rsid w:val="00274283"/>
    <w:rsid w:val="002745BC"/>
    <w:rsid w:val="0027487C"/>
    <w:rsid w:val="00274A97"/>
    <w:rsid w:val="00274A9F"/>
    <w:rsid w:val="00274C46"/>
    <w:rsid w:val="00274CB1"/>
    <w:rsid w:val="00274CE7"/>
    <w:rsid w:val="00274E3D"/>
    <w:rsid w:val="00275093"/>
    <w:rsid w:val="00275114"/>
    <w:rsid w:val="002751FC"/>
    <w:rsid w:val="002759B3"/>
    <w:rsid w:val="00275A04"/>
    <w:rsid w:val="00275B11"/>
    <w:rsid w:val="00275BB0"/>
    <w:rsid w:val="00275BB2"/>
    <w:rsid w:val="00275BC2"/>
    <w:rsid w:val="00275DCB"/>
    <w:rsid w:val="00275F57"/>
    <w:rsid w:val="00276018"/>
    <w:rsid w:val="00276031"/>
    <w:rsid w:val="00276165"/>
    <w:rsid w:val="00276C22"/>
    <w:rsid w:val="00276D34"/>
    <w:rsid w:val="00277219"/>
    <w:rsid w:val="00277281"/>
    <w:rsid w:val="002772F5"/>
    <w:rsid w:val="00277914"/>
    <w:rsid w:val="00280236"/>
    <w:rsid w:val="0028081A"/>
    <w:rsid w:val="002808C9"/>
    <w:rsid w:val="00280AD6"/>
    <w:rsid w:val="00280B94"/>
    <w:rsid w:val="00280C25"/>
    <w:rsid w:val="002810B4"/>
    <w:rsid w:val="002810FF"/>
    <w:rsid w:val="00281235"/>
    <w:rsid w:val="00281492"/>
    <w:rsid w:val="002818A3"/>
    <w:rsid w:val="00281B28"/>
    <w:rsid w:val="00281BAD"/>
    <w:rsid w:val="00281CB8"/>
    <w:rsid w:val="00281E5F"/>
    <w:rsid w:val="00282A59"/>
    <w:rsid w:val="00282DD4"/>
    <w:rsid w:val="00282EB9"/>
    <w:rsid w:val="00283260"/>
    <w:rsid w:val="002834BB"/>
    <w:rsid w:val="00283618"/>
    <w:rsid w:val="00283655"/>
    <w:rsid w:val="002837F9"/>
    <w:rsid w:val="00283889"/>
    <w:rsid w:val="00283D66"/>
    <w:rsid w:val="00283D84"/>
    <w:rsid w:val="00283E42"/>
    <w:rsid w:val="00284030"/>
    <w:rsid w:val="00284221"/>
    <w:rsid w:val="002843AB"/>
    <w:rsid w:val="00284607"/>
    <w:rsid w:val="00284670"/>
    <w:rsid w:val="00284D0E"/>
    <w:rsid w:val="00284D27"/>
    <w:rsid w:val="00284DFB"/>
    <w:rsid w:val="00284EC9"/>
    <w:rsid w:val="0028501B"/>
    <w:rsid w:val="002851FD"/>
    <w:rsid w:val="002853AB"/>
    <w:rsid w:val="002854CD"/>
    <w:rsid w:val="0028553E"/>
    <w:rsid w:val="00285A0C"/>
    <w:rsid w:val="00285AD5"/>
    <w:rsid w:val="00285FE2"/>
    <w:rsid w:val="0028686C"/>
    <w:rsid w:val="00286AF7"/>
    <w:rsid w:val="00286F78"/>
    <w:rsid w:val="00286FB4"/>
    <w:rsid w:val="00287003"/>
    <w:rsid w:val="002870DF"/>
    <w:rsid w:val="00287467"/>
    <w:rsid w:val="00287630"/>
    <w:rsid w:val="00287667"/>
    <w:rsid w:val="00287D78"/>
    <w:rsid w:val="002903DF"/>
    <w:rsid w:val="002905D7"/>
    <w:rsid w:val="002906F9"/>
    <w:rsid w:val="00290703"/>
    <w:rsid w:val="00290707"/>
    <w:rsid w:val="0029078F"/>
    <w:rsid w:val="0029081C"/>
    <w:rsid w:val="002909CF"/>
    <w:rsid w:val="00290A5A"/>
    <w:rsid w:val="00290EC1"/>
    <w:rsid w:val="00290F18"/>
    <w:rsid w:val="002911CB"/>
    <w:rsid w:val="0029144F"/>
    <w:rsid w:val="002914D3"/>
    <w:rsid w:val="002915B5"/>
    <w:rsid w:val="002915C3"/>
    <w:rsid w:val="00291614"/>
    <w:rsid w:val="002917AE"/>
    <w:rsid w:val="00291AFA"/>
    <w:rsid w:val="00291B21"/>
    <w:rsid w:val="00292166"/>
    <w:rsid w:val="002924A5"/>
    <w:rsid w:val="002924D8"/>
    <w:rsid w:val="002929B3"/>
    <w:rsid w:val="00292A7F"/>
    <w:rsid w:val="00292BB4"/>
    <w:rsid w:val="00292EC8"/>
    <w:rsid w:val="00293021"/>
    <w:rsid w:val="00293129"/>
    <w:rsid w:val="0029354F"/>
    <w:rsid w:val="00293DA8"/>
    <w:rsid w:val="00293F35"/>
    <w:rsid w:val="002941B0"/>
    <w:rsid w:val="002942A1"/>
    <w:rsid w:val="00294329"/>
    <w:rsid w:val="00294347"/>
    <w:rsid w:val="002943A1"/>
    <w:rsid w:val="0029485E"/>
    <w:rsid w:val="00294C8C"/>
    <w:rsid w:val="00294CA3"/>
    <w:rsid w:val="00294D51"/>
    <w:rsid w:val="00295077"/>
    <w:rsid w:val="0029520E"/>
    <w:rsid w:val="00295298"/>
    <w:rsid w:val="00295821"/>
    <w:rsid w:val="002958FD"/>
    <w:rsid w:val="002959B5"/>
    <w:rsid w:val="002959E2"/>
    <w:rsid w:val="00295E64"/>
    <w:rsid w:val="00296057"/>
    <w:rsid w:val="0029638A"/>
    <w:rsid w:val="002964B1"/>
    <w:rsid w:val="0029676D"/>
    <w:rsid w:val="002967B4"/>
    <w:rsid w:val="00296AA8"/>
    <w:rsid w:val="00296D4B"/>
    <w:rsid w:val="0029700B"/>
    <w:rsid w:val="002971BC"/>
    <w:rsid w:val="002974C6"/>
    <w:rsid w:val="00297924"/>
    <w:rsid w:val="00297ADD"/>
    <w:rsid w:val="00297B40"/>
    <w:rsid w:val="00297ECB"/>
    <w:rsid w:val="002A0694"/>
    <w:rsid w:val="002A06CB"/>
    <w:rsid w:val="002A06CF"/>
    <w:rsid w:val="002A0A6A"/>
    <w:rsid w:val="002A0BBE"/>
    <w:rsid w:val="002A102C"/>
    <w:rsid w:val="002A121C"/>
    <w:rsid w:val="002A1314"/>
    <w:rsid w:val="002A16E3"/>
    <w:rsid w:val="002A1908"/>
    <w:rsid w:val="002A1D97"/>
    <w:rsid w:val="002A240D"/>
    <w:rsid w:val="002A259B"/>
    <w:rsid w:val="002A2661"/>
    <w:rsid w:val="002A29B5"/>
    <w:rsid w:val="002A2CEA"/>
    <w:rsid w:val="002A2DE8"/>
    <w:rsid w:val="002A2F52"/>
    <w:rsid w:val="002A3190"/>
    <w:rsid w:val="002A344A"/>
    <w:rsid w:val="002A344B"/>
    <w:rsid w:val="002A36E1"/>
    <w:rsid w:val="002A39E8"/>
    <w:rsid w:val="002A3A47"/>
    <w:rsid w:val="002A463D"/>
    <w:rsid w:val="002A47E6"/>
    <w:rsid w:val="002A4886"/>
    <w:rsid w:val="002A48CB"/>
    <w:rsid w:val="002A48D2"/>
    <w:rsid w:val="002A4951"/>
    <w:rsid w:val="002A4ADD"/>
    <w:rsid w:val="002A4B54"/>
    <w:rsid w:val="002A5163"/>
    <w:rsid w:val="002A5215"/>
    <w:rsid w:val="002A52A9"/>
    <w:rsid w:val="002A5306"/>
    <w:rsid w:val="002A534D"/>
    <w:rsid w:val="002A5368"/>
    <w:rsid w:val="002A5374"/>
    <w:rsid w:val="002A54EF"/>
    <w:rsid w:val="002A56A1"/>
    <w:rsid w:val="002A5AEB"/>
    <w:rsid w:val="002A5B33"/>
    <w:rsid w:val="002A5C2C"/>
    <w:rsid w:val="002A5DF2"/>
    <w:rsid w:val="002A61DD"/>
    <w:rsid w:val="002A649D"/>
    <w:rsid w:val="002A67CF"/>
    <w:rsid w:val="002A6A36"/>
    <w:rsid w:val="002A71BB"/>
    <w:rsid w:val="002A7237"/>
    <w:rsid w:val="002A7720"/>
    <w:rsid w:val="002A788B"/>
    <w:rsid w:val="002A7977"/>
    <w:rsid w:val="002A79EE"/>
    <w:rsid w:val="002A7A42"/>
    <w:rsid w:val="002A7FD7"/>
    <w:rsid w:val="002B0360"/>
    <w:rsid w:val="002B04EE"/>
    <w:rsid w:val="002B059D"/>
    <w:rsid w:val="002B066D"/>
    <w:rsid w:val="002B091A"/>
    <w:rsid w:val="002B0E08"/>
    <w:rsid w:val="002B128B"/>
    <w:rsid w:val="002B1372"/>
    <w:rsid w:val="002B13DF"/>
    <w:rsid w:val="002B184C"/>
    <w:rsid w:val="002B19DF"/>
    <w:rsid w:val="002B19E8"/>
    <w:rsid w:val="002B1A2A"/>
    <w:rsid w:val="002B1AE4"/>
    <w:rsid w:val="002B1C3C"/>
    <w:rsid w:val="002B2075"/>
    <w:rsid w:val="002B20E4"/>
    <w:rsid w:val="002B2222"/>
    <w:rsid w:val="002B236F"/>
    <w:rsid w:val="002B246B"/>
    <w:rsid w:val="002B24A4"/>
    <w:rsid w:val="002B2564"/>
    <w:rsid w:val="002B2883"/>
    <w:rsid w:val="002B323C"/>
    <w:rsid w:val="002B32E8"/>
    <w:rsid w:val="002B3330"/>
    <w:rsid w:val="002B3400"/>
    <w:rsid w:val="002B3666"/>
    <w:rsid w:val="002B3725"/>
    <w:rsid w:val="002B39EF"/>
    <w:rsid w:val="002B3A0B"/>
    <w:rsid w:val="002B3A38"/>
    <w:rsid w:val="002B3C7C"/>
    <w:rsid w:val="002B3FB2"/>
    <w:rsid w:val="002B4209"/>
    <w:rsid w:val="002B4364"/>
    <w:rsid w:val="002B493A"/>
    <w:rsid w:val="002B4A4E"/>
    <w:rsid w:val="002B527C"/>
    <w:rsid w:val="002B5533"/>
    <w:rsid w:val="002B553D"/>
    <w:rsid w:val="002B58D2"/>
    <w:rsid w:val="002B5915"/>
    <w:rsid w:val="002B5C91"/>
    <w:rsid w:val="002B67FC"/>
    <w:rsid w:val="002B6804"/>
    <w:rsid w:val="002B6B6B"/>
    <w:rsid w:val="002B6F3F"/>
    <w:rsid w:val="002B6F81"/>
    <w:rsid w:val="002B7097"/>
    <w:rsid w:val="002B71E4"/>
    <w:rsid w:val="002B7279"/>
    <w:rsid w:val="002B72D3"/>
    <w:rsid w:val="002B73B8"/>
    <w:rsid w:val="002B743E"/>
    <w:rsid w:val="002B786D"/>
    <w:rsid w:val="002B796E"/>
    <w:rsid w:val="002B79ED"/>
    <w:rsid w:val="002B7BB3"/>
    <w:rsid w:val="002B7D3F"/>
    <w:rsid w:val="002B7D69"/>
    <w:rsid w:val="002B7E4C"/>
    <w:rsid w:val="002C0138"/>
    <w:rsid w:val="002C049B"/>
    <w:rsid w:val="002C0629"/>
    <w:rsid w:val="002C0693"/>
    <w:rsid w:val="002C06D2"/>
    <w:rsid w:val="002C084D"/>
    <w:rsid w:val="002C09E4"/>
    <w:rsid w:val="002C0A4C"/>
    <w:rsid w:val="002C0B3D"/>
    <w:rsid w:val="002C0D6E"/>
    <w:rsid w:val="002C1371"/>
    <w:rsid w:val="002C1762"/>
    <w:rsid w:val="002C1A45"/>
    <w:rsid w:val="002C2319"/>
    <w:rsid w:val="002C2423"/>
    <w:rsid w:val="002C24C3"/>
    <w:rsid w:val="002C2529"/>
    <w:rsid w:val="002C259C"/>
    <w:rsid w:val="002C2BAA"/>
    <w:rsid w:val="002C2C78"/>
    <w:rsid w:val="002C2FE5"/>
    <w:rsid w:val="002C31E9"/>
    <w:rsid w:val="002C33D3"/>
    <w:rsid w:val="002C362D"/>
    <w:rsid w:val="002C371A"/>
    <w:rsid w:val="002C39C4"/>
    <w:rsid w:val="002C3DC8"/>
    <w:rsid w:val="002C3FD5"/>
    <w:rsid w:val="002C4544"/>
    <w:rsid w:val="002C4658"/>
    <w:rsid w:val="002C48B0"/>
    <w:rsid w:val="002C4BC4"/>
    <w:rsid w:val="002C4C8A"/>
    <w:rsid w:val="002C4D41"/>
    <w:rsid w:val="002C53F3"/>
    <w:rsid w:val="002C58CD"/>
    <w:rsid w:val="002C5D0D"/>
    <w:rsid w:val="002C5D97"/>
    <w:rsid w:val="002C5F61"/>
    <w:rsid w:val="002C644E"/>
    <w:rsid w:val="002C69E9"/>
    <w:rsid w:val="002C6A85"/>
    <w:rsid w:val="002C6B09"/>
    <w:rsid w:val="002C6B2A"/>
    <w:rsid w:val="002C6BAD"/>
    <w:rsid w:val="002C6C15"/>
    <w:rsid w:val="002C6C66"/>
    <w:rsid w:val="002C6C80"/>
    <w:rsid w:val="002C6DBB"/>
    <w:rsid w:val="002C6FC5"/>
    <w:rsid w:val="002C72BC"/>
    <w:rsid w:val="002C7311"/>
    <w:rsid w:val="002C7760"/>
    <w:rsid w:val="002C7885"/>
    <w:rsid w:val="002C7894"/>
    <w:rsid w:val="002C791D"/>
    <w:rsid w:val="002C7A54"/>
    <w:rsid w:val="002C7B8A"/>
    <w:rsid w:val="002C7DC7"/>
    <w:rsid w:val="002D0263"/>
    <w:rsid w:val="002D0471"/>
    <w:rsid w:val="002D06C9"/>
    <w:rsid w:val="002D0918"/>
    <w:rsid w:val="002D11B4"/>
    <w:rsid w:val="002D14A7"/>
    <w:rsid w:val="002D1AA7"/>
    <w:rsid w:val="002D1BD0"/>
    <w:rsid w:val="002D20CF"/>
    <w:rsid w:val="002D2538"/>
    <w:rsid w:val="002D270D"/>
    <w:rsid w:val="002D2735"/>
    <w:rsid w:val="002D2826"/>
    <w:rsid w:val="002D2894"/>
    <w:rsid w:val="002D290D"/>
    <w:rsid w:val="002D2A5A"/>
    <w:rsid w:val="002D2B4B"/>
    <w:rsid w:val="002D2C0D"/>
    <w:rsid w:val="002D2D6C"/>
    <w:rsid w:val="002D2DEF"/>
    <w:rsid w:val="002D314F"/>
    <w:rsid w:val="002D31F3"/>
    <w:rsid w:val="002D33BC"/>
    <w:rsid w:val="002D359C"/>
    <w:rsid w:val="002D367A"/>
    <w:rsid w:val="002D397E"/>
    <w:rsid w:val="002D3A1A"/>
    <w:rsid w:val="002D3F74"/>
    <w:rsid w:val="002D41BE"/>
    <w:rsid w:val="002D442A"/>
    <w:rsid w:val="002D47D5"/>
    <w:rsid w:val="002D48BE"/>
    <w:rsid w:val="002D48F4"/>
    <w:rsid w:val="002D4ECA"/>
    <w:rsid w:val="002D517F"/>
    <w:rsid w:val="002D51C0"/>
    <w:rsid w:val="002D5348"/>
    <w:rsid w:val="002D54D5"/>
    <w:rsid w:val="002D56C2"/>
    <w:rsid w:val="002D5969"/>
    <w:rsid w:val="002D5976"/>
    <w:rsid w:val="002D5C74"/>
    <w:rsid w:val="002D5DF5"/>
    <w:rsid w:val="002D5E32"/>
    <w:rsid w:val="002D5F18"/>
    <w:rsid w:val="002D64DE"/>
    <w:rsid w:val="002D6724"/>
    <w:rsid w:val="002D67A4"/>
    <w:rsid w:val="002D67E8"/>
    <w:rsid w:val="002D689E"/>
    <w:rsid w:val="002D68C2"/>
    <w:rsid w:val="002D75FF"/>
    <w:rsid w:val="002D7746"/>
    <w:rsid w:val="002D7842"/>
    <w:rsid w:val="002D7E12"/>
    <w:rsid w:val="002D7F51"/>
    <w:rsid w:val="002E0074"/>
    <w:rsid w:val="002E02A4"/>
    <w:rsid w:val="002E05ED"/>
    <w:rsid w:val="002E0836"/>
    <w:rsid w:val="002E0E6A"/>
    <w:rsid w:val="002E0F4F"/>
    <w:rsid w:val="002E0F75"/>
    <w:rsid w:val="002E11F1"/>
    <w:rsid w:val="002E1763"/>
    <w:rsid w:val="002E1765"/>
    <w:rsid w:val="002E1986"/>
    <w:rsid w:val="002E1E90"/>
    <w:rsid w:val="002E2F9B"/>
    <w:rsid w:val="002E3172"/>
    <w:rsid w:val="002E33B6"/>
    <w:rsid w:val="002E33C0"/>
    <w:rsid w:val="002E3679"/>
    <w:rsid w:val="002E3850"/>
    <w:rsid w:val="002E3E21"/>
    <w:rsid w:val="002E40A8"/>
    <w:rsid w:val="002E4183"/>
    <w:rsid w:val="002E4615"/>
    <w:rsid w:val="002E473C"/>
    <w:rsid w:val="002E480F"/>
    <w:rsid w:val="002E4E63"/>
    <w:rsid w:val="002E519B"/>
    <w:rsid w:val="002E531D"/>
    <w:rsid w:val="002E56C3"/>
    <w:rsid w:val="002E5841"/>
    <w:rsid w:val="002E5B15"/>
    <w:rsid w:val="002E5BAF"/>
    <w:rsid w:val="002E5DEA"/>
    <w:rsid w:val="002E636C"/>
    <w:rsid w:val="002E66C9"/>
    <w:rsid w:val="002E6919"/>
    <w:rsid w:val="002E69A2"/>
    <w:rsid w:val="002E6B2E"/>
    <w:rsid w:val="002E6B91"/>
    <w:rsid w:val="002E6F74"/>
    <w:rsid w:val="002E74F8"/>
    <w:rsid w:val="002E7548"/>
    <w:rsid w:val="002E75EA"/>
    <w:rsid w:val="002E7BA8"/>
    <w:rsid w:val="002E7CB7"/>
    <w:rsid w:val="002E7D7C"/>
    <w:rsid w:val="002E7DAF"/>
    <w:rsid w:val="002E7E3C"/>
    <w:rsid w:val="002E7E55"/>
    <w:rsid w:val="002F03D8"/>
    <w:rsid w:val="002F0AC5"/>
    <w:rsid w:val="002F0BC5"/>
    <w:rsid w:val="002F0F68"/>
    <w:rsid w:val="002F0F6A"/>
    <w:rsid w:val="002F11CF"/>
    <w:rsid w:val="002F1A26"/>
    <w:rsid w:val="002F1AF8"/>
    <w:rsid w:val="002F1B01"/>
    <w:rsid w:val="002F1C4E"/>
    <w:rsid w:val="002F203C"/>
    <w:rsid w:val="002F239C"/>
    <w:rsid w:val="002F2559"/>
    <w:rsid w:val="002F29D6"/>
    <w:rsid w:val="002F2B97"/>
    <w:rsid w:val="002F2C94"/>
    <w:rsid w:val="002F2D02"/>
    <w:rsid w:val="002F2DB1"/>
    <w:rsid w:val="002F2E9F"/>
    <w:rsid w:val="002F2EEF"/>
    <w:rsid w:val="002F2F3B"/>
    <w:rsid w:val="002F3127"/>
    <w:rsid w:val="002F314B"/>
    <w:rsid w:val="002F31DB"/>
    <w:rsid w:val="002F32A5"/>
    <w:rsid w:val="002F33E7"/>
    <w:rsid w:val="002F3489"/>
    <w:rsid w:val="002F34D7"/>
    <w:rsid w:val="002F37B6"/>
    <w:rsid w:val="002F3872"/>
    <w:rsid w:val="002F395C"/>
    <w:rsid w:val="002F4141"/>
    <w:rsid w:val="002F41B4"/>
    <w:rsid w:val="002F46CE"/>
    <w:rsid w:val="002F47F4"/>
    <w:rsid w:val="002F4E51"/>
    <w:rsid w:val="002F5106"/>
    <w:rsid w:val="002F52AA"/>
    <w:rsid w:val="002F5432"/>
    <w:rsid w:val="002F55CF"/>
    <w:rsid w:val="002F5748"/>
    <w:rsid w:val="002F57E3"/>
    <w:rsid w:val="002F5946"/>
    <w:rsid w:val="002F5AE2"/>
    <w:rsid w:val="002F5C1B"/>
    <w:rsid w:val="002F5D13"/>
    <w:rsid w:val="002F600C"/>
    <w:rsid w:val="002F6848"/>
    <w:rsid w:val="002F68B6"/>
    <w:rsid w:val="002F6BED"/>
    <w:rsid w:val="002F7007"/>
    <w:rsid w:val="002F713E"/>
    <w:rsid w:val="002F734B"/>
    <w:rsid w:val="002F778B"/>
    <w:rsid w:val="002F7AFA"/>
    <w:rsid w:val="002F7B15"/>
    <w:rsid w:val="002F7B34"/>
    <w:rsid w:val="00300373"/>
    <w:rsid w:val="003003E5"/>
    <w:rsid w:val="003004F9"/>
    <w:rsid w:val="00300544"/>
    <w:rsid w:val="00300595"/>
    <w:rsid w:val="0030095C"/>
    <w:rsid w:val="00301368"/>
    <w:rsid w:val="003017C0"/>
    <w:rsid w:val="0030192C"/>
    <w:rsid w:val="00301ACF"/>
    <w:rsid w:val="00301BA7"/>
    <w:rsid w:val="00302228"/>
    <w:rsid w:val="003022C9"/>
    <w:rsid w:val="003023B8"/>
    <w:rsid w:val="003027F6"/>
    <w:rsid w:val="00302B95"/>
    <w:rsid w:val="00302C15"/>
    <w:rsid w:val="00302C58"/>
    <w:rsid w:val="00302DBB"/>
    <w:rsid w:val="00303242"/>
    <w:rsid w:val="00303545"/>
    <w:rsid w:val="0030362A"/>
    <w:rsid w:val="00303790"/>
    <w:rsid w:val="0030380C"/>
    <w:rsid w:val="00303836"/>
    <w:rsid w:val="003038D8"/>
    <w:rsid w:val="003039A6"/>
    <w:rsid w:val="003039BC"/>
    <w:rsid w:val="00303CDF"/>
    <w:rsid w:val="00303D7D"/>
    <w:rsid w:val="00303DB8"/>
    <w:rsid w:val="00303E5C"/>
    <w:rsid w:val="00303F57"/>
    <w:rsid w:val="003040EB"/>
    <w:rsid w:val="00304353"/>
    <w:rsid w:val="00304DA5"/>
    <w:rsid w:val="00304F04"/>
    <w:rsid w:val="00305527"/>
    <w:rsid w:val="00305765"/>
    <w:rsid w:val="00305AFF"/>
    <w:rsid w:val="00305EC7"/>
    <w:rsid w:val="00306323"/>
    <w:rsid w:val="003063E8"/>
    <w:rsid w:val="00306407"/>
    <w:rsid w:val="0030642C"/>
    <w:rsid w:val="00306695"/>
    <w:rsid w:val="00306AA4"/>
    <w:rsid w:val="00306DCA"/>
    <w:rsid w:val="00306E23"/>
    <w:rsid w:val="0030707C"/>
    <w:rsid w:val="00307138"/>
    <w:rsid w:val="00307237"/>
    <w:rsid w:val="003076F0"/>
    <w:rsid w:val="003077C5"/>
    <w:rsid w:val="003078D7"/>
    <w:rsid w:val="00307B51"/>
    <w:rsid w:val="00307BF9"/>
    <w:rsid w:val="00307E35"/>
    <w:rsid w:val="0031002D"/>
    <w:rsid w:val="003102E5"/>
    <w:rsid w:val="003103F5"/>
    <w:rsid w:val="0031055C"/>
    <w:rsid w:val="00310809"/>
    <w:rsid w:val="00310A2B"/>
    <w:rsid w:val="00310CD0"/>
    <w:rsid w:val="00310D8C"/>
    <w:rsid w:val="00310DAF"/>
    <w:rsid w:val="00310E89"/>
    <w:rsid w:val="00311111"/>
    <w:rsid w:val="003111FD"/>
    <w:rsid w:val="00311215"/>
    <w:rsid w:val="003114F8"/>
    <w:rsid w:val="00311510"/>
    <w:rsid w:val="003115BC"/>
    <w:rsid w:val="00311717"/>
    <w:rsid w:val="0031193A"/>
    <w:rsid w:val="00311D13"/>
    <w:rsid w:val="00311D81"/>
    <w:rsid w:val="003121B3"/>
    <w:rsid w:val="003127EC"/>
    <w:rsid w:val="0031287B"/>
    <w:rsid w:val="00312B3D"/>
    <w:rsid w:val="00312D2A"/>
    <w:rsid w:val="003131C8"/>
    <w:rsid w:val="0031330C"/>
    <w:rsid w:val="003136D7"/>
    <w:rsid w:val="0031374E"/>
    <w:rsid w:val="00313E66"/>
    <w:rsid w:val="003140A5"/>
    <w:rsid w:val="0031431F"/>
    <w:rsid w:val="0031437C"/>
    <w:rsid w:val="00314596"/>
    <w:rsid w:val="0031470B"/>
    <w:rsid w:val="00314A25"/>
    <w:rsid w:val="00314F67"/>
    <w:rsid w:val="00315240"/>
    <w:rsid w:val="0031534E"/>
    <w:rsid w:val="00315711"/>
    <w:rsid w:val="0031577F"/>
    <w:rsid w:val="00315962"/>
    <w:rsid w:val="003159B8"/>
    <w:rsid w:val="003159D2"/>
    <w:rsid w:val="00315E49"/>
    <w:rsid w:val="00315E58"/>
    <w:rsid w:val="003162EF"/>
    <w:rsid w:val="00316443"/>
    <w:rsid w:val="00316898"/>
    <w:rsid w:val="00316BB0"/>
    <w:rsid w:val="00316C05"/>
    <w:rsid w:val="00316D86"/>
    <w:rsid w:val="00316FC3"/>
    <w:rsid w:val="00317091"/>
    <w:rsid w:val="00317125"/>
    <w:rsid w:val="0031713D"/>
    <w:rsid w:val="0031750A"/>
    <w:rsid w:val="0031750E"/>
    <w:rsid w:val="003175FA"/>
    <w:rsid w:val="00317CEF"/>
    <w:rsid w:val="00320293"/>
    <w:rsid w:val="003203D1"/>
    <w:rsid w:val="0032049C"/>
    <w:rsid w:val="003205BD"/>
    <w:rsid w:val="003205E8"/>
    <w:rsid w:val="00320B73"/>
    <w:rsid w:val="00320B9B"/>
    <w:rsid w:val="00320EAD"/>
    <w:rsid w:val="00320EE5"/>
    <w:rsid w:val="003210E9"/>
    <w:rsid w:val="0032110B"/>
    <w:rsid w:val="0032125E"/>
    <w:rsid w:val="003212D2"/>
    <w:rsid w:val="003217F3"/>
    <w:rsid w:val="00321A29"/>
    <w:rsid w:val="00321E47"/>
    <w:rsid w:val="00322006"/>
    <w:rsid w:val="00322328"/>
    <w:rsid w:val="00322838"/>
    <w:rsid w:val="003228CD"/>
    <w:rsid w:val="00322989"/>
    <w:rsid w:val="00323113"/>
    <w:rsid w:val="003231EF"/>
    <w:rsid w:val="00323210"/>
    <w:rsid w:val="003232F4"/>
    <w:rsid w:val="00323370"/>
    <w:rsid w:val="003237E9"/>
    <w:rsid w:val="00323867"/>
    <w:rsid w:val="003238C0"/>
    <w:rsid w:val="00323A73"/>
    <w:rsid w:val="00323E59"/>
    <w:rsid w:val="00323F1A"/>
    <w:rsid w:val="00323F78"/>
    <w:rsid w:val="00323FA4"/>
    <w:rsid w:val="00323FE8"/>
    <w:rsid w:val="00324071"/>
    <w:rsid w:val="003241ED"/>
    <w:rsid w:val="0032421E"/>
    <w:rsid w:val="003242A6"/>
    <w:rsid w:val="00324563"/>
    <w:rsid w:val="00324603"/>
    <w:rsid w:val="0032470C"/>
    <w:rsid w:val="0032474C"/>
    <w:rsid w:val="00324B73"/>
    <w:rsid w:val="00325189"/>
    <w:rsid w:val="0032527B"/>
    <w:rsid w:val="00325342"/>
    <w:rsid w:val="00325380"/>
    <w:rsid w:val="0032551D"/>
    <w:rsid w:val="003257D8"/>
    <w:rsid w:val="00325C34"/>
    <w:rsid w:val="00325FD7"/>
    <w:rsid w:val="0032665B"/>
    <w:rsid w:val="003267B0"/>
    <w:rsid w:val="0032693B"/>
    <w:rsid w:val="00326F05"/>
    <w:rsid w:val="00326F6C"/>
    <w:rsid w:val="00326F85"/>
    <w:rsid w:val="00326FF4"/>
    <w:rsid w:val="00327003"/>
    <w:rsid w:val="00327086"/>
    <w:rsid w:val="003276A1"/>
    <w:rsid w:val="003277E6"/>
    <w:rsid w:val="00327E4E"/>
    <w:rsid w:val="00327F74"/>
    <w:rsid w:val="00327F86"/>
    <w:rsid w:val="00327FB1"/>
    <w:rsid w:val="00330050"/>
    <w:rsid w:val="00330266"/>
    <w:rsid w:val="0033089B"/>
    <w:rsid w:val="003308B9"/>
    <w:rsid w:val="00330F01"/>
    <w:rsid w:val="00330F90"/>
    <w:rsid w:val="00330F93"/>
    <w:rsid w:val="0033106A"/>
    <w:rsid w:val="00331093"/>
    <w:rsid w:val="003310C7"/>
    <w:rsid w:val="00331289"/>
    <w:rsid w:val="003312D2"/>
    <w:rsid w:val="003313B4"/>
    <w:rsid w:val="003314C6"/>
    <w:rsid w:val="003316CD"/>
    <w:rsid w:val="0033171F"/>
    <w:rsid w:val="00331A66"/>
    <w:rsid w:val="00331C3F"/>
    <w:rsid w:val="00331D98"/>
    <w:rsid w:val="00331F03"/>
    <w:rsid w:val="0033229F"/>
    <w:rsid w:val="003323DF"/>
    <w:rsid w:val="00332490"/>
    <w:rsid w:val="003325B8"/>
    <w:rsid w:val="003325BC"/>
    <w:rsid w:val="00332A79"/>
    <w:rsid w:val="00332B13"/>
    <w:rsid w:val="00332B55"/>
    <w:rsid w:val="00332E3E"/>
    <w:rsid w:val="00332F6F"/>
    <w:rsid w:val="003330E4"/>
    <w:rsid w:val="00333161"/>
    <w:rsid w:val="003331D0"/>
    <w:rsid w:val="003332EF"/>
    <w:rsid w:val="003335EF"/>
    <w:rsid w:val="00333759"/>
    <w:rsid w:val="003338F6"/>
    <w:rsid w:val="00333B7E"/>
    <w:rsid w:val="00333EB4"/>
    <w:rsid w:val="00333F6D"/>
    <w:rsid w:val="003345F1"/>
    <w:rsid w:val="0033477F"/>
    <w:rsid w:val="00334B89"/>
    <w:rsid w:val="0033523E"/>
    <w:rsid w:val="00335294"/>
    <w:rsid w:val="003354A9"/>
    <w:rsid w:val="00335B72"/>
    <w:rsid w:val="00335D10"/>
    <w:rsid w:val="00335E81"/>
    <w:rsid w:val="00335ED2"/>
    <w:rsid w:val="00336594"/>
    <w:rsid w:val="0033673C"/>
    <w:rsid w:val="00336E67"/>
    <w:rsid w:val="00337065"/>
    <w:rsid w:val="00337337"/>
    <w:rsid w:val="00337960"/>
    <w:rsid w:val="003379C8"/>
    <w:rsid w:val="00337A37"/>
    <w:rsid w:val="00337AAB"/>
    <w:rsid w:val="00337AC7"/>
    <w:rsid w:val="00337D1D"/>
    <w:rsid w:val="00337D83"/>
    <w:rsid w:val="00337E5C"/>
    <w:rsid w:val="00337E6B"/>
    <w:rsid w:val="003402AF"/>
    <w:rsid w:val="00340401"/>
    <w:rsid w:val="00340847"/>
    <w:rsid w:val="003408A3"/>
    <w:rsid w:val="00340E74"/>
    <w:rsid w:val="003411F4"/>
    <w:rsid w:val="0034133F"/>
    <w:rsid w:val="003413E2"/>
    <w:rsid w:val="003413F4"/>
    <w:rsid w:val="00341BF2"/>
    <w:rsid w:val="00341D8B"/>
    <w:rsid w:val="0034204D"/>
    <w:rsid w:val="00342445"/>
    <w:rsid w:val="003427DD"/>
    <w:rsid w:val="0034281F"/>
    <w:rsid w:val="0034354E"/>
    <w:rsid w:val="00343921"/>
    <w:rsid w:val="003439CE"/>
    <w:rsid w:val="00343BB7"/>
    <w:rsid w:val="00343E6D"/>
    <w:rsid w:val="00343F8E"/>
    <w:rsid w:val="00344002"/>
    <w:rsid w:val="003442DA"/>
    <w:rsid w:val="003443E4"/>
    <w:rsid w:val="00344849"/>
    <w:rsid w:val="00344C89"/>
    <w:rsid w:val="00344CC3"/>
    <w:rsid w:val="00344DF1"/>
    <w:rsid w:val="00345030"/>
    <w:rsid w:val="003451BD"/>
    <w:rsid w:val="00345268"/>
    <w:rsid w:val="00345809"/>
    <w:rsid w:val="00345A39"/>
    <w:rsid w:val="00345C13"/>
    <w:rsid w:val="00345CE0"/>
    <w:rsid w:val="00346035"/>
    <w:rsid w:val="003462F3"/>
    <w:rsid w:val="003465E9"/>
    <w:rsid w:val="0034676A"/>
    <w:rsid w:val="00346AAA"/>
    <w:rsid w:val="00346B10"/>
    <w:rsid w:val="00346B5E"/>
    <w:rsid w:val="00346CBE"/>
    <w:rsid w:val="00347443"/>
    <w:rsid w:val="003474E3"/>
    <w:rsid w:val="003476AD"/>
    <w:rsid w:val="0034794A"/>
    <w:rsid w:val="00347A74"/>
    <w:rsid w:val="00347A91"/>
    <w:rsid w:val="00347BFD"/>
    <w:rsid w:val="00347CE0"/>
    <w:rsid w:val="00347EC9"/>
    <w:rsid w:val="00350230"/>
    <w:rsid w:val="0035063C"/>
    <w:rsid w:val="003506BD"/>
    <w:rsid w:val="003506FB"/>
    <w:rsid w:val="00350BB9"/>
    <w:rsid w:val="00350CF8"/>
    <w:rsid w:val="00350D5D"/>
    <w:rsid w:val="00350E24"/>
    <w:rsid w:val="00350FB1"/>
    <w:rsid w:val="00351403"/>
    <w:rsid w:val="0035140B"/>
    <w:rsid w:val="003514AD"/>
    <w:rsid w:val="003514D7"/>
    <w:rsid w:val="003516FC"/>
    <w:rsid w:val="00351745"/>
    <w:rsid w:val="003518AB"/>
    <w:rsid w:val="00351C0E"/>
    <w:rsid w:val="00351F65"/>
    <w:rsid w:val="00351FDC"/>
    <w:rsid w:val="00352959"/>
    <w:rsid w:val="003529A8"/>
    <w:rsid w:val="00352D50"/>
    <w:rsid w:val="00352F0B"/>
    <w:rsid w:val="00352F1A"/>
    <w:rsid w:val="00353768"/>
    <w:rsid w:val="0035393B"/>
    <w:rsid w:val="00353BC9"/>
    <w:rsid w:val="00353D82"/>
    <w:rsid w:val="00353D8D"/>
    <w:rsid w:val="00353DF6"/>
    <w:rsid w:val="00353F82"/>
    <w:rsid w:val="0035442F"/>
    <w:rsid w:val="00354523"/>
    <w:rsid w:val="00354869"/>
    <w:rsid w:val="00354887"/>
    <w:rsid w:val="00354BB2"/>
    <w:rsid w:val="00354C28"/>
    <w:rsid w:val="00354D54"/>
    <w:rsid w:val="00355616"/>
    <w:rsid w:val="0035573D"/>
    <w:rsid w:val="0035578A"/>
    <w:rsid w:val="003557C4"/>
    <w:rsid w:val="00355851"/>
    <w:rsid w:val="00355A4C"/>
    <w:rsid w:val="003562C5"/>
    <w:rsid w:val="003564B2"/>
    <w:rsid w:val="0035680B"/>
    <w:rsid w:val="0035697D"/>
    <w:rsid w:val="00356A7F"/>
    <w:rsid w:val="00356AE0"/>
    <w:rsid w:val="00356B6F"/>
    <w:rsid w:val="00356D7B"/>
    <w:rsid w:val="0035700C"/>
    <w:rsid w:val="0035733F"/>
    <w:rsid w:val="003577FB"/>
    <w:rsid w:val="00357C80"/>
    <w:rsid w:val="00357E28"/>
    <w:rsid w:val="00357EB8"/>
    <w:rsid w:val="00357FC0"/>
    <w:rsid w:val="00360080"/>
    <w:rsid w:val="003604A4"/>
    <w:rsid w:val="003606CB"/>
    <w:rsid w:val="0036086B"/>
    <w:rsid w:val="0036095B"/>
    <w:rsid w:val="003609EF"/>
    <w:rsid w:val="00360A8B"/>
    <w:rsid w:val="00360BCE"/>
    <w:rsid w:val="0036157A"/>
    <w:rsid w:val="00361899"/>
    <w:rsid w:val="00361FAA"/>
    <w:rsid w:val="0036216F"/>
    <w:rsid w:val="003622A7"/>
    <w:rsid w:val="003623B9"/>
    <w:rsid w:val="003625F7"/>
    <w:rsid w:val="00362A83"/>
    <w:rsid w:val="00362D2B"/>
    <w:rsid w:val="00362EE5"/>
    <w:rsid w:val="003634AE"/>
    <w:rsid w:val="0036358B"/>
    <w:rsid w:val="00363618"/>
    <w:rsid w:val="00363A33"/>
    <w:rsid w:val="00363A67"/>
    <w:rsid w:val="00363DEF"/>
    <w:rsid w:val="0036407F"/>
    <w:rsid w:val="00364C9F"/>
    <w:rsid w:val="00364D91"/>
    <w:rsid w:val="00364F45"/>
    <w:rsid w:val="00365AB9"/>
    <w:rsid w:val="00365B43"/>
    <w:rsid w:val="00365CAA"/>
    <w:rsid w:val="00365CFB"/>
    <w:rsid w:val="003664EA"/>
    <w:rsid w:val="003665DB"/>
    <w:rsid w:val="0036674C"/>
    <w:rsid w:val="003667A1"/>
    <w:rsid w:val="003667BE"/>
    <w:rsid w:val="003668C6"/>
    <w:rsid w:val="003668F9"/>
    <w:rsid w:val="00366DD0"/>
    <w:rsid w:val="00366E32"/>
    <w:rsid w:val="00367152"/>
    <w:rsid w:val="003671D3"/>
    <w:rsid w:val="00367734"/>
    <w:rsid w:val="00367A88"/>
    <w:rsid w:val="00367AB0"/>
    <w:rsid w:val="00367E18"/>
    <w:rsid w:val="00367E82"/>
    <w:rsid w:val="00370121"/>
    <w:rsid w:val="0037019F"/>
    <w:rsid w:val="00370520"/>
    <w:rsid w:val="003705A4"/>
    <w:rsid w:val="00370B6F"/>
    <w:rsid w:val="00371037"/>
    <w:rsid w:val="00371079"/>
    <w:rsid w:val="00371221"/>
    <w:rsid w:val="00371541"/>
    <w:rsid w:val="00371618"/>
    <w:rsid w:val="0037176B"/>
    <w:rsid w:val="003718FA"/>
    <w:rsid w:val="00371EAF"/>
    <w:rsid w:val="00372007"/>
    <w:rsid w:val="003722F7"/>
    <w:rsid w:val="003728BA"/>
    <w:rsid w:val="0037337B"/>
    <w:rsid w:val="0037385E"/>
    <w:rsid w:val="00373902"/>
    <w:rsid w:val="00374742"/>
    <w:rsid w:val="003747FF"/>
    <w:rsid w:val="0037495A"/>
    <w:rsid w:val="00374BDC"/>
    <w:rsid w:val="00374CEF"/>
    <w:rsid w:val="00374EB9"/>
    <w:rsid w:val="00375380"/>
    <w:rsid w:val="003753F7"/>
    <w:rsid w:val="0037549A"/>
    <w:rsid w:val="003755E5"/>
    <w:rsid w:val="003758D9"/>
    <w:rsid w:val="00375BE8"/>
    <w:rsid w:val="00375C18"/>
    <w:rsid w:val="00375D6C"/>
    <w:rsid w:val="00375E70"/>
    <w:rsid w:val="00376188"/>
    <w:rsid w:val="0037667A"/>
    <w:rsid w:val="0037685C"/>
    <w:rsid w:val="00376B8E"/>
    <w:rsid w:val="00376C58"/>
    <w:rsid w:val="00376CFF"/>
    <w:rsid w:val="003772EF"/>
    <w:rsid w:val="003774F4"/>
    <w:rsid w:val="003778A1"/>
    <w:rsid w:val="003778B4"/>
    <w:rsid w:val="00377C2E"/>
    <w:rsid w:val="00377C35"/>
    <w:rsid w:val="00377D52"/>
    <w:rsid w:val="00380009"/>
    <w:rsid w:val="00380080"/>
    <w:rsid w:val="00380215"/>
    <w:rsid w:val="003802C2"/>
    <w:rsid w:val="00380542"/>
    <w:rsid w:val="003805ED"/>
    <w:rsid w:val="003807EF"/>
    <w:rsid w:val="0038081E"/>
    <w:rsid w:val="00380ADF"/>
    <w:rsid w:val="00380C99"/>
    <w:rsid w:val="00380DB4"/>
    <w:rsid w:val="00380DBE"/>
    <w:rsid w:val="00380FBE"/>
    <w:rsid w:val="003810B5"/>
    <w:rsid w:val="003810B8"/>
    <w:rsid w:val="003815CC"/>
    <w:rsid w:val="0038192D"/>
    <w:rsid w:val="00381EB2"/>
    <w:rsid w:val="00382357"/>
    <w:rsid w:val="00382408"/>
    <w:rsid w:val="003824ED"/>
    <w:rsid w:val="0038294C"/>
    <w:rsid w:val="0038295A"/>
    <w:rsid w:val="00382A37"/>
    <w:rsid w:val="00382A49"/>
    <w:rsid w:val="00382E4B"/>
    <w:rsid w:val="00382FAE"/>
    <w:rsid w:val="003839C6"/>
    <w:rsid w:val="00383A3A"/>
    <w:rsid w:val="00383C77"/>
    <w:rsid w:val="00383E18"/>
    <w:rsid w:val="003843B7"/>
    <w:rsid w:val="003845C2"/>
    <w:rsid w:val="003846C2"/>
    <w:rsid w:val="00384874"/>
    <w:rsid w:val="00384B50"/>
    <w:rsid w:val="00384D0D"/>
    <w:rsid w:val="00384E4A"/>
    <w:rsid w:val="003856EB"/>
    <w:rsid w:val="003857B9"/>
    <w:rsid w:val="003858E4"/>
    <w:rsid w:val="003859A1"/>
    <w:rsid w:val="00385BA1"/>
    <w:rsid w:val="00385BFB"/>
    <w:rsid w:val="00385CC1"/>
    <w:rsid w:val="00385ED3"/>
    <w:rsid w:val="00385F37"/>
    <w:rsid w:val="00386083"/>
    <w:rsid w:val="003863A1"/>
    <w:rsid w:val="003863E4"/>
    <w:rsid w:val="003863F1"/>
    <w:rsid w:val="0038675D"/>
    <w:rsid w:val="00386AB7"/>
    <w:rsid w:val="00386FF0"/>
    <w:rsid w:val="0038743B"/>
    <w:rsid w:val="00387959"/>
    <w:rsid w:val="00387A65"/>
    <w:rsid w:val="00387CEE"/>
    <w:rsid w:val="00387EFB"/>
    <w:rsid w:val="00387F0A"/>
    <w:rsid w:val="00387F2F"/>
    <w:rsid w:val="0039012F"/>
    <w:rsid w:val="0039028A"/>
    <w:rsid w:val="003903E0"/>
    <w:rsid w:val="00390BEF"/>
    <w:rsid w:val="00390ED6"/>
    <w:rsid w:val="00391295"/>
    <w:rsid w:val="00391B29"/>
    <w:rsid w:val="00391DA0"/>
    <w:rsid w:val="00392351"/>
    <w:rsid w:val="0039236C"/>
    <w:rsid w:val="00392439"/>
    <w:rsid w:val="00392567"/>
    <w:rsid w:val="0039258C"/>
    <w:rsid w:val="003925B3"/>
    <w:rsid w:val="003925EA"/>
    <w:rsid w:val="003928D3"/>
    <w:rsid w:val="00392E60"/>
    <w:rsid w:val="00392EFD"/>
    <w:rsid w:val="00393034"/>
    <w:rsid w:val="0039324F"/>
    <w:rsid w:val="003933DD"/>
    <w:rsid w:val="0039390A"/>
    <w:rsid w:val="00393AAC"/>
    <w:rsid w:val="00393AFD"/>
    <w:rsid w:val="00393B31"/>
    <w:rsid w:val="00393E6E"/>
    <w:rsid w:val="0039433A"/>
    <w:rsid w:val="0039456F"/>
    <w:rsid w:val="00394649"/>
    <w:rsid w:val="00394FAF"/>
    <w:rsid w:val="00394FBE"/>
    <w:rsid w:val="003958F7"/>
    <w:rsid w:val="00395916"/>
    <w:rsid w:val="00395953"/>
    <w:rsid w:val="00395AC3"/>
    <w:rsid w:val="00395E2B"/>
    <w:rsid w:val="00395E3D"/>
    <w:rsid w:val="003960D7"/>
    <w:rsid w:val="00396127"/>
    <w:rsid w:val="00396199"/>
    <w:rsid w:val="003963BA"/>
    <w:rsid w:val="00396414"/>
    <w:rsid w:val="00396609"/>
    <w:rsid w:val="0039664F"/>
    <w:rsid w:val="00396681"/>
    <w:rsid w:val="0039676B"/>
    <w:rsid w:val="003969C4"/>
    <w:rsid w:val="00396AE2"/>
    <w:rsid w:val="00396DDE"/>
    <w:rsid w:val="00396E39"/>
    <w:rsid w:val="00396EB1"/>
    <w:rsid w:val="0039737A"/>
    <w:rsid w:val="00397B14"/>
    <w:rsid w:val="003A05D5"/>
    <w:rsid w:val="003A0A2F"/>
    <w:rsid w:val="003A0BEF"/>
    <w:rsid w:val="003A0C48"/>
    <w:rsid w:val="003A0DC6"/>
    <w:rsid w:val="003A10AC"/>
    <w:rsid w:val="003A12DF"/>
    <w:rsid w:val="003A14D2"/>
    <w:rsid w:val="003A150F"/>
    <w:rsid w:val="003A1D97"/>
    <w:rsid w:val="003A216C"/>
    <w:rsid w:val="003A2307"/>
    <w:rsid w:val="003A2494"/>
    <w:rsid w:val="003A2758"/>
    <w:rsid w:val="003A2A08"/>
    <w:rsid w:val="003A2ACB"/>
    <w:rsid w:val="003A2D4C"/>
    <w:rsid w:val="003A2DE4"/>
    <w:rsid w:val="003A30F0"/>
    <w:rsid w:val="003A321C"/>
    <w:rsid w:val="003A32D3"/>
    <w:rsid w:val="003A32E1"/>
    <w:rsid w:val="003A37E8"/>
    <w:rsid w:val="003A3EC9"/>
    <w:rsid w:val="003A40E7"/>
    <w:rsid w:val="003A42CA"/>
    <w:rsid w:val="003A45C2"/>
    <w:rsid w:val="003A4968"/>
    <w:rsid w:val="003A4C66"/>
    <w:rsid w:val="003A4D41"/>
    <w:rsid w:val="003A51E0"/>
    <w:rsid w:val="003A5242"/>
    <w:rsid w:val="003A5456"/>
    <w:rsid w:val="003A579B"/>
    <w:rsid w:val="003A5956"/>
    <w:rsid w:val="003A5AC7"/>
    <w:rsid w:val="003A5B18"/>
    <w:rsid w:val="003A5E34"/>
    <w:rsid w:val="003A5F07"/>
    <w:rsid w:val="003A603F"/>
    <w:rsid w:val="003A6046"/>
    <w:rsid w:val="003A64AB"/>
    <w:rsid w:val="003A6582"/>
    <w:rsid w:val="003A658E"/>
    <w:rsid w:val="003A689A"/>
    <w:rsid w:val="003A6987"/>
    <w:rsid w:val="003A69D6"/>
    <w:rsid w:val="003A6B98"/>
    <w:rsid w:val="003A6C44"/>
    <w:rsid w:val="003A6FF7"/>
    <w:rsid w:val="003A74A1"/>
    <w:rsid w:val="003A7718"/>
    <w:rsid w:val="003A7802"/>
    <w:rsid w:val="003A7873"/>
    <w:rsid w:val="003A78D8"/>
    <w:rsid w:val="003A7E06"/>
    <w:rsid w:val="003B005E"/>
    <w:rsid w:val="003B0536"/>
    <w:rsid w:val="003B0579"/>
    <w:rsid w:val="003B14B9"/>
    <w:rsid w:val="003B15D8"/>
    <w:rsid w:val="003B16A5"/>
    <w:rsid w:val="003B16E4"/>
    <w:rsid w:val="003B183F"/>
    <w:rsid w:val="003B1841"/>
    <w:rsid w:val="003B1A1D"/>
    <w:rsid w:val="003B1BAE"/>
    <w:rsid w:val="003B1E37"/>
    <w:rsid w:val="003B223A"/>
    <w:rsid w:val="003B23C3"/>
    <w:rsid w:val="003B29C6"/>
    <w:rsid w:val="003B2D39"/>
    <w:rsid w:val="003B307F"/>
    <w:rsid w:val="003B31B4"/>
    <w:rsid w:val="003B33C8"/>
    <w:rsid w:val="003B39EC"/>
    <w:rsid w:val="003B3B27"/>
    <w:rsid w:val="003B3C0A"/>
    <w:rsid w:val="003B4362"/>
    <w:rsid w:val="003B47DB"/>
    <w:rsid w:val="003B47E7"/>
    <w:rsid w:val="003B4C5A"/>
    <w:rsid w:val="003B4CD2"/>
    <w:rsid w:val="003B4E6D"/>
    <w:rsid w:val="003B4EF6"/>
    <w:rsid w:val="003B5095"/>
    <w:rsid w:val="003B509B"/>
    <w:rsid w:val="003B52E3"/>
    <w:rsid w:val="003B5676"/>
    <w:rsid w:val="003B5751"/>
    <w:rsid w:val="003B59C1"/>
    <w:rsid w:val="003B5B4B"/>
    <w:rsid w:val="003B5BD8"/>
    <w:rsid w:val="003B611D"/>
    <w:rsid w:val="003B6204"/>
    <w:rsid w:val="003B65B8"/>
    <w:rsid w:val="003B6B4B"/>
    <w:rsid w:val="003B6BC5"/>
    <w:rsid w:val="003B6F30"/>
    <w:rsid w:val="003B70B3"/>
    <w:rsid w:val="003B7472"/>
    <w:rsid w:val="003B7A46"/>
    <w:rsid w:val="003C0008"/>
    <w:rsid w:val="003C015C"/>
    <w:rsid w:val="003C01FA"/>
    <w:rsid w:val="003C050B"/>
    <w:rsid w:val="003C052C"/>
    <w:rsid w:val="003C0979"/>
    <w:rsid w:val="003C0D9E"/>
    <w:rsid w:val="003C0FE7"/>
    <w:rsid w:val="003C11FF"/>
    <w:rsid w:val="003C12C9"/>
    <w:rsid w:val="003C1350"/>
    <w:rsid w:val="003C13E0"/>
    <w:rsid w:val="003C19F1"/>
    <w:rsid w:val="003C1AF8"/>
    <w:rsid w:val="003C1B3B"/>
    <w:rsid w:val="003C1DF4"/>
    <w:rsid w:val="003C1F07"/>
    <w:rsid w:val="003C22BA"/>
    <w:rsid w:val="003C237D"/>
    <w:rsid w:val="003C2595"/>
    <w:rsid w:val="003C262A"/>
    <w:rsid w:val="003C2A03"/>
    <w:rsid w:val="003C2C7C"/>
    <w:rsid w:val="003C2F32"/>
    <w:rsid w:val="003C30DF"/>
    <w:rsid w:val="003C30F7"/>
    <w:rsid w:val="003C39CD"/>
    <w:rsid w:val="003C39E4"/>
    <w:rsid w:val="003C3A4C"/>
    <w:rsid w:val="003C3B47"/>
    <w:rsid w:val="003C4111"/>
    <w:rsid w:val="003C42A5"/>
    <w:rsid w:val="003C469B"/>
    <w:rsid w:val="003C470B"/>
    <w:rsid w:val="003C4761"/>
    <w:rsid w:val="003C49DB"/>
    <w:rsid w:val="003C4A33"/>
    <w:rsid w:val="003C4C54"/>
    <w:rsid w:val="003C507B"/>
    <w:rsid w:val="003C52B7"/>
    <w:rsid w:val="003C5352"/>
    <w:rsid w:val="003C552E"/>
    <w:rsid w:val="003C5639"/>
    <w:rsid w:val="003C5716"/>
    <w:rsid w:val="003C5D85"/>
    <w:rsid w:val="003C5DE0"/>
    <w:rsid w:val="003C5EA7"/>
    <w:rsid w:val="003C63D8"/>
    <w:rsid w:val="003C68C5"/>
    <w:rsid w:val="003C699D"/>
    <w:rsid w:val="003C6A3D"/>
    <w:rsid w:val="003C6B5F"/>
    <w:rsid w:val="003C6BAA"/>
    <w:rsid w:val="003C6CC1"/>
    <w:rsid w:val="003C71D6"/>
    <w:rsid w:val="003C732C"/>
    <w:rsid w:val="003C7398"/>
    <w:rsid w:val="003C75B3"/>
    <w:rsid w:val="003C7755"/>
    <w:rsid w:val="003C77FD"/>
    <w:rsid w:val="003C7801"/>
    <w:rsid w:val="003C7BA4"/>
    <w:rsid w:val="003C7BF9"/>
    <w:rsid w:val="003D06DF"/>
    <w:rsid w:val="003D083E"/>
    <w:rsid w:val="003D0A9A"/>
    <w:rsid w:val="003D136C"/>
    <w:rsid w:val="003D152C"/>
    <w:rsid w:val="003D1939"/>
    <w:rsid w:val="003D1E32"/>
    <w:rsid w:val="003D1E62"/>
    <w:rsid w:val="003D1E9F"/>
    <w:rsid w:val="003D246E"/>
    <w:rsid w:val="003D2773"/>
    <w:rsid w:val="003D30FA"/>
    <w:rsid w:val="003D361D"/>
    <w:rsid w:val="003D3821"/>
    <w:rsid w:val="003D3833"/>
    <w:rsid w:val="003D39D2"/>
    <w:rsid w:val="003D3B89"/>
    <w:rsid w:val="003D430A"/>
    <w:rsid w:val="003D4335"/>
    <w:rsid w:val="003D46D0"/>
    <w:rsid w:val="003D4D9B"/>
    <w:rsid w:val="003D4E35"/>
    <w:rsid w:val="003D4F9A"/>
    <w:rsid w:val="003D540A"/>
    <w:rsid w:val="003D54E9"/>
    <w:rsid w:val="003D552F"/>
    <w:rsid w:val="003D5A2C"/>
    <w:rsid w:val="003D5B51"/>
    <w:rsid w:val="003D5BA2"/>
    <w:rsid w:val="003D5CF9"/>
    <w:rsid w:val="003D6091"/>
    <w:rsid w:val="003D60A7"/>
    <w:rsid w:val="003D61F4"/>
    <w:rsid w:val="003D632D"/>
    <w:rsid w:val="003D6445"/>
    <w:rsid w:val="003D67DA"/>
    <w:rsid w:val="003D6811"/>
    <w:rsid w:val="003D6DFA"/>
    <w:rsid w:val="003D6F71"/>
    <w:rsid w:val="003D71C2"/>
    <w:rsid w:val="003D77C9"/>
    <w:rsid w:val="003D79F9"/>
    <w:rsid w:val="003D7A60"/>
    <w:rsid w:val="003E02FD"/>
    <w:rsid w:val="003E042D"/>
    <w:rsid w:val="003E0508"/>
    <w:rsid w:val="003E0531"/>
    <w:rsid w:val="003E0559"/>
    <w:rsid w:val="003E07D9"/>
    <w:rsid w:val="003E07E4"/>
    <w:rsid w:val="003E07EC"/>
    <w:rsid w:val="003E0924"/>
    <w:rsid w:val="003E1219"/>
    <w:rsid w:val="003E1236"/>
    <w:rsid w:val="003E14BC"/>
    <w:rsid w:val="003E1A0F"/>
    <w:rsid w:val="003E1AF9"/>
    <w:rsid w:val="003E1D10"/>
    <w:rsid w:val="003E1D11"/>
    <w:rsid w:val="003E1D67"/>
    <w:rsid w:val="003E1D99"/>
    <w:rsid w:val="003E1F82"/>
    <w:rsid w:val="003E21FD"/>
    <w:rsid w:val="003E22F2"/>
    <w:rsid w:val="003E247A"/>
    <w:rsid w:val="003E2550"/>
    <w:rsid w:val="003E2775"/>
    <w:rsid w:val="003E27AE"/>
    <w:rsid w:val="003E284E"/>
    <w:rsid w:val="003E2DA0"/>
    <w:rsid w:val="003E34AA"/>
    <w:rsid w:val="003E3546"/>
    <w:rsid w:val="003E3708"/>
    <w:rsid w:val="003E3ACD"/>
    <w:rsid w:val="003E3F92"/>
    <w:rsid w:val="003E4171"/>
    <w:rsid w:val="003E4275"/>
    <w:rsid w:val="003E42BB"/>
    <w:rsid w:val="003E4385"/>
    <w:rsid w:val="003E444D"/>
    <w:rsid w:val="003E4943"/>
    <w:rsid w:val="003E4CB9"/>
    <w:rsid w:val="003E4EB5"/>
    <w:rsid w:val="003E4F4F"/>
    <w:rsid w:val="003E4F81"/>
    <w:rsid w:val="003E507E"/>
    <w:rsid w:val="003E551D"/>
    <w:rsid w:val="003E560B"/>
    <w:rsid w:val="003E56A4"/>
    <w:rsid w:val="003E575F"/>
    <w:rsid w:val="003E58EE"/>
    <w:rsid w:val="003E5BA7"/>
    <w:rsid w:val="003E5DDC"/>
    <w:rsid w:val="003E5FDF"/>
    <w:rsid w:val="003E6155"/>
    <w:rsid w:val="003E61D7"/>
    <w:rsid w:val="003E64B3"/>
    <w:rsid w:val="003E671C"/>
    <w:rsid w:val="003E685B"/>
    <w:rsid w:val="003E68E1"/>
    <w:rsid w:val="003E6AF8"/>
    <w:rsid w:val="003E6B96"/>
    <w:rsid w:val="003E6CB4"/>
    <w:rsid w:val="003E6CFA"/>
    <w:rsid w:val="003E71E8"/>
    <w:rsid w:val="003E7284"/>
    <w:rsid w:val="003E7318"/>
    <w:rsid w:val="003E7363"/>
    <w:rsid w:val="003E77BA"/>
    <w:rsid w:val="003E7841"/>
    <w:rsid w:val="003E79D5"/>
    <w:rsid w:val="003E7B0D"/>
    <w:rsid w:val="003E7C05"/>
    <w:rsid w:val="003E7EEA"/>
    <w:rsid w:val="003F002F"/>
    <w:rsid w:val="003F003A"/>
    <w:rsid w:val="003F0302"/>
    <w:rsid w:val="003F039D"/>
    <w:rsid w:val="003F07B2"/>
    <w:rsid w:val="003F0EEF"/>
    <w:rsid w:val="003F1404"/>
    <w:rsid w:val="003F16DC"/>
    <w:rsid w:val="003F1789"/>
    <w:rsid w:val="003F1FC7"/>
    <w:rsid w:val="003F28F7"/>
    <w:rsid w:val="003F2A54"/>
    <w:rsid w:val="003F2AD9"/>
    <w:rsid w:val="003F31B4"/>
    <w:rsid w:val="003F31BA"/>
    <w:rsid w:val="003F326B"/>
    <w:rsid w:val="003F33DF"/>
    <w:rsid w:val="003F35D5"/>
    <w:rsid w:val="003F3AE2"/>
    <w:rsid w:val="003F3AE4"/>
    <w:rsid w:val="003F3B53"/>
    <w:rsid w:val="003F3C60"/>
    <w:rsid w:val="003F3FED"/>
    <w:rsid w:val="003F47A6"/>
    <w:rsid w:val="003F4916"/>
    <w:rsid w:val="003F495E"/>
    <w:rsid w:val="003F4A28"/>
    <w:rsid w:val="003F4B7F"/>
    <w:rsid w:val="003F4D5C"/>
    <w:rsid w:val="003F4EBB"/>
    <w:rsid w:val="003F5765"/>
    <w:rsid w:val="003F5783"/>
    <w:rsid w:val="003F5A32"/>
    <w:rsid w:val="003F5A57"/>
    <w:rsid w:val="003F5AFF"/>
    <w:rsid w:val="003F5B5A"/>
    <w:rsid w:val="003F5EBD"/>
    <w:rsid w:val="003F604D"/>
    <w:rsid w:val="003F61B5"/>
    <w:rsid w:val="003F61F9"/>
    <w:rsid w:val="003F6265"/>
    <w:rsid w:val="003F62B1"/>
    <w:rsid w:val="003F62F3"/>
    <w:rsid w:val="003F655C"/>
    <w:rsid w:val="003F6637"/>
    <w:rsid w:val="003F6942"/>
    <w:rsid w:val="003F6A9C"/>
    <w:rsid w:val="003F6C95"/>
    <w:rsid w:val="003F6CF7"/>
    <w:rsid w:val="003F7390"/>
    <w:rsid w:val="003F74F4"/>
    <w:rsid w:val="003F74FE"/>
    <w:rsid w:val="003F7AAE"/>
    <w:rsid w:val="003F7C63"/>
    <w:rsid w:val="003F7FD4"/>
    <w:rsid w:val="004003F1"/>
    <w:rsid w:val="00400560"/>
    <w:rsid w:val="004005C4"/>
    <w:rsid w:val="0040065F"/>
    <w:rsid w:val="00400713"/>
    <w:rsid w:val="004009D1"/>
    <w:rsid w:val="00400A39"/>
    <w:rsid w:val="00400BAA"/>
    <w:rsid w:val="00400CE3"/>
    <w:rsid w:val="00400DAF"/>
    <w:rsid w:val="00400F01"/>
    <w:rsid w:val="00400F77"/>
    <w:rsid w:val="0040149D"/>
    <w:rsid w:val="00401C1A"/>
    <w:rsid w:val="00401D3C"/>
    <w:rsid w:val="00401DC4"/>
    <w:rsid w:val="004021A6"/>
    <w:rsid w:val="004022C4"/>
    <w:rsid w:val="00402317"/>
    <w:rsid w:val="00402339"/>
    <w:rsid w:val="00402CA1"/>
    <w:rsid w:val="00402E58"/>
    <w:rsid w:val="00402F14"/>
    <w:rsid w:val="00402F9C"/>
    <w:rsid w:val="004035BC"/>
    <w:rsid w:val="00403700"/>
    <w:rsid w:val="00403B18"/>
    <w:rsid w:val="00403DE8"/>
    <w:rsid w:val="00404142"/>
    <w:rsid w:val="0040434E"/>
    <w:rsid w:val="004045E5"/>
    <w:rsid w:val="00404813"/>
    <w:rsid w:val="00404D12"/>
    <w:rsid w:val="00404D1B"/>
    <w:rsid w:val="00404F52"/>
    <w:rsid w:val="00404FDD"/>
    <w:rsid w:val="0040510B"/>
    <w:rsid w:val="004051FA"/>
    <w:rsid w:val="004052BA"/>
    <w:rsid w:val="00405671"/>
    <w:rsid w:val="00405A81"/>
    <w:rsid w:val="00405F31"/>
    <w:rsid w:val="0040600E"/>
    <w:rsid w:val="00406125"/>
    <w:rsid w:val="0040623F"/>
    <w:rsid w:val="004064FB"/>
    <w:rsid w:val="004068E5"/>
    <w:rsid w:val="004076F8"/>
    <w:rsid w:val="00407CE5"/>
    <w:rsid w:val="00407E98"/>
    <w:rsid w:val="00407F34"/>
    <w:rsid w:val="00407FEA"/>
    <w:rsid w:val="004100D0"/>
    <w:rsid w:val="004100DE"/>
    <w:rsid w:val="004100E3"/>
    <w:rsid w:val="00410328"/>
    <w:rsid w:val="00410916"/>
    <w:rsid w:val="00410F33"/>
    <w:rsid w:val="00410FA0"/>
    <w:rsid w:val="0041103C"/>
    <w:rsid w:val="00411058"/>
    <w:rsid w:val="00411653"/>
    <w:rsid w:val="004119A3"/>
    <w:rsid w:val="00411BB3"/>
    <w:rsid w:val="00411BBC"/>
    <w:rsid w:val="00411F76"/>
    <w:rsid w:val="004121D0"/>
    <w:rsid w:val="004124E8"/>
    <w:rsid w:val="00412AE5"/>
    <w:rsid w:val="00412DA5"/>
    <w:rsid w:val="00412DF9"/>
    <w:rsid w:val="00413006"/>
    <w:rsid w:val="0041313B"/>
    <w:rsid w:val="00413345"/>
    <w:rsid w:val="00413475"/>
    <w:rsid w:val="004134A5"/>
    <w:rsid w:val="0041388B"/>
    <w:rsid w:val="00413E9B"/>
    <w:rsid w:val="00414BAF"/>
    <w:rsid w:val="00414C1B"/>
    <w:rsid w:val="004155B1"/>
    <w:rsid w:val="004155F8"/>
    <w:rsid w:val="004157AA"/>
    <w:rsid w:val="004158DC"/>
    <w:rsid w:val="00415974"/>
    <w:rsid w:val="00415AA8"/>
    <w:rsid w:val="00415B93"/>
    <w:rsid w:val="00415DBE"/>
    <w:rsid w:val="00416381"/>
    <w:rsid w:val="0041650E"/>
    <w:rsid w:val="0041671C"/>
    <w:rsid w:val="0041671D"/>
    <w:rsid w:val="0041684B"/>
    <w:rsid w:val="00416E16"/>
    <w:rsid w:val="00416E5C"/>
    <w:rsid w:val="00416F55"/>
    <w:rsid w:val="004174CB"/>
    <w:rsid w:val="0041756A"/>
    <w:rsid w:val="00417CBA"/>
    <w:rsid w:val="00417D8D"/>
    <w:rsid w:val="00417FC0"/>
    <w:rsid w:val="004200F2"/>
    <w:rsid w:val="0042017A"/>
    <w:rsid w:val="00420913"/>
    <w:rsid w:val="00420F4A"/>
    <w:rsid w:val="00420FBA"/>
    <w:rsid w:val="00421003"/>
    <w:rsid w:val="004211A6"/>
    <w:rsid w:val="00421261"/>
    <w:rsid w:val="004214FD"/>
    <w:rsid w:val="00421642"/>
    <w:rsid w:val="0042166F"/>
    <w:rsid w:val="004218BD"/>
    <w:rsid w:val="00421A42"/>
    <w:rsid w:val="00421AB3"/>
    <w:rsid w:val="00421D5E"/>
    <w:rsid w:val="00421DB0"/>
    <w:rsid w:val="00421E8A"/>
    <w:rsid w:val="00421FDC"/>
    <w:rsid w:val="0042201C"/>
    <w:rsid w:val="00422CC6"/>
    <w:rsid w:val="00422E1B"/>
    <w:rsid w:val="00422F00"/>
    <w:rsid w:val="004231E9"/>
    <w:rsid w:val="00423655"/>
    <w:rsid w:val="00423B0F"/>
    <w:rsid w:val="00423CEC"/>
    <w:rsid w:val="00423D8C"/>
    <w:rsid w:val="0042416D"/>
    <w:rsid w:val="0042427E"/>
    <w:rsid w:val="00424286"/>
    <w:rsid w:val="0042480F"/>
    <w:rsid w:val="00424C3D"/>
    <w:rsid w:val="00424EC6"/>
    <w:rsid w:val="00425093"/>
    <w:rsid w:val="0042548F"/>
    <w:rsid w:val="004257A6"/>
    <w:rsid w:val="00425A93"/>
    <w:rsid w:val="00425AC8"/>
    <w:rsid w:val="00425B14"/>
    <w:rsid w:val="00425B6C"/>
    <w:rsid w:val="00425F67"/>
    <w:rsid w:val="00426165"/>
    <w:rsid w:val="00426289"/>
    <w:rsid w:val="004264A2"/>
    <w:rsid w:val="0042663E"/>
    <w:rsid w:val="0042668B"/>
    <w:rsid w:val="004266A4"/>
    <w:rsid w:val="00426756"/>
    <w:rsid w:val="004268E8"/>
    <w:rsid w:val="00426AA2"/>
    <w:rsid w:val="00426B63"/>
    <w:rsid w:val="00426BCA"/>
    <w:rsid w:val="00426C6C"/>
    <w:rsid w:val="00426CD2"/>
    <w:rsid w:val="00426D72"/>
    <w:rsid w:val="00426F4E"/>
    <w:rsid w:val="00426F88"/>
    <w:rsid w:val="00427095"/>
    <w:rsid w:val="00427164"/>
    <w:rsid w:val="004271F4"/>
    <w:rsid w:val="00427342"/>
    <w:rsid w:val="00427481"/>
    <w:rsid w:val="004279EB"/>
    <w:rsid w:val="00427D80"/>
    <w:rsid w:val="00430255"/>
    <w:rsid w:val="004307AA"/>
    <w:rsid w:val="00430836"/>
    <w:rsid w:val="004309E9"/>
    <w:rsid w:val="00430AC0"/>
    <w:rsid w:val="00430ACC"/>
    <w:rsid w:val="00430B4C"/>
    <w:rsid w:val="00430DB9"/>
    <w:rsid w:val="00431026"/>
    <w:rsid w:val="00431122"/>
    <w:rsid w:val="0043139C"/>
    <w:rsid w:val="00431BE3"/>
    <w:rsid w:val="00432015"/>
    <w:rsid w:val="004320C0"/>
    <w:rsid w:val="004321EC"/>
    <w:rsid w:val="00432725"/>
    <w:rsid w:val="004328B3"/>
    <w:rsid w:val="00432B1D"/>
    <w:rsid w:val="00432B40"/>
    <w:rsid w:val="0043341F"/>
    <w:rsid w:val="004334C0"/>
    <w:rsid w:val="00433715"/>
    <w:rsid w:val="00433905"/>
    <w:rsid w:val="004339C0"/>
    <w:rsid w:val="00433A06"/>
    <w:rsid w:val="00433CAE"/>
    <w:rsid w:val="00433E3D"/>
    <w:rsid w:val="00434063"/>
    <w:rsid w:val="0043418B"/>
    <w:rsid w:val="004341BD"/>
    <w:rsid w:val="0043420A"/>
    <w:rsid w:val="004342DB"/>
    <w:rsid w:val="00434348"/>
    <w:rsid w:val="0043446C"/>
    <w:rsid w:val="0043472B"/>
    <w:rsid w:val="00435594"/>
    <w:rsid w:val="0043572D"/>
    <w:rsid w:val="00435B91"/>
    <w:rsid w:val="00435EAB"/>
    <w:rsid w:val="00435EB8"/>
    <w:rsid w:val="00436244"/>
    <w:rsid w:val="00436480"/>
    <w:rsid w:val="00436529"/>
    <w:rsid w:val="00436640"/>
    <w:rsid w:val="00436753"/>
    <w:rsid w:val="0043776A"/>
    <w:rsid w:val="004379B4"/>
    <w:rsid w:val="00437A43"/>
    <w:rsid w:val="00437F10"/>
    <w:rsid w:val="00437F62"/>
    <w:rsid w:val="00437FC9"/>
    <w:rsid w:val="00440600"/>
    <w:rsid w:val="00440682"/>
    <w:rsid w:val="004406C5"/>
    <w:rsid w:val="004407C5"/>
    <w:rsid w:val="00440849"/>
    <w:rsid w:val="004408F5"/>
    <w:rsid w:val="0044099D"/>
    <w:rsid w:val="00440BDE"/>
    <w:rsid w:val="0044133D"/>
    <w:rsid w:val="0044157B"/>
    <w:rsid w:val="0044166D"/>
    <w:rsid w:val="00441ABD"/>
    <w:rsid w:val="00441B0D"/>
    <w:rsid w:val="00441B20"/>
    <w:rsid w:val="00441F2E"/>
    <w:rsid w:val="004427FB"/>
    <w:rsid w:val="004431C6"/>
    <w:rsid w:val="00443581"/>
    <w:rsid w:val="0044367D"/>
    <w:rsid w:val="004438D7"/>
    <w:rsid w:val="00443E04"/>
    <w:rsid w:val="00444311"/>
    <w:rsid w:val="004445FF"/>
    <w:rsid w:val="004446FC"/>
    <w:rsid w:val="00444918"/>
    <w:rsid w:val="0044492D"/>
    <w:rsid w:val="00444D03"/>
    <w:rsid w:val="00445196"/>
    <w:rsid w:val="004453B1"/>
    <w:rsid w:val="0044553B"/>
    <w:rsid w:val="00445875"/>
    <w:rsid w:val="00445A8C"/>
    <w:rsid w:val="00445EB4"/>
    <w:rsid w:val="00445ED1"/>
    <w:rsid w:val="00445FBA"/>
    <w:rsid w:val="00445FC5"/>
    <w:rsid w:val="0044631E"/>
    <w:rsid w:val="00446321"/>
    <w:rsid w:val="00446384"/>
    <w:rsid w:val="004464C3"/>
    <w:rsid w:val="00446D43"/>
    <w:rsid w:val="004470A5"/>
    <w:rsid w:val="004474E3"/>
    <w:rsid w:val="0044760F"/>
    <w:rsid w:val="004478C7"/>
    <w:rsid w:val="004478F4"/>
    <w:rsid w:val="0045013F"/>
    <w:rsid w:val="004502D2"/>
    <w:rsid w:val="00450A17"/>
    <w:rsid w:val="00450CD6"/>
    <w:rsid w:val="00450E39"/>
    <w:rsid w:val="00450E87"/>
    <w:rsid w:val="00450F87"/>
    <w:rsid w:val="0045107A"/>
    <w:rsid w:val="004512DC"/>
    <w:rsid w:val="0045143D"/>
    <w:rsid w:val="00451456"/>
    <w:rsid w:val="0045202F"/>
    <w:rsid w:val="004526CD"/>
    <w:rsid w:val="00452775"/>
    <w:rsid w:val="004528A1"/>
    <w:rsid w:val="00453304"/>
    <w:rsid w:val="00453348"/>
    <w:rsid w:val="004539E5"/>
    <w:rsid w:val="00453A19"/>
    <w:rsid w:val="00453B2E"/>
    <w:rsid w:val="00453BA3"/>
    <w:rsid w:val="00453C43"/>
    <w:rsid w:val="00453FAB"/>
    <w:rsid w:val="004546D4"/>
    <w:rsid w:val="00454756"/>
    <w:rsid w:val="004547F0"/>
    <w:rsid w:val="00454A58"/>
    <w:rsid w:val="00454CE5"/>
    <w:rsid w:val="00454CF8"/>
    <w:rsid w:val="00454FEE"/>
    <w:rsid w:val="004552D4"/>
    <w:rsid w:val="00455400"/>
    <w:rsid w:val="00455422"/>
    <w:rsid w:val="00455564"/>
    <w:rsid w:val="00455A99"/>
    <w:rsid w:val="00455D32"/>
    <w:rsid w:val="004560C6"/>
    <w:rsid w:val="004561DA"/>
    <w:rsid w:val="0045627A"/>
    <w:rsid w:val="00456305"/>
    <w:rsid w:val="00456618"/>
    <w:rsid w:val="004569CA"/>
    <w:rsid w:val="00456AD1"/>
    <w:rsid w:val="00456CE9"/>
    <w:rsid w:val="00456CF8"/>
    <w:rsid w:val="00456F56"/>
    <w:rsid w:val="004570F7"/>
    <w:rsid w:val="004572B2"/>
    <w:rsid w:val="00457381"/>
    <w:rsid w:val="004574E0"/>
    <w:rsid w:val="004575EE"/>
    <w:rsid w:val="00457782"/>
    <w:rsid w:val="0046015A"/>
    <w:rsid w:val="004602DA"/>
    <w:rsid w:val="0046038A"/>
    <w:rsid w:val="00460A94"/>
    <w:rsid w:val="00460B62"/>
    <w:rsid w:val="00460E16"/>
    <w:rsid w:val="00460E1D"/>
    <w:rsid w:val="00460E36"/>
    <w:rsid w:val="00460F1D"/>
    <w:rsid w:val="00461086"/>
    <w:rsid w:val="00461265"/>
    <w:rsid w:val="00461634"/>
    <w:rsid w:val="004616DB"/>
    <w:rsid w:val="00461791"/>
    <w:rsid w:val="00461818"/>
    <w:rsid w:val="0046187C"/>
    <w:rsid w:val="0046190F"/>
    <w:rsid w:val="00461AEC"/>
    <w:rsid w:val="00461E64"/>
    <w:rsid w:val="004621E0"/>
    <w:rsid w:val="00462360"/>
    <w:rsid w:val="0046245F"/>
    <w:rsid w:val="00462534"/>
    <w:rsid w:val="004627C7"/>
    <w:rsid w:val="00462BFD"/>
    <w:rsid w:val="00462E09"/>
    <w:rsid w:val="004631C9"/>
    <w:rsid w:val="00463711"/>
    <w:rsid w:val="00463DB0"/>
    <w:rsid w:val="00463E0F"/>
    <w:rsid w:val="00464355"/>
    <w:rsid w:val="004645B6"/>
    <w:rsid w:val="00464996"/>
    <w:rsid w:val="00464BB2"/>
    <w:rsid w:val="00464F39"/>
    <w:rsid w:val="0046507D"/>
    <w:rsid w:val="004650F3"/>
    <w:rsid w:val="00465192"/>
    <w:rsid w:val="004652E5"/>
    <w:rsid w:val="004655A0"/>
    <w:rsid w:val="004655B0"/>
    <w:rsid w:val="00465A65"/>
    <w:rsid w:val="00465C8F"/>
    <w:rsid w:val="00465D98"/>
    <w:rsid w:val="00465DCF"/>
    <w:rsid w:val="00465E9F"/>
    <w:rsid w:val="00465FA2"/>
    <w:rsid w:val="004660AD"/>
    <w:rsid w:val="00466149"/>
    <w:rsid w:val="00466285"/>
    <w:rsid w:val="00466629"/>
    <w:rsid w:val="00466ADF"/>
    <w:rsid w:val="00466C3D"/>
    <w:rsid w:val="00466DD6"/>
    <w:rsid w:val="00466EDF"/>
    <w:rsid w:val="00467135"/>
    <w:rsid w:val="0046718F"/>
    <w:rsid w:val="004676D3"/>
    <w:rsid w:val="004676FD"/>
    <w:rsid w:val="004677AC"/>
    <w:rsid w:val="00467A0E"/>
    <w:rsid w:val="00467A4E"/>
    <w:rsid w:val="00467BC3"/>
    <w:rsid w:val="00467D56"/>
    <w:rsid w:val="00470072"/>
    <w:rsid w:val="004703E3"/>
    <w:rsid w:val="004704C3"/>
    <w:rsid w:val="00470688"/>
    <w:rsid w:val="00470862"/>
    <w:rsid w:val="004709C0"/>
    <w:rsid w:val="00470A1E"/>
    <w:rsid w:val="00470E3F"/>
    <w:rsid w:val="004712F8"/>
    <w:rsid w:val="0047167A"/>
    <w:rsid w:val="004718C5"/>
    <w:rsid w:val="004718D0"/>
    <w:rsid w:val="004719B1"/>
    <w:rsid w:val="00471BDC"/>
    <w:rsid w:val="0047208F"/>
    <w:rsid w:val="0047223D"/>
    <w:rsid w:val="0047246C"/>
    <w:rsid w:val="004724A6"/>
    <w:rsid w:val="004728A9"/>
    <w:rsid w:val="004728AC"/>
    <w:rsid w:val="00472EB6"/>
    <w:rsid w:val="00473069"/>
    <w:rsid w:val="0047307A"/>
    <w:rsid w:val="00473152"/>
    <w:rsid w:val="004732B8"/>
    <w:rsid w:val="004733CC"/>
    <w:rsid w:val="00473471"/>
    <w:rsid w:val="004736D6"/>
    <w:rsid w:val="00473721"/>
    <w:rsid w:val="00473726"/>
    <w:rsid w:val="004739E0"/>
    <w:rsid w:val="00473D20"/>
    <w:rsid w:val="004740EC"/>
    <w:rsid w:val="00474ACE"/>
    <w:rsid w:val="00474BE7"/>
    <w:rsid w:val="004750B0"/>
    <w:rsid w:val="004752F9"/>
    <w:rsid w:val="004754D7"/>
    <w:rsid w:val="004755FA"/>
    <w:rsid w:val="0047576C"/>
    <w:rsid w:val="004759F9"/>
    <w:rsid w:val="00475B54"/>
    <w:rsid w:val="00475D29"/>
    <w:rsid w:val="00475DE7"/>
    <w:rsid w:val="0047612A"/>
    <w:rsid w:val="004761DF"/>
    <w:rsid w:val="00476414"/>
    <w:rsid w:val="0047652E"/>
    <w:rsid w:val="00476739"/>
    <w:rsid w:val="0047676D"/>
    <w:rsid w:val="00476E5B"/>
    <w:rsid w:val="00477113"/>
    <w:rsid w:val="0047717F"/>
    <w:rsid w:val="00477422"/>
    <w:rsid w:val="0047753A"/>
    <w:rsid w:val="00477572"/>
    <w:rsid w:val="0047764D"/>
    <w:rsid w:val="004776C9"/>
    <w:rsid w:val="004776F3"/>
    <w:rsid w:val="00477B9C"/>
    <w:rsid w:val="00477D35"/>
    <w:rsid w:val="00480042"/>
    <w:rsid w:val="0048057E"/>
    <w:rsid w:val="00480809"/>
    <w:rsid w:val="00480A22"/>
    <w:rsid w:val="00480D9D"/>
    <w:rsid w:val="00481151"/>
    <w:rsid w:val="004812FA"/>
    <w:rsid w:val="004813F5"/>
    <w:rsid w:val="004818A1"/>
    <w:rsid w:val="00481D42"/>
    <w:rsid w:val="004822C6"/>
    <w:rsid w:val="00482562"/>
    <w:rsid w:val="00482F0F"/>
    <w:rsid w:val="004830FA"/>
    <w:rsid w:val="00483113"/>
    <w:rsid w:val="0048347A"/>
    <w:rsid w:val="004837C6"/>
    <w:rsid w:val="00483934"/>
    <w:rsid w:val="00483AA6"/>
    <w:rsid w:val="00483AC2"/>
    <w:rsid w:val="00483C71"/>
    <w:rsid w:val="00483CC2"/>
    <w:rsid w:val="00483DDB"/>
    <w:rsid w:val="00483EA0"/>
    <w:rsid w:val="004841A5"/>
    <w:rsid w:val="004844AE"/>
    <w:rsid w:val="004845D2"/>
    <w:rsid w:val="00484916"/>
    <w:rsid w:val="00484D2F"/>
    <w:rsid w:val="00485279"/>
    <w:rsid w:val="00485307"/>
    <w:rsid w:val="00485352"/>
    <w:rsid w:val="004854AE"/>
    <w:rsid w:val="00485BC5"/>
    <w:rsid w:val="00485D22"/>
    <w:rsid w:val="0048607B"/>
    <w:rsid w:val="00486124"/>
    <w:rsid w:val="00486184"/>
    <w:rsid w:val="0048701D"/>
    <w:rsid w:val="004874EC"/>
    <w:rsid w:val="00487751"/>
    <w:rsid w:val="0048791F"/>
    <w:rsid w:val="0048796B"/>
    <w:rsid w:val="00487A66"/>
    <w:rsid w:val="00487D88"/>
    <w:rsid w:val="00490084"/>
    <w:rsid w:val="004907C9"/>
    <w:rsid w:val="0049082B"/>
    <w:rsid w:val="00490A81"/>
    <w:rsid w:val="00491015"/>
    <w:rsid w:val="00491272"/>
    <w:rsid w:val="004912B2"/>
    <w:rsid w:val="00491335"/>
    <w:rsid w:val="004913D0"/>
    <w:rsid w:val="004913E5"/>
    <w:rsid w:val="004915E7"/>
    <w:rsid w:val="00491B74"/>
    <w:rsid w:val="00491BEA"/>
    <w:rsid w:val="00491EA4"/>
    <w:rsid w:val="0049254F"/>
    <w:rsid w:val="004926EC"/>
    <w:rsid w:val="004928CB"/>
    <w:rsid w:val="00492A7D"/>
    <w:rsid w:val="00492D52"/>
    <w:rsid w:val="004936BC"/>
    <w:rsid w:val="0049388D"/>
    <w:rsid w:val="0049392A"/>
    <w:rsid w:val="00493A11"/>
    <w:rsid w:val="00493C0C"/>
    <w:rsid w:val="00493C8B"/>
    <w:rsid w:val="00493F2F"/>
    <w:rsid w:val="00493FC9"/>
    <w:rsid w:val="00494184"/>
    <w:rsid w:val="00494317"/>
    <w:rsid w:val="00494593"/>
    <w:rsid w:val="00494974"/>
    <w:rsid w:val="00494CC8"/>
    <w:rsid w:val="00494E77"/>
    <w:rsid w:val="00494F17"/>
    <w:rsid w:val="004952A9"/>
    <w:rsid w:val="00495368"/>
    <w:rsid w:val="00495487"/>
    <w:rsid w:val="00495AA6"/>
    <w:rsid w:val="00495D47"/>
    <w:rsid w:val="00495DE4"/>
    <w:rsid w:val="00495F8D"/>
    <w:rsid w:val="004960A9"/>
    <w:rsid w:val="004961D3"/>
    <w:rsid w:val="0049642B"/>
    <w:rsid w:val="0049644E"/>
    <w:rsid w:val="00496571"/>
    <w:rsid w:val="004967E4"/>
    <w:rsid w:val="00496A26"/>
    <w:rsid w:val="00496A31"/>
    <w:rsid w:val="00496D8B"/>
    <w:rsid w:val="0049730F"/>
    <w:rsid w:val="00497AF7"/>
    <w:rsid w:val="00497B99"/>
    <w:rsid w:val="00497D15"/>
    <w:rsid w:val="00497F44"/>
    <w:rsid w:val="004A0243"/>
    <w:rsid w:val="004A0401"/>
    <w:rsid w:val="004A0670"/>
    <w:rsid w:val="004A0746"/>
    <w:rsid w:val="004A0804"/>
    <w:rsid w:val="004A148C"/>
    <w:rsid w:val="004A1AF8"/>
    <w:rsid w:val="004A1B97"/>
    <w:rsid w:val="004A1D1C"/>
    <w:rsid w:val="004A1D40"/>
    <w:rsid w:val="004A1DBF"/>
    <w:rsid w:val="004A1E1B"/>
    <w:rsid w:val="004A224E"/>
    <w:rsid w:val="004A26AA"/>
    <w:rsid w:val="004A28EA"/>
    <w:rsid w:val="004A2A45"/>
    <w:rsid w:val="004A2C94"/>
    <w:rsid w:val="004A2CA9"/>
    <w:rsid w:val="004A2E1F"/>
    <w:rsid w:val="004A33CD"/>
    <w:rsid w:val="004A3480"/>
    <w:rsid w:val="004A3877"/>
    <w:rsid w:val="004A3BC8"/>
    <w:rsid w:val="004A3EAE"/>
    <w:rsid w:val="004A401B"/>
    <w:rsid w:val="004A457D"/>
    <w:rsid w:val="004A47B2"/>
    <w:rsid w:val="004A4846"/>
    <w:rsid w:val="004A48FB"/>
    <w:rsid w:val="004A4AC3"/>
    <w:rsid w:val="004A4CD9"/>
    <w:rsid w:val="004A50E7"/>
    <w:rsid w:val="004A5288"/>
    <w:rsid w:val="004A56B2"/>
    <w:rsid w:val="004A5A18"/>
    <w:rsid w:val="004A5C05"/>
    <w:rsid w:val="004A6048"/>
    <w:rsid w:val="004A6187"/>
    <w:rsid w:val="004A65A3"/>
    <w:rsid w:val="004A6A60"/>
    <w:rsid w:val="004A6F87"/>
    <w:rsid w:val="004A6FAE"/>
    <w:rsid w:val="004A703E"/>
    <w:rsid w:val="004A7198"/>
    <w:rsid w:val="004A71EB"/>
    <w:rsid w:val="004A76FB"/>
    <w:rsid w:val="004A7A6E"/>
    <w:rsid w:val="004B09E4"/>
    <w:rsid w:val="004B0A61"/>
    <w:rsid w:val="004B0BA2"/>
    <w:rsid w:val="004B0DA3"/>
    <w:rsid w:val="004B0DB6"/>
    <w:rsid w:val="004B0F73"/>
    <w:rsid w:val="004B14EA"/>
    <w:rsid w:val="004B19DB"/>
    <w:rsid w:val="004B1A1E"/>
    <w:rsid w:val="004B1CC8"/>
    <w:rsid w:val="004B2168"/>
    <w:rsid w:val="004B2429"/>
    <w:rsid w:val="004B2D53"/>
    <w:rsid w:val="004B2F7E"/>
    <w:rsid w:val="004B3003"/>
    <w:rsid w:val="004B31CC"/>
    <w:rsid w:val="004B3267"/>
    <w:rsid w:val="004B335F"/>
    <w:rsid w:val="004B345C"/>
    <w:rsid w:val="004B346E"/>
    <w:rsid w:val="004B34F9"/>
    <w:rsid w:val="004B35FA"/>
    <w:rsid w:val="004B37B3"/>
    <w:rsid w:val="004B3893"/>
    <w:rsid w:val="004B3AB5"/>
    <w:rsid w:val="004B41AD"/>
    <w:rsid w:val="004B423A"/>
    <w:rsid w:val="004B46DF"/>
    <w:rsid w:val="004B47FD"/>
    <w:rsid w:val="004B48CC"/>
    <w:rsid w:val="004B4CA8"/>
    <w:rsid w:val="004B4E8B"/>
    <w:rsid w:val="004B4EFF"/>
    <w:rsid w:val="004B4FA4"/>
    <w:rsid w:val="004B5527"/>
    <w:rsid w:val="004B5927"/>
    <w:rsid w:val="004B596B"/>
    <w:rsid w:val="004B5FC8"/>
    <w:rsid w:val="004B607D"/>
    <w:rsid w:val="004B60C6"/>
    <w:rsid w:val="004B6291"/>
    <w:rsid w:val="004B6598"/>
    <w:rsid w:val="004B6B50"/>
    <w:rsid w:val="004B6B9B"/>
    <w:rsid w:val="004B6E41"/>
    <w:rsid w:val="004B6F30"/>
    <w:rsid w:val="004B75EF"/>
    <w:rsid w:val="004B794D"/>
    <w:rsid w:val="004B7AB7"/>
    <w:rsid w:val="004B7E06"/>
    <w:rsid w:val="004B7E5B"/>
    <w:rsid w:val="004B7EA6"/>
    <w:rsid w:val="004C01EF"/>
    <w:rsid w:val="004C0350"/>
    <w:rsid w:val="004C04AD"/>
    <w:rsid w:val="004C0540"/>
    <w:rsid w:val="004C09AA"/>
    <w:rsid w:val="004C09EC"/>
    <w:rsid w:val="004C0C77"/>
    <w:rsid w:val="004C1416"/>
    <w:rsid w:val="004C170A"/>
    <w:rsid w:val="004C19E4"/>
    <w:rsid w:val="004C1A85"/>
    <w:rsid w:val="004C1BFA"/>
    <w:rsid w:val="004C1D99"/>
    <w:rsid w:val="004C1DB8"/>
    <w:rsid w:val="004C20E1"/>
    <w:rsid w:val="004C2170"/>
    <w:rsid w:val="004C235C"/>
    <w:rsid w:val="004C2407"/>
    <w:rsid w:val="004C2418"/>
    <w:rsid w:val="004C242F"/>
    <w:rsid w:val="004C2561"/>
    <w:rsid w:val="004C2623"/>
    <w:rsid w:val="004C271A"/>
    <w:rsid w:val="004C296D"/>
    <w:rsid w:val="004C2A41"/>
    <w:rsid w:val="004C2D6D"/>
    <w:rsid w:val="004C306B"/>
    <w:rsid w:val="004C30B5"/>
    <w:rsid w:val="004C35BA"/>
    <w:rsid w:val="004C3691"/>
    <w:rsid w:val="004C3DBA"/>
    <w:rsid w:val="004C3F49"/>
    <w:rsid w:val="004C41F5"/>
    <w:rsid w:val="004C426A"/>
    <w:rsid w:val="004C42EA"/>
    <w:rsid w:val="004C43EA"/>
    <w:rsid w:val="004C44F4"/>
    <w:rsid w:val="004C4579"/>
    <w:rsid w:val="004C46BF"/>
    <w:rsid w:val="004C472A"/>
    <w:rsid w:val="004C47FB"/>
    <w:rsid w:val="004C49BE"/>
    <w:rsid w:val="004C4CB7"/>
    <w:rsid w:val="004C50C4"/>
    <w:rsid w:val="004C5193"/>
    <w:rsid w:val="004C55A7"/>
    <w:rsid w:val="004C58FC"/>
    <w:rsid w:val="004C5A83"/>
    <w:rsid w:val="004C5ABD"/>
    <w:rsid w:val="004C5D73"/>
    <w:rsid w:val="004C5F35"/>
    <w:rsid w:val="004C6535"/>
    <w:rsid w:val="004C66A6"/>
    <w:rsid w:val="004C69DF"/>
    <w:rsid w:val="004C6CDB"/>
    <w:rsid w:val="004C6EB4"/>
    <w:rsid w:val="004C70B9"/>
    <w:rsid w:val="004C73B0"/>
    <w:rsid w:val="004C76BA"/>
    <w:rsid w:val="004C7826"/>
    <w:rsid w:val="004C7D34"/>
    <w:rsid w:val="004D038B"/>
    <w:rsid w:val="004D0417"/>
    <w:rsid w:val="004D078C"/>
    <w:rsid w:val="004D083D"/>
    <w:rsid w:val="004D0DB0"/>
    <w:rsid w:val="004D108D"/>
    <w:rsid w:val="004D14EE"/>
    <w:rsid w:val="004D1544"/>
    <w:rsid w:val="004D1599"/>
    <w:rsid w:val="004D16A3"/>
    <w:rsid w:val="004D1EE6"/>
    <w:rsid w:val="004D1F87"/>
    <w:rsid w:val="004D206C"/>
    <w:rsid w:val="004D2324"/>
    <w:rsid w:val="004D2725"/>
    <w:rsid w:val="004D2B43"/>
    <w:rsid w:val="004D2D6C"/>
    <w:rsid w:val="004D2DED"/>
    <w:rsid w:val="004D2EBE"/>
    <w:rsid w:val="004D2FF7"/>
    <w:rsid w:val="004D30AB"/>
    <w:rsid w:val="004D31C2"/>
    <w:rsid w:val="004D3468"/>
    <w:rsid w:val="004D3A04"/>
    <w:rsid w:val="004D3A47"/>
    <w:rsid w:val="004D3D59"/>
    <w:rsid w:val="004D3FFA"/>
    <w:rsid w:val="004D40A3"/>
    <w:rsid w:val="004D4543"/>
    <w:rsid w:val="004D5145"/>
    <w:rsid w:val="004D5420"/>
    <w:rsid w:val="004D5438"/>
    <w:rsid w:val="004D5479"/>
    <w:rsid w:val="004D55A5"/>
    <w:rsid w:val="004D55F3"/>
    <w:rsid w:val="004D5777"/>
    <w:rsid w:val="004D5ED5"/>
    <w:rsid w:val="004D5F03"/>
    <w:rsid w:val="004D6422"/>
    <w:rsid w:val="004D6B6E"/>
    <w:rsid w:val="004D6EE9"/>
    <w:rsid w:val="004D6F78"/>
    <w:rsid w:val="004D715D"/>
    <w:rsid w:val="004D729D"/>
    <w:rsid w:val="004D74A1"/>
    <w:rsid w:val="004D78DE"/>
    <w:rsid w:val="004D79A8"/>
    <w:rsid w:val="004D7E76"/>
    <w:rsid w:val="004D7F64"/>
    <w:rsid w:val="004D7F69"/>
    <w:rsid w:val="004E01BA"/>
    <w:rsid w:val="004E02D9"/>
    <w:rsid w:val="004E0481"/>
    <w:rsid w:val="004E08C5"/>
    <w:rsid w:val="004E0EBF"/>
    <w:rsid w:val="004E0F7F"/>
    <w:rsid w:val="004E101F"/>
    <w:rsid w:val="004E10BA"/>
    <w:rsid w:val="004E11D9"/>
    <w:rsid w:val="004E1587"/>
    <w:rsid w:val="004E15DD"/>
    <w:rsid w:val="004E1994"/>
    <w:rsid w:val="004E1B5B"/>
    <w:rsid w:val="004E1D7D"/>
    <w:rsid w:val="004E1F7E"/>
    <w:rsid w:val="004E20A3"/>
    <w:rsid w:val="004E21B5"/>
    <w:rsid w:val="004E2626"/>
    <w:rsid w:val="004E2B25"/>
    <w:rsid w:val="004E2B58"/>
    <w:rsid w:val="004E2D3B"/>
    <w:rsid w:val="004E3323"/>
    <w:rsid w:val="004E3388"/>
    <w:rsid w:val="004E346A"/>
    <w:rsid w:val="004E34C8"/>
    <w:rsid w:val="004E35AC"/>
    <w:rsid w:val="004E373F"/>
    <w:rsid w:val="004E375D"/>
    <w:rsid w:val="004E3B37"/>
    <w:rsid w:val="004E4274"/>
    <w:rsid w:val="004E44C5"/>
    <w:rsid w:val="004E49DF"/>
    <w:rsid w:val="004E4CB4"/>
    <w:rsid w:val="004E519F"/>
    <w:rsid w:val="004E52F6"/>
    <w:rsid w:val="004E55FE"/>
    <w:rsid w:val="004E57BD"/>
    <w:rsid w:val="004E5986"/>
    <w:rsid w:val="004E5C1C"/>
    <w:rsid w:val="004E600A"/>
    <w:rsid w:val="004E616A"/>
    <w:rsid w:val="004E63A5"/>
    <w:rsid w:val="004E653F"/>
    <w:rsid w:val="004E6CF2"/>
    <w:rsid w:val="004E7746"/>
    <w:rsid w:val="004E78B2"/>
    <w:rsid w:val="004E7B9D"/>
    <w:rsid w:val="004E7C17"/>
    <w:rsid w:val="004E7E39"/>
    <w:rsid w:val="004F01CD"/>
    <w:rsid w:val="004F0373"/>
    <w:rsid w:val="004F0881"/>
    <w:rsid w:val="004F0B32"/>
    <w:rsid w:val="004F0B44"/>
    <w:rsid w:val="004F0B72"/>
    <w:rsid w:val="004F0CAF"/>
    <w:rsid w:val="004F0D96"/>
    <w:rsid w:val="004F0DB7"/>
    <w:rsid w:val="004F0EA8"/>
    <w:rsid w:val="004F0EEA"/>
    <w:rsid w:val="004F0F61"/>
    <w:rsid w:val="004F1402"/>
    <w:rsid w:val="004F16BD"/>
    <w:rsid w:val="004F1820"/>
    <w:rsid w:val="004F1A5E"/>
    <w:rsid w:val="004F1BF0"/>
    <w:rsid w:val="004F1EE1"/>
    <w:rsid w:val="004F1F62"/>
    <w:rsid w:val="004F227A"/>
    <w:rsid w:val="004F2368"/>
    <w:rsid w:val="004F2522"/>
    <w:rsid w:val="004F26EC"/>
    <w:rsid w:val="004F27CF"/>
    <w:rsid w:val="004F28CD"/>
    <w:rsid w:val="004F2B5B"/>
    <w:rsid w:val="004F2BAB"/>
    <w:rsid w:val="004F30FA"/>
    <w:rsid w:val="004F32DE"/>
    <w:rsid w:val="004F380C"/>
    <w:rsid w:val="004F3A8C"/>
    <w:rsid w:val="004F3D21"/>
    <w:rsid w:val="004F3EFF"/>
    <w:rsid w:val="004F3F69"/>
    <w:rsid w:val="004F4182"/>
    <w:rsid w:val="004F41D8"/>
    <w:rsid w:val="004F47CB"/>
    <w:rsid w:val="004F47DC"/>
    <w:rsid w:val="004F4D69"/>
    <w:rsid w:val="004F4F3F"/>
    <w:rsid w:val="004F543C"/>
    <w:rsid w:val="004F55B2"/>
    <w:rsid w:val="004F5916"/>
    <w:rsid w:val="004F5A94"/>
    <w:rsid w:val="004F5EE7"/>
    <w:rsid w:val="004F633A"/>
    <w:rsid w:val="004F6813"/>
    <w:rsid w:val="004F6BB2"/>
    <w:rsid w:val="004F6E3A"/>
    <w:rsid w:val="004F6F3F"/>
    <w:rsid w:val="004F732C"/>
    <w:rsid w:val="004F77E7"/>
    <w:rsid w:val="004F7996"/>
    <w:rsid w:val="004F79C1"/>
    <w:rsid w:val="004F7C5E"/>
    <w:rsid w:val="004F7D54"/>
    <w:rsid w:val="005002A8"/>
    <w:rsid w:val="005002CF"/>
    <w:rsid w:val="00500528"/>
    <w:rsid w:val="005007BA"/>
    <w:rsid w:val="0050090D"/>
    <w:rsid w:val="00500996"/>
    <w:rsid w:val="00500A8A"/>
    <w:rsid w:val="00500B1E"/>
    <w:rsid w:val="00500C9B"/>
    <w:rsid w:val="00500F3B"/>
    <w:rsid w:val="00501009"/>
    <w:rsid w:val="0050101A"/>
    <w:rsid w:val="00501664"/>
    <w:rsid w:val="005019B7"/>
    <w:rsid w:val="00501A37"/>
    <w:rsid w:val="00501C5A"/>
    <w:rsid w:val="00501E26"/>
    <w:rsid w:val="0050202D"/>
    <w:rsid w:val="0050204F"/>
    <w:rsid w:val="005020A5"/>
    <w:rsid w:val="00502360"/>
    <w:rsid w:val="005023D9"/>
    <w:rsid w:val="0050291C"/>
    <w:rsid w:val="00502AC8"/>
    <w:rsid w:val="00502AEF"/>
    <w:rsid w:val="00502E67"/>
    <w:rsid w:val="00502FD2"/>
    <w:rsid w:val="00502FE6"/>
    <w:rsid w:val="00503564"/>
    <w:rsid w:val="005036E9"/>
    <w:rsid w:val="00504217"/>
    <w:rsid w:val="005045CE"/>
    <w:rsid w:val="005047EA"/>
    <w:rsid w:val="00504B11"/>
    <w:rsid w:val="00504F08"/>
    <w:rsid w:val="00504FF6"/>
    <w:rsid w:val="00505090"/>
    <w:rsid w:val="00505102"/>
    <w:rsid w:val="005058A0"/>
    <w:rsid w:val="00505B4F"/>
    <w:rsid w:val="00505F78"/>
    <w:rsid w:val="005061F0"/>
    <w:rsid w:val="005064E2"/>
    <w:rsid w:val="0050699C"/>
    <w:rsid w:val="00506D95"/>
    <w:rsid w:val="00506F7D"/>
    <w:rsid w:val="00507133"/>
    <w:rsid w:val="0050724B"/>
    <w:rsid w:val="0050743A"/>
    <w:rsid w:val="0050749D"/>
    <w:rsid w:val="00507C37"/>
    <w:rsid w:val="00507EAA"/>
    <w:rsid w:val="00507EDD"/>
    <w:rsid w:val="00507F42"/>
    <w:rsid w:val="005103E5"/>
    <w:rsid w:val="00510C77"/>
    <w:rsid w:val="00510CF3"/>
    <w:rsid w:val="00510DC8"/>
    <w:rsid w:val="00510F88"/>
    <w:rsid w:val="00510FD1"/>
    <w:rsid w:val="005111ED"/>
    <w:rsid w:val="0051125D"/>
    <w:rsid w:val="005112E2"/>
    <w:rsid w:val="0051185D"/>
    <w:rsid w:val="00511B0D"/>
    <w:rsid w:val="00511C2C"/>
    <w:rsid w:val="0051214F"/>
    <w:rsid w:val="00512622"/>
    <w:rsid w:val="0051298F"/>
    <w:rsid w:val="005129B9"/>
    <w:rsid w:val="005129F6"/>
    <w:rsid w:val="00512DB6"/>
    <w:rsid w:val="00512F4F"/>
    <w:rsid w:val="00513BF9"/>
    <w:rsid w:val="00514087"/>
    <w:rsid w:val="005140EF"/>
    <w:rsid w:val="00514486"/>
    <w:rsid w:val="00514698"/>
    <w:rsid w:val="00514835"/>
    <w:rsid w:val="00514E5C"/>
    <w:rsid w:val="00514E67"/>
    <w:rsid w:val="00514E87"/>
    <w:rsid w:val="005152B1"/>
    <w:rsid w:val="005152BF"/>
    <w:rsid w:val="00515368"/>
    <w:rsid w:val="0051561C"/>
    <w:rsid w:val="00515632"/>
    <w:rsid w:val="00515833"/>
    <w:rsid w:val="00515855"/>
    <w:rsid w:val="00515C77"/>
    <w:rsid w:val="00515CCF"/>
    <w:rsid w:val="00515E30"/>
    <w:rsid w:val="00515F7E"/>
    <w:rsid w:val="0051614F"/>
    <w:rsid w:val="0051625A"/>
    <w:rsid w:val="0051651B"/>
    <w:rsid w:val="00516529"/>
    <w:rsid w:val="00516DD7"/>
    <w:rsid w:val="00516EC9"/>
    <w:rsid w:val="00517053"/>
    <w:rsid w:val="005173F3"/>
    <w:rsid w:val="0051788B"/>
    <w:rsid w:val="00517C03"/>
    <w:rsid w:val="00517C05"/>
    <w:rsid w:val="00517FCC"/>
    <w:rsid w:val="005206E4"/>
    <w:rsid w:val="00520717"/>
    <w:rsid w:val="005207B1"/>
    <w:rsid w:val="0052083D"/>
    <w:rsid w:val="00520AF3"/>
    <w:rsid w:val="00520EF7"/>
    <w:rsid w:val="00520F4A"/>
    <w:rsid w:val="005210D6"/>
    <w:rsid w:val="005216CA"/>
    <w:rsid w:val="005216FB"/>
    <w:rsid w:val="00521700"/>
    <w:rsid w:val="0052181B"/>
    <w:rsid w:val="00521821"/>
    <w:rsid w:val="00521B16"/>
    <w:rsid w:val="00521F52"/>
    <w:rsid w:val="00521F7F"/>
    <w:rsid w:val="00522777"/>
    <w:rsid w:val="00522E4C"/>
    <w:rsid w:val="00523189"/>
    <w:rsid w:val="00523642"/>
    <w:rsid w:val="00523663"/>
    <w:rsid w:val="00523AC6"/>
    <w:rsid w:val="00523D61"/>
    <w:rsid w:val="00524221"/>
    <w:rsid w:val="0052442A"/>
    <w:rsid w:val="0052446D"/>
    <w:rsid w:val="00524536"/>
    <w:rsid w:val="005245D2"/>
    <w:rsid w:val="005246F2"/>
    <w:rsid w:val="0052490E"/>
    <w:rsid w:val="00524AE8"/>
    <w:rsid w:val="00524D32"/>
    <w:rsid w:val="00525496"/>
    <w:rsid w:val="00525BE7"/>
    <w:rsid w:val="00525F12"/>
    <w:rsid w:val="0052609A"/>
    <w:rsid w:val="0052613D"/>
    <w:rsid w:val="00526165"/>
    <w:rsid w:val="00526325"/>
    <w:rsid w:val="005263E6"/>
    <w:rsid w:val="005265A4"/>
    <w:rsid w:val="005266F8"/>
    <w:rsid w:val="00526EBF"/>
    <w:rsid w:val="0052704F"/>
    <w:rsid w:val="005270B6"/>
    <w:rsid w:val="00527347"/>
    <w:rsid w:val="0052742F"/>
    <w:rsid w:val="00527830"/>
    <w:rsid w:val="00527A00"/>
    <w:rsid w:val="00527ABA"/>
    <w:rsid w:val="00527BBD"/>
    <w:rsid w:val="00527C97"/>
    <w:rsid w:val="00527DAB"/>
    <w:rsid w:val="005300E4"/>
    <w:rsid w:val="005302BA"/>
    <w:rsid w:val="005304F3"/>
    <w:rsid w:val="0053065F"/>
    <w:rsid w:val="00530831"/>
    <w:rsid w:val="00530DFA"/>
    <w:rsid w:val="00530F65"/>
    <w:rsid w:val="0053156F"/>
    <w:rsid w:val="0053175A"/>
    <w:rsid w:val="0053178E"/>
    <w:rsid w:val="005319A2"/>
    <w:rsid w:val="00531B65"/>
    <w:rsid w:val="00532594"/>
    <w:rsid w:val="0053284A"/>
    <w:rsid w:val="00532E3D"/>
    <w:rsid w:val="00533070"/>
    <w:rsid w:val="00533209"/>
    <w:rsid w:val="00533571"/>
    <w:rsid w:val="00533622"/>
    <w:rsid w:val="00533687"/>
    <w:rsid w:val="0053387D"/>
    <w:rsid w:val="00533993"/>
    <w:rsid w:val="00533D66"/>
    <w:rsid w:val="005340AE"/>
    <w:rsid w:val="00534191"/>
    <w:rsid w:val="005342DE"/>
    <w:rsid w:val="00534606"/>
    <w:rsid w:val="005347B4"/>
    <w:rsid w:val="005348D3"/>
    <w:rsid w:val="00534A23"/>
    <w:rsid w:val="00534E0D"/>
    <w:rsid w:val="005351C9"/>
    <w:rsid w:val="005353E8"/>
    <w:rsid w:val="00535480"/>
    <w:rsid w:val="00535B15"/>
    <w:rsid w:val="00535F5D"/>
    <w:rsid w:val="00536647"/>
    <w:rsid w:val="005366FE"/>
    <w:rsid w:val="00536836"/>
    <w:rsid w:val="00536B30"/>
    <w:rsid w:val="00536C8E"/>
    <w:rsid w:val="005371B0"/>
    <w:rsid w:val="005372A6"/>
    <w:rsid w:val="005375EB"/>
    <w:rsid w:val="005378F2"/>
    <w:rsid w:val="00537AD3"/>
    <w:rsid w:val="00537E2E"/>
    <w:rsid w:val="0054033C"/>
    <w:rsid w:val="005404F0"/>
    <w:rsid w:val="00540AB4"/>
    <w:rsid w:val="00540DE4"/>
    <w:rsid w:val="00540EBA"/>
    <w:rsid w:val="00540EFD"/>
    <w:rsid w:val="0054125D"/>
    <w:rsid w:val="005413F5"/>
    <w:rsid w:val="005417DE"/>
    <w:rsid w:val="00541825"/>
    <w:rsid w:val="005418AA"/>
    <w:rsid w:val="00541CDC"/>
    <w:rsid w:val="00541F92"/>
    <w:rsid w:val="005420FC"/>
    <w:rsid w:val="00542492"/>
    <w:rsid w:val="0054276A"/>
    <w:rsid w:val="0054278A"/>
    <w:rsid w:val="005427E8"/>
    <w:rsid w:val="0054289C"/>
    <w:rsid w:val="00542C8D"/>
    <w:rsid w:val="00542CDE"/>
    <w:rsid w:val="00542E0B"/>
    <w:rsid w:val="00543293"/>
    <w:rsid w:val="005433F8"/>
    <w:rsid w:val="0054346A"/>
    <w:rsid w:val="00543ADD"/>
    <w:rsid w:val="00543CDF"/>
    <w:rsid w:val="00543D31"/>
    <w:rsid w:val="00544180"/>
    <w:rsid w:val="005441DD"/>
    <w:rsid w:val="00544313"/>
    <w:rsid w:val="005448D8"/>
    <w:rsid w:val="00544D44"/>
    <w:rsid w:val="00544F90"/>
    <w:rsid w:val="0054528B"/>
    <w:rsid w:val="00545746"/>
    <w:rsid w:val="00545AD3"/>
    <w:rsid w:val="00545D4B"/>
    <w:rsid w:val="005461E6"/>
    <w:rsid w:val="005465E8"/>
    <w:rsid w:val="0054662E"/>
    <w:rsid w:val="0054677C"/>
    <w:rsid w:val="0054680D"/>
    <w:rsid w:val="00546851"/>
    <w:rsid w:val="00546A66"/>
    <w:rsid w:val="00546C5B"/>
    <w:rsid w:val="0054748A"/>
    <w:rsid w:val="00547529"/>
    <w:rsid w:val="0054752C"/>
    <w:rsid w:val="005475A1"/>
    <w:rsid w:val="0054767C"/>
    <w:rsid w:val="00547E97"/>
    <w:rsid w:val="0055022B"/>
    <w:rsid w:val="005504E7"/>
    <w:rsid w:val="005508DF"/>
    <w:rsid w:val="00550EAF"/>
    <w:rsid w:val="005511D6"/>
    <w:rsid w:val="0055147E"/>
    <w:rsid w:val="0055155E"/>
    <w:rsid w:val="00551A7F"/>
    <w:rsid w:val="00551B8D"/>
    <w:rsid w:val="005520AA"/>
    <w:rsid w:val="005522F7"/>
    <w:rsid w:val="0055251B"/>
    <w:rsid w:val="005526E7"/>
    <w:rsid w:val="00552B01"/>
    <w:rsid w:val="00552BAB"/>
    <w:rsid w:val="005530B2"/>
    <w:rsid w:val="00553A81"/>
    <w:rsid w:val="00553DD1"/>
    <w:rsid w:val="00553E5B"/>
    <w:rsid w:val="005541F0"/>
    <w:rsid w:val="005542D4"/>
    <w:rsid w:val="005544C4"/>
    <w:rsid w:val="005544D1"/>
    <w:rsid w:val="00554C4C"/>
    <w:rsid w:val="00554DD1"/>
    <w:rsid w:val="00554EA8"/>
    <w:rsid w:val="00555941"/>
    <w:rsid w:val="00555AB1"/>
    <w:rsid w:val="00555D5B"/>
    <w:rsid w:val="00555ECF"/>
    <w:rsid w:val="00555F92"/>
    <w:rsid w:val="005565D1"/>
    <w:rsid w:val="00556BE1"/>
    <w:rsid w:val="00556FB9"/>
    <w:rsid w:val="005571D7"/>
    <w:rsid w:val="00557404"/>
    <w:rsid w:val="0055757A"/>
    <w:rsid w:val="00557899"/>
    <w:rsid w:val="00557AD9"/>
    <w:rsid w:val="00557C3D"/>
    <w:rsid w:val="00557D59"/>
    <w:rsid w:val="00557E04"/>
    <w:rsid w:val="00557ED8"/>
    <w:rsid w:val="00560021"/>
    <w:rsid w:val="00560794"/>
    <w:rsid w:val="00560C24"/>
    <w:rsid w:val="00560D8D"/>
    <w:rsid w:val="005612B4"/>
    <w:rsid w:val="005613D1"/>
    <w:rsid w:val="0056163D"/>
    <w:rsid w:val="005617CD"/>
    <w:rsid w:val="0056191E"/>
    <w:rsid w:val="005619F0"/>
    <w:rsid w:val="00561AEA"/>
    <w:rsid w:val="00561B30"/>
    <w:rsid w:val="00561C88"/>
    <w:rsid w:val="00561D37"/>
    <w:rsid w:val="00562601"/>
    <w:rsid w:val="005627EF"/>
    <w:rsid w:val="00562977"/>
    <w:rsid w:val="00562A7B"/>
    <w:rsid w:val="00562B5E"/>
    <w:rsid w:val="00562BEE"/>
    <w:rsid w:val="00562D9D"/>
    <w:rsid w:val="00562E8C"/>
    <w:rsid w:val="0056343E"/>
    <w:rsid w:val="005637B5"/>
    <w:rsid w:val="005638C3"/>
    <w:rsid w:val="00563994"/>
    <w:rsid w:val="00563D3F"/>
    <w:rsid w:val="00563D92"/>
    <w:rsid w:val="00563EED"/>
    <w:rsid w:val="00563F47"/>
    <w:rsid w:val="00563F4D"/>
    <w:rsid w:val="00564338"/>
    <w:rsid w:val="0056487F"/>
    <w:rsid w:val="0056540E"/>
    <w:rsid w:val="005654F2"/>
    <w:rsid w:val="005655E8"/>
    <w:rsid w:val="00565803"/>
    <w:rsid w:val="0056583B"/>
    <w:rsid w:val="00565AF3"/>
    <w:rsid w:val="00565C37"/>
    <w:rsid w:val="00565CBF"/>
    <w:rsid w:val="00565D22"/>
    <w:rsid w:val="00565D81"/>
    <w:rsid w:val="00565F17"/>
    <w:rsid w:val="00565FC9"/>
    <w:rsid w:val="00566033"/>
    <w:rsid w:val="0056611F"/>
    <w:rsid w:val="005662E3"/>
    <w:rsid w:val="00566321"/>
    <w:rsid w:val="005668A9"/>
    <w:rsid w:val="005669AB"/>
    <w:rsid w:val="00566C7E"/>
    <w:rsid w:val="00566DEC"/>
    <w:rsid w:val="00567971"/>
    <w:rsid w:val="00567A05"/>
    <w:rsid w:val="00570202"/>
    <w:rsid w:val="0057038F"/>
    <w:rsid w:val="00570AC9"/>
    <w:rsid w:val="00570B77"/>
    <w:rsid w:val="005710D3"/>
    <w:rsid w:val="005711CD"/>
    <w:rsid w:val="00571758"/>
    <w:rsid w:val="005718D3"/>
    <w:rsid w:val="00571999"/>
    <w:rsid w:val="00571AA1"/>
    <w:rsid w:val="00571AE5"/>
    <w:rsid w:val="00571B29"/>
    <w:rsid w:val="00571B2F"/>
    <w:rsid w:val="00571CA7"/>
    <w:rsid w:val="00571DCC"/>
    <w:rsid w:val="00571FF0"/>
    <w:rsid w:val="00572339"/>
    <w:rsid w:val="00572469"/>
    <w:rsid w:val="005727D6"/>
    <w:rsid w:val="00572CFA"/>
    <w:rsid w:val="00572DBF"/>
    <w:rsid w:val="00572F27"/>
    <w:rsid w:val="005731B7"/>
    <w:rsid w:val="00573206"/>
    <w:rsid w:val="00573527"/>
    <w:rsid w:val="005737C9"/>
    <w:rsid w:val="005737E2"/>
    <w:rsid w:val="00573A5B"/>
    <w:rsid w:val="00573A7B"/>
    <w:rsid w:val="00573D67"/>
    <w:rsid w:val="00574263"/>
    <w:rsid w:val="0057439C"/>
    <w:rsid w:val="005745A7"/>
    <w:rsid w:val="00574624"/>
    <w:rsid w:val="00574778"/>
    <w:rsid w:val="005748D8"/>
    <w:rsid w:val="00574C0C"/>
    <w:rsid w:val="00574CA7"/>
    <w:rsid w:val="00574F8E"/>
    <w:rsid w:val="005751CC"/>
    <w:rsid w:val="0057521F"/>
    <w:rsid w:val="00575418"/>
    <w:rsid w:val="005754DA"/>
    <w:rsid w:val="00575A5A"/>
    <w:rsid w:val="00575A7B"/>
    <w:rsid w:val="00575CE2"/>
    <w:rsid w:val="00575F81"/>
    <w:rsid w:val="00576048"/>
    <w:rsid w:val="005765D2"/>
    <w:rsid w:val="00576CBD"/>
    <w:rsid w:val="00576CFF"/>
    <w:rsid w:val="0057710C"/>
    <w:rsid w:val="00577420"/>
    <w:rsid w:val="00577744"/>
    <w:rsid w:val="005778F3"/>
    <w:rsid w:val="00577DF9"/>
    <w:rsid w:val="00577F8E"/>
    <w:rsid w:val="0058008C"/>
    <w:rsid w:val="00580092"/>
    <w:rsid w:val="005803F3"/>
    <w:rsid w:val="00580D22"/>
    <w:rsid w:val="0058129A"/>
    <w:rsid w:val="005814C8"/>
    <w:rsid w:val="005818A6"/>
    <w:rsid w:val="00581B86"/>
    <w:rsid w:val="00581D82"/>
    <w:rsid w:val="00581F97"/>
    <w:rsid w:val="00582101"/>
    <w:rsid w:val="0058255A"/>
    <w:rsid w:val="005825C3"/>
    <w:rsid w:val="00582C73"/>
    <w:rsid w:val="00582E35"/>
    <w:rsid w:val="00583333"/>
    <w:rsid w:val="0058342C"/>
    <w:rsid w:val="0058344B"/>
    <w:rsid w:val="0058352F"/>
    <w:rsid w:val="00583629"/>
    <w:rsid w:val="005838F7"/>
    <w:rsid w:val="00583D28"/>
    <w:rsid w:val="00583D6D"/>
    <w:rsid w:val="00583E2B"/>
    <w:rsid w:val="00583F2A"/>
    <w:rsid w:val="005842B1"/>
    <w:rsid w:val="005843DD"/>
    <w:rsid w:val="00584603"/>
    <w:rsid w:val="00584776"/>
    <w:rsid w:val="00584912"/>
    <w:rsid w:val="00584A4A"/>
    <w:rsid w:val="00584EB9"/>
    <w:rsid w:val="00584EBF"/>
    <w:rsid w:val="00585167"/>
    <w:rsid w:val="00585751"/>
    <w:rsid w:val="0058596C"/>
    <w:rsid w:val="00585A2C"/>
    <w:rsid w:val="0058652C"/>
    <w:rsid w:val="00586862"/>
    <w:rsid w:val="005868AC"/>
    <w:rsid w:val="00586F0C"/>
    <w:rsid w:val="0058712E"/>
    <w:rsid w:val="0058720D"/>
    <w:rsid w:val="0058727A"/>
    <w:rsid w:val="00587C37"/>
    <w:rsid w:val="00590060"/>
    <w:rsid w:val="00590350"/>
    <w:rsid w:val="00590697"/>
    <w:rsid w:val="0059086F"/>
    <w:rsid w:val="00590941"/>
    <w:rsid w:val="00590A47"/>
    <w:rsid w:val="00590BD0"/>
    <w:rsid w:val="0059100C"/>
    <w:rsid w:val="005910FB"/>
    <w:rsid w:val="00591746"/>
    <w:rsid w:val="0059203D"/>
    <w:rsid w:val="0059207F"/>
    <w:rsid w:val="0059208B"/>
    <w:rsid w:val="0059210D"/>
    <w:rsid w:val="0059227B"/>
    <w:rsid w:val="00592318"/>
    <w:rsid w:val="00592589"/>
    <w:rsid w:val="005926E1"/>
    <w:rsid w:val="005926E3"/>
    <w:rsid w:val="0059274E"/>
    <w:rsid w:val="0059275B"/>
    <w:rsid w:val="005929BC"/>
    <w:rsid w:val="005929F7"/>
    <w:rsid w:val="00592A9E"/>
    <w:rsid w:val="00592D32"/>
    <w:rsid w:val="00592DB5"/>
    <w:rsid w:val="005930DA"/>
    <w:rsid w:val="0059311E"/>
    <w:rsid w:val="00593291"/>
    <w:rsid w:val="005933F3"/>
    <w:rsid w:val="0059355C"/>
    <w:rsid w:val="005935C5"/>
    <w:rsid w:val="00593686"/>
    <w:rsid w:val="00593A7A"/>
    <w:rsid w:val="00593EE2"/>
    <w:rsid w:val="0059400E"/>
    <w:rsid w:val="00594370"/>
    <w:rsid w:val="005945B4"/>
    <w:rsid w:val="0059477B"/>
    <w:rsid w:val="00594E96"/>
    <w:rsid w:val="00594F65"/>
    <w:rsid w:val="0059508B"/>
    <w:rsid w:val="005950DD"/>
    <w:rsid w:val="0059570A"/>
    <w:rsid w:val="005958BF"/>
    <w:rsid w:val="00595C89"/>
    <w:rsid w:val="00596189"/>
    <w:rsid w:val="00596752"/>
    <w:rsid w:val="00596A36"/>
    <w:rsid w:val="00596F72"/>
    <w:rsid w:val="005971A9"/>
    <w:rsid w:val="005971AB"/>
    <w:rsid w:val="00597223"/>
    <w:rsid w:val="005976C8"/>
    <w:rsid w:val="005976CF"/>
    <w:rsid w:val="00597ADD"/>
    <w:rsid w:val="00597EF4"/>
    <w:rsid w:val="005A024E"/>
    <w:rsid w:val="005A091D"/>
    <w:rsid w:val="005A0B08"/>
    <w:rsid w:val="005A0B40"/>
    <w:rsid w:val="005A0DA2"/>
    <w:rsid w:val="005A0FB0"/>
    <w:rsid w:val="005A11E5"/>
    <w:rsid w:val="005A121B"/>
    <w:rsid w:val="005A130F"/>
    <w:rsid w:val="005A15AB"/>
    <w:rsid w:val="005A15F5"/>
    <w:rsid w:val="005A1A63"/>
    <w:rsid w:val="005A1B9A"/>
    <w:rsid w:val="005A1F0F"/>
    <w:rsid w:val="005A2170"/>
    <w:rsid w:val="005A2807"/>
    <w:rsid w:val="005A28F3"/>
    <w:rsid w:val="005A2FA8"/>
    <w:rsid w:val="005A3174"/>
    <w:rsid w:val="005A322B"/>
    <w:rsid w:val="005A379E"/>
    <w:rsid w:val="005A388C"/>
    <w:rsid w:val="005A39AB"/>
    <w:rsid w:val="005A3D39"/>
    <w:rsid w:val="005A3DA0"/>
    <w:rsid w:val="005A425D"/>
    <w:rsid w:val="005A4302"/>
    <w:rsid w:val="005A4380"/>
    <w:rsid w:val="005A454A"/>
    <w:rsid w:val="005A4A4B"/>
    <w:rsid w:val="005A5755"/>
    <w:rsid w:val="005A59A2"/>
    <w:rsid w:val="005A5D20"/>
    <w:rsid w:val="005A5D95"/>
    <w:rsid w:val="005A6BB6"/>
    <w:rsid w:val="005A6FB4"/>
    <w:rsid w:val="005A75C9"/>
    <w:rsid w:val="005A7732"/>
    <w:rsid w:val="005A7A8C"/>
    <w:rsid w:val="005A7CFA"/>
    <w:rsid w:val="005A7D5D"/>
    <w:rsid w:val="005A7DB4"/>
    <w:rsid w:val="005A7E6B"/>
    <w:rsid w:val="005A7EAF"/>
    <w:rsid w:val="005A7ED6"/>
    <w:rsid w:val="005B01EA"/>
    <w:rsid w:val="005B021F"/>
    <w:rsid w:val="005B065F"/>
    <w:rsid w:val="005B068F"/>
    <w:rsid w:val="005B08C3"/>
    <w:rsid w:val="005B0F85"/>
    <w:rsid w:val="005B1532"/>
    <w:rsid w:val="005B157E"/>
    <w:rsid w:val="005B1FCB"/>
    <w:rsid w:val="005B29EE"/>
    <w:rsid w:val="005B29FF"/>
    <w:rsid w:val="005B2A1C"/>
    <w:rsid w:val="005B32FC"/>
    <w:rsid w:val="005B3336"/>
    <w:rsid w:val="005B353D"/>
    <w:rsid w:val="005B38C7"/>
    <w:rsid w:val="005B394D"/>
    <w:rsid w:val="005B3B0C"/>
    <w:rsid w:val="005B3C38"/>
    <w:rsid w:val="005B3C8A"/>
    <w:rsid w:val="005B4266"/>
    <w:rsid w:val="005B459B"/>
    <w:rsid w:val="005B45A2"/>
    <w:rsid w:val="005B4901"/>
    <w:rsid w:val="005B4932"/>
    <w:rsid w:val="005B4D7B"/>
    <w:rsid w:val="005B4D9A"/>
    <w:rsid w:val="005B4DD6"/>
    <w:rsid w:val="005B4E88"/>
    <w:rsid w:val="005B5182"/>
    <w:rsid w:val="005B52BB"/>
    <w:rsid w:val="005B5409"/>
    <w:rsid w:val="005B5539"/>
    <w:rsid w:val="005B558E"/>
    <w:rsid w:val="005B5DF6"/>
    <w:rsid w:val="005B6388"/>
    <w:rsid w:val="005B648F"/>
    <w:rsid w:val="005B6A27"/>
    <w:rsid w:val="005B6A29"/>
    <w:rsid w:val="005B6C6B"/>
    <w:rsid w:val="005B6FDB"/>
    <w:rsid w:val="005B7171"/>
    <w:rsid w:val="005B7673"/>
    <w:rsid w:val="005B7792"/>
    <w:rsid w:val="005B7C33"/>
    <w:rsid w:val="005B7CA6"/>
    <w:rsid w:val="005B7E15"/>
    <w:rsid w:val="005C017F"/>
    <w:rsid w:val="005C0533"/>
    <w:rsid w:val="005C054A"/>
    <w:rsid w:val="005C0A0B"/>
    <w:rsid w:val="005C0B0C"/>
    <w:rsid w:val="005C0B35"/>
    <w:rsid w:val="005C0B41"/>
    <w:rsid w:val="005C0B45"/>
    <w:rsid w:val="005C105A"/>
    <w:rsid w:val="005C1418"/>
    <w:rsid w:val="005C161C"/>
    <w:rsid w:val="005C17BA"/>
    <w:rsid w:val="005C1BF0"/>
    <w:rsid w:val="005C1C8A"/>
    <w:rsid w:val="005C1D41"/>
    <w:rsid w:val="005C21E5"/>
    <w:rsid w:val="005C3068"/>
    <w:rsid w:val="005C31A7"/>
    <w:rsid w:val="005C348C"/>
    <w:rsid w:val="005C386A"/>
    <w:rsid w:val="005C3C4B"/>
    <w:rsid w:val="005C44D6"/>
    <w:rsid w:val="005C4648"/>
    <w:rsid w:val="005C4C39"/>
    <w:rsid w:val="005C4C84"/>
    <w:rsid w:val="005C5422"/>
    <w:rsid w:val="005C590C"/>
    <w:rsid w:val="005C5957"/>
    <w:rsid w:val="005C5E9F"/>
    <w:rsid w:val="005C600B"/>
    <w:rsid w:val="005C605A"/>
    <w:rsid w:val="005C6133"/>
    <w:rsid w:val="005C6291"/>
    <w:rsid w:val="005C6390"/>
    <w:rsid w:val="005C66CD"/>
    <w:rsid w:val="005C6B5C"/>
    <w:rsid w:val="005C6EC8"/>
    <w:rsid w:val="005C70A4"/>
    <w:rsid w:val="005C723C"/>
    <w:rsid w:val="005C797E"/>
    <w:rsid w:val="005C7FD9"/>
    <w:rsid w:val="005D015F"/>
    <w:rsid w:val="005D018E"/>
    <w:rsid w:val="005D01E8"/>
    <w:rsid w:val="005D028E"/>
    <w:rsid w:val="005D0822"/>
    <w:rsid w:val="005D092E"/>
    <w:rsid w:val="005D0937"/>
    <w:rsid w:val="005D09A2"/>
    <w:rsid w:val="005D0A3E"/>
    <w:rsid w:val="005D1312"/>
    <w:rsid w:val="005D13D2"/>
    <w:rsid w:val="005D167E"/>
    <w:rsid w:val="005D1B11"/>
    <w:rsid w:val="005D1B9B"/>
    <w:rsid w:val="005D1C5C"/>
    <w:rsid w:val="005D1C61"/>
    <w:rsid w:val="005D1E60"/>
    <w:rsid w:val="005D20C1"/>
    <w:rsid w:val="005D22E5"/>
    <w:rsid w:val="005D2334"/>
    <w:rsid w:val="005D24B5"/>
    <w:rsid w:val="005D263E"/>
    <w:rsid w:val="005D2D53"/>
    <w:rsid w:val="005D2D70"/>
    <w:rsid w:val="005D2F9E"/>
    <w:rsid w:val="005D2FD6"/>
    <w:rsid w:val="005D332D"/>
    <w:rsid w:val="005D37D2"/>
    <w:rsid w:val="005D392B"/>
    <w:rsid w:val="005D39F5"/>
    <w:rsid w:val="005D3CF8"/>
    <w:rsid w:val="005D3F6E"/>
    <w:rsid w:val="005D402F"/>
    <w:rsid w:val="005D412E"/>
    <w:rsid w:val="005D4329"/>
    <w:rsid w:val="005D4461"/>
    <w:rsid w:val="005D44C8"/>
    <w:rsid w:val="005D44F1"/>
    <w:rsid w:val="005D4607"/>
    <w:rsid w:val="005D4868"/>
    <w:rsid w:val="005D4CFF"/>
    <w:rsid w:val="005D4DBC"/>
    <w:rsid w:val="005D4DFE"/>
    <w:rsid w:val="005D5245"/>
    <w:rsid w:val="005D541C"/>
    <w:rsid w:val="005D571F"/>
    <w:rsid w:val="005D58B1"/>
    <w:rsid w:val="005D5E53"/>
    <w:rsid w:val="005D618C"/>
    <w:rsid w:val="005D6348"/>
    <w:rsid w:val="005D6625"/>
    <w:rsid w:val="005D6686"/>
    <w:rsid w:val="005D6ACF"/>
    <w:rsid w:val="005D6C2A"/>
    <w:rsid w:val="005D6D3F"/>
    <w:rsid w:val="005D7055"/>
    <w:rsid w:val="005D7952"/>
    <w:rsid w:val="005D7D7B"/>
    <w:rsid w:val="005D7EAF"/>
    <w:rsid w:val="005D7EF7"/>
    <w:rsid w:val="005E0142"/>
    <w:rsid w:val="005E0255"/>
    <w:rsid w:val="005E0288"/>
    <w:rsid w:val="005E05DC"/>
    <w:rsid w:val="005E0DDC"/>
    <w:rsid w:val="005E0DF7"/>
    <w:rsid w:val="005E1224"/>
    <w:rsid w:val="005E123D"/>
    <w:rsid w:val="005E1A5A"/>
    <w:rsid w:val="005E1AD5"/>
    <w:rsid w:val="005E1D4A"/>
    <w:rsid w:val="005E257E"/>
    <w:rsid w:val="005E2580"/>
    <w:rsid w:val="005E2622"/>
    <w:rsid w:val="005E2656"/>
    <w:rsid w:val="005E2C4B"/>
    <w:rsid w:val="005E31A5"/>
    <w:rsid w:val="005E343D"/>
    <w:rsid w:val="005E3A2A"/>
    <w:rsid w:val="005E3A35"/>
    <w:rsid w:val="005E4212"/>
    <w:rsid w:val="005E45AE"/>
    <w:rsid w:val="005E4716"/>
    <w:rsid w:val="005E4E98"/>
    <w:rsid w:val="005E4EB5"/>
    <w:rsid w:val="005E504B"/>
    <w:rsid w:val="005E50AE"/>
    <w:rsid w:val="005E50C9"/>
    <w:rsid w:val="005E52DB"/>
    <w:rsid w:val="005E546F"/>
    <w:rsid w:val="005E551D"/>
    <w:rsid w:val="005E5939"/>
    <w:rsid w:val="005E593C"/>
    <w:rsid w:val="005E598B"/>
    <w:rsid w:val="005E60D7"/>
    <w:rsid w:val="005E6223"/>
    <w:rsid w:val="005E63B6"/>
    <w:rsid w:val="005E6490"/>
    <w:rsid w:val="005E650F"/>
    <w:rsid w:val="005E6653"/>
    <w:rsid w:val="005E6667"/>
    <w:rsid w:val="005E666F"/>
    <w:rsid w:val="005E69DA"/>
    <w:rsid w:val="005E722F"/>
    <w:rsid w:val="005E75D9"/>
    <w:rsid w:val="005E77B1"/>
    <w:rsid w:val="005E7F31"/>
    <w:rsid w:val="005F0559"/>
    <w:rsid w:val="005F0911"/>
    <w:rsid w:val="005F0D0D"/>
    <w:rsid w:val="005F1158"/>
    <w:rsid w:val="005F13D1"/>
    <w:rsid w:val="005F145B"/>
    <w:rsid w:val="005F1605"/>
    <w:rsid w:val="005F162F"/>
    <w:rsid w:val="005F170A"/>
    <w:rsid w:val="005F1B16"/>
    <w:rsid w:val="005F1BCB"/>
    <w:rsid w:val="005F1C53"/>
    <w:rsid w:val="005F2054"/>
    <w:rsid w:val="005F225D"/>
    <w:rsid w:val="005F239A"/>
    <w:rsid w:val="005F2437"/>
    <w:rsid w:val="005F262F"/>
    <w:rsid w:val="005F26BB"/>
    <w:rsid w:val="005F278B"/>
    <w:rsid w:val="005F2C65"/>
    <w:rsid w:val="005F3374"/>
    <w:rsid w:val="005F3392"/>
    <w:rsid w:val="005F3469"/>
    <w:rsid w:val="005F3503"/>
    <w:rsid w:val="005F3595"/>
    <w:rsid w:val="005F3597"/>
    <w:rsid w:val="005F3617"/>
    <w:rsid w:val="005F3889"/>
    <w:rsid w:val="005F3B9F"/>
    <w:rsid w:val="005F3BC5"/>
    <w:rsid w:val="005F3BFF"/>
    <w:rsid w:val="005F4166"/>
    <w:rsid w:val="005F440B"/>
    <w:rsid w:val="005F4B05"/>
    <w:rsid w:val="005F4E13"/>
    <w:rsid w:val="005F51DB"/>
    <w:rsid w:val="005F5417"/>
    <w:rsid w:val="005F5510"/>
    <w:rsid w:val="005F5A6E"/>
    <w:rsid w:val="005F5B64"/>
    <w:rsid w:val="005F5BA2"/>
    <w:rsid w:val="005F5C74"/>
    <w:rsid w:val="005F6217"/>
    <w:rsid w:val="005F62AF"/>
    <w:rsid w:val="005F6528"/>
    <w:rsid w:val="005F6846"/>
    <w:rsid w:val="005F6872"/>
    <w:rsid w:val="005F6A46"/>
    <w:rsid w:val="005F6A4F"/>
    <w:rsid w:val="005F6EA8"/>
    <w:rsid w:val="005F7931"/>
    <w:rsid w:val="005F7B35"/>
    <w:rsid w:val="005F7F9D"/>
    <w:rsid w:val="00600292"/>
    <w:rsid w:val="006002C5"/>
    <w:rsid w:val="00600982"/>
    <w:rsid w:val="006009AD"/>
    <w:rsid w:val="00600C44"/>
    <w:rsid w:val="00601037"/>
    <w:rsid w:val="006010B6"/>
    <w:rsid w:val="00601173"/>
    <w:rsid w:val="00601605"/>
    <w:rsid w:val="00601612"/>
    <w:rsid w:val="006018EA"/>
    <w:rsid w:val="00601A94"/>
    <w:rsid w:val="00601F5F"/>
    <w:rsid w:val="00601FCF"/>
    <w:rsid w:val="006020BD"/>
    <w:rsid w:val="00602775"/>
    <w:rsid w:val="00602B69"/>
    <w:rsid w:val="00603344"/>
    <w:rsid w:val="006034FF"/>
    <w:rsid w:val="00603971"/>
    <w:rsid w:val="00603BBD"/>
    <w:rsid w:val="00603F67"/>
    <w:rsid w:val="00604559"/>
    <w:rsid w:val="00604DC4"/>
    <w:rsid w:val="00604E7E"/>
    <w:rsid w:val="00604FB1"/>
    <w:rsid w:val="00604FF5"/>
    <w:rsid w:val="006057CF"/>
    <w:rsid w:val="00605833"/>
    <w:rsid w:val="00605915"/>
    <w:rsid w:val="00605BD2"/>
    <w:rsid w:val="00605EB4"/>
    <w:rsid w:val="00605F79"/>
    <w:rsid w:val="006060A6"/>
    <w:rsid w:val="0060632C"/>
    <w:rsid w:val="00606338"/>
    <w:rsid w:val="00606654"/>
    <w:rsid w:val="006069A3"/>
    <w:rsid w:val="00606AD3"/>
    <w:rsid w:val="00606C45"/>
    <w:rsid w:val="00606DBE"/>
    <w:rsid w:val="00606EF7"/>
    <w:rsid w:val="00607245"/>
    <w:rsid w:val="006072CA"/>
    <w:rsid w:val="0060750E"/>
    <w:rsid w:val="00607869"/>
    <w:rsid w:val="006078CA"/>
    <w:rsid w:val="00607A93"/>
    <w:rsid w:val="00607BC8"/>
    <w:rsid w:val="00610114"/>
    <w:rsid w:val="00610274"/>
    <w:rsid w:val="006104F1"/>
    <w:rsid w:val="00610522"/>
    <w:rsid w:val="006105B6"/>
    <w:rsid w:val="006105CC"/>
    <w:rsid w:val="00610684"/>
    <w:rsid w:val="0061091A"/>
    <w:rsid w:val="00610AE6"/>
    <w:rsid w:val="00610B18"/>
    <w:rsid w:val="006115B1"/>
    <w:rsid w:val="006118B3"/>
    <w:rsid w:val="00611B12"/>
    <w:rsid w:val="00611D2B"/>
    <w:rsid w:val="00611E62"/>
    <w:rsid w:val="00612620"/>
    <w:rsid w:val="0061269A"/>
    <w:rsid w:val="0061292B"/>
    <w:rsid w:val="00612996"/>
    <w:rsid w:val="00612CA2"/>
    <w:rsid w:val="00612D3B"/>
    <w:rsid w:val="00612D61"/>
    <w:rsid w:val="00612E5F"/>
    <w:rsid w:val="00613197"/>
    <w:rsid w:val="006133A8"/>
    <w:rsid w:val="00613459"/>
    <w:rsid w:val="0061349B"/>
    <w:rsid w:val="00613728"/>
    <w:rsid w:val="00613730"/>
    <w:rsid w:val="0061389D"/>
    <w:rsid w:val="006138AF"/>
    <w:rsid w:val="00613CFB"/>
    <w:rsid w:val="00613DCE"/>
    <w:rsid w:val="00614446"/>
    <w:rsid w:val="0061474F"/>
    <w:rsid w:val="0061495E"/>
    <w:rsid w:val="00614AE7"/>
    <w:rsid w:val="00614B3B"/>
    <w:rsid w:val="00615475"/>
    <w:rsid w:val="006154FD"/>
    <w:rsid w:val="00615714"/>
    <w:rsid w:val="0061579F"/>
    <w:rsid w:val="00615C08"/>
    <w:rsid w:val="00615F26"/>
    <w:rsid w:val="00615F98"/>
    <w:rsid w:val="00616112"/>
    <w:rsid w:val="006161AD"/>
    <w:rsid w:val="0061653F"/>
    <w:rsid w:val="00616703"/>
    <w:rsid w:val="00616C3B"/>
    <w:rsid w:val="00617078"/>
    <w:rsid w:val="00617121"/>
    <w:rsid w:val="00617526"/>
    <w:rsid w:val="006175F8"/>
    <w:rsid w:val="00617848"/>
    <w:rsid w:val="00617A5F"/>
    <w:rsid w:val="006203DB"/>
    <w:rsid w:val="0062041F"/>
    <w:rsid w:val="00620677"/>
    <w:rsid w:val="006208AF"/>
    <w:rsid w:val="006209FD"/>
    <w:rsid w:val="00620A2E"/>
    <w:rsid w:val="00620D35"/>
    <w:rsid w:val="00620E0F"/>
    <w:rsid w:val="00620EEF"/>
    <w:rsid w:val="00620FAE"/>
    <w:rsid w:val="00621078"/>
    <w:rsid w:val="006210EE"/>
    <w:rsid w:val="00621470"/>
    <w:rsid w:val="006215BA"/>
    <w:rsid w:val="00621834"/>
    <w:rsid w:val="00621883"/>
    <w:rsid w:val="00621EC3"/>
    <w:rsid w:val="00621F2B"/>
    <w:rsid w:val="00622008"/>
    <w:rsid w:val="006220BF"/>
    <w:rsid w:val="006221CF"/>
    <w:rsid w:val="006223A9"/>
    <w:rsid w:val="00622410"/>
    <w:rsid w:val="0062243A"/>
    <w:rsid w:val="00622454"/>
    <w:rsid w:val="00622C52"/>
    <w:rsid w:val="006234A6"/>
    <w:rsid w:val="006236D6"/>
    <w:rsid w:val="00623862"/>
    <w:rsid w:val="0062413F"/>
    <w:rsid w:val="0062416E"/>
    <w:rsid w:val="006245C0"/>
    <w:rsid w:val="006246CF"/>
    <w:rsid w:val="00624872"/>
    <w:rsid w:val="00624FBC"/>
    <w:rsid w:val="00625547"/>
    <w:rsid w:val="00625892"/>
    <w:rsid w:val="006259D6"/>
    <w:rsid w:val="00625CC3"/>
    <w:rsid w:val="006261A0"/>
    <w:rsid w:val="006266AF"/>
    <w:rsid w:val="00626AC8"/>
    <w:rsid w:val="006270D7"/>
    <w:rsid w:val="00627167"/>
    <w:rsid w:val="006272B0"/>
    <w:rsid w:val="006272DD"/>
    <w:rsid w:val="00627527"/>
    <w:rsid w:val="006275AB"/>
    <w:rsid w:val="006278E1"/>
    <w:rsid w:val="006279A5"/>
    <w:rsid w:val="00630138"/>
    <w:rsid w:val="0063019A"/>
    <w:rsid w:val="0063045D"/>
    <w:rsid w:val="006306AE"/>
    <w:rsid w:val="0063075D"/>
    <w:rsid w:val="00630ABB"/>
    <w:rsid w:val="00630F32"/>
    <w:rsid w:val="00631131"/>
    <w:rsid w:val="00631504"/>
    <w:rsid w:val="00631868"/>
    <w:rsid w:val="00631A04"/>
    <w:rsid w:val="00631C3A"/>
    <w:rsid w:val="00631E15"/>
    <w:rsid w:val="00631F08"/>
    <w:rsid w:val="006320F2"/>
    <w:rsid w:val="0063231E"/>
    <w:rsid w:val="00632612"/>
    <w:rsid w:val="00632751"/>
    <w:rsid w:val="006327D1"/>
    <w:rsid w:val="0063289F"/>
    <w:rsid w:val="006328AB"/>
    <w:rsid w:val="00632D3D"/>
    <w:rsid w:val="00632DE9"/>
    <w:rsid w:val="00633081"/>
    <w:rsid w:val="0063313B"/>
    <w:rsid w:val="00633147"/>
    <w:rsid w:val="0063356B"/>
    <w:rsid w:val="00633625"/>
    <w:rsid w:val="0063373E"/>
    <w:rsid w:val="0063416A"/>
    <w:rsid w:val="0063488D"/>
    <w:rsid w:val="00634919"/>
    <w:rsid w:val="00634BB2"/>
    <w:rsid w:val="00635063"/>
    <w:rsid w:val="006350AF"/>
    <w:rsid w:val="00635386"/>
    <w:rsid w:val="0063549E"/>
    <w:rsid w:val="006357FD"/>
    <w:rsid w:val="00635938"/>
    <w:rsid w:val="00635BD9"/>
    <w:rsid w:val="00635C82"/>
    <w:rsid w:val="00635E7A"/>
    <w:rsid w:val="0063643F"/>
    <w:rsid w:val="006364B8"/>
    <w:rsid w:val="00636659"/>
    <w:rsid w:val="00636930"/>
    <w:rsid w:val="00636ECC"/>
    <w:rsid w:val="006371D4"/>
    <w:rsid w:val="00637237"/>
    <w:rsid w:val="0063744D"/>
    <w:rsid w:val="00637798"/>
    <w:rsid w:val="00637B84"/>
    <w:rsid w:val="00637B90"/>
    <w:rsid w:val="00637BE7"/>
    <w:rsid w:val="00637C42"/>
    <w:rsid w:val="00637D1C"/>
    <w:rsid w:val="00640033"/>
    <w:rsid w:val="006404CD"/>
    <w:rsid w:val="006409A3"/>
    <w:rsid w:val="00640C16"/>
    <w:rsid w:val="00640C9C"/>
    <w:rsid w:val="00641161"/>
    <w:rsid w:val="0064171C"/>
    <w:rsid w:val="006420F7"/>
    <w:rsid w:val="006421F1"/>
    <w:rsid w:val="006423A6"/>
    <w:rsid w:val="00642A1A"/>
    <w:rsid w:val="00642B7D"/>
    <w:rsid w:val="00642C25"/>
    <w:rsid w:val="00642D53"/>
    <w:rsid w:val="00642D76"/>
    <w:rsid w:val="00642E7F"/>
    <w:rsid w:val="00642F94"/>
    <w:rsid w:val="00642FE8"/>
    <w:rsid w:val="0064321B"/>
    <w:rsid w:val="00643325"/>
    <w:rsid w:val="00643549"/>
    <w:rsid w:val="006437F6"/>
    <w:rsid w:val="00643CAE"/>
    <w:rsid w:val="00643F09"/>
    <w:rsid w:val="006445C8"/>
    <w:rsid w:val="0064480C"/>
    <w:rsid w:val="00644828"/>
    <w:rsid w:val="00644CC9"/>
    <w:rsid w:val="006451C1"/>
    <w:rsid w:val="00645631"/>
    <w:rsid w:val="00645813"/>
    <w:rsid w:val="00645D54"/>
    <w:rsid w:val="00645F9C"/>
    <w:rsid w:val="0064621C"/>
    <w:rsid w:val="00646266"/>
    <w:rsid w:val="0064637B"/>
    <w:rsid w:val="00646648"/>
    <w:rsid w:val="00646A02"/>
    <w:rsid w:val="00646AAD"/>
    <w:rsid w:val="00646BF6"/>
    <w:rsid w:val="00646C13"/>
    <w:rsid w:val="00646CA8"/>
    <w:rsid w:val="00646D45"/>
    <w:rsid w:val="00646FBE"/>
    <w:rsid w:val="00646FFD"/>
    <w:rsid w:val="0064739D"/>
    <w:rsid w:val="006475CD"/>
    <w:rsid w:val="006477C7"/>
    <w:rsid w:val="00647B56"/>
    <w:rsid w:val="00647C0A"/>
    <w:rsid w:val="00647F70"/>
    <w:rsid w:val="006508C7"/>
    <w:rsid w:val="00650900"/>
    <w:rsid w:val="006509B3"/>
    <w:rsid w:val="00650A1C"/>
    <w:rsid w:val="00650A98"/>
    <w:rsid w:val="00650B4E"/>
    <w:rsid w:val="00650D53"/>
    <w:rsid w:val="00651043"/>
    <w:rsid w:val="00651289"/>
    <w:rsid w:val="0065142E"/>
    <w:rsid w:val="0065153B"/>
    <w:rsid w:val="006516F3"/>
    <w:rsid w:val="0065198A"/>
    <w:rsid w:val="00651C3F"/>
    <w:rsid w:val="00651C81"/>
    <w:rsid w:val="00651C9A"/>
    <w:rsid w:val="00651CD0"/>
    <w:rsid w:val="00652762"/>
    <w:rsid w:val="006527BD"/>
    <w:rsid w:val="00652947"/>
    <w:rsid w:val="00652983"/>
    <w:rsid w:val="00652DA7"/>
    <w:rsid w:val="00652F54"/>
    <w:rsid w:val="00652F6D"/>
    <w:rsid w:val="00652FCB"/>
    <w:rsid w:val="0065313C"/>
    <w:rsid w:val="00653509"/>
    <w:rsid w:val="006535D5"/>
    <w:rsid w:val="00653B1A"/>
    <w:rsid w:val="00653C24"/>
    <w:rsid w:val="00653CDF"/>
    <w:rsid w:val="00653D8D"/>
    <w:rsid w:val="00653E04"/>
    <w:rsid w:val="00653EED"/>
    <w:rsid w:val="006541BE"/>
    <w:rsid w:val="0065429F"/>
    <w:rsid w:val="0065431D"/>
    <w:rsid w:val="00654357"/>
    <w:rsid w:val="006543EA"/>
    <w:rsid w:val="006545FE"/>
    <w:rsid w:val="00654605"/>
    <w:rsid w:val="006546D2"/>
    <w:rsid w:val="00654747"/>
    <w:rsid w:val="00654A8B"/>
    <w:rsid w:val="00654E55"/>
    <w:rsid w:val="006554D7"/>
    <w:rsid w:val="00655552"/>
    <w:rsid w:val="006557AD"/>
    <w:rsid w:val="0065594F"/>
    <w:rsid w:val="006559C9"/>
    <w:rsid w:val="006559EC"/>
    <w:rsid w:val="00655D07"/>
    <w:rsid w:val="00655D32"/>
    <w:rsid w:val="00655ED8"/>
    <w:rsid w:val="006560F9"/>
    <w:rsid w:val="0065627F"/>
    <w:rsid w:val="00656412"/>
    <w:rsid w:val="0065648D"/>
    <w:rsid w:val="006567D9"/>
    <w:rsid w:val="00656908"/>
    <w:rsid w:val="00656A94"/>
    <w:rsid w:val="006570E2"/>
    <w:rsid w:val="006572DC"/>
    <w:rsid w:val="006573CB"/>
    <w:rsid w:val="00657403"/>
    <w:rsid w:val="00657409"/>
    <w:rsid w:val="006579A9"/>
    <w:rsid w:val="00657E58"/>
    <w:rsid w:val="00657E6C"/>
    <w:rsid w:val="00657F03"/>
    <w:rsid w:val="00660391"/>
    <w:rsid w:val="006604B0"/>
    <w:rsid w:val="00660B9E"/>
    <w:rsid w:val="00660D73"/>
    <w:rsid w:val="00660F07"/>
    <w:rsid w:val="00660FD6"/>
    <w:rsid w:val="00661025"/>
    <w:rsid w:val="00661544"/>
    <w:rsid w:val="00661667"/>
    <w:rsid w:val="00661988"/>
    <w:rsid w:val="00661A60"/>
    <w:rsid w:val="00661C20"/>
    <w:rsid w:val="00661D37"/>
    <w:rsid w:val="00661ED4"/>
    <w:rsid w:val="00662182"/>
    <w:rsid w:val="0066279C"/>
    <w:rsid w:val="006630FE"/>
    <w:rsid w:val="006632CF"/>
    <w:rsid w:val="006635FD"/>
    <w:rsid w:val="00663720"/>
    <w:rsid w:val="00663999"/>
    <w:rsid w:val="00663DCD"/>
    <w:rsid w:val="00663EBF"/>
    <w:rsid w:val="00664166"/>
    <w:rsid w:val="00664261"/>
    <w:rsid w:val="0066468C"/>
    <w:rsid w:val="0066478C"/>
    <w:rsid w:val="00664B1C"/>
    <w:rsid w:val="0066500A"/>
    <w:rsid w:val="006652F6"/>
    <w:rsid w:val="006658EA"/>
    <w:rsid w:val="00665C07"/>
    <w:rsid w:val="00665E1B"/>
    <w:rsid w:val="00666207"/>
    <w:rsid w:val="006663B9"/>
    <w:rsid w:val="00666540"/>
    <w:rsid w:val="00666937"/>
    <w:rsid w:val="00666A99"/>
    <w:rsid w:val="00666C28"/>
    <w:rsid w:val="00667491"/>
    <w:rsid w:val="006679BF"/>
    <w:rsid w:val="00667A47"/>
    <w:rsid w:val="00667AA0"/>
    <w:rsid w:val="00667DA8"/>
    <w:rsid w:val="006703DE"/>
    <w:rsid w:val="0067053E"/>
    <w:rsid w:val="006706B8"/>
    <w:rsid w:val="00670BC3"/>
    <w:rsid w:val="00670EE3"/>
    <w:rsid w:val="00670FFE"/>
    <w:rsid w:val="006711D9"/>
    <w:rsid w:val="006712DC"/>
    <w:rsid w:val="00671488"/>
    <w:rsid w:val="006716D8"/>
    <w:rsid w:val="0067213A"/>
    <w:rsid w:val="0067218D"/>
    <w:rsid w:val="0067263E"/>
    <w:rsid w:val="006726CB"/>
    <w:rsid w:val="006728E2"/>
    <w:rsid w:val="006729D5"/>
    <w:rsid w:val="00672CB9"/>
    <w:rsid w:val="00672DFD"/>
    <w:rsid w:val="006730B3"/>
    <w:rsid w:val="00673168"/>
    <w:rsid w:val="006732E7"/>
    <w:rsid w:val="00673514"/>
    <w:rsid w:val="00673594"/>
    <w:rsid w:val="00673893"/>
    <w:rsid w:val="00673D88"/>
    <w:rsid w:val="00674691"/>
    <w:rsid w:val="00674722"/>
    <w:rsid w:val="00674AAB"/>
    <w:rsid w:val="00674DC3"/>
    <w:rsid w:val="006753E4"/>
    <w:rsid w:val="006754D0"/>
    <w:rsid w:val="0067558F"/>
    <w:rsid w:val="006759B2"/>
    <w:rsid w:val="00675E2F"/>
    <w:rsid w:val="00676016"/>
    <w:rsid w:val="0067652F"/>
    <w:rsid w:val="00676672"/>
    <w:rsid w:val="00676EBB"/>
    <w:rsid w:val="00677155"/>
    <w:rsid w:val="006771BC"/>
    <w:rsid w:val="006771FA"/>
    <w:rsid w:val="00677517"/>
    <w:rsid w:val="006775FC"/>
    <w:rsid w:val="00677838"/>
    <w:rsid w:val="00677867"/>
    <w:rsid w:val="00677FA2"/>
    <w:rsid w:val="00680929"/>
    <w:rsid w:val="00680BE2"/>
    <w:rsid w:val="0068102B"/>
    <w:rsid w:val="00681085"/>
    <w:rsid w:val="00681B03"/>
    <w:rsid w:val="00681E80"/>
    <w:rsid w:val="006825A4"/>
    <w:rsid w:val="006826E9"/>
    <w:rsid w:val="00682865"/>
    <w:rsid w:val="0068294A"/>
    <w:rsid w:val="00683703"/>
    <w:rsid w:val="00683817"/>
    <w:rsid w:val="0068387A"/>
    <w:rsid w:val="00683B10"/>
    <w:rsid w:val="00683B14"/>
    <w:rsid w:val="00683B15"/>
    <w:rsid w:val="00683C83"/>
    <w:rsid w:val="00683DC4"/>
    <w:rsid w:val="00683E13"/>
    <w:rsid w:val="006841B5"/>
    <w:rsid w:val="006841C9"/>
    <w:rsid w:val="006843EA"/>
    <w:rsid w:val="00684A1D"/>
    <w:rsid w:val="00684B00"/>
    <w:rsid w:val="00684F5A"/>
    <w:rsid w:val="0068523D"/>
    <w:rsid w:val="006852CA"/>
    <w:rsid w:val="006853F3"/>
    <w:rsid w:val="00685489"/>
    <w:rsid w:val="0068551B"/>
    <w:rsid w:val="00685552"/>
    <w:rsid w:val="006855EF"/>
    <w:rsid w:val="0068584D"/>
    <w:rsid w:val="00685963"/>
    <w:rsid w:val="006859EE"/>
    <w:rsid w:val="00685E4D"/>
    <w:rsid w:val="00685EED"/>
    <w:rsid w:val="00686001"/>
    <w:rsid w:val="0068659E"/>
    <w:rsid w:val="00686DE3"/>
    <w:rsid w:val="00687020"/>
    <w:rsid w:val="00687155"/>
    <w:rsid w:val="00687A7E"/>
    <w:rsid w:val="00687B56"/>
    <w:rsid w:val="00687DB0"/>
    <w:rsid w:val="00690202"/>
    <w:rsid w:val="0069035E"/>
    <w:rsid w:val="00690364"/>
    <w:rsid w:val="00690BBB"/>
    <w:rsid w:val="0069103E"/>
    <w:rsid w:val="00691289"/>
    <w:rsid w:val="006912C9"/>
    <w:rsid w:val="00691314"/>
    <w:rsid w:val="00691418"/>
    <w:rsid w:val="00691C70"/>
    <w:rsid w:val="00692183"/>
    <w:rsid w:val="006923B5"/>
    <w:rsid w:val="00692452"/>
    <w:rsid w:val="006928F1"/>
    <w:rsid w:val="00692923"/>
    <w:rsid w:val="00692966"/>
    <w:rsid w:val="00692DE6"/>
    <w:rsid w:val="006934F5"/>
    <w:rsid w:val="006935AE"/>
    <w:rsid w:val="00693782"/>
    <w:rsid w:val="006938D4"/>
    <w:rsid w:val="0069397C"/>
    <w:rsid w:val="00693D57"/>
    <w:rsid w:val="00693E52"/>
    <w:rsid w:val="00693F58"/>
    <w:rsid w:val="006940E5"/>
    <w:rsid w:val="00694136"/>
    <w:rsid w:val="0069472B"/>
    <w:rsid w:val="006949C3"/>
    <w:rsid w:val="00695562"/>
    <w:rsid w:val="006958B2"/>
    <w:rsid w:val="0069597D"/>
    <w:rsid w:val="00695A2C"/>
    <w:rsid w:val="00695ED9"/>
    <w:rsid w:val="00695EE6"/>
    <w:rsid w:val="00695F8E"/>
    <w:rsid w:val="00695F96"/>
    <w:rsid w:val="00696023"/>
    <w:rsid w:val="0069620C"/>
    <w:rsid w:val="006964EE"/>
    <w:rsid w:val="0069668A"/>
    <w:rsid w:val="006966BB"/>
    <w:rsid w:val="0069670F"/>
    <w:rsid w:val="00696A86"/>
    <w:rsid w:val="00696C45"/>
    <w:rsid w:val="00696C8A"/>
    <w:rsid w:val="006970B2"/>
    <w:rsid w:val="006971AF"/>
    <w:rsid w:val="006971E3"/>
    <w:rsid w:val="00697208"/>
    <w:rsid w:val="00697320"/>
    <w:rsid w:val="0069759C"/>
    <w:rsid w:val="006978BA"/>
    <w:rsid w:val="00697962"/>
    <w:rsid w:val="0069798A"/>
    <w:rsid w:val="00697C8A"/>
    <w:rsid w:val="00697EA8"/>
    <w:rsid w:val="006A011D"/>
    <w:rsid w:val="006A016E"/>
    <w:rsid w:val="006A01D1"/>
    <w:rsid w:val="006A0266"/>
    <w:rsid w:val="006A0294"/>
    <w:rsid w:val="006A02BE"/>
    <w:rsid w:val="006A02D6"/>
    <w:rsid w:val="006A07D7"/>
    <w:rsid w:val="006A0AEF"/>
    <w:rsid w:val="006A0B57"/>
    <w:rsid w:val="006A0F15"/>
    <w:rsid w:val="006A0F56"/>
    <w:rsid w:val="006A10D5"/>
    <w:rsid w:val="006A1785"/>
    <w:rsid w:val="006A1800"/>
    <w:rsid w:val="006A19CB"/>
    <w:rsid w:val="006A1EF5"/>
    <w:rsid w:val="006A1F97"/>
    <w:rsid w:val="006A211C"/>
    <w:rsid w:val="006A23EF"/>
    <w:rsid w:val="006A266D"/>
    <w:rsid w:val="006A26DC"/>
    <w:rsid w:val="006A26E4"/>
    <w:rsid w:val="006A29BC"/>
    <w:rsid w:val="006A2B6A"/>
    <w:rsid w:val="006A2C50"/>
    <w:rsid w:val="006A2DBF"/>
    <w:rsid w:val="006A2EE9"/>
    <w:rsid w:val="006A31FA"/>
    <w:rsid w:val="006A34C6"/>
    <w:rsid w:val="006A39BA"/>
    <w:rsid w:val="006A3BA7"/>
    <w:rsid w:val="006A3C51"/>
    <w:rsid w:val="006A41D3"/>
    <w:rsid w:val="006A424D"/>
    <w:rsid w:val="006A43C7"/>
    <w:rsid w:val="006A4556"/>
    <w:rsid w:val="006A4781"/>
    <w:rsid w:val="006A4978"/>
    <w:rsid w:val="006A4A28"/>
    <w:rsid w:val="006A4C99"/>
    <w:rsid w:val="006A5282"/>
    <w:rsid w:val="006A5325"/>
    <w:rsid w:val="006A5803"/>
    <w:rsid w:val="006A5946"/>
    <w:rsid w:val="006A629B"/>
    <w:rsid w:val="006A64E7"/>
    <w:rsid w:val="006A6522"/>
    <w:rsid w:val="006A65E7"/>
    <w:rsid w:val="006A6767"/>
    <w:rsid w:val="006A6C12"/>
    <w:rsid w:val="006A6F73"/>
    <w:rsid w:val="006A6F9C"/>
    <w:rsid w:val="006A6FB3"/>
    <w:rsid w:val="006A740E"/>
    <w:rsid w:val="006A7910"/>
    <w:rsid w:val="006A7C24"/>
    <w:rsid w:val="006A7CBD"/>
    <w:rsid w:val="006A7DA4"/>
    <w:rsid w:val="006B026A"/>
    <w:rsid w:val="006B0380"/>
    <w:rsid w:val="006B0A06"/>
    <w:rsid w:val="006B0C64"/>
    <w:rsid w:val="006B0D3F"/>
    <w:rsid w:val="006B0FF1"/>
    <w:rsid w:val="006B124B"/>
    <w:rsid w:val="006B1308"/>
    <w:rsid w:val="006B1DA7"/>
    <w:rsid w:val="006B2517"/>
    <w:rsid w:val="006B259F"/>
    <w:rsid w:val="006B26C5"/>
    <w:rsid w:val="006B276F"/>
    <w:rsid w:val="006B27BB"/>
    <w:rsid w:val="006B2802"/>
    <w:rsid w:val="006B2ABD"/>
    <w:rsid w:val="006B3283"/>
    <w:rsid w:val="006B351F"/>
    <w:rsid w:val="006B358B"/>
    <w:rsid w:val="006B3641"/>
    <w:rsid w:val="006B37E8"/>
    <w:rsid w:val="006B3805"/>
    <w:rsid w:val="006B3C92"/>
    <w:rsid w:val="006B3E4E"/>
    <w:rsid w:val="006B41FC"/>
    <w:rsid w:val="006B4232"/>
    <w:rsid w:val="006B45E0"/>
    <w:rsid w:val="006B47A4"/>
    <w:rsid w:val="006B4A3C"/>
    <w:rsid w:val="006B4DB0"/>
    <w:rsid w:val="006B5001"/>
    <w:rsid w:val="006B5525"/>
    <w:rsid w:val="006B5548"/>
    <w:rsid w:val="006B5A4E"/>
    <w:rsid w:val="006B5BAB"/>
    <w:rsid w:val="006B5FC2"/>
    <w:rsid w:val="006B5FE3"/>
    <w:rsid w:val="006B6263"/>
    <w:rsid w:val="006B6293"/>
    <w:rsid w:val="006B62EA"/>
    <w:rsid w:val="006B6499"/>
    <w:rsid w:val="006B6528"/>
    <w:rsid w:val="006B6A69"/>
    <w:rsid w:val="006B6B01"/>
    <w:rsid w:val="006B7628"/>
    <w:rsid w:val="006B7A89"/>
    <w:rsid w:val="006B7B3F"/>
    <w:rsid w:val="006B7C66"/>
    <w:rsid w:val="006C0145"/>
    <w:rsid w:val="006C0165"/>
    <w:rsid w:val="006C0694"/>
    <w:rsid w:val="006C071B"/>
    <w:rsid w:val="006C0B06"/>
    <w:rsid w:val="006C0E68"/>
    <w:rsid w:val="006C1098"/>
    <w:rsid w:val="006C1474"/>
    <w:rsid w:val="006C1679"/>
    <w:rsid w:val="006C1BE1"/>
    <w:rsid w:val="006C1D77"/>
    <w:rsid w:val="006C1D80"/>
    <w:rsid w:val="006C21D7"/>
    <w:rsid w:val="006C2236"/>
    <w:rsid w:val="006C243A"/>
    <w:rsid w:val="006C2A19"/>
    <w:rsid w:val="006C2DCD"/>
    <w:rsid w:val="006C30CC"/>
    <w:rsid w:val="006C330F"/>
    <w:rsid w:val="006C3A65"/>
    <w:rsid w:val="006C3D0E"/>
    <w:rsid w:val="006C446D"/>
    <w:rsid w:val="006C4643"/>
    <w:rsid w:val="006C496E"/>
    <w:rsid w:val="006C4BC8"/>
    <w:rsid w:val="006C4CBC"/>
    <w:rsid w:val="006C4CE7"/>
    <w:rsid w:val="006C4F28"/>
    <w:rsid w:val="006C509C"/>
    <w:rsid w:val="006C55E3"/>
    <w:rsid w:val="006C5696"/>
    <w:rsid w:val="006C5BDB"/>
    <w:rsid w:val="006C5D57"/>
    <w:rsid w:val="006C5DC4"/>
    <w:rsid w:val="006C5DCE"/>
    <w:rsid w:val="006C5DD3"/>
    <w:rsid w:val="006C5EAD"/>
    <w:rsid w:val="006C5F83"/>
    <w:rsid w:val="006C606C"/>
    <w:rsid w:val="006C62FB"/>
    <w:rsid w:val="006C6335"/>
    <w:rsid w:val="006C6614"/>
    <w:rsid w:val="006C66CF"/>
    <w:rsid w:val="006C6AD2"/>
    <w:rsid w:val="006C6D05"/>
    <w:rsid w:val="006C6DB0"/>
    <w:rsid w:val="006C7019"/>
    <w:rsid w:val="006C7608"/>
    <w:rsid w:val="006C7B4C"/>
    <w:rsid w:val="006C7D23"/>
    <w:rsid w:val="006C7ED2"/>
    <w:rsid w:val="006C7EFE"/>
    <w:rsid w:val="006D0192"/>
    <w:rsid w:val="006D021A"/>
    <w:rsid w:val="006D0277"/>
    <w:rsid w:val="006D04EE"/>
    <w:rsid w:val="006D074B"/>
    <w:rsid w:val="006D076E"/>
    <w:rsid w:val="006D0F07"/>
    <w:rsid w:val="006D11F9"/>
    <w:rsid w:val="006D1346"/>
    <w:rsid w:val="006D13DA"/>
    <w:rsid w:val="006D1A95"/>
    <w:rsid w:val="006D1C3B"/>
    <w:rsid w:val="006D1D9A"/>
    <w:rsid w:val="006D1EEF"/>
    <w:rsid w:val="006D25C7"/>
    <w:rsid w:val="006D26CA"/>
    <w:rsid w:val="006D2B1A"/>
    <w:rsid w:val="006D2B5A"/>
    <w:rsid w:val="006D2D01"/>
    <w:rsid w:val="006D2E67"/>
    <w:rsid w:val="006D30AB"/>
    <w:rsid w:val="006D318A"/>
    <w:rsid w:val="006D329B"/>
    <w:rsid w:val="006D337D"/>
    <w:rsid w:val="006D3441"/>
    <w:rsid w:val="006D371D"/>
    <w:rsid w:val="006D38BE"/>
    <w:rsid w:val="006D3901"/>
    <w:rsid w:val="006D3AA3"/>
    <w:rsid w:val="006D3C44"/>
    <w:rsid w:val="006D3E17"/>
    <w:rsid w:val="006D3E6F"/>
    <w:rsid w:val="006D40C1"/>
    <w:rsid w:val="006D4102"/>
    <w:rsid w:val="006D4797"/>
    <w:rsid w:val="006D4804"/>
    <w:rsid w:val="006D4815"/>
    <w:rsid w:val="006D4904"/>
    <w:rsid w:val="006D4D93"/>
    <w:rsid w:val="006D4F4A"/>
    <w:rsid w:val="006D53B0"/>
    <w:rsid w:val="006D54B8"/>
    <w:rsid w:val="006D564A"/>
    <w:rsid w:val="006D5CA4"/>
    <w:rsid w:val="006D6185"/>
    <w:rsid w:val="006D62C8"/>
    <w:rsid w:val="006D6751"/>
    <w:rsid w:val="006D6C35"/>
    <w:rsid w:val="006D7171"/>
    <w:rsid w:val="006D7405"/>
    <w:rsid w:val="006D7442"/>
    <w:rsid w:val="006D749E"/>
    <w:rsid w:val="006D752D"/>
    <w:rsid w:val="006D783C"/>
    <w:rsid w:val="006D7B4E"/>
    <w:rsid w:val="006D7C53"/>
    <w:rsid w:val="006D7DA3"/>
    <w:rsid w:val="006D7E17"/>
    <w:rsid w:val="006E00BF"/>
    <w:rsid w:val="006E0267"/>
    <w:rsid w:val="006E0449"/>
    <w:rsid w:val="006E07D3"/>
    <w:rsid w:val="006E0A4C"/>
    <w:rsid w:val="006E0D5E"/>
    <w:rsid w:val="006E0EC1"/>
    <w:rsid w:val="006E1265"/>
    <w:rsid w:val="006E1466"/>
    <w:rsid w:val="006E1556"/>
    <w:rsid w:val="006E18E3"/>
    <w:rsid w:val="006E1A75"/>
    <w:rsid w:val="006E1B40"/>
    <w:rsid w:val="006E1B8F"/>
    <w:rsid w:val="006E1E8B"/>
    <w:rsid w:val="006E20B8"/>
    <w:rsid w:val="006E216E"/>
    <w:rsid w:val="006E2891"/>
    <w:rsid w:val="006E2C3B"/>
    <w:rsid w:val="006E2C84"/>
    <w:rsid w:val="006E2F77"/>
    <w:rsid w:val="006E309F"/>
    <w:rsid w:val="006E31B5"/>
    <w:rsid w:val="006E32A6"/>
    <w:rsid w:val="006E35C5"/>
    <w:rsid w:val="006E35F9"/>
    <w:rsid w:val="006E3BC7"/>
    <w:rsid w:val="006E3C74"/>
    <w:rsid w:val="006E41AC"/>
    <w:rsid w:val="006E4431"/>
    <w:rsid w:val="006E4528"/>
    <w:rsid w:val="006E466A"/>
    <w:rsid w:val="006E46F2"/>
    <w:rsid w:val="006E485B"/>
    <w:rsid w:val="006E4967"/>
    <w:rsid w:val="006E4B63"/>
    <w:rsid w:val="006E5882"/>
    <w:rsid w:val="006E5D0A"/>
    <w:rsid w:val="006E5FE5"/>
    <w:rsid w:val="006E62E8"/>
    <w:rsid w:val="006E6537"/>
    <w:rsid w:val="006E6724"/>
    <w:rsid w:val="006E6937"/>
    <w:rsid w:val="006E6955"/>
    <w:rsid w:val="006E69A5"/>
    <w:rsid w:val="006E6B63"/>
    <w:rsid w:val="006E6F87"/>
    <w:rsid w:val="006E7080"/>
    <w:rsid w:val="006E72E9"/>
    <w:rsid w:val="006E77AA"/>
    <w:rsid w:val="006E7892"/>
    <w:rsid w:val="006E7BAB"/>
    <w:rsid w:val="006E7CAF"/>
    <w:rsid w:val="006E7F98"/>
    <w:rsid w:val="006F033C"/>
    <w:rsid w:val="006F04DF"/>
    <w:rsid w:val="006F0B01"/>
    <w:rsid w:val="006F0BF0"/>
    <w:rsid w:val="006F0EAD"/>
    <w:rsid w:val="006F124C"/>
    <w:rsid w:val="006F1255"/>
    <w:rsid w:val="006F12B2"/>
    <w:rsid w:val="006F1352"/>
    <w:rsid w:val="006F1797"/>
    <w:rsid w:val="006F19F3"/>
    <w:rsid w:val="006F1A21"/>
    <w:rsid w:val="006F1E88"/>
    <w:rsid w:val="006F1F8D"/>
    <w:rsid w:val="006F284E"/>
    <w:rsid w:val="006F2E09"/>
    <w:rsid w:val="006F2FBE"/>
    <w:rsid w:val="006F3030"/>
    <w:rsid w:val="006F320B"/>
    <w:rsid w:val="006F359C"/>
    <w:rsid w:val="006F35F2"/>
    <w:rsid w:val="006F3CA7"/>
    <w:rsid w:val="006F4416"/>
    <w:rsid w:val="006F4BB5"/>
    <w:rsid w:val="006F4C2C"/>
    <w:rsid w:val="006F4CD6"/>
    <w:rsid w:val="006F4F9A"/>
    <w:rsid w:val="006F53F2"/>
    <w:rsid w:val="006F5BB8"/>
    <w:rsid w:val="006F60C9"/>
    <w:rsid w:val="006F6129"/>
    <w:rsid w:val="006F63C4"/>
    <w:rsid w:val="006F63D8"/>
    <w:rsid w:val="006F6696"/>
    <w:rsid w:val="006F678E"/>
    <w:rsid w:val="006F67CD"/>
    <w:rsid w:val="006F6BAB"/>
    <w:rsid w:val="006F6F0E"/>
    <w:rsid w:val="006F71F2"/>
    <w:rsid w:val="006F746E"/>
    <w:rsid w:val="006F74DD"/>
    <w:rsid w:val="006F7561"/>
    <w:rsid w:val="006F77D8"/>
    <w:rsid w:val="006F7A1B"/>
    <w:rsid w:val="006F7C76"/>
    <w:rsid w:val="006F7CD1"/>
    <w:rsid w:val="006F7FB4"/>
    <w:rsid w:val="0070004B"/>
    <w:rsid w:val="0070027F"/>
    <w:rsid w:val="0070029A"/>
    <w:rsid w:val="007007EA"/>
    <w:rsid w:val="007008FC"/>
    <w:rsid w:val="0070093E"/>
    <w:rsid w:val="00700A28"/>
    <w:rsid w:val="00700AAE"/>
    <w:rsid w:val="0070118D"/>
    <w:rsid w:val="00701315"/>
    <w:rsid w:val="00701410"/>
    <w:rsid w:val="00701ACF"/>
    <w:rsid w:val="00701B78"/>
    <w:rsid w:val="00701B9C"/>
    <w:rsid w:val="00701F4D"/>
    <w:rsid w:val="007020F1"/>
    <w:rsid w:val="007023A1"/>
    <w:rsid w:val="0070260B"/>
    <w:rsid w:val="00702630"/>
    <w:rsid w:val="007027B3"/>
    <w:rsid w:val="00702BCF"/>
    <w:rsid w:val="007031AB"/>
    <w:rsid w:val="007031FE"/>
    <w:rsid w:val="0070326A"/>
    <w:rsid w:val="007032AE"/>
    <w:rsid w:val="007035CF"/>
    <w:rsid w:val="00703604"/>
    <w:rsid w:val="0070399E"/>
    <w:rsid w:val="00704498"/>
    <w:rsid w:val="00704572"/>
    <w:rsid w:val="00704694"/>
    <w:rsid w:val="007048FD"/>
    <w:rsid w:val="00704E5C"/>
    <w:rsid w:val="00704EBD"/>
    <w:rsid w:val="00705227"/>
    <w:rsid w:val="00705498"/>
    <w:rsid w:val="007055B9"/>
    <w:rsid w:val="00705AAD"/>
    <w:rsid w:val="00705C37"/>
    <w:rsid w:val="00705D20"/>
    <w:rsid w:val="00705E0B"/>
    <w:rsid w:val="0070628F"/>
    <w:rsid w:val="00706486"/>
    <w:rsid w:val="0070659C"/>
    <w:rsid w:val="007065A6"/>
    <w:rsid w:val="00706834"/>
    <w:rsid w:val="007068DC"/>
    <w:rsid w:val="00707038"/>
    <w:rsid w:val="00707172"/>
    <w:rsid w:val="0070799B"/>
    <w:rsid w:val="00707A51"/>
    <w:rsid w:val="00710025"/>
    <w:rsid w:val="00710947"/>
    <w:rsid w:val="00710A41"/>
    <w:rsid w:val="00710A6E"/>
    <w:rsid w:val="00710C2B"/>
    <w:rsid w:val="00710E2F"/>
    <w:rsid w:val="00710EE4"/>
    <w:rsid w:val="00711957"/>
    <w:rsid w:val="00711960"/>
    <w:rsid w:val="00711BA7"/>
    <w:rsid w:val="00711D49"/>
    <w:rsid w:val="00711DB4"/>
    <w:rsid w:val="00711F02"/>
    <w:rsid w:val="00711F07"/>
    <w:rsid w:val="00711F36"/>
    <w:rsid w:val="0071219D"/>
    <w:rsid w:val="00712314"/>
    <w:rsid w:val="007123A5"/>
    <w:rsid w:val="00712982"/>
    <w:rsid w:val="00712C47"/>
    <w:rsid w:val="00712E68"/>
    <w:rsid w:val="00712F72"/>
    <w:rsid w:val="0071311D"/>
    <w:rsid w:val="007131A6"/>
    <w:rsid w:val="0071339C"/>
    <w:rsid w:val="0071348A"/>
    <w:rsid w:val="007138D4"/>
    <w:rsid w:val="00713988"/>
    <w:rsid w:val="00713B39"/>
    <w:rsid w:val="00713F7C"/>
    <w:rsid w:val="00713FC3"/>
    <w:rsid w:val="007144EB"/>
    <w:rsid w:val="00714749"/>
    <w:rsid w:val="007149D1"/>
    <w:rsid w:val="00714BAC"/>
    <w:rsid w:val="00715081"/>
    <w:rsid w:val="007157C1"/>
    <w:rsid w:val="00715B99"/>
    <w:rsid w:val="00715D83"/>
    <w:rsid w:val="00715DB5"/>
    <w:rsid w:val="007160C4"/>
    <w:rsid w:val="0071612E"/>
    <w:rsid w:val="0071619B"/>
    <w:rsid w:val="00716B9D"/>
    <w:rsid w:val="00716C47"/>
    <w:rsid w:val="00716F7E"/>
    <w:rsid w:val="007171F8"/>
    <w:rsid w:val="0071763F"/>
    <w:rsid w:val="007176EA"/>
    <w:rsid w:val="007179FE"/>
    <w:rsid w:val="00717FB9"/>
    <w:rsid w:val="00717FCA"/>
    <w:rsid w:val="00720556"/>
    <w:rsid w:val="00720577"/>
    <w:rsid w:val="00720708"/>
    <w:rsid w:val="007207A1"/>
    <w:rsid w:val="007207E7"/>
    <w:rsid w:val="007208B0"/>
    <w:rsid w:val="007209E3"/>
    <w:rsid w:val="00720B48"/>
    <w:rsid w:val="00720B60"/>
    <w:rsid w:val="00720D4D"/>
    <w:rsid w:val="00721416"/>
    <w:rsid w:val="00721573"/>
    <w:rsid w:val="00721671"/>
    <w:rsid w:val="0072198D"/>
    <w:rsid w:val="00721BB2"/>
    <w:rsid w:val="007221AF"/>
    <w:rsid w:val="00722D53"/>
    <w:rsid w:val="00722F2E"/>
    <w:rsid w:val="00723379"/>
    <w:rsid w:val="00723BC9"/>
    <w:rsid w:val="00723C0A"/>
    <w:rsid w:val="00724182"/>
    <w:rsid w:val="00725496"/>
    <w:rsid w:val="007256A5"/>
    <w:rsid w:val="0072577A"/>
    <w:rsid w:val="007258B9"/>
    <w:rsid w:val="00725964"/>
    <w:rsid w:val="00725B2A"/>
    <w:rsid w:val="00725B70"/>
    <w:rsid w:val="00725FAD"/>
    <w:rsid w:val="00726295"/>
    <w:rsid w:val="007263C2"/>
    <w:rsid w:val="007263DB"/>
    <w:rsid w:val="00726899"/>
    <w:rsid w:val="00726C86"/>
    <w:rsid w:val="00726CA4"/>
    <w:rsid w:val="00726CB9"/>
    <w:rsid w:val="00727067"/>
    <w:rsid w:val="00727237"/>
    <w:rsid w:val="00727717"/>
    <w:rsid w:val="0072774B"/>
    <w:rsid w:val="0072790D"/>
    <w:rsid w:val="00727975"/>
    <w:rsid w:val="00727A97"/>
    <w:rsid w:val="00727E48"/>
    <w:rsid w:val="00727EF1"/>
    <w:rsid w:val="00730107"/>
    <w:rsid w:val="0073016A"/>
    <w:rsid w:val="00730215"/>
    <w:rsid w:val="0073034A"/>
    <w:rsid w:val="007304A7"/>
    <w:rsid w:val="0073066A"/>
    <w:rsid w:val="00730BD7"/>
    <w:rsid w:val="00730DD4"/>
    <w:rsid w:val="00730DF4"/>
    <w:rsid w:val="00730FEA"/>
    <w:rsid w:val="0073105F"/>
    <w:rsid w:val="00731D5A"/>
    <w:rsid w:val="007323A5"/>
    <w:rsid w:val="0073254B"/>
    <w:rsid w:val="00732553"/>
    <w:rsid w:val="00732929"/>
    <w:rsid w:val="00732B42"/>
    <w:rsid w:val="00732BE5"/>
    <w:rsid w:val="00732DB6"/>
    <w:rsid w:val="007332A0"/>
    <w:rsid w:val="0073355E"/>
    <w:rsid w:val="00733741"/>
    <w:rsid w:val="0073396C"/>
    <w:rsid w:val="00733A09"/>
    <w:rsid w:val="00734188"/>
    <w:rsid w:val="007342EE"/>
    <w:rsid w:val="00734485"/>
    <w:rsid w:val="007346FD"/>
    <w:rsid w:val="007349F8"/>
    <w:rsid w:val="00734B86"/>
    <w:rsid w:val="00734D83"/>
    <w:rsid w:val="00735212"/>
    <w:rsid w:val="00735333"/>
    <w:rsid w:val="0073549E"/>
    <w:rsid w:val="007356BD"/>
    <w:rsid w:val="007356E0"/>
    <w:rsid w:val="00735738"/>
    <w:rsid w:val="00735A5A"/>
    <w:rsid w:val="00735BBB"/>
    <w:rsid w:val="00735D55"/>
    <w:rsid w:val="00736CC9"/>
    <w:rsid w:val="00736D4A"/>
    <w:rsid w:val="00736DF0"/>
    <w:rsid w:val="00736FB8"/>
    <w:rsid w:val="007372CF"/>
    <w:rsid w:val="00737323"/>
    <w:rsid w:val="0073745C"/>
    <w:rsid w:val="007379B0"/>
    <w:rsid w:val="007379F3"/>
    <w:rsid w:val="00737A4B"/>
    <w:rsid w:val="00737B4C"/>
    <w:rsid w:val="00737C21"/>
    <w:rsid w:val="00737E3F"/>
    <w:rsid w:val="00737F64"/>
    <w:rsid w:val="00737F9F"/>
    <w:rsid w:val="007404AE"/>
    <w:rsid w:val="0074081B"/>
    <w:rsid w:val="00740C51"/>
    <w:rsid w:val="00741330"/>
    <w:rsid w:val="007414FE"/>
    <w:rsid w:val="00741D5C"/>
    <w:rsid w:val="00742215"/>
    <w:rsid w:val="00742385"/>
    <w:rsid w:val="00742543"/>
    <w:rsid w:val="0074263A"/>
    <w:rsid w:val="00742952"/>
    <w:rsid w:val="00742DE1"/>
    <w:rsid w:val="00742E4B"/>
    <w:rsid w:val="00742ED6"/>
    <w:rsid w:val="007432D1"/>
    <w:rsid w:val="00743573"/>
    <w:rsid w:val="007436E0"/>
    <w:rsid w:val="00743902"/>
    <w:rsid w:val="00743EEA"/>
    <w:rsid w:val="00743F41"/>
    <w:rsid w:val="00744079"/>
    <w:rsid w:val="007444F2"/>
    <w:rsid w:val="0074466A"/>
    <w:rsid w:val="007446FB"/>
    <w:rsid w:val="00744B8B"/>
    <w:rsid w:val="00744EAE"/>
    <w:rsid w:val="0074508C"/>
    <w:rsid w:val="0074533B"/>
    <w:rsid w:val="0074579C"/>
    <w:rsid w:val="00745F58"/>
    <w:rsid w:val="00746001"/>
    <w:rsid w:val="00746211"/>
    <w:rsid w:val="007462D9"/>
    <w:rsid w:val="0074681D"/>
    <w:rsid w:val="007468D2"/>
    <w:rsid w:val="00746B0A"/>
    <w:rsid w:val="00746E0C"/>
    <w:rsid w:val="007475CB"/>
    <w:rsid w:val="0074771C"/>
    <w:rsid w:val="007478A9"/>
    <w:rsid w:val="00747A62"/>
    <w:rsid w:val="00747D13"/>
    <w:rsid w:val="0075009F"/>
    <w:rsid w:val="00750291"/>
    <w:rsid w:val="00750377"/>
    <w:rsid w:val="00750971"/>
    <w:rsid w:val="007509E1"/>
    <w:rsid w:val="00750FF9"/>
    <w:rsid w:val="007517BE"/>
    <w:rsid w:val="0075190E"/>
    <w:rsid w:val="00751939"/>
    <w:rsid w:val="0075262E"/>
    <w:rsid w:val="0075294C"/>
    <w:rsid w:val="00752BED"/>
    <w:rsid w:val="00752C19"/>
    <w:rsid w:val="00752CAB"/>
    <w:rsid w:val="007531FB"/>
    <w:rsid w:val="0075322F"/>
    <w:rsid w:val="0075358B"/>
    <w:rsid w:val="00753AAA"/>
    <w:rsid w:val="00753C62"/>
    <w:rsid w:val="007540F1"/>
    <w:rsid w:val="0075470D"/>
    <w:rsid w:val="007550F5"/>
    <w:rsid w:val="00755471"/>
    <w:rsid w:val="00755521"/>
    <w:rsid w:val="00755AF8"/>
    <w:rsid w:val="00755C0D"/>
    <w:rsid w:val="00755E24"/>
    <w:rsid w:val="00756159"/>
    <w:rsid w:val="0075615E"/>
    <w:rsid w:val="0075631F"/>
    <w:rsid w:val="007565D8"/>
    <w:rsid w:val="00756C3D"/>
    <w:rsid w:val="00756D78"/>
    <w:rsid w:val="0075752A"/>
    <w:rsid w:val="0075773F"/>
    <w:rsid w:val="00757853"/>
    <w:rsid w:val="00757BD5"/>
    <w:rsid w:val="00757D4C"/>
    <w:rsid w:val="007602AB"/>
    <w:rsid w:val="007607EB"/>
    <w:rsid w:val="00760A0B"/>
    <w:rsid w:val="00760BE7"/>
    <w:rsid w:val="00760D60"/>
    <w:rsid w:val="00761026"/>
    <w:rsid w:val="00761676"/>
    <w:rsid w:val="00761683"/>
    <w:rsid w:val="007617FB"/>
    <w:rsid w:val="00761B11"/>
    <w:rsid w:val="00761BEF"/>
    <w:rsid w:val="00761D5D"/>
    <w:rsid w:val="00761DA0"/>
    <w:rsid w:val="00761F79"/>
    <w:rsid w:val="00761F9D"/>
    <w:rsid w:val="0076200E"/>
    <w:rsid w:val="007628E4"/>
    <w:rsid w:val="00762BBF"/>
    <w:rsid w:val="00762D4F"/>
    <w:rsid w:val="00762E0F"/>
    <w:rsid w:val="00762E25"/>
    <w:rsid w:val="00762E28"/>
    <w:rsid w:val="00762F65"/>
    <w:rsid w:val="00763181"/>
    <w:rsid w:val="00763740"/>
    <w:rsid w:val="0076385F"/>
    <w:rsid w:val="00763913"/>
    <w:rsid w:val="00763BB5"/>
    <w:rsid w:val="00763D66"/>
    <w:rsid w:val="0076432B"/>
    <w:rsid w:val="007643E7"/>
    <w:rsid w:val="007646A0"/>
    <w:rsid w:val="007647CB"/>
    <w:rsid w:val="007648AD"/>
    <w:rsid w:val="00764953"/>
    <w:rsid w:val="00764A42"/>
    <w:rsid w:val="00764C7D"/>
    <w:rsid w:val="0076530F"/>
    <w:rsid w:val="00765345"/>
    <w:rsid w:val="007654E0"/>
    <w:rsid w:val="0076552D"/>
    <w:rsid w:val="00765818"/>
    <w:rsid w:val="00765B8A"/>
    <w:rsid w:val="00765C55"/>
    <w:rsid w:val="00765D43"/>
    <w:rsid w:val="00766492"/>
    <w:rsid w:val="007666B0"/>
    <w:rsid w:val="00766732"/>
    <w:rsid w:val="007668B8"/>
    <w:rsid w:val="00766D28"/>
    <w:rsid w:val="0076704C"/>
    <w:rsid w:val="007672BA"/>
    <w:rsid w:val="007673E7"/>
    <w:rsid w:val="00767408"/>
    <w:rsid w:val="0076765B"/>
    <w:rsid w:val="007677EB"/>
    <w:rsid w:val="007679AC"/>
    <w:rsid w:val="00767BE0"/>
    <w:rsid w:val="00767BE5"/>
    <w:rsid w:val="00767D5F"/>
    <w:rsid w:val="00770445"/>
    <w:rsid w:val="00770563"/>
    <w:rsid w:val="00770694"/>
    <w:rsid w:val="007706BD"/>
    <w:rsid w:val="007707B2"/>
    <w:rsid w:val="00770C4D"/>
    <w:rsid w:val="00770E60"/>
    <w:rsid w:val="00770F32"/>
    <w:rsid w:val="00770FF6"/>
    <w:rsid w:val="007710BC"/>
    <w:rsid w:val="007716A7"/>
    <w:rsid w:val="007717D8"/>
    <w:rsid w:val="00771892"/>
    <w:rsid w:val="00771ACA"/>
    <w:rsid w:val="00771DB4"/>
    <w:rsid w:val="007721FD"/>
    <w:rsid w:val="00772253"/>
    <w:rsid w:val="007722A3"/>
    <w:rsid w:val="00772498"/>
    <w:rsid w:val="00772511"/>
    <w:rsid w:val="00772754"/>
    <w:rsid w:val="007729EC"/>
    <w:rsid w:val="00772AA8"/>
    <w:rsid w:val="00772CE1"/>
    <w:rsid w:val="00772FE8"/>
    <w:rsid w:val="0077323F"/>
    <w:rsid w:val="00773564"/>
    <w:rsid w:val="007737E6"/>
    <w:rsid w:val="00773893"/>
    <w:rsid w:val="00773E16"/>
    <w:rsid w:val="00774268"/>
    <w:rsid w:val="0077449B"/>
    <w:rsid w:val="00775228"/>
    <w:rsid w:val="0077529A"/>
    <w:rsid w:val="00775317"/>
    <w:rsid w:val="00775543"/>
    <w:rsid w:val="0077562B"/>
    <w:rsid w:val="0077564E"/>
    <w:rsid w:val="00775A05"/>
    <w:rsid w:val="00775D35"/>
    <w:rsid w:val="00775FD8"/>
    <w:rsid w:val="00776280"/>
    <w:rsid w:val="007764FB"/>
    <w:rsid w:val="0077661E"/>
    <w:rsid w:val="007767B9"/>
    <w:rsid w:val="00776A5C"/>
    <w:rsid w:val="00776DA8"/>
    <w:rsid w:val="00776DFF"/>
    <w:rsid w:val="00776E3C"/>
    <w:rsid w:val="007771A5"/>
    <w:rsid w:val="007771A8"/>
    <w:rsid w:val="00777418"/>
    <w:rsid w:val="00777548"/>
    <w:rsid w:val="007778CE"/>
    <w:rsid w:val="007778F2"/>
    <w:rsid w:val="007779BB"/>
    <w:rsid w:val="00777B87"/>
    <w:rsid w:val="00777CED"/>
    <w:rsid w:val="00777D32"/>
    <w:rsid w:val="00780BAA"/>
    <w:rsid w:val="007811E7"/>
    <w:rsid w:val="007812C2"/>
    <w:rsid w:val="00781459"/>
    <w:rsid w:val="00781DB5"/>
    <w:rsid w:val="00781E5C"/>
    <w:rsid w:val="00782350"/>
    <w:rsid w:val="00782474"/>
    <w:rsid w:val="0078270A"/>
    <w:rsid w:val="00782A25"/>
    <w:rsid w:val="00782A3E"/>
    <w:rsid w:val="00782ABE"/>
    <w:rsid w:val="00782EB1"/>
    <w:rsid w:val="00782FF4"/>
    <w:rsid w:val="0078318E"/>
    <w:rsid w:val="00783604"/>
    <w:rsid w:val="00783865"/>
    <w:rsid w:val="00783B1C"/>
    <w:rsid w:val="00783B94"/>
    <w:rsid w:val="00783E6C"/>
    <w:rsid w:val="00784015"/>
    <w:rsid w:val="00784355"/>
    <w:rsid w:val="00784600"/>
    <w:rsid w:val="0078493C"/>
    <w:rsid w:val="00784DEA"/>
    <w:rsid w:val="00785383"/>
    <w:rsid w:val="00785531"/>
    <w:rsid w:val="007857AB"/>
    <w:rsid w:val="00785B94"/>
    <w:rsid w:val="007860C4"/>
    <w:rsid w:val="00786141"/>
    <w:rsid w:val="0078673B"/>
    <w:rsid w:val="007869DF"/>
    <w:rsid w:val="00786B36"/>
    <w:rsid w:val="00786BE7"/>
    <w:rsid w:val="00787527"/>
    <w:rsid w:val="0078764C"/>
    <w:rsid w:val="00787652"/>
    <w:rsid w:val="00787675"/>
    <w:rsid w:val="00787992"/>
    <w:rsid w:val="00787A4D"/>
    <w:rsid w:val="00787BB9"/>
    <w:rsid w:val="00787DDC"/>
    <w:rsid w:val="00787E5D"/>
    <w:rsid w:val="00787ED0"/>
    <w:rsid w:val="00790150"/>
    <w:rsid w:val="007903BE"/>
    <w:rsid w:val="00790674"/>
    <w:rsid w:val="00790D0C"/>
    <w:rsid w:val="00790D21"/>
    <w:rsid w:val="00790D22"/>
    <w:rsid w:val="00790F8C"/>
    <w:rsid w:val="007911CE"/>
    <w:rsid w:val="007911EA"/>
    <w:rsid w:val="00791819"/>
    <w:rsid w:val="00791C0B"/>
    <w:rsid w:val="00791C13"/>
    <w:rsid w:val="00791C35"/>
    <w:rsid w:val="00791D76"/>
    <w:rsid w:val="00792365"/>
    <w:rsid w:val="00792717"/>
    <w:rsid w:val="0079330D"/>
    <w:rsid w:val="00793365"/>
    <w:rsid w:val="00793657"/>
    <w:rsid w:val="00793F34"/>
    <w:rsid w:val="00793FFF"/>
    <w:rsid w:val="007943C6"/>
    <w:rsid w:val="007944FF"/>
    <w:rsid w:val="0079454B"/>
    <w:rsid w:val="00794ABC"/>
    <w:rsid w:val="00794BF5"/>
    <w:rsid w:val="00794C1C"/>
    <w:rsid w:val="00794EEC"/>
    <w:rsid w:val="00795110"/>
    <w:rsid w:val="00795587"/>
    <w:rsid w:val="00795C73"/>
    <w:rsid w:val="00795E26"/>
    <w:rsid w:val="00795EB4"/>
    <w:rsid w:val="00796380"/>
    <w:rsid w:val="00796547"/>
    <w:rsid w:val="00796740"/>
    <w:rsid w:val="00796880"/>
    <w:rsid w:val="00796ADD"/>
    <w:rsid w:val="00796E33"/>
    <w:rsid w:val="00796F9C"/>
    <w:rsid w:val="0079707D"/>
    <w:rsid w:val="007973F2"/>
    <w:rsid w:val="007977A2"/>
    <w:rsid w:val="007977A8"/>
    <w:rsid w:val="00797F4C"/>
    <w:rsid w:val="007A00C0"/>
    <w:rsid w:val="007A014C"/>
    <w:rsid w:val="007A03CC"/>
    <w:rsid w:val="007A0500"/>
    <w:rsid w:val="007A0696"/>
    <w:rsid w:val="007A0767"/>
    <w:rsid w:val="007A113D"/>
    <w:rsid w:val="007A175B"/>
    <w:rsid w:val="007A17AC"/>
    <w:rsid w:val="007A1CE7"/>
    <w:rsid w:val="007A2337"/>
    <w:rsid w:val="007A2475"/>
    <w:rsid w:val="007A2898"/>
    <w:rsid w:val="007A2D03"/>
    <w:rsid w:val="007A2EED"/>
    <w:rsid w:val="007A30E2"/>
    <w:rsid w:val="007A3144"/>
    <w:rsid w:val="007A32D4"/>
    <w:rsid w:val="007A3472"/>
    <w:rsid w:val="007A368B"/>
    <w:rsid w:val="007A3B74"/>
    <w:rsid w:val="007A3BD7"/>
    <w:rsid w:val="007A3F15"/>
    <w:rsid w:val="007A3F5A"/>
    <w:rsid w:val="007A4046"/>
    <w:rsid w:val="007A40CC"/>
    <w:rsid w:val="007A4170"/>
    <w:rsid w:val="007A42F6"/>
    <w:rsid w:val="007A457C"/>
    <w:rsid w:val="007A4670"/>
    <w:rsid w:val="007A4AAA"/>
    <w:rsid w:val="007A4D2C"/>
    <w:rsid w:val="007A4D98"/>
    <w:rsid w:val="007A508A"/>
    <w:rsid w:val="007A5664"/>
    <w:rsid w:val="007A5737"/>
    <w:rsid w:val="007A5AA9"/>
    <w:rsid w:val="007A5AC2"/>
    <w:rsid w:val="007A62CE"/>
    <w:rsid w:val="007A65EB"/>
    <w:rsid w:val="007A663A"/>
    <w:rsid w:val="007A6810"/>
    <w:rsid w:val="007A6ACF"/>
    <w:rsid w:val="007A6D28"/>
    <w:rsid w:val="007A722D"/>
    <w:rsid w:val="007A7343"/>
    <w:rsid w:val="007A75EE"/>
    <w:rsid w:val="007A7601"/>
    <w:rsid w:val="007A7610"/>
    <w:rsid w:val="007A7C8A"/>
    <w:rsid w:val="007A7D00"/>
    <w:rsid w:val="007A7E9D"/>
    <w:rsid w:val="007B00A8"/>
    <w:rsid w:val="007B0389"/>
    <w:rsid w:val="007B04E1"/>
    <w:rsid w:val="007B0542"/>
    <w:rsid w:val="007B0AE7"/>
    <w:rsid w:val="007B0D69"/>
    <w:rsid w:val="007B1277"/>
    <w:rsid w:val="007B12CD"/>
    <w:rsid w:val="007B1384"/>
    <w:rsid w:val="007B18E8"/>
    <w:rsid w:val="007B1B12"/>
    <w:rsid w:val="007B1C28"/>
    <w:rsid w:val="007B1F5F"/>
    <w:rsid w:val="007B1F9A"/>
    <w:rsid w:val="007B2073"/>
    <w:rsid w:val="007B2075"/>
    <w:rsid w:val="007B22ED"/>
    <w:rsid w:val="007B2451"/>
    <w:rsid w:val="007B2592"/>
    <w:rsid w:val="007B25BA"/>
    <w:rsid w:val="007B270D"/>
    <w:rsid w:val="007B2BE3"/>
    <w:rsid w:val="007B2C78"/>
    <w:rsid w:val="007B330A"/>
    <w:rsid w:val="007B372D"/>
    <w:rsid w:val="007B3806"/>
    <w:rsid w:val="007B3884"/>
    <w:rsid w:val="007B3976"/>
    <w:rsid w:val="007B3A60"/>
    <w:rsid w:val="007B3D18"/>
    <w:rsid w:val="007B3D91"/>
    <w:rsid w:val="007B3E12"/>
    <w:rsid w:val="007B419F"/>
    <w:rsid w:val="007B4200"/>
    <w:rsid w:val="007B4222"/>
    <w:rsid w:val="007B46C9"/>
    <w:rsid w:val="007B473B"/>
    <w:rsid w:val="007B4758"/>
    <w:rsid w:val="007B4789"/>
    <w:rsid w:val="007B4A45"/>
    <w:rsid w:val="007B4BE3"/>
    <w:rsid w:val="007B4EC6"/>
    <w:rsid w:val="007B509D"/>
    <w:rsid w:val="007B5231"/>
    <w:rsid w:val="007B5724"/>
    <w:rsid w:val="007B585E"/>
    <w:rsid w:val="007B5BA6"/>
    <w:rsid w:val="007B6AF6"/>
    <w:rsid w:val="007B6B06"/>
    <w:rsid w:val="007B6CAC"/>
    <w:rsid w:val="007B6FF1"/>
    <w:rsid w:val="007B730D"/>
    <w:rsid w:val="007B74AD"/>
    <w:rsid w:val="007B77FA"/>
    <w:rsid w:val="007B7959"/>
    <w:rsid w:val="007B7D06"/>
    <w:rsid w:val="007B7D69"/>
    <w:rsid w:val="007C02DD"/>
    <w:rsid w:val="007C075E"/>
    <w:rsid w:val="007C0A47"/>
    <w:rsid w:val="007C0E91"/>
    <w:rsid w:val="007C14C8"/>
    <w:rsid w:val="007C1590"/>
    <w:rsid w:val="007C18C0"/>
    <w:rsid w:val="007C1B1E"/>
    <w:rsid w:val="007C1D86"/>
    <w:rsid w:val="007C1F85"/>
    <w:rsid w:val="007C263E"/>
    <w:rsid w:val="007C2671"/>
    <w:rsid w:val="007C2764"/>
    <w:rsid w:val="007C28FD"/>
    <w:rsid w:val="007C2E5D"/>
    <w:rsid w:val="007C2F3C"/>
    <w:rsid w:val="007C30D3"/>
    <w:rsid w:val="007C3480"/>
    <w:rsid w:val="007C363E"/>
    <w:rsid w:val="007C366B"/>
    <w:rsid w:val="007C36A4"/>
    <w:rsid w:val="007C36FA"/>
    <w:rsid w:val="007C3C01"/>
    <w:rsid w:val="007C3C68"/>
    <w:rsid w:val="007C4082"/>
    <w:rsid w:val="007C40F2"/>
    <w:rsid w:val="007C418E"/>
    <w:rsid w:val="007C424D"/>
    <w:rsid w:val="007C4952"/>
    <w:rsid w:val="007C4A23"/>
    <w:rsid w:val="007C4EAE"/>
    <w:rsid w:val="007C4F56"/>
    <w:rsid w:val="007C4FD6"/>
    <w:rsid w:val="007C51BB"/>
    <w:rsid w:val="007C52BA"/>
    <w:rsid w:val="007C549B"/>
    <w:rsid w:val="007C59E7"/>
    <w:rsid w:val="007C5F11"/>
    <w:rsid w:val="007C6063"/>
    <w:rsid w:val="007C642C"/>
    <w:rsid w:val="007C65AC"/>
    <w:rsid w:val="007C6655"/>
    <w:rsid w:val="007C6C21"/>
    <w:rsid w:val="007C6C5A"/>
    <w:rsid w:val="007C6DFC"/>
    <w:rsid w:val="007C7060"/>
    <w:rsid w:val="007C73B9"/>
    <w:rsid w:val="007C7408"/>
    <w:rsid w:val="007C7A8D"/>
    <w:rsid w:val="007C7B58"/>
    <w:rsid w:val="007C7CFF"/>
    <w:rsid w:val="007C7E91"/>
    <w:rsid w:val="007C7F71"/>
    <w:rsid w:val="007D001D"/>
    <w:rsid w:val="007D012A"/>
    <w:rsid w:val="007D0196"/>
    <w:rsid w:val="007D052E"/>
    <w:rsid w:val="007D0823"/>
    <w:rsid w:val="007D1585"/>
    <w:rsid w:val="007D16D8"/>
    <w:rsid w:val="007D17D2"/>
    <w:rsid w:val="007D180F"/>
    <w:rsid w:val="007D1DA2"/>
    <w:rsid w:val="007D2016"/>
    <w:rsid w:val="007D23C3"/>
    <w:rsid w:val="007D25CF"/>
    <w:rsid w:val="007D2AF4"/>
    <w:rsid w:val="007D2B7C"/>
    <w:rsid w:val="007D30F0"/>
    <w:rsid w:val="007D3399"/>
    <w:rsid w:val="007D33A5"/>
    <w:rsid w:val="007D3652"/>
    <w:rsid w:val="007D36B3"/>
    <w:rsid w:val="007D3930"/>
    <w:rsid w:val="007D39EA"/>
    <w:rsid w:val="007D3DFE"/>
    <w:rsid w:val="007D42B0"/>
    <w:rsid w:val="007D47DD"/>
    <w:rsid w:val="007D51BC"/>
    <w:rsid w:val="007D5482"/>
    <w:rsid w:val="007D5CA5"/>
    <w:rsid w:val="007D5CBF"/>
    <w:rsid w:val="007D63CB"/>
    <w:rsid w:val="007D677A"/>
    <w:rsid w:val="007D67EA"/>
    <w:rsid w:val="007D6D50"/>
    <w:rsid w:val="007D6E40"/>
    <w:rsid w:val="007D7271"/>
    <w:rsid w:val="007D79BD"/>
    <w:rsid w:val="007D7D40"/>
    <w:rsid w:val="007D7E4A"/>
    <w:rsid w:val="007D7E56"/>
    <w:rsid w:val="007E015A"/>
    <w:rsid w:val="007E060A"/>
    <w:rsid w:val="007E072C"/>
    <w:rsid w:val="007E07E3"/>
    <w:rsid w:val="007E0863"/>
    <w:rsid w:val="007E090B"/>
    <w:rsid w:val="007E0A22"/>
    <w:rsid w:val="007E0BCB"/>
    <w:rsid w:val="007E0C70"/>
    <w:rsid w:val="007E1082"/>
    <w:rsid w:val="007E1216"/>
    <w:rsid w:val="007E1504"/>
    <w:rsid w:val="007E155D"/>
    <w:rsid w:val="007E1733"/>
    <w:rsid w:val="007E1772"/>
    <w:rsid w:val="007E1A3A"/>
    <w:rsid w:val="007E1D07"/>
    <w:rsid w:val="007E1DC3"/>
    <w:rsid w:val="007E265E"/>
    <w:rsid w:val="007E2757"/>
    <w:rsid w:val="007E2EDE"/>
    <w:rsid w:val="007E35BB"/>
    <w:rsid w:val="007E36F4"/>
    <w:rsid w:val="007E3BA8"/>
    <w:rsid w:val="007E3C01"/>
    <w:rsid w:val="007E3D2D"/>
    <w:rsid w:val="007E3F13"/>
    <w:rsid w:val="007E4156"/>
    <w:rsid w:val="007E4328"/>
    <w:rsid w:val="007E459E"/>
    <w:rsid w:val="007E45A0"/>
    <w:rsid w:val="007E4B5E"/>
    <w:rsid w:val="007E5739"/>
    <w:rsid w:val="007E5B2C"/>
    <w:rsid w:val="007E5C1A"/>
    <w:rsid w:val="007E5C3A"/>
    <w:rsid w:val="007E5D7B"/>
    <w:rsid w:val="007E5E0C"/>
    <w:rsid w:val="007E606B"/>
    <w:rsid w:val="007E6234"/>
    <w:rsid w:val="007E6265"/>
    <w:rsid w:val="007E652F"/>
    <w:rsid w:val="007E660E"/>
    <w:rsid w:val="007E66B6"/>
    <w:rsid w:val="007E68F0"/>
    <w:rsid w:val="007E6DD7"/>
    <w:rsid w:val="007E6F61"/>
    <w:rsid w:val="007E7066"/>
    <w:rsid w:val="007E7192"/>
    <w:rsid w:val="007E72BD"/>
    <w:rsid w:val="007E74F1"/>
    <w:rsid w:val="007E7A53"/>
    <w:rsid w:val="007E7CA3"/>
    <w:rsid w:val="007E7E79"/>
    <w:rsid w:val="007F00E8"/>
    <w:rsid w:val="007F012A"/>
    <w:rsid w:val="007F016A"/>
    <w:rsid w:val="007F01D6"/>
    <w:rsid w:val="007F0262"/>
    <w:rsid w:val="007F0451"/>
    <w:rsid w:val="007F04D5"/>
    <w:rsid w:val="007F07F8"/>
    <w:rsid w:val="007F095D"/>
    <w:rsid w:val="007F0D83"/>
    <w:rsid w:val="007F0E6C"/>
    <w:rsid w:val="007F12CB"/>
    <w:rsid w:val="007F131A"/>
    <w:rsid w:val="007F14DB"/>
    <w:rsid w:val="007F189A"/>
    <w:rsid w:val="007F18A6"/>
    <w:rsid w:val="007F19B9"/>
    <w:rsid w:val="007F1A50"/>
    <w:rsid w:val="007F1A57"/>
    <w:rsid w:val="007F1BE1"/>
    <w:rsid w:val="007F1C64"/>
    <w:rsid w:val="007F1F0F"/>
    <w:rsid w:val="007F20C9"/>
    <w:rsid w:val="007F2511"/>
    <w:rsid w:val="007F3022"/>
    <w:rsid w:val="007F34D0"/>
    <w:rsid w:val="007F3564"/>
    <w:rsid w:val="007F3D53"/>
    <w:rsid w:val="007F40A7"/>
    <w:rsid w:val="007F49FF"/>
    <w:rsid w:val="007F4B5D"/>
    <w:rsid w:val="007F4F14"/>
    <w:rsid w:val="007F4FF6"/>
    <w:rsid w:val="007F5181"/>
    <w:rsid w:val="007F5974"/>
    <w:rsid w:val="007F5FAD"/>
    <w:rsid w:val="007F60EE"/>
    <w:rsid w:val="007F6362"/>
    <w:rsid w:val="007F63A2"/>
    <w:rsid w:val="007F64AF"/>
    <w:rsid w:val="007F6587"/>
    <w:rsid w:val="007F65B5"/>
    <w:rsid w:val="007F67A5"/>
    <w:rsid w:val="007F6A0F"/>
    <w:rsid w:val="007F6EBF"/>
    <w:rsid w:val="007F751E"/>
    <w:rsid w:val="007F75D4"/>
    <w:rsid w:val="007F7660"/>
    <w:rsid w:val="007F78C2"/>
    <w:rsid w:val="007F79A3"/>
    <w:rsid w:val="007F79AA"/>
    <w:rsid w:val="007F7C43"/>
    <w:rsid w:val="007F7F2C"/>
    <w:rsid w:val="007F7FE7"/>
    <w:rsid w:val="008002EF"/>
    <w:rsid w:val="00800673"/>
    <w:rsid w:val="00800804"/>
    <w:rsid w:val="00800C9F"/>
    <w:rsid w:val="00800CE0"/>
    <w:rsid w:val="00800D5C"/>
    <w:rsid w:val="00801154"/>
    <w:rsid w:val="0080122A"/>
    <w:rsid w:val="008014A2"/>
    <w:rsid w:val="0080173B"/>
    <w:rsid w:val="00801AF7"/>
    <w:rsid w:val="00801E6B"/>
    <w:rsid w:val="008023BC"/>
    <w:rsid w:val="008023D2"/>
    <w:rsid w:val="008027DE"/>
    <w:rsid w:val="008032B6"/>
    <w:rsid w:val="00803304"/>
    <w:rsid w:val="00803311"/>
    <w:rsid w:val="0080341F"/>
    <w:rsid w:val="00803440"/>
    <w:rsid w:val="0080363A"/>
    <w:rsid w:val="00803642"/>
    <w:rsid w:val="008039CB"/>
    <w:rsid w:val="0080402E"/>
    <w:rsid w:val="00804273"/>
    <w:rsid w:val="00804455"/>
    <w:rsid w:val="008044B9"/>
    <w:rsid w:val="008048B1"/>
    <w:rsid w:val="0080494E"/>
    <w:rsid w:val="00804A92"/>
    <w:rsid w:val="00805A54"/>
    <w:rsid w:val="00805A6E"/>
    <w:rsid w:val="00805ACF"/>
    <w:rsid w:val="00805CBE"/>
    <w:rsid w:val="0080610C"/>
    <w:rsid w:val="00806249"/>
    <w:rsid w:val="008062B3"/>
    <w:rsid w:val="00806377"/>
    <w:rsid w:val="008063DE"/>
    <w:rsid w:val="008065F4"/>
    <w:rsid w:val="0080660D"/>
    <w:rsid w:val="008069D3"/>
    <w:rsid w:val="00806AAA"/>
    <w:rsid w:val="00806CB6"/>
    <w:rsid w:val="00806CF3"/>
    <w:rsid w:val="00806D6D"/>
    <w:rsid w:val="0080714A"/>
    <w:rsid w:val="0080774F"/>
    <w:rsid w:val="008079C4"/>
    <w:rsid w:val="00807A69"/>
    <w:rsid w:val="00807B84"/>
    <w:rsid w:val="00807C7B"/>
    <w:rsid w:val="00810292"/>
    <w:rsid w:val="008102F6"/>
    <w:rsid w:val="00810388"/>
    <w:rsid w:val="0081073F"/>
    <w:rsid w:val="00810B0D"/>
    <w:rsid w:val="00810DF7"/>
    <w:rsid w:val="00810F2D"/>
    <w:rsid w:val="00810F44"/>
    <w:rsid w:val="00811224"/>
    <w:rsid w:val="00811511"/>
    <w:rsid w:val="00811702"/>
    <w:rsid w:val="00811706"/>
    <w:rsid w:val="00811BA6"/>
    <w:rsid w:val="00811F04"/>
    <w:rsid w:val="00812272"/>
    <w:rsid w:val="008123D1"/>
    <w:rsid w:val="008125C3"/>
    <w:rsid w:val="00812768"/>
    <w:rsid w:val="00812988"/>
    <w:rsid w:val="00812A72"/>
    <w:rsid w:val="00812AB5"/>
    <w:rsid w:val="00812BCC"/>
    <w:rsid w:val="00812CC3"/>
    <w:rsid w:val="00812F2A"/>
    <w:rsid w:val="0081311D"/>
    <w:rsid w:val="00813257"/>
    <w:rsid w:val="0081342E"/>
    <w:rsid w:val="008135C6"/>
    <w:rsid w:val="008136F4"/>
    <w:rsid w:val="00813D73"/>
    <w:rsid w:val="00814022"/>
    <w:rsid w:val="008147D0"/>
    <w:rsid w:val="00814905"/>
    <w:rsid w:val="0081511F"/>
    <w:rsid w:val="00815376"/>
    <w:rsid w:val="00815C8A"/>
    <w:rsid w:val="00815EBD"/>
    <w:rsid w:val="00815F99"/>
    <w:rsid w:val="00815FB6"/>
    <w:rsid w:val="00816302"/>
    <w:rsid w:val="008164D2"/>
    <w:rsid w:val="0081668B"/>
    <w:rsid w:val="00816797"/>
    <w:rsid w:val="00816836"/>
    <w:rsid w:val="0081692F"/>
    <w:rsid w:val="00816A0C"/>
    <w:rsid w:val="00816BFF"/>
    <w:rsid w:val="00817012"/>
    <w:rsid w:val="0081705F"/>
    <w:rsid w:val="008172C6"/>
    <w:rsid w:val="00817461"/>
    <w:rsid w:val="00817559"/>
    <w:rsid w:val="00817D1B"/>
    <w:rsid w:val="00817DF0"/>
    <w:rsid w:val="00820181"/>
    <w:rsid w:val="008209AF"/>
    <w:rsid w:val="00820BE8"/>
    <w:rsid w:val="00820C74"/>
    <w:rsid w:val="00820CF1"/>
    <w:rsid w:val="00820DF8"/>
    <w:rsid w:val="00820E49"/>
    <w:rsid w:val="00821022"/>
    <w:rsid w:val="008211EA"/>
    <w:rsid w:val="00821262"/>
    <w:rsid w:val="008214BC"/>
    <w:rsid w:val="0082150E"/>
    <w:rsid w:val="008216A2"/>
    <w:rsid w:val="00821700"/>
    <w:rsid w:val="0082191C"/>
    <w:rsid w:val="00821AB5"/>
    <w:rsid w:val="00821C7D"/>
    <w:rsid w:val="00821F4D"/>
    <w:rsid w:val="008220C8"/>
    <w:rsid w:val="008220DD"/>
    <w:rsid w:val="00822142"/>
    <w:rsid w:val="00822322"/>
    <w:rsid w:val="00822BCD"/>
    <w:rsid w:val="008231CF"/>
    <w:rsid w:val="00823814"/>
    <w:rsid w:val="0082391B"/>
    <w:rsid w:val="00823CD0"/>
    <w:rsid w:val="00824280"/>
    <w:rsid w:val="008242D1"/>
    <w:rsid w:val="0082436C"/>
    <w:rsid w:val="008244FB"/>
    <w:rsid w:val="00824793"/>
    <w:rsid w:val="00824831"/>
    <w:rsid w:val="00824DF5"/>
    <w:rsid w:val="00824EE0"/>
    <w:rsid w:val="008250C2"/>
    <w:rsid w:val="00825774"/>
    <w:rsid w:val="008258E7"/>
    <w:rsid w:val="00825A9C"/>
    <w:rsid w:val="00825D09"/>
    <w:rsid w:val="00825EB7"/>
    <w:rsid w:val="00826040"/>
    <w:rsid w:val="008261A0"/>
    <w:rsid w:val="008261C7"/>
    <w:rsid w:val="00826573"/>
    <w:rsid w:val="008266AA"/>
    <w:rsid w:val="00826ABC"/>
    <w:rsid w:val="008273F5"/>
    <w:rsid w:val="00827634"/>
    <w:rsid w:val="0082782C"/>
    <w:rsid w:val="00827B16"/>
    <w:rsid w:val="00827E20"/>
    <w:rsid w:val="00830770"/>
    <w:rsid w:val="00830A0E"/>
    <w:rsid w:val="00830B7E"/>
    <w:rsid w:val="00830FAD"/>
    <w:rsid w:val="00830FD4"/>
    <w:rsid w:val="008319F3"/>
    <w:rsid w:val="00831A4C"/>
    <w:rsid w:val="0083200C"/>
    <w:rsid w:val="0083296D"/>
    <w:rsid w:val="00832F41"/>
    <w:rsid w:val="00833247"/>
    <w:rsid w:val="0083333F"/>
    <w:rsid w:val="008335B7"/>
    <w:rsid w:val="00833677"/>
    <w:rsid w:val="00833AFD"/>
    <w:rsid w:val="00833CA7"/>
    <w:rsid w:val="00833E06"/>
    <w:rsid w:val="0083403C"/>
    <w:rsid w:val="00834358"/>
    <w:rsid w:val="00834784"/>
    <w:rsid w:val="00834BCF"/>
    <w:rsid w:val="00834C83"/>
    <w:rsid w:val="00834DF3"/>
    <w:rsid w:val="00834F06"/>
    <w:rsid w:val="0083537B"/>
    <w:rsid w:val="00835772"/>
    <w:rsid w:val="00835960"/>
    <w:rsid w:val="00835B82"/>
    <w:rsid w:val="00835DB4"/>
    <w:rsid w:val="00836183"/>
    <w:rsid w:val="0083622A"/>
    <w:rsid w:val="0083669E"/>
    <w:rsid w:val="0083675F"/>
    <w:rsid w:val="008371BD"/>
    <w:rsid w:val="0083731E"/>
    <w:rsid w:val="008376D6"/>
    <w:rsid w:val="008376EA"/>
    <w:rsid w:val="00837A42"/>
    <w:rsid w:val="00837ABE"/>
    <w:rsid w:val="00837FC7"/>
    <w:rsid w:val="00837FE2"/>
    <w:rsid w:val="0083CDEC"/>
    <w:rsid w:val="008402C5"/>
    <w:rsid w:val="008402EF"/>
    <w:rsid w:val="00840535"/>
    <w:rsid w:val="0084077E"/>
    <w:rsid w:val="008407C5"/>
    <w:rsid w:val="00840839"/>
    <w:rsid w:val="00840C64"/>
    <w:rsid w:val="00840E51"/>
    <w:rsid w:val="0084150B"/>
    <w:rsid w:val="00841607"/>
    <w:rsid w:val="00841759"/>
    <w:rsid w:val="00841BB7"/>
    <w:rsid w:val="008421A8"/>
    <w:rsid w:val="008421B1"/>
    <w:rsid w:val="00842760"/>
    <w:rsid w:val="00843234"/>
    <w:rsid w:val="0084329B"/>
    <w:rsid w:val="0084377E"/>
    <w:rsid w:val="00843A3C"/>
    <w:rsid w:val="00843BFD"/>
    <w:rsid w:val="00843EED"/>
    <w:rsid w:val="00844092"/>
    <w:rsid w:val="00844195"/>
    <w:rsid w:val="0084433C"/>
    <w:rsid w:val="0084471D"/>
    <w:rsid w:val="00844778"/>
    <w:rsid w:val="00844C79"/>
    <w:rsid w:val="00844D3F"/>
    <w:rsid w:val="00844F2B"/>
    <w:rsid w:val="008450AE"/>
    <w:rsid w:val="00845237"/>
    <w:rsid w:val="00845368"/>
    <w:rsid w:val="00845419"/>
    <w:rsid w:val="008459C3"/>
    <w:rsid w:val="00845C8A"/>
    <w:rsid w:val="00845F39"/>
    <w:rsid w:val="008461CA"/>
    <w:rsid w:val="0084631D"/>
    <w:rsid w:val="008467D2"/>
    <w:rsid w:val="008468C8"/>
    <w:rsid w:val="008469A3"/>
    <w:rsid w:val="0084712C"/>
    <w:rsid w:val="008475B6"/>
    <w:rsid w:val="008477A8"/>
    <w:rsid w:val="00847C41"/>
    <w:rsid w:val="00847DAC"/>
    <w:rsid w:val="00847F36"/>
    <w:rsid w:val="0085010F"/>
    <w:rsid w:val="008505C7"/>
    <w:rsid w:val="0085060E"/>
    <w:rsid w:val="00850C38"/>
    <w:rsid w:val="00850FD1"/>
    <w:rsid w:val="00851188"/>
    <w:rsid w:val="008513EE"/>
    <w:rsid w:val="00851661"/>
    <w:rsid w:val="00851BBF"/>
    <w:rsid w:val="00851DB0"/>
    <w:rsid w:val="00852125"/>
    <w:rsid w:val="0085235F"/>
    <w:rsid w:val="008523E7"/>
    <w:rsid w:val="00852B8B"/>
    <w:rsid w:val="00852C3E"/>
    <w:rsid w:val="00852DEC"/>
    <w:rsid w:val="00853040"/>
    <w:rsid w:val="00853B84"/>
    <w:rsid w:val="00853CAE"/>
    <w:rsid w:val="00853EDC"/>
    <w:rsid w:val="00854280"/>
    <w:rsid w:val="00854373"/>
    <w:rsid w:val="008544B2"/>
    <w:rsid w:val="00854E0A"/>
    <w:rsid w:val="008557A5"/>
    <w:rsid w:val="0085592C"/>
    <w:rsid w:val="00855C1B"/>
    <w:rsid w:val="00855CFA"/>
    <w:rsid w:val="00855F00"/>
    <w:rsid w:val="00855F6F"/>
    <w:rsid w:val="00855FE4"/>
    <w:rsid w:val="00855FEC"/>
    <w:rsid w:val="00856296"/>
    <w:rsid w:val="008565A1"/>
    <w:rsid w:val="00856A3A"/>
    <w:rsid w:val="00856ACA"/>
    <w:rsid w:val="00856B8A"/>
    <w:rsid w:val="00856CB5"/>
    <w:rsid w:val="00856FEA"/>
    <w:rsid w:val="008579E3"/>
    <w:rsid w:val="00857BA6"/>
    <w:rsid w:val="00857DD3"/>
    <w:rsid w:val="00857E3B"/>
    <w:rsid w:val="008606C6"/>
    <w:rsid w:val="008606CE"/>
    <w:rsid w:val="008609BC"/>
    <w:rsid w:val="00860E1E"/>
    <w:rsid w:val="00860E4D"/>
    <w:rsid w:val="008612B3"/>
    <w:rsid w:val="00861AED"/>
    <w:rsid w:val="00861B54"/>
    <w:rsid w:val="0086211D"/>
    <w:rsid w:val="008622CF"/>
    <w:rsid w:val="00862A03"/>
    <w:rsid w:val="00862DEE"/>
    <w:rsid w:val="0086327A"/>
    <w:rsid w:val="008632F1"/>
    <w:rsid w:val="008633A0"/>
    <w:rsid w:val="008639A8"/>
    <w:rsid w:val="0086417C"/>
    <w:rsid w:val="00864A42"/>
    <w:rsid w:val="00865127"/>
    <w:rsid w:val="00865219"/>
    <w:rsid w:val="00865485"/>
    <w:rsid w:val="0086562A"/>
    <w:rsid w:val="008656C5"/>
    <w:rsid w:val="00865A0A"/>
    <w:rsid w:val="00865A2E"/>
    <w:rsid w:val="00865A84"/>
    <w:rsid w:val="00865C9C"/>
    <w:rsid w:val="00865CD6"/>
    <w:rsid w:val="00865D5B"/>
    <w:rsid w:val="008662AC"/>
    <w:rsid w:val="008669D5"/>
    <w:rsid w:val="00866BC6"/>
    <w:rsid w:val="00866BD4"/>
    <w:rsid w:val="008676FC"/>
    <w:rsid w:val="008678DB"/>
    <w:rsid w:val="008679FA"/>
    <w:rsid w:val="00867B35"/>
    <w:rsid w:val="00867E1E"/>
    <w:rsid w:val="00870285"/>
    <w:rsid w:val="00870563"/>
    <w:rsid w:val="008705E2"/>
    <w:rsid w:val="00870C14"/>
    <w:rsid w:val="00870E3B"/>
    <w:rsid w:val="008713EF"/>
    <w:rsid w:val="00871434"/>
    <w:rsid w:val="00871807"/>
    <w:rsid w:val="0087185C"/>
    <w:rsid w:val="008718D5"/>
    <w:rsid w:val="008718D9"/>
    <w:rsid w:val="00871C34"/>
    <w:rsid w:val="00871F3B"/>
    <w:rsid w:val="00872100"/>
    <w:rsid w:val="0087219A"/>
    <w:rsid w:val="008725BD"/>
    <w:rsid w:val="008729EF"/>
    <w:rsid w:val="00872AAB"/>
    <w:rsid w:val="00872CF2"/>
    <w:rsid w:val="00872CF9"/>
    <w:rsid w:val="00872D01"/>
    <w:rsid w:val="00872D21"/>
    <w:rsid w:val="00873310"/>
    <w:rsid w:val="008735DC"/>
    <w:rsid w:val="00873686"/>
    <w:rsid w:val="0087398B"/>
    <w:rsid w:val="00873A41"/>
    <w:rsid w:val="00873BC0"/>
    <w:rsid w:val="00873D40"/>
    <w:rsid w:val="00873DE1"/>
    <w:rsid w:val="00873E34"/>
    <w:rsid w:val="0087409A"/>
    <w:rsid w:val="008740B8"/>
    <w:rsid w:val="0087428D"/>
    <w:rsid w:val="00874431"/>
    <w:rsid w:val="00874568"/>
    <w:rsid w:val="00874C51"/>
    <w:rsid w:val="00874CDD"/>
    <w:rsid w:val="008759A2"/>
    <w:rsid w:val="00875BDB"/>
    <w:rsid w:val="008763FF"/>
    <w:rsid w:val="00876B66"/>
    <w:rsid w:val="008771E2"/>
    <w:rsid w:val="0087793B"/>
    <w:rsid w:val="00877AEC"/>
    <w:rsid w:val="00877E5C"/>
    <w:rsid w:val="00877F9A"/>
    <w:rsid w:val="0088014D"/>
    <w:rsid w:val="00880384"/>
    <w:rsid w:val="008809A9"/>
    <w:rsid w:val="00880C76"/>
    <w:rsid w:val="00880F00"/>
    <w:rsid w:val="008816CB"/>
    <w:rsid w:val="00881B45"/>
    <w:rsid w:val="00881C3A"/>
    <w:rsid w:val="00881FDC"/>
    <w:rsid w:val="008822B2"/>
    <w:rsid w:val="0088259A"/>
    <w:rsid w:val="00882678"/>
    <w:rsid w:val="00883461"/>
    <w:rsid w:val="008835DF"/>
    <w:rsid w:val="0088380F"/>
    <w:rsid w:val="0088387B"/>
    <w:rsid w:val="0088395D"/>
    <w:rsid w:val="008839DD"/>
    <w:rsid w:val="00883D12"/>
    <w:rsid w:val="0088435D"/>
    <w:rsid w:val="008847F6"/>
    <w:rsid w:val="008848D1"/>
    <w:rsid w:val="0088499C"/>
    <w:rsid w:val="00884A94"/>
    <w:rsid w:val="00884BA1"/>
    <w:rsid w:val="00885071"/>
    <w:rsid w:val="00885675"/>
    <w:rsid w:val="008856AC"/>
    <w:rsid w:val="008856B2"/>
    <w:rsid w:val="008858DF"/>
    <w:rsid w:val="008860C8"/>
    <w:rsid w:val="00886198"/>
    <w:rsid w:val="0088632F"/>
    <w:rsid w:val="008865A4"/>
    <w:rsid w:val="008865F6"/>
    <w:rsid w:val="00886AD6"/>
    <w:rsid w:val="00886CAB"/>
    <w:rsid w:val="00886F69"/>
    <w:rsid w:val="00886FA9"/>
    <w:rsid w:val="0088706C"/>
    <w:rsid w:val="00887136"/>
    <w:rsid w:val="008871BD"/>
    <w:rsid w:val="0088720F"/>
    <w:rsid w:val="008872B9"/>
    <w:rsid w:val="00887320"/>
    <w:rsid w:val="008873D4"/>
    <w:rsid w:val="0088763C"/>
    <w:rsid w:val="00887A75"/>
    <w:rsid w:val="00887AA7"/>
    <w:rsid w:val="00887E52"/>
    <w:rsid w:val="008900C8"/>
    <w:rsid w:val="00890593"/>
    <w:rsid w:val="008905FE"/>
    <w:rsid w:val="00890981"/>
    <w:rsid w:val="008909EA"/>
    <w:rsid w:val="00890A48"/>
    <w:rsid w:val="00890DF2"/>
    <w:rsid w:val="00890FAE"/>
    <w:rsid w:val="00891016"/>
    <w:rsid w:val="00891142"/>
    <w:rsid w:val="00891AAE"/>
    <w:rsid w:val="00891AD4"/>
    <w:rsid w:val="00891C41"/>
    <w:rsid w:val="00891D1D"/>
    <w:rsid w:val="00891F62"/>
    <w:rsid w:val="0089224A"/>
    <w:rsid w:val="008922C8"/>
    <w:rsid w:val="00892433"/>
    <w:rsid w:val="00892602"/>
    <w:rsid w:val="00892880"/>
    <w:rsid w:val="00892FA7"/>
    <w:rsid w:val="00893008"/>
    <w:rsid w:val="008935B3"/>
    <w:rsid w:val="00893610"/>
    <w:rsid w:val="008939C2"/>
    <w:rsid w:val="00893DB4"/>
    <w:rsid w:val="00894143"/>
    <w:rsid w:val="008942A2"/>
    <w:rsid w:val="0089499C"/>
    <w:rsid w:val="00894E30"/>
    <w:rsid w:val="00894E41"/>
    <w:rsid w:val="00894FCA"/>
    <w:rsid w:val="00895183"/>
    <w:rsid w:val="008952B1"/>
    <w:rsid w:val="00895318"/>
    <w:rsid w:val="008953E1"/>
    <w:rsid w:val="0089588C"/>
    <w:rsid w:val="00896161"/>
    <w:rsid w:val="0089639E"/>
    <w:rsid w:val="008965AE"/>
    <w:rsid w:val="008967AA"/>
    <w:rsid w:val="0089685B"/>
    <w:rsid w:val="00896A82"/>
    <w:rsid w:val="00896FFB"/>
    <w:rsid w:val="00897001"/>
    <w:rsid w:val="00897220"/>
    <w:rsid w:val="008973F9"/>
    <w:rsid w:val="00897446"/>
    <w:rsid w:val="0089744F"/>
    <w:rsid w:val="00897756"/>
    <w:rsid w:val="0089796E"/>
    <w:rsid w:val="008A00B2"/>
    <w:rsid w:val="008A02DB"/>
    <w:rsid w:val="008A054D"/>
    <w:rsid w:val="008A084B"/>
    <w:rsid w:val="008A08C0"/>
    <w:rsid w:val="008A191A"/>
    <w:rsid w:val="008A1A3C"/>
    <w:rsid w:val="008A1BF3"/>
    <w:rsid w:val="008A21F7"/>
    <w:rsid w:val="008A2385"/>
    <w:rsid w:val="008A28EE"/>
    <w:rsid w:val="008A2C40"/>
    <w:rsid w:val="008A3061"/>
    <w:rsid w:val="008A31A5"/>
    <w:rsid w:val="008A38B1"/>
    <w:rsid w:val="008A3B13"/>
    <w:rsid w:val="008A3F0B"/>
    <w:rsid w:val="008A422E"/>
    <w:rsid w:val="008A4382"/>
    <w:rsid w:val="008A477E"/>
    <w:rsid w:val="008A4CEC"/>
    <w:rsid w:val="008A4D96"/>
    <w:rsid w:val="008A52A4"/>
    <w:rsid w:val="008A52EC"/>
    <w:rsid w:val="008A57DA"/>
    <w:rsid w:val="008A6003"/>
    <w:rsid w:val="008A605F"/>
    <w:rsid w:val="008A61AA"/>
    <w:rsid w:val="008A62B1"/>
    <w:rsid w:val="008A69FB"/>
    <w:rsid w:val="008A6AE1"/>
    <w:rsid w:val="008A6AF4"/>
    <w:rsid w:val="008A6BE2"/>
    <w:rsid w:val="008A7072"/>
    <w:rsid w:val="008A70F3"/>
    <w:rsid w:val="008A7144"/>
    <w:rsid w:val="008A7153"/>
    <w:rsid w:val="008A7292"/>
    <w:rsid w:val="008A7734"/>
    <w:rsid w:val="008A7972"/>
    <w:rsid w:val="008A7C5A"/>
    <w:rsid w:val="008B019A"/>
    <w:rsid w:val="008B02B7"/>
    <w:rsid w:val="008B07BD"/>
    <w:rsid w:val="008B0828"/>
    <w:rsid w:val="008B0ACD"/>
    <w:rsid w:val="008B0E17"/>
    <w:rsid w:val="008B1142"/>
    <w:rsid w:val="008B1312"/>
    <w:rsid w:val="008B136B"/>
    <w:rsid w:val="008B16F1"/>
    <w:rsid w:val="008B1732"/>
    <w:rsid w:val="008B18B7"/>
    <w:rsid w:val="008B1916"/>
    <w:rsid w:val="008B1B7B"/>
    <w:rsid w:val="008B1F7D"/>
    <w:rsid w:val="008B27DE"/>
    <w:rsid w:val="008B326E"/>
    <w:rsid w:val="008B35DF"/>
    <w:rsid w:val="008B3B72"/>
    <w:rsid w:val="008B3E87"/>
    <w:rsid w:val="008B3F10"/>
    <w:rsid w:val="008B4534"/>
    <w:rsid w:val="008B462A"/>
    <w:rsid w:val="008B48C2"/>
    <w:rsid w:val="008B5589"/>
    <w:rsid w:val="008B5D1C"/>
    <w:rsid w:val="008B5D84"/>
    <w:rsid w:val="008B606D"/>
    <w:rsid w:val="008B6191"/>
    <w:rsid w:val="008B65EE"/>
    <w:rsid w:val="008B682F"/>
    <w:rsid w:val="008B68E8"/>
    <w:rsid w:val="008B6BBE"/>
    <w:rsid w:val="008B6BFD"/>
    <w:rsid w:val="008B6F35"/>
    <w:rsid w:val="008B6F49"/>
    <w:rsid w:val="008B6F69"/>
    <w:rsid w:val="008B6F9C"/>
    <w:rsid w:val="008B72DB"/>
    <w:rsid w:val="008B7431"/>
    <w:rsid w:val="008B76E6"/>
    <w:rsid w:val="008B7903"/>
    <w:rsid w:val="008C0297"/>
    <w:rsid w:val="008C061F"/>
    <w:rsid w:val="008C0A70"/>
    <w:rsid w:val="008C0BAF"/>
    <w:rsid w:val="008C0E05"/>
    <w:rsid w:val="008C0E57"/>
    <w:rsid w:val="008C1541"/>
    <w:rsid w:val="008C1ED0"/>
    <w:rsid w:val="008C2450"/>
    <w:rsid w:val="008C2556"/>
    <w:rsid w:val="008C25A3"/>
    <w:rsid w:val="008C2929"/>
    <w:rsid w:val="008C2B3C"/>
    <w:rsid w:val="008C2E22"/>
    <w:rsid w:val="008C2F02"/>
    <w:rsid w:val="008C309B"/>
    <w:rsid w:val="008C311E"/>
    <w:rsid w:val="008C3CF3"/>
    <w:rsid w:val="008C3E80"/>
    <w:rsid w:val="008C3ECB"/>
    <w:rsid w:val="008C41CF"/>
    <w:rsid w:val="008C43B1"/>
    <w:rsid w:val="008C477F"/>
    <w:rsid w:val="008C4C24"/>
    <w:rsid w:val="008C51EE"/>
    <w:rsid w:val="008C52D2"/>
    <w:rsid w:val="008C53A3"/>
    <w:rsid w:val="008C6293"/>
    <w:rsid w:val="008C6CF3"/>
    <w:rsid w:val="008C6FEA"/>
    <w:rsid w:val="008C7244"/>
    <w:rsid w:val="008C727F"/>
    <w:rsid w:val="008C7348"/>
    <w:rsid w:val="008C748D"/>
    <w:rsid w:val="008C7523"/>
    <w:rsid w:val="008C75EA"/>
    <w:rsid w:val="008C7705"/>
    <w:rsid w:val="008C78BB"/>
    <w:rsid w:val="008C7CF8"/>
    <w:rsid w:val="008C7D17"/>
    <w:rsid w:val="008C7E1F"/>
    <w:rsid w:val="008C7EB2"/>
    <w:rsid w:val="008D0498"/>
    <w:rsid w:val="008D05DC"/>
    <w:rsid w:val="008D06B2"/>
    <w:rsid w:val="008D06FF"/>
    <w:rsid w:val="008D0A09"/>
    <w:rsid w:val="008D0C76"/>
    <w:rsid w:val="008D0D82"/>
    <w:rsid w:val="008D11FC"/>
    <w:rsid w:val="008D12C7"/>
    <w:rsid w:val="008D1959"/>
    <w:rsid w:val="008D1A20"/>
    <w:rsid w:val="008D1C35"/>
    <w:rsid w:val="008D24F8"/>
    <w:rsid w:val="008D2570"/>
    <w:rsid w:val="008D26B4"/>
    <w:rsid w:val="008D2808"/>
    <w:rsid w:val="008D2AE5"/>
    <w:rsid w:val="008D2B9C"/>
    <w:rsid w:val="008D2DBD"/>
    <w:rsid w:val="008D3165"/>
    <w:rsid w:val="008D35B9"/>
    <w:rsid w:val="008D37B6"/>
    <w:rsid w:val="008D393C"/>
    <w:rsid w:val="008D3B25"/>
    <w:rsid w:val="008D3CD0"/>
    <w:rsid w:val="008D3D01"/>
    <w:rsid w:val="008D3D11"/>
    <w:rsid w:val="008D3DF5"/>
    <w:rsid w:val="008D48C2"/>
    <w:rsid w:val="008D4927"/>
    <w:rsid w:val="008D49A4"/>
    <w:rsid w:val="008D4B73"/>
    <w:rsid w:val="008D4BFC"/>
    <w:rsid w:val="008D4C56"/>
    <w:rsid w:val="008D4CAA"/>
    <w:rsid w:val="008D52C5"/>
    <w:rsid w:val="008D5B65"/>
    <w:rsid w:val="008D5D8B"/>
    <w:rsid w:val="008D61F6"/>
    <w:rsid w:val="008D663A"/>
    <w:rsid w:val="008D6666"/>
    <w:rsid w:val="008D6798"/>
    <w:rsid w:val="008D6807"/>
    <w:rsid w:val="008D6982"/>
    <w:rsid w:val="008D69EF"/>
    <w:rsid w:val="008D6BE3"/>
    <w:rsid w:val="008D6CCE"/>
    <w:rsid w:val="008D6F31"/>
    <w:rsid w:val="008D6F4E"/>
    <w:rsid w:val="008D7249"/>
    <w:rsid w:val="008D72A5"/>
    <w:rsid w:val="008D73D3"/>
    <w:rsid w:val="008D73FE"/>
    <w:rsid w:val="008D7472"/>
    <w:rsid w:val="008D77A7"/>
    <w:rsid w:val="008D7894"/>
    <w:rsid w:val="008D7B2D"/>
    <w:rsid w:val="008E0388"/>
    <w:rsid w:val="008E04DC"/>
    <w:rsid w:val="008E09B9"/>
    <w:rsid w:val="008E0A7B"/>
    <w:rsid w:val="008E0B39"/>
    <w:rsid w:val="008E104B"/>
    <w:rsid w:val="008E1211"/>
    <w:rsid w:val="008E12DD"/>
    <w:rsid w:val="008E12FE"/>
    <w:rsid w:val="008E1ABC"/>
    <w:rsid w:val="008E1B9C"/>
    <w:rsid w:val="008E262A"/>
    <w:rsid w:val="008E26C8"/>
    <w:rsid w:val="008E28A6"/>
    <w:rsid w:val="008E2AB8"/>
    <w:rsid w:val="008E2B2C"/>
    <w:rsid w:val="008E2C15"/>
    <w:rsid w:val="008E2C51"/>
    <w:rsid w:val="008E2CF4"/>
    <w:rsid w:val="008E2DAB"/>
    <w:rsid w:val="008E31C6"/>
    <w:rsid w:val="008E348B"/>
    <w:rsid w:val="008E3549"/>
    <w:rsid w:val="008E3994"/>
    <w:rsid w:val="008E3A1F"/>
    <w:rsid w:val="008E3B7C"/>
    <w:rsid w:val="008E3D4E"/>
    <w:rsid w:val="008E3DA4"/>
    <w:rsid w:val="008E3E2D"/>
    <w:rsid w:val="008E4279"/>
    <w:rsid w:val="008E4481"/>
    <w:rsid w:val="008E481D"/>
    <w:rsid w:val="008E4AD4"/>
    <w:rsid w:val="008E4E0A"/>
    <w:rsid w:val="008E4E63"/>
    <w:rsid w:val="008E50F5"/>
    <w:rsid w:val="008E5519"/>
    <w:rsid w:val="008E577C"/>
    <w:rsid w:val="008E585A"/>
    <w:rsid w:val="008E5A48"/>
    <w:rsid w:val="008E5A8F"/>
    <w:rsid w:val="008E5B2E"/>
    <w:rsid w:val="008E5DEB"/>
    <w:rsid w:val="008E61B3"/>
    <w:rsid w:val="008E6594"/>
    <w:rsid w:val="008E68C3"/>
    <w:rsid w:val="008E6BB5"/>
    <w:rsid w:val="008E6D9E"/>
    <w:rsid w:val="008E6F1E"/>
    <w:rsid w:val="008E6F66"/>
    <w:rsid w:val="008E722C"/>
    <w:rsid w:val="008E72BB"/>
    <w:rsid w:val="008E73A0"/>
    <w:rsid w:val="008E74E4"/>
    <w:rsid w:val="008E76C7"/>
    <w:rsid w:val="008E7B05"/>
    <w:rsid w:val="008E7B75"/>
    <w:rsid w:val="008E7C18"/>
    <w:rsid w:val="008E7DAE"/>
    <w:rsid w:val="008E7DC3"/>
    <w:rsid w:val="008E7E5D"/>
    <w:rsid w:val="008F08B9"/>
    <w:rsid w:val="008F08CD"/>
    <w:rsid w:val="008F08FD"/>
    <w:rsid w:val="008F09C4"/>
    <w:rsid w:val="008F09D8"/>
    <w:rsid w:val="008F0A17"/>
    <w:rsid w:val="008F0AF8"/>
    <w:rsid w:val="008F0C56"/>
    <w:rsid w:val="008F1086"/>
    <w:rsid w:val="008F11E7"/>
    <w:rsid w:val="008F1494"/>
    <w:rsid w:val="008F14C7"/>
    <w:rsid w:val="008F1758"/>
    <w:rsid w:val="008F19B1"/>
    <w:rsid w:val="008F1CC6"/>
    <w:rsid w:val="008F1DDF"/>
    <w:rsid w:val="008F1F19"/>
    <w:rsid w:val="008F1F6C"/>
    <w:rsid w:val="008F2159"/>
    <w:rsid w:val="008F219B"/>
    <w:rsid w:val="008F2449"/>
    <w:rsid w:val="008F27EC"/>
    <w:rsid w:val="008F298F"/>
    <w:rsid w:val="008F2A1A"/>
    <w:rsid w:val="008F2B3E"/>
    <w:rsid w:val="008F2D5A"/>
    <w:rsid w:val="008F30D5"/>
    <w:rsid w:val="008F32C5"/>
    <w:rsid w:val="008F32E0"/>
    <w:rsid w:val="008F34B1"/>
    <w:rsid w:val="008F4041"/>
    <w:rsid w:val="008F438F"/>
    <w:rsid w:val="008F43BE"/>
    <w:rsid w:val="008F4A9E"/>
    <w:rsid w:val="008F4D55"/>
    <w:rsid w:val="008F4E27"/>
    <w:rsid w:val="008F5217"/>
    <w:rsid w:val="008F56E4"/>
    <w:rsid w:val="008F59B1"/>
    <w:rsid w:val="008F5B5E"/>
    <w:rsid w:val="008F617D"/>
    <w:rsid w:val="008F6322"/>
    <w:rsid w:val="008F6794"/>
    <w:rsid w:val="008F67A0"/>
    <w:rsid w:val="008F686F"/>
    <w:rsid w:val="008F6D82"/>
    <w:rsid w:val="008F6DDF"/>
    <w:rsid w:val="008F73AD"/>
    <w:rsid w:val="008F792B"/>
    <w:rsid w:val="008F7CF7"/>
    <w:rsid w:val="008F7EF6"/>
    <w:rsid w:val="008F7F11"/>
    <w:rsid w:val="008F7F3F"/>
    <w:rsid w:val="008F7FF7"/>
    <w:rsid w:val="0090017E"/>
    <w:rsid w:val="0090026D"/>
    <w:rsid w:val="00900636"/>
    <w:rsid w:val="0090157A"/>
    <w:rsid w:val="00901A89"/>
    <w:rsid w:val="00901F0A"/>
    <w:rsid w:val="009023B0"/>
    <w:rsid w:val="00902423"/>
    <w:rsid w:val="009024C2"/>
    <w:rsid w:val="00902A58"/>
    <w:rsid w:val="00902CE1"/>
    <w:rsid w:val="00902F84"/>
    <w:rsid w:val="00903A83"/>
    <w:rsid w:val="00903F3D"/>
    <w:rsid w:val="009040F6"/>
    <w:rsid w:val="00904324"/>
    <w:rsid w:val="00904512"/>
    <w:rsid w:val="0090453F"/>
    <w:rsid w:val="00904653"/>
    <w:rsid w:val="00904CA2"/>
    <w:rsid w:val="00905202"/>
    <w:rsid w:val="00905623"/>
    <w:rsid w:val="00905735"/>
    <w:rsid w:val="009058BF"/>
    <w:rsid w:val="00905AAC"/>
    <w:rsid w:val="00905B5D"/>
    <w:rsid w:val="00905C63"/>
    <w:rsid w:val="00905C67"/>
    <w:rsid w:val="00906260"/>
    <w:rsid w:val="0090629E"/>
    <w:rsid w:val="009062C6"/>
    <w:rsid w:val="0090633D"/>
    <w:rsid w:val="009063EC"/>
    <w:rsid w:val="00906A07"/>
    <w:rsid w:val="00906BCF"/>
    <w:rsid w:val="0090704A"/>
    <w:rsid w:val="009075AF"/>
    <w:rsid w:val="0090791C"/>
    <w:rsid w:val="00907BAE"/>
    <w:rsid w:val="00907C03"/>
    <w:rsid w:val="00907CDE"/>
    <w:rsid w:val="00910120"/>
    <w:rsid w:val="00910224"/>
    <w:rsid w:val="0091079A"/>
    <w:rsid w:val="009108AB"/>
    <w:rsid w:val="00910932"/>
    <w:rsid w:val="00910EA5"/>
    <w:rsid w:val="00910EB3"/>
    <w:rsid w:val="00910EC4"/>
    <w:rsid w:val="00910F93"/>
    <w:rsid w:val="009110FA"/>
    <w:rsid w:val="009113B8"/>
    <w:rsid w:val="009113EC"/>
    <w:rsid w:val="00911494"/>
    <w:rsid w:val="00911A4A"/>
    <w:rsid w:val="00911BF7"/>
    <w:rsid w:val="009122FA"/>
    <w:rsid w:val="009123E4"/>
    <w:rsid w:val="00912501"/>
    <w:rsid w:val="009125F0"/>
    <w:rsid w:val="00912FE8"/>
    <w:rsid w:val="009132C4"/>
    <w:rsid w:val="009137A6"/>
    <w:rsid w:val="00913B75"/>
    <w:rsid w:val="00913D85"/>
    <w:rsid w:val="0091411B"/>
    <w:rsid w:val="00914173"/>
    <w:rsid w:val="00914319"/>
    <w:rsid w:val="00914489"/>
    <w:rsid w:val="009144E9"/>
    <w:rsid w:val="00914B78"/>
    <w:rsid w:val="00914C33"/>
    <w:rsid w:val="00914FA9"/>
    <w:rsid w:val="0091522C"/>
    <w:rsid w:val="009152E4"/>
    <w:rsid w:val="0091533F"/>
    <w:rsid w:val="009159D7"/>
    <w:rsid w:val="00915C6E"/>
    <w:rsid w:val="00915CBF"/>
    <w:rsid w:val="00915D5D"/>
    <w:rsid w:val="00915D88"/>
    <w:rsid w:val="00915FF0"/>
    <w:rsid w:val="00916064"/>
    <w:rsid w:val="00916370"/>
    <w:rsid w:val="00916525"/>
    <w:rsid w:val="00916931"/>
    <w:rsid w:val="00916B9A"/>
    <w:rsid w:val="00916EBD"/>
    <w:rsid w:val="00916EC4"/>
    <w:rsid w:val="009171C1"/>
    <w:rsid w:val="00917481"/>
    <w:rsid w:val="00917C10"/>
    <w:rsid w:val="00917E02"/>
    <w:rsid w:val="0092017F"/>
    <w:rsid w:val="00920850"/>
    <w:rsid w:val="00920AAF"/>
    <w:rsid w:val="00920CAC"/>
    <w:rsid w:val="00920E86"/>
    <w:rsid w:val="00920FB1"/>
    <w:rsid w:val="00921111"/>
    <w:rsid w:val="0092122F"/>
    <w:rsid w:val="009214E8"/>
    <w:rsid w:val="009216CA"/>
    <w:rsid w:val="009217A6"/>
    <w:rsid w:val="009218A8"/>
    <w:rsid w:val="00921963"/>
    <w:rsid w:val="00921AB4"/>
    <w:rsid w:val="00921F00"/>
    <w:rsid w:val="009220F4"/>
    <w:rsid w:val="0092257D"/>
    <w:rsid w:val="0092258A"/>
    <w:rsid w:val="00922777"/>
    <w:rsid w:val="00922BB5"/>
    <w:rsid w:val="00923180"/>
    <w:rsid w:val="009234CC"/>
    <w:rsid w:val="0092356F"/>
    <w:rsid w:val="00923C96"/>
    <w:rsid w:val="00923E1F"/>
    <w:rsid w:val="00923FB1"/>
    <w:rsid w:val="009240F8"/>
    <w:rsid w:val="009247A6"/>
    <w:rsid w:val="00924BB6"/>
    <w:rsid w:val="00925182"/>
    <w:rsid w:val="00925344"/>
    <w:rsid w:val="00925906"/>
    <w:rsid w:val="00925913"/>
    <w:rsid w:val="009261F9"/>
    <w:rsid w:val="00926211"/>
    <w:rsid w:val="0092662B"/>
    <w:rsid w:val="009267AD"/>
    <w:rsid w:val="00926AA5"/>
    <w:rsid w:val="00926CA9"/>
    <w:rsid w:val="009272A4"/>
    <w:rsid w:val="0092792F"/>
    <w:rsid w:val="00927964"/>
    <w:rsid w:val="00927A04"/>
    <w:rsid w:val="00930134"/>
    <w:rsid w:val="00930198"/>
    <w:rsid w:val="00930CEA"/>
    <w:rsid w:val="00930D6E"/>
    <w:rsid w:val="00930E7F"/>
    <w:rsid w:val="0093101F"/>
    <w:rsid w:val="0093131A"/>
    <w:rsid w:val="009316A6"/>
    <w:rsid w:val="00931829"/>
    <w:rsid w:val="00931BDA"/>
    <w:rsid w:val="00931BFC"/>
    <w:rsid w:val="00931E93"/>
    <w:rsid w:val="00931EC5"/>
    <w:rsid w:val="009321BA"/>
    <w:rsid w:val="0093263E"/>
    <w:rsid w:val="0093291E"/>
    <w:rsid w:val="009329CB"/>
    <w:rsid w:val="00932C17"/>
    <w:rsid w:val="00932D1F"/>
    <w:rsid w:val="0093306F"/>
    <w:rsid w:val="009331D9"/>
    <w:rsid w:val="00933760"/>
    <w:rsid w:val="00933771"/>
    <w:rsid w:val="009338BF"/>
    <w:rsid w:val="00933CD6"/>
    <w:rsid w:val="009340AA"/>
    <w:rsid w:val="009340E0"/>
    <w:rsid w:val="0093466C"/>
    <w:rsid w:val="00934A8D"/>
    <w:rsid w:val="00935084"/>
    <w:rsid w:val="009350C9"/>
    <w:rsid w:val="009355C8"/>
    <w:rsid w:val="0093563E"/>
    <w:rsid w:val="00935B0C"/>
    <w:rsid w:val="00935C2B"/>
    <w:rsid w:val="00935D34"/>
    <w:rsid w:val="00936285"/>
    <w:rsid w:val="009362B5"/>
    <w:rsid w:val="009364EC"/>
    <w:rsid w:val="00936622"/>
    <w:rsid w:val="00936669"/>
    <w:rsid w:val="00936762"/>
    <w:rsid w:val="009368ED"/>
    <w:rsid w:val="00936A2A"/>
    <w:rsid w:val="00936E96"/>
    <w:rsid w:val="00937078"/>
    <w:rsid w:val="009373EF"/>
    <w:rsid w:val="009374CE"/>
    <w:rsid w:val="00937897"/>
    <w:rsid w:val="00937A80"/>
    <w:rsid w:val="00937A96"/>
    <w:rsid w:val="00937ACE"/>
    <w:rsid w:val="00937C28"/>
    <w:rsid w:val="00937D63"/>
    <w:rsid w:val="00940239"/>
    <w:rsid w:val="009402AB"/>
    <w:rsid w:val="00940316"/>
    <w:rsid w:val="009406BC"/>
    <w:rsid w:val="00940700"/>
    <w:rsid w:val="00940778"/>
    <w:rsid w:val="00940943"/>
    <w:rsid w:val="00940A18"/>
    <w:rsid w:val="00940F00"/>
    <w:rsid w:val="009411B8"/>
    <w:rsid w:val="00941504"/>
    <w:rsid w:val="00941648"/>
    <w:rsid w:val="009417C9"/>
    <w:rsid w:val="00941890"/>
    <w:rsid w:val="00941C26"/>
    <w:rsid w:val="00941DF0"/>
    <w:rsid w:val="00941E48"/>
    <w:rsid w:val="00941E6C"/>
    <w:rsid w:val="00941F3D"/>
    <w:rsid w:val="009420AB"/>
    <w:rsid w:val="009420B2"/>
    <w:rsid w:val="00942405"/>
    <w:rsid w:val="009427A8"/>
    <w:rsid w:val="00942902"/>
    <w:rsid w:val="009434C0"/>
    <w:rsid w:val="00943687"/>
    <w:rsid w:val="00943857"/>
    <w:rsid w:val="00943B59"/>
    <w:rsid w:val="009440A6"/>
    <w:rsid w:val="009443C7"/>
    <w:rsid w:val="009449A1"/>
    <w:rsid w:val="00944A06"/>
    <w:rsid w:val="00944C18"/>
    <w:rsid w:val="00944E53"/>
    <w:rsid w:val="00944E6C"/>
    <w:rsid w:val="00944F86"/>
    <w:rsid w:val="00945049"/>
    <w:rsid w:val="00945101"/>
    <w:rsid w:val="00945156"/>
    <w:rsid w:val="00945394"/>
    <w:rsid w:val="009453A0"/>
    <w:rsid w:val="009454F8"/>
    <w:rsid w:val="00945611"/>
    <w:rsid w:val="00945711"/>
    <w:rsid w:val="009458E6"/>
    <w:rsid w:val="00945D7F"/>
    <w:rsid w:val="00945E55"/>
    <w:rsid w:val="0094601C"/>
    <w:rsid w:val="0094619D"/>
    <w:rsid w:val="00946435"/>
    <w:rsid w:val="00946802"/>
    <w:rsid w:val="0094680F"/>
    <w:rsid w:val="0094681E"/>
    <w:rsid w:val="0094693B"/>
    <w:rsid w:val="00946D99"/>
    <w:rsid w:val="00946DAC"/>
    <w:rsid w:val="00946E59"/>
    <w:rsid w:val="00946EE6"/>
    <w:rsid w:val="00946FEB"/>
    <w:rsid w:val="00947002"/>
    <w:rsid w:val="0094767B"/>
    <w:rsid w:val="00950053"/>
    <w:rsid w:val="00950205"/>
    <w:rsid w:val="0095073A"/>
    <w:rsid w:val="00950742"/>
    <w:rsid w:val="009519D0"/>
    <w:rsid w:val="009519D2"/>
    <w:rsid w:val="00951A33"/>
    <w:rsid w:val="00951AFD"/>
    <w:rsid w:val="00951B5A"/>
    <w:rsid w:val="00951DEF"/>
    <w:rsid w:val="00951EAF"/>
    <w:rsid w:val="0095233C"/>
    <w:rsid w:val="00952743"/>
    <w:rsid w:val="00952BC7"/>
    <w:rsid w:val="00952DE1"/>
    <w:rsid w:val="009535E4"/>
    <w:rsid w:val="00953616"/>
    <w:rsid w:val="00953825"/>
    <w:rsid w:val="009539CA"/>
    <w:rsid w:val="00953B85"/>
    <w:rsid w:val="00953D06"/>
    <w:rsid w:val="00953D3A"/>
    <w:rsid w:val="009541CE"/>
    <w:rsid w:val="0095437B"/>
    <w:rsid w:val="009543C4"/>
    <w:rsid w:val="00954634"/>
    <w:rsid w:val="0095466F"/>
    <w:rsid w:val="0095473E"/>
    <w:rsid w:val="00954939"/>
    <w:rsid w:val="00954AFC"/>
    <w:rsid w:val="00954B1B"/>
    <w:rsid w:val="00955063"/>
    <w:rsid w:val="009550BB"/>
    <w:rsid w:val="00955377"/>
    <w:rsid w:val="00955660"/>
    <w:rsid w:val="00955799"/>
    <w:rsid w:val="00955BEA"/>
    <w:rsid w:val="00955BF5"/>
    <w:rsid w:val="00955CAC"/>
    <w:rsid w:val="00955EE0"/>
    <w:rsid w:val="00955EE8"/>
    <w:rsid w:val="0095633F"/>
    <w:rsid w:val="0095645E"/>
    <w:rsid w:val="0095652F"/>
    <w:rsid w:val="00956AEE"/>
    <w:rsid w:val="00956D8D"/>
    <w:rsid w:val="00957070"/>
    <w:rsid w:val="009570D7"/>
    <w:rsid w:val="00957191"/>
    <w:rsid w:val="0095743F"/>
    <w:rsid w:val="00957581"/>
    <w:rsid w:val="009578E3"/>
    <w:rsid w:val="00957AED"/>
    <w:rsid w:val="00957DB5"/>
    <w:rsid w:val="00960116"/>
    <w:rsid w:val="009602BF"/>
    <w:rsid w:val="009605FE"/>
    <w:rsid w:val="00960CF6"/>
    <w:rsid w:val="009610A5"/>
    <w:rsid w:val="009612CE"/>
    <w:rsid w:val="00961A32"/>
    <w:rsid w:val="00961C68"/>
    <w:rsid w:val="00961CF5"/>
    <w:rsid w:val="00961DD5"/>
    <w:rsid w:val="009627C0"/>
    <w:rsid w:val="00962A85"/>
    <w:rsid w:val="00962C8D"/>
    <w:rsid w:val="00962E4E"/>
    <w:rsid w:val="00962EC1"/>
    <w:rsid w:val="00963229"/>
    <w:rsid w:val="0096328F"/>
    <w:rsid w:val="00963733"/>
    <w:rsid w:val="00963963"/>
    <w:rsid w:val="0096440C"/>
    <w:rsid w:val="009644E8"/>
    <w:rsid w:val="009648FB"/>
    <w:rsid w:val="009649A2"/>
    <w:rsid w:val="00964A71"/>
    <w:rsid w:val="00964B31"/>
    <w:rsid w:val="00964BDD"/>
    <w:rsid w:val="00964F69"/>
    <w:rsid w:val="0096509C"/>
    <w:rsid w:val="00965260"/>
    <w:rsid w:val="00965356"/>
    <w:rsid w:val="0096588E"/>
    <w:rsid w:val="00965CCC"/>
    <w:rsid w:val="00965DD4"/>
    <w:rsid w:val="0096628C"/>
    <w:rsid w:val="009662C6"/>
    <w:rsid w:val="009666CA"/>
    <w:rsid w:val="00966A06"/>
    <w:rsid w:val="00966A43"/>
    <w:rsid w:val="00967641"/>
    <w:rsid w:val="00967ACE"/>
    <w:rsid w:val="00967AE4"/>
    <w:rsid w:val="00967BE4"/>
    <w:rsid w:val="00967E10"/>
    <w:rsid w:val="00967EC3"/>
    <w:rsid w:val="00967FEA"/>
    <w:rsid w:val="009704B4"/>
    <w:rsid w:val="00970CB4"/>
    <w:rsid w:val="00970FB3"/>
    <w:rsid w:val="00970FCA"/>
    <w:rsid w:val="009714FD"/>
    <w:rsid w:val="00971CEC"/>
    <w:rsid w:val="00972420"/>
    <w:rsid w:val="00972470"/>
    <w:rsid w:val="009727E2"/>
    <w:rsid w:val="00972809"/>
    <w:rsid w:val="00972F3F"/>
    <w:rsid w:val="00973390"/>
    <w:rsid w:val="00973728"/>
    <w:rsid w:val="0097392A"/>
    <w:rsid w:val="00973D45"/>
    <w:rsid w:val="00973E0A"/>
    <w:rsid w:val="00974204"/>
    <w:rsid w:val="009743F9"/>
    <w:rsid w:val="009744BD"/>
    <w:rsid w:val="009747CA"/>
    <w:rsid w:val="00974A83"/>
    <w:rsid w:val="00974B97"/>
    <w:rsid w:val="00974DB6"/>
    <w:rsid w:val="00974EDD"/>
    <w:rsid w:val="00974FB1"/>
    <w:rsid w:val="009750B7"/>
    <w:rsid w:val="00975292"/>
    <w:rsid w:val="00975615"/>
    <w:rsid w:val="00975A3B"/>
    <w:rsid w:val="00975B6C"/>
    <w:rsid w:val="00975B92"/>
    <w:rsid w:val="00975CCA"/>
    <w:rsid w:val="009761CE"/>
    <w:rsid w:val="00976427"/>
    <w:rsid w:val="00976714"/>
    <w:rsid w:val="0097673E"/>
    <w:rsid w:val="00976997"/>
    <w:rsid w:val="00976B52"/>
    <w:rsid w:val="00976C64"/>
    <w:rsid w:val="009771C6"/>
    <w:rsid w:val="00977403"/>
    <w:rsid w:val="009774C5"/>
    <w:rsid w:val="0097769F"/>
    <w:rsid w:val="0097773E"/>
    <w:rsid w:val="00977778"/>
    <w:rsid w:val="009779D2"/>
    <w:rsid w:val="00977B58"/>
    <w:rsid w:val="00977CF6"/>
    <w:rsid w:val="00977CFD"/>
    <w:rsid w:val="00977F6D"/>
    <w:rsid w:val="00980074"/>
    <w:rsid w:val="009802CB"/>
    <w:rsid w:val="009804DE"/>
    <w:rsid w:val="009805AA"/>
    <w:rsid w:val="00980729"/>
    <w:rsid w:val="00980A5E"/>
    <w:rsid w:val="00980CBA"/>
    <w:rsid w:val="00980E08"/>
    <w:rsid w:val="00980E8B"/>
    <w:rsid w:val="00980F5D"/>
    <w:rsid w:val="0098139C"/>
    <w:rsid w:val="00981407"/>
    <w:rsid w:val="009816DA"/>
    <w:rsid w:val="00981BB9"/>
    <w:rsid w:val="0098231F"/>
    <w:rsid w:val="00982382"/>
    <w:rsid w:val="009823E7"/>
    <w:rsid w:val="009826E3"/>
    <w:rsid w:val="00982929"/>
    <w:rsid w:val="00982B33"/>
    <w:rsid w:val="00982B50"/>
    <w:rsid w:val="00982C77"/>
    <w:rsid w:val="009838A3"/>
    <w:rsid w:val="0098412A"/>
    <w:rsid w:val="009849E9"/>
    <w:rsid w:val="00984B80"/>
    <w:rsid w:val="00984D92"/>
    <w:rsid w:val="00984E54"/>
    <w:rsid w:val="00985544"/>
    <w:rsid w:val="00985760"/>
    <w:rsid w:val="0098590F"/>
    <w:rsid w:val="00985A17"/>
    <w:rsid w:val="00985AAB"/>
    <w:rsid w:val="00985CA1"/>
    <w:rsid w:val="00985E91"/>
    <w:rsid w:val="0098606D"/>
    <w:rsid w:val="0098622A"/>
    <w:rsid w:val="00986603"/>
    <w:rsid w:val="009869B7"/>
    <w:rsid w:val="00986C57"/>
    <w:rsid w:val="00986CC8"/>
    <w:rsid w:val="00986EA0"/>
    <w:rsid w:val="00987290"/>
    <w:rsid w:val="00987374"/>
    <w:rsid w:val="00987419"/>
    <w:rsid w:val="0098744A"/>
    <w:rsid w:val="0098747E"/>
    <w:rsid w:val="00987AC9"/>
    <w:rsid w:val="00987C87"/>
    <w:rsid w:val="00987CC7"/>
    <w:rsid w:val="00987F7F"/>
    <w:rsid w:val="009902D2"/>
    <w:rsid w:val="009902EB"/>
    <w:rsid w:val="00990B82"/>
    <w:rsid w:val="00990D20"/>
    <w:rsid w:val="00991418"/>
    <w:rsid w:val="0099149C"/>
    <w:rsid w:val="009917DE"/>
    <w:rsid w:val="00991ABA"/>
    <w:rsid w:val="00991B59"/>
    <w:rsid w:val="00991D0C"/>
    <w:rsid w:val="00991D44"/>
    <w:rsid w:val="009921D9"/>
    <w:rsid w:val="0099225C"/>
    <w:rsid w:val="00992710"/>
    <w:rsid w:val="00992733"/>
    <w:rsid w:val="0099280B"/>
    <w:rsid w:val="00992824"/>
    <w:rsid w:val="00992A8C"/>
    <w:rsid w:val="00992B48"/>
    <w:rsid w:val="00992C94"/>
    <w:rsid w:val="00992EF9"/>
    <w:rsid w:val="00993706"/>
    <w:rsid w:val="009937CF"/>
    <w:rsid w:val="00993CFE"/>
    <w:rsid w:val="00993D56"/>
    <w:rsid w:val="00993FE1"/>
    <w:rsid w:val="00994436"/>
    <w:rsid w:val="00994635"/>
    <w:rsid w:val="0099488C"/>
    <w:rsid w:val="00994A0D"/>
    <w:rsid w:val="00994AEB"/>
    <w:rsid w:val="00994E44"/>
    <w:rsid w:val="00995037"/>
    <w:rsid w:val="0099518C"/>
    <w:rsid w:val="00995245"/>
    <w:rsid w:val="009952C8"/>
    <w:rsid w:val="009956FF"/>
    <w:rsid w:val="00995701"/>
    <w:rsid w:val="00995A13"/>
    <w:rsid w:val="00995AC9"/>
    <w:rsid w:val="00995B1C"/>
    <w:rsid w:val="00995B21"/>
    <w:rsid w:val="00995CBC"/>
    <w:rsid w:val="0099652C"/>
    <w:rsid w:val="0099657B"/>
    <w:rsid w:val="0099675D"/>
    <w:rsid w:val="00996888"/>
    <w:rsid w:val="0099693A"/>
    <w:rsid w:val="0099696D"/>
    <w:rsid w:val="00996972"/>
    <w:rsid w:val="00996990"/>
    <w:rsid w:val="00996A2B"/>
    <w:rsid w:val="00996B26"/>
    <w:rsid w:val="00997035"/>
    <w:rsid w:val="00997690"/>
    <w:rsid w:val="00997986"/>
    <w:rsid w:val="00997F3A"/>
    <w:rsid w:val="009A014E"/>
    <w:rsid w:val="009A0242"/>
    <w:rsid w:val="009A02D5"/>
    <w:rsid w:val="009A04EE"/>
    <w:rsid w:val="009A0564"/>
    <w:rsid w:val="009A06CD"/>
    <w:rsid w:val="009A0BF4"/>
    <w:rsid w:val="009A0DFB"/>
    <w:rsid w:val="009A0E5A"/>
    <w:rsid w:val="009A1215"/>
    <w:rsid w:val="009A1464"/>
    <w:rsid w:val="009A158A"/>
    <w:rsid w:val="009A1697"/>
    <w:rsid w:val="009A16A4"/>
    <w:rsid w:val="009A1925"/>
    <w:rsid w:val="009A1B6B"/>
    <w:rsid w:val="009A1C09"/>
    <w:rsid w:val="009A1C3B"/>
    <w:rsid w:val="009A1D2F"/>
    <w:rsid w:val="009A1EBD"/>
    <w:rsid w:val="009A1EFF"/>
    <w:rsid w:val="009A1F28"/>
    <w:rsid w:val="009A1FD7"/>
    <w:rsid w:val="009A210B"/>
    <w:rsid w:val="009A22C5"/>
    <w:rsid w:val="009A2B2E"/>
    <w:rsid w:val="009A2BE2"/>
    <w:rsid w:val="009A2D6A"/>
    <w:rsid w:val="009A2E5A"/>
    <w:rsid w:val="009A2E72"/>
    <w:rsid w:val="009A34AD"/>
    <w:rsid w:val="009A3AA2"/>
    <w:rsid w:val="009A3E53"/>
    <w:rsid w:val="009A3EDA"/>
    <w:rsid w:val="009A438E"/>
    <w:rsid w:val="009A4965"/>
    <w:rsid w:val="009A4A12"/>
    <w:rsid w:val="009A4BBB"/>
    <w:rsid w:val="009A4E73"/>
    <w:rsid w:val="009A5056"/>
    <w:rsid w:val="009A5370"/>
    <w:rsid w:val="009A555C"/>
    <w:rsid w:val="009A5B31"/>
    <w:rsid w:val="009A5D4A"/>
    <w:rsid w:val="009A5D5A"/>
    <w:rsid w:val="009A6326"/>
    <w:rsid w:val="009A6763"/>
    <w:rsid w:val="009A6A32"/>
    <w:rsid w:val="009A6AD7"/>
    <w:rsid w:val="009A7A37"/>
    <w:rsid w:val="009A7B35"/>
    <w:rsid w:val="009A7BDC"/>
    <w:rsid w:val="009A7DA6"/>
    <w:rsid w:val="009A7DD4"/>
    <w:rsid w:val="009A7EBD"/>
    <w:rsid w:val="009B0298"/>
    <w:rsid w:val="009B07AE"/>
    <w:rsid w:val="009B08B6"/>
    <w:rsid w:val="009B1198"/>
    <w:rsid w:val="009B1206"/>
    <w:rsid w:val="009B1399"/>
    <w:rsid w:val="009B163E"/>
    <w:rsid w:val="009B16DE"/>
    <w:rsid w:val="009B16F8"/>
    <w:rsid w:val="009B1795"/>
    <w:rsid w:val="009B17D3"/>
    <w:rsid w:val="009B181B"/>
    <w:rsid w:val="009B1F34"/>
    <w:rsid w:val="009B20AE"/>
    <w:rsid w:val="009B20EE"/>
    <w:rsid w:val="009B2794"/>
    <w:rsid w:val="009B2C52"/>
    <w:rsid w:val="009B2E58"/>
    <w:rsid w:val="009B2EB0"/>
    <w:rsid w:val="009B2EF0"/>
    <w:rsid w:val="009B2F5B"/>
    <w:rsid w:val="009B3086"/>
    <w:rsid w:val="009B3771"/>
    <w:rsid w:val="009B37A2"/>
    <w:rsid w:val="009B38E5"/>
    <w:rsid w:val="009B39FA"/>
    <w:rsid w:val="009B3C1E"/>
    <w:rsid w:val="009B3CBC"/>
    <w:rsid w:val="009B401D"/>
    <w:rsid w:val="009B43E1"/>
    <w:rsid w:val="009B43F4"/>
    <w:rsid w:val="009B4573"/>
    <w:rsid w:val="009B4BD9"/>
    <w:rsid w:val="009B4C19"/>
    <w:rsid w:val="009B4DCE"/>
    <w:rsid w:val="009B4E1B"/>
    <w:rsid w:val="009B55BC"/>
    <w:rsid w:val="009B58C2"/>
    <w:rsid w:val="009B5CAE"/>
    <w:rsid w:val="009B5D65"/>
    <w:rsid w:val="009B5D93"/>
    <w:rsid w:val="009B5F30"/>
    <w:rsid w:val="009B68EA"/>
    <w:rsid w:val="009B6AD9"/>
    <w:rsid w:val="009B6F9A"/>
    <w:rsid w:val="009B739D"/>
    <w:rsid w:val="009B7472"/>
    <w:rsid w:val="009B7CFD"/>
    <w:rsid w:val="009C00A2"/>
    <w:rsid w:val="009C0273"/>
    <w:rsid w:val="009C05CE"/>
    <w:rsid w:val="009C0652"/>
    <w:rsid w:val="009C06B8"/>
    <w:rsid w:val="009C0CB2"/>
    <w:rsid w:val="009C0DAC"/>
    <w:rsid w:val="009C1101"/>
    <w:rsid w:val="009C11B9"/>
    <w:rsid w:val="009C194C"/>
    <w:rsid w:val="009C1B8E"/>
    <w:rsid w:val="009C1C7F"/>
    <w:rsid w:val="009C1CBB"/>
    <w:rsid w:val="009C285A"/>
    <w:rsid w:val="009C28E5"/>
    <w:rsid w:val="009C2B71"/>
    <w:rsid w:val="009C2F1C"/>
    <w:rsid w:val="009C318F"/>
    <w:rsid w:val="009C37D6"/>
    <w:rsid w:val="009C3BE9"/>
    <w:rsid w:val="009C3E59"/>
    <w:rsid w:val="009C3E98"/>
    <w:rsid w:val="009C3EE3"/>
    <w:rsid w:val="009C3FE5"/>
    <w:rsid w:val="009C428F"/>
    <w:rsid w:val="009C43C7"/>
    <w:rsid w:val="009C524A"/>
    <w:rsid w:val="009C5416"/>
    <w:rsid w:val="009C5448"/>
    <w:rsid w:val="009C5454"/>
    <w:rsid w:val="009C55C2"/>
    <w:rsid w:val="009C5E9F"/>
    <w:rsid w:val="009C5ED1"/>
    <w:rsid w:val="009C61CA"/>
    <w:rsid w:val="009C622E"/>
    <w:rsid w:val="009C6276"/>
    <w:rsid w:val="009C62E0"/>
    <w:rsid w:val="009C68E6"/>
    <w:rsid w:val="009C69FF"/>
    <w:rsid w:val="009C6EBA"/>
    <w:rsid w:val="009C7136"/>
    <w:rsid w:val="009C71AA"/>
    <w:rsid w:val="009C7542"/>
    <w:rsid w:val="009C78AC"/>
    <w:rsid w:val="009D0094"/>
    <w:rsid w:val="009D03F4"/>
    <w:rsid w:val="009D0438"/>
    <w:rsid w:val="009D058D"/>
    <w:rsid w:val="009D0ACD"/>
    <w:rsid w:val="009D0B71"/>
    <w:rsid w:val="009D0CCB"/>
    <w:rsid w:val="009D0DB1"/>
    <w:rsid w:val="009D0E35"/>
    <w:rsid w:val="009D116D"/>
    <w:rsid w:val="009D138D"/>
    <w:rsid w:val="009D154B"/>
    <w:rsid w:val="009D175E"/>
    <w:rsid w:val="009D179B"/>
    <w:rsid w:val="009D1A0E"/>
    <w:rsid w:val="009D1AD6"/>
    <w:rsid w:val="009D1D18"/>
    <w:rsid w:val="009D1DCA"/>
    <w:rsid w:val="009D2125"/>
    <w:rsid w:val="009D24B4"/>
    <w:rsid w:val="009D26DE"/>
    <w:rsid w:val="009D2817"/>
    <w:rsid w:val="009D2ADB"/>
    <w:rsid w:val="009D2BE3"/>
    <w:rsid w:val="009D2D91"/>
    <w:rsid w:val="009D2DFC"/>
    <w:rsid w:val="009D2E3E"/>
    <w:rsid w:val="009D2F36"/>
    <w:rsid w:val="009D3137"/>
    <w:rsid w:val="009D32D1"/>
    <w:rsid w:val="009D33BA"/>
    <w:rsid w:val="009D3445"/>
    <w:rsid w:val="009D35CC"/>
    <w:rsid w:val="009D367B"/>
    <w:rsid w:val="009D3B02"/>
    <w:rsid w:val="009D3C3F"/>
    <w:rsid w:val="009D3CB4"/>
    <w:rsid w:val="009D3E6C"/>
    <w:rsid w:val="009D3F80"/>
    <w:rsid w:val="009D40C6"/>
    <w:rsid w:val="009D40E4"/>
    <w:rsid w:val="009D43C2"/>
    <w:rsid w:val="009D45D0"/>
    <w:rsid w:val="009D45FF"/>
    <w:rsid w:val="009D4858"/>
    <w:rsid w:val="009D508E"/>
    <w:rsid w:val="009D5305"/>
    <w:rsid w:val="009D5B37"/>
    <w:rsid w:val="009D5BEA"/>
    <w:rsid w:val="009D5DD4"/>
    <w:rsid w:val="009D62FB"/>
    <w:rsid w:val="009D6362"/>
    <w:rsid w:val="009D65D0"/>
    <w:rsid w:val="009D6D3A"/>
    <w:rsid w:val="009D7997"/>
    <w:rsid w:val="009D7C35"/>
    <w:rsid w:val="009D7E4A"/>
    <w:rsid w:val="009D7EFE"/>
    <w:rsid w:val="009D7F7A"/>
    <w:rsid w:val="009E01F1"/>
    <w:rsid w:val="009E094D"/>
    <w:rsid w:val="009E0AE0"/>
    <w:rsid w:val="009E0C2F"/>
    <w:rsid w:val="009E11A7"/>
    <w:rsid w:val="009E13CC"/>
    <w:rsid w:val="009E1522"/>
    <w:rsid w:val="009E1599"/>
    <w:rsid w:val="009E1821"/>
    <w:rsid w:val="009E1825"/>
    <w:rsid w:val="009E18D6"/>
    <w:rsid w:val="009E2210"/>
    <w:rsid w:val="009E27B6"/>
    <w:rsid w:val="009E28AD"/>
    <w:rsid w:val="009E2986"/>
    <w:rsid w:val="009E2DAB"/>
    <w:rsid w:val="009E30FA"/>
    <w:rsid w:val="009E39D8"/>
    <w:rsid w:val="009E39E2"/>
    <w:rsid w:val="009E3A32"/>
    <w:rsid w:val="009E3A86"/>
    <w:rsid w:val="009E3C75"/>
    <w:rsid w:val="009E41B1"/>
    <w:rsid w:val="009E4574"/>
    <w:rsid w:val="009E45AC"/>
    <w:rsid w:val="009E47AD"/>
    <w:rsid w:val="009E4CB4"/>
    <w:rsid w:val="009E4DF2"/>
    <w:rsid w:val="009E5061"/>
    <w:rsid w:val="009E57CC"/>
    <w:rsid w:val="009E59DE"/>
    <w:rsid w:val="009E5A74"/>
    <w:rsid w:val="009E5BEC"/>
    <w:rsid w:val="009E5F1F"/>
    <w:rsid w:val="009E6297"/>
    <w:rsid w:val="009E69CE"/>
    <w:rsid w:val="009E6C13"/>
    <w:rsid w:val="009E709A"/>
    <w:rsid w:val="009E71FC"/>
    <w:rsid w:val="009E7B7E"/>
    <w:rsid w:val="009E7C1F"/>
    <w:rsid w:val="009E7C41"/>
    <w:rsid w:val="009E7D31"/>
    <w:rsid w:val="009E7FEC"/>
    <w:rsid w:val="009F0289"/>
    <w:rsid w:val="009F060C"/>
    <w:rsid w:val="009F07B6"/>
    <w:rsid w:val="009F086C"/>
    <w:rsid w:val="009F088B"/>
    <w:rsid w:val="009F0919"/>
    <w:rsid w:val="009F0BE6"/>
    <w:rsid w:val="009F0C97"/>
    <w:rsid w:val="009F0E79"/>
    <w:rsid w:val="009F1467"/>
    <w:rsid w:val="009F1544"/>
    <w:rsid w:val="009F16DC"/>
    <w:rsid w:val="009F1A77"/>
    <w:rsid w:val="009F1A86"/>
    <w:rsid w:val="009F1A88"/>
    <w:rsid w:val="009F1E6E"/>
    <w:rsid w:val="009F1F5F"/>
    <w:rsid w:val="009F23BE"/>
    <w:rsid w:val="009F259B"/>
    <w:rsid w:val="009F278B"/>
    <w:rsid w:val="009F2A37"/>
    <w:rsid w:val="009F2A4D"/>
    <w:rsid w:val="009F2D25"/>
    <w:rsid w:val="009F3074"/>
    <w:rsid w:val="009F3322"/>
    <w:rsid w:val="009F3378"/>
    <w:rsid w:val="009F358A"/>
    <w:rsid w:val="009F3903"/>
    <w:rsid w:val="009F3926"/>
    <w:rsid w:val="009F403A"/>
    <w:rsid w:val="009F4191"/>
    <w:rsid w:val="009F447F"/>
    <w:rsid w:val="009F477D"/>
    <w:rsid w:val="009F4810"/>
    <w:rsid w:val="009F4A7F"/>
    <w:rsid w:val="009F4D33"/>
    <w:rsid w:val="009F52E4"/>
    <w:rsid w:val="009F57ED"/>
    <w:rsid w:val="009F596B"/>
    <w:rsid w:val="009F5A7D"/>
    <w:rsid w:val="009F5A88"/>
    <w:rsid w:val="009F5AA4"/>
    <w:rsid w:val="009F5D37"/>
    <w:rsid w:val="009F5D57"/>
    <w:rsid w:val="009F60AA"/>
    <w:rsid w:val="009F6183"/>
    <w:rsid w:val="009F63C6"/>
    <w:rsid w:val="009F65EF"/>
    <w:rsid w:val="009F6AA7"/>
    <w:rsid w:val="009F711E"/>
    <w:rsid w:val="009F73A9"/>
    <w:rsid w:val="009F780B"/>
    <w:rsid w:val="009F79BD"/>
    <w:rsid w:val="009F7BBC"/>
    <w:rsid w:val="009F7D65"/>
    <w:rsid w:val="009F7F64"/>
    <w:rsid w:val="00A0001B"/>
    <w:rsid w:val="00A00696"/>
    <w:rsid w:val="00A007BA"/>
    <w:rsid w:val="00A00C1F"/>
    <w:rsid w:val="00A00D49"/>
    <w:rsid w:val="00A00F62"/>
    <w:rsid w:val="00A01185"/>
    <w:rsid w:val="00A01221"/>
    <w:rsid w:val="00A012DB"/>
    <w:rsid w:val="00A014D6"/>
    <w:rsid w:val="00A015CD"/>
    <w:rsid w:val="00A0188F"/>
    <w:rsid w:val="00A019F8"/>
    <w:rsid w:val="00A01E02"/>
    <w:rsid w:val="00A01EDA"/>
    <w:rsid w:val="00A0229E"/>
    <w:rsid w:val="00A023BC"/>
    <w:rsid w:val="00A02AF3"/>
    <w:rsid w:val="00A02BD2"/>
    <w:rsid w:val="00A02C3A"/>
    <w:rsid w:val="00A02FEA"/>
    <w:rsid w:val="00A03692"/>
    <w:rsid w:val="00A040A7"/>
    <w:rsid w:val="00A042E8"/>
    <w:rsid w:val="00A0473E"/>
    <w:rsid w:val="00A04B9A"/>
    <w:rsid w:val="00A04DEF"/>
    <w:rsid w:val="00A04FC3"/>
    <w:rsid w:val="00A050BD"/>
    <w:rsid w:val="00A0530E"/>
    <w:rsid w:val="00A053D4"/>
    <w:rsid w:val="00A058A7"/>
    <w:rsid w:val="00A05A72"/>
    <w:rsid w:val="00A05AB4"/>
    <w:rsid w:val="00A05B77"/>
    <w:rsid w:val="00A05CFE"/>
    <w:rsid w:val="00A05DA0"/>
    <w:rsid w:val="00A060D2"/>
    <w:rsid w:val="00A063EB"/>
    <w:rsid w:val="00A06476"/>
    <w:rsid w:val="00A069BB"/>
    <w:rsid w:val="00A06C28"/>
    <w:rsid w:val="00A06C57"/>
    <w:rsid w:val="00A06D5E"/>
    <w:rsid w:val="00A06EA6"/>
    <w:rsid w:val="00A077A7"/>
    <w:rsid w:val="00A07836"/>
    <w:rsid w:val="00A07955"/>
    <w:rsid w:val="00A0798E"/>
    <w:rsid w:val="00A07C7C"/>
    <w:rsid w:val="00A1010B"/>
    <w:rsid w:val="00A10243"/>
    <w:rsid w:val="00A10391"/>
    <w:rsid w:val="00A10C9A"/>
    <w:rsid w:val="00A10D87"/>
    <w:rsid w:val="00A10DBF"/>
    <w:rsid w:val="00A11064"/>
    <w:rsid w:val="00A11177"/>
    <w:rsid w:val="00A11939"/>
    <w:rsid w:val="00A12318"/>
    <w:rsid w:val="00A12373"/>
    <w:rsid w:val="00A124E7"/>
    <w:rsid w:val="00A12969"/>
    <w:rsid w:val="00A12A94"/>
    <w:rsid w:val="00A131B3"/>
    <w:rsid w:val="00A1367C"/>
    <w:rsid w:val="00A13689"/>
    <w:rsid w:val="00A136F6"/>
    <w:rsid w:val="00A13892"/>
    <w:rsid w:val="00A13EDF"/>
    <w:rsid w:val="00A14355"/>
    <w:rsid w:val="00A143AE"/>
    <w:rsid w:val="00A144A2"/>
    <w:rsid w:val="00A14553"/>
    <w:rsid w:val="00A14641"/>
    <w:rsid w:val="00A1468F"/>
    <w:rsid w:val="00A146BE"/>
    <w:rsid w:val="00A14790"/>
    <w:rsid w:val="00A14A07"/>
    <w:rsid w:val="00A14BED"/>
    <w:rsid w:val="00A15044"/>
    <w:rsid w:val="00A15062"/>
    <w:rsid w:val="00A155AA"/>
    <w:rsid w:val="00A161B0"/>
    <w:rsid w:val="00A1646E"/>
    <w:rsid w:val="00A164A7"/>
    <w:rsid w:val="00A164CB"/>
    <w:rsid w:val="00A16587"/>
    <w:rsid w:val="00A165C5"/>
    <w:rsid w:val="00A167A6"/>
    <w:rsid w:val="00A1725D"/>
    <w:rsid w:val="00A17735"/>
    <w:rsid w:val="00A17870"/>
    <w:rsid w:val="00A178A9"/>
    <w:rsid w:val="00A17B57"/>
    <w:rsid w:val="00A17BCE"/>
    <w:rsid w:val="00A17F2A"/>
    <w:rsid w:val="00A20247"/>
    <w:rsid w:val="00A206B5"/>
    <w:rsid w:val="00A206D7"/>
    <w:rsid w:val="00A2077E"/>
    <w:rsid w:val="00A20BAE"/>
    <w:rsid w:val="00A2108C"/>
    <w:rsid w:val="00A21194"/>
    <w:rsid w:val="00A21269"/>
    <w:rsid w:val="00A212F6"/>
    <w:rsid w:val="00A213AD"/>
    <w:rsid w:val="00A21479"/>
    <w:rsid w:val="00A216E6"/>
    <w:rsid w:val="00A21BDC"/>
    <w:rsid w:val="00A21E5B"/>
    <w:rsid w:val="00A2201A"/>
    <w:rsid w:val="00A22099"/>
    <w:rsid w:val="00A2223D"/>
    <w:rsid w:val="00A222C1"/>
    <w:rsid w:val="00A223A3"/>
    <w:rsid w:val="00A224E1"/>
    <w:rsid w:val="00A226A1"/>
    <w:rsid w:val="00A22724"/>
    <w:rsid w:val="00A22E20"/>
    <w:rsid w:val="00A2304B"/>
    <w:rsid w:val="00A23268"/>
    <w:rsid w:val="00A235F4"/>
    <w:rsid w:val="00A23A04"/>
    <w:rsid w:val="00A23A7F"/>
    <w:rsid w:val="00A240C1"/>
    <w:rsid w:val="00A24183"/>
    <w:rsid w:val="00A241BF"/>
    <w:rsid w:val="00A242C6"/>
    <w:rsid w:val="00A245F7"/>
    <w:rsid w:val="00A247E5"/>
    <w:rsid w:val="00A24BAA"/>
    <w:rsid w:val="00A25020"/>
    <w:rsid w:val="00A2514B"/>
    <w:rsid w:val="00A251AD"/>
    <w:rsid w:val="00A256E9"/>
    <w:rsid w:val="00A256F6"/>
    <w:rsid w:val="00A2573E"/>
    <w:rsid w:val="00A2591E"/>
    <w:rsid w:val="00A25A65"/>
    <w:rsid w:val="00A25E8C"/>
    <w:rsid w:val="00A25E94"/>
    <w:rsid w:val="00A25F1D"/>
    <w:rsid w:val="00A267B1"/>
    <w:rsid w:val="00A270B4"/>
    <w:rsid w:val="00A274F5"/>
    <w:rsid w:val="00A27944"/>
    <w:rsid w:val="00A27A64"/>
    <w:rsid w:val="00A27DF4"/>
    <w:rsid w:val="00A27EFC"/>
    <w:rsid w:val="00A30104"/>
    <w:rsid w:val="00A30416"/>
    <w:rsid w:val="00A304DE"/>
    <w:rsid w:val="00A308A7"/>
    <w:rsid w:val="00A30985"/>
    <w:rsid w:val="00A309E7"/>
    <w:rsid w:val="00A30C9F"/>
    <w:rsid w:val="00A30CC9"/>
    <w:rsid w:val="00A30E49"/>
    <w:rsid w:val="00A311B4"/>
    <w:rsid w:val="00A311EB"/>
    <w:rsid w:val="00A318C4"/>
    <w:rsid w:val="00A31A2B"/>
    <w:rsid w:val="00A31C51"/>
    <w:rsid w:val="00A31E97"/>
    <w:rsid w:val="00A3272F"/>
    <w:rsid w:val="00A32758"/>
    <w:rsid w:val="00A327BE"/>
    <w:rsid w:val="00A32C94"/>
    <w:rsid w:val="00A32F34"/>
    <w:rsid w:val="00A33139"/>
    <w:rsid w:val="00A332FC"/>
    <w:rsid w:val="00A33771"/>
    <w:rsid w:val="00A33D19"/>
    <w:rsid w:val="00A340E4"/>
    <w:rsid w:val="00A341AB"/>
    <w:rsid w:val="00A3434E"/>
    <w:rsid w:val="00A34BC9"/>
    <w:rsid w:val="00A34DEC"/>
    <w:rsid w:val="00A34E76"/>
    <w:rsid w:val="00A34F30"/>
    <w:rsid w:val="00A35164"/>
    <w:rsid w:val="00A351BF"/>
    <w:rsid w:val="00A35233"/>
    <w:rsid w:val="00A35806"/>
    <w:rsid w:val="00A35D14"/>
    <w:rsid w:val="00A35EF2"/>
    <w:rsid w:val="00A3656C"/>
    <w:rsid w:val="00A3665E"/>
    <w:rsid w:val="00A36A0B"/>
    <w:rsid w:val="00A36A79"/>
    <w:rsid w:val="00A36AE1"/>
    <w:rsid w:val="00A36C66"/>
    <w:rsid w:val="00A36D96"/>
    <w:rsid w:val="00A36E33"/>
    <w:rsid w:val="00A37711"/>
    <w:rsid w:val="00A37760"/>
    <w:rsid w:val="00A3796E"/>
    <w:rsid w:val="00A3797B"/>
    <w:rsid w:val="00A37AD2"/>
    <w:rsid w:val="00A37BFC"/>
    <w:rsid w:val="00A40B86"/>
    <w:rsid w:val="00A40B93"/>
    <w:rsid w:val="00A40F6E"/>
    <w:rsid w:val="00A40FB5"/>
    <w:rsid w:val="00A4101F"/>
    <w:rsid w:val="00A41105"/>
    <w:rsid w:val="00A41447"/>
    <w:rsid w:val="00A414C5"/>
    <w:rsid w:val="00A4175B"/>
    <w:rsid w:val="00A417A5"/>
    <w:rsid w:val="00A41D7B"/>
    <w:rsid w:val="00A421ED"/>
    <w:rsid w:val="00A42239"/>
    <w:rsid w:val="00A422A2"/>
    <w:rsid w:val="00A422FB"/>
    <w:rsid w:val="00A42360"/>
    <w:rsid w:val="00A42397"/>
    <w:rsid w:val="00A427A3"/>
    <w:rsid w:val="00A42A5F"/>
    <w:rsid w:val="00A42CB6"/>
    <w:rsid w:val="00A42F6A"/>
    <w:rsid w:val="00A4334D"/>
    <w:rsid w:val="00A43655"/>
    <w:rsid w:val="00A43698"/>
    <w:rsid w:val="00A43748"/>
    <w:rsid w:val="00A4497F"/>
    <w:rsid w:val="00A44CEC"/>
    <w:rsid w:val="00A44E50"/>
    <w:rsid w:val="00A4530F"/>
    <w:rsid w:val="00A45497"/>
    <w:rsid w:val="00A45A86"/>
    <w:rsid w:val="00A45BA9"/>
    <w:rsid w:val="00A45BD3"/>
    <w:rsid w:val="00A461EC"/>
    <w:rsid w:val="00A462F3"/>
    <w:rsid w:val="00A46428"/>
    <w:rsid w:val="00A46475"/>
    <w:rsid w:val="00A46726"/>
    <w:rsid w:val="00A4683F"/>
    <w:rsid w:val="00A46AD9"/>
    <w:rsid w:val="00A46AF3"/>
    <w:rsid w:val="00A46AF6"/>
    <w:rsid w:val="00A4735C"/>
    <w:rsid w:val="00A4753C"/>
    <w:rsid w:val="00A4776E"/>
    <w:rsid w:val="00A47A96"/>
    <w:rsid w:val="00A47F1B"/>
    <w:rsid w:val="00A500D9"/>
    <w:rsid w:val="00A50622"/>
    <w:rsid w:val="00A506BF"/>
    <w:rsid w:val="00A506C6"/>
    <w:rsid w:val="00A50B72"/>
    <w:rsid w:val="00A50E17"/>
    <w:rsid w:val="00A50E4E"/>
    <w:rsid w:val="00A51197"/>
    <w:rsid w:val="00A5135B"/>
    <w:rsid w:val="00A5174A"/>
    <w:rsid w:val="00A51AD7"/>
    <w:rsid w:val="00A51B32"/>
    <w:rsid w:val="00A521CB"/>
    <w:rsid w:val="00A5238F"/>
    <w:rsid w:val="00A52596"/>
    <w:rsid w:val="00A52757"/>
    <w:rsid w:val="00A5289A"/>
    <w:rsid w:val="00A52960"/>
    <w:rsid w:val="00A529E9"/>
    <w:rsid w:val="00A52B72"/>
    <w:rsid w:val="00A52CCD"/>
    <w:rsid w:val="00A53065"/>
    <w:rsid w:val="00A5352A"/>
    <w:rsid w:val="00A53968"/>
    <w:rsid w:val="00A53B31"/>
    <w:rsid w:val="00A53C58"/>
    <w:rsid w:val="00A54206"/>
    <w:rsid w:val="00A543D9"/>
    <w:rsid w:val="00A5463B"/>
    <w:rsid w:val="00A54833"/>
    <w:rsid w:val="00A54A50"/>
    <w:rsid w:val="00A54D41"/>
    <w:rsid w:val="00A54DEA"/>
    <w:rsid w:val="00A557A1"/>
    <w:rsid w:val="00A55A25"/>
    <w:rsid w:val="00A562F4"/>
    <w:rsid w:val="00A56A55"/>
    <w:rsid w:val="00A57018"/>
    <w:rsid w:val="00A5712D"/>
    <w:rsid w:val="00A573AB"/>
    <w:rsid w:val="00A57457"/>
    <w:rsid w:val="00A57C1A"/>
    <w:rsid w:val="00A57D39"/>
    <w:rsid w:val="00A57D5C"/>
    <w:rsid w:val="00A57E4E"/>
    <w:rsid w:val="00A57F4F"/>
    <w:rsid w:val="00A60B04"/>
    <w:rsid w:val="00A60CBF"/>
    <w:rsid w:val="00A612CC"/>
    <w:rsid w:val="00A61551"/>
    <w:rsid w:val="00A61628"/>
    <w:rsid w:val="00A61AFF"/>
    <w:rsid w:val="00A61E88"/>
    <w:rsid w:val="00A622AA"/>
    <w:rsid w:val="00A62DBA"/>
    <w:rsid w:val="00A62DF8"/>
    <w:rsid w:val="00A6304C"/>
    <w:rsid w:val="00A631C8"/>
    <w:rsid w:val="00A6396D"/>
    <w:rsid w:val="00A63AC0"/>
    <w:rsid w:val="00A64147"/>
    <w:rsid w:val="00A64152"/>
    <w:rsid w:val="00A646B5"/>
    <w:rsid w:val="00A64F24"/>
    <w:rsid w:val="00A6553E"/>
    <w:rsid w:val="00A657F9"/>
    <w:rsid w:val="00A65809"/>
    <w:rsid w:val="00A65AC7"/>
    <w:rsid w:val="00A65D2C"/>
    <w:rsid w:val="00A65FF6"/>
    <w:rsid w:val="00A660B5"/>
    <w:rsid w:val="00A66273"/>
    <w:rsid w:val="00A66407"/>
    <w:rsid w:val="00A6685B"/>
    <w:rsid w:val="00A66D80"/>
    <w:rsid w:val="00A670D6"/>
    <w:rsid w:val="00A67388"/>
    <w:rsid w:val="00A675CF"/>
    <w:rsid w:val="00A67AB0"/>
    <w:rsid w:val="00A67F67"/>
    <w:rsid w:val="00A67FEE"/>
    <w:rsid w:val="00A7044A"/>
    <w:rsid w:val="00A70465"/>
    <w:rsid w:val="00A70591"/>
    <w:rsid w:val="00A70644"/>
    <w:rsid w:val="00A70BF8"/>
    <w:rsid w:val="00A70C3D"/>
    <w:rsid w:val="00A70C90"/>
    <w:rsid w:val="00A714E7"/>
    <w:rsid w:val="00A716C7"/>
    <w:rsid w:val="00A719A2"/>
    <w:rsid w:val="00A71CF5"/>
    <w:rsid w:val="00A71DBE"/>
    <w:rsid w:val="00A72121"/>
    <w:rsid w:val="00A7220C"/>
    <w:rsid w:val="00A72273"/>
    <w:rsid w:val="00A7249E"/>
    <w:rsid w:val="00A7256A"/>
    <w:rsid w:val="00A729A0"/>
    <w:rsid w:val="00A72B5A"/>
    <w:rsid w:val="00A72C4F"/>
    <w:rsid w:val="00A72D72"/>
    <w:rsid w:val="00A72DC5"/>
    <w:rsid w:val="00A730F5"/>
    <w:rsid w:val="00A73206"/>
    <w:rsid w:val="00A7365D"/>
    <w:rsid w:val="00A736E3"/>
    <w:rsid w:val="00A73925"/>
    <w:rsid w:val="00A73A32"/>
    <w:rsid w:val="00A73AF9"/>
    <w:rsid w:val="00A73F44"/>
    <w:rsid w:val="00A74102"/>
    <w:rsid w:val="00A74432"/>
    <w:rsid w:val="00A74883"/>
    <w:rsid w:val="00A748C4"/>
    <w:rsid w:val="00A75DF6"/>
    <w:rsid w:val="00A75FF0"/>
    <w:rsid w:val="00A76208"/>
    <w:rsid w:val="00A7668D"/>
    <w:rsid w:val="00A76A02"/>
    <w:rsid w:val="00A76D62"/>
    <w:rsid w:val="00A76DA7"/>
    <w:rsid w:val="00A76EAF"/>
    <w:rsid w:val="00A76F12"/>
    <w:rsid w:val="00A76F2A"/>
    <w:rsid w:val="00A771FB"/>
    <w:rsid w:val="00A7762A"/>
    <w:rsid w:val="00A77A1D"/>
    <w:rsid w:val="00A77A55"/>
    <w:rsid w:val="00A77C48"/>
    <w:rsid w:val="00A77F7D"/>
    <w:rsid w:val="00A80005"/>
    <w:rsid w:val="00A8017F"/>
    <w:rsid w:val="00A802A9"/>
    <w:rsid w:val="00A8113F"/>
    <w:rsid w:val="00A81302"/>
    <w:rsid w:val="00A8142F"/>
    <w:rsid w:val="00A8155E"/>
    <w:rsid w:val="00A8187A"/>
    <w:rsid w:val="00A81A60"/>
    <w:rsid w:val="00A81E6F"/>
    <w:rsid w:val="00A81E97"/>
    <w:rsid w:val="00A81F8A"/>
    <w:rsid w:val="00A82453"/>
    <w:rsid w:val="00A8288A"/>
    <w:rsid w:val="00A82A39"/>
    <w:rsid w:val="00A82C9A"/>
    <w:rsid w:val="00A83003"/>
    <w:rsid w:val="00A83025"/>
    <w:rsid w:val="00A8329B"/>
    <w:rsid w:val="00A833D1"/>
    <w:rsid w:val="00A83523"/>
    <w:rsid w:val="00A8360B"/>
    <w:rsid w:val="00A83BD0"/>
    <w:rsid w:val="00A83C47"/>
    <w:rsid w:val="00A83D05"/>
    <w:rsid w:val="00A842D7"/>
    <w:rsid w:val="00A8475C"/>
    <w:rsid w:val="00A8480C"/>
    <w:rsid w:val="00A84D84"/>
    <w:rsid w:val="00A84EBB"/>
    <w:rsid w:val="00A85269"/>
    <w:rsid w:val="00A85869"/>
    <w:rsid w:val="00A8591D"/>
    <w:rsid w:val="00A85C03"/>
    <w:rsid w:val="00A85C0B"/>
    <w:rsid w:val="00A85DBA"/>
    <w:rsid w:val="00A85F5F"/>
    <w:rsid w:val="00A860EC"/>
    <w:rsid w:val="00A86163"/>
    <w:rsid w:val="00A864B7"/>
    <w:rsid w:val="00A86666"/>
    <w:rsid w:val="00A86937"/>
    <w:rsid w:val="00A86A93"/>
    <w:rsid w:val="00A86C1F"/>
    <w:rsid w:val="00A86F3F"/>
    <w:rsid w:val="00A86F40"/>
    <w:rsid w:val="00A877D9"/>
    <w:rsid w:val="00A87A7F"/>
    <w:rsid w:val="00A87AC2"/>
    <w:rsid w:val="00A87BD0"/>
    <w:rsid w:val="00A87C34"/>
    <w:rsid w:val="00A87D86"/>
    <w:rsid w:val="00A87FBB"/>
    <w:rsid w:val="00A9017E"/>
    <w:rsid w:val="00A9028E"/>
    <w:rsid w:val="00A90483"/>
    <w:rsid w:val="00A91205"/>
    <w:rsid w:val="00A916B8"/>
    <w:rsid w:val="00A91B58"/>
    <w:rsid w:val="00A91D09"/>
    <w:rsid w:val="00A922C2"/>
    <w:rsid w:val="00A92804"/>
    <w:rsid w:val="00A92918"/>
    <w:rsid w:val="00A92A97"/>
    <w:rsid w:val="00A92AA4"/>
    <w:rsid w:val="00A93184"/>
    <w:rsid w:val="00A93347"/>
    <w:rsid w:val="00A9380B"/>
    <w:rsid w:val="00A939D8"/>
    <w:rsid w:val="00A93C1B"/>
    <w:rsid w:val="00A94035"/>
    <w:rsid w:val="00A94404"/>
    <w:rsid w:val="00A944F4"/>
    <w:rsid w:val="00A9459B"/>
    <w:rsid w:val="00A9490F"/>
    <w:rsid w:val="00A94C9F"/>
    <w:rsid w:val="00A94DE0"/>
    <w:rsid w:val="00A94FDB"/>
    <w:rsid w:val="00A94FE2"/>
    <w:rsid w:val="00A95067"/>
    <w:rsid w:val="00A951BD"/>
    <w:rsid w:val="00A952C9"/>
    <w:rsid w:val="00A954AB"/>
    <w:rsid w:val="00A9553A"/>
    <w:rsid w:val="00A959AA"/>
    <w:rsid w:val="00A95C23"/>
    <w:rsid w:val="00A9636D"/>
    <w:rsid w:val="00A96439"/>
    <w:rsid w:val="00A9659F"/>
    <w:rsid w:val="00A96831"/>
    <w:rsid w:val="00A96A33"/>
    <w:rsid w:val="00A96B4C"/>
    <w:rsid w:val="00A971FF"/>
    <w:rsid w:val="00A97413"/>
    <w:rsid w:val="00A97904"/>
    <w:rsid w:val="00A97C88"/>
    <w:rsid w:val="00A97F3D"/>
    <w:rsid w:val="00A97F50"/>
    <w:rsid w:val="00AA0083"/>
    <w:rsid w:val="00AA047D"/>
    <w:rsid w:val="00AA09C9"/>
    <w:rsid w:val="00AA0B5D"/>
    <w:rsid w:val="00AA0F63"/>
    <w:rsid w:val="00AA0FFA"/>
    <w:rsid w:val="00AA1059"/>
    <w:rsid w:val="00AA113B"/>
    <w:rsid w:val="00AA1275"/>
    <w:rsid w:val="00AA153C"/>
    <w:rsid w:val="00AA16FD"/>
    <w:rsid w:val="00AA17CD"/>
    <w:rsid w:val="00AA1A44"/>
    <w:rsid w:val="00AA1D86"/>
    <w:rsid w:val="00AA20B5"/>
    <w:rsid w:val="00AA2B1C"/>
    <w:rsid w:val="00AA3008"/>
    <w:rsid w:val="00AA3111"/>
    <w:rsid w:val="00AA384E"/>
    <w:rsid w:val="00AA3C74"/>
    <w:rsid w:val="00AA3D25"/>
    <w:rsid w:val="00AA3DF1"/>
    <w:rsid w:val="00AA3F59"/>
    <w:rsid w:val="00AA40DD"/>
    <w:rsid w:val="00AA445F"/>
    <w:rsid w:val="00AA476F"/>
    <w:rsid w:val="00AA4B08"/>
    <w:rsid w:val="00AA4B83"/>
    <w:rsid w:val="00AA4B92"/>
    <w:rsid w:val="00AA4EDB"/>
    <w:rsid w:val="00AA509C"/>
    <w:rsid w:val="00AA5115"/>
    <w:rsid w:val="00AA5142"/>
    <w:rsid w:val="00AA537C"/>
    <w:rsid w:val="00AA57DE"/>
    <w:rsid w:val="00AA5840"/>
    <w:rsid w:val="00AA5A6B"/>
    <w:rsid w:val="00AA5F74"/>
    <w:rsid w:val="00AA61EE"/>
    <w:rsid w:val="00AA6DA4"/>
    <w:rsid w:val="00AA6E7E"/>
    <w:rsid w:val="00AA6F01"/>
    <w:rsid w:val="00AA71E9"/>
    <w:rsid w:val="00AA7286"/>
    <w:rsid w:val="00AA7451"/>
    <w:rsid w:val="00AA7627"/>
    <w:rsid w:val="00AA7808"/>
    <w:rsid w:val="00AA781C"/>
    <w:rsid w:val="00AA7C03"/>
    <w:rsid w:val="00AA7E97"/>
    <w:rsid w:val="00AA7F68"/>
    <w:rsid w:val="00AB037A"/>
    <w:rsid w:val="00AB0DCC"/>
    <w:rsid w:val="00AB0E4E"/>
    <w:rsid w:val="00AB10A5"/>
    <w:rsid w:val="00AB15A1"/>
    <w:rsid w:val="00AB1B11"/>
    <w:rsid w:val="00AB1D27"/>
    <w:rsid w:val="00AB1EBD"/>
    <w:rsid w:val="00AB215F"/>
    <w:rsid w:val="00AB2169"/>
    <w:rsid w:val="00AB2345"/>
    <w:rsid w:val="00AB23B4"/>
    <w:rsid w:val="00AB2663"/>
    <w:rsid w:val="00AB26BC"/>
    <w:rsid w:val="00AB28DE"/>
    <w:rsid w:val="00AB2B15"/>
    <w:rsid w:val="00AB2C5A"/>
    <w:rsid w:val="00AB2C8D"/>
    <w:rsid w:val="00AB2EA6"/>
    <w:rsid w:val="00AB2ED4"/>
    <w:rsid w:val="00AB309A"/>
    <w:rsid w:val="00AB30E7"/>
    <w:rsid w:val="00AB33B8"/>
    <w:rsid w:val="00AB33D3"/>
    <w:rsid w:val="00AB348D"/>
    <w:rsid w:val="00AB36AE"/>
    <w:rsid w:val="00AB388E"/>
    <w:rsid w:val="00AB3BB4"/>
    <w:rsid w:val="00AB3DFA"/>
    <w:rsid w:val="00AB4840"/>
    <w:rsid w:val="00AB49AA"/>
    <w:rsid w:val="00AB4AEC"/>
    <w:rsid w:val="00AB4B72"/>
    <w:rsid w:val="00AB508D"/>
    <w:rsid w:val="00AB5300"/>
    <w:rsid w:val="00AB555B"/>
    <w:rsid w:val="00AB57BB"/>
    <w:rsid w:val="00AB5BCD"/>
    <w:rsid w:val="00AB5D2D"/>
    <w:rsid w:val="00AB5E59"/>
    <w:rsid w:val="00AB5FC8"/>
    <w:rsid w:val="00AB67B3"/>
    <w:rsid w:val="00AB6AEA"/>
    <w:rsid w:val="00AB6F0E"/>
    <w:rsid w:val="00AB6F39"/>
    <w:rsid w:val="00AB719A"/>
    <w:rsid w:val="00AB733D"/>
    <w:rsid w:val="00AB7502"/>
    <w:rsid w:val="00AB75AF"/>
    <w:rsid w:val="00AB781D"/>
    <w:rsid w:val="00AB785B"/>
    <w:rsid w:val="00AB7D11"/>
    <w:rsid w:val="00AB7F8F"/>
    <w:rsid w:val="00AC0009"/>
    <w:rsid w:val="00AC032D"/>
    <w:rsid w:val="00AC078E"/>
    <w:rsid w:val="00AC08BE"/>
    <w:rsid w:val="00AC0A99"/>
    <w:rsid w:val="00AC0F23"/>
    <w:rsid w:val="00AC0FA6"/>
    <w:rsid w:val="00AC153C"/>
    <w:rsid w:val="00AC18F9"/>
    <w:rsid w:val="00AC1ACB"/>
    <w:rsid w:val="00AC1C95"/>
    <w:rsid w:val="00AC2031"/>
    <w:rsid w:val="00AC22E8"/>
    <w:rsid w:val="00AC28A3"/>
    <w:rsid w:val="00AC30A1"/>
    <w:rsid w:val="00AC34D7"/>
    <w:rsid w:val="00AC3824"/>
    <w:rsid w:val="00AC392A"/>
    <w:rsid w:val="00AC39CE"/>
    <w:rsid w:val="00AC3B49"/>
    <w:rsid w:val="00AC3D06"/>
    <w:rsid w:val="00AC3FFD"/>
    <w:rsid w:val="00AC40A4"/>
    <w:rsid w:val="00AC4218"/>
    <w:rsid w:val="00AC4267"/>
    <w:rsid w:val="00AC4AA9"/>
    <w:rsid w:val="00AC4D8D"/>
    <w:rsid w:val="00AC4F46"/>
    <w:rsid w:val="00AC505E"/>
    <w:rsid w:val="00AC5186"/>
    <w:rsid w:val="00AC530A"/>
    <w:rsid w:val="00AC53F6"/>
    <w:rsid w:val="00AC54D2"/>
    <w:rsid w:val="00AC557F"/>
    <w:rsid w:val="00AC55CB"/>
    <w:rsid w:val="00AC5630"/>
    <w:rsid w:val="00AC5B5F"/>
    <w:rsid w:val="00AC5C43"/>
    <w:rsid w:val="00AC650B"/>
    <w:rsid w:val="00AC683D"/>
    <w:rsid w:val="00AC6CD7"/>
    <w:rsid w:val="00AC6D2A"/>
    <w:rsid w:val="00AC6DFF"/>
    <w:rsid w:val="00AC708B"/>
    <w:rsid w:val="00AC76CD"/>
    <w:rsid w:val="00AC77B1"/>
    <w:rsid w:val="00AC7A60"/>
    <w:rsid w:val="00AC7A76"/>
    <w:rsid w:val="00AC7EB8"/>
    <w:rsid w:val="00AD0219"/>
    <w:rsid w:val="00AD0A1F"/>
    <w:rsid w:val="00AD0A20"/>
    <w:rsid w:val="00AD0B7D"/>
    <w:rsid w:val="00AD0BE9"/>
    <w:rsid w:val="00AD0D16"/>
    <w:rsid w:val="00AD0E01"/>
    <w:rsid w:val="00AD0E8E"/>
    <w:rsid w:val="00AD115B"/>
    <w:rsid w:val="00AD1337"/>
    <w:rsid w:val="00AD1521"/>
    <w:rsid w:val="00AD1648"/>
    <w:rsid w:val="00AD326E"/>
    <w:rsid w:val="00AD387E"/>
    <w:rsid w:val="00AD38D5"/>
    <w:rsid w:val="00AD39A1"/>
    <w:rsid w:val="00AD3C5D"/>
    <w:rsid w:val="00AD3C5F"/>
    <w:rsid w:val="00AD3D88"/>
    <w:rsid w:val="00AD3F52"/>
    <w:rsid w:val="00AD41C2"/>
    <w:rsid w:val="00AD44C5"/>
    <w:rsid w:val="00AD48EE"/>
    <w:rsid w:val="00AD5032"/>
    <w:rsid w:val="00AD5094"/>
    <w:rsid w:val="00AD62BF"/>
    <w:rsid w:val="00AD699F"/>
    <w:rsid w:val="00AD6AAD"/>
    <w:rsid w:val="00AD6D9E"/>
    <w:rsid w:val="00AD725F"/>
    <w:rsid w:val="00AD7586"/>
    <w:rsid w:val="00AD7B64"/>
    <w:rsid w:val="00AD7D2C"/>
    <w:rsid w:val="00AE02DC"/>
    <w:rsid w:val="00AE04CC"/>
    <w:rsid w:val="00AE0718"/>
    <w:rsid w:val="00AE081E"/>
    <w:rsid w:val="00AE08B5"/>
    <w:rsid w:val="00AE0BA1"/>
    <w:rsid w:val="00AE0C01"/>
    <w:rsid w:val="00AE0D10"/>
    <w:rsid w:val="00AE0D99"/>
    <w:rsid w:val="00AE13D5"/>
    <w:rsid w:val="00AE148F"/>
    <w:rsid w:val="00AE1513"/>
    <w:rsid w:val="00AE17FD"/>
    <w:rsid w:val="00AE18A7"/>
    <w:rsid w:val="00AE1918"/>
    <w:rsid w:val="00AE1DA8"/>
    <w:rsid w:val="00AE21FF"/>
    <w:rsid w:val="00AE2228"/>
    <w:rsid w:val="00AE2294"/>
    <w:rsid w:val="00AE2555"/>
    <w:rsid w:val="00AE2648"/>
    <w:rsid w:val="00AE2652"/>
    <w:rsid w:val="00AE2833"/>
    <w:rsid w:val="00AE292B"/>
    <w:rsid w:val="00AE2B38"/>
    <w:rsid w:val="00AE2DEE"/>
    <w:rsid w:val="00AE2E10"/>
    <w:rsid w:val="00AE30F3"/>
    <w:rsid w:val="00AE3152"/>
    <w:rsid w:val="00AE348E"/>
    <w:rsid w:val="00AE35C0"/>
    <w:rsid w:val="00AE36FD"/>
    <w:rsid w:val="00AE446B"/>
    <w:rsid w:val="00AE4809"/>
    <w:rsid w:val="00AE4C16"/>
    <w:rsid w:val="00AE4DFE"/>
    <w:rsid w:val="00AE4FC0"/>
    <w:rsid w:val="00AE5519"/>
    <w:rsid w:val="00AE57F6"/>
    <w:rsid w:val="00AE5991"/>
    <w:rsid w:val="00AE5EC1"/>
    <w:rsid w:val="00AE5F3D"/>
    <w:rsid w:val="00AE60E0"/>
    <w:rsid w:val="00AE6118"/>
    <w:rsid w:val="00AE6258"/>
    <w:rsid w:val="00AE62D0"/>
    <w:rsid w:val="00AE6492"/>
    <w:rsid w:val="00AE6E0C"/>
    <w:rsid w:val="00AE6EE4"/>
    <w:rsid w:val="00AE6EFF"/>
    <w:rsid w:val="00AE6F79"/>
    <w:rsid w:val="00AE70CF"/>
    <w:rsid w:val="00AE7243"/>
    <w:rsid w:val="00AE73C0"/>
    <w:rsid w:val="00AE73EC"/>
    <w:rsid w:val="00AE7574"/>
    <w:rsid w:val="00AE7856"/>
    <w:rsid w:val="00AE7A7E"/>
    <w:rsid w:val="00AE7F92"/>
    <w:rsid w:val="00AE7FB9"/>
    <w:rsid w:val="00AF01E0"/>
    <w:rsid w:val="00AF02D1"/>
    <w:rsid w:val="00AF0367"/>
    <w:rsid w:val="00AF0774"/>
    <w:rsid w:val="00AF0AEF"/>
    <w:rsid w:val="00AF0D17"/>
    <w:rsid w:val="00AF12C4"/>
    <w:rsid w:val="00AF141E"/>
    <w:rsid w:val="00AF1492"/>
    <w:rsid w:val="00AF1857"/>
    <w:rsid w:val="00AF18F3"/>
    <w:rsid w:val="00AF1A0B"/>
    <w:rsid w:val="00AF1E2B"/>
    <w:rsid w:val="00AF1E5E"/>
    <w:rsid w:val="00AF203C"/>
    <w:rsid w:val="00AF257E"/>
    <w:rsid w:val="00AF28DE"/>
    <w:rsid w:val="00AF29B7"/>
    <w:rsid w:val="00AF29B9"/>
    <w:rsid w:val="00AF29FC"/>
    <w:rsid w:val="00AF2BBD"/>
    <w:rsid w:val="00AF2EBE"/>
    <w:rsid w:val="00AF2EF7"/>
    <w:rsid w:val="00AF2FB6"/>
    <w:rsid w:val="00AF3079"/>
    <w:rsid w:val="00AF33B3"/>
    <w:rsid w:val="00AF3C59"/>
    <w:rsid w:val="00AF3EB8"/>
    <w:rsid w:val="00AF3F34"/>
    <w:rsid w:val="00AF413B"/>
    <w:rsid w:val="00AF42D2"/>
    <w:rsid w:val="00AF46FB"/>
    <w:rsid w:val="00AF4703"/>
    <w:rsid w:val="00AF4756"/>
    <w:rsid w:val="00AF4811"/>
    <w:rsid w:val="00AF4B0C"/>
    <w:rsid w:val="00AF4EB3"/>
    <w:rsid w:val="00AF5473"/>
    <w:rsid w:val="00AF586A"/>
    <w:rsid w:val="00AF5FD9"/>
    <w:rsid w:val="00AF60A3"/>
    <w:rsid w:val="00AF62B8"/>
    <w:rsid w:val="00AF63C0"/>
    <w:rsid w:val="00AF6608"/>
    <w:rsid w:val="00AF6756"/>
    <w:rsid w:val="00AF6895"/>
    <w:rsid w:val="00AF6B3C"/>
    <w:rsid w:val="00AF6B4F"/>
    <w:rsid w:val="00AF6C09"/>
    <w:rsid w:val="00AF6C84"/>
    <w:rsid w:val="00AF6CEE"/>
    <w:rsid w:val="00AF6DEA"/>
    <w:rsid w:val="00AF72D7"/>
    <w:rsid w:val="00AF73A7"/>
    <w:rsid w:val="00AF73B0"/>
    <w:rsid w:val="00AF7429"/>
    <w:rsid w:val="00AF74F3"/>
    <w:rsid w:val="00AF768B"/>
    <w:rsid w:val="00AF7C2F"/>
    <w:rsid w:val="00B001A6"/>
    <w:rsid w:val="00B00259"/>
    <w:rsid w:val="00B002CB"/>
    <w:rsid w:val="00B0053B"/>
    <w:rsid w:val="00B00844"/>
    <w:rsid w:val="00B009AA"/>
    <w:rsid w:val="00B00D08"/>
    <w:rsid w:val="00B00D9B"/>
    <w:rsid w:val="00B00DFE"/>
    <w:rsid w:val="00B01050"/>
    <w:rsid w:val="00B01172"/>
    <w:rsid w:val="00B012E9"/>
    <w:rsid w:val="00B0193D"/>
    <w:rsid w:val="00B01972"/>
    <w:rsid w:val="00B01C99"/>
    <w:rsid w:val="00B01CD2"/>
    <w:rsid w:val="00B026A1"/>
    <w:rsid w:val="00B02820"/>
    <w:rsid w:val="00B02B97"/>
    <w:rsid w:val="00B02D82"/>
    <w:rsid w:val="00B02F64"/>
    <w:rsid w:val="00B032E0"/>
    <w:rsid w:val="00B0352F"/>
    <w:rsid w:val="00B03696"/>
    <w:rsid w:val="00B03892"/>
    <w:rsid w:val="00B038AD"/>
    <w:rsid w:val="00B038C8"/>
    <w:rsid w:val="00B03C15"/>
    <w:rsid w:val="00B03C58"/>
    <w:rsid w:val="00B03CD8"/>
    <w:rsid w:val="00B03CF4"/>
    <w:rsid w:val="00B04040"/>
    <w:rsid w:val="00B04BF7"/>
    <w:rsid w:val="00B04EAB"/>
    <w:rsid w:val="00B0516D"/>
    <w:rsid w:val="00B0539E"/>
    <w:rsid w:val="00B05555"/>
    <w:rsid w:val="00B05613"/>
    <w:rsid w:val="00B05693"/>
    <w:rsid w:val="00B05758"/>
    <w:rsid w:val="00B05966"/>
    <w:rsid w:val="00B05DCA"/>
    <w:rsid w:val="00B05E4E"/>
    <w:rsid w:val="00B061BF"/>
    <w:rsid w:val="00B062E4"/>
    <w:rsid w:val="00B06856"/>
    <w:rsid w:val="00B06974"/>
    <w:rsid w:val="00B06AA6"/>
    <w:rsid w:val="00B070D3"/>
    <w:rsid w:val="00B071A6"/>
    <w:rsid w:val="00B07268"/>
    <w:rsid w:val="00B07410"/>
    <w:rsid w:val="00B07577"/>
    <w:rsid w:val="00B07906"/>
    <w:rsid w:val="00B079A0"/>
    <w:rsid w:val="00B07A1A"/>
    <w:rsid w:val="00B07B37"/>
    <w:rsid w:val="00B10135"/>
    <w:rsid w:val="00B1073C"/>
    <w:rsid w:val="00B10E69"/>
    <w:rsid w:val="00B111AB"/>
    <w:rsid w:val="00B1143E"/>
    <w:rsid w:val="00B1147C"/>
    <w:rsid w:val="00B117DD"/>
    <w:rsid w:val="00B118BD"/>
    <w:rsid w:val="00B11B67"/>
    <w:rsid w:val="00B11F93"/>
    <w:rsid w:val="00B12165"/>
    <w:rsid w:val="00B1297B"/>
    <w:rsid w:val="00B12ADE"/>
    <w:rsid w:val="00B12AE8"/>
    <w:rsid w:val="00B12BAB"/>
    <w:rsid w:val="00B12F9C"/>
    <w:rsid w:val="00B130BE"/>
    <w:rsid w:val="00B13801"/>
    <w:rsid w:val="00B13A67"/>
    <w:rsid w:val="00B13CBA"/>
    <w:rsid w:val="00B13CDA"/>
    <w:rsid w:val="00B13D84"/>
    <w:rsid w:val="00B1403A"/>
    <w:rsid w:val="00B1428B"/>
    <w:rsid w:val="00B14395"/>
    <w:rsid w:val="00B14524"/>
    <w:rsid w:val="00B1453A"/>
    <w:rsid w:val="00B145C0"/>
    <w:rsid w:val="00B14C0F"/>
    <w:rsid w:val="00B150F3"/>
    <w:rsid w:val="00B1552A"/>
    <w:rsid w:val="00B156FB"/>
    <w:rsid w:val="00B15764"/>
    <w:rsid w:val="00B15963"/>
    <w:rsid w:val="00B15B98"/>
    <w:rsid w:val="00B15BB2"/>
    <w:rsid w:val="00B15C38"/>
    <w:rsid w:val="00B16063"/>
    <w:rsid w:val="00B16279"/>
    <w:rsid w:val="00B166D1"/>
    <w:rsid w:val="00B1686A"/>
    <w:rsid w:val="00B1698F"/>
    <w:rsid w:val="00B16A55"/>
    <w:rsid w:val="00B16B06"/>
    <w:rsid w:val="00B16E75"/>
    <w:rsid w:val="00B16E83"/>
    <w:rsid w:val="00B178FD"/>
    <w:rsid w:val="00B1795B"/>
    <w:rsid w:val="00B17972"/>
    <w:rsid w:val="00B179AD"/>
    <w:rsid w:val="00B179DF"/>
    <w:rsid w:val="00B179E6"/>
    <w:rsid w:val="00B17D40"/>
    <w:rsid w:val="00B17DA0"/>
    <w:rsid w:val="00B2007D"/>
    <w:rsid w:val="00B201A2"/>
    <w:rsid w:val="00B2042B"/>
    <w:rsid w:val="00B2053A"/>
    <w:rsid w:val="00B2063E"/>
    <w:rsid w:val="00B206B0"/>
    <w:rsid w:val="00B206B7"/>
    <w:rsid w:val="00B20A31"/>
    <w:rsid w:val="00B20E4C"/>
    <w:rsid w:val="00B21182"/>
    <w:rsid w:val="00B217F8"/>
    <w:rsid w:val="00B21CB6"/>
    <w:rsid w:val="00B21D14"/>
    <w:rsid w:val="00B22246"/>
    <w:rsid w:val="00B227E4"/>
    <w:rsid w:val="00B22E7B"/>
    <w:rsid w:val="00B23843"/>
    <w:rsid w:val="00B23A42"/>
    <w:rsid w:val="00B24020"/>
    <w:rsid w:val="00B242EA"/>
    <w:rsid w:val="00B24573"/>
    <w:rsid w:val="00B24DCB"/>
    <w:rsid w:val="00B24FFD"/>
    <w:rsid w:val="00B25025"/>
    <w:rsid w:val="00B250A6"/>
    <w:rsid w:val="00B26048"/>
    <w:rsid w:val="00B26074"/>
    <w:rsid w:val="00B26448"/>
    <w:rsid w:val="00B26B95"/>
    <w:rsid w:val="00B26F31"/>
    <w:rsid w:val="00B27073"/>
    <w:rsid w:val="00B2743E"/>
    <w:rsid w:val="00B277E0"/>
    <w:rsid w:val="00B27A43"/>
    <w:rsid w:val="00B27AD3"/>
    <w:rsid w:val="00B27E53"/>
    <w:rsid w:val="00B27EC4"/>
    <w:rsid w:val="00B3039D"/>
    <w:rsid w:val="00B30617"/>
    <w:rsid w:val="00B309E3"/>
    <w:rsid w:val="00B30A08"/>
    <w:rsid w:val="00B30CC6"/>
    <w:rsid w:val="00B311C2"/>
    <w:rsid w:val="00B318AC"/>
    <w:rsid w:val="00B31962"/>
    <w:rsid w:val="00B31F0A"/>
    <w:rsid w:val="00B32093"/>
    <w:rsid w:val="00B321BD"/>
    <w:rsid w:val="00B32209"/>
    <w:rsid w:val="00B32493"/>
    <w:rsid w:val="00B32F83"/>
    <w:rsid w:val="00B33114"/>
    <w:rsid w:val="00B33140"/>
    <w:rsid w:val="00B3339E"/>
    <w:rsid w:val="00B335B4"/>
    <w:rsid w:val="00B33717"/>
    <w:rsid w:val="00B33D0E"/>
    <w:rsid w:val="00B33E6A"/>
    <w:rsid w:val="00B34018"/>
    <w:rsid w:val="00B3404E"/>
    <w:rsid w:val="00B3426B"/>
    <w:rsid w:val="00B34422"/>
    <w:rsid w:val="00B34632"/>
    <w:rsid w:val="00B346C0"/>
    <w:rsid w:val="00B34B4E"/>
    <w:rsid w:val="00B34C8B"/>
    <w:rsid w:val="00B34D24"/>
    <w:rsid w:val="00B34DD3"/>
    <w:rsid w:val="00B3541D"/>
    <w:rsid w:val="00B363CB"/>
    <w:rsid w:val="00B3669D"/>
    <w:rsid w:val="00B366A5"/>
    <w:rsid w:val="00B3694C"/>
    <w:rsid w:val="00B3699F"/>
    <w:rsid w:val="00B36A0F"/>
    <w:rsid w:val="00B36B96"/>
    <w:rsid w:val="00B36C5E"/>
    <w:rsid w:val="00B37068"/>
    <w:rsid w:val="00B37078"/>
    <w:rsid w:val="00B373F6"/>
    <w:rsid w:val="00B3741E"/>
    <w:rsid w:val="00B37729"/>
    <w:rsid w:val="00B37844"/>
    <w:rsid w:val="00B3791E"/>
    <w:rsid w:val="00B37AE5"/>
    <w:rsid w:val="00B40058"/>
    <w:rsid w:val="00B40398"/>
    <w:rsid w:val="00B403CC"/>
    <w:rsid w:val="00B40578"/>
    <w:rsid w:val="00B4062E"/>
    <w:rsid w:val="00B40637"/>
    <w:rsid w:val="00B40657"/>
    <w:rsid w:val="00B407A9"/>
    <w:rsid w:val="00B418C6"/>
    <w:rsid w:val="00B41D7A"/>
    <w:rsid w:val="00B41F72"/>
    <w:rsid w:val="00B41FEF"/>
    <w:rsid w:val="00B420BE"/>
    <w:rsid w:val="00B420ED"/>
    <w:rsid w:val="00B423C0"/>
    <w:rsid w:val="00B42596"/>
    <w:rsid w:val="00B426A7"/>
    <w:rsid w:val="00B42784"/>
    <w:rsid w:val="00B4278E"/>
    <w:rsid w:val="00B42EB7"/>
    <w:rsid w:val="00B42F9C"/>
    <w:rsid w:val="00B4308E"/>
    <w:rsid w:val="00B43205"/>
    <w:rsid w:val="00B434F6"/>
    <w:rsid w:val="00B43933"/>
    <w:rsid w:val="00B43990"/>
    <w:rsid w:val="00B43B62"/>
    <w:rsid w:val="00B43D48"/>
    <w:rsid w:val="00B4417E"/>
    <w:rsid w:val="00B44227"/>
    <w:rsid w:val="00B44292"/>
    <w:rsid w:val="00B442B4"/>
    <w:rsid w:val="00B443D2"/>
    <w:rsid w:val="00B44482"/>
    <w:rsid w:val="00B45402"/>
    <w:rsid w:val="00B455CA"/>
    <w:rsid w:val="00B45720"/>
    <w:rsid w:val="00B45AF1"/>
    <w:rsid w:val="00B45CDC"/>
    <w:rsid w:val="00B45FCA"/>
    <w:rsid w:val="00B4614A"/>
    <w:rsid w:val="00B463A5"/>
    <w:rsid w:val="00B464C1"/>
    <w:rsid w:val="00B465DC"/>
    <w:rsid w:val="00B46D01"/>
    <w:rsid w:val="00B47281"/>
    <w:rsid w:val="00B47576"/>
    <w:rsid w:val="00B47590"/>
    <w:rsid w:val="00B47638"/>
    <w:rsid w:val="00B4774C"/>
    <w:rsid w:val="00B477A2"/>
    <w:rsid w:val="00B477BE"/>
    <w:rsid w:val="00B479C0"/>
    <w:rsid w:val="00B47E5B"/>
    <w:rsid w:val="00B50106"/>
    <w:rsid w:val="00B502BF"/>
    <w:rsid w:val="00B503D4"/>
    <w:rsid w:val="00B5050F"/>
    <w:rsid w:val="00B5099B"/>
    <w:rsid w:val="00B50ACC"/>
    <w:rsid w:val="00B50DDD"/>
    <w:rsid w:val="00B50FCD"/>
    <w:rsid w:val="00B510F7"/>
    <w:rsid w:val="00B51368"/>
    <w:rsid w:val="00B516A9"/>
    <w:rsid w:val="00B51790"/>
    <w:rsid w:val="00B51A59"/>
    <w:rsid w:val="00B51BF0"/>
    <w:rsid w:val="00B51F74"/>
    <w:rsid w:val="00B51FAC"/>
    <w:rsid w:val="00B51FC8"/>
    <w:rsid w:val="00B52490"/>
    <w:rsid w:val="00B53260"/>
    <w:rsid w:val="00B533FA"/>
    <w:rsid w:val="00B53401"/>
    <w:rsid w:val="00B53413"/>
    <w:rsid w:val="00B5373F"/>
    <w:rsid w:val="00B538AF"/>
    <w:rsid w:val="00B53C35"/>
    <w:rsid w:val="00B53CA9"/>
    <w:rsid w:val="00B53F96"/>
    <w:rsid w:val="00B5427E"/>
    <w:rsid w:val="00B54385"/>
    <w:rsid w:val="00B548DA"/>
    <w:rsid w:val="00B54EE9"/>
    <w:rsid w:val="00B55B67"/>
    <w:rsid w:val="00B55DC7"/>
    <w:rsid w:val="00B55FBB"/>
    <w:rsid w:val="00B56645"/>
    <w:rsid w:val="00B56AC9"/>
    <w:rsid w:val="00B56AF5"/>
    <w:rsid w:val="00B56DDB"/>
    <w:rsid w:val="00B56E26"/>
    <w:rsid w:val="00B57287"/>
    <w:rsid w:val="00B57370"/>
    <w:rsid w:val="00B60028"/>
    <w:rsid w:val="00B60047"/>
    <w:rsid w:val="00B601B9"/>
    <w:rsid w:val="00B602DC"/>
    <w:rsid w:val="00B60ADF"/>
    <w:rsid w:val="00B60B6F"/>
    <w:rsid w:val="00B60E80"/>
    <w:rsid w:val="00B60E83"/>
    <w:rsid w:val="00B6108C"/>
    <w:rsid w:val="00B6155C"/>
    <w:rsid w:val="00B615E7"/>
    <w:rsid w:val="00B616ED"/>
    <w:rsid w:val="00B61764"/>
    <w:rsid w:val="00B61A85"/>
    <w:rsid w:val="00B61CDC"/>
    <w:rsid w:val="00B61EE8"/>
    <w:rsid w:val="00B62433"/>
    <w:rsid w:val="00B62469"/>
    <w:rsid w:val="00B62573"/>
    <w:rsid w:val="00B627E9"/>
    <w:rsid w:val="00B62845"/>
    <w:rsid w:val="00B62A91"/>
    <w:rsid w:val="00B63166"/>
    <w:rsid w:val="00B63380"/>
    <w:rsid w:val="00B63889"/>
    <w:rsid w:val="00B63A58"/>
    <w:rsid w:val="00B63BF8"/>
    <w:rsid w:val="00B63EEA"/>
    <w:rsid w:val="00B6406E"/>
    <w:rsid w:val="00B64308"/>
    <w:rsid w:val="00B645BA"/>
    <w:rsid w:val="00B645D2"/>
    <w:rsid w:val="00B6470B"/>
    <w:rsid w:val="00B64A61"/>
    <w:rsid w:val="00B64CAD"/>
    <w:rsid w:val="00B64CC1"/>
    <w:rsid w:val="00B64DFB"/>
    <w:rsid w:val="00B64EE2"/>
    <w:rsid w:val="00B653CA"/>
    <w:rsid w:val="00B654F8"/>
    <w:rsid w:val="00B65A44"/>
    <w:rsid w:val="00B65AF1"/>
    <w:rsid w:val="00B65BC4"/>
    <w:rsid w:val="00B65CB6"/>
    <w:rsid w:val="00B65E5A"/>
    <w:rsid w:val="00B662A2"/>
    <w:rsid w:val="00B66B66"/>
    <w:rsid w:val="00B66C90"/>
    <w:rsid w:val="00B66D36"/>
    <w:rsid w:val="00B66D47"/>
    <w:rsid w:val="00B66DA0"/>
    <w:rsid w:val="00B6722C"/>
    <w:rsid w:val="00B6730C"/>
    <w:rsid w:val="00B6733F"/>
    <w:rsid w:val="00B67858"/>
    <w:rsid w:val="00B67DC5"/>
    <w:rsid w:val="00B67ECE"/>
    <w:rsid w:val="00B67F97"/>
    <w:rsid w:val="00B67FDC"/>
    <w:rsid w:val="00B704F6"/>
    <w:rsid w:val="00B70667"/>
    <w:rsid w:val="00B7069D"/>
    <w:rsid w:val="00B71CCC"/>
    <w:rsid w:val="00B71CCF"/>
    <w:rsid w:val="00B71CF3"/>
    <w:rsid w:val="00B720C1"/>
    <w:rsid w:val="00B7218E"/>
    <w:rsid w:val="00B72209"/>
    <w:rsid w:val="00B72420"/>
    <w:rsid w:val="00B72570"/>
    <w:rsid w:val="00B72705"/>
    <w:rsid w:val="00B7271B"/>
    <w:rsid w:val="00B727F2"/>
    <w:rsid w:val="00B72A4F"/>
    <w:rsid w:val="00B72CC5"/>
    <w:rsid w:val="00B730AC"/>
    <w:rsid w:val="00B732A3"/>
    <w:rsid w:val="00B733D7"/>
    <w:rsid w:val="00B7341E"/>
    <w:rsid w:val="00B7353D"/>
    <w:rsid w:val="00B735F8"/>
    <w:rsid w:val="00B737D4"/>
    <w:rsid w:val="00B73D26"/>
    <w:rsid w:val="00B74424"/>
    <w:rsid w:val="00B744BB"/>
    <w:rsid w:val="00B74F27"/>
    <w:rsid w:val="00B75213"/>
    <w:rsid w:val="00B7558B"/>
    <w:rsid w:val="00B75637"/>
    <w:rsid w:val="00B759C4"/>
    <w:rsid w:val="00B75D9A"/>
    <w:rsid w:val="00B76182"/>
    <w:rsid w:val="00B76280"/>
    <w:rsid w:val="00B7648D"/>
    <w:rsid w:val="00B76633"/>
    <w:rsid w:val="00B76755"/>
    <w:rsid w:val="00B769C9"/>
    <w:rsid w:val="00B76AEE"/>
    <w:rsid w:val="00B76B31"/>
    <w:rsid w:val="00B76C1C"/>
    <w:rsid w:val="00B76D1F"/>
    <w:rsid w:val="00B77007"/>
    <w:rsid w:val="00B77020"/>
    <w:rsid w:val="00B7738B"/>
    <w:rsid w:val="00B77B3D"/>
    <w:rsid w:val="00B77D6D"/>
    <w:rsid w:val="00B80014"/>
    <w:rsid w:val="00B807A3"/>
    <w:rsid w:val="00B808AF"/>
    <w:rsid w:val="00B80D10"/>
    <w:rsid w:val="00B80D6C"/>
    <w:rsid w:val="00B80D79"/>
    <w:rsid w:val="00B81051"/>
    <w:rsid w:val="00B8126E"/>
    <w:rsid w:val="00B81278"/>
    <w:rsid w:val="00B813A0"/>
    <w:rsid w:val="00B813B5"/>
    <w:rsid w:val="00B81550"/>
    <w:rsid w:val="00B81BB5"/>
    <w:rsid w:val="00B81C81"/>
    <w:rsid w:val="00B81CEF"/>
    <w:rsid w:val="00B82149"/>
    <w:rsid w:val="00B82452"/>
    <w:rsid w:val="00B825E9"/>
    <w:rsid w:val="00B82637"/>
    <w:rsid w:val="00B82AED"/>
    <w:rsid w:val="00B82B86"/>
    <w:rsid w:val="00B831A5"/>
    <w:rsid w:val="00B83668"/>
    <w:rsid w:val="00B83698"/>
    <w:rsid w:val="00B83A9D"/>
    <w:rsid w:val="00B83BF0"/>
    <w:rsid w:val="00B83C87"/>
    <w:rsid w:val="00B8406D"/>
    <w:rsid w:val="00B84409"/>
    <w:rsid w:val="00B84441"/>
    <w:rsid w:val="00B84795"/>
    <w:rsid w:val="00B84A5D"/>
    <w:rsid w:val="00B84D65"/>
    <w:rsid w:val="00B84D89"/>
    <w:rsid w:val="00B85216"/>
    <w:rsid w:val="00B8570E"/>
    <w:rsid w:val="00B857F1"/>
    <w:rsid w:val="00B85839"/>
    <w:rsid w:val="00B85C53"/>
    <w:rsid w:val="00B8618F"/>
    <w:rsid w:val="00B862F4"/>
    <w:rsid w:val="00B8635D"/>
    <w:rsid w:val="00B86487"/>
    <w:rsid w:val="00B86A70"/>
    <w:rsid w:val="00B86C2D"/>
    <w:rsid w:val="00B86ECA"/>
    <w:rsid w:val="00B87673"/>
    <w:rsid w:val="00B87755"/>
    <w:rsid w:val="00B87CC1"/>
    <w:rsid w:val="00B907C7"/>
    <w:rsid w:val="00B90809"/>
    <w:rsid w:val="00B90921"/>
    <w:rsid w:val="00B90A5E"/>
    <w:rsid w:val="00B90AB1"/>
    <w:rsid w:val="00B90F1C"/>
    <w:rsid w:val="00B90FEF"/>
    <w:rsid w:val="00B91189"/>
    <w:rsid w:val="00B9133C"/>
    <w:rsid w:val="00B916A5"/>
    <w:rsid w:val="00B9189B"/>
    <w:rsid w:val="00B919D8"/>
    <w:rsid w:val="00B91AC1"/>
    <w:rsid w:val="00B91B42"/>
    <w:rsid w:val="00B91B9D"/>
    <w:rsid w:val="00B91C7B"/>
    <w:rsid w:val="00B92027"/>
    <w:rsid w:val="00B92390"/>
    <w:rsid w:val="00B923CD"/>
    <w:rsid w:val="00B92C99"/>
    <w:rsid w:val="00B931E0"/>
    <w:rsid w:val="00B93215"/>
    <w:rsid w:val="00B932DF"/>
    <w:rsid w:val="00B936AC"/>
    <w:rsid w:val="00B9382A"/>
    <w:rsid w:val="00B93A4D"/>
    <w:rsid w:val="00B93AC0"/>
    <w:rsid w:val="00B93B65"/>
    <w:rsid w:val="00B93CBF"/>
    <w:rsid w:val="00B93E60"/>
    <w:rsid w:val="00B9426E"/>
    <w:rsid w:val="00B9437C"/>
    <w:rsid w:val="00B94521"/>
    <w:rsid w:val="00B945EC"/>
    <w:rsid w:val="00B94623"/>
    <w:rsid w:val="00B94628"/>
    <w:rsid w:val="00B947EA"/>
    <w:rsid w:val="00B94854"/>
    <w:rsid w:val="00B9492D"/>
    <w:rsid w:val="00B94ADE"/>
    <w:rsid w:val="00B94E8F"/>
    <w:rsid w:val="00B94F92"/>
    <w:rsid w:val="00B95024"/>
    <w:rsid w:val="00B9502E"/>
    <w:rsid w:val="00B95223"/>
    <w:rsid w:val="00B9541C"/>
    <w:rsid w:val="00B9545F"/>
    <w:rsid w:val="00B955D6"/>
    <w:rsid w:val="00B95878"/>
    <w:rsid w:val="00B958C3"/>
    <w:rsid w:val="00B95C5E"/>
    <w:rsid w:val="00B95CB7"/>
    <w:rsid w:val="00B95FC7"/>
    <w:rsid w:val="00B96071"/>
    <w:rsid w:val="00B96244"/>
    <w:rsid w:val="00B9639B"/>
    <w:rsid w:val="00B968C5"/>
    <w:rsid w:val="00B96A30"/>
    <w:rsid w:val="00B96ABB"/>
    <w:rsid w:val="00B96C11"/>
    <w:rsid w:val="00B96DCD"/>
    <w:rsid w:val="00B96E87"/>
    <w:rsid w:val="00B9728A"/>
    <w:rsid w:val="00B97327"/>
    <w:rsid w:val="00B97627"/>
    <w:rsid w:val="00B9793B"/>
    <w:rsid w:val="00B97953"/>
    <w:rsid w:val="00B97C71"/>
    <w:rsid w:val="00BA0092"/>
    <w:rsid w:val="00BA098C"/>
    <w:rsid w:val="00BA09CB"/>
    <w:rsid w:val="00BA0EC1"/>
    <w:rsid w:val="00BA0ED1"/>
    <w:rsid w:val="00BA0F41"/>
    <w:rsid w:val="00BA0F9E"/>
    <w:rsid w:val="00BA1064"/>
    <w:rsid w:val="00BA117B"/>
    <w:rsid w:val="00BA1907"/>
    <w:rsid w:val="00BA2793"/>
    <w:rsid w:val="00BA29F5"/>
    <w:rsid w:val="00BA325B"/>
    <w:rsid w:val="00BA3513"/>
    <w:rsid w:val="00BA3624"/>
    <w:rsid w:val="00BA3654"/>
    <w:rsid w:val="00BA36D9"/>
    <w:rsid w:val="00BA3AD5"/>
    <w:rsid w:val="00BA3C85"/>
    <w:rsid w:val="00BA3FBA"/>
    <w:rsid w:val="00BA4456"/>
    <w:rsid w:val="00BA461D"/>
    <w:rsid w:val="00BA4773"/>
    <w:rsid w:val="00BA47B1"/>
    <w:rsid w:val="00BA4981"/>
    <w:rsid w:val="00BA4AB3"/>
    <w:rsid w:val="00BA4AB7"/>
    <w:rsid w:val="00BA4BE6"/>
    <w:rsid w:val="00BA4D12"/>
    <w:rsid w:val="00BA4D72"/>
    <w:rsid w:val="00BA4E3B"/>
    <w:rsid w:val="00BA5287"/>
    <w:rsid w:val="00BA552C"/>
    <w:rsid w:val="00BA55C0"/>
    <w:rsid w:val="00BA57D4"/>
    <w:rsid w:val="00BA5AEA"/>
    <w:rsid w:val="00BA5D4C"/>
    <w:rsid w:val="00BA5E6F"/>
    <w:rsid w:val="00BA6254"/>
    <w:rsid w:val="00BA635D"/>
    <w:rsid w:val="00BA64D1"/>
    <w:rsid w:val="00BA6608"/>
    <w:rsid w:val="00BA6651"/>
    <w:rsid w:val="00BA669B"/>
    <w:rsid w:val="00BA6BB6"/>
    <w:rsid w:val="00BA6FF7"/>
    <w:rsid w:val="00BA73F7"/>
    <w:rsid w:val="00BA745E"/>
    <w:rsid w:val="00BA75DF"/>
    <w:rsid w:val="00BA76B9"/>
    <w:rsid w:val="00BA7CF0"/>
    <w:rsid w:val="00BA7D66"/>
    <w:rsid w:val="00BB0263"/>
    <w:rsid w:val="00BB0C22"/>
    <w:rsid w:val="00BB0C3B"/>
    <w:rsid w:val="00BB0F04"/>
    <w:rsid w:val="00BB1083"/>
    <w:rsid w:val="00BB13F3"/>
    <w:rsid w:val="00BB16FA"/>
    <w:rsid w:val="00BB1914"/>
    <w:rsid w:val="00BB194A"/>
    <w:rsid w:val="00BB1954"/>
    <w:rsid w:val="00BB1B7D"/>
    <w:rsid w:val="00BB1DEE"/>
    <w:rsid w:val="00BB21C6"/>
    <w:rsid w:val="00BB2BD9"/>
    <w:rsid w:val="00BB2E8D"/>
    <w:rsid w:val="00BB3281"/>
    <w:rsid w:val="00BB34A4"/>
    <w:rsid w:val="00BB370F"/>
    <w:rsid w:val="00BB3B7F"/>
    <w:rsid w:val="00BB3C35"/>
    <w:rsid w:val="00BB3D66"/>
    <w:rsid w:val="00BB494B"/>
    <w:rsid w:val="00BB4BE6"/>
    <w:rsid w:val="00BB5222"/>
    <w:rsid w:val="00BB550A"/>
    <w:rsid w:val="00BB5E4E"/>
    <w:rsid w:val="00BB5F8C"/>
    <w:rsid w:val="00BB607B"/>
    <w:rsid w:val="00BB655A"/>
    <w:rsid w:val="00BB6889"/>
    <w:rsid w:val="00BB69BD"/>
    <w:rsid w:val="00BB6E63"/>
    <w:rsid w:val="00BB7095"/>
    <w:rsid w:val="00BB7510"/>
    <w:rsid w:val="00BB751D"/>
    <w:rsid w:val="00BB7714"/>
    <w:rsid w:val="00BB774C"/>
    <w:rsid w:val="00BB77F6"/>
    <w:rsid w:val="00BB7DDC"/>
    <w:rsid w:val="00BB7EC9"/>
    <w:rsid w:val="00BC04FD"/>
    <w:rsid w:val="00BC0CDF"/>
    <w:rsid w:val="00BC0D19"/>
    <w:rsid w:val="00BC0E6A"/>
    <w:rsid w:val="00BC10F7"/>
    <w:rsid w:val="00BC1466"/>
    <w:rsid w:val="00BC1574"/>
    <w:rsid w:val="00BC1830"/>
    <w:rsid w:val="00BC1899"/>
    <w:rsid w:val="00BC19D1"/>
    <w:rsid w:val="00BC1A44"/>
    <w:rsid w:val="00BC1A77"/>
    <w:rsid w:val="00BC1A8B"/>
    <w:rsid w:val="00BC1E65"/>
    <w:rsid w:val="00BC1F48"/>
    <w:rsid w:val="00BC20C6"/>
    <w:rsid w:val="00BC2140"/>
    <w:rsid w:val="00BC290E"/>
    <w:rsid w:val="00BC2CE8"/>
    <w:rsid w:val="00BC2D72"/>
    <w:rsid w:val="00BC2E3B"/>
    <w:rsid w:val="00BC2FBB"/>
    <w:rsid w:val="00BC3034"/>
    <w:rsid w:val="00BC36FE"/>
    <w:rsid w:val="00BC37DA"/>
    <w:rsid w:val="00BC398A"/>
    <w:rsid w:val="00BC3E78"/>
    <w:rsid w:val="00BC3F8D"/>
    <w:rsid w:val="00BC3FE4"/>
    <w:rsid w:val="00BC4195"/>
    <w:rsid w:val="00BC4273"/>
    <w:rsid w:val="00BC4287"/>
    <w:rsid w:val="00BC44EB"/>
    <w:rsid w:val="00BC461A"/>
    <w:rsid w:val="00BC46CD"/>
    <w:rsid w:val="00BC4716"/>
    <w:rsid w:val="00BC4873"/>
    <w:rsid w:val="00BC498C"/>
    <w:rsid w:val="00BC4B09"/>
    <w:rsid w:val="00BC4EBF"/>
    <w:rsid w:val="00BC53FB"/>
    <w:rsid w:val="00BC5D4E"/>
    <w:rsid w:val="00BC60A3"/>
    <w:rsid w:val="00BC6215"/>
    <w:rsid w:val="00BC62EB"/>
    <w:rsid w:val="00BC6434"/>
    <w:rsid w:val="00BC6734"/>
    <w:rsid w:val="00BC682C"/>
    <w:rsid w:val="00BC6C50"/>
    <w:rsid w:val="00BC7337"/>
    <w:rsid w:val="00BC7410"/>
    <w:rsid w:val="00BC7432"/>
    <w:rsid w:val="00BC790C"/>
    <w:rsid w:val="00BC7B73"/>
    <w:rsid w:val="00BC7D57"/>
    <w:rsid w:val="00BC7EB1"/>
    <w:rsid w:val="00BD0748"/>
    <w:rsid w:val="00BD10C8"/>
    <w:rsid w:val="00BD121A"/>
    <w:rsid w:val="00BD1513"/>
    <w:rsid w:val="00BD168F"/>
    <w:rsid w:val="00BD1B0D"/>
    <w:rsid w:val="00BD21D7"/>
    <w:rsid w:val="00BD2516"/>
    <w:rsid w:val="00BD252A"/>
    <w:rsid w:val="00BD25E9"/>
    <w:rsid w:val="00BD25F6"/>
    <w:rsid w:val="00BD2680"/>
    <w:rsid w:val="00BD268A"/>
    <w:rsid w:val="00BD27F8"/>
    <w:rsid w:val="00BD28E1"/>
    <w:rsid w:val="00BD2ADD"/>
    <w:rsid w:val="00BD2FA0"/>
    <w:rsid w:val="00BD3347"/>
    <w:rsid w:val="00BD3699"/>
    <w:rsid w:val="00BD370C"/>
    <w:rsid w:val="00BD3988"/>
    <w:rsid w:val="00BD3B03"/>
    <w:rsid w:val="00BD3D3D"/>
    <w:rsid w:val="00BD3EAA"/>
    <w:rsid w:val="00BD4100"/>
    <w:rsid w:val="00BD416D"/>
    <w:rsid w:val="00BD439C"/>
    <w:rsid w:val="00BD44E0"/>
    <w:rsid w:val="00BD4732"/>
    <w:rsid w:val="00BD49BA"/>
    <w:rsid w:val="00BD49EF"/>
    <w:rsid w:val="00BD4DFD"/>
    <w:rsid w:val="00BD501C"/>
    <w:rsid w:val="00BD53CB"/>
    <w:rsid w:val="00BD55D6"/>
    <w:rsid w:val="00BD574E"/>
    <w:rsid w:val="00BD583B"/>
    <w:rsid w:val="00BD5889"/>
    <w:rsid w:val="00BD58C9"/>
    <w:rsid w:val="00BD58E5"/>
    <w:rsid w:val="00BD5969"/>
    <w:rsid w:val="00BD5E69"/>
    <w:rsid w:val="00BD61FB"/>
    <w:rsid w:val="00BD6394"/>
    <w:rsid w:val="00BD6407"/>
    <w:rsid w:val="00BD641D"/>
    <w:rsid w:val="00BD647A"/>
    <w:rsid w:val="00BD6534"/>
    <w:rsid w:val="00BD65A5"/>
    <w:rsid w:val="00BD6685"/>
    <w:rsid w:val="00BD6721"/>
    <w:rsid w:val="00BD67F9"/>
    <w:rsid w:val="00BD6DE0"/>
    <w:rsid w:val="00BD6E17"/>
    <w:rsid w:val="00BD72E4"/>
    <w:rsid w:val="00BD75C3"/>
    <w:rsid w:val="00BD783A"/>
    <w:rsid w:val="00BD7876"/>
    <w:rsid w:val="00BD799F"/>
    <w:rsid w:val="00BD7C77"/>
    <w:rsid w:val="00BD7D1D"/>
    <w:rsid w:val="00BD7D47"/>
    <w:rsid w:val="00BE01B2"/>
    <w:rsid w:val="00BE02C2"/>
    <w:rsid w:val="00BE02D1"/>
    <w:rsid w:val="00BE0776"/>
    <w:rsid w:val="00BE0D5E"/>
    <w:rsid w:val="00BE0D83"/>
    <w:rsid w:val="00BE0F0F"/>
    <w:rsid w:val="00BE134F"/>
    <w:rsid w:val="00BE1407"/>
    <w:rsid w:val="00BE141B"/>
    <w:rsid w:val="00BE16AB"/>
    <w:rsid w:val="00BE1737"/>
    <w:rsid w:val="00BE1BF8"/>
    <w:rsid w:val="00BE2286"/>
    <w:rsid w:val="00BE22B3"/>
    <w:rsid w:val="00BE23C9"/>
    <w:rsid w:val="00BE2575"/>
    <w:rsid w:val="00BE28D3"/>
    <w:rsid w:val="00BE2926"/>
    <w:rsid w:val="00BE2D84"/>
    <w:rsid w:val="00BE2EC9"/>
    <w:rsid w:val="00BE3188"/>
    <w:rsid w:val="00BE3201"/>
    <w:rsid w:val="00BE3640"/>
    <w:rsid w:val="00BE36B5"/>
    <w:rsid w:val="00BE39B7"/>
    <w:rsid w:val="00BE3BF1"/>
    <w:rsid w:val="00BE3DB8"/>
    <w:rsid w:val="00BE3F87"/>
    <w:rsid w:val="00BE43D7"/>
    <w:rsid w:val="00BE44EF"/>
    <w:rsid w:val="00BE4FE0"/>
    <w:rsid w:val="00BE52E7"/>
    <w:rsid w:val="00BE5335"/>
    <w:rsid w:val="00BE53D4"/>
    <w:rsid w:val="00BE5683"/>
    <w:rsid w:val="00BE57A0"/>
    <w:rsid w:val="00BE589D"/>
    <w:rsid w:val="00BE59CE"/>
    <w:rsid w:val="00BE5A9E"/>
    <w:rsid w:val="00BE5B4D"/>
    <w:rsid w:val="00BE5C06"/>
    <w:rsid w:val="00BE5FF4"/>
    <w:rsid w:val="00BE61CA"/>
    <w:rsid w:val="00BE64E5"/>
    <w:rsid w:val="00BE67E3"/>
    <w:rsid w:val="00BE6888"/>
    <w:rsid w:val="00BE68A7"/>
    <w:rsid w:val="00BE68CF"/>
    <w:rsid w:val="00BE6B38"/>
    <w:rsid w:val="00BE6BB2"/>
    <w:rsid w:val="00BE6F93"/>
    <w:rsid w:val="00BE7091"/>
    <w:rsid w:val="00BE723F"/>
    <w:rsid w:val="00BE730E"/>
    <w:rsid w:val="00BE74B0"/>
    <w:rsid w:val="00BE75EA"/>
    <w:rsid w:val="00BE7758"/>
    <w:rsid w:val="00BE77A3"/>
    <w:rsid w:val="00BE78CC"/>
    <w:rsid w:val="00BE7B93"/>
    <w:rsid w:val="00BE7C86"/>
    <w:rsid w:val="00BE7D76"/>
    <w:rsid w:val="00BF06C1"/>
    <w:rsid w:val="00BF0740"/>
    <w:rsid w:val="00BF0C5E"/>
    <w:rsid w:val="00BF0CA0"/>
    <w:rsid w:val="00BF0FBA"/>
    <w:rsid w:val="00BF0FBD"/>
    <w:rsid w:val="00BF1166"/>
    <w:rsid w:val="00BF16EC"/>
    <w:rsid w:val="00BF18FB"/>
    <w:rsid w:val="00BF19A0"/>
    <w:rsid w:val="00BF1AD3"/>
    <w:rsid w:val="00BF1B3B"/>
    <w:rsid w:val="00BF1FF8"/>
    <w:rsid w:val="00BF25E1"/>
    <w:rsid w:val="00BF285D"/>
    <w:rsid w:val="00BF2CE7"/>
    <w:rsid w:val="00BF2F71"/>
    <w:rsid w:val="00BF32E8"/>
    <w:rsid w:val="00BF334E"/>
    <w:rsid w:val="00BF3A94"/>
    <w:rsid w:val="00BF3E44"/>
    <w:rsid w:val="00BF411D"/>
    <w:rsid w:val="00BF41AE"/>
    <w:rsid w:val="00BF44F1"/>
    <w:rsid w:val="00BF44FB"/>
    <w:rsid w:val="00BF4546"/>
    <w:rsid w:val="00BF464A"/>
    <w:rsid w:val="00BF465B"/>
    <w:rsid w:val="00BF4722"/>
    <w:rsid w:val="00BF4C29"/>
    <w:rsid w:val="00BF4F73"/>
    <w:rsid w:val="00BF5077"/>
    <w:rsid w:val="00BF53C2"/>
    <w:rsid w:val="00BF5424"/>
    <w:rsid w:val="00BF54CE"/>
    <w:rsid w:val="00BF57E4"/>
    <w:rsid w:val="00BF5B6C"/>
    <w:rsid w:val="00BF5C6D"/>
    <w:rsid w:val="00BF626A"/>
    <w:rsid w:val="00BF6631"/>
    <w:rsid w:val="00BF66DF"/>
    <w:rsid w:val="00BF6973"/>
    <w:rsid w:val="00BF6A09"/>
    <w:rsid w:val="00BF6C0D"/>
    <w:rsid w:val="00BF6D12"/>
    <w:rsid w:val="00BF6ED6"/>
    <w:rsid w:val="00BF716C"/>
    <w:rsid w:val="00BF71B3"/>
    <w:rsid w:val="00BF78A2"/>
    <w:rsid w:val="00BF79DC"/>
    <w:rsid w:val="00BF7A2F"/>
    <w:rsid w:val="00BF7BE7"/>
    <w:rsid w:val="00C001D3"/>
    <w:rsid w:val="00C00592"/>
    <w:rsid w:val="00C0064E"/>
    <w:rsid w:val="00C0068C"/>
    <w:rsid w:val="00C00FF9"/>
    <w:rsid w:val="00C0127C"/>
    <w:rsid w:val="00C0212F"/>
    <w:rsid w:val="00C02300"/>
    <w:rsid w:val="00C025E7"/>
    <w:rsid w:val="00C027BA"/>
    <w:rsid w:val="00C028B4"/>
    <w:rsid w:val="00C02B07"/>
    <w:rsid w:val="00C02CEC"/>
    <w:rsid w:val="00C02E32"/>
    <w:rsid w:val="00C03222"/>
    <w:rsid w:val="00C0323B"/>
    <w:rsid w:val="00C0339F"/>
    <w:rsid w:val="00C035B0"/>
    <w:rsid w:val="00C035EC"/>
    <w:rsid w:val="00C03625"/>
    <w:rsid w:val="00C038A8"/>
    <w:rsid w:val="00C03983"/>
    <w:rsid w:val="00C03B1F"/>
    <w:rsid w:val="00C03C31"/>
    <w:rsid w:val="00C03DC4"/>
    <w:rsid w:val="00C03F39"/>
    <w:rsid w:val="00C042B2"/>
    <w:rsid w:val="00C04487"/>
    <w:rsid w:val="00C04873"/>
    <w:rsid w:val="00C052A7"/>
    <w:rsid w:val="00C05548"/>
    <w:rsid w:val="00C0558B"/>
    <w:rsid w:val="00C05AE8"/>
    <w:rsid w:val="00C0603F"/>
    <w:rsid w:val="00C0620B"/>
    <w:rsid w:val="00C06ABE"/>
    <w:rsid w:val="00C06CA3"/>
    <w:rsid w:val="00C07223"/>
    <w:rsid w:val="00C074AB"/>
    <w:rsid w:val="00C074D9"/>
    <w:rsid w:val="00C07945"/>
    <w:rsid w:val="00C07A5F"/>
    <w:rsid w:val="00C07B6C"/>
    <w:rsid w:val="00C07D44"/>
    <w:rsid w:val="00C07D55"/>
    <w:rsid w:val="00C10178"/>
    <w:rsid w:val="00C1028F"/>
    <w:rsid w:val="00C10290"/>
    <w:rsid w:val="00C10366"/>
    <w:rsid w:val="00C10429"/>
    <w:rsid w:val="00C104A6"/>
    <w:rsid w:val="00C10730"/>
    <w:rsid w:val="00C10826"/>
    <w:rsid w:val="00C1084D"/>
    <w:rsid w:val="00C110E6"/>
    <w:rsid w:val="00C1124B"/>
    <w:rsid w:val="00C112F5"/>
    <w:rsid w:val="00C114FA"/>
    <w:rsid w:val="00C11748"/>
    <w:rsid w:val="00C11B66"/>
    <w:rsid w:val="00C11EBF"/>
    <w:rsid w:val="00C12228"/>
    <w:rsid w:val="00C124E5"/>
    <w:rsid w:val="00C12631"/>
    <w:rsid w:val="00C12934"/>
    <w:rsid w:val="00C12DF2"/>
    <w:rsid w:val="00C12E53"/>
    <w:rsid w:val="00C1371A"/>
    <w:rsid w:val="00C13B14"/>
    <w:rsid w:val="00C13C87"/>
    <w:rsid w:val="00C13FAD"/>
    <w:rsid w:val="00C14528"/>
    <w:rsid w:val="00C145BF"/>
    <w:rsid w:val="00C15029"/>
    <w:rsid w:val="00C15086"/>
    <w:rsid w:val="00C15149"/>
    <w:rsid w:val="00C15701"/>
    <w:rsid w:val="00C15AE4"/>
    <w:rsid w:val="00C15C45"/>
    <w:rsid w:val="00C15DEA"/>
    <w:rsid w:val="00C15E39"/>
    <w:rsid w:val="00C15F64"/>
    <w:rsid w:val="00C16183"/>
    <w:rsid w:val="00C163E1"/>
    <w:rsid w:val="00C164C7"/>
    <w:rsid w:val="00C171C3"/>
    <w:rsid w:val="00C175C5"/>
    <w:rsid w:val="00C17C3B"/>
    <w:rsid w:val="00C20030"/>
    <w:rsid w:val="00C201D5"/>
    <w:rsid w:val="00C202B6"/>
    <w:rsid w:val="00C205B6"/>
    <w:rsid w:val="00C208F0"/>
    <w:rsid w:val="00C20CB2"/>
    <w:rsid w:val="00C20DC9"/>
    <w:rsid w:val="00C20F29"/>
    <w:rsid w:val="00C21029"/>
    <w:rsid w:val="00C21565"/>
    <w:rsid w:val="00C21B33"/>
    <w:rsid w:val="00C21BA8"/>
    <w:rsid w:val="00C21D96"/>
    <w:rsid w:val="00C2225D"/>
    <w:rsid w:val="00C2284B"/>
    <w:rsid w:val="00C230D8"/>
    <w:rsid w:val="00C23918"/>
    <w:rsid w:val="00C239D6"/>
    <w:rsid w:val="00C23C7C"/>
    <w:rsid w:val="00C23E2A"/>
    <w:rsid w:val="00C23F0D"/>
    <w:rsid w:val="00C23F25"/>
    <w:rsid w:val="00C23F2E"/>
    <w:rsid w:val="00C24346"/>
    <w:rsid w:val="00C244C2"/>
    <w:rsid w:val="00C24544"/>
    <w:rsid w:val="00C24876"/>
    <w:rsid w:val="00C249A5"/>
    <w:rsid w:val="00C249A8"/>
    <w:rsid w:val="00C24D3C"/>
    <w:rsid w:val="00C253DE"/>
    <w:rsid w:val="00C25697"/>
    <w:rsid w:val="00C2585C"/>
    <w:rsid w:val="00C259A6"/>
    <w:rsid w:val="00C260FF"/>
    <w:rsid w:val="00C261DF"/>
    <w:rsid w:val="00C262AC"/>
    <w:rsid w:val="00C266BE"/>
    <w:rsid w:val="00C266EA"/>
    <w:rsid w:val="00C269EB"/>
    <w:rsid w:val="00C26B24"/>
    <w:rsid w:val="00C2712C"/>
    <w:rsid w:val="00C2724F"/>
    <w:rsid w:val="00C27470"/>
    <w:rsid w:val="00C27508"/>
    <w:rsid w:val="00C27632"/>
    <w:rsid w:val="00C2775D"/>
    <w:rsid w:val="00C2777C"/>
    <w:rsid w:val="00C279C6"/>
    <w:rsid w:val="00C27CCC"/>
    <w:rsid w:val="00C3000F"/>
    <w:rsid w:val="00C30306"/>
    <w:rsid w:val="00C3098E"/>
    <w:rsid w:val="00C30990"/>
    <w:rsid w:val="00C30BF3"/>
    <w:rsid w:val="00C30C39"/>
    <w:rsid w:val="00C31092"/>
    <w:rsid w:val="00C31611"/>
    <w:rsid w:val="00C31CEF"/>
    <w:rsid w:val="00C31D3A"/>
    <w:rsid w:val="00C31D53"/>
    <w:rsid w:val="00C31DEF"/>
    <w:rsid w:val="00C3254A"/>
    <w:rsid w:val="00C3260B"/>
    <w:rsid w:val="00C32724"/>
    <w:rsid w:val="00C32758"/>
    <w:rsid w:val="00C3276A"/>
    <w:rsid w:val="00C328E7"/>
    <w:rsid w:val="00C33007"/>
    <w:rsid w:val="00C3308C"/>
    <w:rsid w:val="00C33135"/>
    <w:rsid w:val="00C3318E"/>
    <w:rsid w:val="00C33A55"/>
    <w:rsid w:val="00C33A70"/>
    <w:rsid w:val="00C33B67"/>
    <w:rsid w:val="00C33C0B"/>
    <w:rsid w:val="00C3401B"/>
    <w:rsid w:val="00C3417D"/>
    <w:rsid w:val="00C34401"/>
    <w:rsid w:val="00C3462B"/>
    <w:rsid w:val="00C34743"/>
    <w:rsid w:val="00C34962"/>
    <w:rsid w:val="00C349DD"/>
    <w:rsid w:val="00C34A22"/>
    <w:rsid w:val="00C34A46"/>
    <w:rsid w:val="00C34FC8"/>
    <w:rsid w:val="00C3506C"/>
    <w:rsid w:val="00C35251"/>
    <w:rsid w:val="00C352EA"/>
    <w:rsid w:val="00C35302"/>
    <w:rsid w:val="00C35436"/>
    <w:rsid w:val="00C3555E"/>
    <w:rsid w:val="00C3573D"/>
    <w:rsid w:val="00C35D83"/>
    <w:rsid w:val="00C35E72"/>
    <w:rsid w:val="00C35F79"/>
    <w:rsid w:val="00C35FAF"/>
    <w:rsid w:val="00C35FD2"/>
    <w:rsid w:val="00C36332"/>
    <w:rsid w:val="00C3650A"/>
    <w:rsid w:val="00C36AA2"/>
    <w:rsid w:val="00C36B7F"/>
    <w:rsid w:val="00C36B85"/>
    <w:rsid w:val="00C36BD6"/>
    <w:rsid w:val="00C36F17"/>
    <w:rsid w:val="00C36F9E"/>
    <w:rsid w:val="00C36FC0"/>
    <w:rsid w:val="00C3735B"/>
    <w:rsid w:val="00C378A1"/>
    <w:rsid w:val="00C37AB5"/>
    <w:rsid w:val="00C401D9"/>
    <w:rsid w:val="00C4024E"/>
    <w:rsid w:val="00C40254"/>
    <w:rsid w:val="00C402D8"/>
    <w:rsid w:val="00C4039B"/>
    <w:rsid w:val="00C407EE"/>
    <w:rsid w:val="00C40AD0"/>
    <w:rsid w:val="00C4103D"/>
    <w:rsid w:val="00C41230"/>
    <w:rsid w:val="00C416B4"/>
    <w:rsid w:val="00C419CE"/>
    <w:rsid w:val="00C41AA7"/>
    <w:rsid w:val="00C41C3E"/>
    <w:rsid w:val="00C41EC6"/>
    <w:rsid w:val="00C428B4"/>
    <w:rsid w:val="00C428EF"/>
    <w:rsid w:val="00C431FC"/>
    <w:rsid w:val="00C43C63"/>
    <w:rsid w:val="00C43FA9"/>
    <w:rsid w:val="00C441B8"/>
    <w:rsid w:val="00C449B2"/>
    <w:rsid w:val="00C44F8F"/>
    <w:rsid w:val="00C453BC"/>
    <w:rsid w:val="00C45B1F"/>
    <w:rsid w:val="00C45DD2"/>
    <w:rsid w:val="00C45F79"/>
    <w:rsid w:val="00C46037"/>
    <w:rsid w:val="00C46268"/>
    <w:rsid w:val="00C462BE"/>
    <w:rsid w:val="00C463A0"/>
    <w:rsid w:val="00C46492"/>
    <w:rsid w:val="00C4679A"/>
    <w:rsid w:val="00C468C4"/>
    <w:rsid w:val="00C46C80"/>
    <w:rsid w:val="00C46DB6"/>
    <w:rsid w:val="00C46F78"/>
    <w:rsid w:val="00C47240"/>
    <w:rsid w:val="00C47253"/>
    <w:rsid w:val="00C47402"/>
    <w:rsid w:val="00C474B6"/>
    <w:rsid w:val="00C4755D"/>
    <w:rsid w:val="00C47BCF"/>
    <w:rsid w:val="00C47D37"/>
    <w:rsid w:val="00C5010C"/>
    <w:rsid w:val="00C502C4"/>
    <w:rsid w:val="00C507CC"/>
    <w:rsid w:val="00C507E7"/>
    <w:rsid w:val="00C5099E"/>
    <w:rsid w:val="00C5119C"/>
    <w:rsid w:val="00C511D4"/>
    <w:rsid w:val="00C513B9"/>
    <w:rsid w:val="00C5157B"/>
    <w:rsid w:val="00C51630"/>
    <w:rsid w:val="00C5168A"/>
    <w:rsid w:val="00C51690"/>
    <w:rsid w:val="00C51776"/>
    <w:rsid w:val="00C51864"/>
    <w:rsid w:val="00C518FA"/>
    <w:rsid w:val="00C5198D"/>
    <w:rsid w:val="00C51A0F"/>
    <w:rsid w:val="00C51C8E"/>
    <w:rsid w:val="00C51D6F"/>
    <w:rsid w:val="00C51F4A"/>
    <w:rsid w:val="00C52383"/>
    <w:rsid w:val="00C526BA"/>
    <w:rsid w:val="00C527A8"/>
    <w:rsid w:val="00C527FD"/>
    <w:rsid w:val="00C52A9B"/>
    <w:rsid w:val="00C52C53"/>
    <w:rsid w:val="00C530A0"/>
    <w:rsid w:val="00C5314D"/>
    <w:rsid w:val="00C535B3"/>
    <w:rsid w:val="00C53985"/>
    <w:rsid w:val="00C53B68"/>
    <w:rsid w:val="00C53C73"/>
    <w:rsid w:val="00C5401E"/>
    <w:rsid w:val="00C54102"/>
    <w:rsid w:val="00C5410A"/>
    <w:rsid w:val="00C54181"/>
    <w:rsid w:val="00C541A0"/>
    <w:rsid w:val="00C541C7"/>
    <w:rsid w:val="00C546BB"/>
    <w:rsid w:val="00C5501B"/>
    <w:rsid w:val="00C55108"/>
    <w:rsid w:val="00C55A37"/>
    <w:rsid w:val="00C55B3D"/>
    <w:rsid w:val="00C55B7E"/>
    <w:rsid w:val="00C55F79"/>
    <w:rsid w:val="00C56049"/>
    <w:rsid w:val="00C56274"/>
    <w:rsid w:val="00C57F10"/>
    <w:rsid w:val="00C600B0"/>
    <w:rsid w:val="00C6023B"/>
    <w:rsid w:val="00C6046C"/>
    <w:rsid w:val="00C609C5"/>
    <w:rsid w:val="00C60AC5"/>
    <w:rsid w:val="00C60CA2"/>
    <w:rsid w:val="00C610F7"/>
    <w:rsid w:val="00C610F8"/>
    <w:rsid w:val="00C6114A"/>
    <w:rsid w:val="00C612B9"/>
    <w:rsid w:val="00C614DD"/>
    <w:rsid w:val="00C61981"/>
    <w:rsid w:val="00C61C71"/>
    <w:rsid w:val="00C62037"/>
    <w:rsid w:val="00C6206A"/>
    <w:rsid w:val="00C625C7"/>
    <w:rsid w:val="00C627B6"/>
    <w:rsid w:val="00C63007"/>
    <w:rsid w:val="00C6318A"/>
    <w:rsid w:val="00C63295"/>
    <w:rsid w:val="00C6330C"/>
    <w:rsid w:val="00C6335C"/>
    <w:rsid w:val="00C6351B"/>
    <w:rsid w:val="00C635D4"/>
    <w:rsid w:val="00C64190"/>
    <w:rsid w:val="00C64192"/>
    <w:rsid w:val="00C64841"/>
    <w:rsid w:val="00C648DC"/>
    <w:rsid w:val="00C649EC"/>
    <w:rsid w:val="00C64A32"/>
    <w:rsid w:val="00C64C89"/>
    <w:rsid w:val="00C64D15"/>
    <w:rsid w:val="00C65112"/>
    <w:rsid w:val="00C65324"/>
    <w:rsid w:val="00C6546E"/>
    <w:rsid w:val="00C6582E"/>
    <w:rsid w:val="00C65A10"/>
    <w:rsid w:val="00C65B26"/>
    <w:rsid w:val="00C65C3B"/>
    <w:rsid w:val="00C65CFF"/>
    <w:rsid w:val="00C6610E"/>
    <w:rsid w:val="00C661DF"/>
    <w:rsid w:val="00C66999"/>
    <w:rsid w:val="00C66C3D"/>
    <w:rsid w:val="00C66C71"/>
    <w:rsid w:val="00C66EE4"/>
    <w:rsid w:val="00C66F5E"/>
    <w:rsid w:val="00C6760E"/>
    <w:rsid w:val="00C67AC0"/>
    <w:rsid w:val="00C702CA"/>
    <w:rsid w:val="00C703BA"/>
    <w:rsid w:val="00C706B4"/>
    <w:rsid w:val="00C707EF"/>
    <w:rsid w:val="00C70C58"/>
    <w:rsid w:val="00C70EA2"/>
    <w:rsid w:val="00C70F28"/>
    <w:rsid w:val="00C712CB"/>
    <w:rsid w:val="00C714F7"/>
    <w:rsid w:val="00C71518"/>
    <w:rsid w:val="00C71680"/>
    <w:rsid w:val="00C71749"/>
    <w:rsid w:val="00C71A5A"/>
    <w:rsid w:val="00C723C8"/>
    <w:rsid w:val="00C724EC"/>
    <w:rsid w:val="00C72B9C"/>
    <w:rsid w:val="00C72D07"/>
    <w:rsid w:val="00C72E07"/>
    <w:rsid w:val="00C73024"/>
    <w:rsid w:val="00C7327F"/>
    <w:rsid w:val="00C7334E"/>
    <w:rsid w:val="00C735CD"/>
    <w:rsid w:val="00C736CD"/>
    <w:rsid w:val="00C73888"/>
    <w:rsid w:val="00C73ADF"/>
    <w:rsid w:val="00C73BA5"/>
    <w:rsid w:val="00C741CD"/>
    <w:rsid w:val="00C742CA"/>
    <w:rsid w:val="00C7431F"/>
    <w:rsid w:val="00C74454"/>
    <w:rsid w:val="00C7469C"/>
    <w:rsid w:val="00C74A41"/>
    <w:rsid w:val="00C74AEA"/>
    <w:rsid w:val="00C74B63"/>
    <w:rsid w:val="00C74E7C"/>
    <w:rsid w:val="00C74F7F"/>
    <w:rsid w:val="00C75228"/>
    <w:rsid w:val="00C7534D"/>
    <w:rsid w:val="00C7558F"/>
    <w:rsid w:val="00C755AD"/>
    <w:rsid w:val="00C755B6"/>
    <w:rsid w:val="00C756BA"/>
    <w:rsid w:val="00C758B5"/>
    <w:rsid w:val="00C75A67"/>
    <w:rsid w:val="00C75A8F"/>
    <w:rsid w:val="00C76530"/>
    <w:rsid w:val="00C765F9"/>
    <w:rsid w:val="00C7678E"/>
    <w:rsid w:val="00C76859"/>
    <w:rsid w:val="00C76894"/>
    <w:rsid w:val="00C769C7"/>
    <w:rsid w:val="00C76F6B"/>
    <w:rsid w:val="00C76FD6"/>
    <w:rsid w:val="00C7726C"/>
    <w:rsid w:val="00C7741E"/>
    <w:rsid w:val="00C77A80"/>
    <w:rsid w:val="00C77B12"/>
    <w:rsid w:val="00C77B8E"/>
    <w:rsid w:val="00C77C22"/>
    <w:rsid w:val="00C80532"/>
    <w:rsid w:val="00C8074D"/>
    <w:rsid w:val="00C80A7D"/>
    <w:rsid w:val="00C80BE0"/>
    <w:rsid w:val="00C80D4A"/>
    <w:rsid w:val="00C8127F"/>
    <w:rsid w:val="00C815DC"/>
    <w:rsid w:val="00C8163F"/>
    <w:rsid w:val="00C816F1"/>
    <w:rsid w:val="00C818F6"/>
    <w:rsid w:val="00C821B4"/>
    <w:rsid w:val="00C821D0"/>
    <w:rsid w:val="00C8223E"/>
    <w:rsid w:val="00C82357"/>
    <w:rsid w:val="00C826A7"/>
    <w:rsid w:val="00C82CED"/>
    <w:rsid w:val="00C82FE7"/>
    <w:rsid w:val="00C8318F"/>
    <w:rsid w:val="00C832DE"/>
    <w:rsid w:val="00C8353C"/>
    <w:rsid w:val="00C83991"/>
    <w:rsid w:val="00C84151"/>
    <w:rsid w:val="00C84216"/>
    <w:rsid w:val="00C845F3"/>
    <w:rsid w:val="00C84853"/>
    <w:rsid w:val="00C8491B"/>
    <w:rsid w:val="00C84D0D"/>
    <w:rsid w:val="00C84D93"/>
    <w:rsid w:val="00C8501F"/>
    <w:rsid w:val="00C85037"/>
    <w:rsid w:val="00C8534D"/>
    <w:rsid w:val="00C8559E"/>
    <w:rsid w:val="00C85DE8"/>
    <w:rsid w:val="00C85F9D"/>
    <w:rsid w:val="00C860DA"/>
    <w:rsid w:val="00C86AC3"/>
    <w:rsid w:val="00C86F48"/>
    <w:rsid w:val="00C87148"/>
    <w:rsid w:val="00C871B7"/>
    <w:rsid w:val="00C871BC"/>
    <w:rsid w:val="00C87440"/>
    <w:rsid w:val="00C874D9"/>
    <w:rsid w:val="00C876EB"/>
    <w:rsid w:val="00C90195"/>
    <w:rsid w:val="00C904F8"/>
    <w:rsid w:val="00C909D0"/>
    <w:rsid w:val="00C909FB"/>
    <w:rsid w:val="00C90E1E"/>
    <w:rsid w:val="00C90E39"/>
    <w:rsid w:val="00C90EBB"/>
    <w:rsid w:val="00C910AC"/>
    <w:rsid w:val="00C910D8"/>
    <w:rsid w:val="00C912DE"/>
    <w:rsid w:val="00C9162A"/>
    <w:rsid w:val="00C916B2"/>
    <w:rsid w:val="00C91BDA"/>
    <w:rsid w:val="00C91D18"/>
    <w:rsid w:val="00C91EE2"/>
    <w:rsid w:val="00C91FB3"/>
    <w:rsid w:val="00C920FE"/>
    <w:rsid w:val="00C924BB"/>
    <w:rsid w:val="00C92522"/>
    <w:rsid w:val="00C925F8"/>
    <w:rsid w:val="00C92728"/>
    <w:rsid w:val="00C927A9"/>
    <w:rsid w:val="00C92855"/>
    <w:rsid w:val="00C92BD4"/>
    <w:rsid w:val="00C92CA3"/>
    <w:rsid w:val="00C92D07"/>
    <w:rsid w:val="00C93178"/>
    <w:rsid w:val="00C93273"/>
    <w:rsid w:val="00C9350E"/>
    <w:rsid w:val="00C9380A"/>
    <w:rsid w:val="00C939D9"/>
    <w:rsid w:val="00C93F16"/>
    <w:rsid w:val="00C93F39"/>
    <w:rsid w:val="00C9418C"/>
    <w:rsid w:val="00C944EB"/>
    <w:rsid w:val="00C94717"/>
    <w:rsid w:val="00C947AE"/>
    <w:rsid w:val="00C94884"/>
    <w:rsid w:val="00C949D7"/>
    <w:rsid w:val="00C94D68"/>
    <w:rsid w:val="00C951EB"/>
    <w:rsid w:val="00C951EC"/>
    <w:rsid w:val="00C95489"/>
    <w:rsid w:val="00C955F8"/>
    <w:rsid w:val="00C95860"/>
    <w:rsid w:val="00C95989"/>
    <w:rsid w:val="00C95CAD"/>
    <w:rsid w:val="00C95D28"/>
    <w:rsid w:val="00C95D33"/>
    <w:rsid w:val="00C95D9E"/>
    <w:rsid w:val="00C962B6"/>
    <w:rsid w:val="00C96804"/>
    <w:rsid w:val="00C96C23"/>
    <w:rsid w:val="00C971C9"/>
    <w:rsid w:val="00C9730F"/>
    <w:rsid w:val="00C977CB"/>
    <w:rsid w:val="00C97959"/>
    <w:rsid w:val="00C979CD"/>
    <w:rsid w:val="00C97B47"/>
    <w:rsid w:val="00C97DF2"/>
    <w:rsid w:val="00CA007D"/>
    <w:rsid w:val="00CA0158"/>
    <w:rsid w:val="00CA0344"/>
    <w:rsid w:val="00CA0B75"/>
    <w:rsid w:val="00CA0DA6"/>
    <w:rsid w:val="00CA0E91"/>
    <w:rsid w:val="00CA11DC"/>
    <w:rsid w:val="00CA1337"/>
    <w:rsid w:val="00CA1459"/>
    <w:rsid w:val="00CA17D8"/>
    <w:rsid w:val="00CA18F8"/>
    <w:rsid w:val="00CA1908"/>
    <w:rsid w:val="00CA2022"/>
    <w:rsid w:val="00CA222F"/>
    <w:rsid w:val="00CA249B"/>
    <w:rsid w:val="00CA259D"/>
    <w:rsid w:val="00CA2762"/>
    <w:rsid w:val="00CA2A10"/>
    <w:rsid w:val="00CA2BBE"/>
    <w:rsid w:val="00CA2C51"/>
    <w:rsid w:val="00CA3044"/>
    <w:rsid w:val="00CA320B"/>
    <w:rsid w:val="00CA3560"/>
    <w:rsid w:val="00CA35A0"/>
    <w:rsid w:val="00CA3A9C"/>
    <w:rsid w:val="00CA3B78"/>
    <w:rsid w:val="00CA3BE1"/>
    <w:rsid w:val="00CA3C01"/>
    <w:rsid w:val="00CA3EBA"/>
    <w:rsid w:val="00CA400C"/>
    <w:rsid w:val="00CA42FA"/>
    <w:rsid w:val="00CA43DB"/>
    <w:rsid w:val="00CA471E"/>
    <w:rsid w:val="00CA4A11"/>
    <w:rsid w:val="00CA4E74"/>
    <w:rsid w:val="00CA500D"/>
    <w:rsid w:val="00CA51E6"/>
    <w:rsid w:val="00CA523C"/>
    <w:rsid w:val="00CA541F"/>
    <w:rsid w:val="00CA57BD"/>
    <w:rsid w:val="00CA5A4E"/>
    <w:rsid w:val="00CA5AD9"/>
    <w:rsid w:val="00CA5B2E"/>
    <w:rsid w:val="00CA5D26"/>
    <w:rsid w:val="00CA5D3F"/>
    <w:rsid w:val="00CA5E53"/>
    <w:rsid w:val="00CA6395"/>
    <w:rsid w:val="00CA63EE"/>
    <w:rsid w:val="00CA660B"/>
    <w:rsid w:val="00CA6620"/>
    <w:rsid w:val="00CA6645"/>
    <w:rsid w:val="00CA6C25"/>
    <w:rsid w:val="00CA6D7E"/>
    <w:rsid w:val="00CA6F0B"/>
    <w:rsid w:val="00CA6FCA"/>
    <w:rsid w:val="00CA72CD"/>
    <w:rsid w:val="00CA78EA"/>
    <w:rsid w:val="00CA78F8"/>
    <w:rsid w:val="00CA7991"/>
    <w:rsid w:val="00CB0108"/>
    <w:rsid w:val="00CB03CE"/>
    <w:rsid w:val="00CB049C"/>
    <w:rsid w:val="00CB066D"/>
    <w:rsid w:val="00CB0699"/>
    <w:rsid w:val="00CB06B5"/>
    <w:rsid w:val="00CB0852"/>
    <w:rsid w:val="00CB0A14"/>
    <w:rsid w:val="00CB0CD5"/>
    <w:rsid w:val="00CB0E1E"/>
    <w:rsid w:val="00CB1305"/>
    <w:rsid w:val="00CB1405"/>
    <w:rsid w:val="00CB1448"/>
    <w:rsid w:val="00CB1464"/>
    <w:rsid w:val="00CB1629"/>
    <w:rsid w:val="00CB18BB"/>
    <w:rsid w:val="00CB18C3"/>
    <w:rsid w:val="00CB1B66"/>
    <w:rsid w:val="00CB1C8A"/>
    <w:rsid w:val="00CB1DF7"/>
    <w:rsid w:val="00CB1E47"/>
    <w:rsid w:val="00CB2153"/>
    <w:rsid w:val="00CB226C"/>
    <w:rsid w:val="00CB2300"/>
    <w:rsid w:val="00CB25C1"/>
    <w:rsid w:val="00CB25C4"/>
    <w:rsid w:val="00CB26EC"/>
    <w:rsid w:val="00CB2753"/>
    <w:rsid w:val="00CB276B"/>
    <w:rsid w:val="00CB281E"/>
    <w:rsid w:val="00CB293C"/>
    <w:rsid w:val="00CB29DD"/>
    <w:rsid w:val="00CB2AA6"/>
    <w:rsid w:val="00CB2AC2"/>
    <w:rsid w:val="00CB2CBF"/>
    <w:rsid w:val="00CB2DDC"/>
    <w:rsid w:val="00CB2F3A"/>
    <w:rsid w:val="00CB2FC5"/>
    <w:rsid w:val="00CB30BF"/>
    <w:rsid w:val="00CB3130"/>
    <w:rsid w:val="00CB33FB"/>
    <w:rsid w:val="00CB36D6"/>
    <w:rsid w:val="00CB3B2A"/>
    <w:rsid w:val="00CB459B"/>
    <w:rsid w:val="00CB48A9"/>
    <w:rsid w:val="00CB4CCB"/>
    <w:rsid w:val="00CB4F9E"/>
    <w:rsid w:val="00CB51FD"/>
    <w:rsid w:val="00CB53DA"/>
    <w:rsid w:val="00CB53E4"/>
    <w:rsid w:val="00CB5413"/>
    <w:rsid w:val="00CB54E5"/>
    <w:rsid w:val="00CB54F6"/>
    <w:rsid w:val="00CB55EA"/>
    <w:rsid w:val="00CB5C00"/>
    <w:rsid w:val="00CB5C90"/>
    <w:rsid w:val="00CB5E99"/>
    <w:rsid w:val="00CB5F25"/>
    <w:rsid w:val="00CB60F4"/>
    <w:rsid w:val="00CB672A"/>
    <w:rsid w:val="00CB710C"/>
    <w:rsid w:val="00CB7883"/>
    <w:rsid w:val="00CB7EAC"/>
    <w:rsid w:val="00CC095E"/>
    <w:rsid w:val="00CC09F6"/>
    <w:rsid w:val="00CC0FC3"/>
    <w:rsid w:val="00CC178A"/>
    <w:rsid w:val="00CC1C48"/>
    <w:rsid w:val="00CC1D7F"/>
    <w:rsid w:val="00CC1F49"/>
    <w:rsid w:val="00CC1F63"/>
    <w:rsid w:val="00CC2198"/>
    <w:rsid w:val="00CC259E"/>
    <w:rsid w:val="00CC266C"/>
    <w:rsid w:val="00CC2680"/>
    <w:rsid w:val="00CC27B6"/>
    <w:rsid w:val="00CC2E03"/>
    <w:rsid w:val="00CC3190"/>
    <w:rsid w:val="00CC3306"/>
    <w:rsid w:val="00CC33A7"/>
    <w:rsid w:val="00CC3785"/>
    <w:rsid w:val="00CC3FB3"/>
    <w:rsid w:val="00CC43C2"/>
    <w:rsid w:val="00CC45B0"/>
    <w:rsid w:val="00CC4B87"/>
    <w:rsid w:val="00CC4D2D"/>
    <w:rsid w:val="00CC4DBD"/>
    <w:rsid w:val="00CC4F6C"/>
    <w:rsid w:val="00CC5198"/>
    <w:rsid w:val="00CC558A"/>
    <w:rsid w:val="00CC55AB"/>
    <w:rsid w:val="00CC5837"/>
    <w:rsid w:val="00CC5987"/>
    <w:rsid w:val="00CC5A8B"/>
    <w:rsid w:val="00CC5B5C"/>
    <w:rsid w:val="00CC5F36"/>
    <w:rsid w:val="00CC5FCF"/>
    <w:rsid w:val="00CC604D"/>
    <w:rsid w:val="00CC6155"/>
    <w:rsid w:val="00CC6787"/>
    <w:rsid w:val="00CC6861"/>
    <w:rsid w:val="00CC688C"/>
    <w:rsid w:val="00CC68D4"/>
    <w:rsid w:val="00CC6AE5"/>
    <w:rsid w:val="00CC6BC8"/>
    <w:rsid w:val="00CC6C0C"/>
    <w:rsid w:val="00CC6E7D"/>
    <w:rsid w:val="00CC6E9F"/>
    <w:rsid w:val="00CC6ED8"/>
    <w:rsid w:val="00CC6F3E"/>
    <w:rsid w:val="00CC70C4"/>
    <w:rsid w:val="00CC73A8"/>
    <w:rsid w:val="00CC754E"/>
    <w:rsid w:val="00CC7A6F"/>
    <w:rsid w:val="00CC7A94"/>
    <w:rsid w:val="00CC7BDC"/>
    <w:rsid w:val="00CD0010"/>
    <w:rsid w:val="00CD0044"/>
    <w:rsid w:val="00CD02C1"/>
    <w:rsid w:val="00CD036A"/>
    <w:rsid w:val="00CD084D"/>
    <w:rsid w:val="00CD0966"/>
    <w:rsid w:val="00CD0B5C"/>
    <w:rsid w:val="00CD11D0"/>
    <w:rsid w:val="00CD1301"/>
    <w:rsid w:val="00CD1302"/>
    <w:rsid w:val="00CD1335"/>
    <w:rsid w:val="00CD1526"/>
    <w:rsid w:val="00CD1830"/>
    <w:rsid w:val="00CD1C7B"/>
    <w:rsid w:val="00CD1ECC"/>
    <w:rsid w:val="00CD225C"/>
    <w:rsid w:val="00CD260B"/>
    <w:rsid w:val="00CD27BE"/>
    <w:rsid w:val="00CD2958"/>
    <w:rsid w:val="00CD2C00"/>
    <w:rsid w:val="00CD33B4"/>
    <w:rsid w:val="00CD3A49"/>
    <w:rsid w:val="00CD4173"/>
    <w:rsid w:val="00CD429D"/>
    <w:rsid w:val="00CD42AC"/>
    <w:rsid w:val="00CD452A"/>
    <w:rsid w:val="00CD45B8"/>
    <w:rsid w:val="00CD45F1"/>
    <w:rsid w:val="00CD48BC"/>
    <w:rsid w:val="00CD4B23"/>
    <w:rsid w:val="00CD4BDE"/>
    <w:rsid w:val="00CD512C"/>
    <w:rsid w:val="00CD519E"/>
    <w:rsid w:val="00CD5328"/>
    <w:rsid w:val="00CD54D7"/>
    <w:rsid w:val="00CD568C"/>
    <w:rsid w:val="00CD569B"/>
    <w:rsid w:val="00CD5E75"/>
    <w:rsid w:val="00CD6008"/>
    <w:rsid w:val="00CD6269"/>
    <w:rsid w:val="00CD62E3"/>
    <w:rsid w:val="00CD66CB"/>
    <w:rsid w:val="00CD6AD7"/>
    <w:rsid w:val="00CD741C"/>
    <w:rsid w:val="00CD7530"/>
    <w:rsid w:val="00CD7867"/>
    <w:rsid w:val="00CD78BB"/>
    <w:rsid w:val="00CD7C1E"/>
    <w:rsid w:val="00CD7C72"/>
    <w:rsid w:val="00CD7E77"/>
    <w:rsid w:val="00CD7F21"/>
    <w:rsid w:val="00CE0840"/>
    <w:rsid w:val="00CE0A70"/>
    <w:rsid w:val="00CE0D7F"/>
    <w:rsid w:val="00CE124D"/>
    <w:rsid w:val="00CE14AB"/>
    <w:rsid w:val="00CE1768"/>
    <w:rsid w:val="00CE20BC"/>
    <w:rsid w:val="00CE2175"/>
    <w:rsid w:val="00CE2210"/>
    <w:rsid w:val="00CE25A4"/>
    <w:rsid w:val="00CE25C2"/>
    <w:rsid w:val="00CE279C"/>
    <w:rsid w:val="00CE28C6"/>
    <w:rsid w:val="00CE28EA"/>
    <w:rsid w:val="00CE298D"/>
    <w:rsid w:val="00CE29A0"/>
    <w:rsid w:val="00CE2A21"/>
    <w:rsid w:val="00CE2A6E"/>
    <w:rsid w:val="00CE2B25"/>
    <w:rsid w:val="00CE3087"/>
    <w:rsid w:val="00CE3A5A"/>
    <w:rsid w:val="00CE3C91"/>
    <w:rsid w:val="00CE403F"/>
    <w:rsid w:val="00CE4526"/>
    <w:rsid w:val="00CE466F"/>
    <w:rsid w:val="00CE5080"/>
    <w:rsid w:val="00CE50C0"/>
    <w:rsid w:val="00CE5113"/>
    <w:rsid w:val="00CE5148"/>
    <w:rsid w:val="00CE51DE"/>
    <w:rsid w:val="00CE5634"/>
    <w:rsid w:val="00CE5859"/>
    <w:rsid w:val="00CE5927"/>
    <w:rsid w:val="00CE5A16"/>
    <w:rsid w:val="00CE5A9D"/>
    <w:rsid w:val="00CE5C78"/>
    <w:rsid w:val="00CE5E78"/>
    <w:rsid w:val="00CE5FDA"/>
    <w:rsid w:val="00CE69E4"/>
    <w:rsid w:val="00CE6CDF"/>
    <w:rsid w:val="00CE6DF4"/>
    <w:rsid w:val="00CE6E1E"/>
    <w:rsid w:val="00CE7416"/>
    <w:rsid w:val="00CE7622"/>
    <w:rsid w:val="00CE763F"/>
    <w:rsid w:val="00CE769C"/>
    <w:rsid w:val="00CE79A1"/>
    <w:rsid w:val="00CE7ADD"/>
    <w:rsid w:val="00CF0015"/>
    <w:rsid w:val="00CF01EC"/>
    <w:rsid w:val="00CF0222"/>
    <w:rsid w:val="00CF0277"/>
    <w:rsid w:val="00CF0303"/>
    <w:rsid w:val="00CF032B"/>
    <w:rsid w:val="00CF048A"/>
    <w:rsid w:val="00CF049C"/>
    <w:rsid w:val="00CF05C0"/>
    <w:rsid w:val="00CF0A79"/>
    <w:rsid w:val="00CF0FE4"/>
    <w:rsid w:val="00CF1671"/>
    <w:rsid w:val="00CF1736"/>
    <w:rsid w:val="00CF1944"/>
    <w:rsid w:val="00CF1F0D"/>
    <w:rsid w:val="00CF1F64"/>
    <w:rsid w:val="00CF203B"/>
    <w:rsid w:val="00CF27EF"/>
    <w:rsid w:val="00CF29B0"/>
    <w:rsid w:val="00CF2CB1"/>
    <w:rsid w:val="00CF2DC1"/>
    <w:rsid w:val="00CF2E5B"/>
    <w:rsid w:val="00CF304E"/>
    <w:rsid w:val="00CF38E8"/>
    <w:rsid w:val="00CF4086"/>
    <w:rsid w:val="00CF428F"/>
    <w:rsid w:val="00CF42B4"/>
    <w:rsid w:val="00CF42E8"/>
    <w:rsid w:val="00CF443D"/>
    <w:rsid w:val="00CF4528"/>
    <w:rsid w:val="00CF455F"/>
    <w:rsid w:val="00CF4C24"/>
    <w:rsid w:val="00CF4E96"/>
    <w:rsid w:val="00CF4F57"/>
    <w:rsid w:val="00CF51E6"/>
    <w:rsid w:val="00CF53E5"/>
    <w:rsid w:val="00CF5C8E"/>
    <w:rsid w:val="00CF5CD2"/>
    <w:rsid w:val="00CF5CE9"/>
    <w:rsid w:val="00CF60E4"/>
    <w:rsid w:val="00CF6219"/>
    <w:rsid w:val="00CF6353"/>
    <w:rsid w:val="00CF6603"/>
    <w:rsid w:val="00CF6AC0"/>
    <w:rsid w:val="00CF6EA9"/>
    <w:rsid w:val="00CF745B"/>
    <w:rsid w:val="00CF773D"/>
    <w:rsid w:val="00CF777C"/>
    <w:rsid w:val="00CF785C"/>
    <w:rsid w:val="00CF79E3"/>
    <w:rsid w:val="00D0043A"/>
    <w:rsid w:val="00D0054D"/>
    <w:rsid w:val="00D00AE1"/>
    <w:rsid w:val="00D00C53"/>
    <w:rsid w:val="00D00DC7"/>
    <w:rsid w:val="00D01048"/>
    <w:rsid w:val="00D01151"/>
    <w:rsid w:val="00D01429"/>
    <w:rsid w:val="00D015DD"/>
    <w:rsid w:val="00D01B83"/>
    <w:rsid w:val="00D02169"/>
    <w:rsid w:val="00D023DB"/>
    <w:rsid w:val="00D02A09"/>
    <w:rsid w:val="00D02BCF"/>
    <w:rsid w:val="00D032FF"/>
    <w:rsid w:val="00D033AA"/>
    <w:rsid w:val="00D034DA"/>
    <w:rsid w:val="00D03876"/>
    <w:rsid w:val="00D03A3A"/>
    <w:rsid w:val="00D03B02"/>
    <w:rsid w:val="00D03D11"/>
    <w:rsid w:val="00D03FEA"/>
    <w:rsid w:val="00D04017"/>
    <w:rsid w:val="00D04308"/>
    <w:rsid w:val="00D0495F"/>
    <w:rsid w:val="00D04B0A"/>
    <w:rsid w:val="00D0506C"/>
    <w:rsid w:val="00D05567"/>
    <w:rsid w:val="00D05571"/>
    <w:rsid w:val="00D05709"/>
    <w:rsid w:val="00D05833"/>
    <w:rsid w:val="00D05B54"/>
    <w:rsid w:val="00D05EA3"/>
    <w:rsid w:val="00D060A5"/>
    <w:rsid w:val="00D06238"/>
    <w:rsid w:val="00D0666E"/>
    <w:rsid w:val="00D06809"/>
    <w:rsid w:val="00D06879"/>
    <w:rsid w:val="00D06D70"/>
    <w:rsid w:val="00D072B6"/>
    <w:rsid w:val="00D07509"/>
    <w:rsid w:val="00D07576"/>
    <w:rsid w:val="00D07628"/>
    <w:rsid w:val="00D0767E"/>
    <w:rsid w:val="00D0773F"/>
    <w:rsid w:val="00D07CA1"/>
    <w:rsid w:val="00D1014C"/>
    <w:rsid w:val="00D10430"/>
    <w:rsid w:val="00D107A8"/>
    <w:rsid w:val="00D10B5C"/>
    <w:rsid w:val="00D10B93"/>
    <w:rsid w:val="00D10DEA"/>
    <w:rsid w:val="00D110D7"/>
    <w:rsid w:val="00D11199"/>
    <w:rsid w:val="00D118D7"/>
    <w:rsid w:val="00D11988"/>
    <w:rsid w:val="00D1209F"/>
    <w:rsid w:val="00D121A5"/>
    <w:rsid w:val="00D12312"/>
    <w:rsid w:val="00D12520"/>
    <w:rsid w:val="00D12623"/>
    <w:rsid w:val="00D126B5"/>
    <w:rsid w:val="00D12776"/>
    <w:rsid w:val="00D127C1"/>
    <w:rsid w:val="00D12A25"/>
    <w:rsid w:val="00D12D96"/>
    <w:rsid w:val="00D12DE7"/>
    <w:rsid w:val="00D12E9E"/>
    <w:rsid w:val="00D12FE9"/>
    <w:rsid w:val="00D1332B"/>
    <w:rsid w:val="00D133F5"/>
    <w:rsid w:val="00D13600"/>
    <w:rsid w:val="00D13712"/>
    <w:rsid w:val="00D13728"/>
    <w:rsid w:val="00D137A0"/>
    <w:rsid w:val="00D138B2"/>
    <w:rsid w:val="00D13963"/>
    <w:rsid w:val="00D13CB8"/>
    <w:rsid w:val="00D1408B"/>
    <w:rsid w:val="00D14C82"/>
    <w:rsid w:val="00D14CB6"/>
    <w:rsid w:val="00D14D3C"/>
    <w:rsid w:val="00D14D54"/>
    <w:rsid w:val="00D14E45"/>
    <w:rsid w:val="00D14F8D"/>
    <w:rsid w:val="00D15102"/>
    <w:rsid w:val="00D153DB"/>
    <w:rsid w:val="00D15426"/>
    <w:rsid w:val="00D1568C"/>
    <w:rsid w:val="00D156E5"/>
    <w:rsid w:val="00D15926"/>
    <w:rsid w:val="00D1592B"/>
    <w:rsid w:val="00D15AD3"/>
    <w:rsid w:val="00D15C60"/>
    <w:rsid w:val="00D15DB4"/>
    <w:rsid w:val="00D15ED0"/>
    <w:rsid w:val="00D1622C"/>
    <w:rsid w:val="00D1671B"/>
    <w:rsid w:val="00D1685E"/>
    <w:rsid w:val="00D16B82"/>
    <w:rsid w:val="00D16D08"/>
    <w:rsid w:val="00D16E1F"/>
    <w:rsid w:val="00D16FC6"/>
    <w:rsid w:val="00D17154"/>
    <w:rsid w:val="00D1719C"/>
    <w:rsid w:val="00D1720D"/>
    <w:rsid w:val="00D173BF"/>
    <w:rsid w:val="00D1764D"/>
    <w:rsid w:val="00D17874"/>
    <w:rsid w:val="00D17A7B"/>
    <w:rsid w:val="00D17CC7"/>
    <w:rsid w:val="00D17DBE"/>
    <w:rsid w:val="00D203A1"/>
    <w:rsid w:val="00D203B0"/>
    <w:rsid w:val="00D20657"/>
    <w:rsid w:val="00D20725"/>
    <w:rsid w:val="00D20964"/>
    <w:rsid w:val="00D20A33"/>
    <w:rsid w:val="00D20D34"/>
    <w:rsid w:val="00D211DC"/>
    <w:rsid w:val="00D21431"/>
    <w:rsid w:val="00D214A1"/>
    <w:rsid w:val="00D216A0"/>
    <w:rsid w:val="00D21A03"/>
    <w:rsid w:val="00D21D3E"/>
    <w:rsid w:val="00D21E8C"/>
    <w:rsid w:val="00D21F44"/>
    <w:rsid w:val="00D21FCE"/>
    <w:rsid w:val="00D222A0"/>
    <w:rsid w:val="00D225E8"/>
    <w:rsid w:val="00D22BC4"/>
    <w:rsid w:val="00D22FE9"/>
    <w:rsid w:val="00D231B3"/>
    <w:rsid w:val="00D23324"/>
    <w:rsid w:val="00D233EE"/>
    <w:rsid w:val="00D23564"/>
    <w:rsid w:val="00D23602"/>
    <w:rsid w:val="00D2371B"/>
    <w:rsid w:val="00D2376D"/>
    <w:rsid w:val="00D2385D"/>
    <w:rsid w:val="00D2388A"/>
    <w:rsid w:val="00D23E09"/>
    <w:rsid w:val="00D240A9"/>
    <w:rsid w:val="00D244D8"/>
    <w:rsid w:val="00D244FD"/>
    <w:rsid w:val="00D24528"/>
    <w:rsid w:val="00D24712"/>
    <w:rsid w:val="00D24EB3"/>
    <w:rsid w:val="00D24FA0"/>
    <w:rsid w:val="00D258BB"/>
    <w:rsid w:val="00D25BE8"/>
    <w:rsid w:val="00D261D1"/>
    <w:rsid w:val="00D26364"/>
    <w:rsid w:val="00D27297"/>
    <w:rsid w:val="00D273A8"/>
    <w:rsid w:val="00D27413"/>
    <w:rsid w:val="00D27C1B"/>
    <w:rsid w:val="00D27EEF"/>
    <w:rsid w:val="00D27FAC"/>
    <w:rsid w:val="00D27FDF"/>
    <w:rsid w:val="00D3019F"/>
    <w:rsid w:val="00D305ED"/>
    <w:rsid w:val="00D3074E"/>
    <w:rsid w:val="00D30D6D"/>
    <w:rsid w:val="00D30E34"/>
    <w:rsid w:val="00D30F07"/>
    <w:rsid w:val="00D31183"/>
    <w:rsid w:val="00D3130C"/>
    <w:rsid w:val="00D31613"/>
    <w:rsid w:val="00D31638"/>
    <w:rsid w:val="00D3171E"/>
    <w:rsid w:val="00D31EDD"/>
    <w:rsid w:val="00D32247"/>
    <w:rsid w:val="00D324B5"/>
    <w:rsid w:val="00D327E4"/>
    <w:rsid w:val="00D32C6D"/>
    <w:rsid w:val="00D32CA1"/>
    <w:rsid w:val="00D330CF"/>
    <w:rsid w:val="00D3326A"/>
    <w:rsid w:val="00D339E4"/>
    <w:rsid w:val="00D33B8A"/>
    <w:rsid w:val="00D33B8B"/>
    <w:rsid w:val="00D33BB1"/>
    <w:rsid w:val="00D33CCD"/>
    <w:rsid w:val="00D34039"/>
    <w:rsid w:val="00D3419F"/>
    <w:rsid w:val="00D34316"/>
    <w:rsid w:val="00D34616"/>
    <w:rsid w:val="00D34859"/>
    <w:rsid w:val="00D34990"/>
    <w:rsid w:val="00D34C0C"/>
    <w:rsid w:val="00D34CE0"/>
    <w:rsid w:val="00D34E50"/>
    <w:rsid w:val="00D3565A"/>
    <w:rsid w:val="00D35B1E"/>
    <w:rsid w:val="00D35C48"/>
    <w:rsid w:val="00D35EA2"/>
    <w:rsid w:val="00D35F80"/>
    <w:rsid w:val="00D36209"/>
    <w:rsid w:val="00D364C7"/>
    <w:rsid w:val="00D36520"/>
    <w:rsid w:val="00D36B2F"/>
    <w:rsid w:val="00D370B2"/>
    <w:rsid w:val="00D3776E"/>
    <w:rsid w:val="00D3783C"/>
    <w:rsid w:val="00D3796F"/>
    <w:rsid w:val="00D37E63"/>
    <w:rsid w:val="00D408A6"/>
    <w:rsid w:val="00D40F9C"/>
    <w:rsid w:val="00D40F9E"/>
    <w:rsid w:val="00D410BA"/>
    <w:rsid w:val="00D417B2"/>
    <w:rsid w:val="00D4185D"/>
    <w:rsid w:val="00D41A6A"/>
    <w:rsid w:val="00D41AE7"/>
    <w:rsid w:val="00D41D33"/>
    <w:rsid w:val="00D41FAA"/>
    <w:rsid w:val="00D4244E"/>
    <w:rsid w:val="00D42477"/>
    <w:rsid w:val="00D426DE"/>
    <w:rsid w:val="00D428CB"/>
    <w:rsid w:val="00D42CD3"/>
    <w:rsid w:val="00D42D91"/>
    <w:rsid w:val="00D42DFC"/>
    <w:rsid w:val="00D42EA0"/>
    <w:rsid w:val="00D43084"/>
    <w:rsid w:val="00D4327D"/>
    <w:rsid w:val="00D43730"/>
    <w:rsid w:val="00D4376F"/>
    <w:rsid w:val="00D43D57"/>
    <w:rsid w:val="00D43F34"/>
    <w:rsid w:val="00D44284"/>
    <w:rsid w:val="00D442AE"/>
    <w:rsid w:val="00D4453B"/>
    <w:rsid w:val="00D44E26"/>
    <w:rsid w:val="00D44F33"/>
    <w:rsid w:val="00D45053"/>
    <w:rsid w:val="00D45317"/>
    <w:rsid w:val="00D455EE"/>
    <w:rsid w:val="00D4572F"/>
    <w:rsid w:val="00D45D2A"/>
    <w:rsid w:val="00D45E13"/>
    <w:rsid w:val="00D45E25"/>
    <w:rsid w:val="00D45ED9"/>
    <w:rsid w:val="00D45FF5"/>
    <w:rsid w:val="00D4638B"/>
    <w:rsid w:val="00D463F6"/>
    <w:rsid w:val="00D466B2"/>
    <w:rsid w:val="00D4675E"/>
    <w:rsid w:val="00D467AB"/>
    <w:rsid w:val="00D467E7"/>
    <w:rsid w:val="00D46995"/>
    <w:rsid w:val="00D469C7"/>
    <w:rsid w:val="00D46AC7"/>
    <w:rsid w:val="00D46B30"/>
    <w:rsid w:val="00D46D93"/>
    <w:rsid w:val="00D46ED6"/>
    <w:rsid w:val="00D4703C"/>
    <w:rsid w:val="00D4734F"/>
    <w:rsid w:val="00D47867"/>
    <w:rsid w:val="00D47930"/>
    <w:rsid w:val="00D479D6"/>
    <w:rsid w:val="00D47E3D"/>
    <w:rsid w:val="00D50121"/>
    <w:rsid w:val="00D5026B"/>
    <w:rsid w:val="00D50449"/>
    <w:rsid w:val="00D5045D"/>
    <w:rsid w:val="00D50D75"/>
    <w:rsid w:val="00D50DE2"/>
    <w:rsid w:val="00D5113E"/>
    <w:rsid w:val="00D51786"/>
    <w:rsid w:val="00D519CD"/>
    <w:rsid w:val="00D51AE0"/>
    <w:rsid w:val="00D51B51"/>
    <w:rsid w:val="00D51B62"/>
    <w:rsid w:val="00D51B87"/>
    <w:rsid w:val="00D51C34"/>
    <w:rsid w:val="00D51D7A"/>
    <w:rsid w:val="00D5219F"/>
    <w:rsid w:val="00D52229"/>
    <w:rsid w:val="00D52806"/>
    <w:rsid w:val="00D52839"/>
    <w:rsid w:val="00D529DC"/>
    <w:rsid w:val="00D52E50"/>
    <w:rsid w:val="00D53238"/>
    <w:rsid w:val="00D53285"/>
    <w:rsid w:val="00D537FB"/>
    <w:rsid w:val="00D53A08"/>
    <w:rsid w:val="00D53D41"/>
    <w:rsid w:val="00D54073"/>
    <w:rsid w:val="00D54280"/>
    <w:rsid w:val="00D54333"/>
    <w:rsid w:val="00D5465D"/>
    <w:rsid w:val="00D54D01"/>
    <w:rsid w:val="00D54F0F"/>
    <w:rsid w:val="00D550CE"/>
    <w:rsid w:val="00D55135"/>
    <w:rsid w:val="00D55157"/>
    <w:rsid w:val="00D5568E"/>
    <w:rsid w:val="00D55722"/>
    <w:rsid w:val="00D55871"/>
    <w:rsid w:val="00D558A1"/>
    <w:rsid w:val="00D55AD2"/>
    <w:rsid w:val="00D55B80"/>
    <w:rsid w:val="00D55B89"/>
    <w:rsid w:val="00D55C0E"/>
    <w:rsid w:val="00D55C90"/>
    <w:rsid w:val="00D5681B"/>
    <w:rsid w:val="00D56820"/>
    <w:rsid w:val="00D56822"/>
    <w:rsid w:val="00D56A24"/>
    <w:rsid w:val="00D56C83"/>
    <w:rsid w:val="00D5725B"/>
    <w:rsid w:val="00D5726C"/>
    <w:rsid w:val="00D57594"/>
    <w:rsid w:val="00D57932"/>
    <w:rsid w:val="00D57B2F"/>
    <w:rsid w:val="00D57C2A"/>
    <w:rsid w:val="00D60086"/>
    <w:rsid w:val="00D60133"/>
    <w:rsid w:val="00D60426"/>
    <w:rsid w:val="00D604D9"/>
    <w:rsid w:val="00D60B8A"/>
    <w:rsid w:val="00D60DC4"/>
    <w:rsid w:val="00D60F41"/>
    <w:rsid w:val="00D60F4A"/>
    <w:rsid w:val="00D61201"/>
    <w:rsid w:val="00D612CC"/>
    <w:rsid w:val="00D6147D"/>
    <w:rsid w:val="00D61691"/>
    <w:rsid w:val="00D616CA"/>
    <w:rsid w:val="00D617A7"/>
    <w:rsid w:val="00D619F6"/>
    <w:rsid w:val="00D61FFE"/>
    <w:rsid w:val="00D62B80"/>
    <w:rsid w:val="00D62F29"/>
    <w:rsid w:val="00D62F76"/>
    <w:rsid w:val="00D632EF"/>
    <w:rsid w:val="00D63371"/>
    <w:rsid w:val="00D639CE"/>
    <w:rsid w:val="00D63CEA"/>
    <w:rsid w:val="00D64252"/>
    <w:rsid w:val="00D643B7"/>
    <w:rsid w:val="00D6445D"/>
    <w:rsid w:val="00D6493B"/>
    <w:rsid w:val="00D64CA2"/>
    <w:rsid w:val="00D64E63"/>
    <w:rsid w:val="00D64FCC"/>
    <w:rsid w:val="00D65080"/>
    <w:rsid w:val="00D650EB"/>
    <w:rsid w:val="00D653ED"/>
    <w:rsid w:val="00D65436"/>
    <w:rsid w:val="00D6549F"/>
    <w:rsid w:val="00D65547"/>
    <w:rsid w:val="00D657D7"/>
    <w:rsid w:val="00D65B8F"/>
    <w:rsid w:val="00D65C3A"/>
    <w:rsid w:val="00D66063"/>
    <w:rsid w:val="00D6661D"/>
    <w:rsid w:val="00D667DB"/>
    <w:rsid w:val="00D66915"/>
    <w:rsid w:val="00D66AC8"/>
    <w:rsid w:val="00D66CEA"/>
    <w:rsid w:val="00D676D0"/>
    <w:rsid w:val="00D67878"/>
    <w:rsid w:val="00D67C5A"/>
    <w:rsid w:val="00D67E89"/>
    <w:rsid w:val="00D70616"/>
    <w:rsid w:val="00D70713"/>
    <w:rsid w:val="00D70899"/>
    <w:rsid w:val="00D70B3B"/>
    <w:rsid w:val="00D70B68"/>
    <w:rsid w:val="00D70ECE"/>
    <w:rsid w:val="00D70FFC"/>
    <w:rsid w:val="00D7100F"/>
    <w:rsid w:val="00D715B8"/>
    <w:rsid w:val="00D71762"/>
    <w:rsid w:val="00D718AB"/>
    <w:rsid w:val="00D71AF9"/>
    <w:rsid w:val="00D71C69"/>
    <w:rsid w:val="00D71CB6"/>
    <w:rsid w:val="00D720D1"/>
    <w:rsid w:val="00D720E6"/>
    <w:rsid w:val="00D721B6"/>
    <w:rsid w:val="00D723F5"/>
    <w:rsid w:val="00D72624"/>
    <w:rsid w:val="00D726C7"/>
    <w:rsid w:val="00D72B2B"/>
    <w:rsid w:val="00D72EFF"/>
    <w:rsid w:val="00D73955"/>
    <w:rsid w:val="00D739D4"/>
    <w:rsid w:val="00D74144"/>
    <w:rsid w:val="00D746A3"/>
    <w:rsid w:val="00D747FE"/>
    <w:rsid w:val="00D74957"/>
    <w:rsid w:val="00D749BE"/>
    <w:rsid w:val="00D74B83"/>
    <w:rsid w:val="00D74B84"/>
    <w:rsid w:val="00D74C54"/>
    <w:rsid w:val="00D74CB4"/>
    <w:rsid w:val="00D74D0D"/>
    <w:rsid w:val="00D74DCF"/>
    <w:rsid w:val="00D74FAB"/>
    <w:rsid w:val="00D751B8"/>
    <w:rsid w:val="00D753BA"/>
    <w:rsid w:val="00D755DB"/>
    <w:rsid w:val="00D75690"/>
    <w:rsid w:val="00D759E1"/>
    <w:rsid w:val="00D75BC2"/>
    <w:rsid w:val="00D75E90"/>
    <w:rsid w:val="00D7603F"/>
    <w:rsid w:val="00D7605F"/>
    <w:rsid w:val="00D761B1"/>
    <w:rsid w:val="00D761C2"/>
    <w:rsid w:val="00D76BA0"/>
    <w:rsid w:val="00D77008"/>
    <w:rsid w:val="00D7709F"/>
    <w:rsid w:val="00D770A4"/>
    <w:rsid w:val="00D77300"/>
    <w:rsid w:val="00D773DC"/>
    <w:rsid w:val="00D7750E"/>
    <w:rsid w:val="00D77CB6"/>
    <w:rsid w:val="00D77CCF"/>
    <w:rsid w:val="00D77D82"/>
    <w:rsid w:val="00D77E4C"/>
    <w:rsid w:val="00D77F34"/>
    <w:rsid w:val="00D80210"/>
    <w:rsid w:val="00D802CB"/>
    <w:rsid w:val="00D802ED"/>
    <w:rsid w:val="00D80466"/>
    <w:rsid w:val="00D808D8"/>
    <w:rsid w:val="00D809FA"/>
    <w:rsid w:val="00D80A34"/>
    <w:rsid w:val="00D80B2B"/>
    <w:rsid w:val="00D80D3A"/>
    <w:rsid w:val="00D80F1B"/>
    <w:rsid w:val="00D81B94"/>
    <w:rsid w:val="00D81C90"/>
    <w:rsid w:val="00D81D2E"/>
    <w:rsid w:val="00D82066"/>
    <w:rsid w:val="00D8211B"/>
    <w:rsid w:val="00D8229D"/>
    <w:rsid w:val="00D8259E"/>
    <w:rsid w:val="00D82A0E"/>
    <w:rsid w:val="00D831FE"/>
    <w:rsid w:val="00D83637"/>
    <w:rsid w:val="00D8365B"/>
    <w:rsid w:val="00D838D1"/>
    <w:rsid w:val="00D839CE"/>
    <w:rsid w:val="00D83FCE"/>
    <w:rsid w:val="00D84043"/>
    <w:rsid w:val="00D84397"/>
    <w:rsid w:val="00D84903"/>
    <w:rsid w:val="00D84D3F"/>
    <w:rsid w:val="00D84DB2"/>
    <w:rsid w:val="00D84E4C"/>
    <w:rsid w:val="00D84F51"/>
    <w:rsid w:val="00D85108"/>
    <w:rsid w:val="00D851D3"/>
    <w:rsid w:val="00D85267"/>
    <w:rsid w:val="00D853DF"/>
    <w:rsid w:val="00D8553A"/>
    <w:rsid w:val="00D85679"/>
    <w:rsid w:val="00D85905"/>
    <w:rsid w:val="00D85A1B"/>
    <w:rsid w:val="00D85BA3"/>
    <w:rsid w:val="00D85C45"/>
    <w:rsid w:val="00D86200"/>
    <w:rsid w:val="00D86384"/>
    <w:rsid w:val="00D866BB"/>
    <w:rsid w:val="00D868DC"/>
    <w:rsid w:val="00D869C0"/>
    <w:rsid w:val="00D86C90"/>
    <w:rsid w:val="00D87164"/>
    <w:rsid w:val="00D87547"/>
    <w:rsid w:val="00D87945"/>
    <w:rsid w:val="00D87AC5"/>
    <w:rsid w:val="00D87C0B"/>
    <w:rsid w:val="00D87D24"/>
    <w:rsid w:val="00D87F93"/>
    <w:rsid w:val="00D901C2"/>
    <w:rsid w:val="00D9089E"/>
    <w:rsid w:val="00D909F5"/>
    <w:rsid w:val="00D90A6C"/>
    <w:rsid w:val="00D90ADF"/>
    <w:rsid w:val="00D90D1E"/>
    <w:rsid w:val="00D90DD5"/>
    <w:rsid w:val="00D90F2D"/>
    <w:rsid w:val="00D91040"/>
    <w:rsid w:val="00D91230"/>
    <w:rsid w:val="00D91297"/>
    <w:rsid w:val="00D912C0"/>
    <w:rsid w:val="00D9151B"/>
    <w:rsid w:val="00D91523"/>
    <w:rsid w:val="00D9154E"/>
    <w:rsid w:val="00D9166A"/>
    <w:rsid w:val="00D91692"/>
    <w:rsid w:val="00D916CA"/>
    <w:rsid w:val="00D916CB"/>
    <w:rsid w:val="00D91897"/>
    <w:rsid w:val="00D91905"/>
    <w:rsid w:val="00D919D4"/>
    <w:rsid w:val="00D91AA3"/>
    <w:rsid w:val="00D91BA6"/>
    <w:rsid w:val="00D91F28"/>
    <w:rsid w:val="00D92450"/>
    <w:rsid w:val="00D925C7"/>
    <w:rsid w:val="00D928DF"/>
    <w:rsid w:val="00D92E34"/>
    <w:rsid w:val="00D930BF"/>
    <w:rsid w:val="00D93285"/>
    <w:rsid w:val="00D93822"/>
    <w:rsid w:val="00D93937"/>
    <w:rsid w:val="00D93A1E"/>
    <w:rsid w:val="00D93BC7"/>
    <w:rsid w:val="00D9467C"/>
    <w:rsid w:val="00D946BA"/>
    <w:rsid w:val="00D946F9"/>
    <w:rsid w:val="00D9489F"/>
    <w:rsid w:val="00D94C11"/>
    <w:rsid w:val="00D94D2B"/>
    <w:rsid w:val="00D9524B"/>
    <w:rsid w:val="00D9526B"/>
    <w:rsid w:val="00D953D6"/>
    <w:rsid w:val="00D954AE"/>
    <w:rsid w:val="00D955E3"/>
    <w:rsid w:val="00D9566B"/>
    <w:rsid w:val="00D956C4"/>
    <w:rsid w:val="00D95938"/>
    <w:rsid w:val="00D95BB9"/>
    <w:rsid w:val="00D95F66"/>
    <w:rsid w:val="00D961B7"/>
    <w:rsid w:val="00D961C9"/>
    <w:rsid w:val="00D96329"/>
    <w:rsid w:val="00D96721"/>
    <w:rsid w:val="00D9691B"/>
    <w:rsid w:val="00D96BAF"/>
    <w:rsid w:val="00D97A0E"/>
    <w:rsid w:val="00D97D2B"/>
    <w:rsid w:val="00D97FF4"/>
    <w:rsid w:val="00DA0129"/>
    <w:rsid w:val="00DA012C"/>
    <w:rsid w:val="00DA01E2"/>
    <w:rsid w:val="00DA0B12"/>
    <w:rsid w:val="00DA0B1A"/>
    <w:rsid w:val="00DA0DDA"/>
    <w:rsid w:val="00DA0F9D"/>
    <w:rsid w:val="00DA111C"/>
    <w:rsid w:val="00DA11E6"/>
    <w:rsid w:val="00DA1A92"/>
    <w:rsid w:val="00DA1DDC"/>
    <w:rsid w:val="00DA23E7"/>
    <w:rsid w:val="00DA24DA"/>
    <w:rsid w:val="00DA280F"/>
    <w:rsid w:val="00DA2A78"/>
    <w:rsid w:val="00DA2BA2"/>
    <w:rsid w:val="00DA2E21"/>
    <w:rsid w:val="00DA3784"/>
    <w:rsid w:val="00DA3928"/>
    <w:rsid w:val="00DA39FB"/>
    <w:rsid w:val="00DA422E"/>
    <w:rsid w:val="00DA423C"/>
    <w:rsid w:val="00DA4436"/>
    <w:rsid w:val="00DA44FC"/>
    <w:rsid w:val="00DA488E"/>
    <w:rsid w:val="00DA4A7D"/>
    <w:rsid w:val="00DA4A87"/>
    <w:rsid w:val="00DA4C12"/>
    <w:rsid w:val="00DA4CBC"/>
    <w:rsid w:val="00DA4EF9"/>
    <w:rsid w:val="00DA4F30"/>
    <w:rsid w:val="00DA5556"/>
    <w:rsid w:val="00DA5590"/>
    <w:rsid w:val="00DA5632"/>
    <w:rsid w:val="00DA61E5"/>
    <w:rsid w:val="00DA684D"/>
    <w:rsid w:val="00DA68F1"/>
    <w:rsid w:val="00DA6A70"/>
    <w:rsid w:val="00DA6B23"/>
    <w:rsid w:val="00DA6C95"/>
    <w:rsid w:val="00DA6CFC"/>
    <w:rsid w:val="00DA716F"/>
    <w:rsid w:val="00DA786F"/>
    <w:rsid w:val="00DA793C"/>
    <w:rsid w:val="00DA7B1E"/>
    <w:rsid w:val="00DA7B54"/>
    <w:rsid w:val="00DA7E23"/>
    <w:rsid w:val="00DB01A7"/>
    <w:rsid w:val="00DB08AE"/>
    <w:rsid w:val="00DB0993"/>
    <w:rsid w:val="00DB0B73"/>
    <w:rsid w:val="00DB0D2C"/>
    <w:rsid w:val="00DB0D4E"/>
    <w:rsid w:val="00DB0DD2"/>
    <w:rsid w:val="00DB0DF9"/>
    <w:rsid w:val="00DB11BA"/>
    <w:rsid w:val="00DB1282"/>
    <w:rsid w:val="00DB1328"/>
    <w:rsid w:val="00DB14CC"/>
    <w:rsid w:val="00DB1528"/>
    <w:rsid w:val="00DB15B0"/>
    <w:rsid w:val="00DB15E4"/>
    <w:rsid w:val="00DB1655"/>
    <w:rsid w:val="00DB166D"/>
    <w:rsid w:val="00DB1AE3"/>
    <w:rsid w:val="00DB1EBB"/>
    <w:rsid w:val="00DB2037"/>
    <w:rsid w:val="00DB2286"/>
    <w:rsid w:val="00DB2768"/>
    <w:rsid w:val="00DB2983"/>
    <w:rsid w:val="00DB2A1C"/>
    <w:rsid w:val="00DB2BDC"/>
    <w:rsid w:val="00DB2E2E"/>
    <w:rsid w:val="00DB3C10"/>
    <w:rsid w:val="00DB3CFA"/>
    <w:rsid w:val="00DB3DEF"/>
    <w:rsid w:val="00DB53D3"/>
    <w:rsid w:val="00DB53FB"/>
    <w:rsid w:val="00DB55D2"/>
    <w:rsid w:val="00DB5625"/>
    <w:rsid w:val="00DB5AAC"/>
    <w:rsid w:val="00DB5ADB"/>
    <w:rsid w:val="00DB5EFD"/>
    <w:rsid w:val="00DB6164"/>
    <w:rsid w:val="00DB633B"/>
    <w:rsid w:val="00DB6668"/>
    <w:rsid w:val="00DB6B3B"/>
    <w:rsid w:val="00DB6CAD"/>
    <w:rsid w:val="00DB6D23"/>
    <w:rsid w:val="00DB6E5F"/>
    <w:rsid w:val="00DB7055"/>
    <w:rsid w:val="00DB7151"/>
    <w:rsid w:val="00DB72B2"/>
    <w:rsid w:val="00DB7754"/>
    <w:rsid w:val="00DB7BE1"/>
    <w:rsid w:val="00DC01DD"/>
    <w:rsid w:val="00DC0424"/>
    <w:rsid w:val="00DC0513"/>
    <w:rsid w:val="00DC0C96"/>
    <w:rsid w:val="00DC1CA1"/>
    <w:rsid w:val="00DC1E5B"/>
    <w:rsid w:val="00DC1FFF"/>
    <w:rsid w:val="00DC2466"/>
    <w:rsid w:val="00DC2593"/>
    <w:rsid w:val="00DC2655"/>
    <w:rsid w:val="00DC26DF"/>
    <w:rsid w:val="00DC279C"/>
    <w:rsid w:val="00DC2A4D"/>
    <w:rsid w:val="00DC2AB5"/>
    <w:rsid w:val="00DC2B80"/>
    <w:rsid w:val="00DC2EF4"/>
    <w:rsid w:val="00DC30BA"/>
    <w:rsid w:val="00DC3253"/>
    <w:rsid w:val="00DC32B7"/>
    <w:rsid w:val="00DC3321"/>
    <w:rsid w:val="00DC38EA"/>
    <w:rsid w:val="00DC3A4F"/>
    <w:rsid w:val="00DC3B06"/>
    <w:rsid w:val="00DC3B19"/>
    <w:rsid w:val="00DC3DC9"/>
    <w:rsid w:val="00DC3EE2"/>
    <w:rsid w:val="00DC445C"/>
    <w:rsid w:val="00DC462D"/>
    <w:rsid w:val="00DC470F"/>
    <w:rsid w:val="00DC4B82"/>
    <w:rsid w:val="00DC4CD1"/>
    <w:rsid w:val="00DC4E58"/>
    <w:rsid w:val="00DC50FD"/>
    <w:rsid w:val="00DC526F"/>
    <w:rsid w:val="00DC54F1"/>
    <w:rsid w:val="00DC55B0"/>
    <w:rsid w:val="00DC599F"/>
    <w:rsid w:val="00DC5B14"/>
    <w:rsid w:val="00DC5E9C"/>
    <w:rsid w:val="00DC6698"/>
    <w:rsid w:val="00DC6831"/>
    <w:rsid w:val="00DC69B2"/>
    <w:rsid w:val="00DC6F45"/>
    <w:rsid w:val="00DC6F7B"/>
    <w:rsid w:val="00DC6F95"/>
    <w:rsid w:val="00DC7041"/>
    <w:rsid w:val="00DC70F2"/>
    <w:rsid w:val="00DC7238"/>
    <w:rsid w:val="00DC7377"/>
    <w:rsid w:val="00DC737E"/>
    <w:rsid w:val="00DC7682"/>
    <w:rsid w:val="00DC781C"/>
    <w:rsid w:val="00DC7EA7"/>
    <w:rsid w:val="00DD01A5"/>
    <w:rsid w:val="00DD01CA"/>
    <w:rsid w:val="00DD03F9"/>
    <w:rsid w:val="00DD0485"/>
    <w:rsid w:val="00DD051C"/>
    <w:rsid w:val="00DD0794"/>
    <w:rsid w:val="00DD096A"/>
    <w:rsid w:val="00DD1743"/>
    <w:rsid w:val="00DD17D7"/>
    <w:rsid w:val="00DD19DA"/>
    <w:rsid w:val="00DD1E61"/>
    <w:rsid w:val="00DD1F2F"/>
    <w:rsid w:val="00DD1FAE"/>
    <w:rsid w:val="00DD24B4"/>
    <w:rsid w:val="00DD2554"/>
    <w:rsid w:val="00DD2708"/>
    <w:rsid w:val="00DD27A7"/>
    <w:rsid w:val="00DD2B6A"/>
    <w:rsid w:val="00DD2C79"/>
    <w:rsid w:val="00DD2EB2"/>
    <w:rsid w:val="00DD335A"/>
    <w:rsid w:val="00DD3395"/>
    <w:rsid w:val="00DD3398"/>
    <w:rsid w:val="00DD3781"/>
    <w:rsid w:val="00DD387B"/>
    <w:rsid w:val="00DD3F5C"/>
    <w:rsid w:val="00DD417D"/>
    <w:rsid w:val="00DD4286"/>
    <w:rsid w:val="00DD46F9"/>
    <w:rsid w:val="00DD49B6"/>
    <w:rsid w:val="00DD4D21"/>
    <w:rsid w:val="00DD4D27"/>
    <w:rsid w:val="00DD505B"/>
    <w:rsid w:val="00DD5131"/>
    <w:rsid w:val="00DD516F"/>
    <w:rsid w:val="00DD5478"/>
    <w:rsid w:val="00DD550E"/>
    <w:rsid w:val="00DD5717"/>
    <w:rsid w:val="00DD5857"/>
    <w:rsid w:val="00DD591B"/>
    <w:rsid w:val="00DD5991"/>
    <w:rsid w:val="00DD5E37"/>
    <w:rsid w:val="00DD600E"/>
    <w:rsid w:val="00DD604A"/>
    <w:rsid w:val="00DD60AF"/>
    <w:rsid w:val="00DD613F"/>
    <w:rsid w:val="00DD62B4"/>
    <w:rsid w:val="00DD62FC"/>
    <w:rsid w:val="00DD6406"/>
    <w:rsid w:val="00DD6A95"/>
    <w:rsid w:val="00DD6B4D"/>
    <w:rsid w:val="00DD6CEF"/>
    <w:rsid w:val="00DD6F5C"/>
    <w:rsid w:val="00DD7432"/>
    <w:rsid w:val="00DD7772"/>
    <w:rsid w:val="00DD78DE"/>
    <w:rsid w:val="00DE002C"/>
    <w:rsid w:val="00DE058B"/>
    <w:rsid w:val="00DE0742"/>
    <w:rsid w:val="00DE08A5"/>
    <w:rsid w:val="00DE0C80"/>
    <w:rsid w:val="00DE0CB3"/>
    <w:rsid w:val="00DE0E0E"/>
    <w:rsid w:val="00DE1166"/>
    <w:rsid w:val="00DE1295"/>
    <w:rsid w:val="00DE1531"/>
    <w:rsid w:val="00DE16BC"/>
    <w:rsid w:val="00DE1B3B"/>
    <w:rsid w:val="00DE1C25"/>
    <w:rsid w:val="00DE228A"/>
    <w:rsid w:val="00DE22BC"/>
    <w:rsid w:val="00DE23CA"/>
    <w:rsid w:val="00DE2463"/>
    <w:rsid w:val="00DE2556"/>
    <w:rsid w:val="00DE25E5"/>
    <w:rsid w:val="00DE2C24"/>
    <w:rsid w:val="00DE30F5"/>
    <w:rsid w:val="00DE33A6"/>
    <w:rsid w:val="00DE35B0"/>
    <w:rsid w:val="00DE37E0"/>
    <w:rsid w:val="00DE3AFF"/>
    <w:rsid w:val="00DE3F01"/>
    <w:rsid w:val="00DE3FDE"/>
    <w:rsid w:val="00DE41C4"/>
    <w:rsid w:val="00DE4850"/>
    <w:rsid w:val="00DE4872"/>
    <w:rsid w:val="00DE4C40"/>
    <w:rsid w:val="00DE4D9E"/>
    <w:rsid w:val="00DE51B4"/>
    <w:rsid w:val="00DE525E"/>
    <w:rsid w:val="00DE5395"/>
    <w:rsid w:val="00DE562C"/>
    <w:rsid w:val="00DE5AD4"/>
    <w:rsid w:val="00DE5EF8"/>
    <w:rsid w:val="00DE60CC"/>
    <w:rsid w:val="00DE6520"/>
    <w:rsid w:val="00DE6937"/>
    <w:rsid w:val="00DE69A8"/>
    <w:rsid w:val="00DE6B5C"/>
    <w:rsid w:val="00DE71B8"/>
    <w:rsid w:val="00DE7685"/>
    <w:rsid w:val="00DE7718"/>
    <w:rsid w:val="00DE7976"/>
    <w:rsid w:val="00DE79BF"/>
    <w:rsid w:val="00DE7A74"/>
    <w:rsid w:val="00DE7DEE"/>
    <w:rsid w:val="00DE7EE8"/>
    <w:rsid w:val="00DF05C8"/>
    <w:rsid w:val="00DF0796"/>
    <w:rsid w:val="00DF0CA7"/>
    <w:rsid w:val="00DF0D61"/>
    <w:rsid w:val="00DF0EF8"/>
    <w:rsid w:val="00DF0F5E"/>
    <w:rsid w:val="00DF11B7"/>
    <w:rsid w:val="00DF1332"/>
    <w:rsid w:val="00DF165C"/>
    <w:rsid w:val="00DF1B94"/>
    <w:rsid w:val="00DF1BA6"/>
    <w:rsid w:val="00DF2022"/>
    <w:rsid w:val="00DF2334"/>
    <w:rsid w:val="00DF26AA"/>
    <w:rsid w:val="00DF2A55"/>
    <w:rsid w:val="00DF3541"/>
    <w:rsid w:val="00DF35F2"/>
    <w:rsid w:val="00DF38B6"/>
    <w:rsid w:val="00DF39A0"/>
    <w:rsid w:val="00DF3DC5"/>
    <w:rsid w:val="00DF4312"/>
    <w:rsid w:val="00DF46A7"/>
    <w:rsid w:val="00DF46E8"/>
    <w:rsid w:val="00DF4787"/>
    <w:rsid w:val="00DF47C9"/>
    <w:rsid w:val="00DF4890"/>
    <w:rsid w:val="00DF4915"/>
    <w:rsid w:val="00DF4AEA"/>
    <w:rsid w:val="00DF5201"/>
    <w:rsid w:val="00DF576D"/>
    <w:rsid w:val="00DF5998"/>
    <w:rsid w:val="00DF5AE0"/>
    <w:rsid w:val="00DF5B09"/>
    <w:rsid w:val="00DF5C97"/>
    <w:rsid w:val="00DF5E69"/>
    <w:rsid w:val="00DF6132"/>
    <w:rsid w:val="00DF6218"/>
    <w:rsid w:val="00DF642C"/>
    <w:rsid w:val="00DF664F"/>
    <w:rsid w:val="00DF669F"/>
    <w:rsid w:val="00DF695B"/>
    <w:rsid w:val="00DF6B52"/>
    <w:rsid w:val="00DF6CC1"/>
    <w:rsid w:val="00DF7032"/>
    <w:rsid w:val="00DF7347"/>
    <w:rsid w:val="00DF74CE"/>
    <w:rsid w:val="00DF7889"/>
    <w:rsid w:val="00DF7967"/>
    <w:rsid w:val="00DF7B20"/>
    <w:rsid w:val="00DF7CBE"/>
    <w:rsid w:val="00E001FA"/>
    <w:rsid w:val="00E00428"/>
    <w:rsid w:val="00E0074B"/>
    <w:rsid w:val="00E00B89"/>
    <w:rsid w:val="00E00BBB"/>
    <w:rsid w:val="00E00C3D"/>
    <w:rsid w:val="00E00E13"/>
    <w:rsid w:val="00E0130C"/>
    <w:rsid w:val="00E018BA"/>
    <w:rsid w:val="00E01B3B"/>
    <w:rsid w:val="00E01E44"/>
    <w:rsid w:val="00E01E7F"/>
    <w:rsid w:val="00E01FC7"/>
    <w:rsid w:val="00E021D6"/>
    <w:rsid w:val="00E0258D"/>
    <w:rsid w:val="00E025A9"/>
    <w:rsid w:val="00E02673"/>
    <w:rsid w:val="00E026AA"/>
    <w:rsid w:val="00E02BAE"/>
    <w:rsid w:val="00E02D1D"/>
    <w:rsid w:val="00E02E35"/>
    <w:rsid w:val="00E02EB3"/>
    <w:rsid w:val="00E02FA6"/>
    <w:rsid w:val="00E032DC"/>
    <w:rsid w:val="00E035D8"/>
    <w:rsid w:val="00E03652"/>
    <w:rsid w:val="00E039C0"/>
    <w:rsid w:val="00E03B44"/>
    <w:rsid w:val="00E03BA2"/>
    <w:rsid w:val="00E03C31"/>
    <w:rsid w:val="00E0479B"/>
    <w:rsid w:val="00E04810"/>
    <w:rsid w:val="00E048EB"/>
    <w:rsid w:val="00E04E2C"/>
    <w:rsid w:val="00E0514E"/>
    <w:rsid w:val="00E0538B"/>
    <w:rsid w:val="00E05766"/>
    <w:rsid w:val="00E0583E"/>
    <w:rsid w:val="00E0592A"/>
    <w:rsid w:val="00E0628E"/>
    <w:rsid w:val="00E0636B"/>
    <w:rsid w:val="00E066B9"/>
    <w:rsid w:val="00E06AD4"/>
    <w:rsid w:val="00E06B9F"/>
    <w:rsid w:val="00E06F00"/>
    <w:rsid w:val="00E06F7B"/>
    <w:rsid w:val="00E0717A"/>
    <w:rsid w:val="00E071BF"/>
    <w:rsid w:val="00E07252"/>
    <w:rsid w:val="00E079EF"/>
    <w:rsid w:val="00E07FEB"/>
    <w:rsid w:val="00E10041"/>
    <w:rsid w:val="00E100B0"/>
    <w:rsid w:val="00E102FF"/>
    <w:rsid w:val="00E10379"/>
    <w:rsid w:val="00E104CD"/>
    <w:rsid w:val="00E10B7D"/>
    <w:rsid w:val="00E10DE0"/>
    <w:rsid w:val="00E1140A"/>
    <w:rsid w:val="00E11507"/>
    <w:rsid w:val="00E1157F"/>
    <w:rsid w:val="00E11607"/>
    <w:rsid w:val="00E119B1"/>
    <w:rsid w:val="00E12265"/>
    <w:rsid w:val="00E12935"/>
    <w:rsid w:val="00E12ACD"/>
    <w:rsid w:val="00E12C99"/>
    <w:rsid w:val="00E12DD0"/>
    <w:rsid w:val="00E12F09"/>
    <w:rsid w:val="00E12F37"/>
    <w:rsid w:val="00E12F3E"/>
    <w:rsid w:val="00E12F88"/>
    <w:rsid w:val="00E13977"/>
    <w:rsid w:val="00E13B70"/>
    <w:rsid w:val="00E13B92"/>
    <w:rsid w:val="00E13EC0"/>
    <w:rsid w:val="00E1401F"/>
    <w:rsid w:val="00E1404E"/>
    <w:rsid w:val="00E140AB"/>
    <w:rsid w:val="00E144CB"/>
    <w:rsid w:val="00E14A62"/>
    <w:rsid w:val="00E14F48"/>
    <w:rsid w:val="00E14F5F"/>
    <w:rsid w:val="00E14FC9"/>
    <w:rsid w:val="00E15178"/>
    <w:rsid w:val="00E151D2"/>
    <w:rsid w:val="00E1542D"/>
    <w:rsid w:val="00E1587F"/>
    <w:rsid w:val="00E15A64"/>
    <w:rsid w:val="00E15B9C"/>
    <w:rsid w:val="00E15CCB"/>
    <w:rsid w:val="00E15D86"/>
    <w:rsid w:val="00E15E9B"/>
    <w:rsid w:val="00E15F8F"/>
    <w:rsid w:val="00E16257"/>
    <w:rsid w:val="00E162C5"/>
    <w:rsid w:val="00E16548"/>
    <w:rsid w:val="00E1662E"/>
    <w:rsid w:val="00E16795"/>
    <w:rsid w:val="00E169BF"/>
    <w:rsid w:val="00E16B33"/>
    <w:rsid w:val="00E16EA9"/>
    <w:rsid w:val="00E16F05"/>
    <w:rsid w:val="00E16F9A"/>
    <w:rsid w:val="00E16FE6"/>
    <w:rsid w:val="00E17387"/>
    <w:rsid w:val="00E175D4"/>
    <w:rsid w:val="00E179C2"/>
    <w:rsid w:val="00E17B27"/>
    <w:rsid w:val="00E17F15"/>
    <w:rsid w:val="00E2010D"/>
    <w:rsid w:val="00E203F2"/>
    <w:rsid w:val="00E20895"/>
    <w:rsid w:val="00E209F7"/>
    <w:rsid w:val="00E20C9B"/>
    <w:rsid w:val="00E21402"/>
    <w:rsid w:val="00E215C3"/>
    <w:rsid w:val="00E217B2"/>
    <w:rsid w:val="00E218EA"/>
    <w:rsid w:val="00E21BD5"/>
    <w:rsid w:val="00E221D5"/>
    <w:rsid w:val="00E221F6"/>
    <w:rsid w:val="00E22394"/>
    <w:rsid w:val="00E2271D"/>
    <w:rsid w:val="00E2291F"/>
    <w:rsid w:val="00E22A6B"/>
    <w:rsid w:val="00E22BDE"/>
    <w:rsid w:val="00E22CBF"/>
    <w:rsid w:val="00E23428"/>
    <w:rsid w:val="00E2347D"/>
    <w:rsid w:val="00E237CA"/>
    <w:rsid w:val="00E238B7"/>
    <w:rsid w:val="00E23AFF"/>
    <w:rsid w:val="00E23BE6"/>
    <w:rsid w:val="00E23DCC"/>
    <w:rsid w:val="00E23F15"/>
    <w:rsid w:val="00E24175"/>
    <w:rsid w:val="00E2425D"/>
    <w:rsid w:val="00E24587"/>
    <w:rsid w:val="00E24840"/>
    <w:rsid w:val="00E24936"/>
    <w:rsid w:val="00E24B26"/>
    <w:rsid w:val="00E24CE9"/>
    <w:rsid w:val="00E24D9A"/>
    <w:rsid w:val="00E24FA5"/>
    <w:rsid w:val="00E258A5"/>
    <w:rsid w:val="00E25BEF"/>
    <w:rsid w:val="00E2602B"/>
    <w:rsid w:val="00E26054"/>
    <w:rsid w:val="00E26847"/>
    <w:rsid w:val="00E268BA"/>
    <w:rsid w:val="00E2728B"/>
    <w:rsid w:val="00E27371"/>
    <w:rsid w:val="00E274AA"/>
    <w:rsid w:val="00E2752B"/>
    <w:rsid w:val="00E2757C"/>
    <w:rsid w:val="00E275CC"/>
    <w:rsid w:val="00E27970"/>
    <w:rsid w:val="00E27E1E"/>
    <w:rsid w:val="00E27EBB"/>
    <w:rsid w:val="00E27F14"/>
    <w:rsid w:val="00E302DE"/>
    <w:rsid w:val="00E303FD"/>
    <w:rsid w:val="00E30410"/>
    <w:rsid w:val="00E304AA"/>
    <w:rsid w:val="00E30685"/>
    <w:rsid w:val="00E3068B"/>
    <w:rsid w:val="00E3076B"/>
    <w:rsid w:val="00E30DD1"/>
    <w:rsid w:val="00E30ED4"/>
    <w:rsid w:val="00E30FFB"/>
    <w:rsid w:val="00E31185"/>
    <w:rsid w:val="00E311B3"/>
    <w:rsid w:val="00E31257"/>
    <w:rsid w:val="00E31418"/>
    <w:rsid w:val="00E3161E"/>
    <w:rsid w:val="00E318DB"/>
    <w:rsid w:val="00E318EC"/>
    <w:rsid w:val="00E31D39"/>
    <w:rsid w:val="00E32054"/>
    <w:rsid w:val="00E32076"/>
    <w:rsid w:val="00E3211F"/>
    <w:rsid w:val="00E3229F"/>
    <w:rsid w:val="00E32307"/>
    <w:rsid w:val="00E32778"/>
    <w:rsid w:val="00E3290B"/>
    <w:rsid w:val="00E32AF6"/>
    <w:rsid w:val="00E32D0E"/>
    <w:rsid w:val="00E32FF4"/>
    <w:rsid w:val="00E330D2"/>
    <w:rsid w:val="00E335B4"/>
    <w:rsid w:val="00E336CE"/>
    <w:rsid w:val="00E3392B"/>
    <w:rsid w:val="00E33D34"/>
    <w:rsid w:val="00E33E61"/>
    <w:rsid w:val="00E340B5"/>
    <w:rsid w:val="00E341C1"/>
    <w:rsid w:val="00E3423A"/>
    <w:rsid w:val="00E3426E"/>
    <w:rsid w:val="00E34419"/>
    <w:rsid w:val="00E346E8"/>
    <w:rsid w:val="00E34B06"/>
    <w:rsid w:val="00E34D68"/>
    <w:rsid w:val="00E35359"/>
    <w:rsid w:val="00E3568C"/>
    <w:rsid w:val="00E35768"/>
    <w:rsid w:val="00E357FB"/>
    <w:rsid w:val="00E35C61"/>
    <w:rsid w:val="00E35E53"/>
    <w:rsid w:val="00E3623F"/>
    <w:rsid w:val="00E3645C"/>
    <w:rsid w:val="00E366ED"/>
    <w:rsid w:val="00E36EA7"/>
    <w:rsid w:val="00E371C4"/>
    <w:rsid w:val="00E37257"/>
    <w:rsid w:val="00E37322"/>
    <w:rsid w:val="00E375C6"/>
    <w:rsid w:val="00E376A5"/>
    <w:rsid w:val="00E37860"/>
    <w:rsid w:val="00E37C8B"/>
    <w:rsid w:val="00E37CC2"/>
    <w:rsid w:val="00E37D7A"/>
    <w:rsid w:val="00E37ED8"/>
    <w:rsid w:val="00E37FA4"/>
    <w:rsid w:val="00E40271"/>
    <w:rsid w:val="00E404CB"/>
    <w:rsid w:val="00E4050E"/>
    <w:rsid w:val="00E407E7"/>
    <w:rsid w:val="00E409B9"/>
    <w:rsid w:val="00E409BC"/>
    <w:rsid w:val="00E40AC3"/>
    <w:rsid w:val="00E40CB4"/>
    <w:rsid w:val="00E40EE5"/>
    <w:rsid w:val="00E414F4"/>
    <w:rsid w:val="00E4173E"/>
    <w:rsid w:val="00E41A40"/>
    <w:rsid w:val="00E41A6D"/>
    <w:rsid w:val="00E41D48"/>
    <w:rsid w:val="00E41FE7"/>
    <w:rsid w:val="00E42144"/>
    <w:rsid w:val="00E4219C"/>
    <w:rsid w:val="00E424A3"/>
    <w:rsid w:val="00E428C0"/>
    <w:rsid w:val="00E428F1"/>
    <w:rsid w:val="00E42919"/>
    <w:rsid w:val="00E42A5C"/>
    <w:rsid w:val="00E42E2F"/>
    <w:rsid w:val="00E42F8C"/>
    <w:rsid w:val="00E43045"/>
    <w:rsid w:val="00E43328"/>
    <w:rsid w:val="00E43812"/>
    <w:rsid w:val="00E4398A"/>
    <w:rsid w:val="00E43CDF"/>
    <w:rsid w:val="00E43DB5"/>
    <w:rsid w:val="00E43EDE"/>
    <w:rsid w:val="00E4414E"/>
    <w:rsid w:val="00E44338"/>
    <w:rsid w:val="00E4496F"/>
    <w:rsid w:val="00E44F9E"/>
    <w:rsid w:val="00E454DB"/>
    <w:rsid w:val="00E45574"/>
    <w:rsid w:val="00E457F3"/>
    <w:rsid w:val="00E45813"/>
    <w:rsid w:val="00E461B3"/>
    <w:rsid w:val="00E4681D"/>
    <w:rsid w:val="00E468B8"/>
    <w:rsid w:val="00E46C48"/>
    <w:rsid w:val="00E46CFC"/>
    <w:rsid w:val="00E470BF"/>
    <w:rsid w:val="00E4751B"/>
    <w:rsid w:val="00E475E5"/>
    <w:rsid w:val="00E47BB2"/>
    <w:rsid w:val="00E47C0D"/>
    <w:rsid w:val="00E47D28"/>
    <w:rsid w:val="00E50654"/>
    <w:rsid w:val="00E50680"/>
    <w:rsid w:val="00E50681"/>
    <w:rsid w:val="00E50962"/>
    <w:rsid w:val="00E50A4A"/>
    <w:rsid w:val="00E50AC9"/>
    <w:rsid w:val="00E50DA7"/>
    <w:rsid w:val="00E50F33"/>
    <w:rsid w:val="00E50F3D"/>
    <w:rsid w:val="00E50FC7"/>
    <w:rsid w:val="00E51163"/>
    <w:rsid w:val="00E51341"/>
    <w:rsid w:val="00E51AE4"/>
    <w:rsid w:val="00E51B0D"/>
    <w:rsid w:val="00E51F89"/>
    <w:rsid w:val="00E522CC"/>
    <w:rsid w:val="00E524F5"/>
    <w:rsid w:val="00E528DB"/>
    <w:rsid w:val="00E528E0"/>
    <w:rsid w:val="00E52944"/>
    <w:rsid w:val="00E529AD"/>
    <w:rsid w:val="00E52AA9"/>
    <w:rsid w:val="00E52E82"/>
    <w:rsid w:val="00E53066"/>
    <w:rsid w:val="00E53413"/>
    <w:rsid w:val="00E53A73"/>
    <w:rsid w:val="00E542E5"/>
    <w:rsid w:val="00E543D4"/>
    <w:rsid w:val="00E544BE"/>
    <w:rsid w:val="00E5484F"/>
    <w:rsid w:val="00E54C92"/>
    <w:rsid w:val="00E54CEE"/>
    <w:rsid w:val="00E54E0F"/>
    <w:rsid w:val="00E54EC3"/>
    <w:rsid w:val="00E54F96"/>
    <w:rsid w:val="00E55017"/>
    <w:rsid w:val="00E55A8F"/>
    <w:rsid w:val="00E55CBA"/>
    <w:rsid w:val="00E55D75"/>
    <w:rsid w:val="00E55DFE"/>
    <w:rsid w:val="00E55EDA"/>
    <w:rsid w:val="00E56079"/>
    <w:rsid w:val="00E560D3"/>
    <w:rsid w:val="00E56EEA"/>
    <w:rsid w:val="00E56FF7"/>
    <w:rsid w:val="00E572B4"/>
    <w:rsid w:val="00E573A7"/>
    <w:rsid w:val="00E573FF"/>
    <w:rsid w:val="00E5764B"/>
    <w:rsid w:val="00E57B24"/>
    <w:rsid w:val="00E600A9"/>
    <w:rsid w:val="00E60948"/>
    <w:rsid w:val="00E60A1F"/>
    <w:rsid w:val="00E60A59"/>
    <w:rsid w:val="00E60B6D"/>
    <w:rsid w:val="00E60D0F"/>
    <w:rsid w:val="00E6105C"/>
    <w:rsid w:val="00E61122"/>
    <w:rsid w:val="00E61218"/>
    <w:rsid w:val="00E61332"/>
    <w:rsid w:val="00E6135C"/>
    <w:rsid w:val="00E616A1"/>
    <w:rsid w:val="00E61BBA"/>
    <w:rsid w:val="00E61C15"/>
    <w:rsid w:val="00E61F00"/>
    <w:rsid w:val="00E6217A"/>
    <w:rsid w:val="00E62265"/>
    <w:rsid w:val="00E62684"/>
    <w:rsid w:val="00E62706"/>
    <w:rsid w:val="00E62727"/>
    <w:rsid w:val="00E62E43"/>
    <w:rsid w:val="00E6337D"/>
    <w:rsid w:val="00E6367C"/>
    <w:rsid w:val="00E64208"/>
    <w:rsid w:val="00E643C1"/>
    <w:rsid w:val="00E6445D"/>
    <w:rsid w:val="00E64676"/>
    <w:rsid w:val="00E64C1A"/>
    <w:rsid w:val="00E64E8E"/>
    <w:rsid w:val="00E65412"/>
    <w:rsid w:val="00E655AE"/>
    <w:rsid w:val="00E658F9"/>
    <w:rsid w:val="00E65B31"/>
    <w:rsid w:val="00E65C37"/>
    <w:rsid w:val="00E65FE4"/>
    <w:rsid w:val="00E66771"/>
    <w:rsid w:val="00E66775"/>
    <w:rsid w:val="00E66B85"/>
    <w:rsid w:val="00E66D2A"/>
    <w:rsid w:val="00E671A0"/>
    <w:rsid w:val="00E6749D"/>
    <w:rsid w:val="00E674CD"/>
    <w:rsid w:val="00E67556"/>
    <w:rsid w:val="00E6757E"/>
    <w:rsid w:val="00E70658"/>
    <w:rsid w:val="00E71358"/>
    <w:rsid w:val="00E71556"/>
    <w:rsid w:val="00E718E3"/>
    <w:rsid w:val="00E7199D"/>
    <w:rsid w:val="00E71C32"/>
    <w:rsid w:val="00E71C3A"/>
    <w:rsid w:val="00E724B6"/>
    <w:rsid w:val="00E7263C"/>
    <w:rsid w:val="00E729AF"/>
    <w:rsid w:val="00E7311F"/>
    <w:rsid w:val="00E73D1E"/>
    <w:rsid w:val="00E73D79"/>
    <w:rsid w:val="00E7416C"/>
    <w:rsid w:val="00E74247"/>
    <w:rsid w:val="00E743B7"/>
    <w:rsid w:val="00E7445F"/>
    <w:rsid w:val="00E745FC"/>
    <w:rsid w:val="00E748EF"/>
    <w:rsid w:val="00E7491D"/>
    <w:rsid w:val="00E74938"/>
    <w:rsid w:val="00E74A66"/>
    <w:rsid w:val="00E74B58"/>
    <w:rsid w:val="00E74E99"/>
    <w:rsid w:val="00E74F01"/>
    <w:rsid w:val="00E74FD8"/>
    <w:rsid w:val="00E75201"/>
    <w:rsid w:val="00E754CC"/>
    <w:rsid w:val="00E75630"/>
    <w:rsid w:val="00E75ACB"/>
    <w:rsid w:val="00E75C8E"/>
    <w:rsid w:val="00E75EF9"/>
    <w:rsid w:val="00E761DB"/>
    <w:rsid w:val="00E7676E"/>
    <w:rsid w:val="00E76A61"/>
    <w:rsid w:val="00E77103"/>
    <w:rsid w:val="00E77321"/>
    <w:rsid w:val="00E777FE"/>
    <w:rsid w:val="00E779F2"/>
    <w:rsid w:val="00E77DF7"/>
    <w:rsid w:val="00E77E13"/>
    <w:rsid w:val="00E8026F"/>
    <w:rsid w:val="00E80509"/>
    <w:rsid w:val="00E8072B"/>
    <w:rsid w:val="00E8078D"/>
    <w:rsid w:val="00E80B01"/>
    <w:rsid w:val="00E80B50"/>
    <w:rsid w:val="00E80D55"/>
    <w:rsid w:val="00E81050"/>
    <w:rsid w:val="00E8106D"/>
    <w:rsid w:val="00E812CA"/>
    <w:rsid w:val="00E81318"/>
    <w:rsid w:val="00E8171B"/>
    <w:rsid w:val="00E81FA7"/>
    <w:rsid w:val="00E8208F"/>
    <w:rsid w:val="00E821A3"/>
    <w:rsid w:val="00E82380"/>
    <w:rsid w:val="00E8287A"/>
    <w:rsid w:val="00E829C4"/>
    <w:rsid w:val="00E833A9"/>
    <w:rsid w:val="00E83B43"/>
    <w:rsid w:val="00E83D0A"/>
    <w:rsid w:val="00E83EA1"/>
    <w:rsid w:val="00E84000"/>
    <w:rsid w:val="00E84329"/>
    <w:rsid w:val="00E84492"/>
    <w:rsid w:val="00E845C5"/>
    <w:rsid w:val="00E845D4"/>
    <w:rsid w:val="00E8492C"/>
    <w:rsid w:val="00E84CF0"/>
    <w:rsid w:val="00E84DA1"/>
    <w:rsid w:val="00E8504C"/>
    <w:rsid w:val="00E85124"/>
    <w:rsid w:val="00E85206"/>
    <w:rsid w:val="00E8550C"/>
    <w:rsid w:val="00E8563C"/>
    <w:rsid w:val="00E858A1"/>
    <w:rsid w:val="00E85BAA"/>
    <w:rsid w:val="00E85D0F"/>
    <w:rsid w:val="00E85E36"/>
    <w:rsid w:val="00E86392"/>
    <w:rsid w:val="00E86439"/>
    <w:rsid w:val="00E86480"/>
    <w:rsid w:val="00E864AE"/>
    <w:rsid w:val="00E86572"/>
    <w:rsid w:val="00E86738"/>
    <w:rsid w:val="00E867C9"/>
    <w:rsid w:val="00E867F9"/>
    <w:rsid w:val="00E86935"/>
    <w:rsid w:val="00E86AD7"/>
    <w:rsid w:val="00E86B79"/>
    <w:rsid w:val="00E86DAD"/>
    <w:rsid w:val="00E86FFB"/>
    <w:rsid w:val="00E87296"/>
    <w:rsid w:val="00E874E0"/>
    <w:rsid w:val="00E8751A"/>
    <w:rsid w:val="00E87544"/>
    <w:rsid w:val="00E875A8"/>
    <w:rsid w:val="00E877C3"/>
    <w:rsid w:val="00E9005E"/>
    <w:rsid w:val="00E900A3"/>
    <w:rsid w:val="00E90122"/>
    <w:rsid w:val="00E90295"/>
    <w:rsid w:val="00E90815"/>
    <w:rsid w:val="00E90904"/>
    <w:rsid w:val="00E90B0D"/>
    <w:rsid w:val="00E90C32"/>
    <w:rsid w:val="00E90F69"/>
    <w:rsid w:val="00E913CC"/>
    <w:rsid w:val="00E9140A"/>
    <w:rsid w:val="00E91586"/>
    <w:rsid w:val="00E91C2C"/>
    <w:rsid w:val="00E91E14"/>
    <w:rsid w:val="00E91E26"/>
    <w:rsid w:val="00E922E2"/>
    <w:rsid w:val="00E92830"/>
    <w:rsid w:val="00E92991"/>
    <w:rsid w:val="00E929F6"/>
    <w:rsid w:val="00E92B12"/>
    <w:rsid w:val="00E92D50"/>
    <w:rsid w:val="00E92D5E"/>
    <w:rsid w:val="00E92E43"/>
    <w:rsid w:val="00E935E3"/>
    <w:rsid w:val="00E93CC4"/>
    <w:rsid w:val="00E93D4E"/>
    <w:rsid w:val="00E9459A"/>
    <w:rsid w:val="00E948B0"/>
    <w:rsid w:val="00E9497A"/>
    <w:rsid w:val="00E94B95"/>
    <w:rsid w:val="00E94C73"/>
    <w:rsid w:val="00E95637"/>
    <w:rsid w:val="00E9569F"/>
    <w:rsid w:val="00E95745"/>
    <w:rsid w:val="00E961C8"/>
    <w:rsid w:val="00E962A7"/>
    <w:rsid w:val="00E96320"/>
    <w:rsid w:val="00E964CD"/>
    <w:rsid w:val="00E96605"/>
    <w:rsid w:val="00E966E7"/>
    <w:rsid w:val="00E9683F"/>
    <w:rsid w:val="00E96945"/>
    <w:rsid w:val="00E96B42"/>
    <w:rsid w:val="00E96BEA"/>
    <w:rsid w:val="00E96CD2"/>
    <w:rsid w:val="00E96DBF"/>
    <w:rsid w:val="00E96F8B"/>
    <w:rsid w:val="00E9731A"/>
    <w:rsid w:val="00E9779A"/>
    <w:rsid w:val="00E977BF"/>
    <w:rsid w:val="00E97878"/>
    <w:rsid w:val="00EA0290"/>
    <w:rsid w:val="00EA0333"/>
    <w:rsid w:val="00EA04F2"/>
    <w:rsid w:val="00EA0974"/>
    <w:rsid w:val="00EA0A07"/>
    <w:rsid w:val="00EA0AE0"/>
    <w:rsid w:val="00EA0CC7"/>
    <w:rsid w:val="00EA0D15"/>
    <w:rsid w:val="00EA0DD5"/>
    <w:rsid w:val="00EA0DEA"/>
    <w:rsid w:val="00EA0F4E"/>
    <w:rsid w:val="00EA1384"/>
    <w:rsid w:val="00EA13B2"/>
    <w:rsid w:val="00EA14BE"/>
    <w:rsid w:val="00EA15DA"/>
    <w:rsid w:val="00EA17BE"/>
    <w:rsid w:val="00EA18D6"/>
    <w:rsid w:val="00EA1A14"/>
    <w:rsid w:val="00EA1C41"/>
    <w:rsid w:val="00EA1CCF"/>
    <w:rsid w:val="00EA1D33"/>
    <w:rsid w:val="00EA2108"/>
    <w:rsid w:val="00EA249D"/>
    <w:rsid w:val="00EA26CC"/>
    <w:rsid w:val="00EA2726"/>
    <w:rsid w:val="00EA273F"/>
    <w:rsid w:val="00EA2760"/>
    <w:rsid w:val="00EA2CC6"/>
    <w:rsid w:val="00EA2D9D"/>
    <w:rsid w:val="00EA33AD"/>
    <w:rsid w:val="00EA3779"/>
    <w:rsid w:val="00EA399C"/>
    <w:rsid w:val="00EA3AE5"/>
    <w:rsid w:val="00EA3C85"/>
    <w:rsid w:val="00EA3D5C"/>
    <w:rsid w:val="00EA3D8B"/>
    <w:rsid w:val="00EA4397"/>
    <w:rsid w:val="00EA461D"/>
    <w:rsid w:val="00EA476A"/>
    <w:rsid w:val="00EA4A6E"/>
    <w:rsid w:val="00EA4FD5"/>
    <w:rsid w:val="00EA50AB"/>
    <w:rsid w:val="00EA52B1"/>
    <w:rsid w:val="00EA57A9"/>
    <w:rsid w:val="00EA5B1A"/>
    <w:rsid w:val="00EA6261"/>
    <w:rsid w:val="00EA63CB"/>
    <w:rsid w:val="00EA6469"/>
    <w:rsid w:val="00EA64AB"/>
    <w:rsid w:val="00EA6CBC"/>
    <w:rsid w:val="00EA6D22"/>
    <w:rsid w:val="00EA6E12"/>
    <w:rsid w:val="00EA70E1"/>
    <w:rsid w:val="00EA766D"/>
    <w:rsid w:val="00EA76B3"/>
    <w:rsid w:val="00EA7758"/>
    <w:rsid w:val="00EA7935"/>
    <w:rsid w:val="00EA7B51"/>
    <w:rsid w:val="00EA7CB3"/>
    <w:rsid w:val="00EB025C"/>
    <w:rsid w:val="00EB0AA7"/>
    <w:rsid w:val="00EB0CB4"/>
    <w:rsid w:val="00EB0CFD"/>
    <w:rsid w:val="00EB0D05"/>
    <w:rsid w:val="00EB0D46"/>
    <w:rsid w:val="00EB1109"/>
    <w:rsid w:val="00EB14C7"/>
    <w:rsid w:val="00EB16FE"/>
    <w:rsid w:val="00EB1C78"/>
    <w:rsid w:val="00EB1ED1"/>
    <w:rsid w:val="00EB2340"/>
    <w:rsid w:val="00EB23C4"/>
    <w:rsid w:val="00EB2563"/>
    <w:rsid w:val="00EB25C7"/>
    <w:rsid w:val="00EB2704"/>
    <w:rsid w:val="00EB2C09"/>
    <w:rsid w:val="00EB2DF8"/>
    <w:rsid w:val="00EB2EBF"/>
    <w:rsid w:val="00EB3000"/>
    <w:rsid w:val="00EB326A"/>
    <w:rsid w:val="00EB3362"/>
    <w:rsid w:val="00EB3565"/>
    <w:rsid w:val="00EB35AA"/>
    <w:rsid w:val="00EB360A"/>
    <w:rsid w:val="00EB3694"/>
    <w:rsid w:val="00EB3785"/>
    <w:rsid w:val="00EB4148"/>
    <w:rsid w:val="00EB4317"/>
    <w:rsid w:val="00EB452B"/>
    <w:rsid w:val="00EB4639"/>
    <w:rsid w:val="00EB473A"/>
    <w:rsid w:val="00EB4CC7"/>
    <w:rsid w:val="00EB4D49"/>
    <w:rsid w:val="00EB504D"/>
    <w:rsid w:val="00EB54E7"/>
    <w:rsid w:val="00EB59AC"/>
    <w:rsid w:val="00EB5C3E"/>
    <w:rsid w:val="00EB5D0B"/>
    <w:rsid w:val="00EB6059"/>
    <w:rsid w:val="00EB61A0"/>
    <w:rsid w:val="00EB646B"/>
    <w:rsid w:val="00EB64E8"/>
    <w:rsid w:val="00EB65EF"/>
    <w:rsid w:val="00EB6817"/>
    <w:rsid w:val="00EB6913"/>
    <w:rsid w:val="00EB6C8A"/>
    <w:rsid w:val="00EB6D17"/>
    <w:rsid w:val="00EB704F"/>
    <w:rsid w:val="00EB7592"/>
    <w:rsid w:val="00EB75B8"/>
    <w:rsid w:val="00EB764C"/>
    <w:rsid w:val="00EB76B0"/>
    <w:rsid w:val="00EB78D2"/>
    <w:rsid w:val="00EB78DB"/>
    <w:rsid w:val="00EB7C9E"/>
    <w:rsid w:val="00EC03A7"/>
    <w:rsid w:val="00EC0519"/>
    <w:rsid w:val="00EC0A23"/>
    <w:rsid w:val="00EC0A35"/>
    <w:rsid w:val="00EC0A67"/>
    <w:rsid w:val="00EC0B57"/>
    <w:rsid w:val="00EC1056"/>
    <w:rsid w:val="00EC123E"/>
    <w:rsid w:val="00EC12BE"/>
    <w:rsid w:val="00EC1652"/>
    <w:rsid w:val="00EC190F"/>
    <w:rsid w:val="00EC1A40"/>
    <w:rsid w:val="00EC1B33"/>
    <w:rsid w:val="00EC2143"/>
    <w:rsid w:val="00EC21D3"/>
    <w:rsid w:val="00EC2424"/>
    <w:rsid w:val="00EC24B1"/>
    <w:rsid w:val="00EC24FD"/>
    <w:rsid w:val="00EC29B5"/>
    <w:rsid w:val="00EC2B03"/>
    <w:rsid w:val="00EC2C3F"/>
    <w:rsid w:val="00EC2D9F"/>
    <w:rsid w:val="00EC303E"/>
    <w:rsid w:val="00EC30DB"/>
    <w:rsid w:val="00EC3157"/>
    <w:rsid w:val="00EC3432"/>
    <w:rsid w:val="00EC34A3"/>
    <w:rsid w:val="00EC38AC"/>
    <w:rsid w:val="00EC3BEA"/>
    <w:rsid w:val="00EC3F9E"/>
    <w:rsid w:val="00EC42BD"/>
    <w:rsid w:val="00EC468C"/>
    <w:rsid w:val="00EC4858"/>
    <w:rsid w:val="00EC4DD5"/>
    <w:rsid w:val="00EC52B1"/>
    <w:rsid w:val="00EC571E"/>
    <w:rsid w:val="00EC5848"/>
    <w:rsid w:val="00EC5A5C"/>
    <w:rsid w:val="00EC5E72"/>
    <w:rsid w:val="00EC6668"/>
    <w:rsid w:val="00EC6709"/>
    <w:rsid w:val="00EC6766"/>
    <w:rsid w:val="00EC7113"/>
    <w:rsid w:val="00EC71A4"/>
    <w:rsid w:val="00EC74EF"/>
    <w:rsid w:val="00EC770A"/>
    <w:rsid w:val="00EC78DA"/>
    <w:rsid w:val="00EC7B3E"/>
    <w:rsid w:val="00EC7EDD"/>
    <w:rsid w:val="00EC7EF4"/>
    <w:rsid w:val="00ED0053"/>
    <w:rsid w:val="00ED02AE"/>
    <w:rsid w:val="00ED042F"/>
    <w:rsid w:val="00ED04DF"/>
    <w:rsid w:val="00ED0F74"/>
    <w:rsid w:val="00ED12BA"/>
    <w:rsid w:val="00ED17AC"/>
    <w:rsid w:val="00ED19EE"/>
    <w:rsid w:val="00ED1D56"/>
    <w:rsid w:val="00ED1F46"/>
    <w:rsid w:val="00ED23CE"/>
    <w:rsid w:val="00ED2538"/>
    <w:rsid w:val="00ED2593"/>
    <w:rsid w:val="00ED2606"/>
    <w:rsid w:val="00ED2E7A"/>
    <w:rsid w:val="00ED305F"/>
    <w:rsid w:val="00ED3091"/>
    <w:rsid w:val="00ED325B"/>
    <w:rsid w:val="00ED3301"/>
    <w:rsid w:val="00ED359E"/>
    <w:rsid w:val="00ED3694"/>
    <w:rsid w:val="00ED3963"/>
    <w:rsid w:val="00ED3CC5"/>
    <w:rsid w:val="00ED3D11"/>
    <w:rsid w:val="00ED3D5C"/>
    <w:rsid w:val="00ED3EFA"/>
    <w:rsid w:val="00ED3FD7"/>
    <w:rsid w:val="00ED4194"/>
    <w:rsid w:val="00ED44C7"/>
    <w:rsid w:val="00ED4903"/>
    <w:rsid w:val="00ED4B13"/>
    <w:rsid w:val="00ED4BF3"/>
    <w:rsid w:val="00ED50A1"/>
    <w:rsid w:val="00ED50E8"/>
    <w:rsid w:val="00ED538B"/>
    <w:rsid w:val="00ED557D"/>
    <w:rsid w:val="00ED57E9"/>
    <w:rsid w:val="00ED5872"/>
    <w:rsid w:val="00ED5A5D"/>
    <w:rsid w:val="00ED5E8E"/>
    <w:rsid w:val="00ED5ED5"/>
    <w:rsid w:val="00ED6036"/>
    <w:rsid w:val="00ED60D6"/>
    <w:rsid w:val="00ED6162"/>
    <w:rsid w:val="00ED61F5"/>
    <w:rsid w:val="00ED64AF"/>
    <w:rsid w:val="00ED65F3"/>
    <w:rsid w:val="00ED6658"/>
    <w:rsid w:val="00ED69FB"/>
    <w:rsid w:val="00ED6CC3"/>
    <w:rsid w:val="00ED6CF1"/>
    <w:rsid w:val="00ED70EC"/>
    <w:rsid w:val="00ED7106"/>
    <w:rsid w:val="00ED727B"/>
    <w:rsid w:val="00ED73C6"/>
    <w:rsid w:val="00ED75BD"/>
    <w:rsid w:val="00ED7682"/>
    <w:rsid w:val="00ED77D6"/>
    <w:rsid w:val="00ED7C12"/>
    <w:rsid w:val="00ED7D67"/>
    <w:rsid w:val="00ED7E10"/>
    <w:rsid w:val="00ED7F7B"/>
    <w:rsid w:val="00EE0345"/>
    <w:rsid w:val="00EE05D7"/>
    <w:rsid w:val="00EE075A"/>
    <w:rsid w:val="00EE0DE7"/>
    <w:rsid w:val="00EE1169"/>
    <w:rsid w:val="00EE141A"/>
    <w:rsid w:val="00EE1662"/>
    <w:rsid w:val="00EE1852"/>
    <w:rsid w:val="00EE191D"/>
    <w:rsid w:val="00EE1976"/>
    <w:rsid w:val="00EE1F59"/>
    <w:rsid w:val="00EE2257"/>
    <w:rsid w:val="00EE26DC"/>
    <w:rsid w:val="00EE2785"/>
    <w:rsid w:val="00EE2A32"/>
    <w:rsid w:val="00EE2C24"/>
    <w:rsid w:val="00EE2C79"/>
    <w:rsid w:val="00EE30AC"/>
    <w:rsid w:val="00EE381A"/>
    <w:rsid w:val="00EE4101"/>
    <w:rsid w:val="00EE4123"/>
    <w:rsid w:val="00EE458A"/>
    <w:rsid w:val="00EE46A5"/>
    <w:rsid w:val="00EE46C3"/>
    <w:rsid w:val="00EE4B9B"/>
    <w:rsid w:val="00EE4E8C"/>
    <w:rsid w:val="00EE51BE"/>
    <w:rsid w:val="00EE5A6A"/>
    <w:rsid w:val="00EE5B60"/>
    <w:rsid w:val="00EE5D23"/>
    <w:rsid w:val="00EE5F29"/>
    <w:rsid w:val="00EE615B"/>
    <w:rsid w:val="00EE62DA"/>
    <w:rsid w:val="00EE646E"/>
    <w:rsid w:val="00EE65B9"/>
    <w:rsid w:val="00EE6F3C"/>
    <w:rsid w:val="00EE6FB0"/>
    <w:rsid w:val="00EE70C5"/>
    <w:rsid w:val="00EE7271"/>
    <w:rsid w:val="00EE79D1"/>
    <w:rsid w:val="00EE7A5E"/>
    <w:rsid w:val="00EE7C26"/>
    <w:rsid w:val="00EE7F3F"/>
    <w:rsid w:val="00EF008C"/>
    <w:rsid w:val="00EF0155"/>
    <w:rsid w:val="00EF03E7"/>
    <w:rsid w:val="00EF0A38"/>
    <w:rsid w:val="00EF0AF4"/>
    <w:rsid w:val="00EF0E0B"/>
    <w:rsid w:val="00EF0E4C"/>
    <w:rsid w:val="00EF11CB"/>
    <w:rsid w:val="00EF1ABA"/>
    <w:rsid w:val="00EF1AF6"/>
    <w:rsid w:val="00EF1D5C"/>
    <w:rsid w:val="00EF1D84"/>
    <w:rsid w:val="00EF238D"/>
    <w:rsid w:val="00EF2505"/>
    <w:rsid w:val="00EF2508"/>
    <w:rsid w:val="00EF287E"/>
    <w:rsid w:val="00EF28A4"/>
    <w:rsid w:val="00EF2C6C"/>
    <w:rsid w:val="00EF2F02"/>
    <w:rsid w:val="00EF361F"/>
    <w:rsid w:val="00EF375B"/>
    <w:rsid w:val="00EF398A"/>
    <w:rsid w:val="00EF3ED8"/>
    <w:rsid w:val="00EF40AB"/>
    <w:rsid w:val="00EF40B6"/>
    <w:rsid w:val="00EF4199"/>
    <w:rsid w:val="00EF419C"/>
    <w:rsid w:val="00EF425D"/>
    <w:rsid w:val="00EF4CE3"/>
    <w:rsid w:val="00EF5037"/>
    <w:rsid w:val="00EF527B"/>
    <w:rsid w:val="00EF5703"/>
    <w:rsid w:val="00EF577F"/>
    <w:rsid w:val="00EF5787"/>
    <w:rsid w:val="00EF5B61"/>
    <w:rsid w:val="00EF5BEB"/>
    <w:rsid w:val="00EF5EB5"/>
    <w:rsid w:val="00EF629F"/>
    <w:rsid w:val="00EF640A"/>
    <w:rsid w:val="00EF640E"/>
    <w:rsid w:val="00EF6443"/>
    <w:rsid w:val="00EF66D1"/>
    <w:rsid w:val="00EF6784"/>
    <w:rsid w:val="00EF69D6"/>
    <w:rsid w:val="00EF6B13"/>
    <w:rsid w:val="00EF6ECF"/>
    <w:rsid w:val="00EF7232"/>
    <w:rsid w:val="00EF725B"/>
    <w:rsid w:val="00EF7669"/>
    <w:rsid w:val="00EF7959"/>
    <w:rsid w:val="00EF7A69"/>
    <w:rsid w:val="00EF7AFD"/>
    <w:rsid w:val="00EF7EFC"/>
    <w:rsid w:val="00EF7FFE"/>
    <w:rsid w:val="00F0025C"/>
    <w:rsid w:val="00F0042A"/>
    <w:rsid w:val="00F005ED"/>
    <w:rsid w:val="00F00913"/>
    <w:rsid w:val="00F00D18"/>
    <w:rsid w:val="00F010F6"/>
    <w:rsid w:val="00F01316"/>
    <w:rsid w:val="00F013B1"/>
    <w:rsid w:val="00F0148C"/>
    <w:rsid w:val="00F0155E"/>
    <w:rsid w:val="00F015E8"/>
    <w:rsid w:val="00F01798"/>
    <w:rsid w:val="00F018F1"/>
    <w:rsid w:val="00F01BD3"/>
    <w:rsid w:val="00F01EF4"/>
    <w:rsid w:val="00F02103"/>
    <w:rsid w:val="00F02209"/>
    <w:rsid w:val="00F023ED"/>
    <w:rsid w:val="00F02551"/>
    <w:rsid w:val="00F02812"/>
    <w:rsid w:val="00F02955"/>
    <w:rsid w:val="00F0295C"/>
    <w:rsid w:val="00F02997"/>
    <w:rsid w:val="00F02999"/>
    <w:rsid w:val="00F029AC"/>
    <w:rsid w:val="00F02A19"/>
    <w:rsid w:val="00F03295"/>
    <w:rsid w:val="00F03561"/>
    <w:rsid w:val="00F036AD"/>
    <w:rsid w:val="00F0375F"/>
    <w:rsid w:val="00F03918"/>
    <w:rsid w:val="00F03A7D"/>
    <w:rsid w:val="00F0410A"/>
    <w:rsid w:val="00F041A1"/>
    <w:rsid w:val="00F0487C"/>
    <w:rsid w:val="00F04FCB"/>
    <w:rsid w:val="00F05176"/>
    <w:rsid w:val="00F05239"/>
    <w:rsid w:val="00F0523D"/>
    <w:rsid w:val="00F05CD8"/>
    <w:rsid w:val="00F06067"/>
    <w:rsid w:val="00F06090"/>
    <w:rsid w:val="00F06719"/>
    <w:rsid w:val="00F067AC"/>
    <w:rsid w:val="00F06E6F"/>
    <w:rsid w:val="00F072E3"/>
    <w:rsid w:val="00F074A7"/>
    <w:rsid w:val="00F074C1"/>
    <w:rsid w:val="00F07677"/>
    <w:rsid w:val="00F07772"/>
    <w:rsid w:val="00F077A7"/>
    <w:rsid w:val="00F07875"/>
    <w:rsid w:val="00F07910"/>
    <w:rsid w:val="00F07D5E"/>
    <w:rsid w:val="00F100C9"/>
    <w:rsid w:val="00F102EE"/>
    <w:rsid w:val="00F10816"/>
    <w:rsid w:val="00F10DA8"/>
    <w:rsid w:val="00F11016"/>
    <w:rsid w:val="00F11745"/>
    <w:rsid w:val="00F11833"/>
    <w:rsid w:val="00F11A0B"/>
    <w:rsid w:val="00F11B26"/>
    <w:rsid w:val="00F11BD4"/>
    <w:rsid w:val="00F11C03"/>
    <w:rsid w:val="00F11ECF"/>
    <w:rsid w:val="00F11F4F"/>
    <w:rsid w:val="00F11F8D"/>
    <w:rsid w:val="00F122F9"/>
    <w:rsid w:val="00F122FB"/>
    <w:rsid w:val="00F125F0"/>
    <w:rsid w:val="00F1272E"/>
    <w:rsid w:val="00F12AB3"/>
    <w:rsid w:val="00F12C5A"/>
    <w:rsid w:val="00F12EA9"/>
    <w:rsid w:val="00F13682"/>
    <w:rsid w:val="00F1369F"/>
    <w:rsid w:val="00F13921"/>
    <w:rsid w:val="00F13B15"/>
    <w:rsid w:val="00F13F73"/>
    <w:rsid w:val="00F142D7"/>
    <w:rsid w:val="00F14425"/>
    <w:rsid w:val="00F1448E"/>
    <w:rsid w:val="00F145DF"/>
    <w:rsid w:val="00F14977"/>
    <w:rsid w:val="00F14E02"/>
    <w:rsid w:val="00F14F9C"/>
    <w:rsid w:val="00F150C8"/>
    <w:rsid w:val="00F15214"/>
    <w:rsid w:val="00F15259"/>
    <w:rsid w:val="00F152EB"/>
    <w:rsid w:val="00F1546B"/>
    <w:rsid w:val="00F1577D"/>
    <w:rsid w:val="00F15AF9"/>
    <w:rsid w:val="00F15C84"/>
    <w:rsid w:val="00F15EEA"/>
    <w:rsid w:val="00F1608C"/>
    <w:rsid w:val="00F1614A"/>
    <w:rsid w:val="00F162B2"/>
    <w:rsid w:val="00F1672E"/>
    <w:rsid w:val="00F16747"/>
    <w:rsid w:val="00F167AF"/>
    <w:rsid w:val="00F16A78"/>
    <w:rsid w:val="00F16C50"/>
    <w:rsid w:val="00F16D06"/>
    <w:rsid w:val="00F16EF2"/>
    <w:rsid w:val="00F1707E"/>
    <w:rsid w:val="00F173CC"/>
    <w:rsid w:val="00F173F7"/>
    <w:rsid w:val="00F17826"/>
    <w:rsid w:val="00F17B50"/>
    <w:rsid w:val="00F17F6A"/>
    <w:rsid w:val="00F17FD2"/>
    <w:rsid w:val="00F200F1"/>
    <w:rsid w:val="00F205B0"/>
    <w:rsid w:val="00F20E75"/>
    <w:rsid w:val="00F21044"/>
    <w:rsid w:val="00F21281"/>
    <w:rsid w:val="00F21329"/>
    <w:rsid w:val="00F21882"/>
    <w:rsid w:val="00F21970"/>
    <w:rsid w:val="00F21B9B"/>
    <w:rsid w:val="00F21D4C"/>
    <w:rsid w:val="00F22445"/>
    <w:rsid w:val="00F22515"/>
    <w:rsid w:val="00F22848"/>
    <w:rsid w:val="00F22925"/>
    <w:rsid w:val="00F22AEE"/>
    <w:rsid w:val="00F22B91"/>
    <w:rsid w:val="00F22F57"/>
    <w:rsid w:val="00F22FC2"/>
    <w:rsid w:val="00F230B9"/>
    <w:rsid w:val="00F2326E"/>
    <w:rsid w:val="00F2352C"/>
    <w:rsid w:val="00F2363E"/>
    <w:rsid w:val="00F237A9"/>
    <w:rsid w:val="00F23B1B"/>
    <w:rsid w:val="00F23D6F"/>
    <w:rsid w:val="00F23DBA"/>
    <w:rsid w:val="00F2408C"/>
    <w:rsid w:val="00F240BE"/>
    <w:rsid w:val="00F2419B"/>
    <w:rsid w:val="00F24429"/>
    <w:rsid w:val="00F24833"/>
    <w:rsid w:val="00F24995"/>
    <w:rsid w:val="00F25014"/>
    <w:rsid w:val="00F25095"/>
    <w:rsid w:val="00F25316"/>
    <w:rsid w:val="00F2538C"/>
    <w:rsid w:val="00F254BD"/>
    <w:rsid w:val="00F256A9"/>
    <w:rsid w:val="00F25872"/>
    <w:rsid w:val="00F25964"/>
    <w:rsid w:val="00F26226"/>
    <w:rsid w:val="00F26AE6"/>
    <w:rsid w:val="00F26C24"/>
    <w:rsid w:val="00F26DD4"/>
    <w:rsid w:val="00F27149"/>
    <w:rsid w:val="00F271E7"/>
    <w:rsid w:val="00F27433"/>
    <w:rsid w:val="00F274DB"/>
    <w:rsid w:val="00F279AA"/>
    <w:rsid w:val="00F27BE1"/>
    <w:rsid w:val="00F27E8D"/>
    <w:rsid w:val="00F27F6B"/>
    <w:rsid w:val="00F3022D"/>
    <w:rsid w:val="00F30309"/>
    <w:rsid w:val="00F3033D"/>
    <w:rsid w:val="00F30398"/>
    <w:rsid w:val="00F306E1"/>
    <w:rsid w:val="00F306F9"/>
    <w:rsid w:val="00F3077D"/>
    <w:rsid w:val="00F30C09"/>
    <w:rsid w:val="00F31003"/>
    <w:rsid w:val="00F310BD"/>
    <w:rsid w:val="00F311EB"/>
    <w:rsid w:val="00F31209"/>
    <w:rsid w:val="00F31393"/>
    <w:rsid w:val="00F318D0"/>
    <w:rsid w:val="00F31C43"/>
    <w:rsid w:val="00F31CFD"/>
    <w:rsid w:val="00F32328"/>
    <w:rsid w:val="00F324B5"/>
    <w:rsid w:val="00F3257D"/>
    <w:rsid w:val="00F325A6"/>
    <w:rsid w:val="00F32614"/>
    <w:rsid w:val="00F32756"/>
    <w:rsid w:val="00F32834"/>
    <w:rsid w:val="00F32AF4"/>
    <w:rsid w:val="00F32F72"/>
    <w:rsid w:val="00F3300A"/>
    <w:rsid w:val="00F3315C"/>
    <w:rsid w:val="00F3334D"/>
    <w:rsid w:val="00F33437"/>
    <w:rsid w:val="00F33764"/>
    <w:rsid w:val="00F338DB"/>
    <w:rsid w:val="00F33AE6"/>
    <w:rsid w:val="00F33F58"/>
    <w:rsid w:val="00F3417C"/>
    <w:rsid w:val="00F349BB"/>
    <w:rsid w:val="00F34D84"/>
    <w:rsid w:val="00F34F26"/>
    <w:rsid w:val="00F35292"/>
    <w:rsid w:val="00F354F8"/>
    <w:rsid w:val="00F35649"/>
    <w:rsid w:val="00F357CE"/>
    <w:rsid w:val="00F359DE"/>
    <w:rsid w:val="00F35F77"/>
    <w:rsid w:val="00F36312"/>
    <w:rsid w:val="00F3661F"/>
    <w:rsid w:val="00F367AD"/>
    <w:rsid w:val="00F369AB"/>
    <w:rsid w:val="00F36A5A"/>
    <w:rsid w:val="00F36D54"/>
    <w:rsid w:val="00F36D85"/>
    <w:rsid w:val="00F374A9"/>
    <w:rsid w:val="00F3758A"/>
    <w:rsid w:val="00F37869"/>
    <w:rsid w:val="00F3795E"/>
    <w:rsid w:val="00F37EB2"/>
    <w:rsid w:val="00F37F54"/>
    <w:rsid w:val="00F40606"/>
    <w:rsid w:val="00F40977"/>
    <w:rsid w:val="00F40A41"/>
    <w:rsid w:val="00F40BB8"/>
    <w:rsid w:val="00F40C91"/>
    <w:rsid w:val="00F41105"/>
    <w:rsid w:val="00F415E5"/>
    <w:rsid w:val="00F41617"/>
    <w:rsid w:val="00F416CB"/>
    <w:rsid w:val="00F41FF7"/>
    <w:rsid w:val="00F4223F"/>
    <w:rsid w:val="00F424E8"/>
    <w:rsid w:val="00F42EE4"/>
    <w:rsid w:val="00F42F97"/>
    <w:rsid w:val="00F42FCE"/>
    <w:rsid w:val="00F4301A"/>
    <w:rsid w:val="00F43338"/>
    <w:rsid w:val="00F43479"/>
    <w:rsid w:val="00F4351E"/>
    <w:rsid w:val="00F43B0A"/>
    <w:rsid w:val="00F4401A"/>
    <w:rsid w:val="00F44427"/>
    <w:rsid w:val="00F445BB"/>
    <w:rsid w:val="00F445D4"/>
    <w:rsid w:val="00F44709"/>
    <w:rsid w:val="00F449A0"/>
    <w:rsid w:val="00F44C1B"/>
    <w:rsid w:val="00F44CD9"/>
    <w:rsid w:val="00F44D32"/>
    <w:rsid w:val="00F44F03"/>
    <w:rsid w:val="00F45076"/>
    <w:rsid w:val="00F45350"/>
    <w:rsid w:val="00F45425"/>
    <w:rsid w:val="00F4546F"/>
    <w:rsid w:val="00F45B41"/>
    <w:rsid w:val="00F45BFF"/>
    <w:rsid w:val="00F4649E"/>
    <w:rsid w:val="00F467BC"/>
    <w:rsid w:val="00F47177"/>
    <w:rsid w:val="00F4746C"/>
    <w:rsid w:val="00F47819"/>
    <w:rsid w:val="00F47869"/>
    <w:rsid w:val="00F479A9"/>
    <w:rsid w:val="00F479B7"/>
    <w:rsid w:val="00F47B03"/>
    <w:rsid w:val="00F47CC4"/>
    <w:rsid w:val="00F47CDF"/>
    <w:rsid w:val="00F50221"/>
    <w:rsid w:val="00F50414"/>
    <w:rsid w:val="00F5081C"/>
    <w:rsid w:val="00F50B12"/>
    <w:rsid w:val="00F50DF0"/>
    <w:rsid w:val="00F50EE1"/>
    <w:rsid w:val="00F50F6A"/>
    <w:rsid w:val="00F51347"/>
    <w:rsid w:val="00F5162D"/>
    <w:rsid w:val="00F516CA"/>
    <w:rsid w:val="00F516CD"/>
    <w:rsid w:val="00F51A90"/>
    <w:rsid w:val="00F51C0D"/>
    <w:rsid w:val="00F520E8"/>
    <w:rsid w:val="00F52131"/>
    <w:rsid w:val="00F523A1"/>
    <w:rsid w:val="00F524C3"/>
    <w:rsid w:val="00F525CE"/>
    <w:rsid w:val="00F52CAB"/>
    <w:rsid w:val="00F52EC3"/>
    <w:rsid w:val="00F53407"/>
    <w:rsid w:val="00F53948"/>
    <w:rsid w:val="00F53983"/>
    <w:rsid w:val="00F53ACD"/>
    <w:rsid w:val="00F54176"/>
    <w:rsid w:val="00F54832"/>
    <w:rsid w:val="00F54953"/>
    <w:rsid w:val="00F54A6E"/>
    <w:rsid w:val="00F54AC4"/>
    <w:rsid w:val="00F54B03"/>
    <w:rsid w:val="00F54C03"/>
    <w:rsid w:val="00F54C53"/>
    <w:rsid w:val="00F54D50"/>
    <w:rsid w:val="00F550F7"/>
    <w:rsid w:val="00F55E45"/>
    <w:rsid w:val="00F55ED2"/>
    <w:rsid w:val="00F5612C"/>
    <w:rsid w:val="00F5641C"/>
    <w:rsid w:val="00F56594"/>
    <w:rsid w:val="00F566E4"/>
    <w:rsid w:val="00F56703"/>
    <w:rsid w:val="00F56826"/>
    <w:rsid w:val="00F56B06"/>
    <w:rsid w:val="00F56D85"/>
    <w:rsid w:val="00F56E78"/>
    <w:rsid w:val="00F56F76"/>
    <w:rsid w:val="00F57027"/>
    <w:rsid w:val="00F5715F"/>
    <w:rsid w:val="00F571D8"/>
    <w:rsid w:val="00F572E5"/>
    <w:rsid w:val="00F57390"/>
    <w:rsid w:val="00F57B6F"/>
    <w:rsid w:val="00F600F8"/>
    <w:rsid w:val="00F60191"/>
    <w:rsid w:val="00F60290"/>
    <w:rsid w:val="00F60508"/>
    <w:rsid w:val="00F60564"/>
    <w:rsid w:val="00F60F4D"/>
    <w:rsid w:val="00F60F61"/>
    <w:rsid w:val="00F612E5"/>
    <w:rsid w:val="00F61627"/>
    <w:rsid w:val="00F6163F"/>
    <w:rsid w:val="00F616EE"/>
    <w:rsid w:val="00F61F80"/>
    <w:rsid w:val="00F62235"/>
    <w:rsid w:val="00F627C8"/>
    <w:rsid w:val="00F6293F"/>
    <w:rsid w:val="00F62BD1"/>
    <w:rsid w:val="00F62C80"/>
    <w:rsid w:val="00F632BE"/>
    <w:rsid w:val="00F6333E"/>
    <w:rsid w:val="00F633B3"/>
    <w:rsid w:val="00F63496"/>
    <w:rsid w:val="00F6354F"/>
    <w:rsid w:val="00F636CE"/>
    <w:rsid w:val="00F63CDC"/>
    <w:rsid w:val="00F63CED"/>
    <w:rsid w:val="00F63FF4"/>
    <w:rsid w:val="00F63FF9"/>
    <w:rsid w:val="00F642F0"/>
    <w:rsid w:val="00F6450B"/>
    <w:rsid w:val="00F646DF"/>
    <w:rsid w:val="00F6483E"/>
    <w:rsid w:val="00F64C8A"/>
    <w:rsid w:val="00F64CFB"/>
    <w:rsid w:val="00F64F1E"/>
    <w:rsid w:val="00F65225"/>
    <w:rsid w:val="00F6538A"/>
    <w:rsid w:val="00F6600D"/>
    <w:rsid w:val="00F66044"/>
    <w:rsid w:val="00F6608A"/>
    <w:rsid w:val="00F66123"/>
    <w:rsid w:val="00F66150"/>
    <w:rsid w:val="00F666AC"/>
    <w:rsid w:val="00F669BD"/>
    <w:rsid w:val="00F66D32"/>
    <w:rsid w:val="00F66F34"/>
    <w:rsid w:val="00F678EE"/>
    <w:rsid w:val="00F67E85"/>
    <w:rsid w:val="00F707F3"/>
    <w:rsid w:val="00F70800"/>
    <w:rsid w:val="00F7082E"/>
    <w:rsid w:val="00F70856"/>
    <w:rsid w:val="00F71047"/>
    <w:rsid w:val="00F719DD"/>
    <w:rsid w:val="00F71E45"/>
    <w:rsid w:val="00F71F3F"/>
    <w:rsid w:val="00F71FE4"/>
    <w:rsid w:val="00F72107"/>
    <w:rsid w:val="00F721D6"/>
    <w:rsid w:val="00F72211"/>
    <w:rsid w:val="00F72435"/>
    <w:rsid w:val="00F72559"/>
    <w:rsid w:val="00F72616"/>
    <w:rsid w:val="00F730EC"/>
    <w:rsid w:val="00F73381"/>
    <w:rsid w:val="00F73750"/>
    <w:rsid w:val="00F73821"/>
    <w:rsid w:val="00F7398A"/>
    <w:rsid w:val="00F73CA8"/>
    <w:rsid w:val="00F73D88"/>
    <w:rsid w:val="00F73DE1"/>
    <w:rsid w:val="00F74324"/>
    <w:rsid w:val="00F74486"/>
    <w:rsid w:val="00F748CD"/>
    <w:rsid w:val="00F74A54"/>
    <w:rsid w:val="00F74CB9"/>
    <w:rsid w:val="00F74DA1"/>
    <w:rsid w:val="00F74DB2"/>
    <w:rsid w:val="00F74E04"/>
    <w:rsid w:val="00F74E76"/>
    <w:rsid w:val="00F74E97"/>
    <w:rsid w:val="00F74FD0"/>
    <w:rsid w:val="00F750B2"/>
    <w:rsid w:val="00F752A6"/>
    <w:rsid w:val="00F75339"/>
    <w:rsid w:val="00F7538F"/>
    <w:rsid w:val="00F755EC"/>
    <w:rsid w:val="00F75641"/>
    <w:rsid w:val="00F75C50"/>
    <w:rsid w:val="00F75E08"/>
    <w:rsid w:val="00F760D9"/>
    <w:rsid w:val="00F760DE"/>
    <w:rsid w:val="00F76112"/>
    <w:rsid w:val="00F768FA"/>
    <w:rsid w:val="00F76D6C"/>
    <w:rsid w:val="00F772DD"/>
    <w:rsid w:val="00F772E1"/>
    <w:rsid w:val="00F77345"/>
    <w:rsid w:val="00F77951"/>
    <w:rsid w:val="00F77AF0"/>
    <w:rsid w:val="00F77BC2"/>
    <w:rsid w:val="00F77EFC"/>
    <w:rsid w:val="00F80632"/>
    <w:rsid w:val="00F8065F"/>
    <w:rsid w:val="00F809F8"/>
    <w:rsid w:val="00F80A4C"/>
    <w:rsid w:val="00F80D94"/>
    <w:rsid w:val="00F80EC5"/>
    <w:rsid w:val="00F80FA6"/>
    <w:rsid w:val="00F81201"/>
    <w:rsid w:val="00F81390"/>
    <w:rsid w:val="00F8155F"/>
    <w:rsid w:val="00F81911"/>
    <w:rsid w:val="00F8192B"/>
    <w:rsid w:val="00F81D44"/>
    <w:rsid w:val="00F81F9F"/>
    <w:rsid w:val="00F81FFD"/>
    <w:rsid w:val="00F82258"/>
    <w:rsid w:val="00F82406"/>
    <w:rsid w:val="00F82415"/>
    <w:rsid w:val="00F8242A"/>
    <w:rsid w:val="00F824F4"/>
    <w:rsid w:val="00F8265E"/>
    <w:rsid w:val="00F82D15"/>
    <w:rsid w:val="00F83846"/>
    <w:rsid w:val="00F8392F"/>
    <w:rsid w:val="00F83A1D"/>
    <w:rsid w:val="00F83BC4"/>
    <w:rsid w:val="00F83BC5"/>
    <w:rsid w:val="00F83DC9"/>
    <w:rsid w:val="00F84059"/>
    <w:rsid w:val="00F840AD"/>
    <w:rsid w:val="00F841F3"/>
    <w:rsid w:val="00F848C9"/>
    <w:rsid w:val="00F8499A"/>
    <w:rsid w:val="00F84CCB"/>
    <w:rsid w:val="00F84E90"/>
    <w:rsid w:val="00F84EFD"/>
    <w:rsid w:val="00F8573D"/>
    <w:rsid w:val="00F858AF"/>
    <w:rsid w:val="00F8606E"/>
    <w:rsid w:val="00F8607A"/>
    <w:rsid w:val="00F863E7"/>
    <w:rsid w:val="00F86548"/>
    <w:rsid w:val="00F86FC8"/>
    <w:rsid w:val="00F873AE"/>
    <w:rsid w:val="00F87987"/>
    <w:rsid w:val="00F87B5D"/>
    <w:rsid w:val="00F87C6B"/>
    <w:rsid w:val="00F87E26"/>
    <w:rsid w:val="00F87E43"/>
    <w:rsid w:val="00F90230"/>
    <w:rsid w:val="00F902AB"/>
    <w:rsid w:val="00F906EA"/>
    <w:rsid w:val="00F90874"/>
    <w:rsid w:val="00F90A47"/>
    <w:rsid w:val="00F90D27"/>
    <w:rsid w:val="00F9109F"/>
    <w:rsid w:val="00F91438"/>
    <w:rsid w:val="00F9155F"/>
    <w:rsid w:val="00F91713"/>
    <w:rsid w:val="00F923AF"/>
    <w:rsid w:val="00F9251D"/>
    <w:rsid w:val="00F9257D"/>
    <w:rsid w:val="00F925E5"/>
    <w:rsid w:val="00F92801"/>
    <w:rsid w:val="00F928EE"/>
    <w:rsid w:val="00F92A77"/>
    <w:rsid w:val="00F92BDA"/>
    <w:rsid w:val="00F92CFC"/>
    <w:rsid w:val="00F92E65"/>
    <w:rsid w:val="00F93565"/>
    <w:rsid w:val="00F93CBB"/>
    <w:rsid w:val="00F940B9"/>
    <w:rsid w:val="00F941A4"/>
    <w:rsid w:val="00F946F9"/>
    <w:rsid w:val="00F94F81"/>
    <w:rsid w:val="00F950BA"/>
    <w:rsid w:val="00F95277"/>
    <w:rsid w:val="00F954DC"/>
    <w:rsid w:val="00F95948"/>
    <w:rsid w:val="00F95A39"/>
    <w:rsid w:val="00F95A98"/>
    <w:rsid w:val="00F95D1F"/>
    <w:rsid w:val="00F95EAF"/>
    <w:rsid w:val="00F96001"/>
    <w:rsid w:val="00F964B9"/>
    <w:rsid w:val="00F96561"/>
    <w:rsid w:val="00F96A26"/>
    <w:rsid w:val="00F96B99"/>
    <w:rsid w:val="00F96D8B"/>
    <w:rsid w:val="00F96DDF"/>
    <w:rsid w:val="00F971CF"/>
    <w:rsid w:val="00F979D9"/>
    <w:rsid w:val="00F97CE7"/>
    <w:rsid w:val="00F97E0C"/>
    <w:rsid w:val="00FA01AE"/>
    <w:rsid w:val="00FA04A6"/>
    <w:rsid w:val="00FA073D"/>
    <w:rsid w:val="00FA0A3F"/>
    <w:rsid w:val="00FA0B57"/>
    <w:rsid w:val="00FA0F52"/>
    <w:rsid w:val="00FA14D9"/>
    <w:rsid w:val="00FA17FD"/>
    <w:rsid w:val="00FA1866"/>
    <w:rsid w:val="00FA18E9"/>
    <w:rsid w:val="00FA1D7F"/>
    <w:rsid w:val="00FA234B"/>
    <w:rsid w:val="00FA24E6"/>
    <w:rsid w:val="00FA2561"/>
    <w:rsid w:val="00FA27CB"/>
    <w:rsid w:val="00FA2E66"/>
    <w:rsid w:val="00FA2F83"/>
    <w:rsid w:val="00FA317B"/>
    <w:rsid w:val="00FA323D"/>
    <w:rsid w:val="00FA3317"/>
    <w:rsid w:val="00FA3407"/>
    <w:rsid w:val="00FA39C9"/>
    <w:rsid w:val="00FA3A5A"/>
    <w:rsid w:val="00FA3D07"/>
    <w:rsid w:val="00FA42FE"/>
    <w:rsid w:val="00FA4441"/>
    <w:rsid w:val="00FA46F4"/>
    <w:rsid w:val="00FA47E2"/>
    <w:rsid w:val="00FA4D56"/>
    <w:rsid w:val="00FA4EF7"/>
    <w:rsid w:val="00FA4F46"/>
    <w:rsid w:val="00FA4F6D"/>
    <w:rsid w:val="00FA50AE"/>
    <w:rsid w:val="00FA520A"/>
    <w:rsid w:val="00FA569F"/>
    <w:rsid w:val="00FA5DA8"/>
    <w:rsid w:val="00FA5E59"/>
    <w:rsid w:val="00FA5EC0"/>
    <w:rsid w:val="00FA5F5F"/>
    <w:rsid w:val="00FA626C"/>
    <w:rsid w:val="00FA6322"/>
    <w:rsid w:val="00FA64E3"/>
    <w:rsid w:val="00FA659D"/>
    <w:rsid w:val="00FA65AE"/>
    <w:rsid w:val="00FA6EAD"/>
    <w:rsid w:val="00FA7055"/>
    <w:rsid w:val="00FA76F2"/>
    <w:rsid w:val="00FA77B6"/>
    <w:rsid w:val="00FA78D4"/>
    <w:rsid w:val="00FA7969"/>
    <w:rsid w:val="00FA7C58"/>
    <w:rsid w:val="00FA7E5C"/>
    <w:rsid w:val="00FA7F76"/>
    <w:rsid w:val="00FB032A"/>
    <w:rsid w:val="00FB080A"/>
    <w:rsid w:val="00FB0BD6"/>
    <w:rsid w:val="00FB0D6C"/>
    <w:rsid w:val="00FB0D9E"/>
    <w:rsid w:val="00FB1103"/>
    <w:rsid w:val="00FB14E8"/>
    <w:rsid w:val="00FB1529"/>
    <w:rsid w:val="00FB168F"/>
    <w:rsid w:val="00FB1979"/>
    <w:rsid w:val="00FB2107"/>
    <w:rsid w:val="00FB211E"/>
    <w:rsid w:val="00FB2384"/>
    <w:rsid w:val="00FB2421"/>
    <w:rsid w:val="00FB2528"/>
    <w:rsid w:val="00FB270F"/>
    <w:rsid w:val="00FB2712"/>
    <w:rsid w:val="00FB2884"/>
    <w:rsid w:val="00FB2921"/>
    <w:rsid w:val="00FB2958"/>
    <w:rsid w:val="00FB2A6C"/>
    <w:rsid w:val="00FB2AB9"/>
    <w:rsid w:val="00FB2C52"/>
    <w:rsid w:val="00FB315E"/>
    <w:rsid w:val="00FB379B"/>
    <w:rsid w:val="00FB3950"/>
    <w:rsid w:val="00FB3E7F"/>
    <w:rsid w:val="00FB42E3"/>
    <w:rsid w:val="00FB44DF"/>
    <w:rsid w:val="00FB4CDA"/>
    <w:rsid w:val="00FB4D5D"/>
    <w:rsid w:val="00FB4EE6"/>
    <w:rsid w:val="00FB5030"/>
    <w:rsid w:val="00FB55A2"/>
    <w:rsid w:val="00FB599F"/>
    <w:rsid w:val="00FB5A96"/>
    <w:rsid w:val="00FB5DCE"/>
    <w:rsid w:val="00FB5E8E"/>
    <w:rsid w:val="00FB6130"/>
    <w:rsid w:val="00FB6212"/>
    <w:rsid w:val="00FB642A"/>
    <w:rsid w:val="00FB649F"/>
    <w:rsid w:val="00FB654B"/>
    <w:rsid w:val="00FB6761"/>
    <w:rsid w:val="00FB69AE"/>
    <w:rsid w:val="00FB6A30"/>
    <w:rsid w:val="00FB6AC6"/>
    <w:rsid w:val="00FB6B2B"/>
    <w:rsid w:val="00FB6D02"/>
    <w:rsid w:val="00FB6D25"/>
    <w:rsid w:val="00FB6D5B"/>
    <w:rsid w:val="00FB6F13"/>
    <w:rsid w:val="00FB70C6"/>
    <w:rsid w:val="00FB75AD"/>
    <w:rsid w:val="00FB763B"/>
    <w:rsid w:val="00FB763E"/>
    <w:rsid w:val="00FB7724"/>
    <w:rsid w:val="00FB7D16"/>
    <w:rsid w:val="00FB7F81"/>
    <w:rsid w:val="00FC0224"/>
    <w:rsid w:val="00FC040A"/>
    <w:rsid w:val="00FC041C"/>
    <w:rsid w:val="00FC0448"/>
    <w:rsid w:val="00FC074B"/>
    <w:rsid w:val="00FC0A66"/>
    <w:rsid w:val="00FC0B67"/>
    <w:rsid w:val="00FC0BF8"/>
    <w:rsid w:val="00FC0CD6"/>
    <w:rsid w:val="00FC0FF6"/>
    <w:rsid w:val="00FC1012"/>
    <w:rsid w:val="00FC151C"/>
    <w:rsid w:val="00FC1662"/>
    <w:rsid w:val="00FC176D"/>
    <w:rsid w:val="00FC1C60"/>
    <w:rsid w:val="00FC1C94"/>
    <w:rsid w:val="00FC1D77"/>
    <w:rsid w:val="00FC1E3D"/>
    <w:rsid w:val="00FC21CD"/>
    <w:rsid w:val="00FC26BD"/>
    <w:rsid w:val="00FC2742"/>
    <w:rsid w:val="00FC279B"/>
    <w:rsid w:val="00FC28D3"/>
    <w:rsid w:val="00FC2B6E"/>
    <w:rsid w:val="00FC2C1F"/>
    <w:rsid w:val="00FC2E37"/>
    <w:rsid w:val="00FC2E6F"/>
    <w:rsid w:val="00FC2EE3"/>
    <w:rsid w:val="00FC2FA8"/>
    <w:rsid w:val="00FC2FF3"/>
    <w:rsid w:val="00FC319C"/>
    <w:rsid w:val="00FC34B8"/>
    <w:rsid w:val="00FC3CD1"/>
    <w:rsid w:val="00FC3E52"/>
    <w:rsid w:val="00FC4692"/>
    <w:rsid w:val="00FC5164"/>
    <w:rsid w:val="00FC5194"/>
    <w:rsid w:val="00FC529F"/>
    <w:rsid w:val="00FC52E8"/>
    <w:rsid w:val="00FC5564"/>
    <w:rsid w:val="00FC5860"/>
    <w:rsid w:val="00FC5BC8"/>
    <w:rsid w:val="00FC610B"/>
    <w:rsid w:val="00FC68A8"/>
    <w:rsid w:val="00FC68AE"/>
    <w:rsid w:val="00FC6AE2"/>
    <w:rsid w:val="00FC70AC"/>
    <w:rsid w:val="00FC710E"/>
    <w:rsid w:val="00FC717E"/>
    <w:rsid w:val="00FC71DF"/>
    <w:rsid w:val="00FC7228"/>
    <w:rsid w:val="00FC7413"/>
    <w:rsid w:val="00FC7490"/>
    <w:rsid w:val="00FC7571"/>
    <w:rsid w:val="00FD0116"/>
    <w:rsid w:val="00FD0783"/>
    <w:rsid w:val="00FD0890"/>
    <w:rsid w:val="00FD08E1"/>
    <w:rsid w:val="00FD09B5"/>
    <w:rsid w:val="00FD0CC3"/>
    <w:rsid w:val="00FD0F36"/>
    <w:rsid w:val="00FD14A8"/>
    <w:rsid w:val="00FD1653"/>
    <w:rsid w:val="00FD197B"/>
    <w:rsid w:val="00FD1C41"/>
    <w:rsid w:val="00FD1E66"/>
    <w:rsid w:val="00FD1F3C"/>
    <w:rsid w:val="00FD1FE2"/>
    <w:rsid w:val="00FD2CBB"/>
    <w:rsid w:val="00FD2EA7"/>
    <w:rsid w:val="00FD2F2D"/>
    <w:rsid w:val="00FD3011"/>
    <w:rsid w:val="00FD317B"/>
    <w:rsid w:val="00FD323A"/>
    <w:rsid w:val="00FD3BA5"/>
    <w:rsid w:val="00FD426E"/>
    <w:rsid w:val="00FD458B"/>
    <w:rsid w:val="00FD4881"/>
    <w:rsid w:val="00FD4917"/>
    <w:rsid w:val="00FD4D4A"/>
    <w:rsid w:val="00FD5182"/>
    <w:rsid w:val="00FD51C5"/>
    <w:rsid w:val="00FD5417"/>
    <w:rsid w:val="00FD560E"/>
    <w:rsid w:val="00FD56DA"/>
    <w:rsid w:val="00FD576D"/>
    <w:rsid w:val="00FD57AF"/>
    <w:rsid w:val="00FD57FA"/>
    <w:rsid w:val="00FD5983"/>
    <w:rsid w:val="00FD5ABC"/>
    <w:rsid w:val="00FD5B72"/>
    <w:rsid w:val="00FD5BFD"/>
    <w:rsid w:val="00FD5C8E"/>
    <w:rsid w:val="00FD5D38"/>
    <w:rsid w:val="00FD5E7E"/>
    <w:rsid w:val="00FD5EB7"/>
    <w:rsid w:val="00FD601D"/>
    <w:rsid w:val="00FD6316"/>
    <w:rsid w:val="00FD651E"/>
    <w:rsid w:val="00FD65AE"/>
    <w:rsid w:val="00FD66CA"/>
    <w:rsid w:val="00FD6809"/>
    <w:rsid w:val="00FD6868"/>
    <w:rsid w:val="00FD69BD"/>
    <w:rsid w:val="00FD6A58"/>
    <w:rsid w:val="00FD6B56"/>
    <w:rsid w:val="00FD6B60"/>
    <w:rsid w:val="00FD7436"/>
    <w:rsid w:val="00FD7546"/>
    <w:rsid w:val="00FD7548"/>
    <w:rsid w:val="00FD7D2F"/>
    <w:rsid w:val="00FD7D43"/>
    <w:rsid w:val="00FE0090"/>
    <w:rsid w:val="00FE00C0"/>
    <w:rsid w:val="00FE0174"/>
    <w:rsid w:val="00FE0478"/>
    <w:rsid w:val="00FE062C"/>
    <w:rsid w:val="00FE07F7"/>
    <w:rsid w:val="00FE0A18"/>
    <w:rsid w:val="00FE0B69"/>
    <w:rsid w:val="00FE0BAB"/>
    <w:rsid w:val="00FE0F98"/>
    <w:rsid w:val="00FE124D"/>
    <w:rsid w:val="00FE12DA"/>
    <w:rsid w:val="00FE156D"/>
    <w:rsid w:val="00FE1604"/>
    <w:rsid w:val="00FE1782"/>
    <w:rsid w:val="00FE17F2"/>
    <w:rsid w:val="00FE18DB"/>
    <w:rsid w:val="00FE1BB1"/>
    <w:rsid w:val="00FE1C08"/>
    <w:rsid w:val="00FE1E90"/>
    <w:rsid w:val="00FE226C"/>
    <w:rsid w:val="00FE27C5"/>
    <w:rsid w:val="00FE2FE4"/>
    <w:rsid w:val="00FE30B9"/>
    <w:rsid w:val="00FE32CA"/>
    <w:rsid w:val="00FE39AC"/>
    <w:rsid w:val="00FE3DBD"/>
    <w:rsid w:val="00FE436B"/>
    <w:rsid w:val="00FE4510"/>
    <w:rsid w:val="00FE4539"/>
    <w:rsid w:val="00FE463B"/>
    <w:rsid w:val="00FE4798"/>
    <w:rsid w:val="00FE490B"/>
    <w:rsid w:val="00FE4C80"/>
    <w:rsid w:val="00FE4D52"/>
    <w:rsid w:val="00FE4E02"/>
    <w:rsid w:val="00FE52D3"/>
    <w:rsid w:val="00FE5482"/>
    <w:rsid w:val="00FE560E"/>
    <w:rsid w:val="00FE5A99"/>
    <w:rsid w:val="00FE5FEE"/>
    <w:rsid w:val="00FE60D0"/>
    <w:rsid w:val="00FE6134"/>
    <w:rsid w:val="00FE61B0"/>
    <w:rsid w:val="00FE6249"/>
    <w:rsid w:val="00FE6338"/>
    <w:rsid w:val="00FE66C1"/>
    <w:rsid w:val="00FE69CB"/>
    <w:rsid w:val="00FE6A6A"/>
    <w:rsid w:val="00FE6BC6"/>
    <w:rsid w:val="00FE6CF6"/>
    <w:rsid w:val="00FE6D81"/>
    <w:rsid w:val="00FE6E45"/>
    <w:rsid w:val="00FE7057"/>
    <w:rsid w:val="00FE73A2"/>
    <w:rsid w:val="00FE7790"/>
    <w:rsid w:val="00FE7B95"/>
    <w:rsid w:val="00FE7C05"/>
    <w:rsid w:val="00FF0974"/>
    <w:rsid w:val="00FF0C42"/>
    <w:rsid w:val="00FF0E9D"/>
    <w:rsid w:val="00FF0F65"/>
    <w:rsid w:val="00FF100E"/>
    <w:rsid w:val="00FF145B"/>
    <w:rsid w:val="00FF1465"/>
    <w:rsid w:val="00FF15F0"/>
    <w:rsid w:val="00FF1822"/>
    <w:rsid w:val="00FF1B73"/>
    <w:rsid w:val="00FF1B7F"/>
    <w:rsid w:val="00FF1CCA"/>
    <w:rsid w:val="00FF2625"/>
    <w:rsid w:val="00FF2CFE"/>
    <w:rsid w:val="00FF2EEE"/>
    <w:rsid w:val="00FF3722"/>
    <w:rsid w:val="00FF376F"/>
    <w:rsid w:val="00FF3775"/>
    <w:rsid w:val="00FF3A42"/>
    <w:rsid w:val="00FF3D8A"/>
    <w:rsid w:val="00FF42F4"/>
    <w:rsid w:val="00FF4891"/>
    <w:rsid w:val="00FF49C2"/>
    <w:rsid w:val="00FF4D2A"/>
    <w:rsid w:val="00FF5487"/>
    <w:rsid w:val="00FF573B"/>
    <w:rsid w:val="00FF57A2"/>
    <w:rsid w:val="00FF5892"/>
    <w:rsid w:val="00FF5A6D"/>
    <w:rsid w:val="00FF5FE9"/>
    <w:rsid w:val="00FF6019"/>
    <w:rsid w:val="00FF627B"/>
    <w:rsid w:val="00FF6908"/>
    <w:rsid w:val="00FF6AEC"/>
    <w:rsid w:val="00FF7573"/>
    <w:rsid w:val="00FF7711"/>
    <w:rsid w:val="00FF7A99"/>
    <w:rsid w:val="00FF7C12"/>
    <w:rsid w:val="00FF7CBB"/>
    <w:rsid w:val="00FF7D9C"/>
    <w:rsid w:val="00FF7E51"/>
    <w:rsid w:val="00FF7EA4"/>
    <w:rsid w:val="00FF7F15"/>
    <w:rsid w:val="00FF7F45"/>
    <w:rsid w:val="01C32B2B"/>
    <w:rsid w:val="02BA5DC4"/>
    <w:rsid w:val="0359D7AB"/>
    <w:rsid w:val="036283DA"/>
    <w:rsid w:val="058C3ED9"/>
    <w:rsid w:val="059FD2D9"/>
    <w:rsid w:val="065B4A8E"/>
    <w:rsid w:val="07ACBF2F"/>
    <w:rsid w:val="09C302EC"/>
    <w:rsid w:val="09F76847"/>
    <w:rsid w:val="0C639C3B"/>
    <w:rsid w:val="0C9F5D73"/>
    <w:rsid w:val="0CE8AF91"/>
    <w:rsid w:val="0D17DC44"/>
    <w:rsid w:val="0D77A98F"/>
    <w:rsid w:val="0E57CD36"/>
    <w:rsid w:val="0ECF0FEC"/>
    <w:rsid w:val="12216E74"/>
    <w:rsid w:val="1273610E"/>
    <w:rsid w:val="129EC688"/>
    <w:rsid w:val="12D7697A"/>
    <w:rsid w:val="1324181C"/>
    <w:rsid w:val="134EE804"/>
    <w:rsid w:val="14AA8B05"/>
    <w:rsid w:val="14D024DF"/>
    <w:rsid w:val="14F45727"/>
    <w:rsid w:val="15520801"/>
    <w:rsid w:val="1700A7A2"/>
    <w:rsid w:val="185EA6D9"/>
    <w:rsid w:val="18AB81BA"/>
    <w:rsid w:val="1AB3FBE0"/>
    <w:rsid w:val="1AF3CE39"/>
    <w:rsid w:val="1B8B26C9"/>
    <w:rsid w:val="1BB7E6D1"/>
    <w:rsid w:val="1C736541"/>
    <w:rsid w:val="1C74FA44"/>
    <w:rsid w:val="1C9E473F"/>
    <w:rsid w:val="1D30EC3F"/>
    <w:rsid w:val="1DD83864"/>
    <w:rsid w:val="1DEB07B8"/>
    <w:rsid w:val="1E60F339"/>
    <w:rsid w:val="1EA371CF"/>
    <w:rsid w:val="1EB9EB16"/>
    <w:rsid w:val="1F08E236"/>
    <w:rsid w:val="20AEB821"/>
    <w:rsid w:val="2122CD27"/>
    <w:rsid w:val="23463B6F"/>
    <w:rsid w:val="237E3271"/>
    <w:rsid w:val="237FA161"/>
    <w:rsid w:val="23B27A3B"/>
    <w:rsid w:val="243BDF27"/>
    <w:rsid w:val="24815C78"/>
    <w:rsid w:val="24D86DF0"/>
    <w:rsid w:val="2509B8D0"/>
    <w:rsid w:val="252B4E02"/>
    <w:rsid w:val="25436CE5"/>
    <w:rsid w:val="254AFA13"/>
    <w:rsid w:val="25B7423E"/>
    <w:rsid w:val="2688FB94"/>
    <w:rsid w:val="26B6E64F"/>
    <w:rsid w:val="26EA9C5D"/>
    <w:rsid w:val="2725EAC8"/>
    <w:rsid w:val="273FCFE5"/>
    <w:rsid w:val="2745CC31"/>
    <w:rsid w:val="27EE7214"/>
    <w:rsid w:val="2960D52D"/>
    <w:rsid w:val="2A6A903F"/>
    <w:rsid w:val="2B4CA9E0"/>
    <w:rsid w:val="2BED169C"/>
    <w:rsid w:val="2C1805B9"/>
    <w:rsid w:val="2C4F0F4C"/>
    <w:rsid w:val="2C5EFBD6"/>
    <w:rsid w:val="2CA598D3"/>
    <w:rsid w:val="2E70A124"/>
    <w:rsid w:val="2E9D1811"/>
    <w:rsid w:val="2ECA98D2"/>
    <w:rsid w:val="2F71B0A4"/>
    <w:rsid w:val="2F7EF1AB"/>
    <w:rsid w:val="2FD2AB3E"/>
    <w:rsid w:val="2FF1D0AB"/>
    <w:rsid w:val="316CDB2E"/>
    <w:rsid w:val="3178FF1F"/>
    <w:rsid w:val="31C53FC6"/>
    <w:rsid w:val="3405E9AD"/>
    <w:rsid w:val="343C7C08"/>
    <w:rsid w:val="345D9BC8"/>
    <w:rsid w:val="3463FB97"/>
    <w:rsid w:val="37CBE1A3"/>
    <w:rsid w:val="393C050F"/>
    <w:rsid w:val="3A946A68"/>
    <w:rsid w:val="3AB76936"/>
    <w:rsid w:val="3AD45766"/>
    <w:rsid w:val="3ADB831D"/>
    <w:rsid w:val="3C4579C4"/>
    <w:rsid w:val="3C8EC1E6"/>
    <w:rsid w:val="3CD9490C"/>
    <w:rsid w:val="3CDA5625"/>
    <w:rsid w:val="3F427159"/>
    <w:rsid w:val="3F96EEED"/>
    <w:rsid w:val="40601F55"/>
    <w:rsid w:val="4111511D"/>
    <w:rsid w:val="4387A480"/>
    <w:rsid w:val="44D61D4D"/>
    <w:rsid w:val="45A3F0E1"/>
    <w:rsid w:val="45B81EC5"/>
    <w:rsid w:val="46B1057F"/>
    <w:rsid w:val="475383E2"/>
    <w:rsid w:val="48B8BEEF"/>
    <w:rsid w:val="48DC8481"/>
    <w:rsid w:val="49423A94"/>
    <w:rsid w:val="49A2C02F"/>
    <w:rsid w:val="4B5F92AE"/>
    <w:rsid w:val="4B6A741C"/>
    <w:rsid w:val="4B757E8A"/>
    <w:rsid w:val="4BFEDB0F"/>
    <w:rsid w:val="4C93F025"/>
    <w:rsid w:val="4CD9537F"/>
    <w:rsid w:val="4D042FF3"/>
    <w:rsid w:val="4D67430F"/>
    <w:rsid w:val="4D7E011B"/>
    <w:rsid w:val="4E29C22D"/>
    <w:rsid w:val="4E511C65"/>
    <w:rsid w:val="4E77B8DA"/>
    <w:rsid w:val="4EC13623"/>
    <w:rsid w:val="4F3E2166"/>
    <w:rsid w:val="501447F5"/>
    <w:rsid w:val="5091F9BE"/>
    <w:rsid w:val="50DA1DB7"/>
    <w:rsid w:val="51B15244"/>
    <w:rsid w:val="532E346E"/>
    <w:rsid w:val="5411CCB2"/>
    <w:rsid w:val="54DDAC12"/>
    <w:rsid w:val="553A6C4E"/>
    <w:rsid w:val="5576EBBC"/>
    <w:rsid w:val="560E17E7"/>
    <w:rsid w:val="56386B6A"/>
    <w:rsid w:val="57BC8FA9"/>
    <w:rsid w:val="57E3C387"/>
    <w:rsid w:val="58C0ABAF"/>
    <w:rsid w:val="5A1B4A73"/>
    <w:rsid w:val="5A75A7B5"/>
    <w:rsid w:val="5B354771"/>
    <w:rsid w:val="5C1E8074"/>
    <w:rsid w:val="5C4C8732"/>
    <w:rsid w:val="5CE1A9A6"/>
    <w:rsid w:val="5CE3B1F1"/>
    <w:rsid w:val="5D1189CE"/>
    <w:rsid w:val="5DC17FD6"/>
    <w:rsid w:val="5DCB7E20"/>
    <w:rsid w:val="5EFBD0B1"/>
    <w:rsid w:val="5FC58285"/>
    <w:rsid w:val="606EAAC0"/>
    <w:rsid w:val="60A8ECAE"/>
    <w:rsid w:val="61EC7BCD"/>
    <w:rsid w:val="6210AFB7"/>
    <w:rsid w:val="6216B53A"/>
    <w:rsid w:val="6234F2DD"/>
    <w:rsid w:val="62A69B64"/>
    <w:rsid w:val="636B564E"/>
    <w:rsid w:val="63BAD6C1"/>
    <w:rsid w:val="63BD2752"/>
    <w:rsid w:val="6409E136"/>
    <w:rsid w:val="65E9A9A0"/>
    <w:rsid w:val="669104DC"/>
    <w:rsid w:val="66A0AD1D"/>
    <w:rsid w:val="67103D4E"/>
    <w:rsid w:val="67959590"/>
    <w:rsid w:val="67C02FF6"/>
    <w:rsid w:val="68541F98"/>
    <w:rsid w:val="68AC40CA"/>
    <w:rsid w:val="68BD3A64"/>
    <w:rsid w:val="6991831A"/>
    <w:rsid w:val="69C96AF1"/>
    <w:rsid w:val="6BFE0F18"/>
    <w:rsid w:val="6BFE6D66"/>
    <w:rsid w:val="6D45D180"/>
    <w:rsid w:val="6F138C8D"/>
    <w:rsid w:val="6F259E06"/>
    <w:rsid w:val="70A2338F"/>
    <w:rsid w:val="70AD1D59"/>
    <w:rsid w:val="70B1C850"/>
    <w:rsid w:val="71637483"/>
    <w:rsid w:val="7177C119"/>
    <w:rsid w:val="71CF130E"/>
    <w:rsid w:val="7226463C"/>
    <w:rsid w:val="736921A0"/>
    <w:rsid w:val="73C35B7D"/>
    <w:rsid w:val="73E9F549"/>
    <w:rsid w:val="7409E354"/>
    <w:rsid w:val="742A2920"/>
    <w:rsid w:val="742B2748"/>
    <w:rsid w:val="7588B305"/>
    <w:rsid w:val="76E053A1"/>
    <w:rsid w:val="776873BA"/>
    <w:rsid w:val="77E88F05"/>
    <w:rsid w:val="78ECF5AB"/>
    <w:rsid w:val="7A1D49CC"/>
    <w:rsid w:val="7A7F4880"/>
    <w:rsid w:val="7AA85677"/>
    <w:rsid w:val="7B1679DC"/>
    <w:rsid w:val="7B3BA2BB"/>
    <w:rsid w:val="7BF929D3"/>
    <w:rsid w:val="7C079A86"/>
    <w:rsid w:val="7C7BA92A"/>
    <w:rsid w:val="7CBCA677"/>
    <w:rsid w:val="7D779170"/>
    <w:rsid w:val="7E713FAE"/>
    <w:rsid w:val="7E9CFF54"/>
    <w:rsid w:val="7F461C42"/>
    <w:rsid w:val="7FFAE5C4"/>
    <w:rsid w:val="7FFFE7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4AA8B05"/>
  <w15:chartTrackingRefBased/>
  <w15:docId w15:val="{569D8B8E-C0FB-42EC-B416-DEE356682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FR"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aliases w:val="Paragraphe EI,Paragraphe de liste1,EC,Paragraphe de liste2,Colorful List Accent 1,Liste couleur - Accent 11,Paragraphe de liste11,RETRAIT 1,List Paragraph1,Colorful List - Accent 11,Paragraphe de liste,Dot pt,F5 List Paragraph,3,BULLET 1"/>
    <w:basedOn w:val="Normal"/>
    <w:link w:val="ListParagraphChar"/>
    <w:uiPriority w:val="34"/>
    <w:qFormat/>
    <w:rsid w:val="45B81EC5"/>
    <w:pPr>
      <w:ind w:left="720"/>
      <w:contextualSpacing/>
    </w:pPr>
  </w:style>
  <w:style w:type="paragraph" w:styleId="Revision">
    <w:name w:val="Revision"/>
    <w:hidden/>
    <w:uiPriority w:val="99"/>
    <w:semiHidden/>
    <w:rsid w:val="007E0C70"/>
    <w:pPr>
      <w:spacing w:after="0" w:line="240" w:lineRule="auto"/>
    </w:pPr>
  </w:style>
  <w:style w:type="character" w:styleId="Hyperlink">
    <w:name w:val="Hyperlink"/>
    <w:basedOn w:val="DefaultParagraphFont"/>
    <w:uiPriority w:val="99"/>
    <w:unhideWhenUsed/>
    <w:rsid w:val="2745CC31"/>
    <w:rPr>
      <w:color w:val="467886"/>
      <w:u w:val="single"/>
    </w:rPr>
  </w:style>
  <w:style w:type="paragraph" w:styleId="FootnoteText">
    <w:name w:val="footnote text"/>
    <w:basedOn w:val="Normal"/>
    <w:link w:val="FootnoteTextChar"/>
    <w:uiPriority w:val="99"/>
    <w:semiHidden/>
    <w:unhideWhenUsed/>
    <w:rsid w:val="00E8563C"/>
    <w:pPr>
      <w:spacing w:after="0" w:line="240" w:lineRule="auto"/>
      <w:ind w:left="425" w:hanging="425"/>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E8563C"/>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E8563C"/>
    <w:rPr>
      <w:vertAlign w:val="superscript"/>
    </w:rPr>
  </w:style>
  <w:style w:type="character" w:customStyle="1" w:styleId="ListParagraphChar">
    <w:name w:val="List Paragraph Char"/>
    <w:aliases w:val="Paragraphe EI Char,Paragraphe de liste1 Char,EC Char,Paragraphe de liste2 Char,Colorful List Accent 1 Char,Liste couleur - Accent 11 Char,Paragraphe de liste11 Char,RETRAIT 1 Char,List Paragraph1 Char,Colorful List - Accent 11 Char"/>
    <w:basedOn w:val="DefaultParagraphFont"/>
    <w:link w:val="ListParagraph"/>
    <w:uiPriority w:val="34"/>
    <w:qFormat/>
    <w:rsid w:val="00B16279"/>
  </w:style>
  <w:style w:type="paragraph" w:styleId="Header">
    <w:name w:val="header"/>
    <w:basedOn w:val="Normal"/>
    <w:link w:val="HeaderChar"/>
    <w:uiPriority w:val="99"/>
    <w:unhideWhenUsed/>
    <w:rsid w:val="00AD15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1521"/>
  </w:style>
  <w:style w:type="paragraph" w:styleId="Footer">
    <w:name w:val="footer"/>
    <w:basedOn w:val="Normal"/>
    <w:link w:val="FooterChar"/>
    <w:uiPriority w:val="99"/>
    <w:unhideWhenUsed/>
    <w:rsid w:val="00AD15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1521"/>
  </w:style>
  <w:style w:type="character" w:styleId="CommentReference">
    <w:name w:val="annotation reference"/>
    <w:basedOn w:val="DefaultParagraphFont"/>
    <w:uiPriority w:val="99"/>
    <w:semiHidden/>
    <w:unhideWhenUsed/>
    <w:rsid w:val="00737C21"/>
    <w:rPr>
      <w:sz w:val="16"/>
      <w:szCs w:val="16"/>
    </w:rPr>
  </w:style>
  <w:style w:type="paragraph" w:styleId="CommentText">
    <w:name w:val="annotation text"/>
    <w:basedOn w:val="Normal"/>
    <w:link w:val="CommentTextChar"/>
    <w:uiPriority w:val="99"/>
    <w:unhideWhenUsed/>
    <w:rsid w:val="00737C21"/>
    <w:pPr>
      <w:spacing w:line="240" w:lineRule="auto"/>
    </w:pPr>
    <w:rPr>
      <w:sz w:val="20"/>
      <w:szCs w:val="20"/>
    </w:rPr>
  </w:style>
  <w:style w:type="character" w:customStyle="1" w:styleId="CommentTextChar">
    <w:name w:val="Comment Text Char"/>
    <w:basedOn w:val="DefaultParagraphFont"/>
    <w:link w:val="CommentText"/>
    <w:uiPriority w:val="99"/>
    <w:rsid w:val="00737C21"/>
    <w:rPr>
      <w:sz w:val="20"/>
      <w:szCs w:val="20"/>
    </w:rPr>
  </w:style>
  <w:style w:type="paragraph" w:styleId="CommentSubject">
    <w:name w:val="annotation subject"/>
    <w:basedOn w:val="CommentText"/>
    <w:next w:val="CommentText"/>
    <w:link w:val="CommentSubjectChar"/>
    <w:uiPriority w:val="99"/>
    <w:semiHidden/>
    <w:unhideWhenUsed/>
    <w:rsid w:val="00737C21"/>
    <w:rPr>
      <w:b/>
      <w:bCs/>
    </w:rPr>
  </w:style>
  <w:style w:type="character" w:customStyle="1" w:styleId="CommentSubjectChar">
    <w:name w:val="Comment Subject Char"/>
    <w:basedOn w:val="CommentTextChar"/>
    <w:link w:val="CommentSubject"/>
    <w:uiPriority w:val="99"/>
    <w:semiHidden/>
    <w:rsid w:val="00737C21"/>
    <w:rPr>
      <w:b/>
      <w:bCs/>
      <w:sz w:val="20"/>
      <w:szCs w:val="20"/>
    </w:rPr>
  </w:style>
  <w:style w:type="character" w:styleId="FollowedHyperlink">
    <w:name w:val="FollowedHyperlink"/>
    <w:basedOn w:val="DefaultParagraphFont"/>
    <w:uiPriority w:val="99"/>
    <w:semiHidden/>
    <w:unhideWhenUsed/>
    <w:rsid w:val="00DC2655"/>
    <w:rPr>
      <w:color w:val="96607D" w:themeColor="followedHyperlink"/>
      <w:u w:val="single"/>
    </w:rPr>
  </w:style>
  <w:style w:type="paragraph" w:customStyle="1" w:styleId="Text1">
    <w:name w:val="Text 1"/>
    <w:basedOn w:val="Normal"/>
    <w:qFormat/>
    <w:rsid w:val="00895183"/>
    <w:pPr>
      <w:spacing w:after="240" w:line="240" w:lineRule="auto"/>
      <w:ind w:left="482"/>
      <w:jc w:val="both"/>
    </w:pPr>
    <w:rPr>
      <w:rFonts w:ascii="Times New Roman" w:eastAsia="Times New Roman" w:hAnsi="Times New Roman" w:cs="Times New Roman"/>
      <w:szCs w:val="20"/>
      <w:lang w:eastAsia="de-DE"/>
    </w:rPr>
  </w:style>
  <w:style w:type="character" w:customStyle="1" w:styleId="UnresolvedMention">
    <w:name w:val="Unresolved Mention"/>
    <w:basedOn w:val="DefaultParagraphFont"/>
    <w:uiPriority w:val="99"/>
    <w:semiHidden/>
    <w:unhideWhenUsed/>
    <w:rsid w:val="00D1568C"/>
    <w:rPr>
      <w:color w:val="605E5C"/>
      <w:shd w:val="clear" w:color="auto" w:fill="E1DFDD"/>
    </w:rPr>
  </w:style>
  <w:style w:type="character" w:customStyle="1" w:styleId="Mention">
    <w:name w:val="Mention"/>
    <w:basedOn w:val="DefaultParagraphFont"/>
    <w:uiPriority w:val="99"/>
    <w:unhideWhenUsed/>
    <w:rsid w:val="009A5056"/>
    <w:rPr>
      <w:color w:val="2B579A"/>
      <w:shd w:val="clear" w:color="auto" w:fill="E1DFDD"/>
    </w:rPr>
  </w:style>
  <w:style w:type="character" w:customStyle="1" w:styleId="Marker">
    <w:name w:val="Marker"/>
    <w:basedOn w:val="DefaultParagraphFont"/>
    <w:rsid w:val="009902EB"/>
    <w:rPr>
      <w:color w:val="0000FF"/>
      <w:shd w:val="clear" w:color="auto" w:fill="auto"/>
    </w:rPr>
  </w:style>
  <w:style w:type="paragraph" w:customStyle="1" w:styleId="Pagedecouverture">
    <w:name w:val="Page de couverture"/>
    <w:basedOn w:val="Normal"/>
    <w:next w:val="Normal"/>
    <w:link w:val="PagedecouvertureChar"/>
    <w:rsid w:val="009902EB"/>
    <w:pPr>
      <w:spacing w:after="0" w:line="240" w:lineRule="auto"/>
      <w:jc w:val="both"/>
    </w:pPr>
    <w:rPr>
      <w:rFonts w:ascii="Times New Roman" w:eastAsiaTheme="minorHAnsi" w:hAnsi="Times New Roman" w:cs="Times New Roman"/>
      <w:szCs w:val="22"/>
      <w:lang w:eastAsia="en-US"/>
    </w:rPr>
  </w:style>
  <w:style w:type="paragraph" w:customStyle="1" w:styleId="FooterCoverPage">
    <w:name w:val="Footer Cover Page"/>
    <w:basedOn w:val="Normal"/>
    <w:link w:val="FooterCoverPageChar"/>
    <w:rsid w:val="009902EB"/>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PagedecouvertureChar">
    <w:name w:val="Page de couverture Char"/>
    <w:basedOn w:val="DefaultParagraphFont"/>
    <w:link w:val="Pagedecouverture"/>
    <w:rsid w:val="009902EB"/>
    <w:rPr>
      <w:rFonts w:ascii="Times New Roman" w:eastAsiaTheme="minorHAnsi" w:hAnsi="Times New Roman" w:cs="Times New Roman"/>
      <w:szCs w:val="22"/>
      <w:lang w:eastAsia="en-US"/>
    </w:rPr>
  </w:style>
  <w:style w:type="character" w:customStyle="1" w:styleId="FooterCoverPageChar">
    <w:name w:val="Footer Cover Page Char"/>
    <w:basedOn w:val="PagedecouvertureChar"/>
    <w:link w:val="FooterCoverPage"/>
    <w:rsid w:val="009902EB"/>
    <w:rPr>
      <w:rFonts w:ascii="Times New Roman" w:eastAsiaTheme="minorHAnsi" w:hAnsi="Times New Roman" w:cs="Times New Roman"/>
      <w:szCs w:val="22"/>
      <w:lang w:eastAsia="en-US"/>
    </w:rPr>
  </w:style>
  <w:style w:type="paragraph" w:customStyle="1" w:styleId="FooterSensitivity">
    <w:name w:val="Footer Sensitivity"/>
    <w:basedOn w:val="Normal"/>
    <w:link w:val="FooterSensitivityChar"/>
    <w:rsid w:val="009902E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9902EB"/>
    <w:rPr>
      <w:rFonts w:ascii="Times New Roman" w:eastAsiaTheme="minorHAnsi" w:hAnsi="Times New Roman" w:cs="Times New Roman"/>
      <w:b/>
      <w:sz w:val="32"/>
      <w:szCs w:val="22"/>
      <w:lang w:eastAsia="en-US"/>
    </w:rPr>
  </w:style>
  <w:style w:type="paragraph" w:customStyle="1" w:styleId="HeaderCoverPage">
    <w:name w:val="Header Cover Page"/>
    <w:basedOn w:val="Normal"/>
    <w:link w:val="HeaderCoverPageChar"/>
    <w:rsid w:val="009902EB"/>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PagedecouvertureChar"/>
    <w:link w:val="HeaderCoverPage"/>
    <w:rsid w:val="009902EB"/>
    <w:rPr>
      <w:rFonts w:ascii="Times New Roman" w:eastAsiaTheme="minorHAnsi" w:hAnsi="Times New Roman" w:cs="Times New Roman"/>
      <w:szCs w:val="22"/>
      <w:lang w:eastAsia="en-US"/>
    </w:rPr>
  </w:style>
  <w:style w:type="paragraph" w:customStyle="1" w:styleId="HeaderSensitivity">
    <w:name w:val="Header Sensitivity"/>
    <w:basedOn w:val="Normal"/>
    <w:link w:val="HeaderSensitivityChar"/>
    <w:rsid w:val="009902E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9902EB"/>
    <w:rPr>
      <w:rFonts w:ascii="Times New Roman" w:eastAsiaTheme="minorHAnsi" w:hAnsi="Times New Roman" w:cs="Times New Roman"/>
      <w:b/>
      <w:sz w:val="32"/>
      <w:szCs w:val="22"/>
      <w:lang w:eastAsia="en-US"/>
    </w:rPr>
  </w:style>
  <w:style w:type="paragraph" w:customStyle="1" w:styleId="HeaderSensitivityRight">
    <w:name w:val="Header Sensitivity Right"/>
    <w:basedOn w:val="Normal"/>
    <w:link w:val="HeaderSensitivityRightChar"/>
    <w:rsid w:val="004652E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9902EB"/>
    <w:rPr>
      <w:rFonts w:ascii="Times New Roman" w:eastAsiaTheme="minorHAnsi" w:hAnsi="Times New Roman" w:cs="Times New Roman"/>
      <w:sz w:val="28"/>
      <w:szCs w:val="22"/>
      <w:lang w:eastAsia="en-US"/>
    </w:rPr>
  </w:style>
  <w:style w:type="paragraph" w:customStyle="1" w:styleId="Disclaimer">
    <w:name w:val="Disclaimer"/>
    <w:basedOn w:val="Normal"/>
    <w:rsid w:val="004652E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cs="Times New Roman"/>
      <w:szCs w:val="22"/>
      <w:lang w:eastAsia="en-US"/>
    </w:rPr>
  </w:style>
  <w:style w:type="paragraph" w:customStyle="1" w:styleId="SecurityMarking">
    <w:name w:val="SecurityMarking"/>
    <w:basedOn w:val="Normal"/>
    <w:rsid w:val="004652E5"/>
    <w:pPr>
      <w:spacing w:after="0" w:line="276" w:lineRule="auto"/>
      <w:ind w:left="5103"/>
    </w:pPr>
    <w:rPr>
      <w:rFonts w:ascii="Times New Roman" w:eastAsiaTheme="minorHAnsi" w:hAnsi="Times New Roman" w:cs="Times New Roman"/>
      <w:sz w:val="28"/>
      <w:szCs w:val="22"/>
      <w:lang w:eastAsia="en-US"/>
    </w:rPr>
  </w:style>
  <w:style w:type="paragraph" w:customStyle="1" w:styleId="DateMarking">
    <w:name w:val="DateMarking"/>
    <w:basedOn w:val="Normal"/>
    <w:rsid w:val="004652E5"/>
    <w:pPr>
      <w:spacing w:after="0" w:line="276" w:lineRule="auto"/>
      <w:ind w:left="5103"/>
    </w:pPr>
    <w:rPr>
      <w:rFonts w:ascii="Times New Roman" w:eastAsiaTheme="minorHAnsi" w:hAnsi="Times New Roman" w:cs="Times New Roman"/>
      <w:i/>
      <w:sz w:val="28"/>
      <w:szCs w:val="22"/>
      <w:lang w:eastAsia="en-US"/>
    </w:rPr>
  </w:style>
  <w:style w:type="paragraph" w:customStyle="1" w:styleId="ReleasableTo">
    <w:name w:val="ReleasableTo"/>
    <w:basedOn w:val="Normal"/>
    <w:rsid w:val="004652E5"/>
    <w:pPr>
      <w:spacing w:after="0" w:line="276" w:lineRule="auto"/>
      <w:ind w:left="5103"/>
    </w:pPr>
    <w:rPr>
      <w:rFonts w:ascii="Times New Roman" w:eastAsiaTheme="minorHAnsi" w:hAnsi="Times New Roman" w:cs="Times New Roman"/>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89514">
      <w:bodyDiv w:val="1"/>
      <w:marLeft w:val="0"/>
      <w:marRight w:val="0"/>
      <w:marTop w:val="0"/>
      <w:marBottom w:val="0"/>
      <w:divBdr>
        <w:top w:val="none" w:sz="0" w:space="0" w:color="auto"/>
        <w:left w:val="none" w:sz="0" w:space="0" w:color="auto"/>
        <w:bottom w:val="none" w:sz="0" w:space="0" w:color="auto"/>
        <w:right w:val="none" w:sz="0" w:space="0" w:color="auto"/>
      </w:divBdr>
      <w:divsChild>
        <w:div w:id="282078757">
          <w:marLeft w:val="0"/>
          <w:marRight w:val="0"/>
          <w:marTop w:val="240"/>
          <w:marBottom w:val="240"/>
          <w:divBdr>
            <w:top w:val="none" w:sz="0" w:space="0" w:color="auto"/>
            <w:left w:val="none" w:sz="0" w:space="0" w:color="auto"/>
            <w:bottom w:val="none" w:sz="0" w:space="0" w:color="auto"/>
            <w:right w:val="none" w:sz="0" w:space="0" w:color="auto"/>
          </w:divBdr>
        </w:div>
        <w:div w:id="319504620">
          <w:marLeft w:val="0"/>
          <w:marRight w:val="0"/>
          <w:marTop w:val="240"/>
          <w:marBottom w:val="240"/>
          <w:divBdr>
            <w:top w:val="none" w:sz="0" w:space="0" w:color="auto"/>
            <w:left w:val="none" w:sz="0" w:space="0" w:color="auto"/>
            <w:bottom w:val="none" w:sz="0" w:space="0" w:color="auto"/>
            <w:right w:val="none" w:sz="0" w:space="0" w:color="auto"/>
          </w:divBdr>
        </w:div>
        <w:div w:id="1152991079">
          <w:marLeft w:val="0"/>
          <w:marRight w:val="0"/>
          <w:marTop w:val="450"/>
          <w:marBottom w:val="240"/>
          <w:divBdr>
            <w:top w:val="none" w:sz="0" w:space="0" w:color="auto"/>
            <w:left w:val="none" w:sz="0" w:space="0" w:color="auto"/>
            <w:bottom w:val="none" w:sz="0" w:space="0" w:color="auto"/>
            <w:right w:val="none" w:sz="0" w:space="0" w:color="auto"/>
          </w:divBdr>
        </w:div>
        <w:div w:id="1440952579">
          <w:marLeft w:val="0"/>
          <w:marRight w:val="0"/>
          <w:marTop w:val="240"/>
          <w:marBottom w:val="240"/>
          <w:divBdr>
            <w:top w:val="none" w:sz="0" w:space="0" w:color="auto"/>
            <w:left w:val="none" w:sz="0" w:space="0" w:color="auto"/>
            <w:bottom w:val="none" w:sz="0" w:space="0" w:color="auto"/>
            <w:right w:val="none" w:sz="0" w:space="0" w:color="auto"/>
          </w:divBdr>
        </w:div>
      </w:divsChild>
    </w:div>
    <w:div w:id="84152238">
      <w:bodyDiv w:val="1"/>
      <w:marLeft w:val="0"/>
      <w:marRight w:val="0"/>
      <w:marTop w:val="0"/>
      <w:marBottom w:val="0"/>
      <w:divBdr>
        <w:top w:val="none" w:sz="0" w:space="0" w:color="auto"/>
        <w:left w:val="none" w:sz="0" w:space="0" w:color="auto"/>
        <w:bottom w:val="none" w:sz="0" w:space="0" w:color="auto"/>
        <w:right w:val="none" w:sz="0" w:space="0" w:color="auto"/>
      </w:divBdr>
      <w:divsChild>
        <w:div w:id="187062034">
          <w:marLeft w:val="0"/>
          <w:marRight w:val="0"/>
          <w:marTop w:val="0"/>
          <w:marBottom w:val="0"/>
          <w:divBdr>
            <w:top w:val="none" w:sz="0" w:space="0" w:color="auto"/>
            <w:left w:val="none" w:sz="0" w:space="0" w:color="auto"/>
            <w:bottom w:val="none" w:sz="0" w:space="0" w:color="auto"/>
            <w:right w:val="none" w:sz="0" w:space="0" w:color="auto"/>
          </w:divBdr>
        </w:div>
        <w:div w:id="208494506">
          <w:marLeft w:val="0"/>
          <w:marRight w:val="0"/>
          <w:marTop w:val="0"/>
          <w:marBottom w:val="0"/>
          <w:divBdr>
            <w:top w:val="none" w:sz="0" w:space="0" w:color="auto"/>
            <w:left w:val="none" w:sz="0" w:space="0" w:color="auto"/>
            <w:bottom w:val="none" w:sz="0" w:space="0" w:color="auto"/>
            <w:right w:val="none" w:sz="0" w:space="0" w:color="auto"/>
          </w:divBdr>
        </w:div>
        <w:div w:id="231164340">
          <w:marLeft w:val="0"/>
          <w:marRight w:val="0"/>
          <w:marTop w:val="0"/>
          <w:marBottom w:val="0"/>
          <w:divBdr>
            <w:top w:val="none" w:sz="0" w:space="0" w:color="auto"/>
            <w:left w:val="none" w:sz="0" w:space="0" w:color="auto"/>
            <w:bottom w:val="none" w:sz="0" w:space="0" w:color="auto"/>
            <w:right w:val="none" w:sz="0" w:space="0" w:color="auto"/>
          </w:divBdr>
        </w:div>
        <w:div w:id="484007756">
          <w:marLeft w:val="0"/>
          <w:marRight w:val="0"/>
          <w:marTop w:val="0"/>
          <w:marBottom w:val="0"/>
          <w:divBdr>
            <w:top w:val="none" w:sz="0" w:space="0" w:color="auto"/>
            <w:left w:val="none" w:sz="0" w:space="0" w:color="auto"/>
            <w:bottom w:val="none" w:sz="0" w:space="0" w:color="auto"/>
            <w:right w:val="none" w:sz="0" w:space="0" w:color="auto"/>
          </w:divBdr>
        </w:div>
        <w:div w:id="615138848">
          <w:marLeft w:val="0"/>
          <w:marRight w:val="0"/>
          <w:marTop w:val="0"/>
          <w:marBottom w:val="0"/>
          <w:divBdr>
            <w:top w:val="none" w:sz="0" w:space="0" w:color="auto"/>
            <w:left w:val="none" w:sz="0" w:space="0" w:color="auto"/>
            <w:bottom w:val="none" w:sz="0" w:space="0" w:color="auto"/>
            <w:right w:val="none" w:sz="0" w:space="0" w:color="auto"/>
          </w:divBdr>
        </w:div>
        <w:div w:id="728042383">
          <w:marLeft w:val="0"/>
          <w:marRight w:val="0"/>
          <w:marTop w:val="0"/>
          <w:marBottom w:val="0"/>
          <w:divBdr>
            <w:top w:val="none" w:sz="0" w:space="0" w:color="auto"/>
            <w:left w:val="none" w:sz="0" w:space="0" w:color="auto"/>
            <w:bottom w:val="none" w:sz="0" w:space="0" w:color="auto"/>
            <w:right w:val="none" w:sz="0" w:space="0" w:color="auto"/>
          </w:divBdr>
        </w:div>
        <w:div w:id="741950335">
          <w:marLeft w:val="0"/>
          <w:marRight w:val="0"/>
          <w:marTop w:val="0"/>
          <w:marBottom w:val="0"/>
          <w:divBdr>
            <w:top w:val="none" w:sz="0" w:space="0" w:color="auto"/>
            <w:left w:val="none" w:sz="0" w:space="0" w:color="auto"/>
            <w:bottom w:val="none" w:sz="0" w:space="0" w:color="auto"/>
            <w:right w:val="none" w:sz="0" w:space="0" w:color="auto"/>
          </w:divBdr>
        </w:div>
        <w:div w:id="1302150955">
          <w:marLeft w:val="0"/>
          <w:marRight w:val="0"/>
          <w:marTop w:val="0"/>
          <w:marBottom w:val="0"/>
          <w:divBdr>
            <w:top w:val="none" w:sz="0" w:space="0" w:color="auto"/>
            <w:left w:val="none" w:sz="0" w:space="0" w:color="auto"/>
            <w:bottom w:val="none" w:sz="0" w:space="0" w:color="auto"/>
            <w:right w:val="none" w:sz="0" w:space="0" w:color="auto"/>
          </w:divBdr>
        </w:div>
        <w:div w:id="1448432152">
          <w:marLeft w:val="0"/>
          <w:marRight w:val="0"/>
          <w:marTop w:val="0"/>
          <w:marBottom w:val="0"/>
          <w:divBdr>
            <w:top w:val="none" w:sz="0" w:space="0" w:color="auto"/>
            <w:left w:val="none" w:sz="0" w:space="0" w:color="auto"/>
            <w:bottom w:val="none" w:sz="0" w:space="0" w:color="auto"/>
            <w:right w:val="none" w:sz="0" w:space="0" w:color="auto"/>
          </w:divBdr>
        </w:div>
        <w:div w:id="1726442651">
          <w:marLeft w:val="0"/>
          <w:marRight w:val="0"/>
          <w:marTop w:val="0"/>
          <w:marBottom w:val="0"/>
          <w:divBdr>
            <w:top w:val="none" w:sz="0" w:space="0" w:color="auto"/>
            <w:left w:val="none" w:sz="0" w:space="0" w:color="auto"/>
            <w:bottom w:val="none" w:sz="0" w:space="0" w:color="auto"/>
            <w:right w:val="none" w:sz="0" w:space="0" w:color="auto"/>
          </w:divBdr>
        </w:div>
        <w:div w:id="1994799425">
          <w:marLeft w:val="0"/>
          <w:marRight w:val="0"/>
          <w:marTop w:val="0"/>
          <w:marBottom w:val="0"/>
          <w:divBdr>
            <w:top w:val="none" w:sz="0" w:space="0" w:color="auto"/>
            <w:left w:val="none" w:sz="0" w:space="0" w:color="auto"/>
            <w:bottom w:val="none" w:sz="0" w:space="0" w:color="auto"/>
            <w:right w:val="none" w:sz="0" w:space="0" w:color="auto"/>
          </w:divBdr>
        </w:div>
        <w:div w:id="2003196015">
          <w:marLeft w:val="0"/>
          <w:marRight w:val="0"/>
          <w:marTop w:val="0"/>
          <w:marBottom w:val="0"/>
          <w:divBdr>
            <w:top w:val="none" w:sz="0" w:space="0" w:color="auto"/>
            <w:left w:val="none" w:sz="0" w:space="0" w:color="auto"/>
            <w:bottom w:val="none" w:sz="0" w:space="0" w:color="auto"/>
            <w:right w:val="none" w:sz="0" w:space="0" w:color="auto"/>
          </w:divBdr>
        </w:div>
      </w:divsChild>
    </w:div>
    <w:div w:id="121969084">
      <w:bodyDiv w:val="1"/>
      <w:marLeft w:val="0"/>
      <w:marRight w:val="0"/>
      <w:marTop w:val="0"/>
      <w:marBottom w:val="0"/>
      <w:divBdr>
        <w:top w:val="none" w:sz="0" w:space="0" w:color="auto"/>
        <w:left w:val="none" w:sz="0" w:space="0" w:color="auto"/>
        <w:bottom w:val="none" w:sz="0" w:space="0" w:color="auto"/>
        <w:right w:val="none" w:sz="0" w:space="0" w:color="auto"/>
      </w:divBdr>
    </w:div>
    <w:div w:id="155076780">
      <w:bodyDiv w:val="1"/>
      <w:marLeft w:val="0"/>
      <w:marRight w:val="0"/>
      <w:marTop w:val="0"/>
      <w:marBottom w:val="0"/>
      <w:divBdr>
        <w:top w:val="none" w:sz="0" w:space="0" w:color="auto"/>
        <w:left w:val="none" w:sz="0" w:space="0" w:color="auto"/>
        <w:bottom w:val="none" w:sz="0" w:space="0" w:color="auto"/>
        <w:right w:val="none" w:sz="0" w:space="0" w:color="auto"/>
      </w:divBdr>
      <w:divsChild>
        <w:div w:id="212736184">
          <w:marLeft w:val="0"/>
          <w:marRight w:val="0"/>
          <w:marTop w:val="0"/>
          <w:marBottom w:val="0"/>
          <w:divBdr>
            <w:top w:val="none" w:sz="0" w:space="0" w:color="auto"/>
            <w:left w:val="none" w:sz="0" w:space="0" w:color="auto"/>
            <w:bottom w:val="none" w:sz="0" w:space="0" w:color="auto"/>
            <w:right w:val="none" w:sz="0" w:space="0" w:color="auto"/>
          </w:divBdr>
        </w:div>
        <w:div w:id="309362016">
          <w:marLeft w:val="0"/>
          <w:marRight w:val="0"/>
          <w:marTop w:val="0"/>
          <w:marBottom w:val="0"/>
          <w:divBdr>
            <w:top w:val="none" w:sz="0" w:space="0" w:color="auto"/>
            <w:left w:val="none" w:sz="0" w:space="0" w:color="auto"/>
            <w:bottom w:val="none" w:sz="0" w:space="0" w:color="auto"/>
            <w:right w:val="none" w:sz="0" w:space="0" w:color="auto"/>
          </w:divBdr>
        </w:div>
      </w:divsChild>
    </w:div>
    <w:div w:id="225846018">
      <w:bodyDiv w:val="1"/>
      <w:marLeft w:val="0"/>
      <w:marRight w:val="0"/>
      <w:marTop w:val="0"/>
      <w:marBottom w:val="0"/>
      <w:divBdr>
        <w:top w:val="none" w:sz="0" w:space="0" w:color="auto"/>
        <w:left w:val="none" w:sz="0" w:space="0" w:color="auto"/>
        <w:bottom w:val="none" w:sz="0" w:space="0" w:color="auto"/>
        <w:right w:val="none" w:sz="0" w:space="0" w:color="auto"/>
      </w:divBdr>
    </w:div>
    <w:div w:id="255407633">
      <w:bodyDiv w:val="1"/>
      <w:marLeft w:val="0"/>
      <w:marRight w:val="0"/>
      <w:marTop w:val="0"/>
      <w:marBottom w:val="0"/>
      <w:divBdr>
        <w:top w:val="none" w:sz="0" w:space="0" w:color="auto"/>
        <w:left w:val="none" w:sz="0" w:space="0" w:color="auto"/>
        <w:bottom w:val="none" w:sz="0" w:space="0" w:color="auto"/>
        <w:right w:val="none" w:sz="0" w:space="0" w:color="auto"/>
      </w:divBdr>
    </w:div>
    <w:div w:id="261111824">
      <w:bodyDiv w:val="1"/>
      <w:marLeft w:val="0"/>
      <w:marRight w:val="0"/>
      <w:marTop w:val="0"/>
      <w:marBottom w:val="0"/>
      <w:divBdr>
        <w:top w:val="none" w:sz="0" w:space="0" w:color="auto"/>
        <w:left w:val="none" w:sz="0" w:space="0" w:color="auto"/>
        <w:bottom w:val="none" w:sz="0" w:space="0" w:color="auto"/>
        <w:right w:val="none" w:sz="0" w:space="0" w:color="auto"/>
      </w:divBdr>
      <w:divsChild>
        <w:div w:id="504319748">
          <w:marLeft w:val="0"/>
          <w:marRight w:val="0"/>
          <w:marTop w:val="0"/>
          <w:marBottom w:val="0"/>
          <w:divBdr>
            <w:top w:val="none" w:sz="0" w:space="0" w:color="auto"/>
            <w:left w:val="none" w:sz="0" w:space="0" w:color="auto"/>
            <w:bottom w:val="none" w:sz="0" w:space="0" w:color="auto"/>
            <w:right w:val="none" w:sz="0" w:space="0" w:color="auto"/>
          </w:divBdr>
        </w:div>
        <w:div w:id="1698970568">
          <w:marLeft w:val="0"/>
          <w:marRight w:val="0"/>
          <w:marTop w:val="0"/>
          <w:marBottom w:val="0"/>
          <w:divBdr>
            <w:top w:val="none" w:sz="0" w:space="0" w:color="auto"/>
            <w:left w:val="none" w:sz="0" w:space="0" w:color="auto"/>
            <w:bottom w:val="none" w:sz="0" w:space="0" w:color="auto"/>
            <w:right w:val="none" w:sz="0" w:space="0" w:color="auto"/>
          </w:divBdr>
        </w:div>
        <w:div w:id="1963414029">
          <w:marLeft w:val="0"/>
          <w:marRight w:val="0"/>
          <w:marTop w:val="0"/>
          <w:marBottom w:val="0"/>
          <w:divBdr>
            <w:top w:val="none" w:sz="0" w:space="0" w:color="auto"/>
            <w:left w:val="none" w:sz="0" w:space="0" w:color="auto"/>
            <w:bottom w:val="none" w:sz="0" w:space="0" w:color="auto"/>
            <w:right w:val="none" w:sz="0" w:space="0" w:color="auto"/>
          </w:divBdr>
        </w:div>
        <w:div w:id="1992978897">
          <w:marLeft w:val="0"/>
          <w:marRight w:val="0"/>
          <w:marTop w:val="0"/>
          <w:marBottom w:val="0"/>
          <w:divBdr>
            <w:top w:val="none" w:sz="0" w:space="0" w:color="auto"/>
            <w:left w:val="none" w:sz="0" w:space="0" w:color="auto"/>
            <w:bottom w:val="none" w:sz="0" w:space="0" w:color="auto"/>
            <w:right w:val="none" w:sz="0" w:space="0" w:color="auto"/>
          </w:divBdr>
        </w:div>
      </w:divsChild>
    </w:div>
    <w:div w:id="439840502">
      <w:bodyDiv w:val="1"/>
      <w:marLeft w:val="0"/>
      <w:marRight w:val="0"/>
      <w:marTop w:val="0"/>
      <w:marBottom w:val="0"/>
      <w:divBdr>
        <w:top w:val="none" w:sz="0" w:space="0" w:color="auto"/>
        <w:left w:val="none" w:sz="0" w:space="0" w:color="auto"/>
        <w:bottom w:val="none" w:sz="0" w:space="0" w:color="auto"/>
        <w:right w:val="none" w:sz="0" w:space="0" w:color="auto"/>
      </w:divBdr>
      <w:divsChild>
        <w:div w:id="15933793">
          <w:marLeft w:val="0"/>
          <w:marRight w:val="0"/>
          <w:marTop w:val="0"/>
          <w:marBottom w:val="0"/>
          <w:divBdr>
            <w:top w:val="none" w:sz="0" w:space="0" w:color="auto"/>
            <w:left w:val="none" w:sz="0" w:space="0" w:color="auto"/>
            <w:bottom w:val="none" w:sz="0" w:space="0" w:color="auto"/>
            <w:right w:val="none" w:sz="0" w:space="0" w:color="auto"/>
          </w:divBdr>
        </w:div>
        <w:div w:id="531504179">
          <w:marLeft w:val="0"/>
          <w:marRight w:val="0"/>
          <w:marTop w:val="0"/>
          <w:marBottom w:val="0"/>
          <w:divBdr>
            <w:top w:val="none" w:sz="0" w:space="0" w:color="auto"/>
            <w:left w:val="none" w:sz="0" w:space="0" w:color="auto"/>
            <w:bottom w:val="none" w:sz="0" w:space="0" w:color="auto"/>
            <w:right w:val="none" w:sz="0" w:space="0" w:color="auto"/>
          </w:divBdr>
        </w:div>
        <w:div w:id="551816086">
          <w:marLeft w:val="0"/>
          <w:marRight w:val="0"/>
          <w:marTop w:val="0"/>
          <w:marBottom w:val="0"/>
          <w:divBdr>
            <w:top w:val="none" w:sz="0" w:space="0" w:color="auto"/>
            <w:left w:val="none" w:sz="0" w:space="0" w:color="auto"/>
            <w:bottom w:val="none" w:sz="0" w:space="0" w:color="auto"/>
            <w:right w:val="none" w:sz="0" w:space="0" w:color="auto"/>
          </w:divBdr>
        </w:div>
        <w:div w:id="1317956009">
          <w:marLeft w:val="0"/>
          <w:marRight w:val="0"/>
          <w:marTop w:val="0"/>
          <w:marBottom w:val="0"/>
          <w:divBdr>
            <w:top w:val="none" w:sz="0" w:space="0" w:color="auto"/>
            <w:left w:val="none" w:sz="0" w:space="0" w:color="auto"/>
            <w:bottom w:val="none" w:sz="0" w:space="0" w:color="auto"/>
            <w:right w:val="none" w:sz="0" w:space="0" w:color="auto"/>
          </w:divBdr>
        </w:div>
        <w:div w:id="1716152646">
          <w:marLeft w:val="0"/>
          <w:marRight w:val="0"/>
          <w:marTop w:val="0"/>
          <w:marBottom w:val="0"/>
          <w:divBdr>
            <w:top w:val="none" w:sz="0" w:space="0" w:color="auto"/>
            <w:left w:val="none" w:sz="0" w:space="0" w:color="auto"/>
            <w:bottom w:val="none" w:sz="0" w:space="0" w:color="auto"/>
            <w:right w:val="none" w:sz="0" w:space="0" w:color="auto"/>
          </w:divBdr>
        </w:div>
        <w:div w:id="1912037960">
          <w:marLeft w:val="0"/>
          <w:marRight w:val="0"/>
          <w:marTop w:val="0"/>
          <w:marBottom w:val="0"/>
          <w:divBdr>
            <w:top w:val="none" w:sz="0" w:space="0" w:color="auto"/>
            <w:left w:val="none" w:sz="0" w:space="0" w:color="auto"/>
            <w:bottom w:val="none" w:sz="0" w:space="0" w:color="auto"/>
            <w:right w:val="none" w:sz="0" w:space="0" w:color="auto"/>
          </w:divBdr>
        </w:div>
        <w:div w:id="1997343190">
          <w:marLeft w:val="0"/>
          <w:marRight w:val="0"/>
          <w:marTop w:val="0"/>
          <w:marBottom w:val="0"/>
          <w:divBdr>
            <w:top w:val="none" w:sz="0" w:space="0" w:color="auto"/>
            <w:left w:val="none" w:sz="0" w:space="0" w:color="auto"/>
            <w:bottom w:val="none" w:sz="0" w:space="0" w:color="auto"/>
            <w:right w:val="none" w:sz="0" w:space="0" w:color="auto"/>
          </w:divBdr>
        </w:div>
        <w:div w:id="2084519973">
          <w:marLeft w:val="0"/>
          <w:marRight w:val="0"/>
          <w:marTop w:val="0"/>
          <w:marBottom w:val="0"/>
          <w:divBdr>
            <w:top w:val="none" w:sz="0" w:space="0" w:color="auto"/>
            <w:left w:val="none" w:sz="0" w:space="0" w:color="auto"/>
            <w:bottom w:val="none" w:sz="0" w:space="0" w:color="auto"/>
            <w:right w:val="none" w:sz="0" w:space="0" w:color="auto"/>
          </w:divBdr>
        </w:div>
      </w:divsChild>
    </w:div>
    <w:div w:id="460264896">
      <w:bodyDiv w:val="1"/>
      <w:marLeft w:val="0"/>
      <w:marRight w:val="0"/>
      <w:marTop w:val="0"/>
      <w:marBottom w:val="0"/>
      <w:divBdr>
        <w:top w:val="none" w:sz="0" w:space="0" w:color="auto"/>
        <w:left w:val="none" w:sz="0" w:space="0" w:color="auto"/>
        <w:bottom w:val="none" w:sz="0" w:space="0" w:color="auto"/>
        <w:right w:val="none" w:sz="0" w:space="0" w:color="auto"/>
      </w:divBdr>
      <w:divsChild>
        <w:div w:id="423263373">
          <w:marLeft w:val="0"/>
          <w:marRight w:val="0"/>
          <w:marTop w:val="0"/>
          <w:marBottom w:val="0"/>
          <w:divBdr>
            <w:top w:val="none" w:sz="0" w:space="0" w:color="auto"/>
            <w:left w:val="none" w:sz="0" w:space="0" w:color="auto"/>
            <w:bottom w:val="none" w:sz="0" w:space="0" w:color="auto"/>
            <w:right w:val="none" w:sz="0" w:space="0" w:color="auto"/>
          </w:divBdr>
        </w:div>
        <w:div w:id="1225599980">
          <w:marLeft w:val="0"/>
          <w:marRight w:val="0"/>
          <w:marTop w:val="0"/>
          <w:marBottom w:val="0"/>
          <w:divBdr>
            <w:top w:val="none" w:sz="0" w:space="0" w:color="auto"/>
            <w:left w:val="none" w:sz="0" w:space="0" w:color="auto"/>
            <w:bottom w:val="none" w:sz="0" w:space="0" w:color="auto"/>
            <w:right w:val="none" w:sz="0" w:space="0" w:color="auto"/>
          </w:divBdr>
          <w:divsChild>
            <w:div w:id="94133966">
              <w:marLeft w:val="0"/>
              <w:marRight w:val="0"/>
              <w:marTop w:val="0"/>
              <w:marBottom w:val="0"/>
              <w:divBdr>
                <w:top w:val="none" w:sz="0" w:space="0" w:color="auto"/>
                <w:left w:val="none" w:sz="0" w:space="0" w:color="auto"/>
                <w:bottom w:val="none" w:sz="0" w:space="0" w:color="auto"/>
                <w:right w:val="none" w:sz="0" w:space="0" w:color="auto"/>
              </w:divBdr>
            </w:div>
            <w:div w:id="201596327">
              <w:marLeft w:val="0"/>
              <w:marRight w:val="0"/>
              <w:marTop w:val="0"/>
              <w:marBottom w:val="0"/>
              <w:divBdr>
                <w:top w:val="none" w:sz="0" w:space="0" w:color="auto"/>
                <w:left w:val="none" w:sz="0" w:space="0" w:color="auto"/>
                <w:bottom w:val="none" w:sz="0" w:space="0" w:color="auto"/>
                <w:right w:val="none" w:sz="0" w:space="0" w:color="auto"/>
              </w:divBdr>
            </w:div>
            <w:div w:id="239027954">
              <w:marLeft w:val="0"/>
              <w:marRight w:val="0"/>
              <w:marTop w:val="0"/>
              <w:marBottom w:val="0"/>
              <w:divBdr>
                <w:top w:val="none" w:sz="0" w:space="0" w:color="auto"/>
                <w:left w:val="none" w:sz="0" w:space="0" w:color="auto"/>
                <w:bottom w:val="none" w:sz="0" w:space="0" w:color="auto"/>
                <w:right w:val="none" w:sz="0" w:space="0" w:color="auto"/>
              </w:divBdr>
            </w:div>
            <w:div w:id="244656800">
              <w:marLeft w:val="0"/>
              <w:marRight w:val="0"/>
              <w:marTop w:val="0"/>
              <w:marBottom w:val="0"/>
              <w:divBdr>
                <w:top w:val="none" w:sz="0" w:space="0" w:color="auto"/>
                <w:left w:val="none" w:sz="0" w:space="0" w:color="auto"/>
                <w:bottom w:val="none" w:sz="0" w:space="0" w:color="auto"/>
                <w:right w:val="none" w:sz="0" w:space="0" w:color="auto"/>
              </w:divBdr>
            </w:div>
            <w:div w:id="791632976">
              <w:marLeft w:val="0"/>
              <w:marRight w:val="0"/>
              <w:marTop w:val="0"/>
              <w:marBottom w:val="0"/>
              <w:divBdr>
                <w:top w:val="none" w:sz="0" w:space="0" w:color="auto"/>
                <w:left w:val="none" w:sz="0" w:space="0" w:color="auto"/>
                <w:bottom w:val="none" w:sz="0" w:space="0" w:color="auto"/>
                <w:right w:val="none" w:sz="0" w:space="0" w:color="auto"/>
              </w:divBdr>
            </w:div>
            <w:div w:id="820192389">
              <w:marLeft w:val="0"/>
              <w:marRight w:val="0"/>
              <w:marTop w:val="0"/>
              <w:marBottom w:val="0"/>
              <w:divBdr>
                <w:top w:val="none" w:sz="0" w:space="0" w:color="auto"/>
                <w:left w:val="none" w:sz="0" w:space="0" w:color="auto"/>
                <w:bottom w:val="none" w:sz="0" w:space="0" w:color="auto"/>
                <w:right w:val="none" w:sz="0" w:space="0" w:color="auto"/>
              </w:divBdr>
            </w:div>
            <w:div w:id="837576017">
              <w:marLeft w:val="0"/>
              <w:marRight w:val="0"/>
              <w:marTop w:val="0"/>
              <w:marBottom w:val="0"/>
              <w:divBdr>
                <w:top w:val="none" w:sz="0" w:space="0" w:color="auto"/>
                <w:left w:val="none" w:sz="0" w:space="0" w:color="auto"/>
                <w:bottom w:val="none" w:sz="0" w:space="0" w:color="auto"/>
                <w:right w:val="none" w:sz="0" w:space="0" w:color="auto"/>
              </w:divBdr>
            </w:div>
            <w:div w:id="878779456">
              <w:marLeft w:val="0"/>
              <w:marRight w:val="0"/>
              <w:marTop w:val="0"/>
              <w:marBottom w:val="0"/>
              <w:divBdr>
                <w:top w:val="none" w:sz="0" w:space="0" w:color="auto"/>
                <w:left w:val="none" w:sz="0" w:space="0" w:color="auto"/>
                <w:bottom w:val="none" w:sz="0" w:space="0" w:color="auto"/>
                <w:right w:val="none" w:sz="0" w:space="0" w:color="auto"/>
              </w:divBdr>
            </w:div>
            <w:div w:id="1201670186">
              <w:marLeft w:val="0"/>
              <w:marRight w:val="0"/>
              <w:marTop w:val="0"/>
              <w:marBottom w:val="0"/>
              <w:divBdr>
                <w:top w:val="none" w:sz="0" w:space="0" w:color="auto"/>
                <w:left w:val="none" w:sz="0" w:space="0" w:color="auto"/>
                <w:bottom w:val="none" w:sz="0" w:space="0" w:color="auto"/>
                <w:right w:val="none" w:sz="0" w:space="0" w:color="auto"/>
              </w:divBdr>
            </w:div>
            <w:div w:id="1288897489">
              <w:marLeft w:val="0"/>
              <w:marRight w:val="0"/>
              <w:marTop w:val="0"/>
              <w:marBottom w:val="0"/>
              <w:divBdr>
                <w:top w:val="none" w:sz="0" w:space="0" w:color="auto"/>
                <w:left w:val="none" w:sz="0" w:space="0" w:color="auto"/>
                <w:bottom w:val="none" w:sz="0" w:space="0" w:color="auto"/>
                <w:right w:val="none" w:sz="0" w:space="0" w:color="auto"/>
              </w:divBdr>
            </w:div>
            <w:div w:id="1305310109">
              <w:marLeft w:val="0"/>
              <w:marRight w:val="0"/>
              <w:marTop w:val="0"/>
              <w:marBottom w:val="0"/>
              <w:divBdr>
                <w:top w:val="none" w:sz="0" w:space="0" w:color="auto"/>
                <w:left w:val="none" w:sz="0" w:space="0" w:color="auto"/>
                <w:bottom w:val="none" w:sz="0" w:space="0" w:color="auto"/>
                <w:right w:val="none" w:sz="0" w:space="0" w:color="auto"/>
              </w:divBdr>
            </w:div>
            <w:div w:id="1668744636">
              <w:marLeft w:val="0"/>
              <w:marRight w:val="0"/>
              <w:marTop w:val="0"/>
              <w:marBottom w:val="0"/>
              <w:divBdr>
                <w:top w:val="none" w:sz="0" w:space="0" w:color="auto"/>
                <w:left w:val="none" w:sz="0" w:space="0" w:color="auto"/>
                <w:bottom w:val="none" w:sz="0" w:space="0" w:color="auto"/>
                <w:right w:val="none" w:sz="0" w:space="0" w:color="auto"/>
              </w:divBdr>
            </w:div>
            <w:div w:id="1878817068">
              <w:marLeft w:val="0"/>
              <w:marRight w:val="0"/>
              <w:marTop w:val="0"/>
              <w:marBottom w:val="0"/>
              <w:divBdr>
                <w:top w:val="none" w:sz="0" w:space="0" w:color="auto"/>
                <w:left w:val="none" w:sz="0" w:space="0" w:color="auto"/>
                <w:bottom w:val="none" w:sz="0" w:space="0" w:color="auto"/>
                <w:right w:val="none" w:sz="0" w:space="0" w:color="auto"/>
              </w:divBdr>
            </w:div>
            <w:div w:id="1979526152">
              <w:marLeft w:val="0"/>
              <w:marRight w:val="0"/>
              <w:marTop w:val="0"/>
              <w:marBottom w:val="0"/>
              <w:divBdr>
                <w:top w:val="none" w:sz="0" w:space="0" w:color="auto"/>
                <w:left w:val="none" w:sz="0" w:space="0" w:color="auto"/>
                <w:bottom w:val="none" w:sz="0" w:space="0" w:color="auto"/>
                <w:right w:val="none" w:sz="0" w:space="0" w:color="auto"/>
              </w:divBdr>
            </w:div>
            <w:div w:id="2138377322">
              <w:marLeft w:val="0"/>
              <w:marRight w:val="0"/>
              <w:marTop w:val="0"/>
              <w:marBottom w:val="0"/>
              <w:divBdr>
                <w:top w:val="none" w:sz="0" w:space="0" w:color="auto"/>
                <w:left w:val="none" w:sz="0" w:space="0" w:color="auto"/>
                <w:bottom w:val="none" w:sz="0" w:space="0" w:color="auto"/>
                <w:right w:val="none" w:sz="0" w:space="0" w:color="auto"/>
              </w:divBdr>
            </w:div>
          </w:divsChild>
        </w:div>
        <w:div w:id="1686441571">
          <w:marLeft w:val="0"/>
          <w:marRight w:val="0"/>
          <w:marTop w:val="0"/>
          <w:marBottom w:val="0"/>
          <w:divBdr>
            <w:top w:val="none" w:sz="0" w:space="0" w:color="auto"/>
            <w:left w:val="none" w:sz="0" w:space="0" w:color="auto"/>
            <w:bottom w:val="none" w:sz="0" w:space="0" w:color="auto"/>
            <w:right w:val="none" w:sz="0" w:space="0" w:color="auto"/>
          </w:divBdr>
        </w:div>
        <w:div w:id="2095004286">
          <w:marLeft w:val="0"/>
          <w:marRight w:val="0"/>
          <w:marTop w:val="0"/>
          <w:marBottom w:val="0"/>
          <w:divBdr>
            <w:top w:val="none" w:sz="0" w:space="0" w:color="auto"/>
            <w:left w:val="none" w:sz="0" w:space="0" w:color="auto"/>
            <w:bottom w:val="none" w:sz="0" w:space="0" w:color="auto"/>
            <w:right w:val="none" w:sz="0" w:space="0" w:color="auto"/>
          </w:divBdr>
        </w:div>
      </w:divsChild>
    </w:div>
    <w:div w:id="466898896">
      <w:bodyDiv w:val="1"/>
      <w:marLeft w:val="0"/>
      <w:marRight w:val="0"/>
      <w:marTop w:val="0"/>
      <w:marBottom w:val="0"/>
      <w:divBdr>
        <w:top w:val="none" w:sz="0" w:space="0" w:color="auto"/>
        <w:left w:val="none" w:sz="0" w:space="0" w:color="auto"/>
        <w:bottom w:val="none" w:sz="0" w:space="0" w:color="auto"/>
        <w:right w:val="none" w:sz="0" w:space="0" w:color="auto"/>
      </w:divBdr>
      <w:divsChild>
        <w:div w:id="363756473">
          <w:marLeft w:val="0"/>
          <w:marRight w:val="0"/>
          <w:marTop w:val="0"/>
          <w:marBottom w:val="0"/>
          <w:divBdr>
            <w:top w:val="none" w:sz="0" w:space="0" w:color="auto"/>
            <w:left w:val="none" w:sz="0" w:space="0" w:color="auto"/>
            <w:bottom w:val="none" w:sz="0" w:space="0" w:color="auto"/>
            <w:right w:val="none" w:sz="0" w:space="0" w:color="auto"/>
          </w:divBdr>
        </w:div>
        <w:div w:id="985360608">
          <w:marLeft w:val="0"/>
          <w:marRight w:val="0"/>
          <w:marTop w:val="0"/>
          <w:marBottom w:val="0"/>
          <w:divBdr>
            <w:top w:val="none" w:sz="0" w:space="0" w:color="auto"/>
            <w:left w:val="none" w:sz="0" w:space="0" w:color="auto"/>
            <w:bottom w:val="none" w:sz="0" w:space="0" w:color="auto"/>
            <w:right w:val="none" w:sz="0" w:space="0" w:color="auto"/>
          </w:divBdr>
        </w:div>
        <w:div w:id="1473064367">
          <w:marLeft w:val="0"/>
          <w:marRight w:val="0"/>
          <w:marTop w:val="0"/>
          <w:marBottom w:val="0"/>
          <w:divBdr>
            <w:top w:val="none" w:sz="0" w:space="0" w:color="auto"/>
            <w:left w:val="none" w:sz="0" w:space="0" w:color="auto"/>
            <w:bottom w:val="none" w:sz="0" w:space="0" w:color="auto"/>
            <w:right w:val="none" w:sz="0" w:space="0" w:color="auto"/>
          </w:divBdr>
        </w:div>
        <w:div w:id="2016955288">
          <w:marLeft w:val="0"/>
          <w:marRight w:val="0"/>
          <w:marTop w:val="0"/>
          <w:marBottom w:val="0"/>
          <w:divBdr>
            <w:top w:val="none" w:sz="0" w:space="0" w:color="auto"/>
            <w:left w:val="none" w:sz="0" w:space="0" w:color="auto"/>
            <w:bottom w:val="none" w:sz="0" w:space="0" w:color="auto"/>
            <w:right w:val="none" w:sz="0" w:space="0" w:color="auto"/>
          </w:divBdr>
        </w:div>
      </w:divsChild>
    </w:div>
    <w:div w:id="519587014">
      <w:bodyDiv w:val="1"/>
      <w:marLeft w:val="0"/>
      <w:marRight w:val="0"/>
      <w:marTop w:val="0"/>
      <w:marBottom w:val="0"/>
      <w:divBdr>
        <w:top w:val="none" w:sz="0" w:space="0" w:color="auto"/>
        <w:left w:val="none" w:sz="0" w:space="0" w:color="auto"/>
        <w:bottom w:val="none" w:sz="0" w:space="0" w:color="auto"/>
        <w:right w:val="none" w:sz="0" w:space="0" w:color="auto"/>
      </w:divBdr>
      <w:divsChild>
        <w:div w:id="443382078">
          <w:marLeft w:val="0"/>
          <w:marRight w:val="0"/>
          <w:marTop w:val="0"/>
          <w:marBottom w:val="0"/>
          <w:divBdr>
            <w:top w:val="none" w:sz="0" w:space="0" w:color="auto"/>
            <w:left w:val="none" w:sz="0" w:space="0" w:color="auto"/>
            <w:bottom w:val="none" w:sz="0" w:space="0" w:color="auto"/>
            <w:right w:val="none" w:sz="0" w:space="0" w:color="auto"/>
          </w:divBdr>
        </w:div>
        <w:div w:id="1830559653">
          <w:marLeft w:val="0"/>
          <w:marRight w:val="0"/>
          <w:marTop w:val="0"/>
          <w:marBottom w:val="0"/>
          <w:divBdr>
            <w:top w:val="none" w:sz="0" w:space="0" w:color="auto"/>
            <w:left w:val="none" w:sz="0" w:space="0" w:color="auto"/>
            <w:bottom w:val="none" w:sz="0" w:space="0" w:color="auto"/>
            <w:right w:val="none" w:sz="0" w:space="0" w:color="auto"/>
          </w:divBdr>
        </w:div>
      </w:divsChild>
    </w:div>
    <w:div w:id="533009014">
      <w:bodyDiv w:val="1"/>
      <w:marLeft w:val="0"/>
      <w:marRight w:val="0"/>
      <w:marTop w:val="0"/>
      <w:marBottom w:val="0"/>
      <w:divBdr>
        <w:top w:val="none" w:sz="0" w:space="0" w:color="auto"/>
        <w:left w:val="none" w:sz="0" w:space="0" w:color="auto"/>
        <w:bottom w:val="none" w:sz="0" w:space="0" w:color="auto"/>
        <w:right w:val="none" w:sz="0" w:space="0" w:color="auto"/>
      </w:divBdr>
      <w:divsChild>
        <w:div w:id="306085791">
          <w:marLeft w:val="0"/>
          <w:marRight w:val="0"/>
          <w:marTop w:val="0"/>
          <w:marBottom w:val="0"/>
          <w:divBdr>
            <w:top w:val="none" w:sz="0" w:space="0" w:color="auto"/>
            <w:left w:val="none" w:sz="0" w:space="0" w:color="auto"/>
            <w:bottom w:val="none" w:sz="0" w:space="0" w:color="auto"/>
            <w:right w:val="none" w:sz="0" w:space="0" w:color="auto"/>
          </w:divBdr>
        </w:div>
        <w:div w:id="446703907">
          <w:marLeft w:val="0"/>
          <w:marRight w:val="0"/>
          <w:marTop w:val="0"/>
          <w:marBottom w:val="0"/>
          <w:divBdr>
            <w:top w:val="none" w:sz="0" w:space="0" w:color="auto"/>
            <w:left w:val="none" w:sz="0" w:space="0" w:color="auto"/>
            <w:bottom w:val="none" w:sz="0" w:space="0" w:color="auto"/>
            <w:right w:val="none" w:sz="0" w:space="0" w:color="auto"/>
          </w:divBdr>
          <w:divsChild>
            <w:div w:id="112940390">
              <w:marLeft w:val="0"/>
              <w:marRight w:val="0"/>
              <w:marTop w:val="0"/>
              <w:marBottom w:val="0"/>
              <w:divBdr>
                <w:top w:val="none" w:sz="0" w:space="0" w:color="auto"/>
                <w:left w:val="none" w:sz="0" w:space="0" w:color="auto"/>
                <w:bottom w:val="none" w:sz="0" w:space="0" w:color="auto"/>
                <w:right w:val="none" w:sz="0" w:space="0" w:color="auto"/>
              </w:divBdr>
            </w:div>
            <w:div w:id="336613527">
              <w:marLeft w:val="0"/>
              <w:marRight w:val="0"/>
              <w:marTop w:val="0"/>
              <w:marBottom w:val="0"/>
              <w:divBdr>
                <w:top w:val="none" w:sz="0" w:space="0" w:color="auto"/>
                <w:left w:val="none" w:sz="0" w:space="0" w:color="auto"/>
                <w:bottom w:val="none" w:sz="0" w:space="0" w:color="auto"/>
                <w:right w:val="none" w:sz="0" w:space="0" w:color="auto"/>
              </w:divBdr>
            </w:div>
            <w:div w:id="387998091">
              <w:marLeft w:val="0"/>
              <w:marRight w:val="0"/>
              <w:marTop w:val="0"/>
              <w:marBottom w:val="0"/>
              <w:divBdr>
                <w:top w:val="none" w:sz="0" w:space="0" w:color="auto"/>
                <w:left w:val="none" w:sz="0" w:space="0" w:color="auto"/>
                <w:bottom w:val="none" w:sz="0" w:space="0" w:color="auto"/>
                <w:right w:val="none" w:sz="0" w:space="0" w:color="auto"/>
              </w:divBdr>
            </w:div>
            <w:div w:id="846792129">
              <w:marLeft w:val="0"/>
              <w:marRight w:val="0"/>
              <w:marTop w:val="0"/>
              <w:marBottom w:val="0"/>
              <w:divBdr>
                <w:top w:val="none" w:sz="0" w:space="0" w:color="auto"/>
                <w:left w:val="none" w:sz="0" w:space="0" w:color="auto"/>
                <w:bottom w:val="none" w:sz="0" w:space="0" w:color="auto"/>
                <w:right w:val="none" w:sz="0" w:space="0" w:color="auto"/>
              </w:divBdr>
            </w:div>
            <w:div w:id="928731706">
              <w:marLeft w:val="0"/>
              <w:marRight w:val="0"/>
              <w:marTop w:val="0"/>
              <w:marBottom w:val="0"/>
              <w:divBdr>
                <w:top w:val="none" w:sz="0" w:space="0" w:color="auto"/>
                <w:left w:val="none" w:sz="0" w:space="0" w:color="auto"/>
                <w:bottom w:val="none" w:sz="0" w:space="0" w:color="auto"/>
                <w:right w:val="none" w:sz="0" w:space="0" w:color="auto"/>
              </w:divBdr>
            </w:div>
            <w:div w:id="1098481038">
              <w:marLeft w:val="0"/>
              <w:marRight w:val="0"/>
              <w:marTop w:val="0"/>
              <w:marBottom w:val="0"/>
              <w:divBdr>
                <w:top w:val="none" w:sz="0" w:space="0" w:color="auto"/>
                <w:left w:val="none" w:sz="0" w:space="0" w:color="auto"/>
                <w:bottom w:val="none" w:sz="0" w:space="0" w:color="auto"/>
                <w:right w:val="none" w:sz="0" w:space="0" w:color="auto"/>
              </w:divBdr>
            </w:div>
            <w:div w:id="1339389287">
              <w:marLeft w:val="0"/>
              <w:marRight w:val="0"/>
              <w:marTop w:val="0"/>
              <w:marBottom w:val="0"/>
              <w:divBdr>
                <w:top w:val="none" w:sz="0" w:space="0" w:color="auto"/>
                <w:left w:val="none" w:sz="0" w:space="0" w:color="auto"/>
                <w:bottom w:val="none" w:sz="0" w:space="0" w:color="auto"/>
                <w:right w:val="none" w:sz="0" w:space="0" w:color="auto"/>
              </w:divBdr>
            </w:div>
            <w:div w:id="1392801518">
              <w:marLeft w:val="0"/>
              <w:marRight w:val="0"/>
              <w:marTop w:val="0"/>
              <w:marBottom w:val="0"/>
              <w:divBdr>
                <w:top w:val="none" w:sz="0" w:space="0" w:color="auto"/>
                <w:left w:val="none" w:sz="0" w:space="0" w:color="auto"/>
                <w:bottom w:val="none" w:sz="0" w:space="0" w:color="auto"/>
                <w:right w:val="none" w:sz="0" w:space="0" w:color="auto"/>
              </w:divBdr>
            </w:div>
            <w:div w:id="1494756174">
              <w:marLeft w:val="0"/>
              <w:marRight w:val="0"/>
              <w:marTop w:val="0"/>
              <w:marBottom w:val="0"/>
              <w:divBdr>
                <w:top w:val="none" w:sz="0" w:space="0" w:color="auto"/>
                <w:left w:val="none" w:sz="0" w:space="0" w:color="auto"/>
                <w:bottom w:val="none" w:sz="0" w:space="0" w:color="auto"/>
                <w:right w:val="none" w:sz="0" w:space="0" w:color="auto"/>
              </w:divBdr>
            </w:div>
            <w:div w:id="1547371903">
              <w:marLeft w:val="0"/>
              <w:marRight w:val="0"/>
              <w:marTop w:val="0"/>
              <w:marBottom w:val="0"/>
              <w:divBdr>
                <w:top w:val="none" w:sz="0" w:space="0" w:color="auto"/>
                <w:left w:val="none" w:sz="0" w:space="0" w:color="auto"/>
                <w:bottom w:val="none" w:sz="0" w:space="0" w:color="auto"/>
                <w:right w:val="none" w:sz="0" w:space="0" w:color="auto"/>
              </w:divBdr>
            </w:div>
            <w:div w:id="1605066034">
              <w:marLeft w:val="0"/>
              <w:marRight w:val="0"/>
              <w:marTop w:val="0"/>
              <w:marBottom w:val="0"/>
              <w:divBdr>
                <w:top w:val="none" w:sz="0" w:space="0" w:color="auto"/>
                <w:left w:val="none" w:sz="0" w:space="0" w:color="auto"/>
                <w:bottom w:val="none" w:sz="0" w:space="0" w:color="auto"/>
                <w:right w:val="none" w:sz="0" w:space="0" w:color="auto"/>
              </w:divBdr>
            </w:div>
            <w:div w:id="1674186695">
              <w:marLeft w:val="0"/>
              <w:marRight w:val="0"/>
              <w:marTop w:val="0"/>
              <w:marBottom w:val="0"/>
              <w:divBdr>
                <w:top w:val="none" w:sz="0" w:space="0" w:color="auto"/>
                <w:left w:val="none" w:sz="0" w:space="0" w:color="auto"/>
                <w:bottom w:val="none" w:sz="0" w:space="0" w:color="auto"/>
                <w:right w:val="none" w:sz="0" w:space="0" w:color="auto"/>
              </w:divBdr>
            </w:div>
            <w:div w:id="1819035633">
              <w:marLeft w:val="0"/>
              <w:marRight w:val="0"/>
              <w:marTop w:val="0"/>
              <w:marBottom w:val="0"/>
              <w:divBdr>
                <w:top w:val="none" w:sz="0" w:space="0" w:color="auto"/>
                <w:left w:val="none" w:sz="0" w:space="0" w:color="auto"/>
                <w:bottom w:val="none" w:sz="0" w:space="0" w:color="auto"/>
                <w:right w:val="none" w:sz="0" w:space="0" w:color="auto"/>
              </w:divBdr>
            </w:div>
            <w:div w:id="1870683912">
              <w:marLeft w:val="0"/>
              <w:marRight w:val="0"/>
              <w:marTop w:val="0"/>
              <w:marBottom w:val="0"/>
              <w:divBdr>
                <w:top w:val="none" w:sz="0" w:space="0" w:color="auto"/>
                <w:left w:val="none" w:sz="0" w:space="0" w:color="auto"/>
                <w:bottom w:val="none" w:sz="0" w:space="0" w:color="auto"/>
                <w:right w:val="none" w:sz="0" w:space="0" w:color="auto"/>
              </w:divBdr>
            </w:div>
            <w:div w:id="1975216665">
              <w:marLeft w:val="0"/>
              <w:marRight w:val="0"/>
              <w:marTop w:val="0"/>
              <w:marBottom w:val="0"/>
              <w:divBdr>
                <w:top w:val="none" w:sz="0" w:space="0" w:color="auto"/>
                <w:left w:val="none" w:sz="0" w:space="0" w:color="auto"/>
                <w:bottom w:val="none" w:sz="0" w:space="0" w:color="auto"/>
                <w:right w:val="none" w:sz="0" w:space="0" w:color="auto"/>
              </w:divBdr>
            </w:div>
          </w:divsChild>
        </w:div>
        <w:div w:id="900092715">
          <w:marLeft w:val="0"/>
          <w:marRight w:val="0"/>
          <w:marTop w:val="0"/>
          <w:marBottom w:val="0"/>
          <w:divBdr>
            <w:top w:val="none" w:sz="0" w:space="0" w:color="auto"/>
            <w:left w:val="none" w:sz="0" w:space="0" w:color="auto"/>
            <w:bottom w:val="none" w:sz="0" w:space="0" w:color="auto"/>
            <w:right w:val="none" w:sz="0" w:space="0" w:color="auto"/>
          </w:divBdr>
        </w:div>
        <w:div w:id="1226988854">
          <w:marLeft w:val="0"/>
          <w:marRight w:val="0"/>
          <w:marTop w:val="0"/>
          <w:marBottom w:val="0"/>
          <w:divBdr>
            <w:top w:val="none" w:sz="0" w:space="0" w:color="auto"/>
            <w:left w:val="none" w:sz="0" w:space="0" w:color="auto"/>
            <w:bottom w:val="none" w:sz="0" w:space="0" w:color="auto"/>
            <w:right w:val="none" w:sz="0" w:space="0" w:color="auto"/>
          </w:divBdr>
        </w:div>
      </w:divsChild>
    </w:div>
    <w:div w:id="570192045">
      <w:bodyDiv w:val="1"/>
      <w:marLeft w:val="0"/>
      <w:marRight w:val="0"/>
      <w:marTop w:val="0"/>
      <w:marBottom w:val="0"/>
      <w:divBdr>
        <w:top w:val="none" w:sz="0" w:space="0" w:color="auto"/>
        <w:left w:val="none" w:sz="0" w:space="0" w:color="auto"/>
        <w:bottom w:val="none" w:sz="0" w:space="0" w:color="auto"/>
        <w:right w:val="none" w:sz="0" w:space="0" w:color="auto"/>
      </w:divBdr>
    </w:div>
    <w:div w:id="619188190">
      <w:bodyDiv w:val="1"/>
      <w:marLeft w:val="0"/>
      <w:marRight w:val="0"/>
      <w:marTop w:val="0"/>
      <w:marBottom w:val="0"/>
      <w:divBdr>
        <w:top w:val="none" w:sz="0" w:space="0" w:color="auto"/>
        <w:left w:val="none" w:sz="0" w:space="0" w:color="auto"/>
        <w:bottom w:val="none" w:sz="0" w:space="0" w:color="auto"/>
        <w:right w:val="none" w:sz="0" w:space="0" w:color="auto"/>
      </w:divBdr>
      <w:divsChild>
        <w:div w:id="1343044325">
          <w:marLeft w:val="0"/>
          <w:marRight w:val="0"/>
          <w:marTop w:val="0"/>
          <w:marBottom w:val="0"/>
          <w:divBdr>
            <w:top w:val="none" w:sz="0" w:space="0" w:color="auto"/>
            <w:left w:val="none" w:sz="0" w:space="0" w:color="auto"/>
            <w:bottom w:val="none" w:sz="0" w:space="0" w:color="auto"/>
            <w:right w:val="none" w:sz="0" w:space="0" w:color="auto"/>
          </w:divBdr>
          <w:divsChild>
            <w:div w:id="831215889">
              <w:marLeft w:val="0"/>
              <w:marRight w:val="0"/>
              <w:marTop w:val="0"/>
              <w:marBottom w:val="0"/>
              <w:divBdr>
                <w:top w:val="none" w:sz="0" w:space="0" w:color="auto"/>
                <w:left w:val="none" w:sz="0" w:space="0" w:color="auto"/>
                <w:bottom w:val="none" w:sz="0" w:space="0" w:color="auto"/>
                <w:right w:val="none" w:sz="0" w:space="0" w:color="auto"/>
              </w:divBdr>
            </w:div>
            <w:div w:id="1522546606">
              <w:marLeft w:val="0"/>
              <w:marRight w:val="0"/>
              <w:marTop w:val="0"/>
              <w:marBottom w:val="0"/>
              <w:divBdr>
                <w:top w:val="none" w:sz="0" w:space="0" w:color="auto"/>
                <w:left w:val="none" w:sz="0" w:space="0" w:color="auto"/>
                <w:bottom w:val="none" w:sz="0" w:space="0" w:color="auto"/>
                <w:right w:val="none" w:sz="0" w:space="0" w:color="auto"/>
              </w:divBdr>
            </w:div>
            <w:div w:id="1574512221">
              <w:marLeft w:val="0"/>
              <w:marRight w:val="0"/>
              <w:marTop w:val="0"/>
              <w:marBottom w:val="0"/>
              <w:divBdr>
                <w:top w:val="none" w:sz="0" w:space="0" w:color="auto"/>
                <w:left w:val="none" w:sz="0" w:space="0" w:color="auto"/>
                <w:bottom w:val="none" w:sz="0" w:space="0" w:color="auto"/>
                <w:right w:val="none" w:sz="0" w:space="0" w:color="auto"/>
              </w:divBdr>
            </w:div>
            <w:div w:id="1597905153">
              <w:marLeft w:val="0"/>
              <w:marRight w:val="0"/>
              <w:marTop w:val="0"/>
              <w:marBottom w:val="0"/>
              <w:divBdr>
                <w:top w:val="none" w:sz="0" w:space="0" w:color="auto"/>
                <w:left w:val="none" w:sz="0" w:space="0" w:color="auto"/>
                <w:bottom w:val="none" w:sz="0" w:space="0" w:color="auto"/>
                <w:right w:val="none" w:sz="0" w:space="0" w:color="auto"/>
              </w:divBdr>
            </w:div>
            <w:div w:id="1745177661">
              <w:marLeft w:val="0"/>
              <w:marRight w:val="0"/>
              <w:marTop w:val="0"/>
              <w:marBottom w:val="0"/>
              <w:divBdr>
                <w:top w:val="none" w:sz="0" w:space="0" w:color="auto"/>
                <w:left w:val="none" w:sz="0" w:space="0" w:color="auto"/>
                <w:bottom w:val="none" w:sz="0" w:space="0" w:color="auto"/>
                <w:right w:val="none" w:sz="0" w:space="0" w:color="auto"/>
              </w:divBdr>
            </w:div>
            <w:div w:id="1995521331">
              <w:marLeft w:val="0"/>
              <w:marRight w:val="0"/>
              <w:marTop w:val="0"/>
              <w:marBottom w:val="0"/>
              <w:divBdr>
                <w:top w:val="none" w:sz="0" w:space="0" w:color="auto"/>
                <w:left w:val="none" w:sz="0" w:space="0" w:color="auto"/>
                <w:bottom w:val="none" w:sz="0" w:space="0" w:color="auto"/>
                <w:right w:val="none" w:sz="0" w:space="0" w:color="auto"/>
              </w:divBdr>
            </w:div>
            <w:div w:id="2064598246">
              <w:marLeft w:val="0"/>
              <w:marRight w:val="0"/>
              <w:marTop w:val="0"/>
              <w:marBottom w:val="0"/>
              <w:divBdr>
                <w:top w:val="none" w:sz="0" w:space="0" w:color="auto"/>
                <w:left w:val="none" w:sz="0" w:space="0" w:color="auto"/>
                <w:bottom w:val="none" w:sz="0" w:space="0" w:color="auto"/>
                <w:right w:val="none" w:sz="0" w:space="0" w:color="auto"/>
              </w:divBdr>
            </w:div>
          </w:divsChild>
        </w:div>
        <w:div w:id="1649554233">
          <w:marLeft w:val="0"/>
          <w:marRight w:val="0"/>
          <w:marTop w:val="0"/>
          <w:marBottom w:val="0"/>
          <w:divBdr>
            <w:top w:val="none" w:sz="0" w:space="0" w:color="auto"/>
            <w:left w:val="none" w:sz="0" w:space="0" w:color="auto"/>
            <w:bottom w:val="none" w:sz="0" w:space="0" w:color="auto"/>
            <w:right w:val="none" w:sz="0" w:space="0" w:color="auto"/>
          </w:divBdr>
          <w:divsChild>
            <w:div w:id="17396388">
              <w:marLeft w:val="0"/>
              <w:marRight w:val="0"/>
              <w:marTop w:val="0"/>
              <w:marBottom w:val="0"/>
              <w:divBdr>
                <w:top w:val="none" w:sz="0" w:space="0" w:color="auto"/>
                <w:left w:val="none" w:sz="0" w:space="0" w:color="auto"/>
                <w:bottom w:val="none" w:sz="0" w:space="0" w:color="auto"/>
                <w:right w:val="none" w:sz="0" w:space="0" w:color="auto"/>
              </w:divBdr>
            </w:div>
            <w:div w:id="329451790">
              <w:marLeft w:val="0"/>
              <w:marRight w:val="0"/>
              <w:marTop w:val="0"/>
              <w:marBottom w:val="0"/>
              <w:divBdr>
                <w:top w:val="none" w:sz="0" w:space="0" w:color="auto"/>
                <w:left w:val="none" w:sz="0" w:space="0" w:color="auto"/>
                <w:bottom w:val="none" w:sz="0" w:space="0" w:color="auto"/>
                <w:right w:val="none" w:sz="0" w:space="0" w:color="auto"/>
              </w:divBdr>
            </w:div>
            <w:div w:id="607542720">
              <w:marLeft w:val="0"/>
              <w:marRight w:val="0"/>
              <w:marTop w:val="0"/>
              <w:marBottom w:val="0"/>
              <w:divBdr>
                <w:top w:val="none" w:sz="0" w:space="0" w:color="auto"/>
                <w:left w:val="none" w:sz="0" w:space="0" w:color="auto"/>
                <w:bottom w:val="none" w:sz="0" w:space="0" w:color="auto"/>
                <w:right w:val="none" w:sz="0" w:space="0" w:color="auto"/>
              </w:divBdr>
            </w:div>
            <w:div w:id="648749079">
              <w:marLeft w:val="0"/>
              <w:marRight w:val="0"/>
              <w:marTop w:val="0"/>
              <w:marBottom w:val="0"/>
              <w:divBdr>
                <w:top w:val="none" w:sz="0" w:space="0" w:color="auto"/>
                <w:left w:val="none" w:sz="0" w:space="0" w:color="auto"/>
                <w:bottom w:val="none" w:sz="0" w:space="0" w:color="auto"/>
                <w:right w:val="none" w:sz="0" w:space="0" w:color="auto"/>
              </w:divBdr>
            </w:div>
            <w:div w:id="657458086">
              <w:marLeft w:val="0"/>
              <w:marRight w:val="0"/>
              <w:marTop w:val="0"/>
              <w:marBottom w:val="0"/>
              <w:divBdr>
                <w:top w:val="none" w:sz="0" w:space="0" w:color="auto"/>
                <w:left w:val="none" w:sz="0" w:space="0" w:color="auto"/>
                <w:bottom w:val="none" w:sz="0" w:space="0" w:color="auto"/>
                <w:right w:val="none" w:sz="0" w:space="0" w:color="auto"/>
              </w:divBdr>
            </w:div>
            <w:div w:id="1106778117">
              <w:marLeft w:val="0"/>
              <w:marRight w:val="0"/>
              <w:marTop w:val="0"/>
              <w:marBottom w:val="0"/>
              <w:divBdr>
                <w:top w:val="none" w:sz="0" w:space="0" w:color="auto"/>
                <w:left w:val="none" w:sz="0" w:space="0" w:color="auto"/>
                <w:bottom w:val="none" w:sz="0" w:space="0" w:color="auto"/>
                <w:right w:val="none" w:sz="0" w:space="0" w:color="auto"/>
              </w:divBdr>
            </w:div>
            <w:div w:id="1235237648">
              <w:marLeft w:val="0"/>
              <w:marRight w:val="0"/>
              <w:marTop w:val="0"/>
              <w:marBottom w:val="0"/>
              <w:divBdr>
                <w:top w:val="none" w:sz="0" w:space="0" w:color="auto"/>
                <w:left w:val="none" w:sz="0" w:space="0" w:color="auto"/>
                <w:bottom w:val="none" w:sz="0" w:space="0" w:color="auto"/>
                <w:right w:val="none" w:sz="0" w:space="0" w:color="auto"/>
              </w:divBdr>
            </w:div>
            <w:div w:id="1617834894">
              <w:marLeft w:val="0"/>
              <w:marRight w:val="0"/>
              <w:marTop w:val="0"/>
              <w:marBottom w:val="0"/>
              <w:divBdr>
                <w:top w:val="none" w:sz="0" w:space="0" w:color="auto"/>
                <w:left w:val="none" w:sz="0" w:space="0" w:color="auto"/>
                <w:bottom w:val="none" w:sz="0" w:space="0" w:color="auto"/>
                <w:right w:val="none" w:sz="0" w:space="0" w:color="auto"/>
              </w:divBdr>
            </w:div>
            <w:div w:id="1662806539">
              <w:marLeft w:val="0"/>
              <w:marRight w:val="0"/>
              <w:marTop w:val="0"/>
              <w:marBottom w:val="0"/>
              <w:divBdr>
                <w:top w:val="none" w:sz="0" w:space="0" w:color="auto"/>
                <w:left w:val="none" w:sz="0" w:space="0" w:color="auto"/>
                <w:bottom w:val="none" w:sz="0" w:space="0" w:color="auto"/>
                <w:right w:val="none" w:sz="0" w:space="0" w:color="auto"/>
              </w:divBdr>
            </w:div>
            <w:div w:id="169511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002531">
      <w:bodyDiv w:val="1"/>
      <w:marLeft w:val="0"/>
      <w:marRight w:val="0"/>
      <w:marTop w:val="0"/>
      <w:marBottom w:val="0"/>
      <w:divBdr>
        <w:top w:val="none" w:sz="0" w:space="0" w:color="auto"/>
        <w:left w:val="none" w:sz="0" w:space="0" w:color="auto"/>
        <w:bottom w:val="none" w:sz="0" w:space="0" w:color="auto"/>
        <w:right w:val="none" w:sz="0" w:space="0" w:color="auto"/>
      </w:divBdr>
      <w:divsChild>
        <w:div w:id="136456101">
          <w:marLeft w:val="0"/>
          <w:marRight w:val="0"/>
          <w:marTop w:val="0"/>
          <w:marBottom w:val="0"/>
          <w:divBdr>
            <w:top w:val="none" w:sz="0" w:space="0" w:color="auto"/>
            <w:left w:val="none" w:sz="0" w:space="0" w:color="auto"/>
            <w:bottom w:val="none" w:sz="0" w:space="0" w:color="auto"/>
            <w:right w:val="none" w:sz="0" w:space="0" w:color="auto"/>
          </w:divBdr>
        </w:div>
        <w:div w:id="143939563">
          <w:marLeft w:val="0"/>
          <w:marRight w:val="0"/>
          <w:marTop w:val="0"/>
          <w:marBottom w:val="0"/>
          <w:divBdr>
            <w:top w:val="none" w:sz="0" w:space="0" w:color="auto"/>
            <w:left w:val="none" w:sz="0" w:space="0" w:color="auto"/>
            <w:bottom w:val="none" w:sz="0" w:space="0" w:color="auto"/>
            <w:right w:val="none" w:sz="0" w:space="0" w:color="auto"/>
          </w:divBdr>
        </w:div>
        <w:div w:id="305361566">
          <w:marLeft w:val="0"/>
          <w:marRight w:val="0"/>
          <w:marTop w:val="0"/>
          <w:marBottom w:val="0"/>
          <w:divBdr>
            <w:top w:val="none" w:sz="0" w:space="0" w:color="auto"/>
            <w:left w:val="none" w:sz="0" w:space="0" w:color="auto"/>
            <w:bottom w:val="none" w:sz="0" w:space="0" w:color="auto"/>
            <w:right w:val="none" w:sz="0" w:space="0" w:color="auto"/>
          </w:divBdr>
        </w:div>
        <w:div w:id="805440503">
          <w:marLeft w:val="0"/>
          <w:marRight w:val="0"/>
          <w:marTop w:val="0"/>
          <w:marBottom w:val="0"/>
          <w:divBdr>
            <w:top w:val="none" w:sz="0" w:space="0" w:color="auto"/>
            <w:left w:val="none" w:sz="0" w:space="0" w:color="auto"/>
            <w:bottom w:val="none" w:sz="0" w:space="0" w:color="auto"/>
            <w:right w:val="none" w:sz="0" w:space="0" w:color="auto"/>
          </w:divBdr>
        </w:div>
        <w:div w:id="1112944044">
          <w:marLeft w:val="0"/>
          <w:marRight w:val="0"/>
          <w:marTop w:val="0"/>
          <w:marBottom w:val="0"/>
          <w:divBdr>
            <w:top w:val="none" w:sz="0" w:space="0" w:color="auto"/>
            <w:left w:val="none" w:sz="0" w:space="0" w:color="auto"/>
            <w:bottom w:val="none" w:sz="0" w:space="0" w:color="auto"/>
            <w:right w:val="none" w:sz="0" w:space="0" w:color="auto"/>
          </w:divBdr>
        </w:div>
        <w:div w:id="1625573085">
          <w:marLeft w:val="0"/>
          <w:marRight w:val="0"/>
          <w:marTop w:val="0"/>
          <w:marBottom w:val="0"/>
          <w:divBdr>
            <w:top w:val="none" w:sz="0" w:space="0" w:color="auto"/>
            <w:left w:val="none" w:sz="0" w:space="0" w:color="auto"/>
            <w:bottom w:val="none" w:sz="0" w:space="0" w:color="auto"/>
            <w:right w:val="none" w:sz="0" w:space="0" w:color="auto"/>
          </w:divBdr>
        </w:div>
        <w:div w:id="1664121664">
          <w:marLeft w:val="0"/>
          <w:marRight w:val="0"/>
          <w:marTop w:val="0"/>
          <w:marBottom w:val="0"/>
          <w:divBdr>
            <w:top w:val="none" w:sz="0" w:space="0" w:color="auto"/>
            <w:left w:val="none" w:sz="0" w:space="0" w:color="auto"/>
            <w:bottom w:val="none" w:sz="0" w:space="0" w:color="auto"/>
            <w:right w:val="none" w:sz="0" w:space="0" w:color="auto"/>
          </w:divBdr>
        </w:div>
        <w:div w:id="1804495945">
          <w:marLeft w:val="0"/>
          <w:marRight w:val="0"/>
          <w:marTop w:val="0"/>
          <w:marBottom w:val="0"/>
          <w:divBdr>
            <w:top w:val="none" w:sz="0" w:space="0" w:color="auto"/>
            <w:left w:val="none" w:sz="0" w:space="0" w:color="auto"/>
            <w:bottom w:val="none" w:sz="0" w:space="0" w:color="auto"/>
            <w:right w:val="none" w:sz="0" w:space="0" w:color="auto"/>
          </w:divBdr>
        </w:div>
      </w:divsChild>
    </w:div>
    <w:div w:id="777262109">
      <w:bodyDiv w:val="1"/>
      <w:marLeft w:val="0"/>
      <w:marRight w:val="0"/>
      <w:marTop w:val="0"/>
      <w:marBottom w:val="0"/>
      <w:divBdr>
        <w:top w:val="none" w:sz="0" w:space="0" w:color="auto"/>
        <w:left w:val="none" w:sz="0" w:space="0" w:color="auto"/>
        <w:bottom w:val="none" w:sz="0" w:space="0" w:color="auto"/>
        <w:right w:val="none" w:sz="0" w:space="0" w:color="auto"/>
      </w:divBdr>
      <w:divsChild>
        <w:div w:id="138618934">
          <w:marLeft w:val="0"/>
          <w:marRight w:val="0"/>
          <w:marTop w:val="0"/>
          <w:marBottom w:val="0"/>
          <w:divBdr>
            <w:top w:val="none" w:sz="0" w:space="0" w:color="auto"/>
            <w:left w:val="none" w:sz="0" w:space="0" w:color="auto"/>
            <w:bottom w:val="none" w:sz="0" w:space="0" w:color="auto"/>
            <w:right w:val="none" w:sz="0" w:space="0" w:color="auto"/>
          </w:divBdr>
        </w:div>
        <w:div w:id="446966636">
          <w:marLeft w:val="0"/>
          <w:marRight w:val="0"/>
          <w:marTop w:val="0"/>
          <w:marBottom w:val="0"/>
          <w:divBdr>
            <w:top w:val="none" w:sz="0" w:space="0" w:color="auto"/>
            <w:left w:val="none" w:sz="0" w:space="0" w:color="auto"/>
            <w:bottom w:val="none" w:sz="0" w:space="0" w:color="auto"/>
            <w:right w:val="none" w:sz="0" w:space="0" w:color="auto"/>
          </w:divBdr>
        </w:div>
        <w:div w:id="593248669">
          <w:marLeft w:val="0"/>
          <w:marRight w:val="0"/>
          <w:marTop w:val="0"/>
          <w:marBottom w:val="0"/>
          <w:divBdr>
            <w:top w:val="none" w:sz="0" w:space="0" w:color="auto"/>
            <w:left w:val="none" w:sz="0" w:space="0" w:color="auto"/>
            <w:bottom w:val="none" w:sz="0" w:space="0" w:color="auto"/>
            <w:right w:val="none" w:sz="0" w:space="0" w:color="auto"/>
          </w:divBdr>
        </w:div>
        <w:div w:id="681862742">
          <w:marLeft w:val="0"/>
          <w:marRight w:val="0"/>
          <w:marTop w:val="0"/>
          <w:marBottom w:val="0"/>
          <w:divBdr>
            <w:top w:val="none" w:sz="0" w:space="0" w:color="auto"/>
            <w:left w:val="none" w:sz="0" w:space="0" w:color="auto"/>
            <w:bottom w:val="none" w:sz="0" w:space="0" w:color="auto"/>
            <w:right w:val="none" w:sz="0" w:space="0" w:color="auto"/>
          </w:divBdr>
        </w:div>
        <w:div w:id="749230615">
          <w:marLeft w:val="0"/>
          <w:marRight w:val="0"/>
          <w:marTop w:val="0"/>
          <w:marBottom w:val="0"/>
          <w:divBdr>
            <w:top w:val="none" w:sz="0" w:space="0" w:color="auto"/>
            <w:left w:val="none" w:sz="0" w:space="0" w:color="auto"/>
            <w:bottom w:val="none" w:sz="0" w:space="0" w:color="auto"/>
            <w:right w:val="none" w:sz="0" w:space="0" w:color="auto"/>
          </w:divBdr>
        </w:div>
        <w:div w:id="934097443">
          <w:marLeft w:val="0"/>
          <w:marRight w:val="0"/>
          <w:marTop w:val="0"/>
          <w:marBottom w:val="0"/>
          <w:divBdr>
            <w:top w:val="none" w:sz="0" w:space="0" w:color="auto"/>
            <w:left w:val="none" w:sz="0" w:space="0" w:color="auto"/>
            <w:bottom w:val="none" w:sz="0" w:space="0" w:color="auto"/>
            <w:right w:val="none" w:sz="0" w:space="0" w:color="auto"/>
          </w:divBdr>
        </w:div>
        <w:div w:id="1087579621">
          <w:marLeft w:val="0"/>
          <w:marRight w:val="0"/>
          <w:marTop w:val="0"/>
          <w:marBottom w:val="0"/>
          <w:divBdr>
            <w:top w:val="none" w:sz="0" w:space="0" w:color="auto"/>
            <w:left w:val="none" w:sz="0" w:space="0" w:color="auto"/>
            <w:bottom w:val="none" w:sz="0" w:space="0" w:color="auto"/>
            <w:right w:val="none" w:sz="0" w:space="0" w:color="auto"/>
          </w:divBdr>
        </w:div>
        <w:div w:id="1220483452">
          <w:marLeft w:val="0"/>
          <w:marRight w:val="0"/>
          <w:marTop w:val="0"/>
          <w:marBottom w:val="0"/>
          <w:divBdr>
            <w:top w:val="none" w:sz="0" w:space="0" w:color="auto"/>
            <w:left w:val="none" w:sz="0" w:space="0" w:color="auto"/>
            <w:bottom w:val="none" w:sz="0" w:space="0" w:color="auto"/>
            <w:right w:val="none" w:sz="0" w:space="0" w:color="auto"/>
          </w:divBdr>
        </w:div>
        <w:div w:id="1294678890">
          <w:marLeft w:val="0"/>
          <w:marRight w:val="0"/>
          <w:marTop w:val="0"/>
          <w:marBottom w:val="0"/>
          <w:divBdr>
            <w:top w:val="none" w:sz="0" w:space="0" w:color="auto"/>
            <w:left w:val="none" w:sz="0" w:space="0" w:color="auto"/>
            <w:bottom w:val="none" w:sz="0" w:space="0" w:color="auto"/>
            <w:right w:val="none" w:sz="0" w:space="0" w:color="auto"/>
          </w:divBdr>
        </w:div>
        <w:div w:id="1525706960">
          <w:marLeft w:val="0"/>
          <w:marRight w:val="0"/>
          <w:marTop w:val="0"/>
          <w:marBottom w:val="0"/>
          <w:divBdr>
            <w:top w:val="none" w:sz="0" w:space="0" w:color="auto"/>
            <w:left w:val="none" w:sz="0" w:space="0" w:color="auto"/>
            <w:bottom w:val="none" w:sz="0" w:space="0" w:color="auto"/>
            <w:right w:val="none" w:sz="0" w:space="0" w:color="auto"/>
          </w:divBdr>
        </w:div>
        <w:div w:id="1738241437">
          <w:marLeft w:val="0"/>
          <w:marRight w:val="0"/>
          <w:marTop w:val="0"/>
          <w:marBottom w:val="0"/>
          <w:divBdr>
            <w:top w:val="none" w:sz="0" w:space="0" w:color="auto"/>
            <w:left w:val="none" w:sz="0" w:space="0" w:color="auto"/>
            <w:bottom w:val="none" w:sz="0" w:space="0" w:color="auto"/>
            <w:right w:val="none" w:sz="0" w:space="0" w:color="auto"/>
          </w:divBdr>
        </w:div>
        <w:div w:id="2116902969">
          <w:marLeft w:val="0"/>
          <w:marRight w:val="0"/>
          <w:marTop w:val="0"/>
          <w:marBottom w:val="0"/>
          <w:divBdr>
            <w:top w:val="none" w:sz="0" w:space="0" w:color="auto"/>
            <w:left w:val="none" w:sz="0" w:space="0" w:color="auto"/>
            <w:bottom w:val="none" w:sz="0" w:space="0" w:color="auto"/>
            <w:right w:val="none" w:sz="0" w:space="0" w:color="auto"/>
          </w:divBdr>
        </w:div>
      </w:divsChild>
    </w:div>
    <w:div w:id="844436697">
      <w:bodyDiv w:val="1"/>
      <w:marLeft w:val="0"/>
      <w:marRight w:val="0"/>
      <w:marTop w:val="0"/>
      <w:marBottom w:val="0"/>
      <w:divBdr>
        <w:top w:val="none" w:sz="0" w:space="0" w:color="auto"/>
        <w:left w:val="none" w:sz="0" w:space="0" w:color="auto"/>
        <w:bottom w:val="none" w:sz="0" w:space="0" w:color="auto"/>
        <w:right w:val="none" w:sz="0" w:space="0" w:color="auto"/>
      </w:divBdr>
    </w:div>
    <w:div w:id="872884480">
      <w:bodyDiv w:val="1"/>
      <w:marLeft w:val="0"/>
      <w:marRight w:val="0"/>
      <w:marTop w:val="0"/>
      <w:marBottom w:val="0"/>
      <w:divBdr>
        <w:top w:val="none" w:sz="0" w:space="0" w:color="auto"/>
        <w:left w:val="none" w:sz="0" w:space="0" w:color="auto"/>
        <w:bottom w:val="none" w:sz="0" w:space="0" w:color="auto"/>
        <w:right w:val="none" w:sz="0" w:space="0" w:color="auto"/>
      </w:divBdr>
      <w:divsChild>
        <w:div w:id="312563262">
          <w:marLeft w:val="0"/>
          <w:marRight w:val="0"/>
          <w:marTop w:val="0"/>
          <w:marBottom w:val="0"/>
          <w:divBdr>
            <w:top w:val="none" w:sz="0" w:space="0" w:color="auto"/>
            <w:left w:val="none" w:sz="0" w:space="0" w:color="auto"/>
            <w:bottom w:val="none" w:sz="0" w:space="0" w:color="auto"/>
            <w:right w:val="none" w:sz="0" w:space="0" w:color="auto"/>
          </w:divBdr>
        </w:div>
        <w:div w:id="757560135">
          <w:marLeft w:val="0"/>
          <w:marRight w:val="0"/>
          <w:marTop w:val="0"/>
          <w:marBottom w:val="0"/>
          <w:divBdr>
            <w:top w:val="none" w:sz="0" w:space="0" w:color="auto"/>
            <w:left w:val="none" w:sz="0" w:space="0" w:color="auto"/>
            <w:bottom w:val="none" w:sz="0" w:space="0" w:color="auto"/>
            <w:right w:val="none" w:sz="0" w:space="0" w:color="auto"/>
          </w:divBdr>
        </w:div>
      </w:divsChild>
    </w:div>
    <w:div w:id="878931481">
      <w:bodyDiv w:val="1"/>
      <w:marLeft w:val="0"/>
      <w:marRight w:val="0"/>
      <w:marTop w:val="0"/>
      <w:marBottom w:val="0"/>
      <w:divBdr>
        <w:top w:val="none" w:sz="0" w:space="0" w:color="auto"/>
        <w:left w:val="none" w:sz="0" w:space="0" w:color="auto"/>
        <w:bottom w:val="none" w:sz="0" w:space="0" w:color="auto"/>
        <w:right w:val="none" w:sz="0" w:space="0" w:color="auto"/>
      </w:divBdr>
    </w:div>
    <w:div w:id="988097282">
      <w:bodyDiv w:val="1"/>
      <w:marLeft w:val="0"/>
      <w:marRight w:val="0"/>
      <w:marTop w:val="0"/>
      <w:marBottom w:val="0"/>
      <w:divBdr>
        <w:top w:val="none" w:sz="0" w:space="0" w:color="auto"/>
        <w:left w:val="none" w:sz="0" w:space="0" w:color="auto"/>
        <w:bottom w:val="none" w:sz="0" w:space="0" w:color="auto"/>
        <w:right w:val="none" w:sz="0" w:space="0" w:color="auto"/>
      </w:divBdr>
      <w:divsChild>
        <w:div w:id="538903902">
          <w:marLeft w:val="0"/>
          <w:marRight w:val="0"/>
          <w:marTop w:val="0"/>
          <w:marBottom w:val="0"/>
          <w:divBdr>
            <w:top w:val="none" w:sz="0" w:space="0" w:color="auto"/>
            <w:left w:val="none" w:sz="0" w:space="0" w:color="auto"/>
            <w:bottom w:val="none" w:sz="0" w:space="0" w:color="auto"/>
            <w:right w:val="none" w:sz="0" w:space="0" w:color="auto"/>
          </w:divBdr>
        </w:div>
        <w:div w:id="1113986867">
          <w:marLeft w:val="0"/>
          <w:marRight w:val="0"/>
          <w:marTop w:val="0"/>
          <w:marBottom w:val="0"/>
          <w:divBdr>
            <w:top w:val="none" w:sz="0" w:space="0" w:color="auto"/>
            <w:left w:val="none" w:sz="0" w:space="0" w:color="auto"/>
            <w:bottom w:val="none" w:sz="0" w:space="0" w:color="auto"/>
            <w:right w:val="none" w:sz="0" w:space="0" w:color="auto"/>
          </w:divBdr>
        </w:div>
        <w:div w:id="1626689891">
          <w:marLeft w:val="0"/>
          <w:marRight w:val="0"/>
          <w:marTop w:val="0"/>
          <w:marBottom w:val="0"/>
          <w:divBdr>
            <w:top w:val="none" w:sz="0" w:space="0" w:color="auto"/>
            <w:left w:val="none" w:sz="0" w:space="0" w:color="auto"/>
            <w:bottom w:val="none" w:sz="0" w:space="0" w:color="auto"/>
            <w:right w:val="none" w:sz="0" w:space="0" w:color="auto"/>
          </w:divBdr>
        </w:div>
        <w:div w:id="1930119571">
          <w:marLeft w:val="0"/>
          <w:marRight w:val="0"/>
          <w:marTop w:val="0"/>
          <w:marBottom w:val="0"/>
          <w:divBdr>
            <w:top w:val="none" w:sz="0" w:space="0" w:color="auto"/>
            <w:left w:val="none" w:sz="0" w:space="0" w:color="auto"/>
            <w:bottom w:val="none" w:sz="0" w:space="0" w:color="auto"/>
            <w:right w:val="none" w:sz="0" w:space="0" w:color="auto"/>
          </w:divBdr>
        </w:div>
      </w:divsChild>
    </w:div>
    <w:div w:id="1032538156">
      <w:bodyDiv w:val="1"/>
      <w:marLeft w:val="0"/>
      <w:marRight w:val="0"/>
      <w:marTop w:val="0"/>
      <w:marBottom w:val="0"/>
      <w:divBdr>
        <w:top w:val="none" w:sz="0" w:space="0" w:color="auto"/>
        <w:left w:val="none" w:sz="0" w:space="0" w:color="auto"/>
        <w:bottom w:val="none" w:sz="0" w:space="0" w:color="auto"/>
        <w:right w:val="none" w:sz="0" w:space="0" w:color="auto"/>
      </w:divBdr>
    </w:div>
    <w:div w:id="1033118484">
      <w:bodyDiv w:val="1"/>
      <w:marLeft w:val="0"/>
      <w:marRight w:val="0"/>
      <w:marTop w:val="0"/>
      <w:marBottom w:val="0"/>
      <w:divBdr>
        <w:top w:val="none" w:sz="0" w:space="0" w:color="auto"/>
        <w:left w:val="none" w:sz="0" w:space="0" w:color="auto"/>
        <w:bottom w:val="none" w:sz="0" w:space="0" w:color="auto"/>
        <w:right w:val="none" w:sz="0" w:space="0" w:color="auto"/>
      </w:divBdr>
      <w:divsChild>
        <w:div w:id="13042775">
          <w:marLeft w:val="0"/>
          <w:marRight w:val="0"/>
          <w:marTop w:val="0"/>
          <w:marBottom w:val="0"/>
          <w:divBdr>
            <w:top w:val="none" w:sz="0" w:space="0" w:color="auto"/>
            <w:left w:val="none" w:sz="0" w:space="0" w:color="auto"/>
            <w:bottom w:val="none" w:sz="0" w:space="0" w:color="auto"/>
            <w:right w:val="none" w:sz="0" w:space="0" w:color="auto"/>
          </w:divBdr>
        </w:div>
        <w:div w:id="1088425981">
          <w:marLeft w:val="0"/>
          <w:marRight w:val="0"/>
          <w:marTop w:val="0"/>
          <w:marBottom w:val="0"/>
          <w:divBdr>
            <w:top w:val="none" w:sz="0" w:space="0" w:color="auto"/>
            <w:left w:val="none" w:sz="0" w:space="0" w:color="auto"/>
            <w:bottom w:val="none" w:sz="0" w:space="0" w:color="auto"/>
            <w:right w:val="none" w:sz="0" w:space="0" w:color="auto"/>
          </w:divBdr>
        </w:div>
        <w:div w:id="1590772782">
          <w:marLeft w:val="0"/>
          <w:marRight w:val="0"/>
          <w:marTop w:val="0"/>
          <w:marBottom w:val="0"/>
          <w:divBdr>
            <w:top w:val="none" w:sz="0" w:space="0" w:color="auto"/>
            <w:left w:val="none" w:sz="0" w:space="0" w:color="auto"/>
            <w:bottom w:val="none" w:sz="0" w:space="0" w:color="auto"/>
            <w:right w:val="none" w:sz="0" w:space="0" w:color="auto"/>
          </w:divBdr>
        </w:div>
        <w:div w:id="2062512951">
          <w:marLeft w:val="0"/>
          <w:marRight w:val="0"/>
          <w:marTop w:val="0"/>
          <w:marBottom w:val="0"/>
          <w:divBdr>
            <w:top w:val="none" w:sz="0" w:space="0" w:color="auto"/>
            <w:left w:val="none" w:sz="0" w:space="0" w:color="auto"/>
            <w:bottom w:val="none" w:sz="0" w:space="0" w:color="auto"/>
            <w:right w:val="none" w:sz="0" w:space="0" w:color="auto"/>
          </w:divBdr>
        </w:div>
      </w:divsChild>
    </w:div>
    <w:div w:id="1038119467">
      <w:bodyDiv w:val="1"/>
      <w:marLeft w:val="0"/>
      <w:marRight w:val="0"/>
      <w:marTop w:val="0"/>
      <w:marBottom w:val="0"/>
      <w:divBdr>
        <w:top w:val="none" w:sz="0" w:space="0" w:color="auto"/>
        <w:left w:val="none" w:sz="0" w:space="0" w:color="auto"/>
        <w:bottom w:val="none" w:sz="0" w:space="0" w:color="auto"/>
        <w:right w:val="none" w:sz="0" w:space="0" w:color="auto"/>
      </w:divBdr>
      <w:divsChild>
        <w:div w:id="232860023">
          <w:marLeft w:val="0"/>
          <w:marRight w:val="0"/>
          <w:marTop w:val="0"/>
          <w:marBottom w:val="0"/>
          <w:divBdr>
            <w:top w:val="none" w:sz="0" w:space="0" w:color="auto"/>
            <w:left w:val="none" w:sz="0" w:space="0" w:color="auto"/>
            <w:bottom w:val="none" w:sz="0" w:space="0" w:color="auto"/>
            <w:right w:val="none" w:sz="0" w:space="0" w:color="auto"/>
          </w:divBdr>
        </w:div>
        <w:div w:id="291323226">
          <w:marLeft w:val="0"/>
          <w:marRight w:val="0"/>
          <w:marTop w:val="0"/>
          <w:marBottom w:val="0"/>
          <w:divBdr>
            <w:top w:val="none" w:sz="0" w:space="0" w:color="auto"/>
            <w:left w:val="none" w:sz="0" w:space="0" w:color="auto"/>
            <w:bottom w:val="none" w:sz="0" w:space="0" w:color="auto"/>
            <w:right w:val="none" w:sz="0" w:space="0" w:color="auto"/>
          </w:divBdr>
        </w:div>
        <w:div w:id="383910255">
          <w:marLeft w:val="0"/>
          <w:marRight w:val="0"/>
          <w:marTop w:val="0"/>
          <w:marBottom w:val="0"/>
          <w:divBdr>
            <w:top w:val="none" w:sz="0" w:space="0" w:color="auto"/>
            <w:left w:val="none" w:sz="0" w:space="0" w:color="auto"/>
            <w:bottom w:val="none" w:sz="0" w:space="0" w:color="auto"/>
            <w:right w:val="none" w:sz="0" w:space="0" w:color="auto"/>
          </w:divBdr>
        </w:div>
        <w:div w:id="460925674">
          <w:marLeft w:val="0"/>
          <w:marRight w:val="0"/>
          <w:marTop w:val="0"/>
          <w:marBottom w:val="0"/>
          <w:divBdr>
            <w:top w:val="none" w:sz="0" w:space="0" w:color="auto"/>
            <w:left w:val="none" w:sz="0" w:space="0" w:color="auto"/>
            <w:bottom w:val="none" w:sz="0" w:space="0" w:color="auto"/>
            <w:right w:val="none" w:sz="0" w:space="0" w:color="auto"/>
          </w:divBdr>
        </w:div>
        <w:div w:id="576403707">
          <w:marLeft w:val="0"/>
          <w:marRight w:val="0"/>
          <w:marTop w:val="0"/>
          <w:marBottom w:val="0"/>
          <w:divBdr>
            <w:top w:val="none" w:sz="0" w:space="0" w:color="auto"/>
            <w:left w:val="none" w:sz="0" w:space="0" w:color="auto"/>
            <w:bottom w:val="none" w:sz="0" w:space="0" w:color="auto"/>
            <w:right w:val="none" w:sz="0" w:space="0" w:color="auto"/>
          </w:divBdr>
        </w:div>
        <w:div w:id="1013873154">
          <w:marLeft w:val="0"/>
          <w:marRight w:val="0"/>
          <w:marTop w:val="0"/>
          <w:marBottom w:val="0"/>
          <w:divBdr>
            <w:top w:val="none" w:sz="0" w:space="0" w:color="auto"/>
            <w:left w:val="none" w:sz="0" w:space="0" w:color="auto"/>
            <w:bottom w:val="none" w:sz="0" w:space="0" w:color="auto"/>
            <w:right w:val="none" w:sz="0" w:space="0" w:color="auto"/>
          </w:divBdr>
        </w:div>
        <w:div w:id="1082218061">
          <w:marLeft w:val="0"/>
          <w:marRight w:val="0"/>
          <w:marTop w:val="0"/>
          <w:marBottom w:val="0"/>
          <w:divBdr>
            <w:top w:val="none" w:sz="0" w:space="0" w:color="auto"/>
            <w:left w:val="none" w:sz="0" w:space="0" w:color="auto"/>
            <w:bottom w:val="none" w:sz="0" w:space="0" w:color="auto"/>
            <w:right w:val="none" w:sz="0" w:space="0" w:color="auto"/>
          </w:divBdr>
        </w:div>
        <w:div w:id="1220291013">
          <w:marLeft w:val="0"/>
          <w:marRight w:val="0"/>
          <w:marTop w:val="0"/>
          <w:marBottom w:val="0"/>
          <w:divBdr>
            <w:top w:val="none" w:sz="0" w:space="0" w:color="auto"/>
            <w:left w:val="none" w:sz="0" w:space="0" w:color="auto"/>
            <w:bottom w:val="none" w:sz="0" w:space="0" w:color="auto"/>
            <w:right w:val="none" w:sz="0" w:space="0" w:color="auto"/>
          </w:divBdr>
        </w:div>
        <w:div w:id="1532256353">
          <w:marLeft w:val="0"/>
          <w:marRight w:val="0"/>
          <w:marTop w:val="0"/>
          <w:marBottom w:val="0"/>
          <w:divBdr>
            <w:top w:val="none" w:sz="0" w:space="0" w:color="auto"/>
            <w:left w:val="none" w:sz="0" w:space="0" w:color="auto"/>
            <w:bottom w:val="none" w:sz="0" w:space="0" w:color="auto"/>
            <w:right w:val="none" w:sz="0" w:space="0" w:color="auto"/>
          </w:divBdr>
        </w:div>
        <w:div w:id="1568301674">
          <w:marLeft w:val="0"/>
          <w:marRight w:val="0"/>
          <w:marTop w:val="0"/>
          <w:marBottom w:val="0"/>
          <w:divBdr>
            <w:top w:val="none" w:sz="0" w:space="0" w:color="auto"/>
            <w:left w:val="none" w:sz="0" w:space="0" w:color="auto"/>
            <w:bottom w:val="none" w:sz="0" w:space="0" w:color="auto"/>
            <w:right w:val="none" w:sz="0" w:space="0" w:color="auto"/>
          </w:divBdr>
        </w:div>
        <w:div w:id="1578782559">
          <w:marLeft w:val="0"/>
          <w:marRight w:val="0"/>
          <w:marTop w:val="0"/>
          <w:marBottom w:val="0"/>
          <w:divBdr>
            <w:top w:val="none" w:sz="0" w:space="0" w:color="auto"/>
            <w:left w:val="none" w:sz="0" w:space="0" w:color="auto"/>
            <w:bottom w:val="none" w:sz="0" w:space="0" w:color="auto"/>
            <w:right w:val="none" w:sz="0" w:space="0" w:color="auto"/>
          </w:divBdr>
        </w:div>
        <w:div w:id="1904875852">
          <w:marLeft w:val="0"/>
          <w:marRight w:val="0"/>
          <w:marTop w:val="0"/>
          <w:marBottom w:val="0"/>
          <w:divBdr>
            <w:top w:val="none" w:sz="0" w:space="0" w:color="auto"/>
            <w:left w:val="none" w:sz="0" w:space="0" w:color="auto"/>
            <w:bottom w:val="none" w:sz="0" w:space="0" w:color="auto"/>
            <w:right w:val="none" w:sz="0" w:space="0" w:color="auto"/>
          </w:divBdr>
        </w:div>
        <w:div w:id="1965117171">
          <w:marLeft w:val="0"/>
          <w:marRight w:val="0"/>
          <w:marTop w:val="0"/>
          <w:marBottom w:val="0"/>
          <w:divBdr>
            <w:top w:val="none" w:sz="0" w:space="0" w:color="auto"/>
            <w:left w:val="none" w:sz="0" w:space="0" w:color="auto"/>
            <w:bottom w:val="none" w:sz="0" w:space="0" w:color="auto"/>
            <w:right w:val="none" w:sz="0" w:space="0" w:color="auto"/>
          </w:divBdr>
        </w:div>
        <w:div w:id="2077781311">
          <w:marLeft w:val="0"/>
          <w:marRight w:val="0"/>
          <w:marTop w:val="0"/>
          <w:marBottom w:val="0"/>
          <w:divBdr>
            <w:top w:val="none" w:sz="0" w:space="0" w:color="auto"/>
            <w:left w:val="none" w:sz="0" w:space="0" w:color="auto"/>
            <w:bottom w:val="none" w:sz="0" w:space="0" w:color="auto"/>
            <w:right w:val="none" w:sz="0" w:space="0" w:color="auto"/>
          </w:divBdr>
        </w:div>
        <w:div w:id="2086998490">
          <w:marLeft w:val="0"/>
          <w:marRight w:val="0"/>
          <w:marTop w:val="0"/>
          <w:marBottom w:val="0"/>
          <w:divBdr>
            <w:top w:val="none" w:sz="0" w:space="0" w:color="auto"/>
            <w:left w:val="none" w:sz="0" w:space="0" w:color="auto"/>
            <w:bottom w:val="none" w:sz="0" w:space="0" w:color="auto"/>
            <w:right w:val="none" w:sz="0" w:space="0" w:color="auto"/>
          </w:divBdr>
        </w:div>
        <w:div w:id="2128422869">
          <w:marLeft w:val="0"/>
          <w:marRight w:val="0"/>
          <w:marTop w:val="0"/>
          <w:marBottom w:val="0"/>
          <w:divBdr>
            <w:top w:val="none" w:sz="0" w:space="0" w:color="auto"/>
            <w:left w:val="none" w:sz="0" w:space="0" w:color="auto"/>
            <w:bottom w:val="none" w:sz="0" w:space="0" w:color="auto"/>
            <w:right w:val="none" w:sz="0" w:space="0" w:color="auto"/>
          </w:divBdr>
        </w:div>
      </w:divsChild>
    </w:div>
    <w:div w:id="1077479412">
      <w:bodyDiv w:val="1"/>
      <w:marLeft w:val="0"/>
      <w:marRight w:val="0"/>
      <w:marTop w:val="0"/>
      <w:marBottom w:val="0"/>
      <w:divBdr>
        <w:top w:val="none" w:sz="0" w:space="0" w:color="auto"/>
        <w:left w:val="none" w:sz="0" w:space="0" w:color="auto"/>
        <w:bottom w:val="none" w:sz="0" w:space="0" w:color="auto"/>
        <w:right w:val="none" w:sz="0" w:space="0" w:color="auto"/>
      </w:divBdr>
      <w:divsChild>
        <w:div w:id="617417006">
          <w:marLeft w:val="0"/>
          <w:marRight w:val="0"/>
          <w:marTop w:val="0"/>
          <w:marBottom w:val="0"/>
          <w:divBdr>
            <w:top w:val="none" w:sz="0" w:space="0" w:color="auto"/>
            <w:left w:val="none" w:sz="0" w:space="0" w:color="auto"/>
            <w:bottom w:val="none" w:sz="0" w:space="0" w:color="auto"/>
            <w:right w:val="none" w:sz="0" w:space="0" w:color="auto"/>
          </w:divBdr>
        </w:div>
        <w:div w:id="1251236295">
          <w:marLeft w:val="0"/>
          <w:marRight w:val="0"/>
          <w:marTop w:val="0"/>
          <w:marBottom w:val="0"/>
          <w:divBdr>
            <w:top w:val="none" w:sz="0" w:space="0" w:color="auto"/>
            <w:left w:val="none" w:sz="0" w:space="0" w:color="auto"/>
            <w:bottom w:val="none" w:sz="0" w:space="0" w:color="auto"/>
            <w:right w:val="none" w:sz="0" w:space="0" w:color="auto"/>
          </w:divBdr>
        </w:div>
      </w:divsChild>
    </w:div>
    <w:div w:id="1241331547">
      <w:bodyDiv w:val="1"/>
      <w:marLeft w:val="0"/>
      <w:marRight w:val="0"/>
      <w:marTop w:val="0"/>
      <w:marBottom w:val="0"/>
      <w:divBdr>
        <w:top w:val="none" w:sz="0" w:space="0" w:color="auto"/>
        <w:left w:val="none" w:sz="0" w:space="0" w:color="auto"/>
        <w:bottom w:val="none" w:sz="0" w:space="0" w:color="auto"/>
        <w:right w:val="none" w:sz="0" w:space="0" w:color="auto"/>
      </w:divBdr>
      <w:divsChild>
        <w:div w:id="374815546">
          <w:marLeft w:val="0"/>
          <w:marRight w:val="0"/>
          <w:marTop w:val="0"/>
          <w:marBottom w:val="0"/>
          <w:divBdr>
            <w:top w:val="none" w:sz="0" w:space="0" w:color="auto"/>
            <w:left w:val="none" w:sz="0" w:space="0" w:color="auto"/>
            <w:bottom w:val="none" w:sz="0" w:space="0" w:color="auto"/>
            <w:right w:val="none" w:sz="0" w:space="0" w:color="auto"/>
          </w:divBdr>
        </w:div>
        <w:div w:id="1563248659">
          <w:marLeft w:val="0"/>
          <w:marRight w:val="0"/>
          <w:marTop w:val="0"/>
          <w:marBottom w:val="0"/>
          <w:divBdr>
            <w:top w:val="none" w:sz="0" w:space="0" w:color="auto"/>
            <w:left w:val="none" w:sz="0" w:space="0" w:color="auto"/>
            <w:bottom w:val="none" w:sz="0" w:space="0" w:color="auto"/>
            <w:right w:val="none" w:sz="0" w:space="0" w:color="auto"/>
          </w:divBdr>
        </w:div>
      </w:divsChild>
    </w:div>
    <w:div w:id="1279140246">
      <w:bodyDiv w:val="1"/>
      <w:marLeft w:val="0"/>
      <w:marRight w:val="0"/>
      <w:marTop w:val="0"/>
      <w:marBottom w:val="0"/>
      <w:divBdr>
        <w:top w:val="none" w:sz="0" w:space="0" w:color="auto"/>
        <w:left w:val="none" w:sz="0" w:space="0" w:color="auto"/>
        <w:bottom w:val="none" w:sz="0" w:space="0" w:color="auto"/>
        <w:right w:val="none" w:sz="0" w:space="0" w:color="auto"/>
      </w:divBdr>
    </w:div>
    <w:div w:id="1308978111">
      <w:bodyDiv w:val="1"/>
      <w:marLeft w:val="0"/>
      <w:marRight w:val="0"/>
      <w:marTop w:val="0"/>
      <w:marBottom w:val="0"/>
      <w:divBdr>
        <w:top w:val="none" w:sz="0" w:space="0" w:color="auto"/>
        <w:left w:val="none" w:sz="0" w:space="0" w:color="auto"/>
        <w:bottom w:val="none" w:sz="0" w:space="0" w:color="auto"/>
        <w:right w:val="none" w:sz="0" w:space="0" w:color="auto"/>
      </w:divBdr>
    </w:div>
    <w:div w:id="1526597461">
      <w:bodyDiv w:val="1"/>
      <w:marLeft w:val="0"/>
      <w:marRight w:val="0"/>
      <w:marTop w:val="0"/>
      <w:marBottom w:val="0"/>
      <w:divBdr>
        <w:top w:val="none" w:sz="0" w:space="0" w:color="auto"/>
        <w:left w:val="none" w:sz="0" w:space="0" w:color="auto"/>
        <w:bottom w:val="none" w:sz="0" w:space="0" w:color="auto"/>
        <w:right w:val="none" w:sz="0" w:space="0" w:color="auto"/>
      </w:divBdr>
      <w:divsChild>
        <w:div w:id="756512245">
          <w:marLeft w:val="0"/>
          <w:marRight w:val="0"/>
          <w:marTop w:val="0"/>
          <w:marBottom w:val="0"/>
          <w:divBdr>
            <w:top w:val="none" w:sz="0" w:space="0" w:color="auto"/>
            <w:left w:val="none" w:sz="0" w:space="0" w:color="auto"/>
            <w:bottom w:val="none" w:sz="0" w:space="0" w:color="auto"/>
            <w:right w:val="none" w:sz="0" w:space="0" w:color="auto"/>
          </w:divBdr>
          <w:divsChild>
            <w:div w:id="673342048">
              <w:marLeft w:val="0"/>
              <w:marRight w:val="0"/>
              <w:marTop w:val="0"/>
              <w:marBottom w:val="0"/>
              <w:divBdr>
                <w:top w:val="none" w:sz="0" w:space="0" w:color="auto"/>
                <w:left w:val="none" w:sz="0" w:space="0" w:color="auto"/>
                <w:bottom w:val="none" w:sz="0" w:space="0" w:color="auto"/>
                <w:right w:val="none" w:sz="0" w:space="0" w:color="auto"/>
              </w:divBdr>
            </w:div>
            <w:div w:id="741177591">
              <w:marLeft w:val="0"/>
              <w:marRight w:val="0"/>
              <w:marTop w:val="0"/>
              <w:marBottom w:val="0"/>
              <w:divBdr>
                <w:top w:val="none" w:sz="0" w:space="0" w:color="auto"/>
                <w:left w:val="none" w:sz="0" w:space="0" w:color="auto"/>
                <w:bottom w:val="none" w:sz="0" w:space="0" w:color="auto"/>
                <w:right w:val="none" w:sz="0" w:space="0" w:color="auto"/>
              </w:divBdr>
            </w:div>
            <w:div w:id="780345948">
              <w:marLeft w:val="0"/>
              <w:marRight w:val="0"/>
              <w:marTop w:val="0"/>
              <w:marBottom w:val="0"/>
              <w:divBdr>
                <w:top w:val="none" w:sz="0" w:space="0" w:color="auto"/>
                <w:left w:val="none" w:sz="0" w:space="0" w:color="auto"/>
                <w:bottom w:val="none" w:sz="0" w:space="0" w:color="auto"/>
                <w:right w:val="none" w:sz="0" w:space="0" w:color="auto"/>
              </w:divBdr>
            </w:div>
            <w:div w:id="1111049714">
              <w:marLeft w:val="0"/>
              <w:marRight w:val="0"/>
              <w:marTop w:val="0"/>
              <w:marBottom w:val="0"/>
              <w:divBdr>
                <w:top w:val="none" w:sz="0" w:space="0" w:color="auto"/>
                <w:left w:val="none" w:sz="0" w:space="0" w:color="auto"/>
                <w:bottom w:val="none" w:sz="0" w:space="0" w:color="auto"/>
                <w:right w:val="none" w:sz="0" w:space="0" w:color="auto"/>
              </w:divBdr>
            </w:div>
            <w:div w:id="1208487647">
              <w:marLeft w:val="0"/>
              <w:marRight w:val="0"/>
              <w:marTop w:val="0"/>
              <w:marBottom w:val="0"/>
              <w:divBdr>
                <w:top w:val="none" w:sz="0" w:space="0" w:color="auto"/>
                <w:left w:val="none" w:sz="0" w:space="0" w:color="auto"/>
                <w:bottom w:val="none" w:sz="0" w:space="0" w:color="auto"/>
                <w:right w:val="none" w:sz="0" w:space="0" w:color="auto"/>
              </w:divBdr>
            </w:div>
            <w:div w:id="1764372550">
              <w:marLeft w:val="0"/>
              <w:marRight w:val="0"/>
              <w:marTop w:val="0"/>
              <w:marBottom w:val="0"/>
              <w:divBdr>
                <w:top w:val="none" w:sz="0" w:space="0" w:color="auto"/>
                <w:left w:val="none" w:sz="0" w:space="0" w:color="auto"/>
                <w:bottom w:val="none" w:sz="0" w:space="0" w:color="auto"/>
                <w:right w:val="none" w:sz="0" w:space="0" w:color="auto"/>
              </w:divBdr>
            </w:div>
            <w:div w:id="2053380236">
              <w:marLeft w:val="0"/>
              <w:marRight w:val="0"/>
              <w:marTop w:val="0"/>
              <w:marBottom w:val="0"/>
              <w:divBdr>
                <w:top w:val="none" w:sz="0" w:space="0" w:color="auto"/>
                <w:left w:val="none" w:sz="0" w:space="0" w:color="auto"/>
                <w:bottom w:val="none" w:sz="0" w:space="0" w:color="auto"/>
                <w:right w:val="none" w:sz="0" w:space="0" w:color="auto"/>
              </w:divBdr>
            </w:div>
          </w:divsChild>
        </w:div>
        <w:div w:id="1160073441">
          <w:marLeft w:val="0"/>
          <w:marRight w:val="0"/>
          <w:marTop w:val="0"/>
          <w:marBottom w:val="0"/>
          <w:divBdr>
            <w:top w:val="none" w:sz="0" w:space="0" w:color="auto"/>
            <w:left w:val="none" w:sz="0" w:space="0" w:color="auto"/>
            <w:bottom w:val="none" w:sz="0" w:space="0" w:color="auto"/>
            <w:right w:val="none" w:sz="0" w:space="0" w:color="auto"/>
          </w:divBdr>
          <w:divsChild>
            <w:div w:id="224410741">
              <w:marLeft w:val="0"/>
              <w:marRight w:val="0"/>
              <w:marTop w:val="0"/>
              <w:marBottom w:val="0"/>
              <w:divBdr>
                <w:top w:val="none" w:sz="0" w:space="0" w:color="auto"/>
                <w:left w:val="none" w:sz="0" w:space="0" w:color="auto"/>
                <w:bottom w:val="none" w:sz="0" w:space="0" w:color="auto"/>
                <w:right w:val="none" w:sz="0" w:space="0" w:color="auto"/>
              </w:divBdr>
            </w:div>
            <w:div w:id="231814220">
              <w:marLeft w:val="0"/>
              <w:marRight w:val="0"/>
              <w:marTop w:val="0"/>
              <w:marBottom w:val="0"/>
              <w:divBdr>
                <w:top w:val="none" w:sz="0" w:space="0" w:color="auto"/>
                <w:left w:val="none" w:sz="0" w:space="0" w:color="auto"/>
                <w:bottom w:val="none" w:sz="0" w:space="0" w:color="auto"/>
                <w:right w:val="none" w:sz="0" w:space="0" w:color="auto"/>
              </w:divBdr>
            </w:div>
            <w:div w:id="444354251">
              <w:marLeft w:val="0"/>
              <w:marRight w:val="0"/>
              <w:marTop w:val="0"/>
              <w:marBottom w:val="0"/>
              <w:divBdr>
                <w:top w:val="none" w:sz="0" w:space="0" w:color="auto"/>
                <w:left w:val="none" w:sz="0" w:space="0" w:color="auto"/>
                <w:bottom w:val="none" w:sz="0" w:space="0" w:color="auto"/>
                <w:right w:val="none" w:sz="0" w:space="0" w:color="auto"/>
              </w:divBdr>
            </w:div>
            <w:div w:id="893084203">
              <w:marLeft w:val="0"/>
              <w:marRight w:val="0"/>
              <w:marTop w:val="0"/>
              <w:marBottom w:val="0"/>
              <w:divBdr>
                <w:top w:val="none" w:sz="0" w:space="0" w:color="auto"/>
                <w:left w:val="none" w:sz="0" w:space="0" w:color="auto"/>
                <w:bottom w:val="none" w:sz="0" w:space="0" w:color="auto"/>
                <w:right w:val="none" w:sz="0" w:space="0" w:color="auto"/>
              </w:divBdr>
            </w:div>
            <w:div w:id="973562679">
              <w:marLeft w:val="0"/>
              <w:marRight w:val="0"/>
              <w:marTop w:val="0"/>
              <w:marBottom w:val="0"/>
              <w:divBdr>
                <w:top w:val="none" w:sz="0" w:space="0" w:color="auto"/>
                <w:left w:val="none" w:sz="0" w:space="0" w:color="auto"/>
                <w:bottom w:val="none" w:sz="0" w:space="0" w:color="auto"/>
                <w:right w:val="none" w:sz="0" w:space="0" w:color="auto"/>
              </w:divBdr>
            </w:div>
            <w:div w:id="1359041380">
              <w:marLeft w:val="0"/>
              <w:marRight w:val="0"/>
              <w:marTop w:val="0"/>
              <w:marBottom w:val="0"/>
              <w:divBdr>
                <w:top w:val="none" w:sz="0" w:space="0" w:color="auto"/>
                <w:left w:val="none" w:sz="0" w:space="0" w:color="auto"/>
                <w:bottom w:val="none" w:sz="0" w:space="0" w:color="auto"/>
                <w:right w:val="none" w:sz="0" w:space="0" w:color="auto"/>
              </w:divBdr>
            </w:div>
            <w:div w:id="1557861061">
              <w:marLeft w:val="0"/>
              <w:marRight w:val="0"/>
              <w:marTop w:val="0"/>
              <w:marBottom w:val="0"/>
              <w:divBdr>
                <w:top w:val="none" w:sz="0" w:space="0" w:color="auto"/>
                <w:left w:val="none" w:sz="0" w:space="0" w:color="auto"/>
                <w:bottom w:val="none" w:sz="0" w:space="0" w:color="auto"/>
                <w:right w:val="none" w:sz="0" w:space="0" w:color="auto"/>
              </w:divBdr>
            </w:div>
            <w:div w:id="1627079776">
              <w:marLeft w:val="0"/>
              <w:marRight w:val="0"/>
              <w:marTop w:val="0"/>
              <w:marBottom w:val="0"/>
              <w:divBdr>
                <w:top w:val="none" w:sz="0" w:space="0" w:color="auto"/>
                <w:left w:val="none" w:sz="0" w:space="0" w:color="auto"/>
                <w:bottom w:val="none" w:sz="0" w:space="0" w:color="auto"/>
                <w:right w:val="none" w:sz="0" w:space="0" w:color="auto"/>
              </w:divBdr>
            </w:div>
            <w:div w:id="1991902847">
              <w:marLeft w:val="0"/>
              <w:marRight w:val="0"/>
              <w:marTop w:val="0"/>
              <w:marBottom w:val="0"/>
              <w:divBdr>
                <w:top w:val="none" w:sz="0" w:space="0" w:color="auto"/>
                <w:left w:val="none" w:sz="0" w:space="0" w:color="auto"/>
                <w:bottom w:val="none" w:sz="0" w:space="0" w:color="auto"/>
                <w:right w:val="none" w:sz="0" w:space="0" w:color="auto"/>
              </w:divBdr>
            </w:div>
            <w:div w:id="204023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330442">
      <w:bodyDiv w:val="1"/>
      <w:marLeft w:val="0"/>
      <w:marRight w:val="0"/>
      <w:marTop w:val="0"/>
      <w:marBottom w:val="0"/>
      <w:divBdr>
        <w:top w:val="none" w:sz="0" w:space="0" w:color="auto"/>
        <w:left w:val="none" w:sz="0" w:space="0" w:color="auto"/>
        <w:bottom w:val="none" w:sz="0" w:space="0" w:color="auto"/>
        <w:right w:val="none" w:sz="0" w:space="0" w:color="auto"/>
      </w:divBdr>
    </w:div>
    <w:div w:id="1576432469">
      <w:bodyDiv w:val="1"/>
      <w:marLeft w:val="0"/>
      <w:marRight w:val="0"/>
      <w:marTop w:val="0"/>
      <w:marBottom w:val="0"/>
      <w:divBdr>
        <w:top w:val="none" w:sz="0" w:space="0" w:color="auto"/>
        <w:left w:val="none" w:sz="0" w:space="0" w:color="auto"/>
        <w:bottom w:val="none" w:sz="0" w:space="0" w:color="auto"/>
        <w:right w:val="none" w:sz="0" w:space="0" w:color="auto"/>
      </w:divBdr>
    </w:div>
    <w:div w:id="1594850350">
      <w:bodyDiv w:val="1"/>
      <w:marLeft w:val="0"/>
      <w:marRight w:val="0"/>
      <w:marTop w:val="0"/>
      <w:marBottom w:val="0"/>
      <w:divBdr>
        <w:top w:val="none" w:sz="0" w:space="0" w:color="auto"/>
        <w:left w:val="none" w:sz="0" w:space="0" w:color="auto"/>
        <w:bottom w:val="none" w:sz="0" w:space="0" w:color="auto"/>
        <w:right w:val="none" w:sz="0" w:space="0" w:color="auto"/>
      </w:divBdr>
      <w:divsChild>
        <w:div w:id="1289629565">
          <w:marLeft w:val="0"/>
          <w:marRight w:val="0"/>
          <w:marTop w:val="0"/>
          <w:marBottom w:val="0"/>
          <w:divBdr>
            <w:top w:val="none" w:sz="0" w:space="0" w:color="auto"/>
            <w:left w:val="none" w:sz="0" w:space="0" w:color="auto"/>
            <w:bottom w:val="none" w:sz="0" w:space="0" w:color="auto"/>
            <w:right w:val="none" w:sz="0" w:space="0" w:color="auto"/>
          </w:divBdr>
        </w:div>
        <w:div w:id="2007050879">
          <w:marLeft w:val="0"/>
          <w:marRight w:val="0"/>
          <w:marTop w:val="0"/>
          <w:marBottom w:val="0"/>
          <w:divBdr>
            <w:top w:val="none" w:sz="0" w:space="0" w:color="auto"/>
            <w:left w:val="none" w:sz="0" w:space="0" w:color="auto"/>
            <w:bottom w:val="none" w:sz="0" w:space="0" w:color="auto"/>
            <w:right w:val="none" w:sz="0" w:space="0" w:color="auto"/>
          </w:divBdr>
        </w:div>
      </w:divsChild>
    </w:div>
    <w:div w:id="1599172629">
      <w:bodyDiv w:val="1"/>
      <w:marLeft w:val="0"/>
      <w:marRight w:val="0"/>
      <w:marTop w:val="0"/>
      <w:marBottom w:val="0"/>
      <w:divBdr>
        <w:top w:val="none" w:sz="0" w:space="0" w:color="auto"/>
        <w:left w:val="none" w:sz="0" w:space="0" w:color="auto"/>
        <w:bottom w:val="none" w:sz="0" w:space="0" w:color="auto"/>
        <w:right w:val="none" w:sz="0" w:space="0" w:color="auto"/>
      </w:divBdr>
      <w:divsChild>
        <w:div w:id="112136388">
          <w:marLeft w:val="0"/>
          <w:marRight w:val="0"/>
          <w:marTop w:val="0"/>
          <w:marBottom w:val="0"/>
          <w:divBdr>
            <w:top w:val="none" w:sz="0" w:space="0" w:color="auto"/>
            <w:left w:val="none" w:sz="0" w:space="0" w:color="auto"/>
            <w:bottom w:val="none" w:sz="0" w:space="0" w:color="auto"/>
            <w:right w:val="none" w:sz="0" w:space="0" w:color="auto"/>
          </w:divBdr>
        </w:div>
        <w:div w:id="420881336">
          <w:marLeft w:val="0"/>
          <w:marRight w:val="0"/>
          <w:marTop w:val="0"/>
          <w:marBottom w:val="0"/>
          <w:divBdr>
            <w:top w:val="none" w:sz="0" w:space="0" w:color="auto"/>
            <w:left w:val="none" w:sz="0" w:space="0" w:color="auto"/>
            <w:bottom w:val="none" w:sz="0" w:space="0" w:color="auto"/>
            <w:right w:val="none" w:sz="0" w:space="0" w:color="auto"/>
          </w:divBdr>
        </w:div>
        <w:div w:id="483662923">
          <w:marLeft w:val="0"/>
          <w:marRight w:val="0"/>
          <w:marTop w:val="0"/>
          <w:marBottom w:val="0"/>
          <w:divBdr>
            <w:top w:val="none" w:sz="0" w:space="0" w:color="auto"/>
            <w:left w:val="none" w:sz="0" w:space="0" w:color="auto"/>
            <w:bottom w:val="none" w:sz="0" w:space="0" w:color="auto"/>
            <w:right w:val="none" w:sz="0" w:space="0" w:color="auto"/>
          </w:divBdr>
        </w:div>
        <w:div w:id="625545482">
          <w:marLeft w:val="0"/>
          <w:marRight w:val="0"/>
          <w:marTop w:val="0"/>
          <w:marBottom w:val="0"/>
          <w:divBdr>
            <w:top w:val="none" w:sz="0" w:space="0" w:color="auto"/>
            <w:left w:val="none" w:sz="0" w:space="0" w:color="auto"/>
            <w:bottom w:val="none" w:sz="0" w:space="0" w:color="auto"/>
            <w:right w:val="none" w:sz="0" w:space="0" w:color="auto"/>
          </w:divBdr>
        </w:div>
        <w:div w:id="712390046">
          <w:marLeft w:val="0"/>
          <w:marRight w:val="0"/>
          <w:marTop w:val="0"/>
          <w:marBottom w:val="0"/>
          <w:divBdr>
            <w:top w:val="none" w:sz="0" w:space="0" w:color="auto"/>
            <w:left w:val="none" w:sz="0" w:space="0" w:color="auto"/>
            <w:bottom w:val="none" w:sz="0" w:space="0" w:color="auto"/>
            <w:right w:val="none" w:sz="0" w:space="0" w:color="auto"/>
          </w:divBdr>
        </w:div>
        <w:div w:id="781261999">
          <w:marLeft w:val="0"/>
          <w:marRight w:val="0"/>
          <w:marTop w:val="0"/>
          <w:marBottom w:val="0"/>
          <w:divBdr>
            <w:top w:val="none" w:sz="0" w:space="0" w:color="auto"/>
            <w:left w:val="none" w:sz="0" w:space="0" w:color="auto"/>
            <w:bottom w:val="none" w:sz="0" w:space="0" w:color="auto"/>
            <w:right w:val="none" w:sz="0" w:space="0" w:color="auto"/>
          </w:divBdr>
        </w:div>
        <w:div w:id="975063247">
          <w:marLeft w:val="0"/>
          <w:marRight w:val="0"/>
          <w:marTop w:val="0"/>
          <w:marBottom w:val="0"/>
          <w:divBdr>
            <w:top w:val="none" w:sz="0" w:space="0" w:color="auto"/>
            <w:left w:val="none" w:sz="0" w:space="0" w:color="auto"/>
            <w:bottom w:val="none" w:sz="0" w:space="0" w:color="auto"/>
            <w:right w:val="none" w:sz="0" w:space="0" w:color="auto"/>
          </w:divBdr>
        </w:div>
        <w:div w:id="1242759627">
          <w:marLeft w:val="0"/>
          <w:marRight w:val="0"/>
          <w:marTop w:val="0"/>
          <w:marBottom w:val="0"/>
          <w:divBdr>
            <w:top w:val="none" w:sz="0" w:space="0" w:color="auto"/>
            <w:left w:val="none" w:sz="0" w:space="0" w:color="auto"/>
            <w:bottom w:val="none" w:sz="0" w:space="0" w:color="auto"/>
            <w:right w:val="none" w:sz="0" w:space="0" w:color="auto"/>
          </w:divBdr>
        </w:div>
        <w:div w:id="1383017928">
          <w:marLeft w:val="0"/>
          <w:marRight w:val="0"/>
          <w:marTop w:val="0"/>
          <w:marBottom w:val="0"/>
          <w:divBdr>
            <w:top w:val="none" w:sz="0" w:space="0" w:color="auto"/>
            <w:left w:val="none" w:sz="0" w:space="0" w:color="auto"/>
            <w:bottom w:val="none" w:sz="0" w:space="0" w:color="auto"/>
            <w:right w:val="none" w:sz="0" w:space="0" w:color="auto"/>
          </w:divBdr>
        </w:div>
        <w:div w:id="1482967887">
          <w:marLeft w:val="0"/>
          <w:marRight w:val="0"/>
          <w:marTop w:val="0"/>
          <w:marBottom w:val="0"/>
          <w:divBdr>
            <w:top w:val="none" w:sz="0" w:space="0" w:color="auto"/>
            <w:left w:val="none" w:sz="0" w:space="0" w:color="auto"/>
            <w:bottom w:val="none" w:sz="0" w:space="0" w:color="auto"/>
            <w:right w:val="none" w:sz="0" w:space="0" w:color="auto"/>
          </w:divBdr>
        </w:div>
        <w:div w:id="1536699199">
          <w:marLeft w:val="0"/>
          <w:marRight w:val="0"/>
          <w:marTop w:val="0"/>
          <w:marBottom w:val="0"/>
          <w:divBdr>
            <w:top w:val="none" w:sz="0" w:space="0" w:color="auto"/>
            <w:left w:val="none" w:sz="0" w:space="0" w:color="auto"/>
            <w:bottom w:val="none" w:sz="0" w:space="0" w:color="auto"/>
            <w:right w:val="none" w:sz="0" w:space="0" w:color="auto"/>
          </w:divBdr>
        </w:div>
        <w:div w:id="1567954388">
          <w:marLeft w:val="0"/>
          <w:marRight w:val="0"/>
          <w:marTop w:val="0"/>
          <w:marBottom w:val="0"/>
          <w:divBdr>
            <w:top w:val="none" w:sz="0" w:space="0" w:color="auto"/>
            <w:left w:val="none" w:sz="0" w:space="0" w:color="auto"/>
            <w:bottom w:val="none" w:sz="0" w:space="0" w:color="auto"/>
            <w:right w:val="none" w:sz="0" w:space="0" w:color="auto"/>
          </w:divBdr>
        </w:div>
        <w:div w:id="1640265789">
          <w:marLeft w:val="0"/>
          <w:marRight w:val="0"/>
          <w:marTop w:val="0"/>
          <w:marBottom w:val="0"/>
          <w:divBdr>
            <w:top w:val="none" w:sz="0" w:space="0" w:color="auto"/>
            <w:left w:val="none" w:sz="0" w:space="0" w:color="auto"/>
            <w:bottom w:val="none" w:sz="0" w:space="0" w:color="auto"/>
            <w:right w:val="none" w:sz="0" w:space="0" w:color="auto"/>
          </w:divBdr>
        </w:div>
        <w:div w:id="1691566146">
          <w:marLeft w:val="0"/>
          <w:marRight w:val="0"/>
          <w:marTop w:val="0"/>
          <w:marBottom w:val="0"/>
          <w:divBdr>
            <w:top w:val="none" w:sz="0" w:space="0" w:color="auto"/>
            <w:left w:val="none" w:sz="0" w:space="0" w:color="auto"/>
            <w:bottom w:val="none" w:sz="0" w:space="0" w:color="auto"/>
            <w:right w:val="none" w:sz="0" w:space="0" w:color="auto"/>
          </w:divBdr>
        </w:div>
        <w:div w:id="1793742866">
          <w:marLeft w:val="0"/>
          <w:marRight w:val="0"/>
          <w:marTop w:val="0"/>
          <w:marBottom w:val="0"/>
          <w:divBdr>
            <w:top w:val="none" w:sz="0" w:space="0" w:color="auto"/>
            <w:left w:val="none" w:sz="0" w:space="0" w:color="auto"/>
            <w:bottom w:val="none" w:sz="0" w:space="0" w:color="auto"/>
            <w:right w:val="none" w:sz="0" w:space="0" w:color="auto"/>
          </w:divBdr>
        </w:div>
        <w:div w:id="2042627914">
          <w:marLeft w:val="0"/>
          <w:marRight w:val="0"/>
          <w:marTop w:val="0"/>
          <w:marBottom w:val="0"/>
          <w:divBdr>
            <w:top w:val="none" w:sz="0" w:space="0" w:color="auto"/>
            <w:left w:val="none" w:sz="0" w:space="0" w:color="auto"/>
            <w:bottom w:val="none" w:sz="0" w:space="0" w:color="auto"/>
            <w:right w:val="none" w:sz="0" w:space="0" w:color="auto"/>
          </w:divBdr>
        </w:div>
      </w:divsChild>
    </w:div>
    <w:div w:id="1678146507">
      <w:bodyDiv w:val="1"/>
      <w:marLeft w:val="0"/>
      <w:marRight w:val="0"/>
      <w:marTop w:val="0"/>
      <w:marBottom w:val="0"/>
      <w:divBdr>
        <w:top w:val="none" w:sz="0" w:space="0" w:color="auto"/>
        <w:left w:val="none" w:sz="0" w:space="0" w:color="auto"/>
        <w:bottom w:val="none" w:sz="0" w:space="0" w:color="auto"/>
        <w:right w:val="none" w:sz="0" w:space="0" w:color="auto"/>
      </w:divBdr>
    </w:div>
    <w:div w:id="1683819923">
      <w:bodyDiv w:val="1"/>
      <w:marLeft w:val="0"/>
      <w:marRight w:val="0"/>
      <w:marTop w:val="0"/>
      <w:marBottom w:val="0"/>
      <w:divBdr>
        <w:top w:val="none" w:sz="0" w:space="0" w:color="auto"/>
        <w:left w:val="none" w:sz="0" w:space="0" w:color="auto"/>
        <w:bottom w:val="none" w:sz="0" w:space="0" w:color="auto"/>
        <w:right w:val="none" w:sz="0" w:space="0" w:color="auto"/>
      </w:divBdr>
      <w:divsChild>
        <w:div w:id="751004921">
          <w:marLeft w:val="0"/>
          <w:marRight w:val="0"/>
          <w:marTop w:val="0"/>
          <w:marBottom w:val="0"/>
          <w:divBdr>
            <w:top w:val="none" w:sz="0" w:space="0" w:color="auto"/>
            <w:left w:val="none" w:sz="0" w:space="0" w:color="auto"/>
            <w:bottom w:val="none" w:sz="0" w:space="0" w:color="auto"/>
            <w:right w:val="none" w:sz="0" w:space="0" w:color="auto"/>
          </w:divBdr>
        </w:div>
        <w:div w:id="980770198">
          <w:marLeft w:val="0"/>
          <w:marRight w:val="0"/>
          <w:marTop w:val="0"/>
          <w:marBottom w:val="0"/>
          <w:divBdr>
            <w:top w:val="none" w:sz="0" w:space="0" w:color="auto"/>
            <w:left w:val="none" w:sz="0" w:space="0" w:color="auto"/>
            <w:bottom w:val="none" w:sz="0" w:space="0" w:color="auto"/>
            <w:right w:val="none" w:sz="0" w:space="0" w:color="auto"/>
          </w:divBdr>
        </w:div>
        <w:div w:id="1057630609">
          <w:marLeft w:val="0"/>
          <w:marRight w:val="0"/>
          <w:marTop w:val="0"/>
          <w:marBottom w:val="0"/>
          <w:divBdr>
            <w:top w:val="none" w:sz="0" w:space="0" w:color="auto"/>
            <w:left w:val="none" w:sz="0" w:space="0" w:color="auto"/>
            <w:bottom w:val="none" w:sz="0" w:space="0" w:color="auto"/>
            <w:right w:val="none" w:sz="0" w:space="0" w:color="auto"/>
          </w:divBdr>
        </w:div>
        <w:div w:id="1230923672">
          <w:marLeft w:val="0"/>
          <w:marRight w:val="0"/>
          <w:marTop w:val="0"/>
          <w:marBottom w:val="0"/>
          <w:divBdr>
            <w:top w:val="none" w:sz="0" w:space="0" w:color="auto"/>
            <w:left w:val="none" w:sz="0" w:space="0" w:color="auto"/>
            <w:bottom w:val="none" w:sz="0" w:space="0" w:color="auto"/>
            <w:right w:val="none" w:sz="0" w:space="0" w:color="auto"/>
          </w:divBdr>
        </w:div>
        <w:div w:id="1444881499">
          <w:marLeft w:val="0"/>
          <w:marRight w:val="0"/>
          <w:marTop w:val="0"/>
          <w:marBottom w:val="0"/>
          <w:divBdr>
            <w:top w:val="none" w:sz="0" w:space="0" w:color="auto"/>
            <w:left w:val="none" w:sz="0" w:space="0" w:color="auto"/>
            <w:bottom w:val="none" w:sz="0" w:space="0" w:color="auto"/>
            <w:right w:val="none" w:sz="0" w:space="0" w:color="auto"/>
          </w:divBdr>
        </w:div>
        <w:div w:id="1645812006">
          <w:marLeft w:val="0"/>
          <w:marRight w:val="0"/>
          <w:marTop w:val="0"/>
          <w:marBottom w:val="0"/>
          <w:divBdr>
            <w:top w:val="none" w:sz="0" w:space="0" w:color="auto"/>
            <w:left w:val="none" w:sz="0" w:space="0" w:color="auto"/>
            <w:bottom w:val="none" w:sz="0" w:space="0" w:color="auto"/>
            <w:right w:val="none" w:sz="0" w:space="0" w:color="auto"/>
          </w:divBdr>
        </w:div>
      </w:divsChild>
    </w:div>
    <w:div w:id="1824085630">
      <w:bodyDiv w:val="1"/>
      <w:marLeft w:val="0"/>
      <w:marRight w:val="0"/>
      <w:marTop w:val="0"/>
      <w:marBottom w:val="0"/>
      <w:divBdr>
        <w:top w:val="none" w:sz="0" w:space="0" w:color="auto"/>
        <w:left w:val="none" w:sz="0" w:space="0" w:color="auto"/>
        <w:bottom w:val="none" w:sz="0" w:space="0" w:color="auto"/>
        <w:right w:val="none" w:sz="0" w:space="0" w:color="auto"/>
      </w:divBdr>
      <w:divsChild>
        <w:div w:id="548492519">
          <w:marLeft w:val="0"/>
          <w:marRight w:val="0"/>
          <w:marTop w:val="0"/>
          <w:marBottom w:val="0"/>
          <w:divBdr>
            <w:top w:val="none" w:sz="0" w:space="0" w:color="auto"/>
            <w:left w:val="none" w:sz="0" w:space="0" w:color="auto"/>
            <w:bottom w:val="none" w:sz="0" w:space="0" w:color="auto"/>
            <w:right w:val="none" w:sz="0" w:space="0" w:color="auto"/>
          </w:divBdr>
        </w:div>
        <w:div w:id="968634154">
          <w:marLeft w:val="0"/>
          <w:marRight w:val="0"/>
          <w:marTop w:val="0"/>
          <w:marBottom w:val="0"/>
          <w:divBdr>
            <w:top w:val="none" w:sz="0" w:space="0" w:color="auto"/>
            <w:left w:val="none" w:sz="0" w:space="0" w:color="auto"/>
            <w:bottom w:val="none" w:sz="0" w:space="0" w:color="auto"/>
            <w:right w:val="none" w:sz="0" w:space="0" w:color="auto"/>
          </w:divBdr>
        </w:div>
        <w:div w:id="1161851011">
          <w:marLeft w:val="0"/>
          <w:marRight w:val="0"/>
          <w:marTop w:val="0"/>
          <w:marBottom w:val="0"/>
          <w:divBdr>
            <w:top w:val="none" w:sz="0" w:space="0" w:color="auto"/>
            <w:left w:val="none" w:sz="0" w:space="0" w:color="auto"/>
            <w:bottom w:val="none" w:sz="0" w:space="0" w:color="auto"/>
            <w:right w:val="none" w:sz="0" w:space="0" w:color="auto"/>
          </w:divBdr>
        </w:div>
        <w:div w:id="1170490117">
          <w:marLeft w:val="0"/>
          <w:marRight w:val="0"/>
          <w:marTop w:val="0"/>
          <w:marBottom w:val="0"/>
          <w:divBdr>
            <w:top w:val="none" w:sz="0" w:space="0" w:color="auto"/>
            <w:left w:val="none" w:sz="0" w:space="0" w:color="auto"/>
            <w:bottom w:val="none" w:sz="0" w:space="0" w:color="auto"/>
            <w:right w:val="none" w:sz="0" w:space="0" w:color="auto"/>
          </w:divBdr>
        </w:div>
        <w:div w:id="1762213612">
          <w:marLeft w:val="0"/>
          <w:marRight w:val="0"/>
          <w:marTop w:val="0"/>
          <w:marBottom w:val="0"/>
          <w:divBdr>
            <w:top w:val="none" w:sz="0" w:space="0" w:color="auto"/>
            <w:left w:val="none" w:sz="0" w:space="0" w:color="auto"/>
            <w:bottom w:val="none" w:sz="0" w:space="0" w:color="auto"/>
            <w:right w:val="none" w:sz="0" w:space="0" w:color="auto"/>
          </w:divBdr>
        </w:div>
        <w:div w:id="2136753919">
          <w:marLeft w:val="0"/>
          <w:marRight w:val="0"/>
          <w:marTop w:val="0"/>
          <w:marBottom w:val="0"/>
          <w:divBdr>
            <w:top w:val="none" w:sz="0" w:space="0" w:color="auto"/>
            <w:left w:val="none" w:sz="0" w:space="0" w:color="auto"/>
            <w:bottom w:val="none" w:sz="0" w:space="0" w:color="auto"/>
            <w:right w:val="none" w:sz="0" w:space="0" w:color="auto"/>
          </w:divBdr>
        </w:div>
      </w:divsChild>
    </w:div>
    <w:div w:id="1848861459">
      <w:bodyDiv w:val="1"/>
      <w:marLeft w:val="0"/>
      <w:marRight w:val="0"/>
      <w:marTop w:val="0"/>
      <w:marBottom w:val="0"/>
      <w:divBdr>
        <w:top w:val="none" w:sz="0" w:space="0" w:color="auto"/>
        <w:left w:val="none" w:sz="0" w:space="0" w:color="auto"/>
        <w:bottom w:val="none" w:sz="0" w:space="0" w:color="auto"/>
        <w:right w:val="none" w:sz="0" w:space="0" w:color="auto"/>
      </w:divBdr>
      <w:divsChild>
        <w:div w:id="234358519">
          <w:marLeft w:val="0"/>
          <w:marRight w:val="0"/>
          <w:marTop w:val="0"/>
          <w:marBottom w:val="0"/>
          <w:divBdr>
            <w:top w:val="none" w:sz="0" w:space="0" w:color="auto"/>
            <w:left w:val="none" w:sz="0" w:space="0" w:color="auto"/>
            <w:bottom w:val="none" w:sz="0" w:space="0" w:color="auto"/>
            <w:right w:val="none" w:sz="0" w:space="0" w:color="auto"/>
          </w:divBdr>
        </w:div>
        <w:div w:id="415057854">
          <w:marLeft w:val="0"/>
          <w:marRight w:val="0"/>
          <w:marTop w:val="0"/>
          <w:marBottom w:val="0"/>
          <w:divBdr>
            <w:top w:val="none" w:sz="0" w:space="0" w:color="auto"/>
            <w:left w:val="none" w:sz="0" w:space="0" w:color="auto"/>
            <w:bottom w:val="none" w:sz="0" w:space="0" w:color="auto"/>
            <w:right w:val="none" w:sz="0" w:space="0" w:color="auto"/>
          </w:divBdr>
        </w:div>
        <w:div w:id="771895418">
          <w:marLeft w:val="0"/>
          <w:marRight w:val="0"/>
          <w:marTop w:val="0"/>
          <w:marBottom w:val="0"/>
          <w:divBdr>
            <w:top w:val="none" w:sz="0" w:space="0" w:color="auto"/>
            <w:left w:val="none" w:sz="0" w:space="0" w:color="auto"/>
            <w:bottom w:val="none" w:sz="0" w:space="0" w:color="auto"/>
            <w:right w:val="none" w:sz="0" w:space="0" w:color="auto"/>
          </w:divBdr>
        </w:div>
        <w:div w:id="842401853">
          <w:marLeft w:val="0"/>
          <w:marRight w:val="0"/>
          <w:marTop w:val="0"/>
          <w:marBottom w:val="0"/>
          <w:divBdr>
            <w:top w:val="none" w:sz="0" w:space="0" w:color="auto"/>
            <w:left w:val="none" w:sz="0" w:space="0" w:color="auto"/>
            <w:bottom w:val="none" w:sz="0" w:space="0" w:color="auto"/>
            <w:right w:val="none" w:sz="0" w:space="0" w:color="auto"/>
          </w:divBdr>
        </w:div>
        <w:div w:id="907812170">
          <w:marLeft w:val="0"/>
          <w:marRight w:val="0"/>
          <w:marTop w:val="0"/>
          <w:marBottom w:val="0"/>
          <w:divBdr>
            <w:top w:val="none" w:sz="0" w:space="0" w:color="auto"/>
            <w:left w:val="none" w:sz="0" w:space="0" w:color="auto"/>
            <w:bottom w:val="none" w:sz="0" w:space="0" w:color="auto"/>
            <w:right w:val="none" w:sz="0" w:space="0" w:color="auto"/>
          </w:divBdr>
        </w:div>
        <w:div w:id="1134909033">
          <w:marLeft w:val="0"/>
          <w:marRight w:val="0"/>
          <w:marTop w:val="0"/>
          <w:marBottom w:val="0"/>
          <w:divBdr>
            <w:top w:val="none" w:sz="0" w:space="0" w:color="auto"/>
            <w:left w:val="none" w:sz="0" w:space="0" w:color="auto"/>
            <w:bottom w:val="none" w:sz="0" w:space="0" w:color="auto"/>
            <w:right w:val="none" w:sz="0" w:space="0" w:color="auto"/>
          </w:divBdr>
        </w:div>
        <w:div w:id="1487167426">
          <w:marLeft w:val="0"/>
          <w:marRight w:val="0"/>
          <w:marTop w:val="0"/>
          <w:marBottom w:val="0"/>
          <w:divBdr>
            <w:top w:val="none" w:sz="0" w:space="0" w:color="auto"/>
            <w:left w:val="none" w:sz="0" w:space="0" w:color="auto"/>
            <w:bottom w:val="none" w:sz="0" w:space="0" w:color="auto"/>
            <w:right w:val="none" w:sz="0" w:space="0" w:color="auto"/>
          </w:divBdr>
        </w:div>
      </w:divsChild>
    </w:div>
    <w:div w:id="1895777462">
      <w:bodyDiv w:val="1"/>
      <w:marLeft w:val="0"/>
      <w:marRight w:val="0"/>
      <w:marTop w:val="0"/>
      <w:marBottom w:val="0"/>
      <w:divBdr>
        <w:top w:val="none" w:sz="0" w:space="0" w:color="auto"/>
        <w:left w:val="none" w:sz="0" w:space="0" w:color="auto"/>
        <w:bottom w:val="none" w:sz="0" w:space="0" w:color="auto"/>
        <w:right w:val="none" w:sz="0" w:space="0" w:color="auto"/>
      </w:divBdr>
      <w:divsChild>
        <w:div w:id="42220112">
          <w:marLeft w:val="0"/>
          <w:marRight w:val="0"/>
          <w:marTop w:val="0"/>
          <w:marBottom w:val="0"/>
          <w:divBdr>
            <w:top w:val="none" w:sz="0" w:space="0" w:color="auto"/>
            <w:left w:val="none" w:sz="0" w:space="0" w:color="auto"/>
            <w:bottom w:val="none" w:sz="0" w:space="0" w:color="auto"/>
            <w:right w:val="none" w:sz="0" w:space="0" w:color="auto"/>
          </w:divBdr>
        </w:div>
        <w:div w:id="448858351">
          <w:marLeft w:val="0"/>
          <w:marRight w:val="0"/>
          <w:marTop w:val="0"/>
          <w:marBottom w:val="0"/>
          <w:divBdr>
            <w:top w:val="none" w:sz="0" w:space="0" w:color="auto"/>
            <w:left w:val="none" w:sz="0" w:space="0" w:color="auto"/>
            <w:bottom w:val="none" w:sz="0" w:space="0" w:color="auto"/>
            <w:right w:val="none" w:sz="0" w:space="0" w:color="auto"/>
          </w:divBdr>
        </w:div>
        <w:div w:id="1073702434">
          <w:marLeft w:val="0"/>
          <w:marRight w:val="0"/>
          <w:marTop w:val="0"/>
          <w:marBottom w:val="0"/>
          <w:divBdr>
            <w:top w:val="none" w:sz="0" w:space="0" w:color="auto"/>
            <w:left w:val="none" w:sz="0" w:space="0" w:color="auto"/>
            <w:bottom w:val="none" w:sz="0" w:space="0" w:color="auto"/>
            <w:right w:val="none" w:sz="0" w:space="0" w:color="auto"/>
          </w:divBdr>
        </w:div>
        <w:div w:id="1565988651">
          <w:marLeft w:val="0"/>
          <w:marRight w:val="0"/>
          <w:marTop w:val="0"/>
          <w:marBottom w:val="0"/>
          <w:divBdr>
            <w:top w:val="none" w:sz="0" w:space="0" w:color="auto"/>
            <w:left w:val="none" w:sz="0" w:space="0" w:color="auto"/>
            <w:bottom w:val="none" w:sz="0" w:space="0" w:color="auto"/>
            <w:right w:val="none" w:sz="0" w:space="0" w:color="auto"/>
          </w:divBdr>
        </w:div>
        <w:div w:id="1633055051">
          <w:marLeft w:val="0"/>
          <w:marRight w:val="0"/>
          <w:marTop w:val="0"/>
          <w:marBottom w:val="0"/>
          <w:divBdr>
            <w:top w:val="none" w:sz="0" w:space="0" w:color="auto"/>
            <w:left w:val="none" w:sz="0" w:space="0" w:color="auto"/>
            <w:bottom w:val="none" w:sz="0" w:space="0" w:color="auto"/>
            <w:right w:val="none" w:sz="0" w:space="0" w:color="auto"/>
          </w:divBdr>
        </w:div>
        <w:div w:id="1692074571">
          <w:marLeft w:val="0"/>
          <w:marRight w:val="0"/>
          <w:marTop w:val="0"/>
          <w:marBottom w:val="0"/>
          <w:divBdr>
            <w:top w:val="none" w:sz="0" w:space="0" w:color="auto"/>
            <w:left w:val="none" w:sz="0" w:space="0" w:color="auto"/>
            <w:bottom w:val="none" w:sz="0" w:space="0" w:color="auto"/>
            <w:right w:val="none" w:sz="0" w:space="0" w:color="auto"/>
          </w:divBdr>
        </w:div>
        <w:div w:id="2036341044">
          <w:marLeft w:val="0"/>
          <w:marRight w:val="0"/>
          <w:marTop w:val="0"/>
          <w:marBottom w:val="0"/>
          <w:divBdr>
            <w:top w:val="none" w:sz="0" w:space="0" w:color="auto"/>
            <w:left w:val="none" w:sz="0" w:space="0" w:color="auto"/>
            <w:bottom w:val="none" w:sz="0" w:space="0" w:color="auto"/>
            <w:right w:val="none" w:sz="0" w:space="0" w:color="auto"/>
          </w:divBdr>
        </w:div>
      </w:divsChild>
    </w:div>
    <w:div w:id="1913152049">
      <w:bodyDiv w:val="1"/>
      <w:marLeft w:val="0"/>
      <w:marRight w:val="0"/>
      <w:marTop w:val="0"/>
      <w:marBottom w:val="0"/>
      <w:divBdr>
        <w:top w:val="none" w:sz="0" w:space="0" w:color="auto"/>
        <w:left w:val="none" w:sz="0" w:space="0" w:color="auto"/>
        <w:bottom w:val="none" w:sz="0" w:space="0" w:color="auto"/>
        <w:right w:val="none" w:sz="0" w:space="0" w:color="auto"/>
      </w:divBdr>
      <w:divsChild>
        <w:div w:id="729302725">
          <w:marLeft w:val="0"/>
          <w:marRight w:val="0"/>
          <w:marTop w:val="240"/>
          <w:marBottom w:val="240"/>
          <w:divBdr>
            <w:top w:val="none" w:sz="0" w:space="0" w:color="auto"/>
            <w:left w:val="none" w:sz="0" w:space="0" w:color="auto"/>
            <w:bottom w:val="none" w:sz="0" w:space="0" w:color="auto"/>
            <w:right w:val="none" w:sz="0" w:space="0" w:color="auto"/>
          </w:divBdr>
        </w:div>
        <w:div w:id="1038313604">
          <w:marLeft w:val="0"/>
          <w:marRight w:val="0"/>
          <w:marTop w:val="450"/>
          <w:marBottom w:val="240"/>
          <w:divBdr>
            <w:top w:val="none" w:sz="0" w:space="0" w:color="auto"/>
            <w:left w:val="none" w:sz="0" w:space="0" w:color="auto"/>
            <w:bottom w:val="none" w:sz="0" w:space="0" w:color="auto"/>
            <w:right w:val="none" w:sz="0" w:space="0" w:color="auto"/>
          </w:divBdr>
        </w:div>
        <w:div w:id="1241791837">
          <w:marLeft w:val="0"/>
          <w:marRight w:val="0"/>
          <w:marTop w:val="240"/>
          <w:marBottom w:val="240"/>
          <w:divBdr>
            <w:top w:val="none" w:sz="0" w:space="0" w:color="auto"/>
            <w:left w:val="none" w:sz="0" w:space="0" w:color="auto"/>
            <w:bottom w:val="none" w:sz="0" w:space="0" w:color="auto"/>
            <w:right w:val="none" w:sz="0" w:space="0" w:color="auto"/>
          </w:divBdr>
        </w:div>
        <w:div w:id="1296836975">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445/oj" TargetMode="External"/><Relationship Id="rId2" Type="http://schemas.openxmlformats.org/officeDocument/2006/relationships/hyperlink" Target="https://commission.europa.eu/topics/preparedness_fr" TargetMode="External"/><Relationship Id="rId1" Type="http://schemas.openxmlformats.org/officeDocument/2006/relationships/hyperlink" Target="https://eur-lex.europa.eu/resource.html?uri=cellar:0c2f33c9-0b29-11f0-b1a3-01aa75ed71a1.0012.02/DOC_1&amp;forma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0DCB9447BD744ABB7779D87DFF2D13" ma:contentTypeVersion="3" ma:contentTypeDescription="Create a new document." ma:contentTypeScope="" ma:versionID="b61b5bd7c20a3ee04a4ca2469216c0a5">
  <xsd:schema xmlns:xsd="http://www.w3.org/2001/XMLSchema" xmlns:xs="http://www.w3.org/2001/XMLSchema" xmlns:p="http://schemas.microsoft.com/office/2006/metadata/properties" xmlns:ns2="2df98db3-3620-4103-92c3-581a907270ee" targetNamespace="http://schemas.microsoft.com/office/2006/metadata/properties" ma:root="true" ma:fieldsID="07b8a53ff171dff69e6ea270d2c1ad34" ns2:_="">
    <xsd:import namespace="2df98db3-3620-4103-92c3-581a907270e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98db3-3620-4103-92c3-581a907270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F0712-69B1-4DCF-AE71-BFE37E28FFDD}">
  <ds:schemaRefs>
    <ds:schemaRef ds:uri="http://schemas.microsoft.com/sharepoint/v3/contenttype/forms"/>
  </ds:schemaRefs>
</ds:datastoreItem>
</file>

<file path=customXml/itemProps2.xml><?xml version="1.0" encoding="utf-8"?>
<ds:datastoreItem xmlns:ds="http://schemas.openxmlformats.org/officeDocument/2006/customXml" ds:itemID="{3179E472-DE3D-4936-8DDC-6A0C192B7A94}">
  <ds:schemaRefs>
    <ds:schemaRef ds:uri="http://purl.org/dc/terms/"/>
    <ds:schemaRef ds:uri="http://schemas.openxmlformats.org/package/2006/metadata/core-properties"/>
    <ds:schemaRef ds:uri="http://schemas.microsoft.com/office/infopath/2007/PartnerControls"/>
    <ds:schemaRef ds:uri="http://purl.org/dc/elements/1.1/"/>
    <ds:schemaRef ds:uri="2df98db3-3620-4103-92c3-581a907270ee"/>
    <ds:schemaRef ds:uri="http://www.w3.org/XML/1998/namespace"/>
    <ds:schemaRef ds:uri="http://schemas.microsoft.com/office/2006/documentManagement/typ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37CDF444-468B-4D85-BEDD-DE4CFBE43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98db3-3620-4103-92c3-581a907270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D7EDE8-86A4-4265-ABB0-4B8E579EB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13</Pages>
  <Words>5447</Words>
  <Characters>31053</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36428</CharactersWithSpaces>
  <SharedDoc>false</SharedDoc>
  <HLinks>
    <vt:vector size="30" baseType="variant">
      <vt:variant>
        <vt:i4>983067</vt:i4>
      </vt:variant>
      <vt:variant>
        <vt:i4>6</vt:i4>
      </vt:variant>
      <vt:variant>
        <vt:i4>0</vt:i4>
      </vt:variant>
      <vt:variant>
        <vt:i4>5</vt:i4>
      </vt:variant>
      <vt:variant>
        <vt:lpwstr>http://data.europa.eu/eli/C/2025/3445/oj</vt:lpwstr>
      </vt:variant>
      <vt:variant>
        <vt:lpwstr/>
      </vt:variant>
      <vt:variant>
        <vt:i4>7602178</vt:i4>
      </vt:variant>
      <vt:variant>
        <vt:i4>3</vt:i4>
      </vt:variant>
      <vt:variant>
        <vt:i4>0</vt:i4>
      </vt:variant>
      <vt:variant>
        <vt:i4>5</vt:i4>
      </vt:variant>
      <vt:variant>
        <vt:lpwstr>https://commission.europa.eu/topics/preparedness_en</vt:lpwstr>
      </vt:variant>
      <vt:variant>
        <vt:lpwstr/>
      </vt:variant>
      <vt:variant>
        <vt:i4>7077968</vt:i4>
      </vt:variant>
      <vt:variant>
        <vt:i4>0</vt:i4>
      </vt:variant>
      <vt:variant>
        <vt:i4>0</vt:i4>
      </vt:variant>
      <vt:variant>
        <vt:i4>5</vt:i4>
      </vt:variant>
      <vt:variant>
        <vt:lpwstr>https://commission.europa.eu/document/download/526806b6-c4e1-43d1-81b7-947308efbab1_en?filename=Joint%20Communication.pdf</vt:lpwstr>
      </vt:variant>
      <vt:variant>
        <vt:lpwstr/>
      </vt:variant>
      <vt:variant>
        <vt:i4>1507329</vt:i4>
      </vt:variant>
      <vt:variant>
        <vt:i4>3</vt:i4>
      </vt:variant>
      <vt:variant>
        <vt:i4>0</vt:i4>
      </vt:variant>
      <vt:variant>
        <vt:i4>5</vt:i4>
      </vt:variant>
      <vt:variant>
        <vt:lpwstr>https://myintracomm.ec.europa.eu/sg/Documents/commission_style_guide.pdf</vt:lpwstr>
      </vt:variant>
      <vt:variant>
        <vt:lpwstr/>
      </vt:variant>
      <vt:variant>
        <vt:i4>2818133</vt:i4>
      </vt:variant>
      <vt:variant>
        <vt:i4>0</vt:i4>
      </vt:variant>
      <vt:variant>
        <vt:i4>0</vt:i4>
      </vt:variant>
      <vt:variant>
        <vt:i4>5</vt:i4>
      </vt:variant>
      <vt:variant>
        <vt:lpwstr>https://myintracomm-collab.ec.europa.eu/networks/dgtedit/Knowledge_base/clear-writing-tips/Lists/Posts/Post.aspx?ID=421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cp:lastPrinted>2026-02-09T12:26:00Z</cp:lastPrinted>
  <dcterms:created xsi:type="dcterms:W3CDTF">2026-02-20T16:17:00Z</dcterms:created>
  <dcterms:modified xsi:type="dcterms:W3CDTF">2026-03-03T09:15:00Z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2026-01-27T10:30:55Z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f33f74b5-39fa-41b5-8647-0281a36c200b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ContentTypeId">
    <vt:lpwstr>0x0101001D0DCB9447BD744ABB7779D87DFF2D13</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CP-005</vt:lpwstr>
  </property>
</Properties>
</file>