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E327CD" w14:textId="73B0DEC6" w:rsidR="004D5ED5" w:rsidRDefault="00052BDA" w:rsidP="00052BDA">
      <w:pPr>
        <w:pStyle w:val="Pagedecouverture"/>
        <w:rPr>
          <w:noProof/>
        </w:rPr>
      </w:pPr>
      <w:bookmarkStart w:id="0" w:name="LW_BM_COVERPAGE"/>
      <w:r>
        <w:rPr>
          <w:noProof/>
        </w:rPr>
        <w:pict w14:anchorId="6A4330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ED06A9A-498C-4A03-B6CB-861DCD40987B" style="width:455.25pt;height:271.5pt">
            <v:imagedata r:id="rId11" o:title=""/>
          </v:shape>
        </w:pict>
      </w:r>
    </w:p>
    <w:bookmarkEnd w:id="0"/>
    <w:p w14:paraId="1403A557" w14:textId="722E8965" w:rsidR="00001BBB" w:rsidRPr="00001BBB" w:rsidRDefault="00001BBB" w:rsidP="00001BBB">
      <w:pPr>
        <w:pStyle w:val="Pagedecouverture"/>
        <w:rPr>
          <w:noProof/>
        </w:rPr>
        <w:sectPr w:rsidR="00001BBB" w:rsidRPr="00001BBB" w:rsidSect="00052BD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078E63" w14:textId="7C8D393B" w:rsidR="00A833D1" w:rsidRPr="000752DF" w:rsidRDefault="5D1189CE" w:rsidP="00011DBF">
      <w:pPr>
        <w:pStyle w:val="ListParagraph"/>
        <w:numPr>
          <w:ilvl w:val="0"/>
          <w:numId w:val="5"/>
        </w:numPr>
        <w:rPr>
          <w:rFonts w:ascii="Times New Roman" w:hAnsi="Times New Roman" w:cs="Times New Roman"/>
          <w:b/>
          <w:bCs/>
          <w:noProof/>
        </w:rPr>
      </w:pPr>
      <w:bookmarkStart w:id="1" w:name="_GoBack"/>
      <w:bookmarkEnd w:id="1"/>
      <w:r>
        <w:rPr>
          <w:rFonts w:ascii="Times New Roman" w:hAnsi="Times New Roman"/>
          <w:b/>
          <w:noProof/>
        </w:rPr>
        <w:lastRenderedPageBreak/>
        <w:t>Introducere</w:t>
      </w:r>
    </w:p>
    <w:p w14:paraId="50904801" w14:textId="70A0CB7A" w:rsidR="00011DBF" w:rsidRPr="000752DF" w:rsidRDefault="1F08E236" w:rsidP="003F3C60">
      <w:pPr>
        <w:spacing w:line="278" w:lineRule="auto"/>
        <w:jc w:val="both"/>
        <w:rPr>
          <w:rFonts w:ascii="Times New Roman" w:eastAsia="Aptos" w:hAnsi="Times New Roman" w:cs="Times New Roman"/>
          <w:i/>
          <w:iCs/>
          <w:noProof/>
        </w:rPr>
      </w:pPr>
      <w:r>
        <w:rPr>
          <w:rFonts w:ascii="Times New Roman" w:hAnsi="Times New Roman"/>
          <w:noProof/>
        </w:rPr>
        <w:t>Uniunea Europeană se confruntă cu riscuri tot mai mari și cu amenințări fără precedent în mai multe sectoare. Aceste riscuri variază de la incertitudini sporite, tensiuni și conflicte geopolitice, riscuri în materie de securitate cibernetică și de manipulare a informațiilor, până la schimbări climatice și creșterea riscurilor de pericole naturale. Pentru a spori capacitatea UE de a anticipa, de a preveni și de a contracara aceste amenințări, Comisia și Serviciul European de Acțiune Externă (SEAE) au prezentat împreună, la 26 martie 2025, Strategia privind o Uniune a pregătirii</w:t>
      </w:r>
      <w:r>
        <w:rPr>
          <w:rStyle w:val="FootnoteReference"/>
          <w:rFonts w:ascii="Times New Roman" w:hAnsi="Times New Roman" w:cs="Times New Roman"/>
          <w:noProof/>
        </w:rPr>
        <w:footnoteReference w:id="2"/>
      </w:r>
      <w:r>
        <w:rPr>
          <w:rFonts w:ascii="Times New Roman" w:hAnsi="Times New Roman"/>
          <w:noProof/>
        </w:rPr>
        <w:t>. Sectorul financiar al UE joacă un rol esențial în menținerea funcțiilor societale vitale în orice situație. Acesta este motivul pentru care, ca parte a Strategiei privind o Uniune a pregătirii și pentru realizarea acțiunii 25 din anexa la comunicarea comună, Comisia desfășoară o evaluare cuprinzătoare a nivelului de pregătire în sectorul financiar. În special, Comisia evaluează capacitatea sectorului de a continua să își îndeplinească funcțiile critice, precum efectuarea plăților și finanțarea economiei în orice situație.</w:t>
      </w:r>
    </w:p>
    <w:p w14:paraId="677A300D" w14:textId="5270DC2E" w:rsidR="00D1332B" w:rsidRPr="000752DF" w:rsidRDefault="00D1332B" w:rsidP="004C1416">
      <w:pPr>
        <w:jc w:val="both"/>
        <w:rPr>
          <w:rFonts w:ascii="Times New Roman" w:hAnsi="Times New Roman" w:cs="Times New Roman"/>
          <w:noProof/>
        </w:rPr>
      </w:pPr>
      <w:r>
        <w:rPr>
          <w:rFonts w:ascii="Times New Roman" w:hAnsi="Times New Roman"/>
          <w:noProof/>
        </w:rPr>
        <w:t>Legislația UE privind serviciile financiare se bazează pe o tradiție solidă de prudență, precauție, reziliență și anticipare. Obiectivele sunt clare: menținerea stabilității financiare, rezoluția organizată a oricărei instituții financiare în curs de a intra în dificultate, gestionarea crizelor și asigurarea depozitelor, protecția investitorilor și integritatea pieței. UE a finalizat o revizuire cuprinzătoare a regulilor sale prudențiale și a arhitecturii de supraveghere bancară în urma marii crize financiare care s-a declanșat în 2007. Aceste reforme au consolidat instituțiile financiare ale UE, piețele sale de capital și furnizorii de infrastructură a pieței financiare.</w:t>
      </w:r>
    </w:p>
    <w:p w14:paraId="653B1D07" w14:textId="46D3F12F" w:rsidR="001E23C3" w:rsidRPr="000752DF" w:rsidRDefault="00737B4C" w:rsidP="004C1416">
      <w:pPr>
        <w:jc w:val="both"/>
        <w:rPr>
          <w:rFonts w:ascii="Times New Roman" w:hAnsi="Times New Roman" w:cs="Times New Roman"/>
          <w:noProof/>
        </w:rPr>
      </w:pPr>
      <w:r>
        <w:rPr>
          <w:rFonts w:ascii="Times New Roman" w:hAnsi="Times New Roman"/>
          <w:noProof/>
        </w:rPr>
        <w:t>În prezent, sectorul financiar al UE a atins un nivel ridicat de reziliență prin consolidarea a trei piloni: (i) capital bazat pe risc pentru bănci și instituții financiare, (ii) cerințe de guvernanță și transparență și (iii) mecanisme de cooperare în materie de supraveghere între statele membre și între sectoare. UE a instituit politici și principii care produc evaluări continue ale riscurilor de evenimente extreme în cadrele privind riscul operațional, în planurile de continuitate a activității și în planurile de contingență.</w:t>
      </w:r>
    </w:p>
    <w:p w14:paraId="3018B34A" w14:textId="7BC17FB1" w:rsidR="00791D76" w:rsidRPr="000752DF" w:rsidRDefault="00D57932" w:rsidP="004C1416">
      <w:pPr>
        <w:jc w:val="both"/>
        <w:rPr>
          <w:rFonts w:ascii="Times New Roman" w:hAnsi="Times New Roman" w:cs="Times New Roman"/>
          <w:noProof/>
        </w:rPr>
      </w:pPr>
      <w:r>
        <w:rPr>
          <w:rFonts w:ascii="Times New Roman" w:hAnsi="Times New Roman"/>
          <w:noProof/>
        </w:rPr>
        <w:t>Cadrul UE a fost testat, în ultimii ani, de mai multe episoade de criză, cum ar fi pandemia de COVID-19, agresiunea Rusiei împotriva Ucrainei, criza bancară regională din SUA și criza Credit Suisse din 2023, pene de curent, atacuri cibernetice și incidente hibride. În fața acestor crize, sectorul financiar al UE a demonstrat robustețe și reziliență. Autoritățile de la nivelul UE și de la nivel național au acționat rapid și eficace.</w:t>
      </w:r>
    </w:p>
    <w:p w14:paraId="1B6F0C4D" w14:textId="6AF1B5C9" w:rsidR="00DE4D9E" w:rsidRPr="000752DF" w:rsidRDefault="00AA17CD" w:rsidP="004C1416">
      <w:pPr>
        <w:jc w:val="both"/>
        <w:rPr>
          <w:rFonts w:ascii="Times New Roman" w:hAnsi="Times New Roman" w:cs="Times New Roman"/>
          <w:noProof/>
        </w:rPr>
      </w:pPr>
      <w:r>
        <w:rPr>
          <w:rFonts w:ascii="Times New Roman" w:hAnsi="Times New Roman"/>
          <w:noProof/>
        </w:rPr>
        <w:t>În general, pregătirea nu este statică, ci este o stare dinamică și prospectivă. Pregătirea necesită un ciclu continuu de planificare, formare, dotare, testare, evaluare și îmbunătățire. Aceasta necesită o concentrare pe pregătirea pentru a face față tuturor pericolelor prin anticiparea riscurilor, dezvoltarea capacităților, coordonarea între sectoare (guvern, sectorul privat, sectorul public) și învățarea din evenimentele anterioare pentru a construi comunități reziliente care să poată preveni crizele și să se poată proteja și redresa atunci când apare o criză. Acest lucru este valabil și pentru sectorul financiar.</w:t>
      </w:r>
    </w:p>
    <w:p w14:paraId="4867A6BA" w14:textId="2C003B2A" w:rsidR="003F3C60" w:rsidRDefault="007A00C0" w:rsidP="00610522">
      <w:pPr>
        <w:jc w:val="both"/>
        <w:rPr>
          <w:rFonts w:ascii="Times New Roman" w:hAnsi="Times New Roman" w:cs="Times New Roman"/>
          <w:noProof/>
        </w:rPr>
      </w:pPr>
      <w:r>
        <w:rPr>
          <w:rFonts w:ascii="Times New Roman" w:hAnsi="Times New Roman"/>
          <w:noProof/>
        </w:rPr>
        <w:t>Prezentul raport oferă o imagine de ansamblu asupra stadiului actual de pregătire a sectorului financiar al UE, pe baza discuțiilor continue cu Banca Centrală Europeană, autoritățile europene de supraveghere, Comitetul european pentru risc sistemic, Comitetul Unic de Rezoluție, statele membre și sectorul serviciilor financiare.</w:t>
      </w:r>
    </w:p>
    <w:p w14:paraId="0206249C" w14:textId="77777777" w:rsidR="00BC44EB" w:rsidRPr="000752DF" w:rsidRDefault="00BC44EB" w:rsidP="00610522">
      <w:pPr>
        <w:jc w:val="both"/>
        <w:rPr>
          <w:rFonts w:ascii="Times New Roman" w:hAnsi="Times New Roman" w:cs="Times New Roman"/>
          <w:noProof/>
        </w:rPr>
      </w:pPr>
    </w:p>
    <w:p w14:paraId="6C8110CE" w14:textId="5CEBC000" w:rsidR="4E511C65" w:rsidRPr="000752DF" w:rsidRDefault="00BC46CD" w:rsidP="00B9545F">
      <w:pPr>
        <w:pStyle w:val="ListParagraph"/>
        <w:numPr>
          <w:ilvl w:val="0"/>
          <w:numId w:val="5"/>
        </w:numPr>
        <w:rPr>
          <w:rFonts w:ascii="Times New Roman" w:hAnsi="Times New Roman" w:cs="Times New Roman"/>
          <w:b/>
          <w:bCs/>
          <w:noProof/>
        </w:rPr>
      </w:pPr>
      <w:r>
        <w:rPr>
          <w:rFonts w:ascii="Times New Roman" w:hAnsi="Times New Roman"/>
          <w:b/>
          <w:noProof/>
        </w:rPr>
        <w:t>Pregătirea pe piața unică a UE</w:t>
      </w:r>
    </w:p>
    <w:p w14:paraId="0ECD2134" w14:textId="724331CF" w:rsidR="00560021" w:rsidRPr="000752DF" w:rsidRDefault="003A216C" w:rsidP="00560021">
      <w:pPr>
        <w:jc w:val="both"/>
        <w:rPr>
          <w:rFonts w:ascii="Times New Roman" w:hAnsi="Times New Roman" w:cs="Times New Roman"/>
          <w:noProof/>
        </w:rPr>
      </w:pPr>
      <w:r>
        <w:rPr>
          <w:rFonts w:ascii="Times New Roman" w:hAnsi="Times New Roman"/>
          <w:noProof/>
        </w:rPr>
        <w:t>La nivelul UE, gradul de pregătire în sectorul financiar s-a îmbunătățit în ultimii ani prin măsuri legislative și prin crearea unor structuri de guvernanță la nivelul UE care să reflecte caracterul transfrontalier al sectorului financiar al UE. Guvernanța se bazează pe doi piloni: regulamentul UE și autoritățile UE. Această structură este completată de o serie de măsuri luate la nivelul zonei euro, la nivel regional (implicând mai multe state membre) și la nivelul fiecărui stat membru.</w:t>
      </w:r>
    </w:p>
    <w:p w14:paraId="21BB67B8" w14:textId="1E063F9C" w:rsidR="000E51C7" w:rsidRPr="000752DF" w:rsidRDefault="00364F45" w:rsidP="009417C9">
      <w:pPr>
        <w:pStyle w:val="ListParagraph"/>
        <w:numPr>
          <w:ilvl w:val="1"/>
          <w:numId w:val="5"/>
        </w:numPr>
        <w:jc w:val="both"/>
        <w:rPr>
          <w:rFonts w:ascii="Times New Roman" w:hAnsi="Times New Roman" w:cs="Times New Roman"/>
          <w:noProof/>
          <w:u w:val="single"/>
        </w:rPr>
      </w:pPr>
      <w:r>
        <w:rPr>
          <w:rFonts w:ascii="Times New Roman" w:hAnsi="Times New Roman"/>
          <w:noProof/>
          <w:u w:val="single"/>
        </w:rPr>
        <w:t>Legislația UE care reglementează sectorul financiar</w:t>
      </w:r>
    </w:p>
    <w:p w14:paraId="744196D1" w14:textId="06AC4F26" w:rsidR="003D1E32" w:rsidRPr="000752DF" w:rsidRDefault="00560021" w:rsidP="00560021">
      <w:pPr>
        <w:jc w:val="both"/>
        <w:rPr>
          <w:rFonts w:ascii="Times New Roman" w:hAnsi="Times New Roman" w:cs="Times New Roman"/>
          <w:noProof/>
        </w:rPr>
      </w:pPr>
      <w:r>
        <w:rPr>
          <w:rFonts w:ascii="Times New Roman" w:hAnsi="Times New Roman"/>
          <w:noProof/>
        </w:rPr>
        <w:t>Sectorul financiar este reglementat atât de legislația sectorială, cât și de cea transversală.</w:t>
      </w:r>
    </w:p>
    <w:p w14:paraId="6E12955C" w14:textId="1B650BB2" w:rsidR="00A247E5" w:rsidRPr="000752DF" w:rsidRDefault="00A247E5" w:rsidP="00560021">
      <w:pPr>
        <w:jc w:val="both"/>
        <w:rPr>
          <w:rFonts w:ascii="Times New Roman" w:hAnsi="Times New Roman" w:cs="Times New Roman"/>
          <w:i/>
          <w:iCs/>
          <w:noProof/>
        </w:rPr>
      </w:pPr>
      <w:r>
        <w:rPr>
          <w:rFonts w:ascii="Times New Roman" w:hAnsi="Times New Roman"/>
          <w:i/>
          <w:noProof/>
        </w:rPr>
        <w:t>Legislația sectorială</w:t>
      </w:r>
    </w:p>
    <w:p w14:paraId="4872C868" w14:textId="5B6A7FD0" w:rsidR="005B5409" w:rsidRDefault="008C0BAF" w:rsidP="00166633">
      <w:pPr>
        <w:jc w:val="both"/>
        <w:rPr>
          <w:rFonts w:ascii="Times New Roman" w:hAnsi="Times New Roman" w:cs="Times New Roman"/>
          <w:noProof/>
        </w:rPr>
      </w:pPr>
      <w:r>
        <w:rPr>
          <w:rFonts w:ascii="Times New Roman" w:hAnsi="Times New Roman"/>
          <w:noProof/>
        </w:rPr>
        <w:t>Legislația sectorială include Directiva și Regulamentul privind cerințele de capital (CRD/CRR)</w:t>
      </w:r>
      <w:r>
        <w:rPr>
          <w:rStyle w:val="FootnoteReference"/>
          <w:rFonts w:ascii="Times New Roman" w:hAnsi="Times New Roman" w:cs="Times New Roman"/>
          <w:noProof/>
        </w:rPr>
        <w:footnoteReference w:id="3"/>
      </w:r>
      <w:r>
        <w:rPr>
          <w:rFonts w:ascii="Times New Roman" w:hAnsi="Times New Roman"/>
          <w:noProof/>
        </w:rPr>
        <w:t>, Solvabilitate II</w:t>
      </w:r>
      <w:r>
        <w:rPr>
          <w:rStyle w:val="FootnoteReference"/>
          <w:rFonts w:ascii="Times New Roman" w:hAnsi="Times New Roman" w:cs="Times New Roman"/>
          <w:noProof/>
        </w:rPr>
        <w:footnoteReference w:id="4"/>
      </w:r>
      <w:r>
        <w:rPr>
          <w:rFonts w:ascii="Times New Roman" w:hAnsi="Times New Roman"/>
          <w:noProof/>
        </w:rPr>
        <w:t>, Directiva privind piețele instrumentelor financiare II (MiFID II)</w:t>
      </w:r>
      <w:r>
        <w:rPr>
          <w:rStyle w:val="FootnoteReference"/>
          <w:rFonts w:ascii="Times New Roman" w:hAnsi="Times New Roman" w:cs="Times New Roman"/>
          <w:noProof/>
        </w:rPr>
        <w:footnoteReference w:id="5"/>
      </w:r>
      <w:r>
        <w:rPr>
          <w:rFonts w:ascii="Times New Roman" w:hAnsi="Times New Roman"/>
          <w:noProof/>
        </w:rPr>
        <w:t>, Regulamentul privind infrastructura pieței europene (EMIR)</w:t>
      </w:r>
      <w:r>
        <w:rPr>
          <w:rStyle w:val="FootnoteReference"/>
          <w:rFonts w:ascii="Times New Roman" w:hAnsi="Times New Roman" w:cs="Times New Roman"/>
          <w:noProof/>
        </w:rPr>
        <w:footnoteReference w:id="6"/>
      </w:r>
      <w:r>
        <w:rPr>
          <w:rFonts w:ascii="Times New Roman" w:hAnsi="Times New Roman"/>
          <w:noProof/>
        </w:rPr>
        <w:t xml:space="preserve"> și Regulamentul privind depozitarii centrali de titluri de valoare (CSDR)</w:t>
      </w:r>
      <w:r>
        <w:rPr>
          <w:rStyle w:val="FootnoteReference"/>
          <w:rFonts w:ascii="Times New Roman" w:hAnsi="Times New Roman" w:cs="Times New Roman"/>
          <w:noProof/>
        </w:rPr>
        <w:footnoteReference w:id="7"/>
      </w:r>
      <w:r>
        <w:rPr>
          <w:rFonts w:ascii="Times New Roman" w:hAnsi="Times New Roman"/>
          <w:noProof/>
        </w:rPr>
        <w:t xml:space="preserve">. Aceste acte legislative au instituit cerințe prudențiale pentru a asigura reziliența, stabilitatea și buna funcționare a instituțiilor financiare, a infrastructurii financiare și a sistemului financiar. </w:t>
      </w:r>
    </w:p>
    <w:p w14:paraId="2FC5ACD4" w14:textId="146CED9B" w:rsidR="008A28EE" w:rsidRPr="000752DF" w:rsidRDefault="00F87C6B" w:rsidP="00166633">
      <w:pPr>
        <w:jc w:val="both"/>
        <w:rPr>
          <w:rFonts w:ascii="Times New Roman" w:hAnsi="Times New Roman" w:cs="Times New Roman"/>
          <w:noProof/>
        </w:rPr>
      </w:pPr>
      <w:r>
        <w:rPr>
          <w:rFonts w:ascii="Times New Roman" w:hAnsi="Times New Roman"/>
          <w:noProof/>
        </w:rPr>
        <w:t>Din perspectiva pregătirii, mai multe acte legislative sectoriale stabilesc cerințe care reglementează gestionarea riscurilor operaționale, reziliența operațională, reziliența TIC, continuitatea activității și gestionarea crizelor. De exemplu, în sectorul bancar, CRR/CRD, Directiva privind redresarea și rezoluția instituțiilor bancare (BRRD)</w:t>
      </w:r>
      <w:r>
        <w:rPr>
          <w:rStyle w:val="FootnoteReference"/>
          <w:rFonts w:ascii="Times New Roman" w:hAnsi="Times New Roman" w:cs="Times New Roman"/>
          <w:noProof/>
        </w:rPr>
        <w:footnoteReference w:id="8"/>
      </w:r>
      <w:r>
        <w:rPr>
          <w:rFonts w:ascii="Times New Roman" w:hAnsi="Times New Roman"/>
          <w:noProof/>
        </w:rPr>
        <w:t>, Regulamentul privind mecanismul unic de rezoluție (SRMR)</w:t>
      </w:r>
      <w:r>
        <w:rPr>
          <w:rStyle w:val="FootnoteReference"/>
          <w:rFonts w:ascii="Times New Roman" w:hAnsi="Times New Roman" w:cs="Times New Roman"/>
          <w:noProof/>
        </w:rPr>
        <w:footnoteReference w:id="9"/>
      </w:r>
      <w:r>
        <w:rPr>
          <w:rFonts w:ascii="Times New Roman" w:hAnsi="Times New Roman"/>
          <w:noProof/>
        </w:rPr>
        <w:t xml:space="preserve"> și Directiva privind schemele de garantare a depozitelor (DGSD)</w:t>
      </w:r>
      <w:r>
        <w:rPr>
          <w:rStyle w:val="FootnoteReference"/>
          <w:rFonts w:ascii="Times New Roman" w:hAnsi="Times New Roman" w:cs="Times New Roman"/>
          <w:noProof/>
        </w:rPr>
        <w:footnoteReference w:id="10"/>
      </w:r>
      <w:r>
        <w:rPr>
          <w:rFonts w:ascii="Times New Roman" w:hAnsi="Times New Roman"/>
          <w:noProof/>
        </w:rPr>
        <w:t xml:space="preserve"> asigură faptul că băncile au reziliența de a face față unei game largi de riscuri potențiale, inclusiv evenimentelor extreme. Se preconizează că băncile vor pune în aplicare cadre solide de guvernanță și de gestionare a riscurilor, inclusiv planuri consolidate de continuitate a activității, de comunicare și de redresare, pentru a aborda în mod eficace o gamă largă de riscuri. Principalele caracteristici ale măsurilor de abordare a scenariilor de risc, atât preventive, cât și reactive, includ cerințe </w:t>
      </w:r>
      <w:r>
        <w:rPr>
          <w:rFonts w:ascii="Times New Roman" w:hAnsi="Times New Roman"/>
          <w:i/>
          <w:noProof/>
        </w:rPr>
        <w:t>ex ante</w:t>
      </w:r>
      <w:r>
        <w:rPr>
          <w:rFonts w:ascii="Times New Roman" w:hAnsi="Times New Roman"/>
          <w:noProof/>
        </w:rPr>
        <w:t xml:space="preserve"> specifice pentru bănci, cum ar fi planurile de redresare și planurile de rezoluție, astfel cum se prevede în SRMR și în BRRD.</w:t>
      </w:r>
    </w:p>
    <w:p w14:paraId="3EC45926" w14:textId="1FC38581" w:rsidR="00DC781C" w:rsidRPr="000752DF" w:rsidRDefault="00DC781C" w:rsidP="00166633">
      <w:pPr>
        <w:jc w:val="both"/>
        <w:rPr>
          <w:rFonts w:ascii="Times New Roman" w:hAnsi="Times New Roman" w:cs="Times New Roman"/>
          <w:noProof/>
        </w:rPr>
      </w:pPr>
      <w:r>
        <w:rPr>
          <w:rFonts w:ascii="Times New Roman" w:hAnsi="Times New Roman"/>
          <w:noProof/>
        </w:rPr>
        <w:t>Pe lângă bănci, întreprinderile de asigurare reglementate în temeiul directivei Solvabilitate II, firmele de investiții reglementate în temeiul MiFID II și infrastructurile pieței, cum ar fi contrapărțile centrale (CPC) și depozitarii centrali de titluri de valoare, fac obiectul unor cerințe similare pentru a asigura reziliența operațională, gestionarea riscurilor TIC, continuitatea activității și gestionarea crizelor. Acestea sunt completate de cerințe de îmbunătățire a planificării redresării și rezoluției, acolo unde este necesar. Gestionarea activelor și intermedierea financiară nebancară fac, de asemenea, obiectul unui cadru de reglementare amplu și tot mai cuprinzător al UE, care include Directiva privind organismele de plasament colectiv în valori mobiliare, Directiva privind administratorii fondurilor de investiții alternative și Regulamentul privind fondurile de piață monetară. Aceste instrumente impun cerințe privind gestionarea riscurilor, gestionarea lichidităților, efectul de levier, evaluarea și transparența, pentru a promova stabilitatea sectorului. Acțiunile de dezvoltare a uniunii economiilor și a investițiilor (UEI) prin consolidarea capacității sectorului financiar al UE de a conecta economiile cu investițiile productive, îmbunătățind astfel partajarea riscurilor și diversificarea în întregul sector financiar al UE, vor îmbunătăți reziliența și pregătirea generală a acestuia.</w:t>
      </w:r>
    </w:p>
    <w:p w14:paraId="5A19FFC8" w14:textId="68487797" w:rsidR="00CF1671" w:rsidRPr="000752DF" w:rsidRDefault="00CF1671" w:rsidP="00166633">
      <w:pPr>
        <w:jc w:val="both"/>
        <w:rPr>
          <w:rFonts w:ascii="Times New Roman" w:hAnsi="Times New Roman" w:cs="Times New Roman"/>
          <w:noProof/>
        </w:rPr>
      </w:pPr>
      <w:r>
        <w:rPr>
          <w:rFonts w:ascii="Times New Roman" w:hAnsi="Times New Roman"/>
          <w:noProof/>
        </w:rPr>
        <w:t xml:space="preserve">Banca Centrală Europeană (BCE) – autoritatea unică de supraveghere pentru băncile din 21 de state membre – și autoritățile naționale competente din interiorul și din afara zonei euro plasează reziliența financiară și operațională a băncilor în centrul priorităților lor de supraveghere. Băncile sunt încurajate în special să țină seama în mod corespunzător de riscurile geopolitice și să le integreze în procesele lor de gestionare a riscurilor. În acest context, băncile ar trebui să ia în considerare expunerile față de contrapărțile din țări din afara UE, impactul potențial al sancțiunilor străine asupra expunerilor și dependențele de furnizorii de servicii și infrastructurile externe. În plus, băncile ar trebui să dezvolte un cadru de guvernanță solid și o protecție împotriva amenințărilor cibernetice și a altor amenințări care le pot afecta reziliența operațională. Aceasta include măsuri de creștere a siguranței și de protecție împotriva prejudiciilor fizice. Pe lângă măsurile instituționale, cadrul prudențial bancar al UE abordează, de asemenea, canale mai ample de risc la nivel de sistem și la nivel transfrontalier. </w:t>
      </w:r>
    </w:p>
    <w:p w14:paraId="768D7F78" w14:textId="29F43B7D" w:rsidR="004B3AB5" w:rsidRPr="000752DF" w:rsidRDefault="00F0042A" w:rsidP="00CF1671">
      <w:pPr>
        <w:jc w:val="both"/>
        <w:rPr>
          <w:rFonts w:ascii="Times New Roman" w:hAnsi="Times New Roman" w:cs="Times New Roman"/>
          <w:noProof/>
        </w:rPr>
      </w:pPr>
      <w:r>
        <w:rPr>
          <w:rFonts w:ascii="Times New Roman" w:hAnsi="Times New Roman"/>
          <w:noProof/>
        </w:rPr>
        <w:t>Cadrul de gestionare a crizelor creează un set de instrumente care poate fi utilizat atunci când viabilitatea furnizorului unei funcții critice este amenințată. Cadrul revizuit de gestionare a crizelor și de asigurare a depozitelor pentru bănci, cu privire la care s-a ajuns la un acord politic în iunie 2025, marchează un pas important în eficientizarea sistemului UE de gestionare a crizelor, în special pentru băncile mici și mijlocii.</w:t>
      </w:r>
    </w:p>
    <w:p w14:paraId="7B96D3AC" w14:textId="6495806F" w:rsidR="003D1E32" w:rsidRPr="000752DF" w:rsidRDefault="00A50622" w:rsidP="000D42F6">
      <w:pPr>
        <w:jc w:val="both"/>
        <w:rPr>
          <w:rFonts w:ascii="Times New Roman" w:hAnsi="Times New Roman" w:cs="Times New Roman"/>
          <w:noProof/>
        </w:rPr>
      </w:pPr>
      <w:r>
        <w:rPr>
          <w:rFonts w:ascii="Times New Roman" w:hAnsi="Times New Roman"/>
          <w:noProof/>
        </w:rPr>
        <w:t xml:space="preserve">Un aspect important al pregătirii în sectorul financiar este asigurarea disponibilității instrumentelor de plată pentru public, atât plățile în numerar, cât și plățile electronice. Pentru a asigura disponibilitatea </w:t>
      </w:r>
      <w:r>
        <w:rPr>
          <w:rFonts w:ascii="Times New Roman" w:hAnsi="Times New Roman"/>
          <w:b/>
          <w:noProof/>
        </w:rPr>
        <w:t>numerarului</w:t>
      </w:r>
      <w:r>
        <w:rPr>
          <w:rFonts w:ascii="Times New Roman" w:hAnsi="Times New Roman"/>
          <w:noProof/>
        </w:rPr>
        <w:t xml:space="preserve"> în orice situație, o măsură esențială la nivelul Eurosistemului este menținerea unor stocuri strategice comune de bancnote euro. BCE este organismul central de coordonare și de decizie și desfășoară exerciții periodice de gestionare a crizelor, inclusiv de comunicare în situații potențiale de criză. La nivel național, băncile centrale naționale (BCN) mențin planuri de continuitate a activității pentru a se asigura că operațiunile de retragere și depunere de numerar rămân disponibile.</w:t>
      </w:r>
    </w:p>
    <w:p w14:paraId="64435EB3" w14:textId="09F0AAB1" w:rsidR="003D1E32" w:rsidRPr="000752DF" w:rsidRDefault="00202C91" w:rsidP="000D42F6">
      <w:pPr>
        <w:jc w:val="both"/>
        <w:rPr>
          <w:rFonts w:ascii="Times New Roman" w:hAnsi="Times New Roman" w:cs="Times New Roman"/>
          <w:noProof/>
        </w:rPr>
      </w:pPr>
      <w:r>
        <w:rPr>
          <w:rFonts w:ascii="Times New Roman" w:hAnsi="Times New Roman"/>
          <w:noProof/>
        </w:rPr>
        <w:t>În paralel, propunerea privind statutul de mijloc legal de plată al bancnotelor și monedelor euro, prezentată de Comisie la 28 iunie 2023, urmărește să asigure faptul că numerarul în euro este în continuare acceptat pe scară largă pentru plăți și este ușor accesibil cetățenilor, întreprinderilor și entităților publice din întreaga zonă euro. Cerințele de menținere a unei infrastructuri sănătoase pentru numerar în perioade normale sprijină disponibilitatea numerarului în situații neprevăzute. Propunerea Comisiei nu a inclus nicio dispoziție privind reziliența, dar Consiliul a adăugat acest lucru în mandatul său de negociere, care impune statelor membre să dispună de un plan de reziliență pentru numerar sau de o combinație de măsuri echivalente.</w:t>
      </w:r>
    </w:p>
    <w:p w14:paraId="0794E48E" w14:textId="79BEFE53" w:rsidR="003D1E32" w:rsidRPr="000752DF" w:rsidRDefault="003D1E32" w:rsidP="000D42F6">
      <w:pPr>
        <w:jc w:val="both"/>
        <w:rPr>
          <w:rFonts w:ascii="Times New Roman" w:hAnsi="Times New Roman" w:cs="Times New Roman"/>
          <w:noProof/>
        </w:rPr>
      </w:pPr>
      <w:r>
        <w:rPr>
          <w:rFonts w:ascii="Times New Roman" w:hAnsi="Times New Roman"/>
          <w:noProof/>
        </w:rPr>
        <w:t>În plus, Directiva privind serviciile de plată 3 (DSP3), cu privire la care s-a ajuns la un acord politic în noiembrie 2025, urmărește să stimuleze accesul la numerar în magazine, permițând comercianților cu amănuntul să ofere servicii de retragere de numerar (servicii de tip „cash-in-shop”) până la o anumită limită, fără a fi necesară efectuarea unei achiziții. Acest lucru face ca utilizarea numerarului să fie mai convenabilă, în special în zonele rurale, prin clarificarea normelor pentru comercianții cu amănuntul și operatorii de bancomate.</w:t>
      </w:r>
    </w:p>
    <w:p w14:paraId="7BE7A15F" w14:textId="251E66F0" w:rsidR="003D1E32" w:rsidRPr="000752DF" w:rsidRDefault="00745F58" w:rsidP="000D42F6">
      <w:pPr>
        <w:jc w:val="both"/>
        <w:rPr>
          <w:rFonts w:ascii="Times New Roman" w:hAnsi="Times New Roman" w:cs="Times New Roman"/>
          <w:noProof/>
        </w:rPr>
      </w:pPr>
      <w:r>
        <w:rPr>
          <w:rFonts w:ascii="Times New Roman" w:hAnsi="Times New Roman"/>
          <w:noProof/>
        </w:rPr>
        <w:t xml:space="preserve">Pe lângă disponibilitatea numerarului, este esențial să se mențină continuitatea </w:t>
      </w:r>
      <w:r>
        <w:rPr>
          <w:rFonts w:ascii="Times New Roman" w:hAnsi="Times New Roman"/>
          <w:b/>
          <w:noProof/>
        </w:rPr>
        <w:t xml:space="preserve">serviciilor de plată, </w:t>
      </w:r>
      <w:r>
        <w:rPr>
          <w:rFonts w:ascii="Times New Roman" w:hAnsi="Times New Roman"/>
          <w:noProof/>
        </w:rPr>
        <w:t>care includ plățile cu cardul, plățile prin transfer între conturi (inclusiv prin intermediul telefoanelor mobile), accesul la conturile de plăți și capacitatea de a efectua operațiuni de depunere, pentru a menține încrederea publicului în sistemul financiar, a menține ordinea publică și a asigura funcționarea fundamentală a economiei în cazul unei perturbări pe scară largă, oferind publicului acces neîntrerupt la serviciile de bază.</w:t>
      </w:r>
    </w:p>
    <w:p w14:paraId="273F169F" w14:textId="0C21F18B" w:rsidR="00DD4286" w:rsidRPr="000752DF" w:rsidRDefault="00DD4286" w:rsidP="000D42F6">
      <w:pPr>
        <w:jc w:val="both"/>
        <w:rPr>
          <w:rFonts w:ascii="Times New Roman" w:hAnsi="Times New Roman" w:cs="Times New Roman"/>
          <w:noProof/>
        </w:rPr>
      </w:pPr>
      <w:r>
        <w:rPr>
          <w:rFonts w:ascii="Times New Roman" w:hAnsi="Times New Roman"/>
          <w:noProof/>
        </w:rPr>
        <w:t>Actuala Directivă privind serviciile de plată 2 (DSP2) reglementează alte aspecte, inclusiv gestionarea riscurilor operaționale și de securitate și raportarea incidentelor majore. Scopul este de a consolida securitatea și reziliența sistemelor de plată din întreaga UE.</w:t>
      </w:r>
    </w:p>
    <w:p w14:paraId="32EC0BE1" w14:textId="5B5C69B0" w:rsidR="009D32D1" w:rsidRPr="000752DF" w:rsidRDefault="003D1E32" w:rsidP="003D1E32">
      <w:pPr>
        <w:jc w:val="both"/>
        <w:rPr>
          <w:rFonts w:ascii="Times New Roman" w:hAnsi="Times New Roman" w:cs="Times New Roman"/>
          <w:noProof/>
        </w:rPr>
      </w:pPr>
      <w:r>
        <w:rPr>
          <w:rFonts w:ascii="Times New Roman" w:hAnsi="Times New Roman"/>
          <w:noProof/>
        </w:rPr>
        <w:t>Eurosistemul promovează siguranța și eficiența sistemelor de plată. Directiva a instituit cerințe de supraveghere pentru a aborda principalele scenarii de risc identificate pentru ecosistemul european de plăți. Cadrele stabilesc un set cuprinzător de cerințe pentru gestionarea riscurilor operaționale. Printre acestea se numără măsuri de gestionare a continuității activității și de redresare în timp util, împreună cu dispoziții specifice privind securitatea informațiilor, reziliența cibernetică, securitatea fizică, externalizarea, gestionarea riscurilor informatice și alte domenii conexe. Cadrul acoperă instrumentele de plată electronică (precum cardurile, debitările directe, transferurile credit, moneda electronică și portofelele digitale), precum și sistemele (de exemplu, rețelele de carduri) și aplicațiile (de exemplu, portofelele electronice) care permit utilizarea acestora.</w:t>
      </w:r>
    </w:p>
    <w:p w14:paraId="0026B9DE" w14:textId="147F6FB6" w:rsidR="003D1E32" w:rsidRPr="000752DF" w:rsidRDefault="008E5A8F" w:rsidP="003D1E32">
      <w:pPr>
        <w:jc w:val="both"/>
        <w:rPr>
          <w:rFonts w:ascii="Times New Roman" w:hAnsi="Times New Roman" w:cs="Times New Roman"/>
          <w:noProof/>
        </w:rPr>
      </w:pPr>
      <w:r>
        <w:rPr>
          <w:rFonts w:ascii="Times New Roman" w:hAnsi="Times New Roman"/>
          <w:noProof/>
        </w:rPr>
        <w:t>Pentru a asigura o protecție sporită, articolul 15 din Regulamentul BCE privind sistemele de plată de importanță sistemică (SIPS) stabilește alte cerințe. De exemplu, acesta impune sistemelor să asigure redresarea în termen de două ore (inclusiv prin utilizarea unor amplasamente secundare), iar operatorilor SIPS să fie în măsură să finalizeze decontarea tuturor plăților scadente într-o zi până la sfârșitul zilei lucrătoare în care a avut loc incidentul.</w:t>
      </w:r>
    </w:p>
    <w:p w14:paraId="562DD394" w14:textId="7E67592B" w:rsidR="00CE69E4" w:rsidRPr="000752DF" w:rsidRDefault="00CE69E4" w:rsidP="00CE69E4">
      <w:pPr>
        <w:jc w:val="both"/>
        <w:rPr>
          <w:rFonts w:ascii="Times New Roman" w:hAnsi="Times New Roman" w:cs="Times New Roman"/>
          <w:noProof/>
        </w:rPr>
      </w:pPr>
      <w:r>
        <w:rPr>
          <w:rFonts w:ascii="Times New Roman" w:hAnsi="Times New Roman"/>
          <w:noProof/>
        </w:rPr>
        <w:t>Proiectul privind crearea unei monede euro digitale – o</w:t>
      </w:r>
      <w:r>
        <w:rPr>
          <w:noProof/>
        </w:rPr>
        <w:t xml:space="preserve"> </w:t>
      </w:r>
      <w:r>
        <w:rPr>
          <w:rFonts w:ascii="Times New Roman" w:hAnsi="Times New Roman"/>
          <w:noProof/>
        </w:rPr>
        <w:t>formă digitală a numerarului, care completează numerarul fizic și soluțiile de plată private – ar oferi publicului o metodă suplimentară de plată, promovând în același timp incluziunea digitală și financiară. Fiind primul sistem de plată paneuropean unificat, moneda euro digitală ar contribui, de asemenea, la protejarea rolului internațional al monedei euro. Prin consolidarea autonomiei strategice deschise a UE și prin extinderea gamei de instrumente de plată disponibile, proiectul privind moneda euro digitală urmărește să consolideze și mai mult reziliența generală a serviciilor de plată. În ceea ce privește propunerea privind statutul de mijloc legal de plată, Consiliul a adăugat dispoziții suplimentare pentru a spori și mai mult reziliența monedei euro digitale. În acest context, portofelele europene pentru identitatea digitală (EUDI) vor fi interoperabile cu interfețele pentru utilizatori ale monedei euro digitale, asigurând autentificarea sigură și fără sincope a utilizatorilor</w:t>
      </w:r>
      <w:r>
        <w:rPr>
          <w:rStyle w:val="FootnoteReference"/>
          <w:rFonts w:ascii="Times New Roman" w:hAnsi="Times New Roman" w:cs="Times New Roman"/>
          <w:noProof/>
        </w:rPr>
        <w:footnoteReference w:id="11"/>
      </w:r>
      <w:r>
        <w:rPr>
          <w:noProof/>
        </w:rPr>
        <w:t>.</w:t>
      </w:r>
    </w:p>
    <w:p w14:paraId="050A5B5C" w14:textId="4426E01E" w:rsidR="00F445BB" w:rsidRPr="000752DF" w:rsidRDefault="00DD4286" w:rsidP="07ACBF2F">
      <w:pPr>
        <w:jc w:val="both"/>
        <w:rPr>
          <w:rFonts w:ascii="Times New Roman" w:hAnsi="Times New Roman" w:cs="Times New Roman"/>
          <w:i/>
          <w:iCs/>
          <w:noProof/>
        </w:rPr>
      </w:pPr>
      <w:r>
        <w:rPr>
          <w:rFonts w:ascii="Times New Roman" w:hAnsi="Times New Roman"/>
          <w:i/>
          <w:noProof/>
        </w:rPr>
        <w:t>Legislația transsectorială în sectorul financiar</w:t>
      </w:r>
    </w:p>
    <w:p w14:paraId="3B43C2B1" w14:textId="64692209" w:rsidR="00923C96" w:rsidRDefault="00A30CC9" w:rsidP="73C35B7D">
      <w:pPr>
        <w:jc w:val="both"/>
        <w:rPr>
          <w:rFonts w:ascii="Times New Roman" w:hAnsi="Times New Roman" w:cs="Times New Roman"/>
          <w:noProof/>
        </w:rPr>
      </w:pPr>
      <w:r>
        <w:rPr>
          <w:rFonts w:ascii="Times New Roman" w:hAnsi="Times New Roman"/>
          <w:noProof/>
        </w:rPr>
        <w:t xml:space="preserve">Pentru a completa legislația financiară evidențiată anterior, Regulamentul privind reziliența operațională digitală (DORA) este un act legislativ sectorial financiar care se aplică în întregul sector financiar al UE. Regulamentul acoperă 20 de tipuri diferite de entități financiare, printre care se numără instituții de credit, furnizori de servicii de plată, infrastructuri ale pieței financiare, societăți de asigurări, agenții de rating de credit și administratori de active. </w:t>
      </w:r>
    </w:p>
    <w:p w14:paraId="094A0DCA" w14:textId="2349A3A1" w:rsidR="00775A05" w:rsidRDefault="00323210" w:rsidP="73C35B7D">
      <w:pPr>
        <w:jc w:val="both"/>
        <w:rPr>
          <w:rFonts w:ascii="Times New Roman" w:hAnsi="Times New Roman" w:cs="Times New Roman"/>
          <w:noProof/>
        </w:rPr>
      </w:pPr>
      <w:r>
        <w:rPr>
          <w:rFonts w:ascii="Times New Roman" w:hAnsi="Times New Roman"/>
          <w:noProof/>
        </w:rPr>
        <w:t xml:space="preserve">DORA pune un accent puternic pe reziliența entităților financiare, pe nivelul lor de pregătire pentru a face față eventualelor perturbări în domeniul TIC și pe gestionarea riscurilor care decurg din dependența entităților financiare de furnizorii terți de servicii TIC, inclusiv a riscurilor sistemice și de concentrare prezentate de furnizorii TIC care sunt esențiali pentru sectorul financiar al UE. DORA stabilește un cadru armonizat și solid pentru consolidarea capacității sectorului financiar al UE de a preveni perturbările legate de TIC, de a rezista și a răspunde la acestea și de a se redresa în urma lor. Entitățile financiare trebuie să instituie un cadru cuprinzător pentru gestionarea riscurilor TIC – care să acopere guvernanța, inventarul activelor, identificarea riscurilor, protecția, detectarea, răspunsul, redresarea și îmbunătățirea continuă. Acest lucru asigură gestionarea proactivă a vulnerabilităților și a rezilienței sistemelor și proceselor. Entitățile financiare au, de asemenea, obligația de a detecta, clasifica și raporta incidentele majore legate de TIC autorităților competente, utilizând definițiile, pragurile și termenele convenite pentru a permite răspunsuri coordonate între jurisdicții. Această obligație impune testarea și evaluarea periodică a proceselor, instrumentelor și mecanismelor lor de reziliență și pregătire. </w:t>
      </w:r>
    </w:p>
    <w:p w14:paraId="03AA0CE3" w14:textId="69F04877" w:rsidR="00793657" w:rsidRPr="000752DF" w:rsidRDefault="00323210" w:rsidP="73C35B7D">
      <w:pPr>
        <w:jc w:val="both"/>
        <w:rPr>
          <w:rFonts w:ascii="Times New Roman" w:hAnsi="Times New Roman" w:cs="Times New Roman"/>
          <w:noProof/>
        </w:rPr>
      </w:pPr>
      <w:r>
        <w:rPr>
          <w:rFonts w:ascii="Times New Roman" w:hAnsi="Times New Roman"/>
          <w:noProof/>
        </w:rPr>
        <w:t>Entitățile financiare trebuie, de asemenea, să gestioneze riscurile asociate utilizării furnizorilor terți de servicii TIC, în special a furnizorilor terți esențiali (CTPP). DORA impune entităților financiare să îndeplinească obligația de diligență cu privire la riscurile de concentrare înainte de a încheia noi contracte cu furnizori terți de servicii TIC (TPP). DORA dispune de un mecanism de supraveghere, în cadrul căruia cele trei autorități europene de supraveghere (AES)</w:t>
      </w:r>
      <w:r>
        <w:rPr>
          <w:rStyle w:val="FootnoteReference"/>
          <w:rFonts w:ascii="Times New Roman" w:hAnsi="Times New Roman" w:cs="Times New Roman"/>
          <w:noProof/>
        </w:rPr>
        <w:footnoteReference w:id="12"/>
      </w:r>
      <w:r>
        <w:rPr>
          <w:rFonts w:ascii="Times New Roman" w:hAnsi="Times New Roman"/>
          <w:noProof/>
        </w:rPr>
        <w:t xml:space="preserve"> monitorizează furnizorii terți esențiali de servicii TIC (CTPP) la scară paneuropeană, sporind reziliența operațională digitală globală în întregul sector financiar al UE. În noiembrie 2025, AES au publicat lista furnizorilor terți esențiali de servicii TIC desemnați în temeiul DORA. Cadrul DORA este deosebit de adecvat pentru gestionarea securității cibernetice, a conectivității, a pregătirii și a riscurilor operaționale, având o puternică dimensiune internațională.</w:t>
      </w:r>
    </w:p>
    <w:p w14:paraId="78572FDC" w14:textId="5D44C28A" w:rsidR="00F53ACD" w:rsidRPr="000752DF" w:rsidRDefault="00F53ACD" w:rsidP="00445FBA">
      <w:pPr>
        <w:jc w:val="both"/>
        <w:rPr>
          <w:rFonts w:ascii="Times New Roman" w:hAnsi="Times New Roman" w:cs="Times New Roman"/>
          <w:noProof/>
        </w:rPr>
      </w:pPr>
      <w:r>
        <w:rPr>
          <w:rFonts w:ascii="Times New Roman" w:hAnsi="Times New Roman"/>
          <w:noProof/>
        </w:rPr>
        <w:t xml:space="preserve">Pe lângă DORA, care este </w:t>
      </w:r>
      <w:r>
        <w:rPr>
          <w:rFonts w:ascii="Times New Roman" w:hAnsi="Times New Roman"/>
          <w:i/>
          <w:noProof/>
        </w:rPr>
        <w:t>lex specialis</w:t>
      </w:r>
      <w:r>
        <w:rPr>
          <w:rFonts w:ascii="Times New Roman" w:hAnsi="Times New Roman"/>
          <w:noProof/>
        </w:rPr>
        <w:t xml:space="preserve"> pentru sectorul financiar, acesta face, de asemenea, obiectul unor acorduri de cooperare orizontală privind reziliența fizică și digitală în temeiul Directivei privind reziliența entităților critice (REC)</w:t>
      </w:r>
      <w:bookmarkStart w:id="2" w:name="_Ref221539547"/>
      <w:r>
        <w:rPr>
          <w:rStyle w:val="FootnoteReference"/>
          <w:rFonts w:ascii="Times New Roman" w:eastAsia="Aptos" w:hAnsi="Times New Roman" w:cs="Times New Roman"/>
          <w:noProof/>
        </w:rPr>
        <w:footnoteReference w:id="13"/>
      </w:r>
      <w:bookmarkEnd w:id="2"/>
      <w:r>
        <w:rPr>
          <w:rFonts w:ascii="Times New Roman" w:hAnsi="Times New Roman"/>
          <w:noProof/>
        </w:rPr>
        <w:t xml:space="preserve"> și al Directivei NIS 2.</w:t>
      </w:r>
    </w:p>
    <w:p w14:paraId="47D61D43" w14:textId="2E13E75F" w:rsidR="0070628F" w:rsidRPr="000752DF" w:rsidRDefault="00445FBA" w:rsidP="00445FBA">
      <w:pPr>
        <w:jc w:val="both"/>
        <w:rPr>
          <w:rFonts w:ascii="Times New Roman" w:eastAsia="Aptos" w:hAnsi="Times New Roman" w:cs="Times New Roman"/>
          <w:noProof/>
        </w:rPr>
      </w:pPr>
      <w:r>
        <w:rPr>
          <w:rFonts w:ascii="Times New Roman" w:hAnsi="Times New Roman"/>
          <w:noProof/>
        </w:rPr>
        <w:t>Directiva REC creează un cadru general care abordează reziliența entităților critice în ceea ce privește toate pericolele. Cadrul impune evaluări ale riscurilor, strategii naționale și măsuri specifice de reziliență pentru entitățile critice desemnate cu scopul de a se asigura că acestea sunt în măsură să asigure în continuare funcții societale vitale. Deși directiva include sectorul bancar și infrastructurile pieței financiare ca sectoare critice, sectorul financiar nu intră în domeniul de aplicare al tuturor cerințelor de fond ale REC, deoarece face obiectul unor cerințe mult mai specifice în temeiul DORA. Totuși, sectorul financiar se încadrează în domeniul de aplicare al Directivei REC în ceea ce privește acordurile de cooperare orizontală.</w:t>
      </w:r>
    </w:p>
    <w:p w14:paraId="180D79EA" w14:textId="643046AF" w:rsidR="00445FBA" w:rsidRDefault="0029676D" w:rsidP="00445FBA">
      <w:pPr>
        <w:jc w:val="both"/>
        <w:rPr>
          <w:rFonts w:ascii="Times New Roman" w:hAnsi="Times New Roman" w:cs="Times New Roman"/>
          <w:noProof/>
        </w:rPr>
      </w:pPr>
      <w:r>
        <w:rPr>
          <w:rFonts w:ascii="Times New Roman" w:hAnsi="Times New Roman"/>
          <w:noProof/>
        </w:rPr>
        <w:t xml:space="preserve">Directiva NIS 2 oferă un cadru mai larg pentru securitatea cibernetică în diferite sectoare critice. DORA este considerată </w:t>
      </w:r>
      <w:r>
        <w:rPr>
          <w:rFonts w:ascii="Times New Roman" w:hAnsi="Times New Roman"/>
          <w:i/>
          <w:noProof/>
        </w:rPr>
        <w:t>lex specialis</w:t>
      </w:r>
      <w:r>
        <w:rPr>
          <w:rFonts w:ascii="Times New Roman" w:hAnsi="Times New Roman"/>
          <w:noProof/>
        </w:rPr>
        <w:t xml:space="preserve"> în raport cu Directiva NIS 2, ceea ce înseamnă că cerințele privind gestionarea riscurilor și raportarea incidentelor, prevăzute în DORA, se aplică ca act juridic sectorial al Uniunii în locul Directivei NIS 2. Astfel cum a comunicat Comisia în orientările sale privind aplicarea articolului 4 alineatele (1) și (2) din Directiva NIS 2</w:t>
      </w:r>
      <w:r>
        <w:rPr>
          <w:rStyle w:val="FootnoteReference"/>
          <w:rFonts w:ascii="Times New Roman" w:hAnsi="Times New Roman" w:cs="Times New Roman"/>
          <w:noProof/>
        </w:rPr>
        <w:footnoteReference w:id="14"/>
      </w:r>
      <w:r>
        <w:rPr>
          <w:rFonts w:ascii="Times New Roman" w:hAnsi="Times New Roman"/>
          <w:noProof/>
        </w:rPr>
        <w:t>, se aplică în continuare anumite dispoziții ale Directivei NIS 2 care sunt esențiale pentru asigurarea pregătirii și atingerea unui nivel ridicat de reziliență a entităților financiare, inclusiv cerințele privind adoptarea unei strategii de securitate cibernetică și instituirea unui cadru național de gestionare a crizelor cibernetice (cu obligația de a desemna autorități de gestionare a crizelor cibernetice și de a adopta planuri naționale de răspuns la incidente de securitate cibernetică de mare amploare și crize), care acoperă sectorul bancar și sectorul infrastructurilor pieței financiare. În plus, echipele de intervenție în caz de incidente de securitate informatică („CSIRT”) și Rețeaua europeană a organizațiilor de legătură în materie de crize cibernetice („EU-CyCLONe”) ar trebui să își îndeplinească sarcinile în raport cu sectorul bancar și sectorul infrastructurilor pieței financiare.</w:t>
      </w:r>
    </w:p>
    <w:p w14:paraId="2C7EFCFD" w14:textId="6F3C0305" w:rsidR="00F00D18" w:rsidRDefault="00F00D18" w:rsidP="00F00D18">
      <w:pPr>
        <w:jc w:val="both"/>
        <w:rPr>
          <w:rFonts w:ascii="Times New Roman" w:hAnsi="Times New Roman" w:cs="Times New Roman"/>
          <w:noProof/>
        </w:rPr>
      </w:pPr>
      <w:r>
        <w:rPr>
          <w:rFonts w:ascii="Times New Roman" w:hAnsi="Times New Roman"/>
          <w:noProof/>
        </w:rPr>
        <w:t>Măsurile de pregătire prezentate pentru sectorul financiar sunt concepute astfel încât să asigure un echilibru între nevoia de reziliență și principiul proporționalității. Cerințele de reglementare și supraveghere sunt adaptate la dimensiunea, complexitatea și importanța sistemică a instituțiilor pentru a evita impunerea unei sarcini disproporționate asupra entităților mai mici. Pentru a evita sarcina administrativă inutilă, cadrele armonizate, cum ar fi DORA, raționalizează cerințele în întregul sector, asigurând consecvența și reducând în același timp duplicarea eforturilor.</w:t>
      </w:r>
    </w:p>
    <w:p w14:paraId="40B31BAE" w14:textId="77777777" w:rsidR="00772FE8" w:rsidRPr="000752DF" w:rsidRDefault="00772FE8" w:rsidP="00F00D18">
      <w:pPr>
        <w:jc w:val="both"/>
        <w:rPr>
          <w:rFonts w:ascii="Times New Roman" w:hAnsi="Times New Roman" w:cs="Times New Roman"/>
          <w:noProof/>
        </w:rPr>
      </w:pPr>
    </w:p>
    <w:p w14:paraId="5B7ECD6D" w14:textId="6C4CD91D" w:rsidR="00DE22BC" w:rsidRPr="000752DF" w:rsidRDefault="00D41A6A" w:rsidP="00E8171B">
      <w:pPr>
        <w:pStyle w:val="ListParagraph"/>
        <w:numPr>
          <w:ilvl w:val="1"/>
          <w:numId w:val="5"/>
        </w:numPr>
        <w:jc w:val="both"/>
        <w:rPr>
          <w:rFonts w:ascii="Times New Roman" w:hAnsi="Times New Roman" w:cs="Times New Roman"/>
          <w:noProof/>
          <w:u w:val="single"/>
        </w:rPr>
      </w:pPr>
      <w:r>
        <w:rPr>
          <w:rFonts w:ascii="Times New Roman" w:hAnsi="Times New Roman"/>
          <w:noProof/>
          <w:u w:val="single"/>
        </w:rPr>
        <w:t>Autoritățile UE: instrumente și cooperare</w:t>
      </w:r>
    </w:p>
    <w:p w14:paraId="2D424A8E" w14:textId="0680D7D0" w:rsidR="008E31C6" w:rsidRPr="000752DF" w:rsidRDefault="00E32AF6" w:rsidP="008E31C6">
      <w:pPr>
        <w:jc w:val="both"/>
        <w:rPr>
          <w:rFonts w:ascii="Times New Roman" w:hAnsi="Times New Roman" w:cs="Times New Roman"/>
          <w:noProof/>
        </w:rPr>
      </w:pPr>
      <w:r>
        <w:rPr>
          <w:rFonts w:ascii="Times New Roman" w:hAnsi="Times New Roman"/>
          <w:noProof/>
        </w:rPr>
        <w:t>Autoritățile UE au la dispoziție instrumente specifice care pot fi activate în situații de urgență și care mențin mecanisme de pregătire pentru a asigura continuitatea activității. De exemplu, cele trei AES dispun de competențe în situații de urgență în temeiul regulamentelor lor de înființare. Odată ce o situație de urgență a fost recunoscută în mod oficial de către Consiliu (în temeiul articolului 18 din regulamentele AES), autoritățile europene de supraveghere pot restricționa temporar activitățile financiare în temeiul articolului 9, prin decizii individuale. Aceste autorități îndeplinesc, de asemenea, o funcție de coordonare generală între autoritățile naționale și în cadrul Sistemului european de supraveghere financiară (SESF) (articolul 31).</w:t>
      </w:r>
    </w:p>
    <w:p w14:paraId="2E915095" w14:textId="3AA228EC" w:rsidR="006938D4" w:rsidRPr="000752DF" w:rsidRDefault="00F16D06" w:rsidP="008E31C6">
      <w:pPr>
        <w:jc w:val="both"/>
        <w:rPr>
          <w:rFonts w:ascii="Times New Roman" w:hAnsi="Times New Roman" w:cs="Times New Roman"/>
          <w:noProof/>
        </w:rPr>
      </w:pPr>
      <w:r>
        <w:rPr>
          <w:rFonts w:ascii="Times New Roman" w:hAnsi="Times New Roman"/>
          <w:noProof/>
        </w:rPr>
        <w:t>După cum s-a menționat anterior, BCE este autoritatea unică de supraveghere pentru băncile din cele 21 de state membre care participă la Mecanismul unic de supraveghere, asigurând o supraveghere prudențială consecventă în acest domeniu. Comitetul Unic de Rezoluție este autoritatea unică de rezoluție pentru aceste state membre și este responsabilă de rezoluția organizată a băncilor în curs de a intra în dificultate, protejând astfel stabilitatea financiară și reducând la minimum costurile pentru contribuabili.</w:t>
      </w:r>
    </w:p>
    <w:p w14:paraId="4C4881F8" w14:textId="166DB5AF" w:rsidR="00814022" w:rsidRPr="000752DF" w:rsidRDefault="00076C9E" w:rsidP="00EB4CC7">
      <w:pPr>
        <w:jc w:val="both"/>
        <w:rPr>
          <w:rFonts w:ascii="Times New Roman" w:hAnsi="Times New Roman" w:cs="Times New Roman"/>
          <w:noProof/>
        </w:rPr>
      </w:pPr>
      <w:r>
        <w:rPr>
          <w:rFonts w:ascii="Times New Roman" w:hAnsi="Times New Roman"/>
          <w:noProof/>
        </w:rPr>
        <w:t>Pentru a stimula reziliența operațională, toate autoritățile UE au elaborat proceduri interne de asigurare a continuității activității, de pregătire și de gestionare a incidentelor critice pentru a gestiona o gamă variată de pericole. Autoritățile UE testează periodic aceste măsuri pentru a asigura continuitatea activității și pentru a identifica procesele operaționale cele mai sensibile la factorul timp care trebuie desfășurate într-o situație de urgență, precum și nivelul la care trebuie să se desfășoare acestea.</w:t>
      </w:r>
    </w:p>
    <w:p w14:paraId="6C3A27A0" w14:textId="413E6FB9" w:rsidR="00444918" w:rsidRPr="000752DF" w:rsidRDefault="00DA012C" w:rsidP="00444918">
      <w:pPr>
        <w:jc w:val="both"/>
        <w:rPr>
          <w:rFonts w:ascii="Times New Roman" w:hAnsi="Times New Roman" w:cs="Times New Roman"/>
          <w:noProof/>
        </w:rPr>
      </w:pPr>
      <w:r>
        <w:rPr>
          <w:rFonts w:ascii="Times New Roman" w:hAnsi="Times New Roman"/>
          <w:noProof/>
        </w:rPr>
        <w:t>Având în vedere atât necesitatea de a menține integritatea și buna funcționare a pieței unice, cât și gradul ridicat de interconectare și riscul de efecte de propagare în sectorul financiar al UE, coordonarea între diferitele autorități ale UE și implicarea statelor membre sunt esențiale pentru a anticipa și a gestiona crizele care au potențialul de a afecta simultan mai multe părți ale UE. Implicarea timpurie și cooperarea promptă sunt esențiale atât în etapa de planificare, cât și în fiecare etapă a crizei. Pentru a facilita cooperarea și schimbul de informații care pot fi relevante și într-o situație de criză, mai multe autorități ale UE au încheiat instrumente de cooperare între ele sau cu autoritățile naționale competente sau autoritățile naționale de rezoluție, ori au încheiat memorandumuri de înțelegere (de exemplu, Memorandumul de înțelegere dintre BCE și Comitetul Unic de Rezoluție) și, de asemenea, efectuează simulări pentru a asigura o pregătire adecvată pentru situații de criză.</w:t>
      </w:r>
    </w:p>
    <w:p w14:paraId="358F259F" w14:textId="68042EC0" w:rsidR="001B141C" w:rsidRDefault="00444918" w:rsidP="00444918">
      <w:pPr>
        <w:jc w:val="both"/>
        <w:rPr>
          <w:rFonts w:ascii="Times New Roman" w:hAnsi="Times New Roman" w:cs="Times New Roman"/>
          <w:noProof/>
        </w:rPr>
      </w:pPr>
      <w:r>
        <w:rPr>
          <w:rFonts w:ascii="Times New Roman" w:hAnsi="Times New Roman"/>
          <w:noProof/>
        </w:rPr>
        <w:t>O etapă importantă în această activitate este Cadrul Uniunii Europene de coordonare a incidentelor cibernetice sistemice (EU-SCICF), instituit în ianuarie 2025 de către AES. Acest cadru oferă o bază strategică pentru cooperare în timpul incidentelor cibernetice semnificative</w:t>
      </w:r>
      <w:r>
        <w:rPr>
          <w:rStyle w:val="FootnoteReference"/>
          <w:rFonts w:ascii="Times New Roman" w:hAnsi="Times New Roman" w:cs="Times New Roman"/>
          <w:noProof/>
        </w:rPr>
        <w:footnoteReference w:id="15"/>
      </w:r>
      <w:r>
        <w:rPr>
          <w:rFonts w:ascii="Times New Roman" w:hAnsi="Times New Roman"/>
          <w:noProof/>
        </w:rPr>
        <w:t xml:space="preserve">. Scopul său este de a facilita schimbul rapid de informații și răspunsurile comune prin instituirea unor protocoale de evaluare și atenuare a amenințărilor în toate statele membre ale UE. </w:t>
      </w:r>
    </w:p>
    <w:p w14:paraId="1D6A2F78" w14:textId="1DD75807" w:rsidR="00DB55D2" w:rsidRDefault="00DB55D2" w:rsidP="00DB55D2">
      <w:pPr>
        <w:jc w:val="both"/>
        <w:rPr>
          <w:rFonts w:ascii="Times New Roman" w:hAnsi="Times New Roman" w:cs="Times New Roman"/>
          <w:noProof/>
        </w:rPr>
      </w:pPr>
      <w:r>
        <w:rPr>
          <w:rFonts w:ascii="Times New Roman" w:hAnsi="Times New Roman"/>
          <w:noProof/>
        </w:rPr>
        <w:t>În plus, în iunie 2025, Consiliul a adoptat un Plan de acțiune pentru gestionarea crizelor cibernetice</w:t>
      </w:r>
      <w:r>
        <w:rPr>
          <w:rStyle w:val="FootnoteReference"/>
          <w:rFonts w:ascii="Times New Roman" w:hAnsi="Times New Roman" w:cs="Times New Roman"/>
          <w:noProof/>
          <w:lang w:val="en-IE"/>
        </w:rPr>
        <w:footnoteReference w:id="16"/>
      </w:r>
      <w:r>
        <w:rPr>
          <w:rFonts w:ascii="Times New Roman" w:hAnsi="Times New Roman"/>
          <w:noProof/>
        </w:rPr>
        <w:t>, ca ghid important pentru statele membre în vederea consolidării capacităților lor de pregătire, detectare și răspuns la incidentele de securitate cibernetică, pe baza tuturor mecanismelor relevante, inclusiv a celor create prin Directiva NIS 2, DORA (EU-SCICF) și Regulamentul privind solidaritatea cibernetică.</w:t>
      </w:r>
    </w:p>
    <w:p w14:paraId="0E0F1F09" w14:textId="3DAF4A46" w:rsidR="00444918" w:rsidRPr="000752DF" w:rsidRDefault="00444918" w:rsidP="00444918">
      <w:pPr>
        <w:jc w:val="both"/>
        <w:rPr>
          <w:rFonts w:ascii="Times New Roman" w:eastAsia="MS Mincho" w:hAnsi="Times New Roman" w:cs="Times New Roman"/>
          <w:noProof/>
        </w:rPr>
      </w:pPr>
      <w:r>
        <w:rPr>
          <w:rFonts w:ascii="Times New Roman" w:hAnsi="Times New Roman"/>
          <w:noProof/>
        </w:rPr>
        <w:t>În acest cadru se pot desfășura exerciții periodice pentru a se asigura că capacitățile de pregătire și răspuns rămân solide și eficace. În plus, la nivel internațional, Protocolul G7 privind răspunsul la incidentele cibernetice urmărește să unifice eforturile globale de răspuns la amenințările cibernetice care afectează sectorul financiar și să asigure răspunsuri prompte și coordonate în toate jurisdicțiile.</w:t>
      </w:r>
    </w:p>
    <w:p w14:paraId="39312AB7" w14:textId="27282340" w:rsidR="000A178A" w:rsidRPr="000752DF" w:rsidRDefault="002002C4" w:rsidP="000A178A">
      <w:pPr>
        <w:jc w:val="both"/>
        <w:rPr>
          <w:rFonts w:ascii="Times New Roman" w:hAnsi="Times New Roman" w:cs="Times New Roman"/>
          <w:noProof/>
        </w:rPr>
      </w:pPr>
      <w:r>
        <w:rPr>
          <w:rFonts w:ascii="Times New Roman" w:hAnsi="Times New Roman"/>
          <w:noProof/>
        </w:rPr>
        <w:t>Fiecare autoritate a UE întreprinde evaluări periodice ale riscurilor și alte măsuri pentru a identifica cele mai importante riscuri în raport cu mandatul și funcțiile fiecărei autorități. Evaluările riscurilor sunt efectuate în cooperare cu autoritățile naționale, contribuind la dezvoltarea unei înțelegeri comune și mai profunde a peisajului riscurilor, precum și a riscurilor cărora trebuie să li se acorde prioritate. Evaluările riscurilor contribuie adesea la sistemele de alertă timpurie care, la rândul lor, fac parte din cadrele de pregătire ale autorităților UE. În plus, există mecanisme de reglementare și supraveghere între autoritățile UE și părțile interesate din sectorul privat, care permit continuarea dialogului privind așteptările reciproce în ceea ce privește pregătirea</w:t>
      </w:r>
      <w:r>
        <w:rPr>
          <w:rStyle w:val="FootnoteReference"/>
          <w:rFonts w:ascii="Times New Roman" w:hAnsi="Times New Roman" w:cs="Times New Roman"/>
          <w:noProof/>
        </w:rPr>
        <w:footnoteReference w:id="17"/>
      </w:r>
      <w:r>
        <w:rPr>
          <w:rFonts w:ascii="Times New Roman" w:hAnsi="Times New Roman"/>
          <w:noProof/>
        </w:rPr>
        <w:t>.</w:t>
      </w:r>
    </w:p>
    <w:p w14:paraId="101958D2" w14:textId="3F591BC9" w:rsidR="004309E9" w:rsidRPr="000752DF" w:rsidRDefault="00E37322" w:rsidP="009417C9">
      <w:pPr>
        <w:pStyle w:val="ListParagraph"/>
        <w:numPr>
          <w:ilvl w:val="1"/>
          <w:numId w:val="5"/>
        </w:numPr>
        <w:jc w:val="both"/>
        <w:rPr>
          <w:rFonts w:ascii="Times New Roman" w:hAnsi="Times New Roman" w:cs="Times New Roman"/>
          <w:noProof/>
          <w:u w:val="single"/>
        </w:rPr>
      </w:pPr>
      <w:r>
        <w:rPr>
          <w:rFonts w:ascii="Times New Roman" w:hAnsi="Times New Roman"/>
          <w:noProof/>
          <w:u w:val="single"/>
        </w:rPr>
        <w:t>Cadre la nivel național și regional</w:t>
      </w:r>
    </w:p>
    <w:p w14:paraId="0B807535" w14:textId="733FEA14" w:rsidR="009D0438" w:rsidRPr="000752DF" w:rsidRDefault="00C876EB" w:rsidP="001532B6">
      <w:pPr>
        <w:jc w:val="both"/>
        <w:rPr>
          <w:rFonts w:ascii="Times New Roman" w:hAnsi="Times New Roman" w:cs="Times New Roman"/>
          <w:noProof/>
        </w:rPr>
      </w:pPr>
      <w:r>
        <w:rPr>
          <w:rFonts w:ascii="Times New Roman" w:hAnsi="Times New Roman"/>
          <w:noProof/>
        </w:rPr>
        <w:t>Pe lângă legislația de la nivelul UE, statele membre și-au dezvoltat propriile sisteme naționale de pregătire</w:t>
      </w:r>
      <w:r>
        <w:rPr>
          <w:rStyle w:val="FootnoteReference"/>
          <w:rFonts w:ascii="Times New Roman" w:hAnsi="Times New Roman" w:cs="Times New Roman"/>
          <w:noProof/>
        </w:rPr>
        <w:footnoteReference w:id="18"/>
      </w:r>
      <w:r>
        <w:rPr>
          <w:rFonts w:ascii="Times New Roman" w:hAnsi="Times New Roman"/>
          <w:noProof/>
        </w:rPr>
        <w:t>. Aceste sisteme nu se referă, de regulă, doar la sectorul financiar, ci vizează pregătirea societății în ansamblu la nivel național. Din acest motiv, sistemele naționale diferă de la un stat membru la altul, reflectând diferitele structuri guvernamentale și administrative, precum și diferitele limite ale competențelor acestora. În același timp, aceste sisteme naționale funcționează într-un cadru coerent al UE și interacționează tot mai mult cu mecanismele de la nivelul UE și cu mecanismele de coordonare transfrontalieră.</w:t>
      </w:r>
    </w:p>
    <w:p w14:paraId="4ABD4D00" w14:textId="7186D520" w:rsidR="0024384F" w:rsidRPr="000752DF" w:rsidRDefault="009D0438" w:rsidP="001532B6">
      <w:pPr>
        <w:jc w:val="both"/>
        <w:rPr>
          <w:rFonts w:ascii="Times New Roman" w:hAnsi="Times New Roman" w:cs="Times New Roman"/>
          <w:noProof/>
        </w:rPr>
      </w:pPr>
      <w:r>
        <w:rPr>
          <w:rFonts w:ascii="Times New Roman" w:hAnsi="Times New Roman"/>
          <w:noProof/>
        </w:rPr>
        <w:t>Pregătirea sectorului financiar este întotdeauna un element esențial în strategiile naționale de pregătire. Acest sector este lider în ceea ce privește pregătirea, reprezentând un exemplu pentru alte sectoare. Strategiile naționale de pregătire pentru sectorul financiar nu vizează numai acquis-ul UE, ci se concentrează și asupra aspectelor operaționale la nivel național. Diferențele dintre sistemele financiare naționale (de exemplu, principalele caracteristici ale sectorului bancar național, gradul de utilizare a numerarului, adoptarea monedei euro, participarea la uniunea bancară) se reflectă în mod firesc în modul în care este evaluat și asigurat nivelul de pregătire a sectorului financiar național.</w:t>
      </w:r>
    </w:p>
    <w:p w14:paraId="6C81631D" w14:textId="71AD6213" w:rsidR="00166633" w:rsidRPr="000752DF" w:rsidRDefault="00166633" w:rsidP="00166633">
      <w:pPr>
        <w:jc w:val="both"/>
        <w:rPr>
          <w:rFonts w:ascii="Times New Roman" w:hAnsi="Times New Roman" w:cs="Times New Roman"/>
          <w:noProof/>
        </w:rPr>
      </w:pPr>
      <w:r>
        <w:rPr>
          <w:rFonts w:ascii="Times New Roman" w:hAnsi="Times New Roman"/>
          <w:noProof/>
        </w:rPr>
        <w:t>Având în vedere rolul central pe care îl au autoritățile publice, în special în cazul unei crize sau al unui incident major, trebuie să rămână disponibile funcții fiabile de finanțare pe termen scurt pentru a evita deficitul de lichiditate sau de finanțare la nivelul statului și al sectorului public în sens mai larg și pentru a evita repercusiunile mai ample asupra societății în ceea ce privește încrederea publică și stabilitatea financiară. Totuși, acest lucru nu se aplică tuturor cadrelor de gestionare a crizelor în același mod: în special, rezoluția bancară este concepută pentru a limita dependența de fondurile publice, prin intermediul recapitalizării interne și al mecanismelor de rezoluție finanțate de sectorul bancar.</w:t>
      </w:r>
    </w:p>
    <w:p w14:paraId="3AC44D0A" w14:textId="02EEBA8D" w:rsidR="00166633" w:rsidRPr="000752DF" w:rsidRDefault="006208AF" w:rsidP="00166633">
      <w:pPr>
        <w:jc w:val="both"/>
        <w:rPr>
          <w:rFonts w:ascii="Times New Roman" w:hAnsi="Times New Roman" w:cs="Times New Roman"/>
          <w:noProof/>
        </w:rPr>
      </w:pPr>
      <w:r>
        <w:rPr>
          <w:rFonts w:ascii="Times New Roman" w:hAnsi="Times New Roman"/>
          <w:noProof/>
        </w:rPr>
        <w:t>Pentru a asigura reziliența funcțiilor de finanțare pe termen scurt ale guvernelor, oficiile naționale de administrare a datoriei (DMO) au elaborat planuri de contingență și de continuitate a activității pentru a continua să funcționeze și în cazul unei crize. Aceste mecanisme sunt completate tot mai mult de schimburi de bune practici și de coordonare atât la nivelul UE, cât și la nivel regional.</w:t>
      </w:r>
    </w:p>
    <w:p w14:paraId="17CC5C11" w14:textId="3F7FC0D1" w:rsidR="00166633" w:rsidRPr="000752DF" w:rsidRDefault="00166633" w:rsidP="00166633">
      <w:pPr>
        <w:jc w:val="both"/>
        <w:rPr>
          <w:rFonts w:ascii="Times New Roman" w:hAnsi="Times New Roman" w:cs="Times New Roman"/>
          <w:noProof/>
        </w:rPr>
      </w:pPr>
      <w:r>
        <w:rPr>
          <w:rFonts w:ascii="Times New Roman" w:hAnsi="Times New Roman"/>
          <w:noProof/>
        </w:rPr>
        <w:t>În plus, Mecanismul european de stabilitate (MES) oferă mai multe instrumente de asistență financiară menite să protejeze stabilitatea financiară prin acordarea de asistență membrilor MES, pentru a consolida capacitatea zonei euro de a gestiona dificultățile cu care se confruntă statul și sectorul bancar. Aceste instrumente sunt menite să abordeze crizele sistemice și să completeze pregătirea operațională, la nivel național și la nivelul UE, pentru scenarii de perturbare mai concrete.</w:t>
      </w:r>
      <w:r w:rsidR="0081725F">
        <w:rPr>
          <w:rFonts w:ascii="Times New Roman" w:hAnsi="Times New Roman"/>
          <w:noProof/>
        </w:rPr>
        <w:t xml:space="preserve"> </w:t>
      </w:r>
      <w:r>
        <w:rPr>
          <w:rFonts w:ascii="Times New Roman" w:hAnsi="Times New Roman"/>
          <w:noProof/>
        </w:rPr>
        <w:t>Unele state membre au elaborat mecanisme bilaterale pentru a asigura disponibilitatea finanțării pe termen scurt în cazul în care oricare dintre funcțiile de bază ale DMO devine indisponibilă. Finalizarea modificării în curs a Tratatului privind MES ar consolida și mai mult plasa de siguranță a zonei euro.</w:t>
      </w:r>
    </w:p>
    <w:p w14:paraId="5E5CD859" w14:textId="4EC4A031" w:rsidR="001B791D" w:rsidRPr="000752DF" w:rsidRDefault="001B791D" w:rsidP="001B791D">
      <w:pPr>
        <w:jc w:val="both"/>
        <w:rPr>
          <w:rFonts w:ascii="Times New Roman" w:hAnsi="Times New Roman" w:cs="Times New Roman"/>
          <w:noProof/>
        </w:rPr>
      </w:pPr>
      <w:r>
        <w:rPr>
          <w:rFonts w:ascii="Times New Roman" w:hAnsi="Times New Roman"/>
          <w:noProof/>
        </w:rPr>
        <w:t>În paralel, există forumuri de coordonare regională, cum ar fi Mecanismul de cooperare nordico-baltică, o inițiativă regională importantă, axată pe țările de la Marea Baltică. Aceste forumuri încurajează colaborarea privind supravegherea financiară și gestionarea crizelor, schimburile de informații privind evaluările riscurilor și planificarea strategică. Ele ilustrează modul în care cooperarea regională poate îmbunătăți nivelul de pregătire.</w:t>
      </w:r>
    </w:p>
    <w:p w14:paraId="063B00A7" w14:textId="19BF4F87" w:rsidR="001B791D" w:rsidRPr="000752DF" w:rsidRDefault="00056CBA" w:rsidP="001532B6">
      <w:pPr>
        <w:jc w:val="both"/>
        <w:rPr>
          <w:rFonts w:ascii="Times New Roman" w:hAnsi="Times New Roman" w:cs="Times New Roman"/>
          <w:noProof/>
        </w:rPr>
      </w:pPr>
      <w:r>
        <w:rPr>
          <w:rFonts w:ascii="Times New Roman" w:hAnsi="Times New Roman"/>
          <w:noProof/>
        </w:rPr>
        <w:t>Mai multe state membre au dezvoltat parteneriate sau forumuri public-privat specifice în contextul sistemelor lor naționale de pregătire (care cuprind reprezentanți ai sectorului privat din mai multe domenii).</w:t>
      </w:r>
    </w:p>
    <w:p w14:paraId="2EF949E5" w14:textId="3FA2951A" w:rsidR="00A155AA" w:rsidRDefault="00A155AA" w:rsidP="001532B6">
      <w:pPr>
        <w:jc w:val="both"/>
        <w:rPr>
          <w:rFonts w:ascii="Times New Roman" w:hAnsi="Times New Roman" w:cs="Times New Roman"/>
          <w:noProof/>
        </w:rPr>
      </w:pPr>
      <w:r>
        <w:rPr>
          <w:rFonts w:ascii="Times New Roman" w:hAnsi="Times New Roman"/>
          <w:noProof/>
        </w:rPr>
        <w:t>În general, aceste mecanisme la nivelul UE, la nivel regional și la nivel național fac parte dintr-un cadru de pregătire pe mai multe niveluri, în care coordonarea și cooperarea la nivelul UE și la nivel regional sunt completate de acțiuni la nivel național.</w:t>
      </w:r>
    </w:p>
    <w:p w14:paraId="74551668" w14:textId="77777777" w:rsidR="00056CBA" w:rsidRPr="000752DF" w:rsidRDefault="00056CBA" w:rsidP="001532B6">
      <w:pPr>
        <w:jc w:val="both"/>
        <w:rPr>
          <w:rFonts w:ascii="Times New Roman" w:hAnsi="Times New Roman" w:cs="Times New Roman"/>
          <w:noProof/>
        </w:rPr>
      </w:pPr>
    </w:p>
    <w:p w14:paraId="58C42714" w14:textId="5B3ECAA1" w:rsidR="00814022" w:rsidRPr="000752DF" w:rsidRDefault="00814022" w:rsidP="00A143AE">
      <w:pPr>
        <w:pStyle w:val="ListParagraph"/>
        <w:keepNext/>
        <w:numPr>
          <w:ilvl w:val="0"/>
          <w:numId w:val="5"/>
        </w:numPr>
        <w:spacing w:line="278" w:lineRule="auto"/>
        <w:ind w:left="714" w:hanging="357"/>
        <w:rPr>
          <w:rFonts w:ascii="Times New Roman" w:hAnsi="Times New Roman" w:cs="Times New Roman"/>
          <w:b/>
          <w:bCs/>
          <w:noProof/>
        </w:rPr>
      </w:pPr>
      <w:r>
        <w:rPr>
          <w:rFonts w:ascii="Times New Roman" w:hAnsi="Times New Roman"/>
          <w:b/>
          <w:noProof/>
        </w:rPr>
        <w:t>Simularea de criză</w:t>
      </w:r>
    </w:p>
    <w:p w14:paraId="0AEA645A" w14:textId="561FC37D" w:rsidR="002A1314" w:rsidRDefault="00A7256A" w:rsidP="00814022">
      <w:pPr>
        <w:jc w:val="both"/>
        <w:rPr>
          <w:rFonts w:ascii="Times New Roman" w:hAnsi="Times New Roman" w:cs="Times New Roman"/>
          <w:noProof/>
        </w:rPr>
      </w:pPr>
      <w:r>
        <w:rPr>
          <w:rFonts w:ascii="Times New Roman" w:hAnsi="Times New Roman"/>
          <w:noProof/>
        </w:rPr>
        <w:t>Simularea de criză reprezintă un aspect esențial al pregătirii, astfel cum se recunoaște în Recomandarea Consiliului privind consolidarea rezilienței infrastructurilor critice</w:t>
      </w:r>
      <w:r>
        <w:rPr>
          <w:rStyle w:val="FootnoteReference"/>
          <w:rFonts w:ascii="Times New Roman" w:hAnsi="Times New Roman" w:cs="Times New Roman"/>
          <w:noProof/>
        </w:rPr>
        <w:footnoteReference w:id="19"/>
      </w:r>
      <w:r>
        <w:rPr>
          <w:rFonts w:ascii="Times New Roman" w:hAnsi="Times New Roman"/>
          <w:noProof/>
        </w:rPr>
        <w:t xml:space="preserve">. În sectorul financiar, simulările de criză reprezintă deja o parte integrantă și esențială a supravegherii instituțiilor financiare și furnizorilor de infrastructură a pieței financiare. Simulările de criză consolidează pregătirea sectorului financiar prin simularea unor crize grave (precum recesiunile, șocurile climatice sau atacurile cibernetice), pentru a descoperi vulnerabilitățile în ceea ce privește capitalul și lichiditatea instituțiilor financiare. Acest lucru obligă instituțiile și furnizorii să îmbunătățească gestionarea riscurilor, să stimuleze amortizoarele de capital, să perfecționeze planificarea strategică și să consolideze reziliența la șocurile viitoare, sporind stabilitatea financiară generală și consolidând încrederea pieței. </w:t>
      </w:r>
    </w:p>
    <w:p w14:paraId="5A766C53" w14:textId="340AAB21" w:rsidR="00247A90" w:rsidRPr="000752DF" w:rsidRDefault="00330F93" w:rsidP="00814022">
      <w:pPr>
        <w:jc w:val="both"/>
        <w:rPr>
          <w:rFonts w:ascii="Times New Roman" w:hAnsi="Times New Roman" w:cs="Times New Roman"/>
          <w:noProof/>
        </w:rPr>
      </w:pPr>
      <w:r>
        <w:rPr>
          <w:rFonts w:ascii="Times New Roman" w:hAnsi="Times New Roman"/>
          <w:noProof/>
        </w:rPr>
        <w:t>Simularea de criză sprijină, de asemenea, pregătirea prin reflectarea canalelor de risc la nivel de sistem și la nivel transfrontalier, inclusiv a surselor de instabilitate financiară globală, a tensiunilor geopolitice, a incidentelor cibernetice și a perturbărilor infrastructurii critice.</w:t>
      </w:r>
    </w:p>
    <w:p w14:paraId="1FF859EA" w14:textId="2A2AF960" w:rsidR="00622C52" w:rsidRPr="000752DF" w:rsidRDefault="0007206A" w:rsidP="00622C52">
      <w:pPr>
        <w:jc w:val="both"/>
        <w:rPr>
          <w:rFonts w:ascii="Times New Roman" w:hAnsi="Times New Roman" w:cs="Times New Roman"/>
          <w:noProof/>
        </w:rPr>
      </w:pPr>
      <w:r>
        <w:rPr>
          <w:rFonts w:ascii="Times New Roman" w:hAnsi="Times New Roman"/>
          <w:noProof/>
        </w:rPr>
        <w:t xml:space="preserve">În </w:t>
      </w:r>
      <w:r>
        <w:rPr>
          <w:rFonts w:ascii="Times New Roman" w:hAnsi="Times New Roman"/>
          <w:b/>
          <w:noProof/>
        </w:rPr>
        <w:t>sistemul bancar</w:t>
      </w:r>
      <w:r>
        <w:rPr>
          <w:rFonts w:ascii="Times New Roman" w:hAnsi="Times New Roman"/>
          <w:noProof/>
        </w:rPr>
        <w:t>, Autoritatea Bancară Europeană (ABE) are mandatul de a iniția și a coordona simulări de criză la nivelul UE pentru sectorul bancar. Pe baza acestui mandat, ABE efectuează o simulare de criză la nivelul UE o dată la doi ani, care acoperă aproximativ 75 % din sectorul bancar. CRD impune, de asemenea, autorităților competente să efectueze simulări de criză prudențiale cu privire la instituțiile pe care le supraveghează, după caz, dar cel puțin o dată pe an. În plus, ABE a emis orientări pentru a se asigura că autoritățile utilizează o metodologie comună atunci când efectuează simulări de criză prudențiale anuale.</w:t>
      </w:r>
    </w:p>
    <w:p w14:paraId="3A7B2570" w14:textId="4821AF1F" w:rsidR="00DE30F5" w:rsidRPr="000752DF" w:rsidRDefault="00622C52" w:rsidP="00814022">
      <w:pPr>
        <w:jc w:val="both"/>
        <w:rPr>
          <w:rFonts w:ascii="Times New Roman" w:hAnsi="Times New Roman" w:cs="Times New Roman"/>
          <w:noProof/>
        </w:rPr>
      </w:pPr>
      <w:r>
        <w:rPr>
          <w:rFonts w:ascii="Times New Roman" w:hAnsi="Times New Roman"/>
          <w:noProof/>
        </w:rPr>
        <w:t>În cadrul uniunii bancare, BCE efectuează periodic simulări de criză, analize ale scenariilor și alte simulări pentru a contribui la procesul de supraveghere și evaluare. BCE efectuează, de asemenea, revizuiri specifice ale rezilienței cibernetice și ale angajamentelor de externalizare.</w:t>
      </w:r>
    </w:p>
    <w:p w14:paraId="343DBEA5" w14:textId="57CF86B7" w:rsidR="00812988" w:rsidRPr="000752DF" w:rsidRDefault="006F60C9" w:rsidP="006F60C9">
      <w:pPr>
        <w:jc w:val="both"/>
        <w:rPr>
          <w:rFonts w:ascii="Times New Roman" w:hAnsi="Times New Roman" w:cs="Times New Roman"/>
          <w:noProof/>
        </w:rPr>
      </w:pPr>
      <w:r>
        <w:rPr>
          <w:rFonts w:ascii="Times New Roman" w:hAnsi="Times New Roman"/>
          <w:noProof/>
        </w:rPr>
        <w:t xml:space="preserve">În </w:t>
      </w:r>
      <w:r>
        <w:rPr>
          <w:rFonts w:ascii="Times New Roman" w:hAnsi="Times New Roman"/>
          <w:b/>
          <w:noProof/>
        </w:rPr>
        <w:t>sectorul asigurărilor și fondurilor de pensii ocupaționale</w:t>
      </w:r>
      <w:r>
        <w:rPr>
          <w:rFonts w:ascii="Times New Roman" w:hAnsi="Times New Roman"/>
          <w:noProof/>
        </w:rPr>
        <w:t>, EIOPA efectuează periodic simulări de criză la nivelul UE pentru întreprinderile de asigurare și de reasigurare și pentru fondurile de pensii ocupaționale (IORP)</w:t>
      </w:r>
      <w:r>
        <w:rPr>
          <w:rStyle w:val="FootnoteReference"/>
          <w:rFonts w:ascii="Times New Roman" w:hAnsi="Times New Roman" w:cs="Times New Roman"/>
          <w:noProof/>
        </w:rPr>
        <w:footnoteReference w:id="20"/>
      </w:r>
      <w:r>
        <w:rPr>
          <w:rFonts w:ascii="Times New Roman" w:hAnsi="Times New Roman"/>
          <w:noProof/>
        </w:rPr>
        <w:t>, o dată la trei ani, incluzând și o componentă de risc cibernetic și risc climatic.</w:t>
      </w:r>
    </w:p>
    <w:p w14:paraId="31BFF96B" w14:textId="4AA923C8" w:rsidR="006F60C9" w:rsidRPr="000752DF" w:rsidRDefault="00056CBA" w:rsidP="006F60C9">
      <w:pPr>
        <w:jc w:val="both"/>
        <w:rPr>
          <w:rFonts w:ascii="Times New Roman" w:hAnsi="Times New Roman" w:cs="Times New Roman"/>
          <w:noProof/>
        </w:rPr>
      </w:pPr>
      <w:r>
        <w:rPr>
          <w:rFonts w:ascii="Times New Roman" w:hAnsi="Times New Roman"/>
          <w:noProof/>
        </w:rPr>
        <w:t>Autoritatea Europeană pentru Valori Mobiliare și Piețe (ESMA) efectuează periodic simulări de criză la nivelul UE cu privire la reziliența contrapărților centrale, în cadrul evaluărilor efectuate în conformitate cu articolul 32 din Regulamentul ESMA și cu articolul 24a din EMIR. Deși aceste simulări se axează pe reziliența contrapărților centrale pentru a face față evoluțiilor nefavorabile ale pieței, ESMA include și alte tipuri de riscuri exogene.</w:t>
      </w:r>
    </w:p>
    <w:p w14:paraId="11201E05" w14:textId="55CE9F4C" w:rsidR="00814022" w:rsidRPr="000752DF" w:rsidRDefault="00814022" w:rsidP="00814022">
      <w:pPr>
        <w:jc w:val="both"/>
        <w:rPr>
          <w:rFonts w:ascii="Times New Roman" w:hAnsi="Times New Roman" w:cs="Times New Roman"/>
          <w:noProof/>
        </w:rPr>
      </w:pPr>
      <w:r>
        <w:rPr>
          <w:rFonts w:ascii="Times New Roman" w:hAnsi="Times New Roman"/>
          <w:noProof/>
        </w:rPr>
        <w:t>Comitetul european pentru risc sistemic (CERS) elaborează scenarii nefavorabile pentru simulările de criză efectuate de ABE (bănci), EIOPA (asigurări, fonduri de pensii) și ESMA (CPC-uri).</w:t>
      </w:r>
    </w:p>
    <w:p w14:paraId="70DF61E7" w14:textId="09A13673" w:rsidR="00637798" w:rsidRDefault="00637798" w:rsidP="009417C9">
      <w:pPr>
        <w:jc w:val="both"/>
        <w:rPr>
          <w:rFonts w:ascii="Times New Roman" w:hAnsi="Times New Roman" w:cs="Times New Roman"/>
          <w:noProof/>
        </w:rPr>
      </w:pPr>
      <w:r>
        <w:rPr>
          <w:rFonts w:ascii="Times New Roman" w:hAnsi="Times New Roman"/>
          <w:noProof/>
        </w:rPr>
        <w:t xml:space="preserve">Directiva 2014/49/UE privind schemele de garantare a depozitelor (SGD) impune statelor membre să își îndeplinească sarcinile care le revin în temeiul directivei. Rezultatele acestor simulări sunt apoi utilizate de ABE pentru a efectua evaluări </w:t>
      </w:r>
      <w:r>
        <w:rPr>
          <w:rFonts w:ascii="Times New Roman" w:hAnsi="Times New Roman"/>
          <w:i/>
          <w:noProof/>
        </w:rPr>
        <w:t>inter pares</w:t>
      </w:r>
      <w:r>
        <w:rPr>
          <w:rFonts w:ascii="Times New Roman" w:hAnsi="Times New Roman"/>
          <w:noProof/>
        </w:rPr>
        <w:t xml:space="preserve"> în vederea analizării rezilienței SGD. </w:t>
      </w:r>
    </w:p>
    <w:p w14:paraId="6869D33C" w14:textId="77777777" w:rsidR="00BB16FA" w:rsidRPr="000752DF" w:rsidRDefault="00BB16FA" w:rsidP="009417C9">
      <w:pPr>
        <w:jc w:val="both"/>
        <w:rPr>
          <w:rFonts w:ascii="Times New Roman" w:hAnsi="Times New Roman" w:cs="Times New Roman"/>
          <w:noProof/>
        </w:rPr>
      </w:pPr>
    </w:p>
    <w:p w14:paraId="155235BB" w14:textId="3664B5A4" w:rsidR="4B5F92AE" w:rsidRPr="000752DF" w:rsidRDefault="001C1343" w:rsidP="00E43EDE">
      <w:pPr>
        <w:pStyle w:val="ListParagraph"/>
        <w:numPr>
          <w:ilvl w:val="0"/>
          <w:numId w:val="5"/>
        </w:numPr>
        <w:rPr>
          <w:rFonts w:ascii="Times New Roman" w:hAnsi="Times New Roman" w:cs="Times New Roman"/>
          <w:b/>
          <w:bCs/>
          <w:noProof/>
        </w:rPr>
      </w:pPr>
      <w:r>
        <w:rPr>
          <w:rFonts w:ascii="Times New Roman" w:hAnsi="Times New Roman"/>
          <w:b/>
          <w:noProof/>
        </w:rPr>
        <w:t>Perspective</w:t>
      </w:r>
    </w:p>
    <w:p w14:paraId="4C999E2D" w14:textId="16A369B7" w:rsidR="00B071A6" w:rsidRPr="000752DF" w:rsidRDefault="00B97627" w:rsidP="00FF2CFE">
      <w:pPr>
        <w:jc w:val="both"/>
        <w:rPr>
          <w:rFonts w:ascii="Times New Roman" w:hAnsi="Times New Roman" w:cs="Times New Roman"/>
          <w:noProof/>
        </w:rPr>
      </w:pPr>
      <w:r>
        <w:rPr>
          <w:rFonts w:ascii="Times New Roman" w:hAnsi="Times New Roman"/>
          <w:noProof/>
        </w:rPr>
        <w:t>Sectorul financiar al UE este susținut de un cadru de pregătire solid și multidimensional. Cadrul este alcătuit din legislație sectorială specifică, legislație transversală și mecanisme de cooperare între sectoare și între statele membre. Pregătirea sectorului financiar al UE are, de asemenea, o dimensiune externă, prin care UE își consolidează nu numai stabilitatea financiară, ci și rolul de sector financiar fiabil și credibil la nivel mondial.</w:t>
      </w:r>
    </w:p>
    <w:p w14:paraId="4237686A" w14:textId="604102F2" w:rsidR="00BB6889" w:rsidRPr="000752DF" w:rsidRDefault="00B071A6" w:rsidP="00FF2CFE">
      <w:pPr>
        <w:jc w:val="both"/>
        <w:rPr>
          <w:rFonts w:ascii="Times New Roman" w:hAnsi="Times New Roman" w:cs="Times New Roman"/>
          <w:noProof/>
        </w:rPr>
      </w:pPr>
      <w:r>
        <w:rPr>
          <w:rFonts w:ascii="Times New Roman" w:hAnsi="Times New Roman"/>
          <w:noProof/>
        </w:rPr>
        <w:t>Sectorul financiar al UE și-a dovedit reziliența în timpul crizelor anterioare. Acesta și-a dovedit capacitatea de a face față furtunilor provocate de pandemia de COVID-19, de agresiunea Rusiei împotriva Ucrainei, de crizele financiare din alte jurisdicții, de atacurile cibernetice și de multe alte episoade de criză.</w:t>
      </w:r>
    </w:p>
    <w:p w14:paraId="3EFB6700" w14:textId="148C17C9" w:rsidR="0059311E" w:rsidRPr="000752DF" w:rsidRDefault="006A10D5" w:rsidP="00903F3D">
      <w:pPr>
        <w:jc w:val="both"/>
        <w:rPr>
          <w:rFonts w:ascii="Times New Roman" w:hAnsi="Times New Roman" w:cs="Times New Roman"/>
          <w:noProof/>
        </w:rPr>
      </w:pPr>
      <w:r>
        <w:rPr>
          <w:rFonts w:ascii="Times New Roman" w:hAnsi="Times New Roman"/>
          <w:noProof/>
        </w:rPr>
        <w:t>Totuși, având în vedere amenințările fără precedent și mediul geopolitic mai incert cu care se confruntă UE, este important să se evalueze în permanență nivelul de pregătire al sectorului financiar al UE. UE continuă această activitate și poate iniția ajustări necesare pentru a asigura acțiuni preventive și reactive rapide, concertate și proporționale, atât la nivelul UE, cât și la nivelul statelor membre, în vederea menținerii unei evoluții constante și a funcțiilor vitale ale sectorului financiar al UE. În viitor, se preconizează că dezvoltarea uniunii economiilor și a investițiilor și introducerea monedei euro digitale vor îmbunătăți reziliența generală a sectorului financiar al UE și vor îmbunătăți în continuare nivelul său de pregătire.</w:t>
      </w:r>
    </w:p>
    <w:sectPr w:rsidR="0059311E" w:rsidRPr="000752DF" w:rsidSect="0024263F">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C8B5B" w14:textId="77777777" w:rsidR="00500996" w:rsidRPr="000752DF" w:rsidRDefault="00500996" w:rsidP="00E8563C">
      <w:pPr>
        <w:spacing w:after="0" w:line="240" w:lineRule="auto"/>
      </w:pPr>
      <w:r>
        <w:separator/>
      </w:r>
    </w:p>
  </w:endnote>
  <w:endnote w:type="continuationSeparator" w:id="0">
    <w:p w14:paraId="222AD143" w14:textId="77777777" w:rsidR="00500996" w:rsidRPr="000752DF" w:rsidRDefault="00500996" w:rsidP="00E8563C">
      <w:pPr>
        <w:spacing w:after="0" w:line="240" w:lineRule="auto"/>
      </w:pPr>
      <w:r>
        <w:continuationSeparator/>
      </w:r>
    </w:p>
  </w:endnote>
  <w:endnote w:type="continuationNotice" w:id="1">
    <w:p w14:paraId="337BADAC" w14:textId="77777777" w:rsidR="00500996" w:rsidRPr="000752DF" w:rsidRDefault="00500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Display">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321E7" w14:textId="18629296" w:rsidR="00052BDA" w:rsidRPr="00052BDA" w:rsidRDefault="00052BDA" w:rsidP="00052BDA">
    <w:pPr>
      <w:pStyle w:val="FooterCoverPage"/>
      <w:rPr>
        <w:rFonts w:ascii="Arial" w:hAnsi="Arial" w:cs="Arial" w:hint="eastAsia"/>
        <w:b/>
        <w:sz w:val="48"/>
      </w:rPr>
    </w:pPr>
    <w:r w:rsidRPr="00052BDA">
      <w:rPr>
        <w:rFonts w:ascii="Arial" w:hAnsi="Arial" w:cs="Arial"/>
        <w:b/>
        <w:sz w:val="48"/>
      </w:rPr>
      <w:t>RO</w:t>
    </w:r>
    <w:r w:rsidRPr="00052BDA">
      <w:rPr>
        <w:rFonts w:ascii="Arial" w:hAnsi="Arial" w:cs="Arial"/>
        <w:b/>
        <w:sz w:val="48"/>
      </w:rPr>
      <w:tab/>
    </w:r>
    <w:r w:rsidRPr="00052BDA">
      <w:rPr>
        <w:rFonts w:ascii="Arial" w:hAnsi="Arial" w:cs="Arial"/>
        <w:b/>
        <w:sz w:val="48"/>
      </w:rPr>
      <w:tab/>
    </w:r>
    <w:r w:rsidRPr="00052BDA">
      <w:tab/>
    </w:r>
    <w:r w:rsidRPr="00052BD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1EF8" w14:textId="3D28D3BF" w:rsidR="00052BDA" w:rsidRPr="00052BDA" w:rsidRDefault="00052BDA" w:rsidP="00052BDA">
    <w:pPr>
      <w:pStyle w:val="FooterCoverPage"/>
      <w:rPr>
        <w:rFonts w:ascii="Arial" w:hAnsi="Arial" w:cs="Arial" w:hint="eastAsia"/>
        <w:b/>
        <w:sz w:val="48"/>
      </w:rPr>
    </w:pPr>
    <w:r w:rsidRPr="00052BDA">
      <w:rPr>
        <w:rFonts w:ascii="Arial" w:hAnsi="Arial" w:cs="Arial"/>
        <w:b/>
        <w:sz w:val="48"/>
      </w:rPr>
      <w:t>RO</w:t>
    </w:r>
    <w:r w:rsidRPr="00052BDA">
      <w:rPr>
        <w:rFonts w:ascii="Arial" w:hAnsi="Arial" w:cs="Arial"/>
        <w:b/>
        <w:sz w:val="48"/>
      </w:rPr>
      <w:tab/>
    </w:r>
    <w:r w:rsidRPr="00052BDA">
      <w:rPr>
        <w:rFonts w:ascii="Arial" w:hAnsi="Arial" w:cs="Arial"/>
        <w:b/>
        <w:sz w:val="48"/>
      </w:rPr>
      <w:tab/>
    </w:r>
    <w:r w:rsidRPr="00052BDA">
      <w:tab/>
    </w:r>
    <w:r w:rsidRPr="00052BD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712F8" w14:textId="77777777" w:rsidR="00052BDA" w:rsidRPr="00052BDA" w:rsidRDefault="00052BDA" w:rsidP="00052BDA">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EA9E9" w14:textId="77777777" w:rsidR="009902EB" w:rsidRPr="000752DF" w:rsidRDefault="009902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1647893"/>
      <w:docPartObj>
        <w:docPartGallery w:val="Page Numbers (Bottom of Page)"/>
        <w:docPartUnique/>
      </w:docPartObj>
    </w:sdtPr>
    <w:sdtEndPr/>
    <w:sdtContent>
      <w:p w14:paraId="0CAD87F4" w14:textId="545294DC" w:rsidR="009902EB" w:rsidRPr="000752DF" w:rsidRDefault="009902EB">
        <w:pPr>
          <w:pStyle w:val="Footer"/>
          <w:jc w:val="center"/>
        </w:pPr>
        <w:r>
          <w:fldChar w:fldCharType="begin"/>
        </w:r>
        <w:r>
          <w:instrText xml:space="preserve"> PAGE   \* MERGEFORMAT </w:instrText>
        </w:r>
        <w:r>
          <w:fldChar w:fldCharType="separate"/>
        </w:r>
        <w:r w:rsidR="00052BDA">
          <w:rPr>
            <w:rFonts w:hint="eastAsia"/>
            <w:noProof/>
          </w:rPr>
          <w:t>1</w:t>
        </w:r>
        <w:r>
          <w:fldChar w:fldCharType="end"/>
        </w:r>
      </w:p>
    </w:sdtContent>
  </w:sdt>
  <w:p w14:paraId="7845654B" w14:textId="77777777" w:rsidR="009902EB" w:rsidRPr="000752DF" w:rsidRDefault="009902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6007C" w14:textId="77777777" w:rsidR="009902EB" w:rsidRPr="000752DF" w:rsidRDefault="00990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F7BB1" w14:textId="77777777" w:rsidR="00500996" w:rsidRPr="000752DF" w:rsidRDefault="00500996" w:rsidP="00E8563C">
      <w:pPr>
        <w:spacing w:after="0" w:line="240" w:lineRule="auto"/>
      </w:pPr>
      <w:r>
        <w:separator/>
      </w:r>
    </w:p>
  </w:footnote>
  <w:footnote w:type="continuationSeparator" w:id="0">
    <w:p w14:paraId="09ECFAAE" w14:textId="77777777" w:rsidR="00500996" w:rsidRPr="000752DF" w:rsidRDefault="00500996" w:rsidP="00E8563C">
      <w:pPr>
        <w:spacing w:after="0" w:line="240" w:lineRule="auto"/>
      </w:pPr>
      <w:r>
        <w:continuationSeparator/>
      </w:r>
    </w:p>
  </w:footnote>
  <w:footnote w:type="continuationNotice" w:id="1">
    <w:p w14:paraId="7E9CB11B" w14:textId="77777777" w:rsidR="00500996" w:rsidRPr="000752DF" w:rsidRDefault="00500996">
      <w:pPr>
        <w:spacing w:after="0" w:line="240" w:lineRule="auto"/>
      </w:pPr>
    </w:p>
  </w:footnote>
  <w:footnote w:id="2">
    <w:p w14:paraId="49BCD332" w14:textId="589EF279" w:rsidR="00E8563C" w:rsidRPr="000752DF" w:rsidRDefault="00E8563C" w:rsidP="009417C9">
      <w:pPr>
        <w:pStyle w:val="FootnoteText"/>
      </w:pPr>
      <w:r>
        <w:rPr>
          <w:rStyle w:val="FootnoteReference"/>
        </w:rPr>
        <w:footnoteRef/>
      </w:r>
      <w:r>
        <w:tab/>
        <w:t xml:space="preserve">Comisia și SEAE au publicat o </w:t>
      </w:r>
      <w:hyperlink r:id="rId1" w:history="1">
        <w:r>
          <w:rPr>
            <w:rStyle w:val="Hyperlink"/>
          </w:rPr>
          <w:t>Comunicare comună</w:t>
        </w:r>
      </w:hyperlink>
      <w:r>
        <w:t xml:space="preserve"> referitoare la </w:t>
      </w:r>
      <w:hyperlink r:id="rId2" w:history="1">
        <w:r>
          <w:rPr>
            <w:rStyle w:val="Hyperlink"/>
          </w:rPr>
          <w:t>Strategia privind o Uniune a pregătirii</w:t>
        </w:r>
      </w:hyperlink>
      <w:r>
        <w:t>.</w:t>
      </w:r>
    </w:p>
  </w:footnote>
  <w:footnote w:id="3">
    <w:p w14:paraId="0C9B78CD" w14:textId="37278463" w:rsidR="005D571F" w:rsidRDefault="005D571F">
      <w:pPr>
        <w:pStyle w:val="FootnoteText"/>
      </w:pPr>
      <w:r>
        <w:rPr>
          <w:rStyle w:val="FootnoteReference"/>
        </w:rPr>
        <w:footnoteRef/>
      </w:r>
      <w:r>
        <w:tab/>
        <w:t>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(CRD);</w:t>
      </w:r>
    </w:p>
    <w:p w14:paraId="6546DD7D" w14:textId="5057AC4F" w:rsidR="00B111AB" w:rsidRPr="005D571F" w:rsidRDefault="00B111AB">
      <w:pPr>
        <w:pStyle w:val="FootnoteText"/>
      </w:pPr>
      <w:r>
        <w:tab/>
        <w:t>Regulamentul nr. 575/2013 al Parlamentului European și al Consiliului din 26 iunie 2013 privind cerințele prudențiale pentru instituțiile de credit și de modificare a Regulamentului (UE) nr. 648/2012 (CRR).</w:t>
      </w:r>
    </w:p>
  </w:footnote>
  <w:footnote w:id="4">
    <w:p w14:paraId="1334EA2A" w14:textId="020EA382" w:rsidR="00937897" w:rsidRPr="00937897" w:rsidRDefault="00937897">
      <w:pPr>
        <w:pStyle w:val="FootnoteText"/>
      </w:pPr>
      <w:r>
        <w:rPr>
          <w:rStyle w:val="FootnoteReference"/>
        </w:rPr>
        <w:footnoteRef/>
      </w:r>
      <w:r>
        <w:tab/>
        <w:t>Text consolidat: Directiva 2009/138/CE a Parlamentului European și a Consiliului din 25 noiembrie 2009 privind accesul la activitate și desfășurarea activității de asigurare și de reasigurare (Solvabilitate II).</w:t>
      </w:r>
    </w:p>
  </w:footnote>
  <w:footnote w:id="5">
    <w:p w14:paraId="3693ED11" w14:textId="06A36807" w:rsidR="00937897" w:rsidRPr="00937897" w:rsidRDefault="00937897">
      <w:pPr>
        <w:pStyle w:val="FootnoteText"/>
      </w:pPr>
      <w:r>
        <w:rPr>
          <w:rStyle w:val="FootnoteReference"/>
        </w:rPr>
        <w:footnoteRef/>
      </w:r>
      <w:r>
        <w:tab/>
        <w:t>Directiva 2014/65/UE a Parlamentului European și a Consiliului din 15 mai 2014 privind piețele instrumentelor financiare și de modificare a Directivei 2002/92/CE și a Directivei 2011/61/UE (MiFID II).</w:t>
      </w:r>
    </w:p>
  </w:footnote>
  <w:footnote w:id="6">
    <w:p w14:paraId="3350379F" w14:textId="45DA980E" w:rsidR="00F240BE" w:rsidRPr="00F240BE" w:rsidRDefault="00F240BE">
      <w:pPr>
        <w:pStyle w:val="FootnoteText"/>
      </w:pPr>
      <w:r>
        <w:rPr>
          <w:rStyle w:val="FootnoteReference"/>
        </w:rPr>
        <w:footnoteRef/>
      </w:r>
      <w:r>
        <w:tab/>
        <w:t>Regulamentul (UE) nr. 648/2012 al Parlamentului European și al Consiliului din 4 iulie 2012 privind instrumentele financiare derivate extrabursiere, contrapărțile centrale și registrele centrale de tranzacții (EMIR).</w:t>
      </w:r>
    </w:p>
  </w:footnote>
  <w:footnote w:id="7">
    <w:p w14:paraId="1DCECA31" w14:textId="6E0834CE" w:rsidR="00515E30" w:rsidRPr="00515E30" w:rsidRDefault="00515E30">
      <w:pPr>
        <w:pStyle w:val="FootnoteText"/>
      </w:pPr>
      <w:r>
        <w:rPr>
          <w:rStyle w:val="FootnoteReference"/>
        </w:rPr>
        <w:footnoteRef/>
      </w:r>
      <w:r>
        <w:tab/>
        <w:t>Regulamentul (UE) nr. 909/2014 al Parlamentului European și al Consiliului din 23 iulie 2014 privind îmbunătățirea decontării titlurilor de valoare în Uniunea Europeană și privind depozitarii centrali de titluri de valoare și de modificare a Directivelor 98/26/CE și 2014/65/UE și a Regulamentului (UE) nr. 236/2012.</w:t>
      </w:r>
    </w:p>
  </w:footnote>
  <w:footnote w:id="8">
    <w:p w14:paraId="49DB2043" w14:textId="4BDEAAB0" w:rsidR="00F50221" w:rsidRPr="00F50221" w:rsidRDefault="00F50221">
      <w:pPr>
        <w:pStyle w:val="FootnoteText"/>
      </w:pPr>
      <w:r>
        <w:rPr>
          <w:rStyle w:val="FootnoteReference"/>
        </w:rPr>
        <w:footnoteRef/>
      </w:r>
      <w:r>
        <w:tab/>
        <w:t>Directiva 2014/59/UE a Parlamentului European și a Consiliului din 15 mai 2014 de instituire a unui cadru pentru redresarea și rezoluția instituțiilor de credit și a firmelor de investiții și de modificare a Directivei 82/891/CEE a Consiliului și a Directivelor 2001/24/CE, 2002/47/CE, 2004/25/CE, 2005/56/CE, 2007/36/CE, 2011/35/UE, 2012/30/UE și 2013/36/UE ale Parlamentului European și ale Consiliului, precum și a Regulamentelor (UE) nr. 1093/2010 și (UE) nr. 648/2012 ale Parlamentului European și ale Consiliului (BRRD).</w:t>
      </w:r>
    </w:p>
  </w:footnote>
  <w:footnote w:id="9">
    <w:p w14:paraId="364F1915" w14:textId="3846F27C" w:rsidR="006570E2" w:rsidRPr="006570E2" w:rsidRDefault="006570E2">
      <w:pPr>
        <w:pStyle w:val="FootnoteText"/>
      </w:pPr>
      <w:r>
        <w:rPr>
          <w:rStyle w:val="FootnoteReference"/>
        </w:rPr>
        <w:footnoteRef/>
      </w:r>
      <w:r>
        <w:tab/>
        <w:t>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 (SRMR).</w:t>
      </w:r>
    </w:p>
  </w:footnote>
  <w:footnote w:id="10">
    <w:p w14:paraId="7FC40201" w14:textId="14D16301" w:rsidR="00D01429" w:rsidRPr="00D01429" w:rsidRDefault="00D01429">
      <w:pPr>
        <w:pStyle w:val="FootnoteText"/>
      </w:pPr>
      <w:r>
        <w:rPr>
          <w:rStyle w:val="FootnoteReference"/>
        </w:rPr>
        <w:footnoteRef/>
      </w:r>
      <w:r>
        <w:tab/>
        <w:t>Directiva 2014/49/UE a Parlamentului European și a Consiliului din 16 aprilie 2014 privind schemele de garantare a depozitelor (DGSD).</w:t>
      </w:r>
    </w:p>
  </w:footnote>
  <w:footnote w:id="11">
    <w:p w14:paraId="067CC145" w14:textId="7AA1D53D" w:rsidR="00147CA9" w:rsidRPr="00147CA9" w:rsidRDefault="00147CA9">
      <w:pPr>
        <w:pStyle w:val="FootnoteText"/>
      </w:pPr>
      <w:r>
        <w:rPr>
          <w:rStyle w:val="FootnoteReference"/>
        </w:rPr>
        <w:footnoteRef/>
      </w:r>
      <w:r>
        <w:tab/>
        <w:t>Cadrul european pentru identitatea digitală stabilește un ecosistem sigur și de încredere pentru identificarea și autentificarea digitală și pentru utilizarea probelor digitale, care va fi disponibil pentru toți cetățenii UE până la sfârșitul anului 2026. Portofelele europene pentru identitatea digitală vor aduce beneficii directe rezilienței și pregătirii sectorului financiar al UE împotriva crizelor, protejând împotriva fraudei și a furtului de identitate în ceea ce privește plățile, integrarea clienților și alte servicii financiare.</w:t>
      </w:r>
    </w:p>
  </w:footnote>
  <w:footnote w:id="12">
    <w:p w14:paraId="50E4FF14" w14:textId="615AB901" w:rsidR="00035490" w:rsidRPr="00035490" w:rsidRDefault="00035490" w:rsidP="00CC5A8B">
      <w:pPr>
        <w:pStyle w:val="FootnoteText"/>
      </w:pPr>
      <w:r>
        <w:rPr>
          <w:rStyle w:val="FootnoteReference"/>
        </w:rPr>
        <w:footnoteRef/>
      </w:r>
      <w:r>
        <w:tab/>
        <w:t>Cele trei AES sunt Autoritatea Bancară Europeană (ABE), Autoritatea Europeană de Asigurări și Pensii Ocupaționale (EIOPA) și Autoritatea Europeană pentru Valori Mobiliare și Piețe (ESMA).</w:t>
      </w:r>
    </w:p>
  </w:footnote>
  <w:footnote w:id="13">
    <w:p w14:paraId="42F1CB38" w14:textId="001C8659" w:rsidR="00DD1FAE" w:rsidRPr="000752DF" w:rsidRDefault="00DD1FAE" w:rsidP="00DD1FAE">
      <w:pPr>
        <w:pStyle w:val="FootnoteText"/>
        <w:ind w:left="426" w:hanging="426"/>
        <w:rPr>
          <w:rFonts w:asciiTheme="majorHAnsi" w:hAnsiTheme="majorHAnsi"/>
        </w:rPr>
      </w:pPr>
      <w:r>
        <w:rPr>
          <w:rStyle w:val="FootnoteReference"/>
        </w:rPr>
        <w:footnoteRef/>
      </w:r>
      <w:r>
        <w:tab/>
        <w:t>Directiva (UE) 2022/2557 a Parlamentului European și a Consiliului din 14 decembrie 2022 privind reziliența entităților critice și de abrogare a Directivei 2008/114/CE a Consiliului. Articolul 5 alineatul (5) din directivă prevede elaborarea de către Comisie, în cooperare cu statele membre, a unui model comun de raportare voluntar care să poată fi utilizat pentru asigurarea conformității cu articolul 5 alineatul (4) din directivă.</w:t>
      </w:r>
    </w:p>
  </w:footnote>
  <w:footnote w:id="14">
    <w:p w14:paraId="68F82761" w14:textId="259A9789" w:rsidR="007517BE" w:rsidRPr="00412B67" w:rsidRDefault="007517BE" w:rsidP="007517BE">
      <w:pPr>
        <w:pStyle w:val="FootnoteText"/>
      </w:pPr>
      <w:r>
        <w:rPr>
          <w:rStyle w:val="FootnoteReference"/>
        </w:rPr>
        <w:footnoteRef/>
      </w:r>
      <w:r>
        <w:tab/>
        <w:t>C(2023)6068.</w:t>
      </w:r>
    </w:p>
  </w:footnote>
  <w:footnote w:id="15">
    <w:p w14:paraId="7526641F" w14:textId="4CD1BF09" w:rsidR="00444918" w:rsidRPr="000752DF" w:rsidRDefault="00444918" w:rsidP="00444918">
      <w:pPr>
        <w:pStyle w:val="FootnoteText"/>
        <w:ind w:left="426" w:hanging="426"/>
      </w:pPr>
      <w:r>
        <w:rPr>
          <w:rStyle w:val="FootnoteReference"/>
        </w:rPr>
        <w:footnoteRef/>
      </w:r>
      <w:r>
        <w:tab/>
        <w:t>De asemenea, EU-SCICF pune în aplicare articolul 49 din DORA cu scopul de a consolida coordonarea cu alte cadre ale UE de gestionare a crizelor.</w:t>
      </w:r>
    </w:p>
  </w:footnote>
  <w:footnote w:id="16">
    <w:p w14:paraId="0DABC37F" w14:textId="2451C559" w:rsidR="00DB55D2" w:rsidRPr="00F40BF7" w:rsidRDefault="00DB55D2" w:rsidP="00D060A5">
      <w:pPr>
        <w:pStyle w:val="FootnoteText"/>
        <w:ind w:left="426" w:hanging="426"/>
      </w:pPr>
      <w:r>
        <w:rPr>
          <w:rStyle w:val="FootnoteReference"/>
        </w:rPr>
        <w:footnoteRef/>
      </w:r>
      <w:r>
        <w:tab/>
        <w:t xml:space="preserve">Recomandarea Consiliului din 6 iunie 2025 privind un Plan de acțiune al UE pentru gestionarea crizelor cibernetice, </w:t>
      </w:r>
      <w:r>
        <w:rPr>
          <w:i/>
        </w:rPr>
        <w:t xml:space="preserve">JO C, C/2025/3445, 20.6.2025, </w:t>
      </w:r>
      <w:hyperlink r:id="rId3" w:tooltip="Oferă acces la prezentul document prin intermediul identificatorului său uniform de resurse ELI." w:history="1">
        <w:r>
          <w:rPr>
            <w:rStyle w:val="Hyperlink"/>
            <w:i/>
          </w:rPr>
          <w:t>http://data.europa.eu/eli/C/2025/3445/oj</w:t>
        </w:r>
      </w:hyperlink>
      <w:r>
        <w:t>.</w:t>
      </w:r>
    </w:p>
  </w:footnote>
  <w:footnote w:id="17">
    <w:p w14:paraId="4A7D3C5D" w14:textId="0D19D2F5" w:rsidR="004E375D" w:rsidRPr="000752DF" w:rsidRDefault="004E375D" w:rsidP="009417C9">
      <w:pPr>
        <w:pStyle w:val="FootnoteText"/>
        <w:ind w:left="426" w:hanging="426"/>
      </w:pPr>
      <w:r>
        <w:rPr>
          <w:rStyle w:val="FootnoteReference"/>
        </w:rPr>
        <w:footnoteRef/>
      </w:r>
      <w:r>
        <w:tab/>
        <w:t>Strategia UE privind o Uniune a pregătirii recunoaște importanța unor astfel de parteneriate. Acțiunile-cheie 36 și 37 vizează instituirea unui grup operativ public-privat în materie de pregătire și elaborarea de protocoale public-privat pentru situații de urgență în toate sectoarele.</w:t>
      </w:r>
    </w:p>
  </w:footnote>
  <w:footnote w:id="18">
    <w:p w14:paraId="5BF4F583" w14:textId="32BEA7BE" w:rsidR="00C7534D" w:rsidRPr="00AC4267" w:rsidRDefault="00C7534D">
      <w:pPr>
        <w:pStyle w:val="FootnoteText"/>
      </w:pPr>
      <w:r>
        <w:rPr>
          <w:rStyle w:val="FootnoteReference"/>
        </w:rPr>
        <w:footnoteRef/>
      </w:r>
      <w:r>
        <w:tab/>
        <w:t>Ca parte a activității sale pentru îndeplinirea obligației impuse de acțiunea 25 din anexa la Comunicarea comună referitoare la Strategia privind o Uniune a pregătirii, Comisia s-a bazat, de asemenea, pe discuțiile permanente cu statele membre cu privire la sistemele de pregătire.</w:t>
      </w:r>
    </w:p>
  </w:footnote>
  <w:footnote w:id="19">
    <w:p w14:paraId="2D452213" w14:textId="45839F33" w:rsidR="009132C4" w:rsidRPr="000752DF" w:rsidRDefault="009132C4" w:rsidP="00A34F30">
      <w:pPr>
        <w:pStyle w:val="FootnoteText"/>
      </w:pPr>
      <w:r>
        <w:rPr>
          <w:rStyle w:val="FootnoteReference"/>
        </w:rPr>
        <w:footnoteRef/>
      </w:r>
      <w:r>
        <w:tab/>
        <w:t>Recomandare a Consiliului din 8 decembrie 2022 privind o abordare coordonată la nivelul Uniunii în vederea consolidării rezilienței infrastructurii critice (2023/C 20/01).</w:t>
      </w:r>
    </w:p>
  </w:footnote>
  <w:footnote w:id="20">
    <w:p w14:paraId="703BF65F" w14:textId="5C607750" w:rsidR="000532CF" w:rsidRPr="000752DF" w:rsidRDefault="000532CF" w:rsidP="004D3A04">
      <w:pPr>
        <w:pStyle w:val="FootnoteText"/>
      </w:pPr>
      <w:r>
        <w:rPr>
          <w:rStyle w:val="FootnoteReference"/>
        </w:rPr>
        <w:footnoteRef/>
      </w:r>
      <w:r>
        <w:tab/>
        <w:t>În mai multe state membre, fondurile de pensii ocupaționale nu intră în domeniul de aplicare al Directivei IORP II și, prin urmare, nu sunt reglementate de normele UE. Astfel de fonduri de pensii nu fac obiectul exercițiilor EIOPA de simulare de criză.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7898C" w14:textId="77777777" w:rsidR="00052BDA" w:rsidRPr="00052BDA" w:rsidRDefault="00052BDA" w:rsidP="00052BDA">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FC6B1" w14:textId="77777777" w:rsidR="00052BDA" w:rsidRPr="00052BDA" w:rsidRDefault="00052BDA" w:rsidP="00052BDA">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F51C9" w14:textId="77777777" w:rsidR="00052BDA" w:rsidRPr="00052BDA" w:rsidRDefault="00052BDA" w:rsidP="00052BDA">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85F05" w14:textId="77777777" w:rsidR="009902EB" w:rsidRPr="000752DF" w:rsidRDefault="009902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5764B" w14:textId="77777777" w:rsidR="009902EB" w:rsidRPr="000752DF" w:rsidRDefault="009902E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1FA58" w14:textId="77777777" w:rsidR="009902EB" w:rsidRPr="000752DF" w:rsidRDefault="00990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7B41"/>
    <w:multiLevelType w:val="hybridMultilevel"/>
    <w:tmpl w:val="6D42F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35346"/>
    <w:multiLevelType w:val="multilevel"/>
    <w:tmpl w:val="BF3A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C5613"/>
    <w:multiLevelType w:val="multilevel"/>
    <w:tmpl w:val="E0CA3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332D43"/>
    <w:multiLevelType w:val="hybridMultilevel"/>
    <w:tmpl w:val="17AC8594"/>
    <w:lvl w:ilvl="0" w:tplc="02F824CC">
      <w:start w:val="3"/>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AC0D74"/>
    <w:multiLevelType w:val="multilevel"/>
    <w:tmpl w:val="79C4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C07E63"/>
    <w:multiLevelType w:val="hybridMultilevel"/>
    <w:tmpl w:val="BD087BF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0CEAEB"/>
    <w:multiLevelType w:val="hybridMultilevel"/>
    <w:tmpl w:val="957653D2"/>
    <w:lvl w:ilvl="0" w:tplc="299A7604">
      <w:start w:val="1"/>
      <w:numFmt w:val="bullet"/>
      <w:lvlText w:val=""/>
      <w:lvlJc w:val="left"/>
      <w:pPr>
        <w:ind w:left="720" w:hanging="360"/>
      </w:pPr>
      <w:rPr>
        <w:rFonts w:ascii="Symbol" w:hAnsi="Symbol" w:hint="default"/>
      </w:rPr>
    </w:lvl>
    <w:lvl w:ilvl="1" w:tplc="F1A86DE4">
      <w:start w:val="1"/>
      <w:numFmt w:val="bullet"/>
      <w:lvlText w:val="o"/>
      <w:lvlJc w:val="left"/>
      <w:pPr>
        <w:ind w:left="1440" w:hanging="360"/>
      </w:pPr>
      <w:rPr>
        <w:rFonts w:ascii="Courier New" w:hAnsi="Courier New" w:hint="default"/>
      </w:rPr>
    </w:lvl>
    <w:lvl w:ilvl="2" w:tplc="65EA4B86">
      <w:start w:val="1"/>
      <w:numFmt w:val="bullet"/>
      <w:lvlText w:val=""/>
      <w:lvlJc w:val="left"/>
      <w:pPr>
        <w:ind w:left="2160" w:hanging="360"/>
      </w:pPr>
      <w:rPr>
        <w:rFonts w:ascii="Wingdings" w:hAnsi="Wingdings" w:hint="default"/>
      </w:rPr>
    </w:lvl>
    <w:lvl w:ilvl="3" w:tplc="C58C1D5C">
      <w:start w:val="1"/>
      <w:numFmt w:val="bullet"/>
      <w:lvlText w:val=""/>
      <w:lvlJc w:val="left"/>
      <w:pPr>
        <w:ind w:left="2880" w:hanging="360"/>
      </w:pPr>
      <w:rPr>
        <w:rFonts w:ascii="Symbol" w:hAnsi="Symbol" w:hint="default"/>
      </w:rPr>
    </w:lvl>
    <w:lvl w:ilvl="4" w:tplc="974CC05E">
      <w:start w:val="1"/>
      <w:numFmt w:val="bullet"/>
      <w:lvlText w:val="o"/>
      <w:lvlJc w:val="left"/>
      <w:pPr>
        <w:ind w:left="3600" w:hanging="360"/>
      </w:pPr>
      <w:rPr>
        <w:rFonts w:ascii="Courier New" w:hAnsi="Courier New" w:hint="default"/>
      </w:rPr>
    </w:lvl>
    <w:lvl w:ilvl="5" w:tplc="70444C72">
      <w:start w:val="1"/>
      <w:numFmt w:val="bullet"/>
      <w:lvlText w:val=""/>
      <w:lvlJc w:val="left"/>
      <w:pPr>
        <w:ind w:left="4320" w:hanging="360"/>
      </w:pPr>
      <w:rPr>
        <w:rFonts w:ascii="Wingdings" w:hAnsi="Wingdings" w:hint="default"/>
      </w:rPr>
    </w:lvl>
    <w:lvl w:ilvl="6" w:tplc="44A83A54">
      <w:start w:val="1"/>
      <w:numFmt w:val="bullet"/>
      <w:lvlText w:val=""/>
      <w:lvlJc w:val="left"/>
      <w:pPr>
        <w:ind w:left="5040" w:hanging="360"/>
      </w:pPr>
      <w:rPr>
        <w:rFonts w:ascii="Symbol" w:hAnsi="Symbol" w:hint="default"/>
      </w:rPr>
    </w:lvl>
    <w:lvl w:ilvl="7" w:tplc="F22A0020">
      <w:start w:val="1"/>
      <w:numFmt w:val="bullet"/>
      <w:lvlText w:val="o"/>
      <w:lvlJc w:val="left"/>
      <w:pPr>
        <w:ind w:left="5760" w:hanging="360"/>
      </w:pPr>
      <w:rPr>
        <w:rFonts w:ascii="Courier New" w:hAnsi="Courier New" w:hint="default"/>
      </w:rPr>
    </w:lvl>
    <w:lvl w:ilvl="8" w:tplc="1ABC0FB4">
      <w:start w:val="1"/>
      <w:numFmt w:val="bullet"/>
      <w:lvlText w:val=""/>
      <w:lvlJc w:val="left"/>
      <w:pPr>
        <w:ind w:left="6480" w:hanging="360"/>
      </w:pPr>
      <w:rPr>
        <w:rFonts w:ascii="Wingdings" w:hAnsi="Wingdings" w:hint="default"/>
      </w:rPr>
    </w:lvl>
  </w:abstractNum>
  <w:abstractNum w:abstractNumId="7" w15:restartNumberingAfterBreak="0">
    <w:nsid w:val="12B853D6"/>
    <w:multiLevelType w:val="hybridMultilevel"/>
    <w:tmpl w:val="3B2A2F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2C3B2B"/>
    <w:multiLevelType w:val="hybridMultilevel"/>
    <w:tmpl w:val="5B5412F4"/>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4552764"/>
    <w:multiLevelType w:val="hybridMultilevel"/>
    <w:tmpl w:val="BE94AF2C"/>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7B7B4B"/>
    <w:multiLevelType w:val="hybridMultilevel"/>
    <w:tmpl w:val="9E34B68C"/>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2D46FE"/>
    <w:multiLevelType w:val="hybridMultilevel"/>
    <w:tmpl w:val="C1820A76"/>
    <w:lvl w:ilvl="0" w:tplc="AE243A54">
      <w:start w:val="1"/>
      <w:numFmt w:val="bullet"/>
      <w:lvlText w:val=""/>
      <w:lvlJc w:val="left"/>
      <w:pPr>
        <w:ind w:left="720" w:hanging="360"/>
      </w:pPr>
      <w:rPr>
        <w:rFonts w:ascii="Symbol" w:hAnsi="Symbol" w:hint="default"/>
      </w:rPr>
    </w:lvl>
    <w:lvl w:ilvl="1" w:tplc="205CB972">
      <w:start w:val="1"/>
      <w:numFmt w:val="bullet"/>
      <w:lvlText w:val="o"/>
      <w:lvlJc w:val="left"/>
      <w:pPr>
        <w:ind w:left="1440" w:hanging="360"/>
      </w:pPr>
      <w:rPr>
        <w:rFonts w:ascii="Courier New" w:hAnsi="Courier New" w:hint="default"/>
      </w:rPr>
    </w:lvl>
    <w:lvl w:ilvl="2" w:tplc="E2A217B2">
      <w:start w:val="1"/>
      <w:numFmt w:val="bullet"/>
      <w:lvlText w:val=""/>
      <w:lvlJc w:val="left"/>
      <w:pPr>
        <w:ind w:left="2160" w:hanging="360"/>
      </w:pPr>
      <w:rPr>
        <w:rFonts w:ascii="Wingdings" w:hAnsi="Wingdings" w:hint="default"/>
      </w:rPr>
    </w:lvl>
    <w:lvl w:ilvl="3" w:tplc="4C76A5D2">
      <w:start w:val="1"/>
      <w:numFmt w:val="bullet"/>
      <w:lvlText w:val=""/>
      <w:lvlJc w:val="left"/>
      <w:pPr>
        <w:ind w:left="2880" w:hanging="360"/>
      </w:pPr>
      <w:rPr>
        <w:rFonts w:ascii="Symbol" w:hAnsi="Symbol" w:hint="default"/>
      </w:rPr>
    </w:lvl>
    <w:lvl w:ilvl="4" w:tplc="FA6A6ABE">
      <w:start w:val="1"/>
      <w:numFmt w:val="bullet"/>
      <w:lvlText w:val="o"/>
      <w:lvlJc w:val="left"/>
      <w:pPr>
        <w:ind w:left="3600" w:hanging="360"/>
      </w:pPr>
      <w:rPr>
        <w:rFonts w:ascii="Courier New" w:hAnsi="Courier New" w:hint="default"/>
      </w:rPr>
    </w:lvl>
    <w:lvl w:ilvl="5" w:tplc="76DA2868">
      <w:start w:val="1"/>
      <w:numFmt w:val="bullet"/>
      <w:lvlText w:val=""/>
      <w:lvlJc w:val="left"/>
      <w:pPr>
        <w:ind w:left="4320" w:hanging="360"/>
      </w:pPr>
      <w:rPr>
        <w:rFonts w:ascii="Wingdings" w:hAnsi="Wingdings" w:hint="default"/>
      </w:rPr>
    </w:lvl>
    <w:lvl w:ilvl="6" w:tplc="664E3076">
      <w:start w:val="1"/>
      <w:numFmt w:val="bullet"/>
      <w:lvlText w:val=""/>
      <w:lvlJc w:val="left"/>
      <w:pPr>
        <w:ind w:left="5040" w:hanging="360"/>
      </w:pPr>
      <w:rPr>
        <w:rFonts w:ascii="Symbol" w:hAnsi="Symbol" w:hint="default"/>
      </w:rPr>
    </w:lvl>
    <w:lvl w:ilvl="7" w:tplc="8432D68E">
      <w:start w:val="1"/>
      <w:numFmt w:val="bullet"/>
      <w:lvlText w:val="o"/>
      <w:lvlJc w:val="left"/>
      <w:pPr>
        <w:ind w:left="5760" w:hanging="360"/>
      </w:pPr>
      <w:rPr>
        <w:rFonts w:ascii="Courier New" w:hAnsi="Courier New" w:hint="default"/>
      </w:rPr>
    </w:lvl>
    <w:lvl w:ilvl="8" w:tplc="8304BBC8">
      <w:start w:val="1"/>
      <w:numFmt w:val="bullet"/>
      <w:lvlText w:val=""/>
      <w:lvlJc w:val="left"/>
      <w:pPr>
        <w:ind w:left="6480" w:hanging="360"/>
      </w:pPr>
      <w:rPr>
        <w:rFonts w:ascii="Wingdings" w:hAnsi="Wingdings" w:hint="default"/>
      </w:rPr>
    </w:lvl>
  </w:abstractNum>
  <w:abstractNum w:abstractNumId="12" w15:restartNumberingAfterBreak="0">
    <w:nsid w:val="264A2A95"/>
    <w:multiLevelType w:val="multilevel"/>
    <w:tmpl w:val="9036E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7B172ED"/>
    <w:multiLevelType w:val="multilevel"/>
    <w:tmpl w:val="8E1A1B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E3D39E1"/>
    <w:multiLevelType w:val="hybridMultilevel"/>
    <w:tmpl w:val="99DC101C"/>
    <w:lvl w:ilvl="0" w:tplc="87009344">
      <w:start w:val="1"/>
      <w:numFmt w:val="bullet"/>
      <w:lvlText w:val=""/>
      <w:lvlJc w:val="left"/>
      <w:pPr>
        <w:ind w:left="720" w:hanging="360"/>
      </w:pPr>
      <w:rPr>
        <w:rFonts w:ascii="Symbol" w:hAnsi="Symbol" w:hint="default"/>
      </w:rPr>
    </w:lvl>
    <w:lvl w:ilvl="1" w:tplc="006A434E">
      <w:start w:val="1"/>
      <w:numFmt w:val="bullet"/>
      <w:lvlText w:val="o"/>
      <w:lvlJc w:val="left"/>
      <w:pPr>
        <w:ind w:left="1440" w:hanging="360"/>
      </w:pPr>
      <w:rPr>
        <w:rFonts w:ascii="Courier New" w:hAnsi="Courier New" w:hint="default"/>
      </w:rPr>
    </w:lvl>
    <w:lvl w:ilvl="2" w:tplc="9604A822">
      <w:start w:val="1"/>
      <w:numFmt w:val="bullet"/>
      <w:lvlText w:val=""/>
      <w:lvlJc w:val="left"/>
      <w:pPr>
        <w:ind w:left="2160" w:hanging="360"/>
      </w:pPr>
      <w:rPr>
        <w:rFonts w:ascii="Wingdings" w:hAnsi="Wingdings" w:hint="default"/>
      </w:rPr>
    </w:lvl>
    <w:lvl w:ilvl="3" w:tplc="CD167818">
      <w:start w:val="1"/>
      <w:numFmt w:val="bullet"/>
      <w:lvlText w:val=""/>
      <w:lvlJc w:val="left"/>
      <w:pPr>
        <w:ind w:left="2880" w:hanging="360"/>
      </w:pPr>
      <w:rPr>
        <w:rFonts w:ascii="Symbol" w:hAnsi="Symbol" w:hint="default"/>
      </w:rPr>
    </w:lvl>
    <w:lvl w:ilvl="4" w:tplc="91EEF496">
      <w:start w:val="1"/>
      <w:numFmt w:val="bullet"/>
      <w:lvlText w:val="o"/>
      <w:lvlJc w:val="left"/>
      <w:pPr>
        <w:ind w:left="3600" w:hanging="360"/>
      </w:pPr>
      <w:rPr>
        <w:rFonts w:ascii="Courier New" w:hAnsi="Courier New" w:hint="default"/>
      </w:rPr>
    </w:lvl>
    <w:lvl w:ilvl="5" w:tplc="A18AD8A6">
      <w:start w:val="1"/>
      <w:numFmt w:val="bullet"/>
      <w:lvlText w:val=""/>
      <w:lvlJc w:val="left"/>
      <w:pPr>
        <w:ind w:left="4320" w:hanging="360"/>
      </w:pPr>
      <w:rPr>
        <w:rFonts w:ascii="Wingdings" w:hAnsi="Wingdings" w:hint="default"/>
      </w:rPr>
    </w:lvl>
    <w:lvl w:ilvl="6" w:tplc="E2B4D990">
      <w:start w:val="1"/>
      <w:numFmt w:val="bullet"/>
      <w:lvlText w:val=""/>
      <w:lvlJc w:val="left"/>
      <w:pPr>
        <w:ind w:left="5040" w:hanging="360"/>
      </w:pPr>
      <w:rPr>
        <w:rFonts w:ascii="Symbol" w:hAnsi="Symbol" w:hint="default"/>
      </w:rPr>
    </w:lvl>
    <w:lvl w:ilvl="7" w:tplc="131A239E">
      <w:start w:val="1"/>
      <w:numFmt w:val="bullet"/>
      <w:lvlText w:val="o"/>
      <w:lvlJc w:val="left"/>
      <w:pPr>
        <w:ind w:left="5760" w:hanging="360"/>
      </w:pPr>
      <w:rPr>
        <w:rFonts w:ascii="Courier New" w:hAnsi="Courier New" w:hint="default"/>
      </w:rPr>
    </w:lvl>
    <w:lvl w:ilvl="8" w:tplc="B3DA5408">
      <w:start w:val="1"/>
      <w:numFmt w:val="bullet"/>
      <w:lvlText w:val=""/>
      <w:lvlJc w:val="left"/>
      <w:pPr>
        <w:ind w:left="6480" w:hanging="360"/>
      </w:pPr>
      <w:rPr>
        <w:rFonts w:ascii="Wingdings" w:hAnsi="Wingdings" w:hint="default"/>
      </w:rPr>
    </w:lvl>
  </w:abstractNum>
  <w:abstractNum w:abstractNumId="15" w15:restartNumberingAfterBreak="0">
    <w:nsid w:val="2F5213DF"/>
    <w:multiLevelType w:val="hybridMultilevel"/>
    <w:tmpl w:val="83446868"/>
    <w:lvl w:ilvl="0" w:tplc="E1B21B1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0D92242"/>
    <w:multiLevelType w:val="hybridMultilevel"/>
    <w:tmpl w:val="62B09244"/>
    <w:lvl w:ilvl="0" w:tplc="A3E629A6">
      <w:start w:val="1"/>
      <w:numFmt w:val="decimal"/>
      <w:lvlText w:val="%1."/>
      <w:lvlJc w:val="left"/>
      <w:pPr>
        <w:ind w:left="720" w:hanging="360"/>
      </w:pPr>
      <w:rPr>
        <w:rFonts w:asciiTheme="minorHAnsi" w:eastAsiaTheme="minorEastAsia" w:hAnsiTheme="minorHAnsi" w:cstheme="minorBid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3D35064"/>
    <w:multiLevelType w:val="multilevel"/>
    <w:tmpl w:val="AEF8F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4D160F9"/>
    <w:multiLevelType w:val="hybridMultilevel"/>
    <w:tmpl w:val="6B6A62BE"/>
    <w:lvl w:ilvl="0" w:tplc="55CAA08A">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5444055"/>
    <w:multiLevelType w:val="multilevel"/>
    <w:tmpl w:val="66B0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073D3F"/>
    <w:multiLevelType w:val="hybridMultilevel"/>
    <w:tmpl w:val="D20EF390"/>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626E6D"/>
    <w:multiLevelType w:val="multilevel"/>
    <w:tmpl w:val="4236A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9B04B0"/>
    <w:multiLevelType w:val="hybridMultilevel"/>
    <w:tmpl w:val="DF6CE31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5E63CD6"/>
    <w:multiLevelType w:val="hybridMultilevel"/>
    <w:tmpl w:val="B7CEDB88"/>
    <w:lvl w:ilvl="0" w:tplc="F468D5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67B192B"/>
    <w:multiLevelType w:val="multilevel"/>
    <w:tmpl w:val="967A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5A59B5"/>
    <w:multiLevelType w:val="multilevel"/>
    <w:tmpl w:val="584E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69113A"/>
    <w:multiLevelType w:val="hybridMultilevel"/>
    <w:tmpl w:val="1BB07B1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B3A25D7"/>
    <w:multiLevelType w:val="hybridMultilevel"/>
    <w:tmpl w:val="6B6C6A7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4EAF45C2"/>
    <w:multiLevelType w:val="hybridMultilevel"/>
    <w:tmpl w:val="B5FC3C94"/>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53176DF"/>
    <w:multiLevelType w:val="multilevel"/>
    <w:tmpl w:val="3898A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214C8C"/>
    <w:multiLevelType w:val="hybridMultilevel"/>
    <w:tmpl w:val="00B4473E"/>
    <w:lvl w:ilvl="0" w:tplc="E5B6F246">
      <w:start w:val="5"/>
      <w:numFmt w:val="bullet"/>
      <w:lvlText w:val="-"/>
      <w:lvlJc w:val="left"/>
      <w:pPr>
        <w:ind w:left="720" w:hanging="360"/>
      </w:pPr>
      <w:rPr>
        <w:rFonts w:ascii="Aptos" w:eastAsiaTheme="minorEastAsia"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8B7D66D"/>
    <w:multiLevelType w:val="hybridMultilevel"/>
    <w:tmpl w:val="23109A38"/>
    <w:lvl w:ilvl="0" w:tplc="FBB640DA">
      <w:start w:val="1"/>
      <w:numFmt w:val="bullet"/>
      <w:lvlText w:val="-"/>
      <w:lvlJc w:val="left"/>
      <w:pPr>
        <w:ind w:left="720" w:hanging="360"/>
      </w:pPr>
      <w:rPr>
        <w:rFonts w:ascii="Aptos" w:hAnsi="Aptos" w:hint="default"/>
      </w:rPr>
    </w:lvl>
    <w:lvl w:ilvl="1" w:tplc="80EA2500">
      <w:start w:val="1"/>
      <w:numFmt w:val="bullet"/>
      <w:lvlText w:val="o"/>
      <w:lvlJc w:val="left"/>
      <w:pPr>
        <w:ind w:left="1440" w:hanging="360"/>
      </w:pPr>
      <w:rPr>
        <w:rFonts w:ascii="Courier New" w:hAnsi="Courier New" w:hint="default"/>
      </w:rPr>
    </w:lvl>
    <w:lvl w:ilvl="2" w:tplc="BDA85672">
      <w:start w:val="1"/>
      <w:numFmt w:val="bullet"/>
      <w:lvlText w:val=""/>
      <w:lvlJc w:val="left"/>
      <w:pPr>
        <w:ind w:left="2160" w:hanging="360"/>
      </w:pPr>
      <w:rPr>
        <w:rFonts w:ascii="Wingdings" w:hAnsi="Wingdings" w:hint="default"/>
      </w:rPr>
    </w:lvl>
    <w:lvl w:ilvl="3" w:tplc="D5AA52A2">
      <w:start w:val="1"/>
      <w:numFmt w:val="bullet"/>
      <w:lvlText w:val=""/>
      <w:lvlJc w:val="left"/>
      <w:pPr>
        <w:ind w:left="2880" w:hanging="360"/>
      </w:pPr>
      <w:rPr>
        <w:rFonts w:ascii="Symbol" w:hAnsi="Symbol" w:hint="default"/>
      </w:rPr>
    </w:lvl>
    <w:lvl w:ilvl="4" w:tplc="75826EA0">
      <w:start w:val="1"/>
      <w:numFmt w:val="bullet"/>
      <w:lvlText w:val="o"/>
      <w:lvlJc w:val="left"/>
      <w:pPr>
        <w:ind w:left="3600" w:hanging="360"/>
      </w:pPr>
      <w:rPr>
        <w:rFonts w:ascii="Courier New" w:hAnsi="Courier New" w:hint="default"/>
      </w:rPr>
    </w:lvl>
    <w:lvl w:ilvl="5" w:tplc="50728630">
      <w:start w:val="1"/>
      <w:numFmt w:val="bullet"/>
      <w:lvlText w:val=""/>
      <w:lvlJc w:val="left"/>
      <w:pPr>
        <w:ind w:left="4320" w:hanging="360"/>
      </w:pPr>
      <w:rPr>
        <w:rFonts w:ascii="Wingdings" w:hAnsi="Wingdings" w:hint="default"/>
      </w:rPr>
    </w:lvl>
    <w:lvl w:ilvl="6" w:tplc="456CC4E8">
      <w:start w:val="1"/>
      <w:numFmt w:val="bullet"/>
      <w:lvlText w:val=""/>
      <w:lvlJc w:val="left"/>
      <w:pPr>
        <w:ind w:left="5040" w:hanging="360"/>
      </w:pPr>
      <w:rPr>
        <w:rFonts w:ascii="Symbol" w:hAnsi="Symbol" w:hint="default"/>
      </w:rPr>
    </w:lvl>
    <w:lvl w:ilvl="7" w:tplc="8BFA691A">
      <w:start w:val="1"/>
      <w:numFmt w:val="bullet"/>
      <w:lvlText w:val="o"/>
      <w:lvlJc w:val="left"/>
      <w:pPr>
        <w:ind w:left="5760" w:hanging="360"/>
      </w:pPr>
      <w:rPr>
        <w:rFonts w:ascii="Courier New" w:hAnsi="Courier New" w:hint="default"/>
      </w:rPr>
    </w:lvl>
    <w:lvl w:ilvl="8" w:tplc="6BB69490">
      <w:start w:val="1"/>
      <w:numFmt w:val="bullet"/>
      <w:lvlText w:val=""/>
      <w:lvlJc w:val="left"/>
      <w:pPr>
        <w:ind w:left="6480" w:hanging="360"/>
      </w:pPr>
      <w:rPr>
        <w:rFonts w:ascii="Wingdings" w:hAnsi="Wingdings" w:hint="default"/>
      </w:rPr>
    </w:lvl>
  </w:abstractNum>
  <w:abstractNum w:abstractNumId="32" w15:restartNumberingAfterBreak="0">
    <w:nsid w:val="5A2C0827"/>
    <w:multiLevelType w:val="hybridMultilevel"/>
    <w:tmpl w:val="A1BE7006"/>
    <w:lvl w:ilvl="0" w:tplc="002A989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484BB1"/>
    <w:multiLevelType w:val="multilevel"/>
    <w:tmpl w:val="2D1C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8B5C45"/>
    <w:multiLevelType w:val="hybridMultilevel"/>
    <w:tmpl w:val="15665B6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5FAA61D4">
      <w:start w:val="1"/>
      <w:numFmt w:val="bullet"/>
      <w:lvlText w:val="-"/>
      <w:lvlJc w:val="left"/>
      <w:pPr>
        <w:ind w:left="1800" w:hanging="360"/>
      </w:pPr>
      <w:rPr>
        <w:rFonts w:ascii="Times New Roman" w:eastAsiaTheme="minorEastAsia" w:hAnsi="Times New Roman" w:cs="Times New Roman"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5" w15:restartNumberingAfterBreak="0">
    <w:nsid w:val="68FE17EB"/>
    <w:multiLevelType w:val="hybridMultilevel"/>
    <w:tmpl w:val="84540800"/>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A871471"/>
    <w:multiLevelType w:val="multilevel"/>
    <w:tmpl w:val="CACA4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C83CC6"/>
    <w:multiLevelType w:val="multilevel"/>
    <w:tmpl w:val="5FBA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7A2208"/>
    <w:multiLevelType w:val="multilevel"/>
    <w:tmpl w:val="A592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05B3533"/>
    <w:multiLevelType w:val="hybridMultilevel"/>
    <w:tmpl w:val="449C8A9E"/>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210291E"/>
    <w:multiLevelType w:val="multilevel"/>
    <w:tmpl w:val="8E1A1B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4A236AD"/>
    <w:multiLevelType w:val="multilevel"/>
    <w:tmpl w:val="B3B6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B56110"/>
    <w:multiLevelType w:val="hybridMultilevel"/>
    <w:tmpl w:val="D6F89C32"/>
    <w:lvl w:ilvl="0" w:tplc="0A4A1A5C">
      <w:start w:val="2"/>
      <w:numFmt w:val="bullet"/>
      <w:lvlText w:val="-"/>
      <w:lvlJc w:val="left"/>
      <w:pPr>
        <w:ind w:left="720" w:hanging="360"/>
      </w:pPr>
      <w:rPr>
        <w:rFonts w:ascii="Times New Roman" w:eastAsiaTheme="minorEastAsia"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7901702"/>
    <w:multiLevelType w:val="multilevel"/>
    <w:tmpl w:val="93DCD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C27728"/>
    <w:multiLevelType w:val="multilevel"/>
    <w:tmpl w:val="2988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A7148F"/>
    <w:multiLevelType w:val="hybridMultilevel"/>
    <w:tmpl w:val="BD087BF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C04D1B"/>
    <w:multiLevelType w:val="multilevel"/>
    <w:tmpl w:val="763C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D064A0"/>
    <w:multiLevelType w:val="hybridMultilevel"/>
    <w:tmpl w:val="5CD2509A"/>
    <w:lvl w:ilvl="0" w:tplc="DD522D04">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7E0836"/>
    <w:multiLevelType w:val="hybridMultilevel"/>
    <w:tmpl w:val="112040C0"/>
    <w:lvl w:ilvl="0" w:tplc="B2BECBC6">
      <w:numFmt w:val="bullet"/>
      <w:lvlText w:val="-"/>
      <w:lvlJc w:val="left"/>
      <w:pPr>
        <w:ind w:left="405" w:hanging="360"/>
      </w:pPr>
      <w:rPr>
        <w:rFonts w:ascii="Times New Roman" w:eastAsiaTheme="minorEastAsia" w:hAnsi="Times New Roman"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11"/>
  </w:num>
  <w:num w:numId="2">
    <w:abstractNumId w:val="6"/>
  </w:num>
  <w:num w:numId="3">
    <w:abstractNumId w:val="31"/>
  </w:num>
  <w:num w:numId="4">
    <w:abstractNumId w:val="14"/>
  </w:num>
  <w:num w:numId="5">
    <w:abstractNumId w:val="40"/>
  </w:num>
  <w:num w:numId="6">
    <w:abstractNumId w:val="0"/>
  </w:num>
  <w:num w:numId="7">
    <w:abstractNumId w:val="17"/>
  </w:num>
  <w:num w:numId="8">
    <w:abstractNumId w:val="2"/>
  </w:num>
  <w:num w:numId="9">
    <w:abstractNumId w:val="3"/>
  </w:num>
  <w:num w:numId="10">
    <w:abstractNumId w:val="7"/>
  </w:num>
  <w:num w:numId="11">
    <w:abstractNumId w:val="13"/>
  </w:num>
  <w:num w:numId="12">
    <w:abstractNumId w:val="23"/>
  </w:num>
  <w:num w:numId="13">
    <w:abstractNumId w:val="26"/>
  </w:num>
  <w:num w:numId="14">
    <w:abstractNumId w:val="22"/>
  </w:num>
  <w:num w:numId="15">
    <w:abstractNumId w:val="45"/>
  </w:num>
  <w:num w:numId="16">
    <w:abstractNumId w:val="32"/>
  </w:num>
  <w:num w:numId="17">
    <w:abstractNumId w:val="5"/>
  </w:num>
  <w:num w:numId="18">
    <w:abstractNumId w:val="47"/>
  </w:num>
  <w:num w:numId="19">
    <w:abstractNumId w:val="38"/>
  </w:num>
  <w:num w:numId="20">
    <w:abstractNumId w:val="44"/>
  </w:num>
  <w:num w:numId="21">
    <w:abstractNumId w:val="21"/>
  </w:num>
  <w:num w:numId="22">
    <w:abstractNumId w:val="37"/>
  </w:num>
  <w:num w:numId="23">
    <w:abstractNumId w:val="25"/>
  </w:num>
  <w:num w:numId="24">
    <w:abstractNumId w:val="33"/>
  </w:num>
  <w:num w:numId="25">
    <w:abstractNumId w:val="4"/>
  </w:num>
  <w:num w:numId="26">
    <w:abstractNumId w:val="1"/>
  </w:num>
  <w:num w:numId="27">
    <w:abstractNumId w:val="43"/>
  </w:num>
  <w:num w:numId="28">
    <w:abstractNumId w:val="24"/>
  </w:num>
  <w:num w:numId="29">
    <w:abstractNumId w:val="19"/>
  </w:num>
  <w:num w:numId="30">
    <w:abstractNumId w:val="36"/>
  </w:num>
  <w:num w:numId="31">
    <w:abstractNumId w:val="46"/>
  </w:num>
  <w:num w:numId="32">
    <w:abstractNumId w:val="41"/>
  </w:num>
  <w:num w:numId="33">
    <w:abstractNumId w:val="12"/>
  </w:num>
  <w:num w:numId="34">
    <w:abstractNumId w:val="29"/>
  </w:num>
  <w:num w:numId="35">
    <w:abstractNumId w:val="15"/>
  </w:num>
  <w:num w:numId="36">
    <w:abstractNumId w:val="48"/>
  </w:num>
  <w:num w:numId="37">
    <w:abstractNumId w:val="9"/>
  </w:num>
  <w:num w:numId="38">
    <w:abstractNumId w:val="10"/>
  </w:num>
  <w:num w:numId="39">
    <w:abstractNumId w:val="35"/>
  </w:num>
  <w:num w:numId="40">
    <w:abstractNumId w:val="20"/>
  </w:num>
  <w:num w:numId="41">
    <w:abstractNumId w:val="28"/>
  </w:num>
  <w:num w:numId="42">
    <w:abstractNumId w:val="8"/>
  </w:num>
  <w:num w:numId="43">
    <w:abstractNumId w:val="39"/>
  </w:num>
  <w:num w:numId="44">
    <w:abstractNumId w:val="42"/>
  </w:num>
  <w:num w:numId="45">
    <w:abstractNumId w:val="34"/>
  </w:num>
  <w:num w:numId="46">
    <w:abstractNumId w:val="18"/>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5ED06A9A-498C-4A03-B6CB-861DCD40987B"/>
    <w:docVar w:name="LW_COVERPAGE_TYPE" w:val="1"/>
    <w:docVar w:name="LW_CROSSREFERENCE" w:val="&lt;UNUSED&gt;"/>
    <w:docVar w:name="LW_DocType" w:val="NORMAL"/>
    <w:docVar w:name="LW_EMISSION" w:val="10.3.2026"/>
    <w:docVar w:name="LW_EMISSION_ISODATE" w:val="2026-03-10"/>
    <w:docVar w:name="LW_EMISSION_LOCATION" w:val="BRX"/>
    <w:docVar w:name="LW_EMISSION_PREFIX" w:val="Bruxelles, "/>
    <w:docVar w:name="LW_EMISSION_SUFFIX" w:val=" "/>
    <w:docVar w:name="LW_ID_DOCTYPE_NONLW" w:val="CP-005"/>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1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nivelul de preg\u259?tire al UE în sectorul financiar"/>
    <w:docVar w:name="LW_TYPE.DOC.CP" w:val="RAPORT AL COMISIEI C\u258?TRE CONSILIU \u536?I PARLAMENTUL EUROPEAN"/>
    <w:docVar w:name="LwApiVersions" w:val="LW4CoDe 1.24.5.0; LW 9.2, Build 20251112"/>
    <w:docVar w:name="Stamp" w:val="\\dossiers.dgt.cec.eu.int\dossiers\FISMA\FISMA-2026-00079\FISMA-2026-00079-00-00-EN-EDT-00.202601200958398659778.DOCX"/>
  </w:docVars>
  <w:rsids>
    <w:rsidRoot w:val="14AA8B05"/>
    <w:rsid w:val="0000093E"/>
    <w:rsid w:val="00000C14"/>
    <w:rsid w:val="00000CFC"/>
    <w:rsid w:val="00000D28"/>
    <w:rsid w:val="00000DF5"/>
    <w:rsid w:val="000014C0"/>
    <w:rsid w:val="0000158F"/>
    <w:rsid w:val="000015F9"/>
    <w:rsid w:val="00001BBB"/>
    <w:rsid w:val="00001D43"/>
    <w:rsid w:val="00001F19"/>
    <w:rsid w:val="0000213E"/>
    <w:rsid w:val="00002480"/>
    <w:rsid w:val="00002EA8"/>
    <w:rsid w:val="00002F38"/>
    <w:rsid w:val="000030F5"/>
    <w:rsid w:val="0000339D"/>
    <w:rsid w:val="000035A4"/>
    <w:rsid w:val="000037E3"/>
    <w:rsid w:val="00003819"/>
    <w:rsid w:val="0000399C"/>
    <w:rsid w:val="00003A13"/>
    <w:rsid w:val="00003F38"/>
    <w:rsid w:val="00003FA2"/>
    <w:rsid w:val="000041D1"/>
    <w:rsid w:val="0000432B"/>
    <w:rsid w:val="0000478B"/>
    <w:rsid w:val="000047A5"/>
    <w:rsid w:val="000049E4"/>
    <w:rsid w:val="00004ADA"/>
    <w:rsid w:val="00004CA5"/>
    <w:rsid w:val="00005047"/>
    <w:rsid w:val="000050C5"/>
    <w:rsid w:val="0000511D"/>
    <w:rsid w:val="000053D0"/>
    <w:rsid w:val="0000566D"/>
    <w:rsid w:val="00005724"/>
    <w:rsid w:val="0000578F"/>
    <w:rsid w:val="00005A5D"/>
    <w:rsid w:val="00005B38"/>
    <w:rsid w:val="00005BB7"/>
    <w:rsid w:val="00005F47"/>
    <w:rsid w:val="000065EF"/>
    <w:rsid w:val="00006A99"/>
    <w:rsid w:val="00006C53"/>
    <w:rsid w:val="00007192"/>
    <w:rsid w:val="00007851"/>
    <w:rsid w:val="0000791F"/>
    <w:rsid w:val="00007B6E"/>
    <w:rsid w:val="00007FDE"/>
    <w:rsid w:val="0001001D"/>
    <w:rsid w:val="00010088"/>
    <w:rsid w:val="000100AA"/>
    <w:rsid w:val="000103B1"/>
    <w:rsid w:val="00010695"/>
    <w:rsid w:val="00010980"/>
    <w:rsid w:val="00010BAF"/>
    <w:rsid w:val="00011165"/>
    <w:rsid w:val="00011202"/>
    <w:rsid w:val="00011268"/>
    <w:rsid w:val="00011708"/>
    <w:rsid w:val="00011B10"/>
    <w:rsid w:val="00011BA6"/>
    <w:rsid w:val="00011D5C"/>
    <w:rsid w:val="00011DBF"/>
    <w:rsid w:val="00011E21"/>
    <w:rsid w:val="00011E9F"/>
    <w:rsid w:val="00012021"/>
    <w:rsid w:val="0001237F"/>
    <w:rsid w:val="00012841"/>
    <w:rsid w:val="000128C3"/>
    <w:rsid w:val="000128CA"/>
    <w:rsid w:val="0001292E"/>
    <w:rsid w:val="00012A6B"/>
    <w:rsid w:val="00012D79"/>
    <w:rsid w:val="00012DAD"/>
    <w:rsid w:val="00012F19"/>
    <w:rsid w:val="000131EE"/>
    <w:rsid w:val="000132DC"/>
    <w:rsid w:val="0001339E"/>
    <w:rsid w:val="00013534"/>
    <w:rsid w:val="00013624"/>
    <w:rsid w:val="0001362C"/>
    <w:rsid w:val="0001368B"/>
    <w:rsid w:val="00013712"/>
    <w:rsid w:val="00013861"/>
    <w:rsid w:val="000139EC"/>
    <w:rsid w:val="00013F38"/>
    <w:rsid w:val="0001492A"/>
    <w:rsid w:val="0001495C"/>
    <w:rsid w:val="00014B68"/>
    <w:rsid w:val="00014BD4"/>
    <w:rsid w:val="000151E8"/>
    <w:rsid w:val="00015723"/>
    <w:rsid w:val="000159E4"/>
    <w:rsid w:val="00015A2B"/>
    <w:rsid w:val="00015C04"/>
    <w:rsid w:val="00015F1C"/>
    <w:rsid w:val="0001602B"/>
    <w:rsid w:val="000162BC"/>
    <w:rsid w:val="00016594"/>
    <w:rsid w:val="000166AB"/>
    <w:rsid w:val="00016BBD"/>
    <w:rsid w:val="00016BE9"/>
    <w:rsid w:val="000172BA"/>
    <w:rsid w:val="0001745C"/>
    <w:rsid w:val="000175EA"/>
    <w:rsid w:val="00017636"/>
    <w:rsid w:val="00017943"/>
    <w:rsid w:val="00017AF6"/>
    <w:rsid w:val="00017BEF"/>
    <w:rsid w:val="00020138"/>
    <w:rsid w:val="0002020E"/>
    <w:rsid w:val="0002066B"/>
    <w:rsid w:val="0002067D"/>
    <w:rsid w:val="000206F0"/>
    <w:rsid w:val="000208E2"/>
    <w:rsid w:val="00020C1A"/>
    <w:rsid w:val="0002104F"/>
    <w:rsid w:val="00021268"/>
    <w:rsid w:val="000214EC"/>
    <w:rsid w:val="00021535"/>
    <w:rsid w:val="000216D7"/>
    <w:rsid w:val="00021791"/>
    <w:rsid w:val="00021B1B"/>
    <w:rsid w:val="00021CA8"/>
    <w:rsid w:val="00021FF3"/>
    <w:rsid w:val="000225B8"/>
    <w:rsid w:val="00022670"/>
    <w:rsid w:val="00022AA8"/>
    <w:rsid w:val="00022D51"/>
    <w:rsid w:val="000230C1"/>
    <w:rsid w:val="000233B9"/>
    <w:rsid w:val="00023913"/>
    <w:rsid w:val="00023A37"/>
    <w:rsid w:val="00023AB9"/>
    <w:rsid w:val="0002463F"/>
    <w:rsid w:val="00024835"/>
    <w:rsid w:val="00024B1A"/>
    <w:rsid w:val="00024EA6"/>
    <w:rsid w:val="00024EE2"/>
    <w:rsid w:val="00025435"/>
    <w:rsid w:val="000255A4"/>
    <w:rsid w:val="000256B3"/>
    <w:rsid w:val="000257DB"/>
    <w:rsid w:val="00025A9E"/>
    <w:rsid w:val="00025BA1"/>
    <w:rsid w:val="00025CFF"/>
    <w:rsid w:val="0002603E"/>
    <w:rsid w:val="00026439"/>
    <w:rsid w:val="00026462"/>
    <w:rsid w:val="0002687D"/>
    <w:rsid w:val="0002690A"/>
    <w:rsid w:val="00026B13"/>
    <w:rsid w:val="00026D19"/>
    <w:rsid w:val="00026D6F"/>
    <w:rsid w:val="00026E69"/>
    <w:rsid w:val="00026F49"/>
    <w:rsid w:val="000273BD"/>
    <w:rsid w:val="000275C7"/>
    <w:rsid w:val="00027873"/>
    <w:rsid w:val="00027E2B"/>
    <w:rsid w:val="00027FBB"/>
    <w:rsid w:val="00030571"/>
    <w:rsid w:val="000305F0"/>
    <w:rsid w:val="000307A7"/>
    <w:rsid w:val="00030A92"/>
    <w:rsid w:val="00030DBF"/>
    <w:rsid w:val="00030EE2"/>
    <w:rsid w:val="00030F0E"/>
    <w:rsid w:val="00030F19"/>
    <w:rsid w:val="0003109D"/>
    <w:rsid w:val="0003112B"/>
    <w:rsid w:val="000315FB"/>
    <w:rsid w:val="0003197D"/>
    <w:rsid w:val="00031C6B"/>
    <w:rsid w:val="00031D0E"/>
    <w:rsid w:val="00031EBD"/>
    <w:rsid w:val="00032270"/>
    <w:rsid w:val="00032B3D"/>
    <w:rsid w:val="00032F19"/>
    <w:rsid w:val="00033053"/>
    <w:rsid w:val="00033224"/>
    <w:rsid w:val="00033486"/>
    <w:rsid w:val="00033529"/>
    <w:rsid w:val="000336F9"/>
    <w:rsid w:val="00033AB9"/>
    <w:rsid w:val="00033BB9"/>
    <w:rsid w:val="00033DC1"/>
    <w:rsid w:val="000340A8"/>
    <w:rsid w:val="000341D9"/>
    <w:rsid w:val="00034272"/>
    <w:rsid w:val="0003441C"/>
    <w:rsid w:val="00034666"/>
    <w:rsid w:val="00034791"/>
    <w:rsid w:val="000348A6"/>
    <w:rsid w:val="00034BA8"/>
    <w:rsid w:val="00034C49"/>
    <w:rsid w:val="00034C76"/>
    <w:rsid w:val="00034D82"/>
    <w:rsid w:val="000351FB"/>
    <w:rsid w:val="00035490"/>
    <w:rsid w:val="000354E0"/>
    <w:rsid w:val="0003570F"/>
    <w:rsid w:val="00035710"/>
    <w:rsid w:val="00035B01"/>
    <w:rsid w:val="00035FBA"/>
    <w:rsid w:val="000362D5"/>
    <w:rsid w:val="000366F8"/>
    <w:rsid w:val="00036F0F"/>
    <w:rsid w:val="0003703F"/>
    <w:rsid w:val="00037134"/>
    <w:rsid w:val="000372A7"/>
    <w:rsid w:val="000373E3"/>
    <w:rsid w:val="000375A1"/>
    <w:rsid w:val="000377CA"/>
    <w:rsid w:val="00037901"/>
    <w:rsid w:val="00037F0C"/>
    <w:rsid w:val="00040688"/>
    <w:rsid w:val="0004090F"/>
    <w:rsid w:val="00040DB0"/>
    <w:rsid w:val="00041052"/>
    <w:rsid w:val="000416F5"/>
    <w:rsid w:val="00041781"/>
    <w:rsid w:val="0004179C"/>
    <w:rsid w:val="000419D6"/>
    <w:rsid w:val="00041D07"/>
    <w:rsid w:val="00041FA1"/>
    <w:rsid w:val="00041FEC"/>
    <w:rsid w:val="00042138"/>
    <w:rsid w:val="0004216C"/>
    <w:rsid w:val="00042341"/>
    <w:rsid w:val="00042587"/>
    <w:rsid w:val="00042680"/>
    <w:rsid w:val="000427F2"/>
    <w:rsid w:val="00042955"/>
    <w:rsid w:val="00042BB8"/>
    <w:rsid w:val="000431F5"/>
    <w:rsid w:val="0004366A"/>
    <w:rsid w:val="00043959"/>
    <w:rsid w:val="00043ADA"/>
    <w:rsid w:val="00043D0F"/>
    <w:rsid w:val="00043EB8"/>
    <w:rsid w:val="00043F27"/>
    <w:rsid w:val="000445F0"/>
    <w:rsid w:val="00044909"/>
    <w:rsid w:val="00044BF2"/>
    <w:rsid w:val="00044DA1"/>
    <w:rsid w:val="00044DED"/>
    <w:rsid w:val="00045338"/>
    <w:rsid w:val="000454F9"/>
    <w:rsid w:val="00045590"/>
    <w:rsid w:val="00045648"/>
    <w:rsid w:val="0004567C"/>
    <w:rsid w:val="000456B5"/>
    <w:rsid w:val="00045C5C"/>
    <w:rsid w:val="00045DC4"/>
    <w:rsid w:val="00045E82"/>
    <w:rsid w:val="00045F94"/>
    <w:rsid w:val="0004617B"/>
    <w:rsid w:val="000461EB"/>
    <w:rsid w:val="00046363"/>
    <w:rsid w:val="000465E9"/>
    <w:rsid w:val="0004725E"/>
    <w:rsid w:val="000472A4"/>
    <w:rsid w:val="000472B4"/>
    <w:rsid w:val="0004730A"/>
    <w:rsid w:val="0004733C"/>
    <w:rsid w:val="00047606"/>
    <w:rsid w:val="000476FE"/>
    <w:rsid w:val="0004799D"/>
    <w:rsid w:val="00047FDD"/>
    <w:rsid w:val="00050094"/>
    <w:rsid w:val="00050297"/>
    <w:rsid w:val="000502F4"/>
    <w:rsid w:val="0005045A"/>
    <w:rsid w:val="000505E2"/>
    <w:rsid w:val="0005063F"/>
    <w:rsid w:val="00050961"/>
    <w:rsid w:val="00050E0C"/>
    <w:rsid w:val="00050E23"/>
    <w:rsid w:val="00051345"/>
    <w:rsid w:val="0005151F"/>
    <w:rsid w:val="00051B2E"/>
    <w:rsid w:val="00051E22"/>
    <w:rsid w:val="00051E39"/>
    <w:rsid w:val="00051E5A"/>
    <w:rsid w:val="00051EFF"/>
    <w:rsid w:val="000522A8"/>
    <w:rsid w:val="000523E4"/>
    <w:rsid w:val="00052440"/>
    <w:rsid w:val="000527A8"/>
    <w:rsid w:val="00052BDA"/>
    <w:rsid w:val="00052C1C"/>
    <w:rsid w:val="000530B6"/>
    <w:rsid w:val="0005310A"/>
    <w:rsid w:val="00053162"/>
    <w:rsid w:val="000532CF"/>
    <w:rsid w:val="00053669"/>
    <w:rsid w:val="0005381D"/>
    <w:rsid w:val="000538C7"/>
    <w:rsid w:val="00053B2E"/>
    <w:rsid w:val="00053CB1"/>
    <w:rsid w:val="00054051"/>
    <w:rsid w:val="00054563"/>
    <w:rsid w:val="00054ED7"/>
    <w:rsid w:val="00054FA6"/>
    <w:rsid w:val="00054FE2"/>
    <w:rsid w:val="000550BF"/>
    <w:rsid w:val="00055118"/>
    <w:rsid w:val="00055356"/>
    <w:rsid w:val="000554F3"/>
    <w:rsid w:val="00055532"/>
    <w:rsid w:val="0005555A"/>
    <w:rsid w:val="00055887"/>
    <w:rsid w:val="00055950"/>
    <w:rsid w:val="000559DC"/>
    <w:rsid w:val="00055A9C"/>
    <w:rsid w:val="00056032"/>
    <w:rsid w:val="0005617A"/>
    <w:rsid w:val="00056401"/>
    <w:rsid w:val="000564CE"/>
    <w:rsid w:val="00056750"/>
    <w:rsid w:val="00056AD1"/>
    <w:rsid w:val="00056CBA"/>
    <w:rsid w:val="00057052"/>
    <w:rsid w:val="00057388"/>
    <w:rsid w:val="00057D00"/>
    <w:rsid w:val="00057D63"/>
    <w:rsid w:val="00057D90"/>
    <w:rsid w:val="00057FCD"/>
    <w:rsid w:val="000601C6"/>
    <w:rsid w:val="0006056F"/>
    <w:rsid w:val="00060C71"/>
    <w:rsid w:val="00060E0A"/>
    <w:rsid w:val="00060EE2"/>
    <w:rsid w:val="000612DF"/>
    <w:rsid w:val="000615A5"/>
    <w:rsid w:val="00061914"/>
    <w:rsid w:val="00061988"/>
    <w:rsid w:val="00061D35"/>
    <w:rsid w:val="00061E49"/>
    <w:rsid w:val="00061EB0"/>
    <w:rsid w:val="000628FD"/>
    <w:rsid w:val="00062A5F"/>
    <w:rsid w:val="00062A8D"/>
    <w:rsid w:val="00063036"/>
    <w:rsid w:val="000630BC"/>
    <w:rsid w:val="00063274"/>
    <w:rsid w:val="00063277"/>
    <w:rsid w:val="0006357E"/>
    <w:rsid w:val="00063847"/>
    <w:rsid w:val="00063B4D"/>
    <w:rsid w:val="00064163"/>
    <w:rsid w:val="00064382"/>
    <w:rsid w:val="00064444"/>
    <w:rsid w:val="0006459F"/>
    <w:rsid w:val="000646AF"/>
    <w:rsid w:val="000648C6"/>
    <w:rsid w:val="00064961"/>
    <w:rsid w:val="00064B0E"/>
    <w:rsid w:val="00065624"/>
    <w:rsid w:val="0006567E"/>
    <w:rsid w:val="00065A38"/>
    <w:rsid w:val="00065C34"/>
    <w:rsid w:val="00065CA7"/>
    <w:rsid w:val="00065E67"/>
    <w:rsid w:val="00066321"/>
    <w:rsid w:val="000663D1"/>
    <w:rsid w:val="000663FF"/>
    <w:rsid w:val="000666E6"/>
    <w:rsid w:val="00066722"/>
    <w:rsid w:val="000667C6"/>
    <w:rsid w:val="000668B0"/>
    <w:rsid w:val="000669DF"/>
    <w:rsid w:val="00066C71"/>
    <w:rsid w:val="000670D1"/>
    <w:rsid w:val="000670F9"/>
    <w:rsid w:val="0006727E"/>
    <w:rsid w:val="00067326"/>
    <w:rsid w:val="000677D8"/>
    <w:rsid w:val="00067FA3"/>
    <w:rsid w:val="0007002C"/>
    <w:rsid w:val="000700F9"/>
    <w:rsid w:val="00070197"/>
    <w:rsid w:val="000705B6"/>
    <w:rsid w:val="00070744"/>
    <w:rsid w:val="000708C4"/>
    <w:rsid w:val="0007091F"/>
    <w:rsid w:val="00070AD6"/>
    <w:rsid w:val="00070E9F"/>
    <w:rsid w:val="00071375"/>
    <w:rsid w:val="00071407"/>
    <w:rsid w:val="00071561"/>
    <w:rsid w:val="00071851"/>
    <w:rsid w:val="000718AB"/>
    <w:rsid w:val="00071F64"/>
    <w:rsid w:val="0007200D"/>
    <w:rsid w:val="0007203B"/>
    <w:rsid w:val="0007206A"/>
    <w:rsid w:val="00072150"/>
    <w:rsid w:val="000722EA"/>
    <w:rsid w:val="00072687"/>
    <w:rsid w:val="00072747"/>
    <w:rsid w:val="000730D4"/>
    <w:rsid w:val="00073301"/>
    <w:rsid w:val="00073513"/>
    <w:rsid w:val="0007363C"/>
    <w:rsid w:val="00073689"/>
    <w:rsid w:val="000737B5"/>
    <w:rsid w:val="000737BC"/>
    <w:rsid w:val="0007380D"/>
    <w:rsid w:val="00073C90"/>
    <w:rsid w:val="00073FA7"/>
    <w:rsid w:val="00074103"/>
    <w:rsid w:val="00074221"/>
    <w:rsid w:val="0007431A"/>
    <w:rsid w:val="00074376"/>
    <w:rsid w:val="0007483F"/>
    <w:rsid w:val="00074AD5"/>
    <w:rsid w:val="00074CB3"/>
    <w:rsid w:val="00074CC2"/>
    <w:rsid w:val="00074FDE"/>
    <w:rsid w:val="000752DF"/>
    <w:rsid w:val="000753D5"/>
    <w:rsid w:val="000757A5"/>
    <w:rsid w:val="00075B96"/>
    <w:rsid w:val="00075BD4"/>
    <w:rsid w:val="00075CC2"/>
    <w:rsid w:val="00075D57"/>
    <w:rsid w:val="00075DF4"/>
    <w:rsid w:val="0007657A"/>
    <w:rsid w:val="0007665F"/>
    <w:rsid w:val="00076C47"/>
    <w:rsid w:val="00076C9E"/>
    <w:rsid w:val="000770D5"/>
    <w:rsid w:val="0007758B"/>
    <w:rsid w:val="00077717"/>
    <w:rsid w:val="0007771F"/>
    <w:rsid w:val="00077799"/>
    <w:rsid w:val="000777A0"/>
    <w:rsid w:val="000779F3"/>
    <w:rsid w:val="000801FA"/>
    <w:rsid w:val="00080902"/>
    <w:rsid w:val="00080BE3"/>
    <w:rsid w:val="00080CD0"/>
    <w:rsid w:val="00080EF9"/>
    <w:rsid w:val="00080F59"/>
    <w:rsid w:val="0008125B"/>
    <w:rsid w:val="000812CD"/>
    <w:rsid w:val="00081544"/>
    <w:rsid w:val="00081634"/>
    <w:rsid w:val="00081996"/>
    <w:rsid w:val="00081A7C"/>
    <w:rsid w:val="00081AB3"/>
    <w:rsid w:val="00081DEA"/>
    <w:rsid w:val="00081DF8"/>
    <w:rsid w:val="000828FE"/>
    <w:rsid w:val="00082CA9"/>
    <w:rsid w:val="00083044"/>
    <w:rsid w:val="0008314F"/>
    <w:rsid w:val="0008315B"/>
    <w:rsid w:val="0008320F"/>
    <w:rsid w:val="0008327C"/>
    <w:rsid w:val="00083C2A"/>
    <w:rsid w:val="00083E1E"/>
    <w:rsid w:val="00083E47"/>
    <w:rsid w:val="00084141"/>
    <w:rsid w:val="00084345"/>
    <w:rsid w:val="000843AC"/>
    <w:rsid w:val="0008448A"/>
    <w:rsid w:val="000844D0"/>
    <w:rsid w:val="0008461A"/>
    <w:rsid w:val="00084666"/>
    <w:rsid w:val="00084732"/>
    <w:rsid w:val="000847DC"/>
    <w:rsid w:val="00084B24"/>
    <w:rsid w:val="00085166"/>
    <w:rsid w:val="00085269"/>
    <w:rsid w:val="000852CF"/>
    <w:rsid w:val="000853CB"/>
    <w:rsid w:val="000855E6"/>
    <w:rsid w:val="000856E4"/>
    <w:rsid w:val="00085819"/>
    <w:rsid w:val="00085978"/>
    <w:rsid w:val="00085A33"/>
    <w:rsid w:val="00085AAD"/>
    <w:rsid w:val="00085BFC"/>
    <w:rsid w:val="00085C15"/>
    <w:rsid w:val="00085DC5"/>
    <w:rsid w:val="00086017"/>
    <w:rsid w:val="00086255"/>
    <w:rsid w:val="00086372"/>
    <w:rsid w:val="00086416"/>
    <w:rsid w:val="00086550"/>
    <w:rsid w:val="00086793"/>
    <w:rsid w:val="00086A75"/>
    <w:rsid w:val="00086FC1"/>
    <w:rsid w:val="000870F1"/>
    <w:rsid w:val="000872CC"/>
    <w:rsid w:val="00087318"/>
    <w:rsid w:val="000874A3"/>
    <w:rsid w:val="00087833"/>
    <w:rsid w:val="0008788B"/>
    <w:rsid w:val="00087DBE"/>
    <w:rsid w:val="00090119"/>
    <w:rsid w:val="000902E2"/>
    <w:rsid w:val="0009041F"/>
    <w:rsid w:val="00090B39"/>
    <w:rsid w:val="00090FE8"/>
    <w:rsid w:val="0009105E"/>
    <w:rsid w:val="000911A5"/>
    <w:rsid w:val="000915C8"/>
    <w:rsid w:val="00091A88"/>
    <w:rsid w:val="00091C1B"/>
    <w:rsid w:val="00091E8F"/>
    <w:rsid w:val="00092379"/>
    <w:rsid w:val="00092409"/>
    <w:rsid w:val="00092482"/>
    <w:rsid w:val="000924CD"/>
    <w:rsid w:val="000926F9"/>
    <w:rsid w:val="00092873"/>
    <w:rsid w:val="000928AC"/>
    <w:rsid w:val="0009298D"/>
    <w:rsid w:val="000930E5"/>
    <w:rsid w:val="0009322E"/>
    <w:rsid w:val="00093579"/>
    <w:rsid w:val="000939D0"/>
    <w:rsid w:val="00094413"/>
    <w:rsid w:val="00094456"/>
    <w:rsid w:val="00094981"/>
    <w:rsid w:val="00094A5A"/>
    <w:rsid w:val="00094CD6"/>
    <w:rsid w:val="00094F33"/>
    <w:rsid w:val="000951AE"/>
    <w:rsid w:val="00095341"/>
    <w:rsid w:val="000954D4"/>
    <w:rsid w:val="00095786"/>
    <w:rsid w:val="00095E62"/>
    <w:rsid w:val="00095E97"/>
    <w:rsid w:val="000960A2"/>
    <w:rsid w:val="000960C8"/>
    <w:rsid w:val="000961D1"/>
    <w:rsid w:val="000964A9"/>
    <w:rsid w:val="00096856"/>
    <w:rsid w:val="0009694E"/>
    <w:rsid w:val="00096A94"/>
    <w:rsid w:val="00096A9F"/>
    <w:rsid w:val="00096B85"/>
    <w:rsid w:val="00097024"/>
    <w:rsid w:val="000970EF"/>
    <w:rsid w:val="000971F5"/>
    <w:rsid w:val="000973E3"/>
    <w:rsid w:val="000975E1"/>
    <w:rsid w:val="00097C36"/>
    <w:rsid w:val="00097CD1"/>
    <w:rsid w:val="00097CD6"/>
    <w:rsid w:val="00097E72"/>
    <w:rsid w:val="000A000F"/>
    <w:rsid w:val="000A0114"/>
    <w:rsid w:val="000A0218"/>
    <w:rsid w:val="000A0C34"/>
    <w:rsid w:val="000A1043"/>
    <w:rsid w:val="000A178A"/>
    <w:rsid w:val="000A1ACB"/>
    <w:rsid w:val="000A1B18"/>
    <w:rsid w:val="000A1E48"/>
    <w:rsid w:val="000A1E98"/>
    <w:rsid w:val="000A20B1"/>
    <w:rsid w:val="000A20B7"/>
    <w:rsid w:val="000A21CA"/>
    <w:rsid w:val="000A22CF"/>
    <w:rsid w:val="000A290A"/>
    <w:rsid w:val="000A2C2D"/>
    <w:rsid w:val="000A2C6A"/>
    <w:rsid w:val="000A2CD4"/>
    <w:rsid w:val="000A365D"/>
    <w:rsid w:val="000A3C2C"/>
    <w:rsid w:val="000A41C9"/>
    <w:rsid w:val="000A426A"/>
    <w:rsid w:val="000A4379"/>
    <w:rsid w:val="000A45D2"/>
    <w:rsid w:val="000A4C14"/>
    <w:rsid w:val="000A4E9A"/>
    <w:rsid w:val="000A4F4B"/>
    <w:rsid w:val="000A55B6"/>
    <w:rsid w:val="000A6067"/>
    <w:rsid w:val="000A608C"/>
    <w:rsid w:val="000A62A8"/>
    <w:rsid w:val="000A63DE"/>
    <w:rsid w:val="000A6B4F"/>
    <w:rsid w:val="000A7499"/>
    <w:rsid w:val="000A74C4"/>
    <w:rsid w:val="000A786F"/>
    <w:rsid w:val="000B016D"/>
    <w:rsid w:val="000B035C"/>
    <w:rsid w:val="000B051E"/>
    <w:rsid w:val="000B0737"/>
    <w:rsid w:val="000B08D6"/>
    <w:rsid w:val="000B0C55"/>
    <w:rsid w:val="000B0D24"/>
    <w:rsid w:val="000B0DCA"/>
    <w:rsid w:val="000B0FBE"/>
    <w:rsid w:val="000B1472"/>
    <w:rsid w:val="000B1608"/>
    <w:rsid w:val="000B17A6"/>
    <w:rsid w:val="000B1865"/>
    <w:rsid w:val="000B192F"/>
    <w:rsid w:val="000B1D68"/>
    <w:rsid w:val="000B1DFD"/>
    <w:rsid w:val="000B1E31"/>
    <w:rsid w:val="000B1EFA"/>
    <w:rsid w:val="000B24A0"/>
    <w:rsid w:val="000B262C"/>
    <w:rsid w:val="000B2703"/>
    <w:rsid w:val="000B28CE"/>
    <w:rsid w:val="000B2AC1"/>
    <w:rsid w:val="000B3032"/>
    <w:rsid w:val="000B338A"/>
    <w:rsid w:val="000B34BD"/>
    <w:rsid w:val="000B353C"/>
    <w:rsid w:val="000B358C"/>
    <w:rsid w:val="000B3598"/>
    <w:rsid w:val="000B3628"/>
    <w:rsid w:val="000B3BB0"/>
    <w:rsid w:val="000B3D7F"/>
    <w:rsid w:val="000B3DDE"/>
    <w:rsid w:val="000B4000"/>
    <w:rsid w:val="000B413F"/>
    <w:rsid w:val="000B499C"/>
    <w:rsid w:val="000B49A3"/>
    <w:rsid w:val="000B4ACD"/>
    <w:rsid w:val="000B4E24"/>
    <w:rsid w:val="000B4E61"/>
    <w:rsid w:val="000B51E2"/>
    <w:rsid w:val="000B56E6"/>
    <w:rsid w:val="000B57EE"/>
    <w:rsid w:val="000B5CDC"/>
    <w:rsid w:val="000B619B"/>
    <w:rsid w:val="000B63C8"/>
    <w:rsid w:val="000B666C"/>
    <w:rsid w:val="000B681B"/>
    <w:rsid w:val="000B6A23"/>
    <w:rsid w:val="000B6BE9"/>
    <w:rsid w:val="000B759F"/>
    <w:rsid w:val="000B76E4"/>
    <w:rsid w:val="000B7886"/>
    <w:rsid w:val="000B78FE"/>
    <w:rsid w:val="000B7A12"/>
    <w:rsid w:val="000B7BA6"/>
    <w:rsid w:val="000B7BBA"/>
    <w:rsid w:val="000B7CF5"/>
    <w:rsid w:val="000B7E51"/>
    <w:rsid w:val="000B7F82"/>
    <w:rsid w:val="000C005A"/>
    <w:rsid w:val="000C0838"/>
    <w:rsid w:val="000C120A"/>
    <w:rsid w:val="000C122E"/>
    <w:rsid w:val="000C171C"/>
    <w:rsid w:val="000C1915"/>
    <w:rsid w:val="000C1CAF"/>
    <w:rsid w:val="000C2432"/>
    <w:rsid w:val="000C2656"/>
    <w:rsid w:val="000C26A7"/>
    <w:rsid w:val="000C26ED"/>
    <w:rsid w:val="000C2D64"/>
    <w:rsid w:val="000C3092"/>
    <w:rsid w:val="000C35A1"/>
    <w:rsid w:val="000C364D"/>
    <w:rsid w:val="000C38D3"/>
    <w:rsid w:val="000C3ABF"/>
    <w:rsid w:val="000C3B9A"/>
    <w:rsid w:val="000C3C9E"/>
    <w:rsid w:val="000C3E7C"/>
    <w:rsid w:val="000C3ECD"/>
    <w:rsid w:val="000C40C4"/>
    <w:rsid w:val="000C4156"/>
    <w:rsid w:val="000C4389"/>
    <w:rsid w:val="000C4455"/>
    <w:rsid w:val="000C469A"/>
    <w:rsid w:val="000C4815"/>
    <w:rsid w:val="000C48C7"/>
    <w:rsid w:val="000C58C1"/>
    <w:rsid w:val="000C5903"/>
    <w:rsid w:val="000C5B76"/>
    <w:rsid w:val="000C5C9D"/>
    <w:rsid w:val="000C5DAB"/>
    <w:rsid w:val="000C5E68"/>
    <w:rsid w:val="000C6547"/>
    <w:rsid w:val="000C695C"/>
    <w:rsid w:val="000C6D9C"/>
    <w:rsid w:val="000C6EF6"/>
    <w:rsid w:val="000C7181"/>
    <w:rsid w:val="000C729E"/>
    <w:rsid w:val="000C72BE"/>
    <w:rsid w:val="000C743F"/>
    <w:rsid w:val="000C764A"/>
    <w:rsid w:val="000C7747"/>
    <w:rsid w:val="000C7A71"/>
    <w:rsid w:val="000C7C5D"/>
    <w:rsid w:val="000C7EBA"/>
    <w:rsid w:val="000C7FD8"/>
    <w:rsid w:val="000D0225"/>
    <w:rsid w:val="000D0429"/>
    <w:rsid w:val="000D0440"/>
    <w:rsid w:val="000D0469"/>
    <w:rsid w:val="000D064F"/>
    <w:rsid w:val="000D06CB"/>
    <w:rsid w:val="000D097C"/>
    <w:rsid w:val="000D0A23"/>
    <w:rsid w:val="000D0B56"/>
    <w:rsid w:val="000D0D68"/>
    <w:rsid w:val="000D0D73"/>
    <w:rsid w:val="000D0FEE"/>
    <w:rsid w:val="000D13BF"/>
    <w:rsid w:val="000D13C4"/>
    <w:rsid w:val="000D172E"/>
    <w:rsid w:val="000D18AC"/>
    <w:rsid w:val="000D1AE7"/>
    <w:rsid w:val="000D210B"/>
    <w:rsid w:val="000D217C"/>
    <w:rsid w:val="000D2B78"/>
    <w:rsid w:val="000D2BD6"/>
    <w:rsid w:val="000D2EB4"/>
    <w:rsid w:val="000D3397"/>
    <w:rsid w:val="000D3DE5"/>
    <w:rsid w:val="000D3E01"/>
    <w:rsid w:val="000D3F26"/>
    <w:rsid w:val="000D4084"/>
    <w:rsid w:val="000D414E"/>
    <w:rsid w:val="000D4150"/>
    <w:rsid w:val="000D42F6"/>
    <w:rsid w:val="000D4497"/>
    <w:rsid w:val="000D46D5"/>
    <w:rsid w:val="000D481C"/>
    <w:rsid w:val="000D48F0"/>
    <w:rsid w:val="000D4B7C"/>
    <w:rsid w:val="000D4DDA"/>
    <w:rsid w:val="000D4FA1"/>
    <w:rsid w:val="000D4FBA"/>
    <w:rsid w:val="000D553D"/>
    <w:rsid w:val="000D5853"/>
    <w:rsid w:val="000D5FD5"/>
    <w:rsid w:val="000D6068"/>
    <w:rsid w:val="000D6380"/>
    <w:rsid w:val="000D683B"/>
    <w:rsid w:val="000D6AB8"/>
    <w:rsid w:val="000D6B05"/>
    <w:rsid w:val="000D6CB8"/>
    <w:rsid w:val="000D6D0C"/>
    <w:rsid w:val="000D6F84"/>
    <w:rsid w:val="000D7094"/>
    <w:rsid w:val="000D7A59"/>
    <w:rsid w:val="000D7CB1"/>
    <w:rsid w:val="000D7CD9"/>
    <w:rsid w:val="000D7F48"/>
    <w:rsid w:val="000E07B1"/>
    <w:rsid w:val="000E08D1"/>
    <w:rsid w:val="000E12FC"/>
    <w:rsid w:val="000E1490"/>
    <w:rsid w:val="000E1A29"/>
    <w:rsid w:val="000E1A73"/>
    <w:rsid w:val="000E1F64"/>
    <w:rsid w:val="000E22E8"/>
    <w:rsid w:val="000E23D6"/>
    <w:rsid w:val="000E26C3"/>
    <w:rsid w:val="000E2B2A"/>
    <w:rsid w:val="000E2BC9"/>
    <w:rsid w:val="000E2EEF"/>
    <w:rsid w:val="000E2F5D"/>
    <w:rsid w:val="000E31EB"/>
    <w:rsid w:val="000E3404"/>
    <w:rsid w:val="000E354F"/>
    <w:rsid w:val="000E3729"/>
    <w:rsid w:val="000E3840"/>
    <w:rsid w:val="000E3A0A"/>
    <w:rsid w:val="000E3A5C"/>
    <w:rsid w:val="000E3C60"/>
    <w:rsid w:val="000E3FD4"/>
    <w:rsid w:val="000E4314"/>
    <w:rsid w:val="000E447C"/>
    <w:rsid w:val="000E44A9"/>
    <w:rsid w:val="000E49B3"/>
    <w:rsid w:val="000E49B7"/>
    <w:rsid w:val="000E4B57"/>
    <w:rsid w:val="000E517D"/>
    <w:rsid w:val="000E51C7"/>
    <w:rsid w:val="000E5294"/>
    <w:rsid w:val="000E52C1"/>
    <w:rsid w:val="000E5353"/>
    <w:rsid w:val="000E56C8"/>
    <w:rsid w:val="000E5800"/>
    <w:rsid w:val="000E5A72"/>
    <w:rsid w:val="000E5ABF"/>
    <w:rsid w:val="000E5C23"/>
    <w:rsid w:val="000E628E"/>
    <w:rsid w:val="000E633A"/>
    <w:rsid w:val="000E64D2"/>
    <w:rsid w:val="000E6B35"/>
    <w:rsid w:val="000E6CFC"/>
    <w:rsid w:val="000E6E0B"/>
    <w:rsid w:val="000E6F1A"/>
    <w:rsid w:val="000E7007"/>
    <w:rsid w:val="000E7043"/>
    <w:rsid w:val="000E748E"/>
    <w:rsid w:val="000E74A1"/>
    <w:rsid w:val="000E7596"/>
    <w:rsid w:val="000E781D"/>
    <w:rsid w:val="000E79B8"/>
    <w:rsid w:val="000F00E9"/>
    <w:rsid w:val="000F047A"/>
    <w:rsid w:val="000F0753"/>
    <w:rsid w:val="000F09A3"/>
    <w:rsid w:val="000F0C6D"/>
    <w:rsid w:val="000F0FE8"/>
    <w:rsid w:val="000F1153"/>
    <w:rsid w:val="000F16A2"/>
    <w:rsid w:val="000F1A92"/>
    <w:rsid w:val="000F21DD"/>
    <w:rsid w:val="000F26A3"/>
    <w:rsid w:val="000F2DA6"/>
    <w:rsid w:val="000F2DCC"/>
    <w:rsid w:val="000F2E10"/>
    <w:rsid w:val="000F2F2B"/>
    <w:rsid w:val="000F318A"/>
    <w:rsid w:val="000F32AF"/>
    <w:rsid w:val="000F32EA"/>
    <w:rsid w:val="000F3617"/>
    <w:rsid w:val="000F379B"/>
    <w:rsid w:val="000F3829"/>
    <w:rsid w:val="000F44DC"/>
    <w:rsid w:val="000F4565"/>
    <w:rsid w:val="000F4603"/>
    <w:rsid w:val="000F4774"/>
    <w:rsid w:val="000F4867"/>
    <w:rsid w:val="000F5080"/>
    <w:rsid w:val="000F5168"/>
    <w:rsid w:val="000F517F"/>
    <w:rsid w:val="000F5544"/>
    <w:rsid w:val="000F5610"/>
    <w:rsid w:val="000F5756"/>
    <w:rsid w:val="000F57F8"/>
    <w:rsid w:val="000F5BBB"/>
    <w:rsid w:val="000F62C5"/>
    <w:rsid w:val="000F6C2D"/>
    <w:rsid w:val="000F7330"/>
    <w:rsid w:val="000F7491"/>
    <w:rsid w:val="000F75B7"/>
    <w:rsid w:val="000F75CD"/>
    <w:rsid w:val="000F782C"/>
    <w:rsid w:val="000F78AD"/>
    <w:rsid w:val="000F7916"/>
    <w:rsid w:val="000F7A6B"/>
    <w:rsid w:val="000F7EF3"/>
    <w:rsid w:val="0010011D"/>
    <w:rsid w:val="0010037D"/>
    <w:rsid w:val="00100451"/>
    <w:rsid w:val="0010090E"/>
    <w:rsid w:val="001009E5"/>
    <w:rsid w:val="001011C5"/>
    <w:rsid w:val="00101289"/>
    <w:rsid w:val="00101681"/>
    <w:rsid w:val="00101720"/>
    <w:rsid w:val="00101AA4"/>
    <w:rsid w:val="00101D29"/>
    <w:rsid w:val="00101FB9"/>
    <w:rsid w:val="001029BE"/>
    <w:rsid w:val="00102BCE"/>
    <w:rsid w:val="00102CB4"/>
    <w:rsid w:val="00102CFF"/>
    <w:rsid w:val="00102FCC"/>
    <w:rsid w:val="00102FE8"/>
    <w:rsid w:val="00103232"/>
    <w:rsid w:val="0010326C"/>
    <w:rsid w:val="001038B2"/>
    <w:rsid w:val="001038E2"/>
    <w:rsid w:val="00103901"/>
    <w:rsid w:val="00103AE1"/>
    <w:rsid w:val="00103B31"/>
    <w:rsid w:val="0010408A"/>
    <w:rsid w:val="00104413"/>
    <w:rsid w:val="00104A47"/>
    <w:rsid w:val="00104CE4"/>
    <w:rsid w:val="00105179"/>
    <w:rsid w:val="001051BB"/>
    <w:rsid w:val="001055C9"/>
    <w:rsid w:val="00105922"/>
    <w:rsid w:val="00105D2E"/>
    <w:rsid w:val="00105ED1"/>
    <w:rsid w:val="00105EFB"/>
    <w:rsid w:val="00106463"/>
    <w:rsid w:val="0010683B"/>
    <w:rsid w:val="0010684D"/>
    <w:rsid w:val="00106AB9"/>
    <w:rsid w:val="00106E84"/>
    <w:rsid w:val="00106F78"/>
    <w:rsid w:val="0010725B"/>
    <w:rsid w:val="001074DD"/>
    <w:rsid w:val="001078A7"/>
    <w:rsid w:val="0010794F"/>
    <w:rsid w:val="00107B53"/>
    <w:rsid w:val="00107BF7"/>
    <w:rsid w:val="00107D41"/>
    <w:rsid w:val="00107E66"/>
    <w:rsid w:val="00107ED5"/>
    <w:rsid w:val="00107F23"/>
    <w:rsid w:val="00110528"/>
    <w:rsid w:val="00110775"/>
    <w:rsid w:val="001108F8"/>
    <w:rsid w:val="00110AE4"/>
    <w:rsid w:val="00110B7F"/>
    <w:rsid w:val="00110E68"/>
    <w:rsid w:val="00110EFB"/>
    <w:rsid w:val="001114D4"/>
    <w:rsid w:val="00111578"/>
    <w:rsid w:val="0011174F"/>
    <w:rsid w:val="00111C8F"/>
    <w:rsid w:val="001123EC"/>
    <w:rsid w:val="00112C76"/>
    <w:rsid w:val="00112E70"/>
    <w:rsid w:val="001134A5"/>
    <w:rsid w:val="00113523"/>
    <w:rsid w:val="0011373A"/>
    <w:rsid w:val="00113A87"/>
    <w:rsid w:val="00113D4C"/>
    <w:rsid w:val="00113E8D"/>
    <w:rsid w:val="00113F65"/>
    <w:rsid w:val="00114989"/>
    <w:rsid w:val="00114E79"/>
    <w:rsid w:val="001153B5"/>
    <w:rsid w:val="001155FF"/>
    <w:rsid w:val="0011565B"/>
    <w:rsid w:val="001156B2"/>
    <w:rsid w:val="00115A3E"/>
    <w:rsid w:val="00115A9A"/>
    <w:rsid w:val="00115A9B"/>
    <w:rsid w:val="00115CA6"/>
    <w:rsid w:val="00115D46"/>
    <w:rsid w:val="00115D6D"/>
    <w:rsid w:val="001161A0"/>
    <w:rsid w:val="0011673E"/>
    <w:rsid w:val="0011675E"/>
    <w:rsid w:val="00116B88"/>
    <w:rsid w:val="00116ED8"/>
    <w:rsid w:val="001177E7"/>
    <w:rsid w:val="00117C50"/>
    <w:rsid w:val="0012022E"/>
    <w:rsid w:val="0012026C"/>
    <w:rsid w:val="00120547"/>
    <w:rsid w:val="001206A5"/>
    <w:rsid w:val="00120AB2"/>
    <w:rsid w:val="00120B12"/>
    <w:rsid w:val="00120B58"/>
    <w:rsid w:val="00120CD6"/>
    <w:rsid w:val="00120CE8"/>
    <w:rsid w:val="00120FC2"/>
    <w:rsid w:val="001211B2"/>
    <w:rsid w:val="00121201"/>
    <w:rsid w:val="001212B1"/>
    <w:rsid w:val="00121337"/>
    <w:rsid w:val="001213C8"/>
    <w:rsid w:val="0012143C"/>
    <w:rsid w:val="001214D7"/>
    <w:rsid w:val="0012168E"/>
    <w:rsid w:val="001218A4"/>
    <w:rsid w:val="00121AD8"/>
    <w:rsid w:val="00121CF6"/>
    <w:rsid w:val="00121E6F"/>
    <w:rsid w:val="00122162"/>
    <w:rsid w:val="001222BB"/>
    <w:rsid w:val="00122C9B"/>
    <w:rsid w:val="00122DC6"/>
    <w:rsid w:val="00123106"/>
    <w:rsid w:val="00123354"/>
    <w:rsid w:val="0012335A"/>
    <w:rsid w:val="00123D55"/>
    <w:rsid w:val="00123F21"/>
    <w:rsid w:val="001242CB"/>
    <w:rsid w:val="00124E69"/>
    <w:rsid w:val="00124E89"/>
    <w:rsid w:val="0012568F"/>
    <w:rsid w:val="00125793"/>
    <w:rsid w:val="001257F6"/>
    <w:rsid w:val="00125807"/>
    <w:rsid w:val="00125B85"/>
    <w:rsid w:val="00125EF5"/>
    <w:rsid w:val="001260A9"/>
    <w:rsid w:val="00126409"/>
    <w:rsid w:val="00126909"/>
    <w:rsid w:val="00126A69"/>
    <w:rsid w:val="00126CF6"/>
    <w:rsid w:val="00127213"/>
    <w:rsid w:val="00127320"/>
    <w:rsid w:val="00127377"/>
    <w:rsid w:val="00127390"/>
    <w:rsid w:val="00127488"/>
    <w:rsid w:val="001277E1"/>
    <w:rsid w:val="001300BC"/>
    <w:rsid w:val="0013096A"/>
    <w:rsid w:val="001309DF"/>
    <w:rsid w:val="00130DC7"/>
    <w:rsid w:val="00130EA7"/>
    <w:rsid w:val="00130FDC"/>
    <w:rsid w:val="001310E0"/>
    <w:rsid w:val="0013118C"/>
    <w:rsid w:val="001312DD"/>
    <w:rsid w:val="001315A9"/>
    <w:rsid w:val="00131781"/>
    <w:rsid w:val="00131B93"/>
    <w:rsid w:val="00131CED"/>
    <w:rsid w:val="00131D3E"/>
    <w:rsid w:val="00132071"/>
    <w:rsid w:val="00132115"/>
    <w:rsid w:val="001322F5"/>
    <w:rsid w:val="00132513"/>
    <w:rsid w:val="001326D0"/>
    <w:rsid w:val="0013290A"/>
    <w:rsid w:val="00132944"/>
    <w:rsid w:val="00132BB1"/>
    <w:rsid w:val="00132DE0"/>
    <w:rsid w:val="00133595"/>
    <w:rsid w:val="0013386C"/>
    <w:rsid w:val="00133919"/>
    <w:rsid w:val="0013392D"/>
    <w:rsid w:val="00133F4F"/>
    <w:rsid w:val="00134063"/>
    <w:rsid w:val="00134420"/>
    <w:rsid w:val="001347D7"/>
    <w:rsid w:val="00134C1A"/>
    <w:rsid w:val="00134FB1"/>
    <w:rsid w:val="00135368"/>
    <w:rsid w:val="0013570C"/>
    <w:rsid w:val="00135861"/>
    <w:rsid w:val="001360B4"/>
    <w:rsid w:val="001363A4"/>
    <w:rsid w:val="00137023"/>
    <w:rsid w:val="0013746A"/>
    <w:rsid w:val="00137474"/>
    <w:rsid w:val="001375D4"/>
    <w:rsid w:val="001378F3"/>
    <w:rsid w:val="0013797C"/>
    <w:rsid w:val="00137AD4"/>
    <w:rsid w:val="00137ECE"/>
    <w:rsid w:val="00140060"/>
    <w:rsid w:val="001401AB"/>
    <w:rsid w:val="0014095E"/>
    <w:rsid w:val="00140A56"/>
    <w:rsid w:val="00140B33"/>
    <w:rsid w:val="00140C48"/>
    <w:rsid w:val="00140D4E"/>
    <w:rsid w:val="00140EEA"/>
    <w:rsid w:val="00140EFF"/>
    <w:rsid w:val="00141183"/>
    <w:rsid w:val="001412BC"/>
    <w:rsid w:val="00141438"/>
    <w:rsid w:val="001419AE"/>
    <w:rsid w:val="00141A52"/>
    <w:rsid w:val="00141B7E"/>
    <w:rsid w:val="00141BF2"/>
    <w:rsid w:val="00142209"/>
    <w:rsid w:val="00142277"/>
    <w:rsid w:val="00142279"/>
    <w:rsid w:val="00142518"/>
    <w:rsid w:val="001429A2"/>
    <w:rsid w:val="00142B90"/>
    <w:rsid w:val="00142BE7"/>
    <w:rsid w:val="00142E88"/>
    <w:rsid w:val="00142F0B"/>
    <w:rsid w:val="0014335A"/>
    <w:rsid w:val="0014339C"/>
    <w:rsid w:val="00143921"/>
    <w:rsid w:val="00143B38"/>
    <w:rsid w:val="00143B41"/>
    <w:rsid w:val="00143E91"/>
    <w:rsid w:val="00143F1F"/>
    <w:rsid w:val="0014472F"/>
    <w:rsid w:val="00144921"/>
    <w:rsid w:val="00144C3A"/>
    <w:rsid w:val="00144C75"/>
    <w:rsid w:val="00144D1E"/>
    <w:rsid w:val="00144E39"/>
    <w:rsid w:val="00144F03"/>
    <w:rsid w:val="00145281"/>
    <w:rsid w:val="00145635"/>
    <w:rsid w:val="001456AE"/>
    <w:rsid w:val="00145E7C"/>
    <w:rsid w:val="00145EB8"/>
    <w:rsid w:val="00146172"/>
    <w:rsid w:val="00146369"/>
    <w:rsid w:val="001463DA"/>
    <w:rsid w:val="001463F6"/>
    <w:rsid w:val="001468D5"/>
    <w:rsid w:val="00146AD8"/>
    <w:rsid w:val="00146B22"/>
    <w:rsid w:val="00146D7C"/>
    <w:rsid w:val="0014715D"/>
    <w:rsid w:val="001474D9"/>
    <w:rsid w:val="0014750D"/>
    <w:rsid w:val="00147709"/>
    <w:rsid w:val="001479A7"/>
    <w:rsid w:val="001479AF"/>
    <w:rsid w:val="00147BAC"/>
    <w:rsid w:val="00147CA9"/>
    <w:rsid w:val="00147D0F"/>
    <w:rsid w:val="00147D27"/>
    <w:rsid w:val="00147DDC"/>
    <w:rsid w:val="00150A0F"/>
    <w:rsid w:val="00150C3E"/>
    <w:rsid w:val="00150F8F"/>
    <w:rsid w:val="001513AE"/>
    <w:rsid w:val="00151421"/>
    <w:rsid w:val="0015184C"/>
    <w:rsid w:val="001518F4"/>
    <w:rsid w:val="00152022"/>
    <w:rsid w:val="00152173"/>
    <w:rsid w:val="00152B4D"/>
    <w:rsid w:val="00152C26"/>
    <w:rsid w:val="0015307F"/>
    <w:rsid w:val="0015315D"/>
    <w:rsid w:val="001532B6"/>
    <w:rsid w:val="001532ED"/>
    <w:rsid w:val="00153870"/>
    <w:rsid w:val="00153988"/>
    <w:rsid w:val="001539AD"/>
    <w:rsid w:val="00153C79"/>
    <w:rsid w:val="00153D6A"/>
    <w:rsid w:val="00154547"/>
    <w:rsid w:val="00154DB4"/>
    <w:rsid w:val="00154EEA"/>
    <w:rsid w:val="00154F4F"/>
    <w:rsid w:val="0015501B"/>
    <w:rsid w:val="00155205"/>
    <w:rsid w:val="00155675"/>
    <w:rsid w:val="001556D0"/>
    <w:rsid w:val="00155982"/>
    <w:rsid w:val="00155A3F"/>
    <w:rsid w:val="00155B00"/>
    <w:rsid w:val="00155DAD"/>
    <w:rsid w:val="00155F59"/>
    <w:rsid w:val="00155FEF"/>
    <w:rsid w:val="001565AD"/>
    <w:rsid w:val="00156800"/>
    <w:rsid w:val="00156997"/>
    <w:rsid w:val="00156B6D"/>
    <w:rsid w:val="00156F8B"/>
    <w:rsid w:val="001575D6"/>
    <w:rsid w:val="0015788C"/>
    <w:rsid w:val="001579BA"/>
    <w:rsid w:val="00157D55"/>
    <w:rsid w:val="00157DCD"/>
    <w:rsid w:val="0016006C"/>
    <w:rsid w:val="00160E62"/>
    <w:rsid w:val="00160FED"/>
    <w:rsid w:val="00161258"/>
    <w:rsid w:val="00161303"/>
    <w:rsid w:val="001614FD"/>
    <w:rsid w:val="001618E0"/>
    <w:rsid w:val="00161D4D"/>
    <w:rsid w:val="00162032"/>
    <w:rsid w:val="001620E0"/>
    <w:rsid w:val="00162190"/>
    <w:rsid w:val="00162191"/>
    <w:rsid w:val="001623ED"/>
    <w:rsid w:val="0016262F"/>
    <w:rsid w:val="00162814"/>
    <w:rsid w:val="0016294E"/>
    <w:rsid w:val="00162D36"/>
    <w:rsid w:val="00162EBA"/>
    <w:rsid w:val="0016333F"/>
    <w:rsid w:val="001638A5"/>
    <w:rsid w:val="00163A61"/>
    <w:rsid w:val="00163AF2"/>
    <w:rsid w:val="00163B98"/>
    <w:rsid w:val="00164407"/>
    <w:rsid w:val="00164564"/>
    <w:rsid w:val="001647C3"/>
    <w:rsid w:val="001648CD"/>
    <w:rsid w:val="00164D47"/>
    <w:rsid w:val="00164EC6"/>
    <w:rsid w:val="0016521A"/>
    <w:rsid w:val="001653ED"/>
    <w:rsid w:val="00165520"/>
    <w:rsid w:val="0016569C"/>
    <w:rsid w:val="00165850"/>
    <w:rsid w:val="00165882"/>
    <w:rsid w:val="00165ADF"/>
    <w:rsid w:val="00165C99"/>
    <w:rsid w:val="001661C2"/>
    <w:rsid w:val="001663A0"/>
    <w:rsid w:val="001665D1"/>
    <w:rsid w:val="00166633"/>
    <w:rsid w:val="00166666"/>
    <w:rsid w:val="00166B93"/>
    <w:rsid w:val="00166BFC"/>
    <w:rsid w:val="00166CEB"/>
    <w:rsid w:val="00166E20"/>
    <w:rsid w:val="0016706C"/>
    <w:rsid w:val="001670A7"/>
    <w:rsid w:val="00167155"/>
    <w:rsid w:val="001671A3"/>
    <w:rsid w:val="00167473"/>
    <w:rsid w:val="001674CA"/>
    <w:rsid w:val="001675D2"/>
    <w:rsid w:val="001677FE"/>
    <w:rsid w:val="001679B9"/>
    <w:rsid w:val="00167C78"/>
    <w:rsid w:val="00167DA8"/>
    <w:rsid w:val="00167DD0"/>
    <w:rsid w:val="00167ED8"/>
    <w:rsid w:val="00170445"/>
    <w:rsid w:val="00170B27"/>
    <w:rsid w:val="00170B4B"/>
    <w:rsid w:val="00170EFA"/>
    <w:rsid w:val="001711FA"/>
    <w:rsid w:val="00171239"/>
    <w:rsid w:val="0017123F"/>
    <w:rsid w:val="00171B1B"/>
    <w:rsid w:val="00171C12"/>
    <w:rsid w:val="00171E8E"/>
    <w:rsid w:val="00171EAD"/>
    <w:rsid w:val="00171F48"/>
    <w:rsid w:val="0017212E"/>
    <w:rsid w:val="0017212F"/>
    <w:rsid w:val="00172657"/>
    <w:rsid w:val="001727B9"/>
    <w:rsid w:val="0017288F"/>
    <w:rsid w:val="00172C78"/>
    <w:rsid w:val="00172FAB"/>
    <w:rsid w:val="00172FE0"/>
    <w:rsid w:val="0017357B"/>
    <w:rsid w:val="00173A57"/>
    <w:rsid w:val="00173AB4"/>
    <w:rsid w:val="00173DCE"/>
    <w:rsid w:val="00174245"/>
    <w:rsid w:val="001742F5"/>
    <w:rsid w:val="001744C0"/>
    <w:rsid w:val="001744C7"/>
    <w:rsid w:val="001745B3"/>
    <w:rsid w:val="00174636"/>
    <w:rsid w:val="001747A6"/>
    <w:rsid w:val="001747B0"/>
    <w:rsid w:val="00175113"/>
    <w:rsid w:val="0017515B"/>
    <w:rsid w:val="00175207"/>
    <w:rsid w:val="0017533D"/>
    <w:rsid w:val="001754DC"/>
    <w:rsid w:val="001755C0"/>
    <w:rsid w:val="0017570D"/>
    <w:rsid w:val="00175F87"/>
    <w:rsid w:val="001765B3"/>
    <w:rsid w:val="001766D9"/>
    <w:rsid w:val="001769F6"/>
    <w:rsid w:val="00176A64"/>
    <w:rsid w:val="00176C52"/>
    <w:rsid w:val="001771B8"/>
    <w:rsid w:val="0017725D"/>
    <w:rsid w:val="001775BD"/>
    <w:rsid w:val="001775FF"/>
    <w:rsid w:val="00177C87"/>
    <w:rsid w:val="00177CAC"/>
    <w:rsid w:val="0018006A"/>
    <w:rsid w:val="001808BE"/>
    <w:rsid w:val="00180A54"/>
    <w:rsid w:val="00180B13"/>
    <w:rsid w:val="00180B16"/>
    <w:rsid w:val="00180D67"/>
    <w:rsid w:val="00180F05"/>
    <w:rsid w:val="00180F07"/>
    <w:rsid w:val="00180F4E"/>
    <w:rsid w:val="001810E3"/>
    <w:rsid w:val="001812C9"/>
    <w:rsid w:val="0018141E"/>
    <w:rsid w:val="0018145A"/>
    <w:rsid w:val="0018146A"/>
    <w:rsid w:val="00181655"/>
    <w:rsid w:val="00181A34"/>
    <w:rsid w:val="00181F72"/>
    <w:rsid w:val="00182321"/>
    <w:rsid w:val="0018252C"/>
    <w:rsid w:val="001826A2"/>
    <w:rsid w:val="001826EF"/>
    <w:rsid w:val="00182C05"/>
    <w:rsid w:val="00182C66"/>
    <w:rsid w:val="00182E97"/>
    <w:rsid w:val="00182EFE"/>
    <w:rsid w:val="00183316"/>
    <w:rsid w:val="0018363A"/>
    <w:rsid w:val="0018370A"/>
    <w:rsid w:val="001837D8"/>
    <w:rsid w:val="00183912"/>
    <w:rsid w:val="00184171"/>
    <w:rsid w:val="001841F3"/>
    <w:rsid w:val="00184812"/>
    <w:rsid w:val="00184C65"/>
    <w:rsid w:val="00184E5C"/>
    <w:rsid w:val="00185015"/>
    <w:rsid w:val="001854DA"/>
    <w:rsid w:val="00185986"/>
    <w:rsid w:val="001860D4"/>
    <w:rsid w:val="00186230"/>
    <w:rsid w:val="00186683"/>
    <w:rsid w:val="00186784"/>
    <w:rsid w:val="00186851"/>
    <w:rsid w:val="0018697D"/>
    <w:rsid w:val="00186BA0"/>
    <w:rsid w:val="0018703B"/>
    <w:rsid w:val="001870A1"/>
    <w:rsid w:val="001870D2"/>
    <w:rsid w:val="0018710B"/>
    <w:rsid w:val="00187150"/>
    <w:rsid w:val="00187625"/>
    <w:rsid w:val="0018792B"/>
    <w:rsid w:val="00187F09"/>
    <w:rsid w:val="00187F6C"/>
    <w:rsid w:val="00187F97"/>
    <w:rsid w:val="00190621"/>
    <w:rsid w:val="0019087D"/>
    <w:rsid w:val="001908A0"/>
    <w:rsid w:val="001909DE"/>
    <w:rsid w:val="00190B19"/>
    <w:rsid w:val="00190FE7"/>
    <w:rsid w:val="00191935"/>
    <w:rsid w:val="00191D51"/>
    <w:rsid w:val="00191F9B"/>
    <w:rsid w:val="0019204D"/>
    <w:rsid w:val="00192123"/>
    <w:rsid w:val="0019271B"/>
    <w:rsid w:val="001927AC"/>
    <w:rsid w:val="00192986"/>
    <w:rsid w:val="00192CE8"/>
    <w:rsid w:val="00192F90"/>
    <w:rsid w:val="00193072"/>
    <w:rsid w:val="001931FA"/>
    <w:rsid w:val="00193649"/>
    <w:rsid w:val="001938D7"/>
    <w:rsid w:val="00193AEB"/>
    <w:rsid w:val="00193CCD"/>
    <w:rsid w:val="00193D49"/>
    <w:rsid w:val="00194030"/>
    <w:rsid w:val="00194060"/>
    <w:rsid w:val="00194BC0"/>
    <w:rsid w:val="00194C6B"/>
    <w:rsid w:val="00195105"/>
    <w:rsid w:val="00195369"/>
    <w:rsid w:val="001957D6"/>
    <w:rsid w:val="00195B53"/>
    <w:rsid w:val="00195D3A"/>
    <w:rsid w:val="001964B9"/>
    <w:rsid w:val="00196AC6"/>
    <w:rsid w:val="00196D86"/>
    <w:rsid w:val="00197289"/>
    <w:rsid w:val="0019738B"/>
    <w:rsid w:val="001A01CB"/>
    <w:rsid w:val="001A02AA"/>
    <w:rsid w:val="001A0707"/>
    <w:rsid w:val="001A09D6"/>
    <w:rsid w:val="001A0A60"/>
    <w:rsid w:val="001A1140"/>
    <w:rsid w:val="001A1379"/>
    <w:rsid w:val="001A160A"/>
    <w:rsid w:val="001A16D5"/>
    <w:rsid w:val="001A2163"/>
    <w:rsid w:val="001A22C9"/>
    <w:rsid w:val="001A23CB"/>
    <w:rsid w:val="001A23DF"/>
    <w:rsid w:val="001A2534"/>
    <w:rsid w:val="001A2553"/>
    <w:rsid w:val="001A263E"/>
    <w:rsid w:val="001A2659"/>
    <w:rsid w:val="001A26A2"/>
    <w:rsid w:val="001A27AD"/>
    <w:rsid w:val="001A2EA1"/>
    <w:rsid w:val="001A3066"/>
    <w:rsid w:val="001A3164"/>
    <w:rsid w:val="001A3335"/>
    <w:rsid w:val="001A35B2"/>
    <w:rsid w:val="001A3675"/>
    <w:rsid w:val="001A3B7F"/>
    <w:rsid w:val="001A3FBB"/>
    <w:rsid w:val="001A4096"/>
    <w:rsid w:val="001A4122"/>
    <w:rsid w:val="001A450E"/>
    <w:rsid w:val="001A4638"/>
    <w:rsid w:val="001A4748"/>
    <w:rsid w:val="001A4A0A"/>
    <w:rsid w:val="001A4DA9"/>
    <w:rsid w:val="001A5214"/>
    <w:rsid w:val="001A5350"/>
    <w:rsid w:val="001A5518"/>
    <w:rsid w:val="001A5D2C"/>
    <w:rsid w:val="001A5F98"/>
    <w:rsid w:val="001A605C"/>
    <w:rsid w:val="001A63FF"/>
    <w:rsid w:val="001A67AB"/>
    <w:rsid w:val="001A68D0"/>
    <w:rsid w:val="001A69E0"/>
    <w:rsid w:val="001A6BB0"/>
    <w:rsid w:val="001A72AD"/>
    <w:rsid w:val="001A7C06"/>
    <w:rsid w:val="001A7CF2"/>
    <w:rsid w:val="001A7D1D"/>
    <w:rsid w:val="001A7D35"/>
    <w:rsid w:val="001A7F75"/>
    <w:rsid w:val="001B01D4"/>
    <w:rsid w:val="001B0270"/>
    <w:rsid w:val="001B02FC"/>
    <w:rsid w:val="001B0984"/>
    <w:rsid w:val="001B0CB2"/>
    <w:rsid w:val="001B0E19"/>
    <w:rsid w:val="001B0E79"/>
    <w:rsid w:val="001B0F50"/>
    <w:rsid w:val="001B13A5"/>
    <w:rsid w:val="001B141C"/>
    <w:rsid w:val="001B145F"/>
    <w:rsid w:val="001B1955"/>
    <w:rsid w:val="001B1EF6"/>
    <w:rsid w:val="001B279E"/>
    <w:rsid w:val="001B2AA0"/>
    <w:rsid w:val="001B2D08"/>
    <w:rsid w:val="001B2D1C"/>
    <w:rsid w:val="001B2EFF"/>
    <w:rsid w:val="001B3018"/>
    <w:rsid w:val="001B3120"/>
    <w:rsid w:val="001B31C3"/>
    <w:rsid w:val="001B3A8A"/>
    <w:rsid w:val="001B4027"/>
    <w:rsid w:val="001B431F"/>
    <w:rsid w:val="001B43EB"/>
    <w:rsid w:val="001B47C3"/>
    <w:rsid w:val="001B4DDF"/>
    <w:rsid w:val="001B5192"/>
    <w:rsid w:val="001B539B"/>
    <w:rsid w:val="001B558B"/>
    <w:rsid w:val="001B55BF"/>
    <w:rsid w:val="001B5730"/>
    <w:rsid w:val="001B59E6"/>
    <w:rsid w:val="001B654C"/>
    <w:rsid w:val="001B6936"/>
    <w:rsid w:val="001B6FBA"/>
    <w:rsid w:val="001B7043"/>
    <w:rsid w:val="001B7351"/>
    <w:rsid w:val="001B7393"/>
    <w:rsid w:val="001B73C8"/>
    <w:rsid w:val="001B791D"/>
    <w:rsid w:val="001B7DE5"/>
    <w:rsid w:val="001C08C5"/>
    <w:rsid w:val="001C0A58"/>
    <w:rsid w:val="001C0B2F"/>
    <w:rsid w:val="001C0BA1"/>
    <w:rsid w:val="001C0EE5"/>
    <w:rsid w:val="001C1343"/>
    <w:rsid w:val="001C1375"/>
    <w:rsid w:val="001C137D"/>
    <w:rsid w:val="001C167A"/>
    <w:rsid w:val="001C195F"/>
    <w:rsid w:val="001C1A67"/>
    <w:rsid w:val="001C1BA2"/>
    <w:rsid w:val="001C1BDF"/>
    <w:rsid w:val="001C1D9B"/>
    <w:rsid w:val="001C1FD1"/>
    <w:rsid w:val="001C207A"/>
    <w:rsid w:val="001C21F3"/>
    <w:rsid w:val="001C2303"/>
    <w:rsid w:val="001C2AD4"/>
    <w:rsid w:val="001C3122"/>
    <w:rsid w:val="001C32B5"/>
    <w:rsid w:val="001C3444"/>
    <w:rsid w:val="001C392B"/>
    <w:rsid w:val="001C39AF"/>
    <w:rsid w:val="001C3F06"/>
    <w:rsid w:val="001C3F55"/>
    <w:rsid w:val="001C3FF2"/>
    <w:rsid w:val="001C5276"/>
    <w:rsid w:val="001C52D1"/>
    <w:rsid w:val="001C54DF"/>
    <w:rsid w:val="001C5559"/>
    <w:rsid w:val="001C5763"/>
    <w:rsid w:val="001C5AD5"/>
    <w:rsid w:val="001C671B"/>
    <w:rsid w:val="001C69B1"/>
    <w:rsid w:val="001C6ACD"/>
    <w:rsid w:val="001C6B46"/>
    <w:rsid w:val="001C6D52"/>
    <w:rsid w:val="001C731F"/>
    <w:rsid w:val="001C73DE"/>
    <w:rsid w:val="001C77B7"/>
    <w:rsid w:val="001C7AC2"/>
    <w:rsid w:val="001C7BD1"/>
    <w:rsid w:val="001C7C23"/>
    <w:rsid w:val="001C7C60"/>
    <w:rsid w:val="001C7D06"/>
    <w:rsid w:val="001C7FA9"/>
    <w:rsid w:val="001D0339"/>
    <w:rsid w:val="001D033C"/>
    <w:rsid w:val="001D0405"/>
    <w:rsid w:val="001D0409"/>
    <w:rsid w:val="001D0794"/>
    <w:rsid w:val="001D0924"/>
    <w:rsid w:val="001D0A9E"/>
    <w:rsid w:val="001D0BFF"/>
    <w:rsid w:val="001D0C8D"/>
    <w:rsid w:val="001D0E33"/>
    <w:rsid w:val="001D13E2"/>
    <w:rsid w:val="001D14C1"/>
    <w:rsid w:val="001D1566"/>
    <w:rsid w:val="001D1747"/>
    <w:rsid w:val="001D17FB"/>
    <w:rsid w:val="001D18B7"/>
    <w:rsid w:val="001D2499"/>
    <w:rsid w:val="001D263B"/>
    <w:rsid w:val="001D2665"/>
    <w:rsid w:val="001D26D5"/>
    <w:rsid w:val="001D28B8"/>
    <w:rsid w:val="001D29F2"/>
    <w:rsid w:val="001D2B5D"/>
    <w:rsid w:val="001D2F0C"/>
    <w:rsid w:val="001D2FF0"/>
    <w:rsid w:val="001D30C0"/>
    <w:rsid w:val="001D34A9"/>
    <w:rsid w:val="001D358D"/>
    <w:rsid w:val="001D3836"/>
    <w:rsid w:val="001D39FA"/>
    <w:rsid w:val="001D3F85"/>
    <w:rsid w:val="001D4302"/>
    <w:rsid w:val="001D480E"/>
    <w:rsid w:val="001D51D3"/>
    <w:rsid w:val="001D5232"/>
    <w:rsid w:val="001D52AE"/>
    <w:rsid w:val="001D57B1"/>
    <w:rsid w:val="001D5B2F"/>
    <w:rsid w:val="001D5D09"/>
    <w:rsid w:val="001D5F36"/>
    <w:rsid w:val="001D67FE"/>
    <w:rsid w:val="001D69A9"/>
    <w:rsid w:val="001D6BA8"/>
    <w:rsid w:val="001D6D0E"/>
    <w:rsid w:val="001D6D8E"/>
    <w:rsid w:val="001D6E3C"/>
    <w:rsid w:val="001D706F"/>
    <w:rsid w:val="001D7129"/>
    <w:rsid w:val="001D736D"/>
    <w:rsid w:val="001D786F"/>
    <w:rsid w:val="001E00B9"/>
    <w:rsid w:val="001E01AE"/>
    <w:rsid w:val="001E03EB"/>
    <w:rsid w:val="001E0F17"/>
    <w:rsid w:val="001E110D"/>
    <w:rsid w:val="001E1251"/>
    <w:rsid w:val="001E13D4"/>
    <w:rsid w:val="001E15EB"/>
    <w:rsid w:val="001E175E"/>
    <w:rsid w:val="001E19BC"/>
    <w:rsid w:val="001E1A08"/>
    <w:rsid w:val="001E1ABD"/>
    <w:rsid w:val="001E1BBB"/>
    <w:rsid w:val="001E1D8C"/>
    <w:rsid w:val="001E1E91"/>
    <w:rsid w:val="001E20C0"/>
    <w:rsid w:val="001E21D1"/>
    <w:rsid w:val="001E21E7"/>
    <w:rsid w:val="001E23AE"/>
    <w:rsid w:val="001E23C3"/>
    <w:rsid w:val="001E2727"/>
    <w:rsid w:val="001E2793"/>
    <w:rsid w:val="001E29E5"/>
    <w:rsid w:val="001E2F97"/>
    <w:rsid w:val="001E3273"/>
    <w:rsid w:val="001E3B1D"/>
    <w:rsid w:val="001E3FEE"/>
    <w:rsid w:val="001E40F5"/>
    <w:rsid w:val="001E43AF"/>
    <w:rsid w:val="001E446D"/>
    <w:rsid w:val="001E451C"/>
    <w:rsid w:val="001E4619"/>
    <w:rsid w:val="001E4F5D"/>
    <w:rsid w:val="001E4FFA"/>
    <w:rsid w:val="001E5630"/>
    <w:rsid w:val="001E577C"/>
    <w:rsid w:val="001E59A3"/>
    <w:rsid w:val="001E611B"/>
    <w:rsid w:val="001E63B7"/>
    <w:rsid w:val="001E68AC"/>
    <w:rsid w:val="001E6988"/>
    <w:rsid w:val="001E6B74"/>
    <w:rsid w:val="001E6F1D"/>
    <w:rsid w:val="001E6F2F"/>
    <w:rsid w:val="001E7208"/>
    <w:rsid w:val="001E723B"/>
    <w:rsid w:val="001E7303"/>
    <w:rsid w:val="001E79B7"/>
    <w:rsid w:val="001E7AF3"/>
    <w:rsid w:val="001E7C7C"/>
    <w:rsid w:val="001F02F6"/>
    <w:rsid w:val="001F04BB"/>
    <w:rsid w:val="001F06E1"/>
    <w:rsid w:val="001F0B42"/>
    <w:rsid w:val="001F0DC2"/>
    <w:rsid w:val="001F0DD1"/>
    <w:rsid w:val="001F1009"/>
    <w:rsid w:val="001F11C1"/>
    <w:rsid w:val="001F124A"/>
    <w:rsid w:val="001F16D3"/>
    <w:rsid w:val="001F1774"/>
    <w:rsid w:val="001F2224"/>
    <w:rsid w:val="001F254A"/>
    <w:rsid w:val="001F268F"/>
    <w:rsid w:val="001F2794"/>
    <w:rsid w:val="001F27D5"/>
    <w:rsid w:val="001F2828"/>
    <w:rsid w:val="001F2EA2"/>
    <w:rsid w:val="001F33D6"/>
    <w:rsid w:val="001F350F"/>
    <w:rsid w:val="001F3C0B"/>
    <w:rsid w:val="001F3E32"/>
    <w:rsid w:val="001F3EF7"/>
    <w:rsid w:val="001F4159"/>
    <w:rsid w:val="001F4216"/>
    <w:rsid w:val="001F4871"/>
    <w:rsid w:val="001F4FF6"/>
    <w:rsid w:val="001F5412"/>
    <w:rsid w:val="001F56C6"/>
    <w:rsid w:val="001F5C20"/>
    <w:rsid w:val="001F5DAF"/>
    <w:rsid w:val="001F605F"/>
    <w:rsid w:val="001F60AB"/>
    <w:rsid w:val="001F6844"/>
    <w:rsid w:val="001F6B38"/>
    <w:rsid w:val="001F6CC4"/>
    <w:rsid w:val="001F6CC7"/>
    <w:rsid w:val="001F6E24"/>
    <w:rsid w:val="001F6E27"/>
    <w:rsid w:val="001F6F11"/>
    <w:rsid w:val="001F71A3"/>
    <w:rsid w:val="001F73C1"/>
    <w:rsid w:val="001F78A2"/>
    <w:rsid w:val="001F7B97"/>
    <w:rsid w:val="001F7E43"/>
    <w:rsid w:val="001F7F55"/>
    <w:rsid w:val="002002C4"/>
    <w:rsid w:val="002005B1"/>
    <w:rsid w:val="002005BC"/>
    <w:rsid w:val="00200792"/>
    <w:rsid w:val="00200835"/>
    <w:rsid w:val="00200CC3"/>
    <w:rsid w:val="00200D52"/>
    <w:rsid w:val="002010EF"/>
    <w:rsid w:val="002014DC"/>
    <w:rsid w:val="00201C82"/>
    <w:rsid w:val="00201FD9"/>
    <w:rsid w:val="00202888"/>
    <w:rsid w:val="002028C9"/>
    <w:rsid w:val="00202962"/>
    <w:rsid w:val="00202C91"/>
    <w:rsid w:val="00202E9E"/>
    <w:rsid w:val="00202E9F"/>
    <w:rsid w:val="00203264"/>
    <w:rsid w:val="002035CB"/>
    <w:rsid w:val="002035E8"/>
    <w:rsid w:val="00203DA6"/>
    <w:rsid w:val="00203DAE"/>
    <w:rsid w:val="00204583"/>
    <w:rsid w:val="002045F8"/>
    <w:rsid w:val="002047D4"/>
    <w:rsid w:val="00204AE0"/>
    <w:rsid w:val="00204E6C"/>
    <w:rsid w:val="0020511A"/>
    <w:rsid w:val="002053A2"/>
    <w:rsid w:val="002057C8"/>
    <w:rsid w:val="00205B6E"/>
    <w:rsid w:val="00205BBB"/>
    <w:rsid w:val="00205C30"/>
    <w:rsid w:val="00205CF5"/>
    <w:rsid w:val="00205E21"/>
    <w:rsid w:val="00205EEB"/>
    <w:rsid w:val="00205F25"/>
    <w:rsid w:val="00206768"/>
    <w:rsid w:val="00206B43"/>
    <w:rsid w:val="00206B95"/>
    <w:rsid w:val="00206CA9"/>
    <w:rsid w:val="00206CFF"/>
    <w:rsid w:val="00206DAC"/>
    <w:rsid w:val="00206F70"/>
    <w:rsid w:val="0020732B"/>
    <w:rsid w:val="0020748F"/>
    <w:rsid w:val="002074E6"/>
    <w:rsid w:val="00207685"/>
    <w:rsid w:val="002076CA"/>
    <w:rsid w:val="002076D4"/>
    <w:rsid w:val="002077D6"/>
    <w:rsid w:val="0020799A"/>
    <w:rsid w:val="0020799E"/>
    <w:rsid w:val="002079F4"/>
    <w:rsid w:val="00207B73"/>
    <w:rsid w:val="002100AE"/>
    <w:rsid w:val="002101BA"/>
    <w:rsid w:val="0021027E"/>
    <w:rsid w:val="0021068F"/>
    <w:rsid w:val="00210BED"/>
    <w:rsid w:val="00210D25"/>
    <w:rsid w:val="00210EA1"/>
    <w:rsid w:val="00211289"/>
    <w:rsid w:val="00211395"/>
    <w:rsid w:val="0021175E"/>
    <w:rsid w:val="0021179E"/>
    <w:rsid w:val="00211AB6"/>
    <w:rsid w:val="00211CE7"/>
    <w:rsid w:val="002121A2"/>
    <w:rsid w:val="0021230D"/>
    <w:rsid w:val="0021234D"/>
    <w:rsid w:val="002123A4"/>
    <w:rsid w:val="002124AE"/>
    <w:rsid w:val="00212652"/>
    <w:rsid w:val="0021285D"/>
    <w:rsid w:val="00212AE6"/>
    <w:rsid w:val="00212C89"/>
    <w:rsid w:val="00213118"/>
    <w:rsid w:val="00213267"/>
    <w:rsid w:val="002134D1"/>
    <w:rsid w:val="002134DE"/>
    <w:rsid w:val="002135DF"/>
    <w:rsid w:val="00213764"/>
    <w:rsid w:val="0021376F"/>
    <w:rsid w:val="00213795"/>
    <w:rsid w:val="0021389C"/>
    <w:rsid w:val="002138F5"/>
    <w:rsid w:val="00213CFD"/>
    <w:rsid w:val="00213D3E"/>
    <w:rsid w:val="00213F5C"/>
    <w:rsid w:val="00214260"/>
    <w:rsid w:val="0021438D"/>
    <w:rsid w:val="00214412"/>
    <w:rsid w:val="00214ADD"/>
    <w:rsid w:val="00214BC3"/>
    <w:rsid w:val="00214C47"/>
    <w:rsid w:val="00214DA3"/>
    <w:rsid w:val="00214FE4"/>
    <w:rsid w:val="00215040"/>
    <w:rsid w:val="0021519F"/>
    <w:rsid w:val="0021526F"/>
    <w:rsid w:val="002153E4"/>
    <w:rsid w:val="00215594"/>
    <w:rsid w:val="002155EB"/>
    <w:rsid w:val="00215BBA"/>
    <w:rsid w:val="00215EBC"/>
    <w:rsid w:val="0021684A"/>
    <w:rsid w:val="00216C59"/>
    <w:rsid w:val="00216D5C"/>
    <w:rsid w:val="00216E7E"/>
    <w:rsid w:val="002175AE"/>
    <w:rsid w:val="00217719"/>
    <w:rsid w:val="00217810"/>
    <w:rsid w:val="00217967"/>
    <w:rsid w:val="00217A43"/>
    <w:rsid w:val="00217A78"/>
    <w:rsid w:val="00217B49"/>
    <w:rsid w:val="00217B63"/>
    <w:rsid w:val="00217E17"/>
    <w:rsid w:val="00220060"/>
    <w:rsid w:val="00220531"/>
    <w:rsid w:val="0022059D"/>
    <w:rsid w:val="002205D3"/>
    <w:rsid w:val="00220AB7"/>
    <w:rsid w:val="00220E49"/>
    <w:rsid w:val="00221040"/>
    <w:rsid w:val="0022107A"/>
    <w:rsid w:val="00221259"/>
    <w:rsid w:val="00221511"/>
    <w:rsid w:val="002215EA"/>
    <w:rsid w:val="002216C4"/>
    <w:rsid w:val="00221A94"/>
    <w:rsid w:val="00221CCE"/>
    <w:rsid w:val="00221E45"/>
    <w:rsid w:val="00221F7B"/>
    <w:rsid w:val="0022260A"/>
    <w:rsid w:val="00222651"/>
    <w:rsid w:val="00222685"/>
    <w:rsid w:val="00222934"/>
    <w:rsid w:val="00222E98"/>
    <w:rsid w:val="00222F18"/>
    <w:rsid w:val="00223586"/>
    <w:rsid w:val="002235C6"/>
    <w:rsid w:val="00223637"/>
    <w:rsid w:val="002239FE"/>
    <w:rsid w:val="00223BA3"/>
    <w:rsid w:val="00223DC8"/>
    <w:rsid w:val="00223EAC"/>
    <w:rsid w:val="00223FDB"/>
    <w:rsid w:val="002244D1"/>
    <w:rsid w:val="00224739"/>
    <w:rsid w:val="002247EB"/>
    <w:rsid w:val="00224BB6"/>
    <w:rsid w:val="00224D8B"/>
    <w:rsid w:val="00224DB3"/>
    <w:rsid w:val="002254EC"/>
    <w:rsid w:val="00225504"/>
    <w:rsid w:val="0022599C"/>
    <w:rsid w:val="00225CAC"/>
    <w:rsid w:val="00225EE6"/>
    <w:rsid w:val="00225F30"/>
    <w:rsid w:val="002260E0"/>
    <w:rsid w:val="00226584"/>
    <w:rsid w:val="00226730"/>
    <w:rsid w:val="002268F8"/>
    <w:rsid w:val="00226969"/>
    <w:rsid w:val="00226CD9"/>
    <w:rsid w:val="00226F3C"/>
    <w:rsid w:val="002272A4"/>
    <w:rsid w:val="00227366"/>
    <w:rsid w:val="002274A7"/>
    <w:rsid w:val="002279E9"/>
    <w:rsid w:val="002300F8"/>
    <w:rsid w:val="00230111"/>
    <w:rsid w:val="002301B3"/>
    <w:rsid w:val="00230531"/>
    <w:rsid w:val="0023053A"/>
    <w:rsid w:val="00230634"/>
    <w:rsid w:val="00230707"/>
    <w:rsid w:val="00230ADF"/>
    <w:rsid w:val="00230D76"/>
    <w:rsid w:val="00230EBB"/>
    <w:rsid w:val="0023115F"/>
    <w:rsid w:val="002315BB"/>
    <w:rsid w:val="00231B48"/>
    <w:rsid w:val="00232394"/>
    <w:rsid w:val="0023246B"/>
    <w:rsid w:val="002324EF"/>
    <w:rsid w:val="00232DAC"/>
    <w:rsid w:val="00232FE5"/>
    <w:rsid w:val="00233A87"/>
    <w:rsid w:val="0023404E"/>
    <w:rsid w:val="0023418F"/>
    <w:rsid w:val="00234362"/>
    <w:rsid w:val="002343D6"/>
    <w:rsid w:val="00234793"/>
    <w:rsid w:val="00234A0C"/>
    <w:rsid w:val="00234A17"/>
    <w:rsid w:val="00234D51"/>
    <w:rsid w:val="00235043"/>
    <w:rsid w:val="00235D71"/>
    <w:rsid w:val="00235FB9"/>
    <w:rsid w:val="0023607A"/>
    <w:rsid w:val="00236474"/>
    <w:rsid w:val="00236485"/>
    <w:rsid w:val="00236749"/>
    <w:rsid w:val="00236771"/>
    <w:rsid w:val="0023691E"/>
    <w:rsid w:val="002369C5"/>
    <w:rsid w:val="00236A1E"/>
    <w:rsid w:val="00236CF3"/>
    <w:rsid w:val="00236DDC"/>
    <w:rsid w:val="00236FC9"/>
    <w:rsid w:val="00237E4D"/>
    <w:rsid w:val="0024033F"/>
    <w:rsid w:val="00240579"/>
    <w:rsid w:val="0024057D"/>
    <w:rsid w:val="00240619"/>
    <w:rsid w:val="00240BB1"/>
    <w:rsid w:val="00240C81"/>
    <w:rsid w:val="00241254"/>
    <w:rsid w:val="00241307"/>
    <w:rsid w:val="0024132B"/>
    <w:rsid w:val="00241499"/>
    <w:rsid w:val="0024165C"/>
    <w:rsid w:val="00241863"/>
    <w:rsid w:val="0024263F"/>
    <w:rsid w:val="00242854"/>
    <w:rsid w:val="00242BA4"/>
    <w:rsid w:val="00242D96"/>
    <w:rsid w:val="0024311F"/>
    <w:rsid w:val="00243369"/>
    <w:rsid w:val="0024378E"/>
    <w:rsid w:val="0024384F"/>
    <w:rsid w:val="0024394C"/>
    <w:rsid w:val="00243A88"/>
    <w:rsid w:val="00243CD1"/>
    <w:rsid w:val="00243E9E"/>
    <w:rsid w:val="002445A2"/>
    <w:rsid w:val="002445B1"/>
    <w:rsid w:val="002449F6"/>
    <w:rsid w:val="00244A58"/>
    <w:rsid w:val="00244BB6"/>
    <w:rsid w:val="002457D4"/>
    <w:rsid w:val="00245AEE"/>
    <w:rsid w:val="00246001"/>
    <w:rsid w:val="00246520"/>
    <w:rsid w:val="00246FCA"/>
    <w:rsid w:val="00247046"/>
    <w:rsid w:val="002470D4"/>
    <w:rsid w:val="0024738B"/>
    <w:rsid w:val="002477E9"/>
    <w:rsid w:val="00247817"/>
    <w:rsid w:val="00247A90"/>
    <w:rsid w:val="00247B80"/>
    <w:rsid w:val="00247FE4"/>
    <w:rsid w:val="00250493"/>
    <w:rsid w:val="002507DA"/>
    <w:rsid w:val="002513FE"/>
    <w:rsid w:val="00251708"/>
    <w:rsid w:val="00251A95"/>
    <w:rsid w:val="00251C40"/>
    <w:rsid w:val="00251D4F"/>
    <w:rsid w:val="00251F1A"/>
    <w:rsid w:val="002524B3"/>
    <w:rsid w:val="00252530"/>
    <w:rsid w:val="002525B0"/>
    <w:rsid w:val="00252954"/>
    <w:rsid w:val="00252A71"/>
    <w:rsid w:val="00252C6C"/>
    <w:rsid w:val="00252F92"/>
    <w:rsid w:val="002531AC"/>
    <w:rsid w:val="0025323C"/>
    <w:rsid w:val="002535D1"/>
    <w:rsid w:val="00253EE8"/>
    <w:rsid w:val="002540FE"/>
    <w:rsid w:val="00254246"/>
    <w:rsid w:val="00254305"/>
    <w:rsid w:val="00254493"/>
    <w:rsid w:val="002544BA"/>
    <w:rsid w:val="002545A1"/>
    <w:rsid w:val="002546C1"/>
    <w:rsid w:val="00254707"/>
    <w:rsid w:val="00254717"/>
    <w:rsid w:val="00254AAC"/>
    <w:rsid w:val="00254BC6"/>
    <w:rsid w:val="00254EBA"/>
    <w:rsid w:val="00255085"/>
    <w:rsid w:val="002551D3"/>
    <w:rsid w:val="002552CE"/>
    <w:rsid w:val="00255402"/>
    <w:rsid w:val="00255474"/>
    <w:rsid w:val="00255B0D"/>
    <w:rsid w:val="00255F0E"/>
    <w:rsid w:val="00256161"/>
    <w:rsid w:val="00256738"/>
    <w:rsid w:val="00256ABB"/>
    <w:rsid w:val="00257061"/>
    <w:rsid w:val="002572D8"/>
    <w:rsid w:val="00257A7F"/>
    <w:rsid w:val="00257D80"/>
    <w:rsid w:val="00257DA4"/>
    <w:rsid w:val="00260092"/>
    <w:rsid w:val="002606A8"/>
    <w:rsid w:val="00260AB2"/>
    <w:rsid w:val="00260BE9"/>
    <w:rsid w:val="00260E99"/>
    <w:rsid w:val="00261648"/>
    <w:rsid w:val="002618FC"/>
    <w:rsid w:val="00261C6B"/>
    <w:rsid w:val="00261CF9"/>
    <w:rsid w:val="0026222C"/>
    <w:rsid w:val="00262254"/>
    <w:rsid w:val="0026235D"/>
    <w:rsid w:val="002623EC"/>
    <w:rsid w:val="0026273A"/>
    <w:rsid w:val="00262C76"/>
    <w:rsid w:val="00263AC2"/>
    <w:rsid w:val="00263B30"/>
    <w:rsid w:val="00263FB8"/>
    <w:rsid w:val="002642F0"/>
    <w:rsid w:val="00264383"/>
    <w:rsid w:val="002645B8"/>
    <w:rsid w:val="0026472C"/>
    <w:rsid w:val="002648A5"/>
    <w:rsid w:val="0026496E"/>
    <w:rsid w:val="00264E51"/>
    <w:rsid w:val="00264F7A"/>
    <w:rsid w:val="0026524B"/>
    <w:rsid w:val="0026534F"/>
    <w:rsid w:val="002653C5"/>
    <w:rsid w:val="00265520"/>
    <w:rsid w:val="0026588C"/>
    <w:rsid w:val="00265E61"/>
    <w:rsid w:val="002667CA"/>
    <w:rsid w:val="002668E6"/>
    <w:rsid w:val="00266953"/>
    <w:rsid w:val="00266BE8"/>
    <w:rsid w:val="0026705A"/>
    <w:rsid w:val="002672A0"/>
    <w:rsid w:val="00267CA0"/>
    <w:rsid w:val="00270224"/>
    <w:rsid w:val="002702C2"/>
    <w:rsid w:val="0027037D"/>
    <w:rsid w:val="0027038D"/>
    <w:rsid w:val="002703F6"/>
    <w:rsid w:val="002703F9"/>
    <w:rsid w:val="00270529"/>
    <w:rsid w:val="00270D97"/>
    <w:rsid w:val="00271143"/>
    <w:rsid w:val="00271361"/>
    <w:rsid w:val="00271CF2"/>
    <w:rsid w:val="00271F33"/>
    <w:rsid w:val="00271FC6"/>
    <w:rsid w:val="00272725"/>
    <w:rsid w:val="00272872"/>
    <w:rsid w:val="00272A0F"/>
    <w:rsid w:val="00272B33"/>
    <w:rsid w:val="00272BD6"/>
    <w:rsid w:val="00272E42"/>
    <w:rsid w:val="00272E5E"/>
    <w:rsid w:val="00273264"/>
    <w:rsid w:val="002732DC"/>
    <w:rsid w:val="002733C6"/>
    <w:rsid w:val="00273519"/>
    <w:rsid w:val="002735CF"/>
    <w:rsid w:val="00273EAA"/>
    <w:rsid w:val="00274247"/>
    <w:rsid w:val="00274283"/>
    <w:rsid w:val="002745BC"/>
    <w:rsid w:val="0027487C"/>
    <w:rsid w:val="00274A97"/>
    <w:rsid w:val="00274A9F"/>
    <w:rsid w:val="00274C46"/>
    <w:rsid w:val="00274CB1"/>
    <w:rsid w:val="00274CE7"/>
    <w:rsid w:val="00274E3D"/>
    <w:rsid w:val="00275093"/>
    <w:rsid w:val="00275114"/>
    <w:rsid w:val="002751FC"/>
    <w:rsid w:val="002759B3"/>
    <w:rsid w:val="00275A04"/>
    <w:rsid w:val="00275B11"/>
    <w:rsid w:val="00275BB0"/>
    <w:rsid w:val="00275BB2"/>
    <w:rsid w:val="00275BC2"/>
    <w:rsid w:val="00275DCB"/>
    <w:rsid w:val="00275F57"/>
    <w:rsid w:val="00276018"/>
    <w:rsid w:val="00276031"/>
    <w:rsid w:val="00276165"/>
    <w:rsid w:val="00276C22"/>
    <w:rsid w:val="00276D34"/>
    <w:rsid w:val="00277219"/>
    <w:rsid w:val="00277281"/>
    <w:rsid w:val="002772F5"/>
    <w:rsid w:val="00277914"/>
    <w:rsid w:val="00280236"/>
    <w:rsid w:val="0028081A"/>
    <w:rsid w:val="002808C9"/>
    <w:rsid w:val="00280AD6"/>
    <w:rsid w:val="00280B94"/>
    <w:rsid w:val="00280C25"/>
    <w:rsid w:val="002810B4"/>
    <w:rsid w:val="002810FF"/>
    <w:rsid w:val="00281235"/>
    <w:rsid w:val="00281492"/>
    <w:rsid w:val="002818A3"/>
    <w:rsid w:val="00281B28"/>
    <w:rsid w:val="00281BAD"/>
    <w:rsid w:val="00281CB8"/>
    <w:rsid w:val="00281E5F"/>
    <w:rsid w:val="00282A59"/>
    <w:rsid w:val="00282DD4"/>
    <w:rsid w:val="00282EB9"/>
    <w:rsid w:val="00283260"/>
    <w:rsid w:val="002834BB"/>
    <w:rsid w:val="00283618"/>
    <w:rsid w:val="00283655"/>
    <w:rsid w:val="002837F9"/>
    <w:rsid w:val="00283889"/>
    <w:rsid w:val="00283D66"/>
    <w:rsid w:val="00283D84"/>
    <w:rsid w:val="00283E42"/>
    <w:rsid w:val="00284030"/>
    <w:rsid w:val="00284221"/>
    <w:rsid w:val="002843AB"/>
    <w:rsid w:val="00284607"/>
    <w:rsid w:val="00284670"/>
    <w:rsid w:val="00284D0E"/>
    <w:rsid w:val="00284D27"/>
    <w:rsid w:val="00284DFB"/>
    <w:rsid w:val="00284EC9"/>
    <w:rsid w:val="0028501B"/>
    <w:rsid w:val="002851FD"/>
    <w:rsid w:val="002853AB"/>
    <w:rsid w:val="002854CD"/>
    <w:rsid w:val="0028553E"/>
    <w:rsid w:val="00285A0C"/>
    <w:rsid w:val="00285AD5"/>
    <w:rsid w:val="00285FE2"/>
    <w:rsid w:val="0028686C"/>
    <w:rsid w:val="00286AF7"/>
    <w:rsid w:val="00286F78"/>
    <w:rsid w:val="00286FB4"/>
    <w:rsid w:val="00287003"/>
    <w:rsid w:val="002870DF"/>
    <w:rsid w:val="00287467"/>
    <w:rsid w:val="00287630"/>
    <w:rsid w:val="00287667"/>
    <w:rsid w:val="00287D78"/>
    <w:rsid w:val="002903DF"/>
    <w:rsid w:val="002905D7"/>
    <w:rsid w:val="002906F9"/>
    <w:rsid w:val="00290703"/>
    <w:rsid w:val="00290707"/>
    <w:rsid w:val="0029078F"/>
    <w:rsid w:val="0029081C"/>
    <w:rsid w:val="002909CF"/>
    <w:rsid w:val="00290A5A"/>
    <w:rsid w:val="00290EC1"/>
    <w:rsid w:val="00290F18"/>
    <w:rsid w:val="002911CB"/>
    <w:rsid w:val="0029144F"/>
    <w:rsid w:val="002914D3"/>
    <w:rsid w:val="002915B5"/>
    <w:rsid w:val="002915C3"/>
    <w:rsid w:val="00291614"/>
    <w:rsid w:val="002917AE"/>
    <w:rsid w:val="00291AFA"/>
    <w:rsid w:val="00291B21"/>
    <w:rsid w:val="00292166"/>
    <w:rsid w:val="002924A5"/>
    <w:rsid w:val="002924D8"/>
    <w:rsid w:val="002929B3"/>
    <w:rsid w:val="00292A7F"/>
    <w:rsid w:val="00292BB4"/>
    <w:rsid w:val="00292EC8"/>
    <w:rsid w:val="00293021"/>
    <w:rsid w:val="00293129"/>
    <w:rsid w:val="0029354F"/>
    <w:rsid w:val="00293DA8"/>
    <w:rsid w:val="00293F35"/>
    <w:rsid w:val="002941B0"/>
    <w:rsid w:val="002942A1"/>
    <w:rsid w:val="00294329"/>
    <w:rsid w:val="00294347"/>
    <w:rsid w:val="002943A1"/>
    <w:rsid w:val="0029485E"/>
    <w:rsid w:val="00294C8C"/>
    <w:rsid w:val="00294CA3"/>
    <w:rsid w:val="00294D51"/>
    <w:rsid w:val="00295077"/>
    <w:rsid w:val="0029520E"/>
    <w:rsid w:val="00295298"/>
    <w:rsid w:val="00295821"/>
    <w:rsid w:val="002958FD"/>
    <w:rsid w:val="002959B5"/>
    <w:rsid w:val="002959E2"/>
    <w:rsid w:val="00295E64"/>
    <w:rsid w:val="00296057"/>
    <w:rsid w:val="0029638A"/>
    <w:rsid w:val="002964B1"/>
    <w:rsid w:val="0029676D"/>
    <w:rsid w:val="002967B4"/>
    <w:rsid w:val="00296AA8"/>
    <w:rsid w:val="00296D4B"/>
    <w:rsid w:val="0029700B"/>
    <w:rsid w:val="002971BC"/>
    <w:rsid w:val="002974C6"/>
    <w:rsid w:val="00297924"/>
    <w:rsid w:val="00297ADD"/>
    <w:rsid w:val="00297B40"/>
    <w:rsid w:val="00297ECB"/>
    <w:rsid w:val="002A0694"/>
    <w:rsid w:val="002A06CB"/>
    <w:rsid w:val="002A06CF"/>
    <w:rsid w:val="002A0A6A"/>
    <w:rsid w:val="002A0BBE"/>
    <w:rsid w:val="002A102C"/>
    <w:rsid w:val="002A121C"/>
    <w:rsid w:val="002A1314"/>
    <w:rsid w:val="002A16E3"/>
    <w:rsid w:val="002A1908"/>
    <w:rsid w:val="002A1D97"/>
    <w:rsid w:val="002A240D"/>
    <w:rsid w:val="002A259B"/>
    <w:rsid w:val="002A2661"/>
    <w:rsid w:val="002A29B5"/>
    <w:rsid w:val="002A2CEA"/>
    <w:rsid w:val="002A2DE8"/>
    <w:rsid w:val="002A2F52"/>
    <w:rsid w:val="002A3190"/>
    <w:rsid w:val="002A344A"/>
    <w:rsid w:val="002A344B"/>
    <w:rsid w:val="002A36E1"/>
    <w:rsid w:val="002A39E8"/>
    <w:rsid w:val="002A3A47"/>
    <w:rsid w:val="002A463D"/>
    <w:rsid w:val="002A47E6"/>
    <w:rsid w:val="002A4886"/>
    <w:rsid w:val="002A48CB"/>
    <w:rsid w:val="002A48D2"/>
    <w:rsid w:val="002A4951"/>
    <w:rsid w:val="002A4ADD"/>
    <w:rsid w:val="002A4B54"/>
    <w:rsid w:val="002A5163"/>
    <w:rsid w:val="002A5215"/>
    <w:rsid w:val="002A52A9"/>
    <w:rsid w:val="002A5306"/>
    <w:rsid w:val="002A534D"/>
    <w:rsid w:val="002A5368"/>
    <w:rsid w:val="002A5374"/>
    <w:rsid w:val="002A54EF"/>
    <w:rsid w:val="002A56A1"/>
    <w:rsid w:val="002A5AEB"/>
    <w:rsid w:val="002A5B33"/>
    <w:rsid w:val="002A5C2C"/>
    <w:rsid w:val="002A5DF2"/>
    <w:rsid w:val="002A61DD"/>
    <w:rsid w:val="002A649D"/>
    <w:rsid w:val="002A67CF"/>
    <w:rsid w:val="002A6A36"/>
    <w:rsid w:val="002A71BB"/>
    <w:rsid w:val="002A7237"/>
    <w:rsid w:val="002A7720"/>
    <w:rsid w:val="002A788B"/>
    <w:rsid w:val="002A7977"/>
    <w:rsid w:val="002A79EE"/>
    <w:rsid w:val="002A7A42"/>
    <w:rsid w:val="002A7FD7"/>
    <w:rsid w:val="002B0360"/>
    <w:rsid w:val="002B04EE"/>
    <w:rsid w:val="002B059D"/>
    <w:rsid w:val="002B066D"/>
    <w:rsid w:val="002B091A"/>
    <w:rsid w:val="002B0E08"/>
    <w:rsid w:val="002B128B"/>
    <w:rsid w:val="002B1372"/>
    <w:rsid w:val="002B13DF"/>
    <w:rsid w:val="002B184C"/>
    <w:rsid w:val="002B19DF"/>
    <w:rsid w:val="002B19E8"/>
    <w:rsid w:val="002B1A2A"/>
    <w:rsid w:val="002B1AE4"/>
    <w:rsid w:val="002B1C3C"/>
    <w:rsid w:val="002B2075"/>
    <w:rsid w:val="002B20E4"/>
    <w:rsid w:val="002B2222"/>
    <w:rsid w:val="002B236F"/>
    <w:rsid w:val="002B246B"/>
    <w:rsid w:val="002B24A4"/>
    <w:rsid w:val="002B2564"/>
    <w:rsid w:val="002B2883"/>
    <w:rsid w:val="002B323C"/>
    <w:rsid w:val="002B32E8"/>
    <w:rsid w:val="002B3330"/>
    <w:rsid w:val="002B3400"/>
    <w:rsid w:val="002B3666"/>
    <w:rsid w:val="002B3725"/>
    <w:rsid w:val="002B39EF"/>
    <w:rsid w:val="002B3A0B"/>
    <w:rsid w:val="002B3A38"/>
    <w:rsid w:val="002B3C7C"/>
    <w:rsid w:val="002B3FB2"/>
    <w:rsid w:val="002B4209"/>
    <w:rsid w:val="002B4364"/>
    <w:rsid w:val="002B493A"/>
    <w:rsid w:val="002B4A4E"/>
    <w:rsid w:val="002B527C"/>
    <w:rsid w:val="002B5533"/>
    <w:rsid w:val="002B553D"/>
    <w:rsid w:val="002B58D2"/>
    <w:rsid w:val="002B5915"/>
    <w:rsid w:val="002B5C91"/>
    <w:rsid w:val="002B67FC"/>
    <w:rsid w:val="002B6804"/>
    <w:rsid w:val="002B6B6B"/>
    <w:rsid w:val="002B6F3F"/>
    <w:rsid w:val="002B6F81"/>
    <w:rsid w:val="002B7097"/>
    <w:rsid w:val="002B71E4"/>
    <w:rsid w:val="002B7279"/>
    <w:rsid w:val="002B72D3"/>
    <w:rsid w:val="002B73B8"/>
    <w:rsid w:val="002B743E"/>
    <w:rsid w:val="002B786D"/>
    <w:rsid w:val="002B796E"/>
    <w:rsid w:val="002B79ED"/>
    <w:rsid w:val="002B7BB3"/>
    <w:rsid w:val="002B7D3F"/>
    <w:rsid w:val="002B7D69"/>
    <w:rsid w:val="002B7E4C"/>
    <w:rsid w:val="002C0138"/>
    <w:rsid w:val="002C049B"/>
    <w:rsid w:val="002C0629"/>
    <w:rsid w:val="002C0693"/>
    <w:rsid w:val="002C06D2"/>
    <w:rsid w:val="002C084D"/>
    <w:rsid w:val="002C09E4"/>
    <w:rsid w:val="002C0A4C"/>
    <w:rsid w:val="002C0B3D"/>
    <w:rsid w:val="002C0D6E"/>
    <w:rsid w:val="002C1371"/>
    <w:rsid w:val="002C1762"/>
    <w:rsid w:val="002C1A45"/>
    <w:rsid w:val="002C2319"/>
    <w:rsid w:val="002C2423"/>
    <w:rsid w:val="002C24C3"/>
    <w:rsid w:val="002C2529"/>
    <w:rsid w:val="002C259C"/>
    <w:rsid w:val="002C2BAA"/>
    <w:rsid w:val="002C2C78"/>
    <w:rsid w:val="002C2FE5"/>
    <w:rsid w:val="002C31E9"/>
    <w:rsid w:val="002C33D3"/>
    <w:rsid w:val="002C362D"/>
    <w:rsid w:val="002C371A"/>
    <w:rsid w:val="002C39C4"/>
    <w:rsid w:val="002C3DC8"/>
    <w:rsid w:val="002C3FD5"/>
    <w:rsid w:val="002C4544"/>
    <w:rsid w:val="002C4658"/>
    <w:rsid w:val="002C48B0"/>
    <w:rsid w:val="002C4BC4"/>
    <w:rsid w:val="002C4C8A"/>
    <w:rsid w:val="002C4D41"/>
    <w:rsid w:val="002C53F3"/>
    <w:rsid w:val="002C58CD"/>
    <w:rsid w:val="002C5D0D"/>
    <w:rsid w:val="002C5D97"/>
    <w:rsid w:val="002C5F61"/>
    <w:rsid w:val="002C644E"/>
    <w:rsid w:val="002C69E9"/>
    <w:rsid w:val="002C6A85"/>
    <w:rsid w:val="002C6B09"/>
    <w:rsid w:val="002C6B2A"/>
    <w:rsid w:val="002C6BAD"/>
    <w:rsid w:val="002C6C15"/>
    <w:rsid w:val="002C6C66"/>
    <w:rsid w:val="002C6C80"/>
    <w:rsid w:val="002C6DBB"/>
    <w:rsid w:val="002C6FC5"/>
    <w:rsid w:val="002C72BC"/>
    <w:rsid w:val="002C7311"/>
    <w:rsid w:val="002C7760"/>
    <w:rsid w:val="002C7885"/>
    <w:rsid w:val="002C7894"/>
    <w:rsid w:val="002C791D"/>
    <w:rsid w:val="002C7A54"/>
    <w:rsid w:val="002C7B8A"/>
    <w:rsid w:val="002C7DC7"/>
    <w:rsid w:val="002D0263"/>
    <w:rsid w:val="002D0471"/>
    <w:rsid w:val="002D06C9"/>
    <w:rsid w:val="002D0918"/>
    <w:rsid w:val="002D11B4"/>
    <w:rsid w:val="002D14A7"/>
    <w:rsid w:val="002D1AA7"/>
    <w:rsid w:val="002D1BD0"/>
    <w:rsid w:val="002D20CF"/>
    <w:rsid w:val="002D2538"/>
    <w:rsid w:val="002D270D"/>
    <w:rsid w:val="002D2735"/>
    <w:rsid w:val="002D2826"/>
    <w:rsid w:val="002D2894"/>
    <w:rsid w:val="002D290D"/>
    <w:rsid w:val="002D2A5A"/>
    <w:rsid w:val="002D2B4B"/>
    <w:rsid w:val="002D2C0D"/>
    <w:rsid w:val="002D2D6C"/>
    <w:rsid w:val="002D2DEF"/>
    <w:rsid w:val="002D314F"/>
    <w:rsid w:val="002D31F3"/>
    <w:rsid w:val="002D33BC"/>
    <w:rsid w:val="002D359C"/>
    <w:rsid w:val="002D367A"/>
    <w:rsid w:val="002D397E"/>
    <w:rsid w:val="002D3A1A"/>
    <w:rsid w:val="002D3F74"/>
    <w:rsid w:val="002D41BE"/>
    <w:rsid w:val="002D442A"/>
    <w:rsid w:val="002D47D5"/>
    <w:rsid w:val="002D48BE"/>
    <w:rsid w:val="002D48F4"/>
    <w:rsid w:val="002D4ECA"/>
    <w:rsid w:val="002D517F"/>
    <w:rsid w:val="002D51C0"/>
    <w:rsid w:val="002D5348"/>
    <w:rsid w:val="002D54D5"/>
    <w:rsid w:val="002D56C2"/>
    <w:rsid w:val="002D5969"/>
    <w:rsid w:val="002D5976"/>
    <w:rsid w:val="002D5C74"/>
    <w:rsid w:val="002D5DF5"/>
    <w:rsid w:val="002D5E32"/>
    <w:rsid w:val="002D5F18"/>
    <w:rsid w:val="002D64DE"/>
    <w:rsid w:val="002D6724"/>
    <w:rsid w:val="002D67A4"/>
    <w:rsid w:val="002D67E8"/>
    <w:rsid w:val="002D689E"/>
    <w:rsid w:val="002D68C2"/>
    <w:rsid w:val="002D75FF"/>
    <w:rsid w:val="002D7746"/>
    <w:rsid w:val="002D7842"/>
    <w:rsid w:val="002D7E12"/>
    <w:rsid w:val="002D7F51"/>
    <w:rsid w:val="002E0074"/>
    <w:rsid w:val="002E02A4"/>
    <w:rsid w:val="002E05ED"/>
    <w:rsid w:val="002E0836"/>
    <w:rsid w:val="002E0E6A"/>
    <w:rsid w:val="002E0F4F"/>
    <w:rsid w:val="002E0F75"/>
    <w:rsid w:val="002E11F1"/>
    <w:rsid w:val="002E1763"/>
    <w:rsid w:val="002E1765"/>
    <w:rsid w:val="002E1986"/>
    <w:rsid w:val="002E1E90"/>
    <w:rsid w:val="002E2F9B"/>
    <w:rsid w:val="002E3172"/>
    <w:rsid w:val="002E33B6"/>
    <w:rsid w:val="002E33C0"/>
    <w:rsid w:val="002E3679"/>
    <w:rsid w:val="002E3850"/>
    <w:rsid w:val="002E3E21"/>
    <w:rsid w:val="002E40A8"/>
    <w:rsid w:val="002E4183"/>
    <w:rsid w:val="002E4615"/>
    <w:rsid w:val="002E473C"/>
    <w:rsid w:val="002E480F"/>
    <w:rsid w:val="002E4E63"/>
    <w:rsid w:val="002E519B"/>
    <w:rsid w:val="002E531D"/>
    <w:rsid w:val="002E56C3"/>
    <w:rsid w:val="002E5841"/>
    <w:rsid w:val="002E5B15"/>
    <w:rsid w:val="002E5BAF"/>
    <w:rsid w:val="002E5DEA"/>
    <w:rsid w:val="002E636C"/>
    <w:rsid w:val="002E66C9"/>
    <w:rsid w:val="002E6919"/>
    <w:rsid w:val="002E69A2"/>
    <w:rsid w:val="002E6B2E"/>
    <w:rsid w:val="002E6B91"/>
    <w:rsid w:val="002E6F74"/>
    <w:rsid w:val="002E74F8"/>
    <w:rsid w:val="002E7548"/>
    <w:rsid w:val="002E75EA"/>
    <w:rsid w:val="002E7BA8"/>
    <w:rsid w:val="002E7CB7"/>
    <w:rsid w:val="002E7D7C"/>
    <w:rsid w:val="002E7DAF"/>
    <w:rsid w:val="002E7E3C"/>
    <w:rsid w:val="002E7E55"/>
    <w:rsid w:val="002F03D8"/>
    <w:rsid w:val="002F0AC5"/>
    <w:rsid w:val="002F0BC5"/>
    <w:rsid w:val="002F0F68"/>
    <w:rsid w:val="002F0F6A"/>
    <w:rsid w:val="002F11CF"/>
    <w:rsid w:val="002F1A26"/>
    <w:rsid w:val="002F1AF8"/>
    <w:rsid w:val="002F1B01"/>
    <w:rsid w:val="002F1C4E"/>
    <w:rsid w:val="002F203C"/>
    <w:rsid w:val="002F239C"/>
    <w:rsid w:val="002F2559"/>
    <w:rsid w:val="002F29D6"/>
    <w:rsid w:val="002F2B97"/>
    <w:rsid w:val="002F2C94"/>
    <w:rsid w:val="002F2D02"/>
    <w:rsid w:val="002F2DB1"/>
    <w:rsid w:val="002F2E9F"/>
    <w:rsid w:val="002F2EEF"/>
    <w:rsid w:val="002F2F3B"/>
    <w:rsid w:val="002F3127"/>
    <w:rsid w:val="002F314B"/>
    <w:rsid w:val="002F31DB"/>
    <w:rsid w:val="002F32A5"/>
    <w:rsid w:val="002F33E7"/>
    <w:rsid w:val="002F3489"/>
    <w:rsid w:val="002F34D7"/>
    <w:rsid w:val="002F37B6"/>
    <w:rsid w:val="002F3872"/>
    <w:rsid w:val="002F395C"/>
    <w:rsid w:val="002F4141"/>
    <w:rsid w:val="002F41B4"/>
    <w:rsid w:val="002F46CE"/>
    <w:rsid w:val="002F47F4"/>
    <w:rsid w:val="002F4E51"/>
    <w:rsid w:val="002F5106"/>
    <w:rsid w:val="002F52AA"/>
    <w:rsid w:val="002F5432"/>
    <w:rsid w:val="002F55CF"/>
    <w:rsid w:val="002F5748"/>
    <w:rsid w:val="002F57E3"/>
    <w:rsid w:val="002F5946"/>
    <w:rsid w:val="002F5AE2"/>
    <w:rsid w:val="002F5C1B"/>
    <w:rsid w:val="002F5D13"/>
    <w:rsid w:val="002F600C"/>
    <w:rsid w:val="002F6848"/>
    <w:rsid w:val="002F68B6"/>
    <w:rsid w:val="002F6BED"/>
    <w:rsid w:val="002F7007"/>
    <w:rsid w:val="002F713E"/>
    <w:rsid w:val="002F734B"/>
    <w:rsid w:val="002F778B"/>
    <w:rsid w:val="002F7AFA"/>
    <w:rsid w:val="002F7B15"/>
    <w:rsid w:val="002F7B34"/>
    <w:rsid w:val="00300373"/>
    <w:rsid w:val="003003E5"/>
    <w:rsid w:val="003004F9"/>
    <w:rsid w:val="00300544"/>
    <w:rsid w:val="00300595"/>
    <w:rsid w:val="0030095C"/>
    <w:rsid w:val="00301368"/>
    <w:rsid w:val="003017C0"/>
    <w:rsid w:val="0030192C"/>
    <w:rsid w:val="00301ACF"/>
    <w:rsid w:val="00301BA7"/>
    <w:rsid w:val="00302228"/>
    <w:rsid w:val="003022C9"/>
    <w:rsid w:val="003023B8"/>
    <w:rsid w:val="003027F6"/>
    <w:rsid w:val="00302B95"/>
    <w:rsid w:val="00302C15"/>
    <w:rsid w:val="00302C58"/>
    <w:rsid w:val="00302DBB"/>
    <w:rsid w:val="00303242"/>
    <w:rsid w:val="00303545"/>
    <w:rsid w:val="0030362A"/>
    <w:rsid w:val="00303790"/>
    <w:rsid w:val="0030380C"/>
    <w:rsid w:val="00303836"/>
    <w:rsid w:val="003038D8"/>
    <w:rsid w:val="003039A6"/>
    <w:rsid w:val="003039BC"/>
    <w:rsid w:val="00303CDF"/>
    <w:rsid w:val="00303D7D"/>
    <w:rsid w:val="00303DB8"/>
    <w:rsid w:val="00303E5C"/>
    <w:rsid w:val="00303F57"/>
    <w:rsid w:val="003040EB"/>
    <w:rsid w:val="00304353"/>
    <w:rsid w:val="00304DA5"/>
    <w:rsid w:val="00304F04"/>
    <w:rsid w:val="00305527"/>
    <w:rsid w:val="00305765"/>
    <w:rsid w:val="00305AFF"/>
    <w:rsid w:val="00305EC7"/>
    <w:rsid w:val="00306323"/>
    <w:rsid w:val="003063E8"/>
    <w:rsid w:val="00306407"/>
    <w:rsid w:val="0030642C"/>
    <w:rsid w:val="00306695"/>
    <w:rsid w:val="00306AA4"/>
    <w:rsid w:val="00306DCA"/>
    <w:rsid w:val="00306E23"/>
    <w:rsid w:val="0030707C"/>
    <w:rsid w:val="00307138"/>
    <w:rsid w:val="00307237"/>
    <w:rsid w:val="003076F0"/>
    <w:rsid w:val="003077C5"/>
    <w:rsid w:val="003078D7"/>
    <w:rsid w:val="00307B51"/>
    <w:rsid w:val="00307BF9"/>
    <w:rsid w:val="00307E35"/>
    <w:rsid w:val="0031002D"/>
    <w:rsid w:val="003102E5"/>
    <w:rsid w:val="003103F5"/>
    <w:rsid w:val="0031055C"/>
    <w:rsid w:val="00310809"/>
    <w:rsid w:val="00310A2B"/>
    <w:rsid w:val="00310CD0"/>
    <w:rsid w:val="00310D8C"/>
    <w:rsid w:val="00310DAF"/>
    <w:rsid w:val="00310E89"/>
    <w:rsid w:val="00311111"/>
    <w:rsid w:val="003111FD"/>
    <w:rsid w:val="00311215"/>
    <w:rsid w:val="003114F8"/>
    <w:rsid w:val="00311510"/>
    <w:rsid w:val="003115BC"/>
    <w:rsid w:val="00311717"/>
    <w:rsid w:val="0031193A"/>
    <w:rsid w:val="00311D13"/>
    <w:rsid w:val="00311D81"/>
    <w:rsid w:val="003121B3"/>
    <w:rsid w:val="003127EC"/>
    <w:rsid w:val="0031287B"/>
    <w:rsid w:val="00312B3D"/>
    <w:rsid w:val="00312D2A"/>
    <w:rsid w:val="003131C8"/>
    <w:rsid w:val="0031330C"/>
    <w:rsid w:val="003136D7"/>
    <w:rsid w:val="0031374E"/>
    <w:rsid w:val="00313E66"/>
    <w:rsid w:val="003140A5"/>
    <w:rsid w:val="0031431F"/>
    <w:rsid w:val="0031437C"/>
    <w:rsid w:val="00314596"/>
    <w:rsid w:val="0031470B"/>
    <w:rsid w:val="00314A25"/>
    <w:rsid w:val="00314F67"/>
    <w:rsid w:val="00315240"/>
    <w:rsid w:val="0031534E"/>
    <w:rsid w:val="00315711"/>
    <w:rsid w:val="0031577F"/>
    <w:rsid w:val="00315962"/>
    <w:rsid w:val="003159B8"/>
    <w:rsid w:val="003159D2"/>
    <w:rsid w:val="00315E49"/>
    <w:rsid w:val="00315E58"/>
    <w:rsid w:val="003162EF"/>
    <w:rsid w:val="00316443"/>
    <w:rsid w:val="00316898"/>
    <w:rsid w:val="00316BB0"/>
    <w:rsid w:val="00316C05"/>
    <w:rsid w:val="00316D86"/>
    <w:rsid w:val="00316FC3"/>
    <w:rsid w:val="00317091"/>
    <w:rsid w:val="00317125"/>
    <w:rsid w:val="0031713D"/>
    <w:rsid w:val="0031750A"/>
    <w:rsid w:val="0031750E"/>
    <w:rsid w:val="003175FA"/>
    <w:rsid w:val="00317CEF"/>
    <w:rsid w:val="00320293"/>
    <w:rsid w:val="003203D1"/>
    <w:rsid w:val="0032049C"/>
    <w:rsid w:val="003205BD"/>
    <w:rsid w:val="003205E8"/>
    <w:rsid w:val="00320B73"/>
    <w:rsid w:val="00320B9B"/>
    <w:rsid w:val="00320EAD"/>
    <w:rsid w:val="00320EE5"/>
    <w:rsid w:val="003210E9"/>
    <w:rsid w:val="0032110B"/>
    <w:rsid w:val="0032125E"/>
    <w:rsid w:val="003212D2"/>
    <w:rsid w:val="003217F3"/>
    <w:rsid w:val="00321A29"/>
    <w:rsid w:val="00321E47"/>
    <w:rsid w:val="00322006"/>
    <w:rsid w:val="00322328"/>
    <w:rsid w:val="00322838"/>
    <w:rsid w:val="003228CD"/>
    <w:rsid w:val="00322989"/>
    <w:rsid w:val="00323113"/>
    <w:rsid w:val="003231EF"/>
    <w:rsid w:val="00323210"/>
    <w:rsid w:val="003232F4"/>
    <w:rsid w:val="00323370"/>
    <w:rsid w:val="003237E9"/>
    <w:rsid w:val="00323867"/>
    <w:rsid w:val="003238C0"/>
    <w:rsid w:val="00323A73"/>
    <w:rsid w:val="00323E59"/>
    <w:rsid w:val="00323F1A"/>
    <w:rsid w:val="00323F78"/>
    <w:rsid w:val="00323FA4"/>
    <w:rsid w:val="00323FE8"/>
    <w:rsid w:val="00324071"/>
    <w:rsid w:val="003241ED"/>
    <w:rsid w:val="0032421E"/>
    <w:rsid w:val="003242A6"/>
    <w:rsid w:val="00324563"/>
    <w:rsid w:val="00324603"/>
    <w:rsid w:val="0032470C"/>
    <w:rsid w:val="0032474C"/>
    <w:rsid w:val="00324B73"/>
    <w:rsid w:val="00325189"/>
    <w:rsid w:val="0032527B"/>
    <w:rsid w:val="00325342"/>
    <w:rsid w:val="00325380"/>
    <w:rsid w:val="0032551D"/>
    <w:rsid w:val="003257D8"/>
    <w:rsid w:val="00325C34"/>
    <w:rsid w:val="00325FD7"/>
    <w:rsid w:val="0032665B"/>
    <w:rsid w:val="003267B0"/>
    <w:rsid w:val="0032693B"/>
    <w:rsid w:val="00326F05"/>
    <w:rsid w:val="00326F6C"/>
    <w:rsid w:val="00326F85"/>
    <w:rsid w:val="00326FF4"/>
    <w:rsid w:val="00327003"/>
    <w:rsid w:val="00327086"/>
    <w:rsid w:val="003276A1"/>
    <w:rsid w:val="003277E6"/>
    <w:rsid w:val="00327E4E"/>
    <w:rsid w:val="00327F74"/>
    <w:rsid w:val="00327F86"/>
    <w:rsid w:val="00327FB1"/>
    <w:rsid w:val="00330050"/>
    <w:rsid w:val="00330266"/>
    <w:rsid w:val="0033089B"/>
    <w:rsid w:val="003308B9"/>
    <w:rsid w:val="00330F01"/>
    <w:rsid w:val="00330F90"/>
    <w:rsid w:val="00330F93"/>
    <w:rsid w:val="0033106A"/>
    <w:rsid w:val="00331093"/>
    <w:rsid w:val="003310C7"/>
    <w:rsid w:val="00331289"/>
    <w:rsid w:val="003312D2"/>
    <w:rsid w:val="003313B4"/>
    <w:rsid w:val="003314C6"/>
    <w:rsid w:val="003316CD"/>
    <w:rsid w:val="0033171F"/>
    <w:rsid w:val="00331A66"/>
    <w:rsid w:val="00331C3F"/>
    <w:rsid w:val="00331D98"/>
    <w:rsid w:val="00331F03"/>
    <w:rsid w:val="0033229F"/>
    <w:rsid w:val="003323DF"/>
    <w:rsid w:val="00332490"/>
    <w:rsid w:val="003325B8"/>
    <w:rsid w:val="003325BC"/>
    <w:rsid w:val="00332A79"/>
    <w:rsid w:val="00332B13"/>
    <w:rsid w:val="00332B55"/>
    <w:rsid w:val="00332E3E"/>
    <w:rsid w:val="00332F6F"/>
    <w:rsid w:val="003330E4"/>
    <w:rsid w:val="00333161"/>
    <w:rsid w:val="003331D0"/>
    <w:rsid w:val="003332EF"/>
    <w:rsid w:val="003335EF"/>
    <w:rsid w:val="00333759"/>
    <w:rsid w:val="003338F6"/>
    <w:rsid w:val="00333B7E"/>
    <w:rsid w:val="00333EB4"/>
    <w:rsid w:val="00333F6D"/>
    <w:rsid w:val="003345F1"/>
    <w:rsid w:val="0033477F"/>
    <w:rsid w:val="00334B89"/>
    <w:rsid w:val="0033523E"/>
    <w:rsid w:val="00335294"/>
    <w:rsid w:val="003354A9"/>
    <w:rsid w:val="00335B72"/>
    <w:rsid w:val="00335D10"/>
    <w:rsid w:val="00335E81"/>
    <w:rsid w:val="00335ED2"/>
    <w:rsid w:val="00336594"/>
    <w:rsid w:val="0033673C"/>
    <w:rsid w:val="00336E67"/>
    <w:rsid w:val="00337065"/>
    <w:rsid w:val="00337337"/>
    <w:rsid w:val="00337960"/>
    <w:rsid w:val="003379C8"/>
    <w:rsid w:val="00337A37"/>
    <w:rsid w:val="00337AAB"/>
    <w:rsid w:val="00337AC7"/>
    <w:rsid w:val="00337D1D"/>
    <w:rsid w:val="00337D83"/>
    <w:rsid w:val="00337E5C"/>
    <w:rsid w:val="00337E6B"/>
    <w:rsid w:val="003402AF"/>
    <w:rsid w:val="00340401"/>
    <w:rsid w:val="00340847"/>
    <w:rsid w:val="003408A3"/>
    <w:rsid w:val="00340E74"/>
    <w:rsid w:val="003411F4"/>
    <w:rsid w:val="0034133F"/>
    <w:rsid w:val="003413E2"/>
    <w:rsid w:val="003413F4"/>
    <w:rsid w:val="00341BF2"/>
    <w:rsid w:val="00341D8B"/>
    <w:rsid w:val="0034204D"/>
    <w:rsid w:val="00342445"/>
    <w:rsid w:val="003427DD"/>
    <w:rsid w:val="0034281F"/>
    <w:rsid w:val="0034354E"/>
    <w:rsid w:val="00343921"/>
    <w:rsid w:val="003439CE"/>
    <w:rsid w:val="00343BB7"/>
    <w:rsid w:val="00343E6D"/>
    <w:rsid w:val="00343F8E"/>
    <w:rsid w:val="00344002"/>
    <w:rsid w:val="003442DA"/>
    <w:rsid w:val="003443E4"/>
    <w:rsid w:val="00344849"/>
    <w:rsid w:val="00344C89"/>
    <w:rsid w:val="00344CC3"/>
    <w:rsid w:val="00344DF1"/>
    <w:rsid w:val="00345030"/>
    <w:rsid w:val="003451BD"/>
    <w:rsid w:val="00345268"/>
    <w:rsid w:val="00345809"/>
    <w:rsid w:val="00345A39"/>
    <w:rsid w:val="00345C13"/>
    <w:rsid w:val="00345CE0"/>
    <w:rsid w:val="00346035"/>
    <w:rsid w:val="003462F3"/>
    <w:rsid w:val="003465E9"/>
    <w:rsid w:val="0034676A"/>
    <w:rsid w:val="00346AAA"/>
    <w:rsid w:val="00346B10"/>
    <w:rsid w:val="00346B5E"/>
    <w:rsid w:val="00346CBE"/>
    <w:rsid w:val="00347443"/>
    <w:rsid w:val="003474E3"/>
    <w:rsid w:val="003476AD"/>
    <w:rsid w:val="0034794A"/>
    <w:rsid w:val="00347A74"/>
    <w:rsid w:val="00347A91"/>
    <w:rsid w:val="00347BFD"/>
    <w:rsid w:val="00347CE0"/>
    <w:rsid w:val="00347EC9"/>
    <w:rsid w:val="00350230"/>
    <w:rsid w:val="0035063C"/>
    <w:rsid w:val="003506BD"/>
    <w:rsid w:val="003506FB"/>
    <w:rsid w:val="00350BB9"/>
    <w:rsid w:val="00350CF8"/>
    <w:rsid w:val="00350D5D"/>
    <w:rsid w:val="00350E24"/>
    <w:rsid w:val="00350FB1"/>
    <w:rsid w:val="00351403"/>
    <w:rsid w:val="0035140B"/>
    <w:rsid w:val="003514AD"/>
    <w:rsid w:val="003514D7"/>
    <w:rsid w:val="003516FC"/>
    <w:rsid w:val="00351745"/>
    <w:rsid w:val="003518AB"/>
    <w:rsid w:val="00351C0E"/>
    <w:rsid w:val="00351F65"/>
    <w:rsid w:val="00351FDC"/>
    <w:rsid w:val="00352959"/>
    <w:rsid w:val="003529A8"/>
    <w:rsid w:val="00352D50"/>
    <w:rsid w:val="00352F0B"/>
    <w:rsid w:val="00352F1A"/>
    <w:rsid w:val="00353768"/>
    <w:rsid w:val="0035393B"/>
    <w:rsid w:val="00353BC9"/>
    <w:rsid w:val="00353D82"/>
    <w:rsid w:val="00353D8D"/>
    <w:rsid w:val="00353DF6"/>
    <w:rsid w:val="00353F82"/>
    <w:rsid w:val="0035442F"/>
    <w:rsid w:val="00354523"/>
    <w:rsid w:val="00354869"/>
    <w:rsid w:val="00354887"/>
    <w:rsid w:val="00354BB2"/>
    <w:rsid w:val="00354C28"/>
    <w:rsid w:val="00354D54"/>
    <w:rsid w:val="00355616"/>
    <w:rsid w:val="0035573D"/>
    <w:rsid w:val="0035578A"/>
    <w:rsid w:val="003557C4"/>
    <w:rsid w:val="00355851"/>
    <w:rsid w:val="00355A4C"/>
    <w:rsid w:val="003562C5"/>
    <w:rsid w:val="003564B2"/>
    <w:rsid w:val="0035680B"/>
    <w:rsid w:val="0035697D"/>
    <w:rsid w:val="00356A7F"/>
    <w:rsid w:val="00356AE0"/>
    <w:rsid w:val="00356B6F"/>
    <w:rsid w:val="00356D7B"/>
    <w:rsid w:val="0035700C"/>
    <w:rsid w:val="0035733F"/>
    <w:rsid w:val="003577FB"/>
    <w:rsid w:val="00357C80"/>
    <w:rsid w:val="00357E28"/>
    <w:rsid w:val="00357EB8"/>
    <w:rsid w:val="00357FC0"/>
    <w:rsid w:val="00360080"/>
    <w:rsid w:val="003604A4"/>
    <w:rsid w:val="003606CB"/>
    <w:rsid w:val="0036086B"/>
    <w:rsid w:val="0036095B"/>
    <w:rsid w:val="003609EF"/>
    <w:rsid w:val="00360A8B"/>
    <w:rsid w:val="00360BCE"/>
    <w:rsid w:val="0036157A"/>
    <w:rsid w:val="00361899"/>
    <w:rsid w:val="00361FAA"/>
    <w:rsid w:val="0036216F"/>
    <w:rsid w:val="003622A7"/>
    <w:rsid w:val="003623B9"/>
    <w:rsid w:val="003625F7"/>
    <w:rsid w:val="00362A83"/>
    <w:rsid w:val="00362D2B"/>
    <w:rsid w:val="00362EE5"/>
    <w:rsid w:val="003634AE"/>
    <w:rsid w:val="0036358B"/>
    <w:rsid w:val="00363618"/>
    <w:rsid w:val="00363A33"/>
    <w:rsid w:val="00363A67"/>
    <w:rsid w:val="00363DEF"/>
    <w:rsid w:val="0036407F"/>
    <w:rsid w:val="00364C9F"/>
    <w:rsid w:val="00364D91"/>
    <w:rsid w:val="00364F45"/>
    <w:rsid w:val="00365AB9"/>
    <w:rsid w:val="00365B43"/>
    <w:rsid w:val="00365CAA"/>
    <w:rsid w:val="00365CFB"/>
    <w:rsid w:val="003664EA"/>
    <w:rsid w:val="003665DB"/>
    <w:rsid w:val="0036674C"/>
    <w:rsid w:val="003667A1"/>
    <w:rsid w:val="003667BE"/>
    <w:rsid w:val="003668C6"/>
    <w:rsid w:val="003668F9"/>
    <w:rsid w:val="00366DD0"/>
    <w:rsid w:val="00366E32"/>
    <w:rsid w:val="00367152"/>
    <w:rsid w:val="003671D3"/>
    <w:rsid w:val="00367734"/>
    <w:rsid w:val="00367A88"/>
    <w:rsid w:val="00367AB0"/>
    <w:rsid w:val="00367E18"/>
    <w:rsid w:val="00367E82"/>
    <w:rsid w:val="00370121"/>
    <w:rsid w:val="0037019F"/>
    <w:rsid w:val="00370520"/>
    <w:rsid w:val="003705A4"/>
    <w:rsid w:val="00370B6F"/>
    <w:rsid w:val="00371037"/>
    <w:rsid w:val="00371079"/>
    <w:rsid w:val="00371221"/>
    <w:rsid w:val="00371541"/>
    <w:rsid w:val="00371618"/>
    <w:rsid w:val="0037176B"/>
    <w:rsid w:val="003718FA"/>
    <w:rsid w:val="00371EAF"/>
    <w:rsid w:val="00372007"/>
    <w:rsid w:val="003722F7"/>
    <w:rsid w:val="003728BA"/>
    <w:rsid w:val="0037337B"/>
    <w:rsid w:val="0037385E"/>
    <w:rsid w:val="00373902"/>
    <w:rsid w:val="00374742"/>
    <w:rsid w:val="003747FF"/>
    <w:rsid w:val="0037495A"/>
    <w:rsid w:val="00374BDC"/>
    <w:rsid w:val="00374CEF"/>
    <w:rsid w:val="00374EB9"/>
    <w:rsid w:val="00375380"/>
    <w:rsid w:val="003753F7"/>
    <w:rsid w:val="0037549A"/>
    <w:rsid w:val="003755E5"/>
    <w:rsid w:val="003758D9"/>
    <w:rsid w:val="00375BE8"/>
    <w:rsid w:val="00375C18"/>
    <w:rsid w:val="00375D6C"/>
    <w:rsid w:val="00375E70"/>
    <w:rsid w:val="00376188"/>
    <w:rsid w:val="0037667A"/>
    <w:rsid w:val="0037685C"/>
    <w:rsid w:val="00376B8E"/>
    <w:rsid w:val="00376C58"/>
    <w:rsid w:val="00376CFF"/>
    <w:rsid w:val="003772EF"/>
    <w:rsid w:val="003774F4"/>
    <w:rsid w:val="003778A1"/>
    <w:rsid w:val="003778B4"/>
    <w:rsid w:val="00377C2E"/>
    <w:rsid w:val="00377C35"/>
    <w:rsid w:val="00377D52"/>
    <w:rsid w:val="00380009"/>
    <w:rsid w:val="00380080"/>
    <w:rsid w:val="00380215"/>
    <w:rsid w:val="003802C2"/>
    <w:rsid w:val="00380542"/>
    <w:rsid w:val="003805ED"/>
    <w:rsid w:val="003807EF"/>
    <w:rsid w:val="0038081E"/>
    <w:rsid w:val="00380ADF"/>
    <w:rsid w:val="00380C99"/>
    <w:rsid w:val="00380DB4"/>
    <w:rsid w:val="00380DBE"/>
    <w:rsid w:val="00380FBE"/>
    <w:rsid w:val="003810B5"/>
    <w:rsid w:val="003810B8"/>
    <w:rsid w:val="003815CC"/>
    <w:rsid w:val="0038192D"/>
    <w:rsid w:val="00381EB2"/>
    <w:rsid w:val="00382357"/>
    <w:rsid w:val="00382408"/>
    <w:rsid w:val="003824ED"/>
    <w:rsid w:val="0038294C"/>
    <w:rsid w:val="0038295A"/>
    <w:rsid w:val="00382A37"/>
    <w:rsid w:val="00382A49"/>
    <w:rsid w:val="00382E4B"/>
    <w:rsid w:val="00382FAE"/>
    <w:rsid w:val="003839C6"/>
    <w:rsid w:val="00383A3A"/>
    <w:rsid w:val="00383C77"/>
    <w:rsid w:val="00383E18"/>
    <w:rsid w:val="003843B7"/>
    <w:rsid w:val="003845C2"/>
    <w:rsid w:val="003846C2"/>
    <w:rsid w:val="00384874"/>
    <w:rsid w:val="00384B50"/>
    <w:rsid w:val="00384D0D"/>
    <w:rsid w:val="00384E4A"/>
    <w:rsid w:val="003856EB"/>
    <w:rsid w:val="003857B9"/>
    <w:rsid w:val="003858E4"/>
    <w:rsid w:val="003859A1"/>
    <w:rsid w:val="00385BA1"/>
    <w:rsid w:val="00385BFB"/>
    <w:rsid w:val="00385CC1"/>
    <w:rsid w:val="00385ED3"/>
    <w:rsid w:val="00385F37"/>
    <w:rsid w:val="00386083"/>
    <w:rsid w:val="003863A1"/>
    <w:rsid w:val="003863E4"/>
    <w:rsid w:val="003863F1"/>
    <w:rsid w:val="0038675D"/>
    <w:rsid w:val="00386AB7"/>
    <w:rsid w:val="00386FF0"/>
    <w:rsid w:val="0038743B"/>
    <w:rsid w:val="00387959"/>
    <w:rsid w:val="00387A65"/>
    <w:rsid w:val="00387CEE"/>
    <w:rsid w:val="00387EFB"/>
    <w:rsid w:val="00387F0A"/>
    <w:rsid w:val="00387F2F"/>
    <w:rsid w:val="0039012F"/>
    <w:rsid w:val="0039028A"/>
    <w:rsid w:val="003903E0"/>
    <w:rsid w:val="00390BEF"/>
    <w:rsid w:val="00390ED6"/>
    <w:rsid w:val="00391295"/>
    <w:rsid w:val="00391B29"/>
    <w:rsid w:val="00391DA0"/>
    <w:rsid w:val="00392351"/>
    <w:rsid w:val="0039236C"/>
    <w:rsid w:val="00392439"/>
    <w:rsid w:val="00392567"/>
    <w:rsid w:val="0039258C"/>
    <w:rsid w:val="003925B3"/>
    <w:rsid w:val="003925EA"/>
    <w:rsid w:val="003928D3"/>
    <w:rsid w:val="00392E60"/>
    <w:rsid w:val="00392EFD"/>
    <w:rsid w:val="00393034"/>
    <w:rsid w:val="0039324F"/>
    <w:rsid w:val="003933DD"/>
    <w:rsid w:val="0039390A"/>
    <w:rsid w:val="00393AAC"/>
    <w:rsid w:val="00393AFD"/>
    <w:rsid w:val="00393B31"/>
    <w:rsid w:val="00393E6E"/>
    <w:rsid w:val="0039433A"/>
    <w:rsid w:val="0039456F"/>
    <w:rsid w:val="00394649"/>
    <w:rsid w:val="00394FAF"/>
    <w:rsid w:val="00394FBE"/>
    <w:rsid w:val="003958F7"/>
    <w:rsid w:val="00395916"/>
    <w:rsid w:val="00395953"/>
    <w:rsid w:val="00395AC3"/>
    <w:rsid w:val="00395E2B"/>
    <w:rsid w:val="00395E3D"/>
    <w:rsid w:val="003960D7"/>
    <w:rsid w:val="00396127"/>
    <w:rsid w:val="00396199"/>
    <w:rsid w:val="003963BA"/>
    <w:rsid w:val="00396414"/>
    <w:rsid w:val="00396609"/>
    <w:rsid w:val="0039664F"/>
    <w:rsid w:val="00396681"/>
    <w:rsid w:val="0039676B"/>
    <w:rsid w:val="003969C4"/>
    <w:rsid w:val="00396AE2"/>
    <w:rsid w:val="00396DDE"/>
    <w:rsid w:val="00396E39"/>
    <w:rsid w:val="00396EB1"/>
    <w:rsid w:val="0039737A"/>
    <w:rsid w:val="00397B14"/>
    <w:rsid w:val="003A05D5"/>
    <w:rsid w:val="003A0A2F"/>
    <w:rsid w:val="003A0BEF"/>
    <w:rsid w:val="003A0C48"/>
    <w:rsid w:val="003A0DC6"/>
    <w:rsid w:val="003A10AC"/>
    <w:rsid w:val="003A12DF"/>
    <w:rsid w:val="003A14D2"/>
    <w:rsid w:val="003A150F"/>
    <w:rsid w:val="003A1D97"/>
    <w:rsid w:val="003A216C"/>
    <w:rsid w:val="003A2307"/>
    <w:rsid w:val="003A2494"/>
    <w:rsid w:val="003A2758"/>
    <w:rsid w:val="003A2A08"/>
    <w:rsid w:val="003A2ACB"/>
    <w:rsid w:val="003A2D4C"/>
    <w:rsid w:val="003A2DE4"/>
    <w:rsid w:val="003A30F0"/>
    <w:rsid w:val="003A321C"/>
    <w:rsid w:val="003A32D3"/>
    <w:rsid w:val="003A32E1"/>
    <w:rsid w:val="003A37E8"/>
    <w:rsid w:val="003A3EC9"/>
    <w:rsid w:val="003A40E7"/>
    <w:rsid w:val="003A42CA"/>
    <w:rsid w:val="003A45C2"/>
    <w:rsid w:val="003A4968"/>
    <w:rsid w:val="003A4C66"/>
    <w:rsid w:val="003A4D41"/>
    <w:rsid w:val="003A51E0"/>
    <w:rsid w:val="003A5242"/>
    <w:rsid w:val="003A5456"/>
    <w:rsid w:val="003A579B"/>
    <w:rsid w:val="003A5956"/>
    <w:rsid w:val="003A5AC7"/>
    <w:rsid w:val="003A5B18"/>
    <w:rsid w:val="003A5E34"/>
    <w:rsid w:val="003A5F07"/>
    <w:rsid w:val="003A603F"/>
    <w:rsid w:val="003A6046"/>
    <w:rsid w:val="003A64AB"/>
    <w:rsid w:val="003A6582"/>
    <w:rsid w:val="003A658E"/>
    <w:rsid w:val="003A689A"/>
    <w:rsid w:val="003A6987"/>
    <w:rsid w:val="003A69D6"/>
    <w:rsid w:val="003A6B98"/>
    <w:rsid w:val="003A6C44"/>
    <w:rsid w:val="003A6FF7"/>
    <w:rsid w:val="003A74A1"/>
    <w:rsid w:val="003A7718"/>
    <w:rsid w:val="003A7802"/>
    <w:rsid w:val="003A7873"/>
    <w:rsid w:val="003A78D8"/>
    <w:rsid w:val="003A7E06"/>
    <w:rsid w:val="003B005E"/>
    <w:rsid w:val="003B0536"/>
    <w:rsid w:val="003B0579"/>
    <w:rsid w:val="003B14B9"/>
    <w:rsid w:val="003B15D8"/>
    <w:rsid w:val="003B16A5"/>
    <w:rsid w:val="003B16E4"/>
    <w:rsid w:val="003B183F"/>
    <w:rsid w:val="003B1841"/>
    <w:rsid w:val="003B1A1D"/>
    <w:rsid w:val="003B1BAE"/>
    <w:rsid w:val="003B1E37"/>
    <w:rsid w:val="003B223A"/>
    <w:rsid w:val="003B23C3"/>
    <w:rsid w:val="003B29C6"/>
    <w:rsid w:val="003B2D39"/>
    <w:rsid w:val="003B307F"/>
    <w:rsid w:val="003B31B4"/>
    <w:rsid w:val="003B33C8"/>
    <w:rsid w:val="003B39EC"/>
    <w:rsid w:val="003B3B27"/>
    <w:rsid w:val="003B3C0A"/>
    <w:rsid w:val="003B4362"/>
    <w:rsid w:val="003B47DB"/>
    <w:rsid w:val="003B47E7"/>
    <w:rsid w:val="003B4C5A"/>
    <w:rsid w:val="003B4CD2"/>
    <w:rsid w:val="003B4E6D"/>
    <w:rsid w:val="003B4EF6"/>
    <w:rsid w:val="003B5095"/>
    <w:rsid w:val="003B509B"/>
    <w:rsid w:val="003B52E3"/>
    <w:rsid w:val="003B5676"/>
    <w:rsid w:val="003B5751"/>
    <w:rsid w:val="003B59C1"/>
    <w:rsid w:val="003B5B4B"/>
    <w:rsid w:val="003B5BD8"/>
    <w:rsid w:val="003B611D"/>
    <w:rsid w:val="003B6204"/>
    <w:rsid w:val="003B65B8"/>
    <w:rsid w:val="003B6B4B"/>
    <w:rsid w:val="003B6BC5"/>
    <w:rsid w:val="003B6F30"/>
    <w:rsid w:val="003B70B3"/>
    <w:rsid w:val="003B7472"/>
    <w:rsid w:val="003B7A46"/>
    <w:rsid w:val="003C0008"/>
    <w:rsid w:val="003C015C"/>
    <w:rsid w:val="003C01FA"/>
    <w:rsid w:val="003C050B"/>
    <w:rsid w:val="003C052C"/>
    <w:rsid w:val="003C0979"/>
    <w:rsid w:val="003C0D9E"/>
    <w:rsid w:val="003C0FE7"/>
    <w:rsid w:val="003C11FF"/>
    <w:rsid w:val="003C12C9"/>
    <w:rsid w:val="003C1350"/>
    <w:rsid w:val="003C13E0"/>
    <w:rsid w:val="003C19F1"/>
    <w:rsid w:val="003C1AF8"/>
    <w:rsid w:val="003C1B3B"/>
    <w:rsid w:val="003C1DF4"/>
    <w:rsid w:val="003C1F07"/>
    <w:rsid w:val="003C22BA"/>
    <w:rsid w:val="003C237D"/>
    <w:rsid w:val="003C2595"/>
    <w:rsid w:val="003C262A"/>
    <w:rsid w:val="003C2A03"/>
    <w:rsid w:val="003C2C7C"/>
    <w:rsid w:val="003C2F32"/>
    <w:rsid w:val="003C30DF"/>
    <w:rsid w:val="003C30F7"/>
    <w:rsid w:val="003C39CD"/>
    <w:rsid w:val="003C39E4"/>
    <w:rsid w:val="003C3A4C"/>
    <w:rsid w:val="003C3B47"/>
    <w:rsid w:val="003C4111"/>
    <w:rsid w:val="003C42A5"/>
    <w:rsid w:val="003C469B"/>
    <w:rsid w:val="003C470B"/>
    <w:rsid w:val="003C4761"/>
    <w:rsid w:val="003C49DB"/>
    <w:rsid w:val="003C4A33"/>
    <w:rsid w:val="003C4C54"/>
    <w:rsid w:val="003C507B"/>
    <w:rsid w:val="003C52B7"/>
    <w:rsid w:val="003C5352"/>
    <w:rsid w:val="003C552E"/>
    <w:rsid w:val="003C5639"/>
    <w:rsid w:val="003C5716"/>
    <w:rsid w:val="003C5D85"/>
    <w:rsid w:val="003C5DE0"/>
    <w:rsid w:val="003C5EA7"/>
    <w:rsid w:val="003C63D8"/>
    <w:rsid w:val="003C68C5"/>
    <w:rsid w:val="003C699D"/>
    <w:rsid w:val="003C6A3D"/>
    <w:rsid w:val="003C6B5F"/>
    <w:rsid w:val="003C6BAA"/>
    <w:rsid w:val="003C6CC1"/>
    <w:rsid w:val="003C71D6"/>
    <w:rsid w:val="003C732C"/>
    <w:rsid w:val="003C7398"/>
    <w:rsid w:val="003C75B3"/>
    <w:rsid w:val="003C7755"/>
    <w:rsid w:val="003C77FD"/>
    <w:rsid w:val="003C7801"/>
    <w:rsid w:val="003C7BA4"/>
    <w:rsid w:val="003C7BF9"/>
    <w:rsid w:val="003D06DF"/>
    <w:rsid w:val="003D083E"/>
    <w:rsid w:val="003D0A9A"/>
    <w:rsid w:val="003D136C"/>
    <w:rsid w:val="003D152C"/>
    <w:rsid w:val="003D1939"/>
    <w:rsid w:val="003D1E32"/>
    <w:rsid w:val="003D1E62"/>
    <w:rsid w:val="003D1E9F"/>
    <w:rsid w:val="003D246E"/>
    <w:rsid w:val="003D2773"/>
    <w:rsid w:val="003D30FA"/>
    <w:rsid w:val="003D361D"/>
    <w:rsid w:val="003D3821"/>
    <w:rsid w:val="003D3833"/>
    <w:rsid w:val="003D39D2"/>
    <w:rsid w:val="003D3B89"/>
    <w:rsid w:val="003D430A"/>
    <w:rsid w:val="003D4335"/>
    <w:rsid w:val="003D46D0"/>
    <w:rsid w:val="003D4D9B"/>
    <w:rsid w:val="003D4E35"/>
    <w:rsid w:val="003D4F9A"/>
    <w:rsid w:val="003D540A"/>
    <w:rsid w:val="003D54E9"/>
    <w:rsid w:val="003D552F"/>
    <w:rsid w:val="003D5A2C"/>
    <w:rsid w:val="003D5B51"/>
    <w:rsid w:val="003D5BA2"/>
    <w:rsid w:val="003D5CF9"/>
    <w:rsid w:val="003D6091"/>
    <w:rsid w:val="003D60A7"/>
    <w:rsid w:val="003D61F4"/>
    <w:rsid w:val="003D632D"/>
    <w:rsid w:val="003D6445"/>
    <w:rsid w:val="003D67DA"/>
    <w:rsid w:val="003D6811"/>
    <w:rsid w:val="003D6DFA"/>
    <w:rsid w:val="003D6F71"/>
    <w:rsid w:val="003D71C2"/>
    <w:rsid w:val="003D77C9"/>
    <w:rsid w:val="003D79F9"/>
    <w:rsid w:val="003D7A60"/>
    <w:rsid w:val="003E02FD"/>
    <w:rsid w:val="003E042D"/>
    <w:rsid w:val="003E0508"/>
    <w:rsid w:val="003E0531"/>
    <w:rsid w:val="003E0559"/>
    <w:rsid w:val="003E07D9"/>
    <w:rsid w:val="003E07E4"/>
    <w:rsid w:val="003E07EC"/>
    <w:rsid w:val="003E0924"/>
    <w:rsid w:val="003E1219"/>
    <w:rsid w:val="003E1236"/>
    <w:rsid w:val="003E14BC"/>
    <w:rsid w:val="003E1A0F"/>
    <w:rsid w:val="003E1AF9"/>
    <w:rsid w:val="003E1D10"/>
    <w:rsid w:val="003E1D11"/>
    <w:rsid w:val="003E1D67"/>
    <w:rsid w:val="003E1D99"/>
    <w:rsid w:val="003E1F82"/>
    <w:rsid w:val="003E21FD"/>
    <w:rsid w:val="003E22F2"/>
    <w:rsid w:val="003E247A"/>
    <w:rsid w:val="003E2550"/>
    <w:rsid w:val="003E2775"/>
    <w:rsid w:val="003E27AE"/>
    <w:rsid w:val="003E284E"/>
    <w:rsid w:val="003E2DA0"/>
    <w:rsid w:val="003E34AA"/>
    <w:rsid w:val="003E3546"/>
    <w:rsid w:val="003E3708"/>
    <w:rsid w:val="003E3ACD"/>
    <w:rsid w:val="003E3F92"/>
    <w:rsid w:val="003E4171"/>
    <w:rsid w:val="003E4275"/>
    <w:rsid w:val="003E42BB"/>
    <w:rsid w:val="003E4385"/>
    <w:rsid w:val="003E444D"/>
    <w:rsid w:val="003E4943"/>
    <w:rsid w:val="003E4CB9"/>
    <w:rsid w:val="003E4EB5"/>
    <w:rsid w:val="003E4F4F"/>
    <w:rsid w:val="003E4F81"/>
    <w:rsid w:val="003E507E"/>
    <w:rsid w:val="003E551D"/>
    <w:rsid w:val="003E560B"/>
    <w:rsid w:val="003E56A4"/>
    <w:rsid w:val="003E575F"/>
    <w:rsid w:val="003E58EE"/>
    <w:rsid w:val="003E5BA7"/>
    <w:rsid w:val="003E5DDC"/>
    <w:rsid w:val="003E5FDF"/>
    <w:rsid w:val="003E6155"/>
    <w:rsid w:val="003E61D7"/>
    <w:rsid w:val="003E64B3"/>
    <w:rsid w:val="003E671C"/>
    <w:rsid w:val="003E685B"/>
    <w:rsid w:val="003E68E1"/>
    <w:rsid w:val="003E6AF8"/>
    <w:rsid w:val="003E6B96"/>
    <w:rsid w:val="003E6CB4"/>
    <w:rsid w:val="003E6CFA"/>
    <w:rsid w:val="003E71E8"/>
    <w:rsid w:val="003E7284"/>
    <w:rsid w:val="003E7318"/>
    <w:rsid w:val="003E7363"/>
    <w:rsid w:val="003E77BA"/>
    <w:rsid w:val="003E7841"/>
    <w:rsid w:val="003E79D5"/>
    <w:rsid w:val="003E7B0D"/>
    <w:rsid w:val="003E7C05"/>
    <w:rsid w:val="003E7EEA"/>
    <w:rsid w:val="003F002F"/>
    <w:rsid w:val="003F003A"/>
    <w:rsid w:val="003F0302"/>
    <w:rsid w:val="003F039D"/>
    <w:rsid w:val="003F07B2"/>
    <w:rsid w:val="003F0EEF"/>
    <w:rsid w:val="003F1404"/>
    <w:rsid w:val="003F16DC"/>
    <w:rsid w:val="003F1789"/>
    <w:rsid w:val="003F1FC7"/>
    <w:rsid w:val="003F28F7"/>
    <w:rsid w:val="003F2A54"/>
    <w:rsid w:val="003F2AD9"/>
    <w:rsid w:val="003F31B4"/>
    <w:rsid w:val="003F31BA"/>
    <w:rsid w:val="003F326B"/>
    <w:rsid w:val="003F33DF"/>
    <w:rsid w:val="003F35D5"/>
    <w:rsid w:val="003F3AE2"/>
    <w:rsid w:val="003F3AE4"/>
    <w:rsid w:val="003F3B53"/>
    <w:rsid w:val="003F3C60"/>
    <w:rsid w:val="003F3FED"/>
    <w:rsid w:val="003F47A6"/>
    <w:rsid w:val="003F4916"/>
    <w:rsid w:val="003F495E"/>
    <w:rsid w:val="003F4A28"/>
    <w:rsid w:val="003F4B7F"/>
    <w:rsid w:val="003F4D5C"/>
    <w:rsid w:val="003F4EBB"/>
    <w:rsid w:val="003F5765"/>
    <w:rsid w:val="003F5783"/>
    <w:rsid w:val="003F5A32"/>
    <w:rsid w:val="003F5A57"/>
    <w:rsid w:val="003F5AFF"/>
    <w:rsid w:val="003F5B5A"/>
    <w:rsid w:val="003F5EBD"/>
    <w:rsid w:val="003F604D"/>
    <w:rsid w:val="003F61B5"/>
    <w:rsid w:val="003F61F9"/>
    <w:rsid w:val="003F6265"/>
    <w:rsid w:val="003F62B1"/>
    <w:rsid w:val="003F62F3"/>
    <w:rsid w:val="003F655C"/>
    <w:rsid w:val="003F6637"/>
    <w:rsid w:val="003F6942"/>
    <w:rsid w:val="003F6A9C"/>
    <w:rsid w:val="003F6C95"/>
    <w:rsid w:val="003F6CF7"/>
    <w:rsid w:val="003F7390"/>
    <w:rsid w:val="003F74F4"/>
    <w:rsid w:val="003F74FE"/>
    <w:rsid w:val="003F7AAE"/>
    <w:rsid w:val="003F7C63"/>
    <w:rsid w:val="003F7FD4"/>
    <w:rsid w:val="004003F1"/>
    <w:rsid w:val="00400560"/>
    <w:rsid w:val="004005C4"/>
    <w:rsid w:val="0040065F"/>
    <w:rsid w:val="00400713"/>
    <w:rsid w:val="004009D1"/>
    <w:rsid w:val="00400A39"/>
    <w:rsid w:val="00400BAA"/>
    <w:rsid w:val="00400CE3"/>
    <w:rsid w:val="00400DAF"/>
    <w:rsid w:val="00400F01"/>
    <w:rsid w:val="00400F77"/>
    <w:rsid w:val="0040149D"/>
    <w:rsid w:val="00401C1A"/>
    <w:rsid w:val="00401D3C"/>
    <w:rsid w:val="00401DC4"/>
    <w:rsid w:val="004021A6"/>
    <w:rsid w:val="004022C4"/>
    <w:rsid w:val="00402317"/>
    <w:rsid w:val="00402339"/>
    <w:rsid w:val="00402CA1"/>
    <w:rsid w:val="00402E58"/>
    <w:rsid w:val="00402F14"/>
    <w:rsid w:val="00402F9C"/>
    <w:rsid w:val="004035BC"/>
    <w:rsid w:val="00403700"/>
    <w:rsid w:val="00403B18"/>
    <w:rsid w:val="00403DE8"/>
    <w:rsid w:val="00404142"/>
    <w:rsid w:val="0040434E"/>
    <w:rsid w:val="004045E5"/>
    <w:rsid w:val="00404813"/>
    <w:rsid w:val="00404D12"/>
    <w:rsid w:val="00404D1B"/>
    <w:rsid w:val="00404F52"/>
    <w:rsid w:val="00404FDD"/>
    <w:rsid w:val="0040510B"/>
    <w:rsid w:val="004051FA"/>
    <w:rsid w:val="004052BA"/>
    <w:rsid w:val="00405671"/>
    <w:rsid w:val="00405A81"/>
    <w:rsid w:val="00405F31"/>
    <w:rsid w:val="0040600E"/>
    <w:rsid w:val="00406125"/>
    <w:rsid w:val="0040623F"/>
    <w:rsid w:val="004064FB"/>
    <w:rsid w:val="004068E5"/>
    <w:rsid w:val="004076F8"/>
    <w:rsid w:val="00407CE5"/>
    <w:rsid w:val="00407E98"/>
    <w:rsid w:val="00407F34"/>
    <w:rsid w:val="00407FEA"/>
    <w:rsid w:val="004100D0"/>
    <w:rsid w:val="004100DE"/>
    <w:rsid w:val="004100E3"/>
    <w:rsid w:val="00410328"/>
    <w:rsid w:val="00410916"/>
    <w:rsid w:val="00410F33"/>
    <w:rsid w:val="00410FA0"/>
    <w:rsid w:val="0041103C"/>
    <w:rsid w:val="00411058"/>
    <w:rsid w:val="00411653"/>
    <w:rsid w:val="004119A3"/>
    <w:rsid w:val="00411BB3"/>
    <w:rsid w:val="00411BBC"/>
    <w:rsid w:val="00411F76"/>
    <w:rsid w:val="004121D0"/>
    <w:rsid w:val="004124E8"/>
    <w:rsid w:val="00412AE5"/>
    <w:rsid w:val="00412DA5"/>
    <w:rsid w:val="00412DF9"/>
    <w:rsid w:val="00413006"/>
    <w:rsid w:val="0041313B"/>
    <w:rsid w:val="00413345"/>
    <w:rsid w:val="00413475"/>
    <w:rsid w:val="004134A5"/>
    <w:rsid w:val="0041388B"/>
    <w:rsid w:val="00413E9B"/>
    <w:rsid w:val="00414BAF"/>
    <w:rsid w:val="00414C1B"/>
    <w:rsid w:val="004155B1"/>
    <w:rsid w:val="004155F8"/>
    <w:rsid w:val="004157AA"/>
    <w:rsid w:val="004158DC"/>
    <w:rsid w:val="00415974"/>
    <w:rsid w:val="00415AA8"/>
    <w:rsid w:val="00415B93"/>
    <w:rsid w:val="00415DBE"/>
    <w:rsid w:val="00416381"/>
    <w:rsid w:val="0041650E"/>
    <w:rsid w:val="0041671C"/>
    <w:rsid w:val="0041671D"/>
    <w:rsid w:val="0041684B"/>
    <w:rsid w:val="00416E16"/>
    <w:rsid w:val="00416E5C"/>
    <w:rsid w:val="00416F55"/>
    <w:rsid w:val="004174CB"/>
    <w:rsid w:val="0041756A"/>
    <w:rsid w:val="00417CBA"/>
    <w:rsid w:val="00417D8D"/>
    <w:rsid w:val="00417FC0"/>
    <w:rsid w:val="004200F2"/>
    <w:rsid w:val="0042017A"/>
    <w:rsid w:val="00420913"/>
    <w:rsid w:val="00420F4A"/>
    <w:rsid w:val="00420FBA"/>
    <w:rsid w:val="00421003"/>
    <w:rsid w:val="004211A6"/>
    <w:rsid w:val="00421261"/>
    <w:rsid w:val="004214FD"/>
    <w:rsid w:val="00421642"/>
    <w:rsid w:val="0042166F"/>
    <w:rsid w:val="004218BD"/>
    <w:rsid w:val="00421A42"/>
    <w:rsid w:val="00421AB3"/>
    <w:rsid w:val="00421D5E"/>
    <w:rsid w:val="00421DB0"/>
    <w:rsid w:val="00421E8A"/>
    <w:rsid w:val="00421FDC"/>
    <w:rsid w:val="0042201C"/>
    <w:rsid w:val="00422CC6"/>
    <w:rsid w:val="00422E1B"/>
    <w:rsid w:val="00422F00"/>
    <w:rsid w:val="004231E9"/>
    <w:rsid w:val="00423655"/>
    <w:rsid w:val="00423B0F"/>
    <w:rsid w:val="00423CEC"/>
    <w:rsid w:val="0042416D"/>
    <w:rsid w:val="0042427E"/>
    <w:rsid w:val="00424286"/>
    <w:rsid w:val="0042480F"/>
    <w:rsid w:val="00424C3D"/>
    <w:rsid w:val="00424EC6"/>
    <w:rsid w:val="00425093"/>
    <w:rsid w:val="0042548F"/>
    <w:rsid w:val="004257A6"/>
    <w:rsid w:val="00425A93"/>
    <w:rsid w:val="00425AC8"/>
    <w:rsid w:val="00425B14"/>
    <w:rsid w:val="00425B6C"/>
    <w:rsid w:val="00425F67"/>
    <w:rsid w:val="00426165"/>
    <w:rsid w:val="00426289"/>
    <w:rsid w:val="004264A2"/>
    <w:rsid w:val="0042663E"/>
    <w:rsid w:val="0042668B"/>
    <w:rsid w:val="004266A4"/>
    <w:rsid w:val="00426756"/>
    <w:rsid w:val="004268E8"/>
    <w:rsid w:val="00426AA2"/>
    <w:rsid w:val="00426B63"/>
    <w:rsid w:val="00426BCA"/>
    <w:rsid w:val="00426C6C"/>
    <w:rsid w:val="00426CD2"/>
    <w:rsid w:val="00426D72"/>
    <w:rsid w:val="00426F4E"/>
    <w:rsid w:val="00426F88"/>
    <w:rsid w:val="00427095"/>
    <w:rsid w:val="00427164"/>
    <w:rsid w:val="004271F4"/>
    <w:rsid w:val="00427342"/>
    <w:rsid w:val="00427481"/>
    <w:rsid w:val="004279EB"/>
    <w:rsid w:val="00427D80"/>
    <w:rsid w:val="00430255"/>
    <w:rsid w:val="004307AA"/>
    <w:rsid w:val="00430836"/>
    <w:rsid w:val="004309E9"/>
    <w:rsid w:val="00430AC0"/>
    <w:rsid w:val="00430ACC"/>
    <w:rsid w:val="00430B4C"/>
    <w:rsid w:val="00430DB9"/>
    <w:rsid w:val="00431026"/>
    <w:rsid w:val="00431122"/>
    <w:rsid w:val="0043139C"/>
    <w:rsid w:val="00431BE3"/>
    <w:rsid w:val="00432015"/>
    <w:rsid w:val="004320C0"/>
    <w:rsid w:val="004321EC"/>
    <w:rsid w:val="00432725"/>
    <w:rsid w:val="004328B3"/>
    <w:rsid w:val="00432B1D"/>
    <w:rsid w:val="00432B40"/>
    <w:rsid w:val="0043341F"/>
    <w:rsid w:val="004334C0"/>
    <w:rsid w:val="00433715"/>
    <w:rsid w:val="00433905"/>
    <w:rsid w:val="004339C0"/>
    <w:rsid w:val="00433A06"/>
    <w:rsid w:val="00433CAE"/>
    <w:rsid w:val="00433E3D"/>
    <w:rsid w:val="00434063"/>
    <w:rsid w:val="0043418B"/>
    <w:rsid w:val="004341BD"/>
    <w:rsid w:val="0043420A"/>
    <w:rsid w:val="004342DB"/>
    <w:rsid w:val="00434348"/>
    <w:rsid w:val="0043446C"/>
    <w:rsid w:val="0043472B"/>
    <w:rsid w:val="00435594"/>
    <w:rsid w:val="0043572D"/>
    <w:rsid w:val="00435B91"/>
    <w:rsid w:val="00435EAB"/>
    <w:rsid w:val="00435EB8"/>
    <w:rsid w:val="00436244"/>
    <w:rsid w:val="00436480"/>
    <w:rsid w:val="00436529"/>
    <w:rsid w:val="00436640"/>
    <w:rsid w:val="00436753"/>
    <w:rsid w:val="0043776A"/>
    <w:rsid w:val="004379B4"/>
    <w:rsid w:val="00437A43"/>
    <w:rsid w:val="00437F10"/>
    <w:rsid w:val="00437F62"/>
    <w:rsid w:val="00437FC9"/>
    <w:rsid w:val="00440600"/>
    <w:rsid w:val="00440682"/>
    <w:rsid w:val="004406C5"/>
    <w:rsid w:val="004407C5"/>
    <w:rsid w:val="00440849"/>
    <w:rsid w:val="004408F5"/>
    <w:rsid w:val="0044099D"/>
    <w:rsid w:val="00440BDE"/>
    <w:rsid w:val="0044133D"/>
    <w:rsid w:val="0044157B"/>
    <w:rsid w:val="0044166D"/>
    <w:rsid w:val="00441ABD"/>
    <w:rsid w:val="00441B0D"/>
    <w:rsid w:val="00441B20"/>
    <w:rsid w:val="00441F2E"/>
    <w:rsid w:val="004427FB"/>
    <w:rsid w:val="004431C6"/>
    <w:rsid w:val="00443581"/>
    <w:rsid w:val="0044367D"/>
    <w:rsid w:val="004438D7"/>
    <w:rsid w:val="00443E04"/>
    <w:rsid w:val="00444311"/>
    <w:rsid w:val="004445FF"/>
    <w:rsid w:val="004446FC"/>
    <w:rsid w:val="00444918"/>
    <w:rsid w:val="0044492D"/>
    <w:rsid w:val="00444D03"/>
    <w:rsid w:val="00445196"/>
    <w:rsid w:val="004453B1"/>
    <w:rsid w:val="0044553B"/>
    <w:rsid w:val="00445875"/>
    <w:rsid w:val="00445A8C"/>
    <w:rsid w:val="00445EB4"/>
    <w:rsid w:val="00445ED1"/>
    <w:rsid w:val="00445FBA"/>
    <w:rsid w:val="00445FC5"/>
    <w:rsid w:val="0044631E"/>
    <w:rsid w:val="00446321"/>
    <w:rsid w:val="00446384"/>
    <w:rsid w:val="004464C3"/>
    <w:rsid w:val="00446D43"/>
    <w:rsid w:val="004470A5"/>
    <w:rsid w:val="004474E3"/>
    <w:rsid w:val="0044760F"/>
    <w:rsid w:val="004478C7"/>
    <w:rsid w:val="004478F4"/>
    <w:rsid w:val="0045013F"/>
    <w:rsid w:val="004502D2"/>
    <w:rsid w:val="00450A17"/>
    <w:rsid w:val="00450CD6"/>
    <w:rsid w:val="00450E39"/>
    <w:rsid w:val="00450E87"/>
    <w:rsid w:val="00450F87"/>
    <w:rsid w:val="0045107A"/>
    <w:rsid w:val="004512DC"/>
    <w:rsid w:val="0045143D"/>
    <w:rsid w:val="00451456"/>
    <w:rsid w:val="0045202F"/>
    <w:rsid w:val="004526CD"/>
    <w:rsid w:val="00452775"/>
    <w:rsid w:val="004528A1"/>
    <w:rsid w:val="00453304"/>
    <w:rsid w:val="00453348"/>
    <w:rsid w:val="004539E5"/>
    <w:rsid w:val="00453A19"/>
    <w:rsid w:val="00453B2E"/>
    <w:rsid w:val="00453BA3"/>
    <w:rsid w:val="00453C43"/>
    <w:rsid w:val="00453FAB"/>
    <w:rsid w:val="004546D4"/>
    <w:rsid w:val="00454756"/>
    <w:rsid w:val="004547F0"/>
    <w:rsid w:val="00454A58"/>
    <w:rsid w:val="00454CE5"/>
    <w:rsid w:val="00454CF8"/>
    <w:rsid w:val="00454FEE"/>
    <w:rsid w:val="004552D4"/>
    <w:rsid w:val="00455400"/>
    <w:rsid w:val="00455422"/>
    <w:rsid w:val="00455564"/>
    <w:rsid w:val="00455A99"/>
    <w:rsid w:val="00455D32"/>
    <w:rsid w:val="004560C6"/>
    <w:rsid w:val="004561DA"/>
    <w:rsid w:val="0045627A"/>
    <w:rsid w:val="00456305"/>
    <w:rsid w:val="00456618"/>
    <w:rsid w:val="004569CA"/>
    <w:rsid w:val="00456AD1"/>
    <w:rsid w:val="00456CE9"/>
    <w:rsid w:val="00456CF8"/>
    <w:rsid w:val="00456F56"/>
    <w:rsid w:val="004570F7"/>
    <w:rsid w:val="004572B2"/>
    <w:rsid w:val="00457381"/>
    <w:rsid w:val="004574E0"/>
    <w:rsid w:val="004575EE"/>
    <w:rsid w:val="00457782"/>
    <w:rsid w:val="0046015A"/>
    <w:rsid w:val="004602DA"/>
    <w:rsid w:val="0046038A"/>
    <w:rsid w:val="00460A94"/>
    <w:rsid w:val="00460B62"/>
    <w:rsid w:val="00460E16"/>
    <w:rsid w:val="00460E1D"/>
    <w:rsid w:val="00460E36"/>
    <w:rsid w:val="00460F1D"/>
    <w:rsid w:val="00461086"/>
    <w:rsid w:val="00461265"/>
    <w:rsid w:val="00461634"/>
    <w:rsid w:val="004616DB"/>
    <w:rsid w:val="00461791"/>
    <w:rsid w:val="00461818"/>
    <w:rsid w:val="0046187C"/>
    <w:rsid w:val="0046190F"/>
    <w:rsid w:val="00461AEC"/>
    <w:rsid w:val="00461E64"/>
    <w:rsid w:val="004621E0"/>
    <w:rsid w:val="00462360"/>
    <w:rsid w:val="0046245F"/>
    <w:rsid w:val="00462534"/>
    <w:rsid w:val="004627C7"/>
    <w:rsid w:val="00462BFD"/>
    <w:rsid w:val="00462E09"/>
    <w:rsid w:val="004631C9"/>
    <w:rsid w:val="00463711"/>
    <w:rsid w:val="00463DB0"/>
    <w:rsid w:val="00463E0F"/>
    <w:rsid w:val="00464355"/>
    <w:rsid w:val="004645B6"/>
    <w:rsid w:val="00464996"/>
    <w:rsid w:val="00464BB2"/>
    <w:rsid w:val="00464F39"/>
    <w:rsid w:val="0046507D"/>
    <w:rsid w:val="004650F3"/>
    <w:rsid w:val="00465192"/>
    <w:rsid w:val="004652E5"/>
    <w:rsid w:val="004655A0"/>
    <w:rsid w:val="004655B0"/>
    <w:rsid w:val="00465A65"/>
    <w:rsid w:val="00465C8F"/>
    <w:rsid w:val="00465D98"/>
    <w:rsid w:val="00465DCF"/>
    <w:rsid w:val="00465E9F"/>
    <w:rsid w:val="00465FA2"/>
    <w:rsid w:val="004660AD"/>
    <w:rsid w:val="00466149"/>
    <w:rsid w:val="00466285"/>
    <w:rsid w:val="00466629"/>
    <w:rsid w:val="00466ADF"/>
    <w:rsid w:val="00466C3D"/>
    <w:rsid w:val="00466DD6"/>
    <w:rsid w:val="00466EDF"/>
    <w:rsid w:val="00467135"/>
    <w:rsid w:val="0046718F"/>
    <w:rsid w:val="004676D3"/>
    <w:rsid w:val="004676FD"/>
    <w:rsid w:val="004677AC"/>
    <w:rsid w:val="00467A0E"/>
    <w:rsid w:val="00467A4E"/>
    <w:rsid w:val="00467BC3"/>
    <w:rsid w:val="00467D56"/>
    <w:rsid w:val="00470072"/>
    <w:rsid w:val="004703E3"/>
    <w:rsid w:val="004704C3"/>
    <w:rsid w:val="00470688"/>
    <w:rsid w:val="00470862"/>
    <w:rsid w:val="004709C0"/>
    <w:rsid w:val="00470A1E"/>
    <w:rsid w:val="00470E3F"/>
    <w:rsid w:val="004712F8"/>
    <w:rsid w:val="0047167A"/>
    <w:rsid w:val="004718C5"/>
    <w:rsid w:val="004718D0"/>
    <w:rsid w:val="004719B1"/>
    <w:rsid w:val="00471BDC"/>
    <w:rsid w:val="0047208F"/>
    <w:rsid w:val="0047223D"/>
    <w:rsid w:val="0047246C"/>
    <w:rsid w:val="004724A6"/>
    <w:rsid w:val="004728A9"/>
    <w:rsid w:val="004728AC"/>
    <w:rsid w:val="00472EB6"/>
    <w:rsid w:val="00473069"/>
    <w:rsid w:val="0047307A"/>
    <w:rsid w:val="00473152"/>
    <w:rsid w:val="004732B8"/>
    <w:rsid w:val="004733CC"/>
    <w:rsid w:val="00473471"/>
    <w:rsid w:val="004736D6"/>
    <w:rsid w:val="00473721"/>
    <w:rsid w:val="00473726"/>
    <w:rsid w:val="004739E0"/>
    <w:rsid w:val="00473D20"/>
    <w:rsid w:val="004740EC"/>
    <w:rsid w:val="00474ACE"/>
    <w:rsid w:val="00474BE7"/>
    <w:rsid w:val="004750B0"/>
    <w:rsid w:val="004752F9"/>
    <w:rsid w:val="004754D7"/>
    <w:rsid w:val="004755FA"/>
    <w:rsid w:val="0047576C"/>
    <w:rsid w:val="004759F9"/>
    <w:rsid w:val="00475B54"/>
    <w:rsid w:val="00475D29"/>
    <w:rsid w:val="00475DE7"/>
    <w:rsid w:val="0047612A"/>
    <w:rsid w:val="004761DF"/>
    <w:rsid w:val="00476414"/>
    <w:rsid w:val="0047652E"/>
    <w:rsid w:val="00476739"/>
    <w:rsid w:val="0047676D"/>
    <w:rsid w:val="00476E5B"/>
    <w:rsid w:val="00477113"/>
    <w:rsid w:val="0047717F"/>
    <w:rsid w:val="00477422"/>
    <w:rsid w:val="0047753A"/>
    <w:rsid w:val="00477572"/>
    <w:rsid w:val="0047764D"/>
    <w:rsid w:val="004776C9"/>
    <w:rsid w:val="004776F3"/>
    <w:rsid w:val="00477B9C"/>
    <w:rsid w:val="00477D35"/>
    <w:rsid w:val="00480042"/>
    <w:rsid w:val="0048057E"/>
    <w:rsid w:val="00480809"/>
    <w:rsid w:val="00480A22"/>
    <w:rsid w:val="00480D9D"/>
    <w:rsid w:val="00481151"/>
    <w:rsid w:val="004812FA"/>
    <w:rsid w:val="004813F5"/>
    <w:rsid w:val="004818A1"/>
    <w:rsid w:val="00481D42"/>
    <w:rsid w:val="004822C6"/>
    <w:rsid w:val="00482562"/>
    <w:rsid w:val="00482F0F"/>
    <w:rsid w:val="004830FA"/>
    <w:rsid w:val="00483113"/>
    <w:rsid w:val="0048347A"/>
    <w:rsid w:val="004837C6"/>
    <w:rsid w:val="00483934"/>
    <w:rsid w:val="00483AA6"/>
    <w:rsid w:val="00483AC2"/>
    <w:rsid w:val="00483C71"/>
    <w:rsid w:val="00483CC2"/>
    <w:rsid w:val="00483DDB"/>
    <w:rsid w:val="00483EA0"/>
    <w:rsid w:val="004841A5"/>
    <w:rsid w:val="004844AE"/>
    <w:rsid w:val="004845D2"/>
    <w:rsid w:val="00484916"/>
    <w:rsid w:val="00484D2F"/>
    <w:rsid w:val="00485279"/>
    <w:rsid w:val="00485307"/>
    <w:rsid w:val="00485352"/>
    <w:rsid w:val="004854AE"/>
    <w:rsid w:val="00485BC5"/>
    <w:rsid w:val="00485D22"/>
    <w:rsid w:val="0048607B"/>
    <w:rsid w:val="00486124"/>
    <w:rsid w:val="00486184"/>
    <w:rsid w:val="0048701D"/>
    <w:rsid w:val="004874EC"/>
    <w:rsid w:val="00487751"/>
    <w:rsid w:val="0048791F"/>
    <w:rsid w:val="0048796B"/>
    <w:rsid w:val="00487A66"/>
    <w:rsid w:val="00487D88"/>
    <w:rsid w:val="00490084"/>
    <w:rsid w:val="004907C9"/>
    <w:rsid w:val="0049082B"/>
    <w:rsid w:val="00490A81"/>
    <w:rsid w:val="00491015"/>
    <w:rsid w:val="00491272"/>
    <w:rsid w:val="004912B2"/>
    <w:rsid w:val="00491335"/>
    <w:rsid w:val="004913D0"/>
    <w:rsid w:val="004913E5"/>
    <w:rsid w:val="004915E7"/>
    <w:rsid w:val="00491B74"/>
    <w:rsid w:val="00491BEA"/>
    <w:rsid w:val="00491EA4"/>
    <w:rsid w:val="0049254F"/>
    <w:rsid w:val="004926EC"/>
    <w:rsid w:val="004928CB"/>
    <w:rsid w:val="00492A7D"/>
    <w:rsid w:val="00492D52"/>
    <w:rsid w:val="004936BC"/>
    <w:rsid w:val="0049388D"/>
    <w:rsid w:val="0049392A"/>
    <w:rsid w:val="00493A11"/>
    <w:rsid w:val="00493C0C"/>
    <w:rsid w:val="00493C8B"/>
    <w:rsid w:val="00493F2F"/>
    <w:rsid w:val="00493FC9"/>
    <w:rsid w:val="00494184"/>
    <w:rsid w:val="00494317"/>
    <w:rsid w:val="00494593"/>
    <w:rsid w:val="00494974"/>
    <w:rsid w:val="00494CC8"/>
    <w:rsid w:val="00494E77"/>
    <w:rsid w:val="00494F17"/>
    <w:rsid w:val="004952A9"/>
    <w:rsid w:val="00495368"/>
    <w:rsid w:val="00495487"/>
    <w:rsid w:val="00495AA6"/>
    <w:rsid w:val="00495D47"/>
    <w:rsid w:val="00495DE4"/>
    <w:rsid w:val="00495F8D"/>
    <w:rsid w:val="004960A9"/>
    <w:rsid w:val="004961D3"/>
    <w:rsid w:val="0049642B"/>
    <w:rsid w:val="0049644E"/>
    <w:rsid w:val="00496571"/>
    <w:rsid w:val="004967E4"/>
    <w:rsid w:val="00496A26"/>
    <w:rsid w:val="00496A31"/>
    <w:rsid w:val="00496D8B"/>
    <w:rsid w:val="0049730F"/>
    <w:rsid w:val="00497AF7"/>
    <w:rsid w:val="00497B99"/>
    <w:rsid w:val="00497D15"/>
    <w:rsid w:val="00497F44"/>
    <w:rsid w:val="004A0243"/>
    <w:rsid w:val="004A0401"/>
    <w:rsid w:val="004A0670"/>
    <w:rsid w:val="004A0746"/>
    <w:rsid w:val="004A0804"/>
    <w:rsid w:val="004A148C"/>
    <w:rsid w:val="004A1AF8"/>
    <w:rsid w:val="004A1B97"/>
    <w:rsid w:val="004A1D1C"/>
    <w:rsid w:val="004A1D40"/>
    <w:rsid w:val="004A1DBF"/>
    <w:rsid w:val="004A1E1B"/>
    <w:rsid w:val="004A224E"/>
    <w:rsid w:val="004A26AA"/>
    <w:rsid w:val="004A28EA"/>
    <w:rsid w:val="004A2A45"/>
    <w:rsid w:val="004A2C94"/>
    <w:rsid w:val="004A2CA9"/>
    <w:rsid w:val="004A2E1F"/>
    <w:rsid w:val="004A33CD"/>
    <w:rsid w:val="004A3480"/>
    <w:rsid w:val="004A3877"/>
    <w:rsid w:val="004A3BC8"/>
    <w:rsid w:val="004A3EAE"/>
    <w:rsid w:val="004A401B"/>
    <w:rsid w:val="004A457D"/>
    <w:rsid w:val="004A47B2"/>
    <w:rsid w:val="004A4846"/>
    <w:rsid w:val="004A48FB"/>
    <w:rsid w:val="004A4AC3"/>
    <w:rsid w:val="004A4CD9"/>
    <w:rsid w:val="004A50E7"/>
    <w:rsid w:val="004A5288"/>
    <w:rsid w:val="004A56B2"/>
    <w:rsid w:val="004A5A18"/>
    <w:rsid w:val="004A5C05"/>
    <w:rsid w:val="004A6048"/>
    <w:rsid w:val="004A6187"/>
    <w:rsid w:val="004A65A3"/>
    <w:rsid w:val="004A6A60"/>
    <w:rsid w:val="004A6F87"/>
    <w:rsid w:val="004A6FAE"/>
    <w:rsid w:val="004A703E"/>
    <w:rsid w:val="004A7198"/>
    <w:rsid w:val="004A71EB"/>
    <w:rsid w:val="004A76FB"/>
    <w:rsid w:val="004A7A6E"/>
    <w:rsid w:val="004B09E4"/>
    <w:rsid w:val="004B0A61"/>
    <w:rsid w:val="004B0BA2"/>
    <w:rsid w:val="004B0DA3"/>
    <w:rsid w:val="004B0DB6"/>
    <w:rsid w:val="004B0F73"/>
    <w:rsid w:val="004B14EA"/>
    <w:rsid w:val="004B19DB"/>
    <w:rsid w:val="004B1A1E"/>
    <w:rsid w:val="004B1CC8"/>
    <w:rsid w:val="004B2168"/>
    <w:rsid w:val="004B2429"/>
    <w:rsid w:val="004B2D53"/>
    <w:rsid w:val="004B2F7E"/>
    <w:rsid w:val="004B3003"/>
    <w:rsid w:val="004B31CC"/>
    <w:rsid w:val="004B3267"/>
    <w:rsid w:val="004B335F"/>
    <w:rsid w:val="004B345C"/>
    <w:rsid w:val="004B346E"/>
    <w:rsid w:val="004B34F9"/>
    <w:rsid w:val="004B35FA"/>
    <w:rsid w:val="004B37B3"/>
    <w:rsid w:val="004B3893"/>
    <w:rsid w:val="004B3AB5"/>
    <w:rsid w:val="004B41AD"/>
    <w:rsid w:val="004B423A"/>
    <w:rsid w:val="004B46DF"/>
    <w:rsid w:val="004B47FD"/>
    <w:rsid w:val="004B48CC"/>
    <w:rsid w:val="004B4CA8"/>
    <w:rsid w:val="004B4E8B"/>
    <w:rsid w:val="004B4EFF"/>
    <w:rsid w:val="004B4FA4"/>
    <w:rsid w:val="004B5527"/>
    <w:rsid w:val="004B5927"/>
    <w:rsid w:val="004B596B"/>
    <w:rsid w:val="004B5FC8"/>
    <w:rsid w:val="004B607D"/>
    <w:rsid w:val="004B60C6"/>
    <w:rsid w:val="004B6291"/>
    <w:rsid w:val="004B6598"/>
    <w:rsid w:val="004B6B50"/>
    <w:rsid w:val="004B6B9B"/>
    <w:rsid w:val="004B6E41"/>
    <w:rsid w:val="004B6F30"/>
    <w:rsid w:val="004B75EF"/>
    <w:rsid w:val="004B794D"/>
    <w:rsid w:val="004B7AB7"/>
    <w:rsid w:val="004B7E06"/>
    <w:rsid w:val="004B7E5B"/>
    <w:rsid w:val="004B7EA6"/>
    <w:rsid w:val="004C01EF"/>
    <w:rsid w:val="004C0350"/>
    <w:rsid w:val="004C04AD"/>
    <w:rsid w:val="004C0540"/>
    <w:rsid w:val="004C09AA"/>
    <w:rsid w:val="004C09EC"/>
    <w:rsid w:val="004C0C77"/>
    <w:rsid w:val="004C1416"/>
    <w:rsid w:val="004C170A"/>
    <w:rsid w:val="004C19E4"/>
    <w:rsid w:val="004C1A85"/>
    <w:rsid w:val="004C1BFA"/>
    <w:rsid w:val="004C1D99"/>
    <w:rsid w:val="004C1DB8"/>
    <w:rsid w:val="004C20E1"/>
    <w:rsid w:val="004C2170"/>
    <w:rsid w:val="004C235C"/>
    <w:rsid w:val="004C2407"/>
    <w:rsid w:val="004C2418"/>
    <w:rsid w:val="004C242F"/>
    <w:rsid w:val="004C2561"/>
    <w:rsid w:val="004C2623"/>
    <w:rsid w:val="004C271A"/>
    <w:rsid w:val="004C296D"/>
    <w:rsid w:val="004C2A41"/>
    <w:rsid w:val="004C2D6D"/>
    <w:rsid w:val="004C306B"/>
    <w:rsid w:val="004C30B5"/>
    <w:rsid w:val="004C35BA"/>
    <w:rsid w:val="004C3691"/>
    <w:rsid w:val="004C3DBA"/>
    <w:rsid w:val="004C3F49"/>
    <w:rsid w:val="004C41F5"/>
    <w:rsid w:val="004C426A"/>
    <w:rsid w:val="004C42EA"/>
    <w:rsid w:val="004C43EA"/>
    <w:rsid w:val="004C44F4"/>
    <w:rsid w:val="004C4579"/>
    <w:rsid w:val="004C46BF"/>
    <w:rsid w:val="004C472A"/>
    <w:rsid w:val="004C47FB"/>
    <w:rsid w:val="004C49BE"/>
    <w:rsid w:val="004C4CB7"/>
    <w:rsid w:val="004C50C4"/>
    <w:rsid w:val="004C5193"/>
    <w:rsid w:val="004C55A7"/>
    <w:rsid w:val="004C58FC"/>
    <w:rsid w:val="004C5A83"/>
    <w:rsid w:val="004C5ABD"/>
    <w:rsid w:val="004C5D73"/>
    <w:rsid w:val="004C5F35"/>
    <w:rsid w:val="004C6535"/>
    <w:rsid w:val="004C66A6"/>
    <w:rsid w:val="004C69DF"/>
    <w:rsid w:val="004C6CDB"/>
    <w:rsid w:val="004C6EB4"/>
    <w:rsid w:val="004C70B9"/>
    <w:rsid w:val="004C73B0"/>
    <w:rsid w:val="004C76BA"/>
    <w:rsid w:val="004C7826"/>
    <w:rsid w:val="004C7D34"/>
    <w:rsid w:val="004D038B"/>
    <w:rsid w:val="004D0417"/>
    <w:rsid w:val="004D078C"/>
    <w:rsid w:val="004D083D"/>
    <w:rsid w:val="004D0DB0"/>
    <w:rsid w:val="004D108D"/>
    <w:rsid w:val="004D14EE"/>
    <w:rsid w:val="004D1544"/>
    <w:rsid w:val="004D1599"/>
    <w:rsid w:val="004D16A3"/>
    <w:rsid w:val="004D1EE6"/>
    <w:rsid w:val="004D1F87"/>
    <w:rsid w:val="004D206C"/>
    <w:rsid w:val="004D2324"/>
    <w:rsid w:val="004D2725"/>
    <w:rsid w:val="004D2B43"/>
    <w:rsid w:val="004D2D6C"/>
    <w:rsid w:val="004D2DED"/>
    <w:rsid w:val="004D2EBE"/>
    <w:rsid w:val="004D2FF7"/>
    <w:rsid w:val="004D30AB"/>
    <w:rsid w:val="004D31C2"/>
    <w:rsid w:val="004D3468"/>
    <w:rsid w:val="004D3A04"/>
    <w:rsid w:val="004D3A47"/>
    <w:rsid w:val="004D3D59"/>
    <w:rsid w:val="004D3FFA"/>
    <w:rsid w:val="004D40A3"/>
    <w:rsid w:val="004D4543"/>
    <w:rsid w:val="004D5145"/>
    <w:rsid w:val="004D5420"/>
    <w:rsid w:val="004D5438"/>
    <w:rsid w:val="004D5479"/>
    <w:rsid w:val="004D55A5"/>
    <w:rsid w:val="004D55F3"/>
    <w:rsid w:val="004D5777"/>
    <w:rsid w:val="004D5ED5"/>
    <w:rsid w:val="004D5F03"/>
    <w:rsid w:val="004D6422"/>
    <w:rsid w:val="004D6B6E"/>
    <w:rsid w:val="004D6EE9"/>
    <w:rsid w:val="004D6F78"/>
    <w:rsid w:val="004D715D"/>
    <w:rsid w:val="004D729D"/>
    <w:rsid w:val="004D74A1"/>
    <w:rsid w:val="004D78DE"/>
    <w:rsid w:val="004D79A8"/>
    <w:rsid w:val="004D7E76"/>
    <w:rsid w:val="004D7F64"/>
    <w:rsid w:val="004D7F69"/>
    <w:rsid w:val="004E01BA"/>
    <w:rsid w:val="004E02D9"/>
    <w:rsid w:val="004E0481"/>
    <w:rsid w:val="004E08C5"/>
    <w:rsid w:val="004E0EBF"/>
    <w:rsid w:val="004E0F7F"/>
    <w:rsid w:val="004E101F"/>
    <w:rsid w:val="004E10BA"/>
    <w:rsid w:val="004E11D9"/>
    <w:rsid w:val="004E1587"/>
    <w:rsid w:val="004E15DD"/>
    <w:rsid w:val="004E1994"/>
    <w:rsid w:val="004E1B5B"/>
    <w:rsid w:val="004E1D7D"/>
    <w:rsid w:val="004E1F7E"/>
    <w:rsid w:val="004E20A3"/>
    <w:rsid w:val="004E21B5"/>
    <w:rsid w:val="004E2626"/>
    <w:rsid w:val="004E2B25"/>
    <w:rsid w:val="004E2B58"/>
    <w:rsid w:val="004E2D3B"/>
    <w:rsid w:val="004E3323"/>
    <w:rsid w:val="004E3388"/>
    <w:rsid w:val="004E346A"/>
    <w:rsid w:val="004E34C8"/>
    <w:rsid w:val="004E35AC"/>
    <w:rsid w:val="004E373F"/>
    <w:rsid w:val="004E375D"/>
    <w:rsid w:val="004E3B37"/>
    <w:rsid w:val="004E4274"/>
    <w:rsid w:val="004E44C5"/>
    <w:rsid w:val="004E49DF"/>
    <w:rsid w:val="004E4CB4"/>
    <w:rsid w:val="004E519F"/>
    <w:rsid w:val="004E52F6"/>
    <w:rsid w:val="004E55FE"/>
    <w:rsid w:val="004E57BD"/>
    <w:rsid w:val="004E5986"/>
    <w:rsid w:val="004E5C1C"/>
    <w:rsid w:val="004E600A"/>
    <w:rsid w:val="004E616A"/>
    <w:rsid w:val="004E63A5"/>
    <w:rsid w:val="004E653F"/>
    <w:rsid w:val="004E6CF2"/>
    <w:rsid w:val="004E78B2"/>
    <w:rsid w:val="004E7B9D"/>
    <w:rsid w:val="004E7C17"/>
    <w:rsid w:val="004E7E39"/>
    <w:rsid w:val="004F01CD"/>
    <w:rsid w:val="004F0373"/>
    <w:rsid w:val="004F0881"/>
    <w:rsid w:val="004F0B32"/>
    <w:rsid w:val="004F0B44"/>
    <w:rsid w:val="004F0B72"/>
    <w:rsid w:val="004F0CAF"/>
    <w:rsid w:val="004F0D96"/>
    <w:rsid w:val="004F0DB7"/>
    <w:rsid w:val="004F0EA8"/>
    <w:rsid w:val="004F0EEA"/>
    <w:rsid w:val="004F0F61"/>
    <w:rsid w:val="004F1402"/>
    <w:rsid w:val="004F16BD"/>
    <w:rsid w:val="004F1820"/>
    <w:rsid w:val="004F1A5E"/>
    <w:rsid w:val="004F1BF0"/>
    <w:rsid w:val="004F1F62"/>
    <w:rsid w:val="004F227A"/>
    <w:rsid w:val="004F2368"/>
    <w:rsid w:val="004F2522"/>
    <w:rsid w:val="004F26EC"/>
    <w:rsid w:val="004F27CF"/>
    <w:rsid w:val="004F28CD"/>
    <w:rsid w:val="004F2B5B"/>
    <w:rsid w:val="004F2BAB"/>
    <w:rsid w:val="004F30FA"/>
    <w:rsid w:val="004F32DE"/>
    <w:rsid w:val="004F380C"/>
    <w:rsid w:val="004F3A8C"/>
    <w:rsid w:val="004F3D21"/>
    <w:rsid w:val="004F3EFF"/>
    <w:rsid w:val="004F3F69"/>
    <w:rsid w:val="004F4182"/>
    <w:rsid w:val="004F41D8"/>
    <w:rsid w:val="004F47CB"/>
    <w:rsid w:val="004F47DC"/>
    <w:rsid w:val="004F4D69"/>
    <w:rsid w:val="004F4F3F"/>
    <w:rsid w:val="004F543C"/>
    <w:rsid w:val="004F55B2"/>
    <w:rsid w:val="004F5916"/>
    <w:rsid w:val="004F5A94"/>
    <w:rsid w:val="004F5EE7"/>
    <w:rsid w:val="004F633A"/>
    <w:rsid w:val="004F6813"/>
    <w:rsid w:val="004F6BB2"/>
    <w:rsid w:val="004F6E3A"/>
    <w:rsid w:val="004F6F3F"/>
    <w:rsid w:val="004F732C"/>
    <w:rsid w:val="004F77E7"/>
    <w:rsid w:val="004F7996"/>
    <w:rsid w:val="004F79C1"/>
    <w:rsid w:val="004F7C5E"/>
    <w:rsid w:val="004F7D54"/>
    <w:rsid w:val="005002A8"/>
    <w:rsid w:val="005002CF"/>
    <w:rsid w:val="00500528"/>
    <w:rsid w:val="005007BA"/>
    <w:rsid w:val="0050090D"/>
    <w:rsid w:val="00500996"/>
    <w:rsid w:val="00500A8A"/>
    <w:rsid w:val="00500B1E"/>
    <w:rsid w:val="00500C9B"/>
    <w:rsid w:val="00500F3B"/>
    <w:rsid w:val="00501009"/>
    <w:rsid w:val="0050101A"/>
    <w:rsid w:val="00501664"/>
    <w:rsid w:val="005019B7"/>
    <w:rsid w:val="00501A37"/>
    <w:rsid w:val="00501C5A"/>
    <w:rsid w:val="00501E26"/>
    <w:rsid w:val="0050202D"/>
    <w:rsid w:val="0050204F"/>
    <w:rsid w:val="005020A5"/>
    <w:rsid w:val="00502360"/>
    <w:rsid w:val="005023D9"/>
    <w:rsid w:val="0050291C"/>
    <w:rsid w:val="00502AC8"/>
    <w:rsid w:val="00502AEF"/>
    <w:rsid w:val="00502E67"/>
    <w:rsid w:val="00502FD2"/>
    <w:rsid w:val="00502FE6"/>
    <w:rsid w:val="00503564"/>
    <w:rsid w:val="005036E9"/>
    <w:rsid w:val="00504217"/>
    <w:rsid w:val="005045CE"/>
    <w:rsid w:val="005047EA"/>
    <w:rsid w:val="00504B11"/>
    <w:rsid w:val="00504F08"/>
    <w:rsid w:val="00504FF6"/>
    <w:rsid w:val="00505090"/>
    <w:rsid w:val="00505102"/>
    <w:rsid w:val="005058A0"/>
    <w:rsid w:val="00505B4F"/>
    <w:rsid w:val="00505F78"/>
    <w:rsid w:val="005061F0"/>
    <w:rsid w:val="005064E2"/>
    <w:rsid w:val="0050699C"/>
    <w:rsid w:val="00506D95"/>
    <w:rsid w:val="00506F7D"/>
    <w:rsid w:val="00507133"/>
    <w:rsid w:val="0050724B"/>
    <w:rsid w:val="0050743A"/>
    <w:rsid w:val="0050749D"/>
    <w:rsid w:val="00507C37"/>
    <w:rsid w:val="00507EAA"/>
    <w:rsid w:val="00507EDD"/>
    <w:rsid w:val="00507F42"/>
    <w:rsid w:val="005103E5"/>
    <w:rsid w:val="00510C77"/>
    <w:rsid w:val="00510CF3"/>
    <w:rsid w:val="00510DC8"/>
    <w:rsid w:val="00510F88"/>
    <w:rsid w:val="00510FD1"/>
    <w:rsid w:val="005111ED"/>
    <w:rsid w:val="0051125D"/>
    <w:rsid w:val="005112E2"/>
    <w:rsid w:val="0051185D"/>
    <w:rsid w:val="00511B0D"/>
    <w:rsid w:val="00511C2C"/>
    <w:rsid w:val="0051214F"/>
    <w:rsid w:val="00512622"/>
    <w:rsid w:val="0051298F"/>
    <w:rsid w:val="005129B9"/>
    <w:rsid w:val="005129F6"/>
    <w:rsid w:val="00512DB6"/>
    <w:rsid w:val="00512F4F"/>
    <w:rsid w:val="00513BF9"/>
    <w:rsid w:val="00514087"/>
    <w:rsid w:val="005140EF"/>
    <w:rsid w:val="00514486"/>
    <w:rsid w:val="00514698"/>
    <w:rsid w:val="00514835"/>
    <w:rsid w:val="00514E5C"/>
    <w:rsid w:val="00514E67"/>
    <w:rsid w:val="00514E87"/>
    <w:rsid w:val="005152B1"/>
    <w:rsid w:val="005152BF"/>
    <w:rsid w:val="00515368"/>
    <w:rsid w:val="0051561C"/>
    <w:rsid w:val="00515632"/>
    <w:rsid w:val="00515833"/>
    <w:rsid w:val="00515855"/>
    <w:rsid w:val="00515C77"/>
    <w:rsid w:val="00515CCF"/>
    <w:rsid w:val="00515E30"/>
    <w:rsid w:val="00515F7E"/>
    <w:rsid w:val="0051614F"/>
    <w:rsid w:val="0051625A"/>
    <w:rsid w:val="0051651B"/>
    <w:rsid w:val="00516529"/>
    <w:rsid w:val="00516DD7"/>
    <w:rsid w:val="00516EC9"/>
    <w:rsid w:val="00517053"/>
    <w:rsid w:val="005173F3"/>
    <w:rsid w:val="0051788B"/>
    <w:rsid w:val="00517C03"/>
    <w:rsid w:val="00517C05"/>
    <w:rsid w:val="00517FCC"/>
    <w:rsid w:val="005206E4"/>
    <w:rsid w:val="00520717"/>
    <w:rsid w:val="005207B1"/>
    <w:rsid w:val="0052083D"/>
    <w:rsid w:val="00520AF3"/>
    <w:rsid w:val="00520EF7"/>
    <w:rsid w:val="00520F4A"/>
    <w:rsid w:val="005210D6"/>
    <w:rsid w:val="005216CA"/>
    <w:rsid w:val="005216FB"/>
    <w:rsid w:val="00521700"/>
    <w:rsid w:val="0052181B"/>
    <w:rsid w:val="00521821"/>
    <w:rsid w:val="00521B16"/>
    <w:rsid w:val="00521F52"/>
    <w:rsid w:val="00521F7F"/>
    <w:rsid w:val="00522777"/>
    <w:rsid w:val="00522E4C"/>
    <w:rsid w:val="00523189"/>
    <w:rsid w:val="00523642"/>
    <w:rsid w:val="00523663"/>
    <w:rsid w:val="00523AC6"/>
    <w:rsid w:val="00523D61"/>
    <w:rsid w:val="00524221"/>
    <w:rsid w:val="0052442A"/>
    <w:rsid w:val="0052446D"/>
    <w:rsid w:val="00524536"/>
    <w:rsid w:val="005245D2"/>
    <w:rsid w:val="005246F2"/>
    <w:rsid w:val="0052490E"/>
    <w:rsid w:val="00524AE8"/>
    <w:rsid w:val="00524D32"/>
    <w:rsid w:val="00525496"/>
    <w:rsid w:val="00525BE7"/>
    <w:rsid w:val="00525F12"/>
    <w:rsid w:val="0052609A"/>
    <w:rsid w:val="0052613D"/>
    <w:rsid w:val="00526165"/>
    <w:rsid w:val="00526325"/>
    <w:rsid w:val="005263E6"/>
    <w:rsid w:val="005265A4"/>
    <w:rsid w:val="005266F8"/>
    <w:rsid w:val="00526EBF"/>
    <w:rsid w:val="0052704F"/>
    <w:rsid w:val="005270B6"/>
    <w:rsid w:val="00527347"/>
    <w:rsid w:val="0052742F"/>
    <w:rsid w:val="00527830"/>
    <w:rsid w:val="00527A00"/>
    <w:rsid w:val="00527ABA"/>
    <w:rsid w:val="00527BBD"/>
    <w:rsid w:val="00527C97"/>
    <w:rsid w:val="00527DAB"/>
    <w:rsid w:val="005300E4"/>
    <w:rsid w:val="005302BA"/>
    <w:rsid w:val="005304F3"/>
    <w:rsid w:val="0053065F"/>
    <w:rsid w:val="00530831"/>
    <w:rsid w:val="00530DFA"/>
    <w:rsid w:val="00530F65"/>
    <w:rsid w:val="0053156F"/>
    <w:rsid w:val="0053175A"/>
    <w:rsid w:val="0053178E"/>
    <w:rsid w:val="005319A2"/>
    <w:rsid w:val="00531B65"/>
    <w:rsid w:val="00532594"/>
    <w:rsid w:val="0053284A"/>
    <w:rsid w:val="00532E3D"/>
    <w:rsid w:val="00533070"/>
    <w:rsid w:val="00533209"/>
    <w:rsid w:val="00533571"/>
    <w:rsid w:val="00533622"/>
    <w:rsid w:val="00533687"/>
    <w:rsid w:val="0053387D"/>
    <w:rsid w:val="00533993"/>
    <w:rsid w:val="00533D66"/>
    <w:rsid w:val="005340AE"/>
    <w:rsid w:val="00534191"/>
    <w:rsid w:val="005342DE"/>
    <w:rsid w:val="00534606"/>
    <w:rsid w:val="005347B4"/>
    <w:rsid w:val="005348D3"/>
    <w:rsid w:val="00534A23"/>
    <w:rsid w:val="00534E0D"/>
    <w:rsid w:val="005351C9"/>
    <w:rsid w:val="005353E8"/>
    <w:rsid w:val="00535480"/>
    <w:rsid w:val="00535B15"/>
    <w:rsid w:val="00535F5D"/>
    <w:rsid w:val="00536647"/>
    <w:rsid w:val="005366FE"/>
    <w:rsid w:val="00536836"/>
    <w:rsid w:val="00536B30"/>
    <w:rsid w:val="00536C8E"/>
    <w:rsid w:val="005371B0"/>
    <w:rsid w:val="005372A6"/>
    <w:rsid w:val="005375EB"/>
    <w:rsid w:val="005378F2"/>
    <w:rsid w:val="00537AD3"/>
    <w:rsid w:val="00537E2E"/>
    <w:rsid w:val="0054033C"/>
    <w:rsid w:val="005404F0"/>
    <w:rsid w:val="00540AB4"/>
    <w:rsid w:val="00540DE4"/>
    <w:rsid w:val="00540EBA"/>
    <w:rsid w:val="00540EFD"/>
    <w:rsid w:val="0054125D"/>
    <w:rsid w:val="005413F5"/>
    <w:rsid w:val="005417DE"/>
    <w:rsid w:val="00541825"/>
    <w:rsid w:val="005418AA"/>
    <w:rsid w:val="00541CDC"/>
    <w:rsid w:val="00541F92"/>
    <w:rsid w:val="005420FC"/>
    <w:rsid w:val="00542492"/>
    <w:rsid w:val="0054276A"/>
    <w:rsid w:val="0054278A"/>
    <w:rsid w:val="005427E8"/>
    <w:rsid w:val="0054289C"/>
    <w:rsid w:val="00542C8D"/>
    <w:rsid w:val="00542CDE"/>
    <w:rsid w:val="00542E0B"/>
    <w:rsid w:val="00543293"/>
    <w:rsid w:val="005433F8"/>
    <w:rsid w:val="0054346A"/>
    <w:rsid w:val="00543ADD"/>
    <w:rsid w:val="00543CDF"/>
    <w:rsid w:val="00543D31"/>
    <w:rsid w:val="00544180"/>
    <w:rsid w:val="005441DD"/>
    <w:rsid w:val="00544313"/>
    <w:rsid w:val="005448D8"/>
    <w:rsid w:val="00544D44"/>
    <w:rsid w:val="00544F90"/>
    <w:rsid w:val="0054528B"/>
    <w:rsid w:val="00545746"/>
    <w:rsid w:val="00545AD3"/>
    <w:rsid w:val="00545D4B"/>
    <w:rsid w:val="005461E6"/>
    <w:rsid w:val="005465E8"/>
    <w:rsid w:val="0054662E"/>
    <w:rsid w:val="0054677C"/>
    <w:rsid w:val="0054680D"/>
    <w:rsid w:val="00546851"/>
    <w:rsid w:val="00546A66"/>
    <w:rsid w:val="00546C5B"/>
    <w:rsid w:val="0054748A"/>
    <w:rsid w:val="00547529"/>
    <w:rsid w:val="0054752C"/>
    <w:rsid w:val="005475A1"/>
    <w:rsid w:val="0054767C"/>
    <w:rsid w:val="00547E97"/>
    <w:rsid w:val="0055022B"/>
    <w:rsid w:val="005504E7"/>
    <w:rsid w:val="005508DF"/>
    <w:rsid w:val="00550EAF"/>
    <w:rsid w:val="005511D6"/>
    <w:rsid w:val="0055147E"/>
    <w:rsid w:val="0055155E"/>
    <w:rsid w:val="00551A7F"/>
    <w:rsid w:val="00551B8D"/>
    <w:rsid w:val="005520AA"/>
    <w:rsid w:val="005522F7"/>
    <w:rsid w:val="0055251B"/>
    <w:rsid w:val="005526E7"/>
    <w:rsid w:val="00552B01"/>
    <w:rsid w:val="00552BAB"/>
    <w:rsid w:val="005530B2"/>
    <w:rsid w:val="00553A81"/>
    <w:rsid w:val="00553DD1"/>
    <w:rsid w:val="00553E5B"/>
    <w:rsid w:val="005541F0"/>
    <w:rsid w:val="005542D4"/>
    <w:rsid w:val="005544C4"/>
    <w:rsid w:val="005544D1"/>
    <w:rsid w:val="00554C4C"/>
    <w:rsid w:val="00554DD1"/>
    <w:rsid w:val="00554EA8"/>
    <w:rsid w:val="00555941"/>
    <w:rsid w:val="00555AB1"/>
    <w:rsid w:val="00555D5B"/>
    <w:rsid w:val="00555ECF"/>
    <w:rsid w:val="00555F92"/>
    <w:rsid w:val="005565D1"/>
    <w:rsid w:val="00556BE1"/>
    <w:rsid w:val="00556FB9"/>
    <w:rsid w:val="005571D7"/>
    <w:rsid w:val="00557404"/>
    <w:rsid w:val="0055757A"/>
    <w:rsid w:val="00557899"/>
    <w:rsid w:val="00557AD9"/>
    <w:rsid w:val="00557C3D"/>
    <w:rsid w:val="00557D59"/>
    <w:rsid w:val="00557E04"/>
    <w:rsid w:val="00557ED8"/>
    <w:rsid w:val="00560021"/>
    <w:rsid w:val="00560794"/>
    <w:rsid w:val="00560C24"/>
    <w:rsid w:val="00560D8D"/>
    <w:rsid w:val="005612B4"/>
    <w:rsid w:val="005613D1"/>
    <w:rsid w:val="0056163D"/>
    <w:rsid w:val="005617CD"/>
    <w:rsid w:val="0056191E"/>
    <w:rsid w:val="005619F0"/>
    <w:rsid w:val="00561AEA"/>
    <w:rsid w:val="00561B30"/>
    <w:rsid w:val="00561C88"/>
    <w:rsid w:val="00561D37"/>
    <w:rsid w:val="00562601"/>
    <w:rsid w:val="005627EF"/>
    <w:rsid w:val="00562977"/>
    <w:rsid w:val="00562A7B"/>
    <w:rsid w:val="00562B5E"/>
    <w:rsid w:val="00562BEE"/>
    <w:rsid w:val="00562D9D"/>
    <w:rsid w:val="00562E8C"/>
    <w:rsid w:val="0056343E"/>
    <w:rsid w:val="005637B5"/>
    <w:rsid w:val="005638C3"/>
    <w:rsid w:val="00563994"/>
    <w:rsid w:val="00563D3F"/>
    <w:rsid w:val="00563D92"/>
    <w:rsid w:val="00563EED"/>
    <w:rsid w:val="00563F47"/>
    <w:rsid w:val="00563F4D"/>
    <w:rsid w:val="00564338"/>
    <w:rsid w:val="0056487F"/>
    <w:rsid w:val="0056540E"/>
    <w:rsid w:val="005654F2"/>
    <w:rsid w:val="005655E8"/>
    <w:rsid w:val="00565803"/>
    <w:rsid w:val="0056583B"/>
    <w:rsid w:val="00565AF3"/>
    <w:rsid w:val="00565C37"/>
    <w:rsid w:val="00565CBF"/>
    <w:rsid w:val="00565D22"/>
    <w:rsid w:val="00565D81"/>
    <w:rsid w:val="00565F17"/>
    <w:rsid w:val="00565FC9"/>
    <w:rsid w:val="00566033"/>
    <w:rsid w:val="0056611F"/>
    <w:rsid w:val="005662E3"/>
    <w:rsid w:val="00566321"/>
    <w:rsid w:val="005668A9"/>
    <w:rsid w:val="005669AB"/>
    <w:rsid w:val="00566C7E"/>
    <w:rsid w:val="00566DEC"/>
    <w:rsid w:val="00567971"/>
    <w:rsid w:val="00567A05"/>
    <w:rsid w:val="00570202"/>
    <w:rsid w:val="0057038F"/>
    <w:rsid w:val="00570AC9"/>
    <w:rsid w:val="00570B77"/>
    <w:rsid w:val="005710D3"/>
    <w:rsid w:val="005711CD"/>
    <w:rsid w:val="00571758"/>
    <w:rsid w:val="005718D3"/>
    <w:rsid w:val="00571999"/>
    <w:rsid w:val="00571AA1"/>
    <w:rsid w:val="00571AE5"/>
    <w:rsid w:val="00571B29"/>
    <w:rsid w:val="00571B2F"/>
    <w:rsid w:val="00571CA7"/>
    <w:rsid w:val="00571DCC"/>
    <w:rsid w:val="00571FF0"/>
    <w:rsid w:val="00572339"/>
    <w:rsid w:val="00572469"/>
    <w:rsid w:val="005727D6"/>
    <w:rsid w:val="00572CFA"/>
    <w:rsid w:val="00572DBF"/>
    <w:rsid w:val="00572F27"/>
    <w:rsid w:val="005731B7"/>
    <w:rsid w:val="00573206"/>
    <w:rsid w:val="00573527"/>
    <w:rsid w:val="005737C9"/>
    <w:rsid w:val="005737E2"/>
    <w:rsid w:val="00573A5B"/>
    <w:rsid w:val="00573A7B"/>
    <w:rsid w:val="00573D67"/>
    <w:rsid w:val="00574263"/>
    <w:rsid w:val="0057439C"/>
    <w:rsid w:val="005745A7"/>
    <w:rsid w:val="00574624"/>
    <w:rsid w:val="00574778"/>
    <w:rsid w:val="005748D8"/>
    <w:rsid w:val="00574C0C"/>
    <w:rsid w:val="00574CA7"/>
    <w:rsid w:val="00574F8E"/>
    <w:rsid w:val="005751CC"/>
    <w:rsid w:val="0057521F"/>
    <w:rsid w:val="00575418"/>
    <w:rsid w:val="005754DA"/>
    <w:rsid w:val="00575A5A"/>
    <w:rsid w:val="00575A7B"/>
    <w:rsid w:val="00575CE2"/>
    <w:rsid w:val="00575F81"/>
    <w:rsid w:val="00576048"/>
    <w:rsid w:val="005765D2"/>
    <w:rsid w:val="00576CBD"/>
    <w:rsid w:val="00576CFF"/>
    <w:rsid w:val="0057710C"/>
    <w:rsid w:val="00577420"/>
    <w:rsid w:val="00577744"/>
    <w:rsid w:val="005778F3"/>
    <w:rsid w:val="00577DF9"/>
    <w:rsid w:val="00577F8E"/>
    <w:rsid w:val="0058008C"/>
    <w:rsid w:val="00580092"/>
    <w:rsid w:val="005803F3"/>
    <w:rsid w:val="00580D22"/>
    <w:rsid w:val="0058129A"/>
    <w:rsid w:val="005814C8"/>
    <w:rsid w:val="005818A6"/>
    <w:rsid w:val="00581B86"/>
    <w:rsid w:val="00581D82"/>
    <w:rsid w:val="00581F97"/>
    <w:rsid w:val="00582101"/>
    <w:rsid w:val="0058255A"/>
    <w:rsid w:val="005825C3"/>
    <w:rsid w:val="00582C73"/>
    <w:rsid w:val="00582E35"/>
    <w:rsid w:val="00583333"/>
    <w:rsid w:val="0058342C"/>
    <w:rsid w:val="0058344B"/>
    <w:rsid w:val="0058352F"/>
    <w:rsid w:val="00583629"/>
    <w:rsid w:val="005838F7"/>
    <w:rsid w:val="00583D28"/>
    <w:rsid w:val="00583D6D"/>
    <w:rsid w:val="00583E2B"/>
    <w:rsid w:val="00583F2A"/>
    <w:rsid w:val="005842B1"/>
    <w:rsid w:val="005843DD"/>
    <w:rsid w:val="00584603"/>
    <w:rsid w:val="00584776"/>
    <w:rsid w:val="00584912"/>
    <w:rsid w:val="00584A4A"/>
    <w:rsid w:val="00584EB9"/>
    <w:rsid w:val="00584EBF"/>
    <w:rsid w:val="00585167"/>
    <w:rsid w:val="00585751"/>
    <w:rsid w:val="0058596C"/>
    <w:rsid w:val="00585A2C"/>
    <w:rsid w:val="0058652C"/>
    <w:rsid w:val="00586862"/>
    <w:rsid w:val="005868AC"/>
    <w:rsid w:val="00586F0C"/>
    <w:rsid w:val="0058712E"/>
    <w:rsid w:val="0058720D"/>
    <w:rsid w:val="0058727A"/>
    <w:rsid w:val="00587C37"/>
    <w:rsid w:val="00590060"/>
    <w:rsid w:val="00590350"/>
    <w:rsid w:val="00590697"/>
    <w:rsid w:val="0059086F"/>
    <w:rsid w:val="00590941"/>
    <w:rsid w:val="00590A47"/>
    <w:rsid w:val="00590BD0"/>
    <w:rsid w:val="0059100C"/>
    <w:rsid w:val="005910FB"/>
    <w:rsid w:val="00591746"/>
    <w:rsid w:val="0059203D"/>
    <w:rsid w:val="0059207F"/>
    <w:rsid w:val="0059208B"/>
    <w:rsid w:val="0059210D"/>
    <w:rsid w:val="0059227B"/>
    <w:rsid w:val="00592318"/>
    <w:rsid w:val="00592589"/>
    <w:rsid w:val="005926E1"/>
    <w:rsid w:val="005926E3"/>
    <w:rsid w:val="0059274E"/>
    <w:rsid w:val="0059275B"/>
    <w:rsid w:val="005929BC"/>
    <w:rsid w:val="005929F7"/>
    <w:rsid w:val="00592A9E"/>
    <w:rsid w:val="00592D32"/>
    <w:rsid w:val="00592DB5"/>
    <w:rsid w:val="005930DA"/>
    <w:rsid w:val="0059311E"/>
    <w:rsid w:val="00593291"/>
    <w:rsid w:val="005933F3"/>
    <w:rsid w:val="0059355C"/>
    <w:rsid w:val="005935C5"/>
    <w:rsid w:val="00593686"/>
    <w:rsid w:val="00593A7A"/>
    <w:rsid w:val="00593EE2"/>
    <w:rsid w:val="0059400E"/>
    <w:rsid w:val="00594370"/>
    <w:rsid w:val="005945B4"/>
    <w:rsid w:val="0059477B"/>
    <w:rsid w:val="00594E96"/>
    <w:rsid w:val="00594F65"/>
    <w:rsid w:val="0059508B"/>
    <w:rsid w:val="005950DD"/>
    <w:rsid w:val="0059570A"/>
    <w:rsid w:val="005958BF"/>
    <w:rsid w:val="00595C89"/>
    <w:rsid w:val="00596189"/>
    <w:rsid w:val="00596752"/>
    <w:rsid w:val="00596A36"/>
    <w:rsid w:val="00596F72"/>
    <w:rsid w:val="005971A9"/>
    <w:rsid w:val="005971AB"/>
    <w:rsid w:val="00597223"/>
    <w:rsid w:val="005976C8"/>
    <w:rsid w:val="005976CF"/>
    <w:rsid w:val="00597ADD"/>
    <w:rsid w:val="00597EF4"/>
    <w:rsid w:val="005A024E"/>
    <w:rsid w:val="005A091D"/>
    <w:rsid w:val="005A0B08"/>
    <w:rsid w:val="005A0B40"/>
    <w:rsid w:val="005A0DA2"/>
    <w:rsid w:val="005A0FB0"/>
    <w:rsid w:val="005A11E5"/>
    <w:rsid w:val="005A121B"/>
    <w:rsid w:val="005A130F"/>
    <w:rsid w:val="005A15AB"/>
    <w:rsid w:val="005A15F5"/>
    <w:rsid w:val="005A1A63"/>
    <w:rsid w:val="005A1B9A"/>
    <w:rsid w:val="005A1F0F"/>
    <w:rsid w:val="005A2170"/>
    <w:rsid w:val="005A2807"/>
    <w:rsid w:val="005A28F3"/>
    <w:rsid w:val="005A2FA8"/>
    <w:rsid w:val="005A3174"/>
    <w:rsid w:val="005A322B"/>
    <w:rsid w:val="005A379E"/>
    <w:rsid w:val="005A388C"/>
    <w:rsid w:val="005A39AB"/>
    <w:rsid w:val="005A3D39"/>
    <w:rsid w:val="005A3DA0"/>
    <w:rsid w:val="005A425D"/>
    <w:rsid w:val="005A4302"/>
    <w:rsid w:val="005A4380"/>
    <w:rsid w:val="005A454A"/>
    <w:rsid w:val="005A4A4B"/>
    <w:rsid w:val="005A5755"/>
    <w:rsid w:val="005A59A2"/>
    <w:rsid w:val="005A5D20"/>
    <w:rsid w:val="005A5D95"/>
    <w:rsid w:val="005A6BB6"/>
    <w:rsid w:val="005A6FB4"/>
    <w:rsid w:val="005A75C9"/>
    <w:rsid w:val="005A7732"/>
    <w:rsid w:val="005A7A8C"/>
    <w:rsid w:val="005A7CFA"/>
    <w:rsid w:val="005A7D5D"/>
    <w:rsid w:val="005A7DB4"/>
    <w:rsid w:val="005A7E6B"/>
    <w:rsid w:val="005A7EAF"/>
    <w:rsid w:val="005A7ED6"/>
    <w:rsid w:val="005B01EA"/>
    <w:rsid w:val="005B021F"/>
    <w:rsid w:val="005B065F"/>
    <w:rsid w:val="005B068F"/>
    <w:rsid w:val="005B08C3"/>
    <w:rsid w:val="005B0F85"/>
    <w:rsid w:val="005B1532"/>
    <w:rsid w:val="005B157E"/>
    <w:rsid w:val="005B1FCB"/>
    <w:rsid w:val="005B29EE"/>
    <w:rsid w:val="005B29FF"/>
    <w:rsid w:val="005B2A1C"/>
    <w:rsid w:val="005B32FC"/>
    <w:rsid w:val="005B3336"/>
    <w:rsid w:val="005B353D"/>
    <w:rsid w:val="005B38C7"/>
    <w:rsid w:val="005B394D"/>
    <w:rsid w:val="005B3B0C"/>
    <w:rsid w:val="005B3C38"/>
    <w:rsid w:val="005B3C8A"/>
    <w:rsid w:val="005B4266"/>
    <w:rsid w:val="005B459B"/>
    <w:rsid w:val="005B45A2"/>
    <w:rsid w:val="005B4901"/>
    <w:rsid w:val="005B4932"/>
    <w:rsid w:val="005B4D7B"/>
    <w:rsid w:val="005B4D9A"/>
    <w:rsid w:val="005B4DD6"/>
    <w:rsid w:val="005B4E88"/>
    <w:rsid w:val="005B5182"/>
    <w:rsid w:val="005B52BB"/>
    <w:rsid w:val="005B5409"/>
    <w:rsid w:val="005B5539"/>
    <w:rsid w:val="005B558E"/>
    <w:rsid w:val="005B5DF6"/>
    <w:rsid w:val="005B6388"/>
    <w:rsid w:val="005B648F"/>
    <w:rsid w:val="005B6A27"/>
    <w:rsid w:val="005B6A29"/>
    <w:rsid w:val="005B6C6B"/>
    <w:rsid w:val="005B6FDB"/>
    <w:rsid w:val="005B7171"/>
    <w:rsid w:val="005B7673"/>
    <w:rsid w:val="005B7792"/>
    <w:rsid w:val="005B7C33"/>
    <w:rsid w:val="005B7CA6"/>
    <w:rsid w:val="005B7E15"/>
    <w:rsid w:val="005C017F"/>
    <w:rsid w:val="005C0533"/>
    <w:rsid w:val="005C054A"/>
    <w:rsid w:val="005C0A0B"/>
    <w:rsid w:val="005C0B0C"/>
    <w:rsid w:val="005C0B35"/>
    <w:rsid w:val="005C0B41"/>
    <w:rsid w:val="005C0B45"/>
    <w:rsid w:val="005C105A"/>
    <w:rsid w:val="005C1418"/>
    <w:rsid w:val="005C161C"/>
    <w:rsid w:val="005C17BA"/>
    <w:rsid w:val="005C1BF0"/>
    <w:rsid w:val="005C1C8A"/>
    <w:rsid w:val="005C1D41"/>
    <w:rsid w:val="005C21E5"/>
    <w:rsid w:val="005C3068"/>
    <w:rsid w:val="005C31A7"/>
    <w:rsid w:val="005C348C"/>
    <w:rsid w:val="005C386A"/>
    <w:rsid w:val="005C3C4B"/>
    <w:rsid w:val="005C44D6"/>
    <w:rsid w:val="005C4648"/>
    <w:rsid w:val="005C4C39"/>
    <w:rsid w:val="005C4C84"/>
    <w:rsid w:val="005C5422"/>
    <w:rsid w:val="005C590C"/>
    <w:rsid w:val="005C5957"/>
    <w:rsid w:val="005C5E9F"/>
    <w:rsid w:val="005C600B"/>
    <w:rsid w:val="005C605A"/>
    <w:rsid w:val="005C6133"/>
    <w:rsid w:val="005C6291"/>
    <w:rsid w:val="005C6390"/>
    <w:rsid w:val="005C66CD"/>
    <w:rsid w:val="005C6B5C"/>
    <w:rsid w:val="005C6EC8"/>
    <w:rsid w:val="005C70A4"/>
    <w:rsid w:val="005C723C"/>
    <w:rsid w:val="005C797E"/>
    <w:rsid w:val="005C7FD9"/>
    <w:rsid w:val="005D015F"/>
    <w:rsid w:val="005D018E"/>
    <w:rsid w:val="005D01E8"/>
    <w:rsid w:val="005D028E"/>
    <w:rsid w:val="005D0822"/>
    <w:rsid w:val="005D092E"/>
    <w:rsid w:val="005D0937"/>
    <w:rsid w:val="005D09A2"/>
    <w:rsid w:val="005D0A3E"/>
    <w:rsid w:val="005D1312"/>
    <w:rsid w:val="005D13D2"/>
    <w:rsid w:val="005D167E"/>
    <w:rsid w:val="005D1B11"/>
    <w:rsid w:val="005D1B9B"/>
    <w:rsid w:val="005D1C5C"/>
    <w:rsid w:val="005D1C61"/>
    <w:rsid w:val="005D1E60"/>
    <w:rsid w:val="005D20C1"/>
    <w:rsid w:val="005D22E5"/>
    <w:rsid w:val="005D2334"/>
    <w:rsid w:val="005D24B5"/>
    <w:rsid w:val="005D263E"/>
    <w:rsid w:val="005D2D53"/>
    <w:rsid w:val="005D2D70"/>
    <w:rsid w:val="005D2F9E"/>
    <w:rsid w:val="005D2FD6"/>
    <w:rsid w:val="005D332D"/>
    <w:rsid w:val="005D37D2"/>
    <w:rsid w:val="005D392B"/>
    <w:rsid w:val="005D39F5"/>
    <w:rsid w:val="005D3CF8"/>
    <w:rsid w:val="005D3F6E"/>
    <w:rsid w:val="005D402F"/>
    <w:rsid w:val="005D412E"/>
    <w:rsid w:val="005D4329"/>
    <w:rsid w:val="005D4461"/>
    <w:rsid w:val="005D44C8"/>
    <w:rsid w:val="005D44F1"/>
    <w:rsid w:val="005D4607"/>
    <w:rsid w:val="005D4868"/>
    <w:rsid w:val="005D4CFF"/>
    <w:rsid w:val="005D4DBC"/>
    <w:rsid w:val="005D4DFE"/>
    <w:rsid w:val="005D5245"/>
    <w:rsid w:val="005D541C"/>
    <w:rsid w:val="005D571F"/>
    <w:rsid w:val="005D58B1"/>
    <w:rsid w:val="005D5E53"/>
    <w:rsid w:val="005D618C"/>
    <w:rsid w:val="005D6348"/>
    <w:rsid w:val="005D6625"/>
    <w:rsid w:val="005D6686"/>
    <w:rsid w:val="005D6ACF"/>
    <w:rsid w:val="005D6C2A"/>
    <w:rsid w:val="005D6D3F"/>
    <w:rsid w:val="005D7055"/>
    <w:rsid w:val="005D7952"/>
    <w:rsid w:val="005D7D7B"/>
    <w:rsid w:val="005D7EAF"/>
    <w:rsid w:val="005D7EF7"/>
    <w:rsid w:val="005E0142"/>
    <w:rsid w:val="005E0255"/>
    <w:rsid w:val="005E0288"/>
    <w:rsid w:val="005E05DC"/>
    <w:rsid w:val="005E0DDC"/>
    <w:rsid w:val="005E0DF7"/>
    <w:rsid w:val="005E1224"/>
    <w:rsid w:val="005E123D"/>
    <w:rsid w:val="005E1A5A"/>
    <w:rsid w:val="005E1AD5"/>
    <w:rsid w:val="005E1D4A"/>
    <w:rsid w:val="005E257E"/>
    <w:rsid w:val="005E2580"/>
    <w:rsid w:val="005E2622"/>
    <w:rsid w:val="005E2656"/>
    <w:rsid w:val="005E2C4B"/>
    <w:rsid w:val="005E31A5"/>
    <w:rsid w:val="005E343D"/>
    <w:rsid w:val="005E3A2A"/>
    <w:rsid w:val="005E3A35"/>
    <w:rsid w:val="005E4212"/>
    <w:rsid w:val="005E45AE"/>
    <w:rsid w:val="005E4716"/>
    <w:rsid w:val="005E4E98"/>
    <w:rsid w:val="005E4EB5"/>
    <w:rsid w:val="005E504B"/>
    <w:rsid w:val="005E50AE"/>
    <w:rsid w:val="005E50C9"/>
    <w:rsid w:val="005E52DB"/>
    <w:rsid w:val="005E546F"/>
    <w:rsid w:val="005E551D"/>
    <w:rsid w:val="005E5939"/>
    <w:rsid w:val="005E593C"/>
    <w:rsid w:val="005E598B"/>
    <w:rsid w:val="005E60D7"/>
    <w:rsid w:val="005E6223"/>
    <w:rsid w:val="005E63B6"/>
    <w:rsid w:val="005E6490"/>
    <w:rsid w:val="005E650F"/>
    <w:rsid w:val="005E6653"/>
    <w:rsid w:val="005E6667"/>
    <w:rsid w:val="005E666F"/>
    <w:rsid w:val="005E69DA"/>
    <w:rsid w:val="005E722F"/>
    <w:rsid w:val="005E75D9"/>
    <w:rsid w:val="005E77B1"/>
    <w:rsid w:val="005E7F31"/>
    <w:rsid w:val="005F0559"/>
    <w:rsid w:val="005F0911"/>
    <w:rsid w:val="005F0D0D"/>
    <w:rsid w:val="005F1158"/>
    <w:rsid w:val="005F13D1"/>
    <w:rsid w:val="005F145B"/>
    <w:rsid w:val="005F1605"/>
    <w:rsid w:val="005F162F"/>
    <w:rsid w:val="005F170A"/>
    <w:rsid w:val="005F1B16"/>
    <w:rsid w:val="005F1BCB"/>
    <w:rsid w:val="005F1C53"/>
    <w:rsid w:val="005F2054"/>
    <w:rsid w:val="005F225D"/>
    <w:rsid w:val="005F239A"/>
    <w:rsid w:val="005F2437"/>
    <w:rsid w:val="005F262F"/>
    <w:rsid w:val="005F26BB"/>
    <w:rsid w:val="005F278B"/>
    <w:rsid w:val="005F2C65"/>
    <w:rsid w:val="005F3374"/>
    <w:rsid w:val="005F3392"/>
    <w:rsid w:val="005F3469"/>
    <w:rsid w:val="005F3503"/>
    <w:rsid w:val="005F3595"/>
    <w:rsid w:val="005F3597"/>
    <w:rsid w:val="005F3617"/>
    <w:rsid w:val="005F3889"/>
    <w:rsid w:val="005F3B9F"/>
    <w:rsid w:val="005F3BC5"/>
    <w:rsid w:val="005F3BFF"/>
    <w:rsid w:val="005F4166"/>
    <w:rsid w:val="005F440B"/>
    <w:rsid w:val="005F4B05"/>
    <w:rsid w:val="005F4E13"/>
    <w:rsid w:val="005F51DB"/>
    <w:rsid w:val="005F5417"/>
    <w:rsid w:val="005F5510"/>
    <w:rsid w:val="005F5A6E"/>
    <w:rsid w:val="005F5B64"/>
    <w:rsid w:val="005F5BA2"/>
    <w:rsid w:val="005F5C74"/>
    <w:rsid w:val="005F6217"/>
    <w:rsid w:val="005F62AF"/>
    <w:rsid w:val="005F6528"/>
    <w:rsid w:val="005F6846"/>
    <w:rsid w:val="005F6872"/>
    <w:rsid w:val="005F6A46"/>
    <w:rsid w:val="005F6A4F"/>
    <w:rsid w:val="005F6EA8"/>
    <w:rsid w:val="005F7931"/>
    <w:rsid w:val="005F7B35"/>
    <w:rsid w:val="005F7F9D"/>
    <w:rsid w:val="00600292"/>
    <w:rsid w:val="006002C5"/>
    <w:rsid w:val="00600982"/>
    <w:rsid w:val="006009AD"/>
    <w:rsid w:val="00600C44"/>
    <w:rsid w:val="00601037"/>
    <w:rsid w:val="006010B6"/>
    <w:rsid w:val="00601173"/>
    <w:rsid w:val="00601605"/>
    <w:rsid w:val="00601612"/>
    <w:rsid w:val="006018EA"/>
    <w:rsid w:val="00601A94"/>
    <w:rsid w:val="00601F5F"/>
    <w:rsid w:val="00601FCF"/>
    <w:rsid w:val="006020BD"/>
    <w:rsid w:val="00602775"/>
    <w:rsid w:val="00602B69"/>
    <w:rsid w:val="00603344"/>
    <w:rsid w:val="006034FF"/>
    <w:rsid w:val="00603971"/>
    <w:rsid w:val="00603BBD"/>
    <w:rsid w:val="00603F67"/>
    <w:rsid w:val="00604559"/>
    <w:rsid w:val="00604DC4"/>
    <w:rsid w:val="00604E7E"/>
    <w:rsid w:val="00604FB1"/>
    <w:rsid w:val="00604FF5"/>
    <w:rsid w:val="006057CF"/>
    <w:rsid w:val="00605833"/>
    <w:rsid w:val="00605915"/>
    <w:rsid w:val="00605BD2"/>
    <w:rsid w:val="00605EB4"/>
    <w:rsid w:val="00605F79"/>
    <w:rsid w:val="006060A6"/>
    <w:rsid w:val="0060632C"/>
    <w:rsid w:val="00606338"/>
    <w:rsid w:val="00606654"/>
    <w:rsid w:val="006069A3"/>
    <w:rsid w:val="00606AD3"/>
    <w:rsid w:val="00606C45"/>
    <w:rsid w:val="00606DBE"/>
    <w:rsid w:val="00606EF7"/>
    <w:rsid w:val="00607245"/>
    <w:rsid w:val="006072CA"/>
    <w:rsid w:val="0060750E"/>
    <w:rsid w:val="00607869"/>
    <w:rsid w:val="006078CA"/>
    <w:rsid w:val="00607A93"/>
    <w:rsid w:val="00607BC8"/>
    <w:rsid w:val="00610114"/>
    <w:rsid w:val="00610274"/>
    <w:rsid w:val="006104F1"/>
    <w:rsid w:val="00610522"/>
    <w:rsid w:val="006105B6"/>
    <w:rsid w:val="006105CC"/>
    <w:rsid w:val="00610684"/>
    <w:rsid w:val="0061091A"/>
    <w:rsid w:val="00610AE6"/>
    <w:rsid w:val="00610B18"/>
    <w:rsid w:val="006115B1"/>
    <w:rsid w:val="006118B3"/>
    <w:rsid w:val="00611B12"/>
    <w:rsid w:val="00611D2B"/>
    <w:rsid w:val="00611E62"/>
    <w:rsid w:val="00612620"/>
    <w:rsid w:val="0061269A"/>
    <w:rsid w:val="0061292B"/>
    <w:rsid w:val="00612996"/>
    <w:rsid w:val="00612CA2"/>
    <w:rsid w:val="00612D3B"/>
    <w:rsid w:val="00612D61"/>
    <w:rsid w:val="00612E5F"/>
    <w:rsid w:val="00613197"/>
    <w:rsid w:val="006133A8"/>
    <w:rsid w:val="00613459"/>
    <w:rsid w:val="0061349B"/>
    <w:rsid w:val="00613728"/>
    <w:rsid w:val="00613730"/>
    <w:rsid w:val="0061389D"/>
    <w:rsid w:val="006138AF"/>
    <w:rsid w:val="00613CFB"/>
    <w:rsid w:val="00613DCE"/>
    <w:rsid w:val="00614446"/>
    <w:rsid w:val="0061474F"/>
    <w:rsid w:val="0061495E"/>
    <w:rsid w:val="00614AE7"/>
    <w:rsid w:val="00614B3B"/>
    <w:rsid w:val="00615475"/>
    <w:rsid w:val="006154FD"/>
    <w:rsid w:val="00615714"/>
    <w:rsid w:val="0061579F"/>
    <w:rsid w:val="00615C08"/>
    <w:rsid w:val="00615F26"/>
    <w:rsid w:val="00615F98"/>
    <w:rsid w:val="00616112"/>
    <w:rsid w:val="006161AD"/>
    <w:rsid w:val="0061653F"/>
    <w:rsid w:val="00616703"/>
    <w:rsid w:val="00616C3B"/>
    <w:rsid w:val="00617078"/>
    <w:rsid w:val="00617121"/>
    <w:rsid w:val="00617526"/>
    <w:rsid w:val="006175F8"/>
    <w:rsid w:val="00617848"/>
    <w:rsid w:val="00617A5F"/>
    <w:rsid w:val="006203DB"/>
    <w:rsid w:val="0062041F"/>
    <w:rsid w:val="00620677"/>
    <w:rsid w:val="006208AF"/>
    <w:rsid w:val="006209FD"/>
    <w:rsid w:val="00620A2E"/>
    <w:rsid w:val="00620D35"/>
    <w:rsid w:val="00620E0F"/>
    <w:rsid w:val="00620EEF"/>
    <w:rsid w:val="00620FAE"/>
    <w:rsid w:val="00621078"/>
    <w:rsid w:val="006210EE"/>
    <w:rsid w:val="00621470"/>
    <w:rsid w:val="006215BA"/>
    <w:rsid w:val="00621834"/>
    <w:rsid w:val="00621883"/>
    <w:rsid w:val="00621EC3"/>
    <w:rsid w:val="00621F2B"/>
    <w:rsid w:val="00622008"/>
    <w:rsid w:val="006220BF"/>
    <w:rsid w:val="006221CF"/>
    <w:rsid w:val="006223A9"/>
    <w:rsid w:val="00622410"/>
    <w:rsid w:val="0062243A"/>
    <w:rsid w:val="00622454"/>
    <w:rsid w:val="00622C52"/>
    <w:rsid w:val="006234A6"/>
    <w:rsid w:val="006236D6"/>
    <w:rsid w:val="00623862"/>
    <w:rsid w:val="0062413F"/>
    <w:rsid w:val="0062416E"/>
    <w:rsid w:val="006245C0"/>
    <w:rsid w:val="006246CF"/>
    <w:rsid w:val="00624872"/>
    <w:rsid w:val="00624FBC"/>
    <w:rsid w:val="00625547"/>
    <w:rsid w:val="00625892"/>
    <w:rsid w:val="006259D6"/>
    <w:rsid w:val="00625CC3"/>
    <w:rsid w:val="006261A0"/>
    <w:rsid w:val="006266AF"/>
    <w:rsid w:val="00626AC8"/>
    <w:rsid w:val="006270D7"/>
    <w:rsid w:val="00627167"/>
    <w:rsid w:val="006272B0"/>
    <w:rsid w:val="006272DD"/>
    <w:rsid w:val="00627527"/>
    <w:rsid w:val="006275AB"/>
    <w:rsid w:val="006278E1"/>
    <w:rsid w:val="006279A5"/>
    <w:rsid w:val="00630138"/>
    <w:rsid w:val="0063019A"/>
    <w:rsid w:val="0063045D"/>
    <w:rsid w:val="006306AE"/>
    <w:rsid w:val="0063075D"/>
    <w:rsid w:val="00630ABB"/>
    <w:rsid w:val="00630F32"/>
    <w:rsid w:val="00631131"/>
    <w:rsid w:val="00631504"/>
    <w:rsid w:val="00631868"/>
    <w:rsid w:val="00631A04"/>
    <w:rsid w:val="00631C3A"/>
    <w:rsid w:val="00631E15"/>
    <w:rsid w:val="00631F08"/>
    <w:rsid w:val="006320F2"/>
    <w:rsid w:val="0063231E"/>
    <w:rsid w:val="00632612"/>
    <w:rsid w:val="00632751"/>
    <w:rsid w:val="006327D1"/>
    <w:rsid w:val="0063289F"/>
    <w:rsid w:val="006328AB"/>
    <w:rsid w:val="00632D3D"/>
    <w:rsid w:val="00632DE9"/>
    <w:rsid w:val="00633081"/>
    <w:rsid w:val="0063313B"/>
    <w:rsid w:val="00633147"/>
    <w:rsid w:val="0063356B"/>
    <w:rsid w:val="00633625"/>
    <w:rsid w:val="0063373E"/>
    <w:rsid w:val="0063416A"/>
    <w:rsid w:val="0063488D"/>
    <w:rsid w:val="00634919"/>
    <w:rsid w:val="00634BB2"/>
    <w:rsid w:val="00635063"/>
    <w:rsid w:val="006350AF"/>
    <w:rsid w:val="00635386"/>
    <w:rsid w:val="0063549E"/>
    <w:rsid w:val="006357FD"/>
    <w:rsid w:val="00635938"/>
    <w:rsid w:val="00635BD9"/>
    <w:rsid w:val="00635C82"/>
    <w:rsid w:val="00635E7A"/>
    <w:rsid w:val="0063643F"/>
    <w:rsid w:val="006364B8"/>
    <w:rsid w:val="00636659"/>
    <w:rsid w:val="00636930"/>
    <w:rsid w:val="00636ECC"/>
    <w:rsid w:val="006371D4"/>
    <w:rsid w:val="00637237"/>
    <w:rsid w:val="0063744D"/>
    <w:rsid w:val="00637798"/>
    <w:rsid w:val="00637B84"/>
    <w:rsid w:val="00637B90"/>
    <w:rsid w:val="00637BE7"/>
    <w:rsid w:val="00637C42"/>
    <w:rsid w:val="00637D1C"/>
    <w:rsid w:val="00640033"/>
    <w:rsid w:val="006404CD"/>
    <w:rsid w:val="006409A3"/>
    <w:rsid w:val="00640C16"/>
    <w:rsid w:val="00640C9C"/>
    <w:rsid w:val="00641161"/>
    <w:rsid w:val="0064171C"/>
    <w:rsid w:val="006420F7"/>
    <w:rsid w:val="006421F1"/>
    <w:rsid w:val="006423A6"/>
    <w:rsid w:val="00642A1A"/>
    <w:rsid w:val="00642B7D"/>
    <w:rsid w:val="00642C25"/>
    <w:rsid w:val="00642D53"/>
    <w:rsid w:val="00642D76"/>
    <w:rsid w:val="00642E7F"/>
    <w:rsid w:val="00642F94"/>
    <w:rsid w:val="00642FE8"/>
    <w:rsid w:val="0064321B"/>
    <w:rsid w:val="00643325"/>
    <w:rsid w:val="00643549"/>
    <w:rsid w:val="006437F6"/>
    <w:rsid w:val="00643CAE"/>
    <w:rsid w:val="00643F09"/>
    <w:rsid w:val="006445C8"/>
    <w:rsid w:val="0064480C"/>
    <w:rsid w:val="00644828"/>
    <w:rsid w:val="00644CC9"/>
    <w:rsid w:val="006451C1"/>
    <w:rsid w:val="00645631"/>
    <w:rsid w:val="00645813"/>
    <w:rsid w:val="00645D54"/>
    <w:rsid w:val="00645F9C"/>
    <w:rsid w:val="0064621C"/>
    <w:rsid w:val="00646266"/>
    <w:rsid w:val="0064637B"/>
    <w:rsid w:val="00646648"/>
    <w:rsid w:val="00646A02"/>
    <w:rsid w:val="00646AAD"/>
    <w:rsid w:val="00646BF6"/>
    <w:rsid w:val="00646C13"/>
    <w:rsid w:val="00646CA8"/>
    <w:rsid w:val="00646D45"/>
    <w:rsid w:val="00646FBE"/>
    <w:rsid w:val="00646FFD"/>
    <w:rsid w:val="0064739D"/>
    <w:rsid w:val="006475CD"/>
    <w:rsid w:val="006477C7"/>
    <w:rsid w:val="00647B56"/>
    <w:rsid w:val="00647C0A"/>
    <w:rsid w:val="00647F70"/>
    <w:rsid w:val="006508C7"/>
    <w:rsid w:val="00650900"/>
    <w:rsid w:val="006509B3"/>
    <w:rsid w:val="00650A1C"/>
    <w:rsid w:val="00650A98"/>
    <w:rsid w:val="00650B4E"/>
    <w:rsid w:val="00650D53"/>
    <w:rsid w:val="00651043"/>
    <w:rsid w:val="00651289"/>
    <w:rsid w:val="0065142E"/>
    <w:rsid w:val="0065153B"/>
    <w:rsid w:val="006516F3"/>
    <w:rsid w:val="0065198A"/>
    <w:rsid w:val="00651C3F"/>
    <w:rsid w:val="00651C81"/>
    <w:rsid w:val="00651C9A"/>
    <w:rsid w:val="00651CD0"/>
    <w:rsid w:val="00652762"/>
    <w:rsid w:val="006527BD"/>
    <w:rsid w:val="00652947"/>
    <w:rsid w:val="00652983"/>
    <w:rsid w:val="00652DA7"/>
    <w:rsid w:val="00652F54"/>
    <w:rsid w:val="00652F6D"/>
    <w:rsid w:val="00652FCB"/>
    <w:rsid w:val="0065313C"/>
    <w:rsid w:val="00653509"/>
    <w:rsid w:val="006535D5"/>
    <w:rsid w:val="00653B1A"/>
    <w:rsid w:val="00653C24"/>
    <w:rsid w:val="00653CDF"/>
    <w:rsid w:val="00653D8D"/>
    <w:rsid w:val="00653E04"/>
    <w:rsid w:val="00653EED"/>
    <w:rsid w:val="006541BE"/>
    <w:rsid w:val="0065429F"/>
    <w:rsid w:val="0065431D"/>
    <w:rsid w:val="00654357"/>
    <w:rsid w:val="006543EA"/>
    <w:rsid w:val="006545FE"/>
    <w:rsid w:val="00654605"/>
    <w:rsid w:val="006546D2"/>
    <w:rsid w:val="00654747"/>
    <w:rsid w:val="00654A8B"/>
    <w:rsid w:val="00654E55"/>
    <w:rsid w:val="006554D7"/>
    <w:rsid w:val="00655552"/>
    <w:rsid w:val="006557AD"/>
    <w:rsid w:val="0065594F"/>
    <w:rsid w:val="006559C9"/>
    <w:rsid w:val="006559EC"/>
    <w:rsid w:val="00655D07"/>
    <w:rsid w:val="00655D32"/>
    <w:rsid w:val="00655ED8"/>
    <w:rsid w:val="006560F9"/>
    <w:rsid w:val="0065627F"/>
    <w:rsid w:val="00656412"/>
    <w:rsid w:val="0065648D"/>
    <w:rsid w:val="006567D9"/>
    <w:rsid w:val="00656908"/>
    <w:rsid w:val="00656A94"/>
    <w:rsid w:val="006570E2"/>
    <w:rsid w:val="006572DC"/>
    <w:rsid w:val="006573CB"/>
    <w:rsid w:val="00657403"/>
    <w:rsid w:val="00657409"/>
    <w:rsid w:val="006579A9"/>
    <w:rsid w:val="00657E58"/>
    <w:rsid w:val="00657E6C"/>
    <w:rsid w:val="00657F03"/>
    <w:rsid w:val="00660391"/>
    <w:rsid w:val="006604B0"/>
    <w:rsid w:val="00660B9E"/>
    <w:rsid w:val="00660D73"/>
    <w:rsid w:val="00660F07"/>
    <w:rsid w:val="00660FD6"/>
    <w:rsid w:val="00661025"/>
    <w:rsid w:val="00661544"/>
    <w:rsid w:val="00661667"/>
    <w:rsid w:val="00661988"/>
    <w:rsid w:val="00661A60"/>
    <w:rsid w:val="00661C20"/>
    <w:rsid w:val="00661D37"/>
    <w:rsid w:val="00661ED4"/>
    <w:rsid w:val="00662182"/>
    <w:rsid w:val="0066279C"/>
    <w:rsid w:val="006630FE"/>
    <w:rsid w:val="006632CF"/>
    <w:rsid w:val="006635FD"/>
    <w:rsid w:val="00663720"/>
    <w:rsid w:val="00663999"/>
    <w:rsid w:val="00663DCD"/>
    <w:rsid w:val="00663EBF"/>
    <w:rsid w:val="00664166"/>
    <w:rsid w:val="00664261"/>
    <w:rsid w:val="0066468C"/>
    <w:rsid w:val="0066478C"/>
    <w:rsid w:val="00664B1C"/>
    <w:rsid w:val="0066500A"/>
    <w:rsid w:val="006652F6"/>
    <w:rsid w:val="006658EA"/>
    <w:rsid w:val="00665C07"/>
    <w:rsid w:val="00665E1B"/>
    <w:rsid w:val="00666207"/>
    <w:rsid w:val="006663B9"/>
    <w:rsid w:val="00666540"/>
    <w:rsid w:val="00666937"/>
    <w:rsid w:val="00666A99"/>
    <w:rsid w:val="00666C28"/>
    <w:rsid w:val="00667491"/>
    <w:rsid w:val="006679BF"/>
    <w:rsid w:val="00667A47"/>
    <w:rsid w:val="00667AA0"/>
    <w:rsid w:val="00667DA8"/>
    <w:rsid w:val="006703DE"/>
    <w:rsid w:val="0067053E"/>
    <w:rsid w:val="006706B8"/>
    <w:rsid w:val="00670BC3"/>
    <w:rsid w:val="00670EE3"/>
    <w:rsid w:val="00670FFE"/>
    <w:rsid w:val="006711D9"/>
    <w:rsid w:val="006712DC"/>
    <w:rsid w:val="00671488"/>
    <w:rsid w:val="006716D8"/>
    <w:rsid w:val="0067213A"/>
    <w:rsid w:val="0067218D"/>
    <w:rsid w:val="0067263E"/>
    <w:rsid w:val="006726CB"/>
    <w:rsid w:val="006728E2"/>
    <w:rsid w:val="006729D5"/>
    <w:rsid w:val="00672CB9"/>
    <w:rsid w:val="00672DFD"/>
    <w:rsid w:val="006730B3"/>
    <w:rsid w:val="00673168"/>
    <w:rsid w:val="006732E7"/>
    <w:rsid w:val="00673514"/>
    <w:rsid w:val="00673594"/>
    <w:rsid w:val="00673893"/>
    <w:rsid w:val="00673D88"/>
    <w:rsid w:val="00674691"/>
    <w:rsid w:val="00674722"/>
    <w:rsid w:val="00674AAB"/>
    <w:rsid w:val="00674DC3"/>
    <w:rsid w:val="006753E4"/>
    <w:rsid w:val="006754D0"/>
    <w:rsid w:val="0067558F"/>
    <w:rsid w:val="006759B2"/>
    <w:rsid w:val="00675E2F"/>
    <w:rsid w:val="00676016"/>
    <w:rsid w:val="0067652F"/>
    <w:rsid w:val="00676672"/>
    <w:rsid w:val="00676EBB"/>
    <w:rsid w:val="00677155"/>
    <w:rsid w:val="006771BC"/>
    <w:rsid w:val="006771FA"/>
    <w:rsid w:val="00677517"/>
    <w:rsid w:val="006775FC"/>
    <w:rsid w:val="00677838"/>
    <w:rsid w:val="00677867"/>
    <w:rsid w:val="00677FA2"/>
    <w:rsid w:val="00680929"/>
    <w:rsid w:val="00680BE2"/>
    <w:rsid w:val="0068102B"/>
    <w:rsid w:val="00681085"/>
    <w:rsid w:val="00681B03"/>
    <w:rsid w:val="00681E80"/>
    <w:rsid w:val="006825A4"/>
    <w:rsid w:val="006826E9"/>
    <w:rsid w:val="00682865"/>
    <w:rsid w:val="0068294A"/>
    <w:rsid w:val="00683703"/>
    <w:rsid w:val="00683817"/>
    <w:rsid w:val="0068387A"/>
    <w:rsid w:val="00683B10"/>
    <w:rsid w:val="00683B14"/>
    <w:rsid w:val="00683B15"/>
    <w:rsid w:val="00683C83"/>
    <w:rsid w:val="00683DC4"/>
    <w:rsid w:val="00683E13"/>
    <w:rsid w:val="006841B5"/>
    <w:rsid w:val="006841C9"/>
    <w:rsid w:val="006843EA"/>
    <w:rsid w:val="00684A1D"/>
    <w:rsid w:val="00684B00"/>
    <w:rsid w:val="00684F5A"/>
    <w:rsid w:val="0068523D"/>
    <w:rsid w:val="006852CA"/>
    <w:rsid w:val="006853F3"/>
    <w:rsid w:val="00685489"/>
    <w:rsid w:val="0068551B"/>
    <w:rsid w:val="00685552"/>
    <w:rsid w:val="006855EF"/>
    <w:rsid w:val="0068584D"/>
    <w:rsid w:val="00685963"/>
    <w:rsid w:val="006859EE"/>
    <w:rsid w:val="00685E4D"/>
    <w:rsid w:val="00685EED"/>
    <w:rsid w:val="00686001"/>
    <w:rsid w:val="0068659E"/>
    <w:rsid w:val="00686DE3"/>
    <w:rsid w:val="00687020"/>
    <w:rsid w:val="00687155"/>
    <w:rsid w:val="00687A7E"/>
    <w:rsid w:val="00687B56"/>
    <w:rsid w:val="00687DB0"/>
    <w:rsid w:val="00690202"/>
    <w:rsid w:val="0069035E"/>
    <w:rsid w:val="00690364"/>
    <w:rsid w:val="00690BBB"/>
    <w:rsid w:val="0069103E"/>
    <w:rsid w:val="00691289"/>
    <w:rsid w:val="006912C9"/>
    <w:rsid w:val="00691314"/>
    <w:rsid w:val="00691418"/>
    <w:rsid w:val="00691C70"/>
    <w:rsid w:val="00692183"/>
    <w:rsid w:val="006923B5"/>
    <w:rsid w:val="00692452"/>
    <w:rsid w:val="006928F1"/>
    <w:rsid w:val="00692923"/>
    <w:rsid w:val="00692966"/>
    <w:rsid w:val="00692DE6"/>
    <w:rsid w:val="006934F5"/>
    <w:rsid w:val="006935AE"/>
    <w:rsid w:val="00693782"/>
    <w:rsid w:val="006938D4"/>
    <w:rsid w:val="0069397C"/>
    <w:rsid w:val="00693D57"/>
    <w:rsid w:val="00693E52"/>
    <w:rsid w:val="00693F58"/>
    <w:rsid w:val="006940E5"/>
    <w:rsid w:val="00694136"/>
    <w:rsid w:val="0069472B"/>
    <w:rsid w:val="006949C3"/>
    <w:rsid w:val="00695562"/>
    <w:rsid w:val="006958B2"/>
    <w:rsid w:val="0069597D"/>
    <w:rsid w:val="00695A2C"/>
    <w:rsid w:val="00695ED9"/>
    <w:rsid w:val="00695EE6"/>
    <w:rsid w:val="00695F8E"/>
    <w:rsid w:val="00695F96"/>
    <w:rsid w:val="00696023"/>
    <w:rsid w:val="0069620C"/>
    <w:rsid w:val="006964EE"/>
    <w:rsid w:val="0069668A"/>
    <w:rsid w:val="006966BB"/>
    <w:rsid w:val="0069670F"/>
    <w:rsid w:val="00696A86"/>
    <w:rsid w:val="00696C45"/>
    <w:rsid w:val="00696C8A"/>
    <w:rsid w:val="006970B2"/>
    <w:rsid w:val="006971AF"/>
    <w:rsid w:val="006971E3"/>
    <w:rsid w:val="00697208"/>
    <w:rsid w:val="00697320"/>
    <w:rsid w:val="0069759C"/>
    <w:rsid w:val="006978BA"/>
    <w:rsid w:val="00697962"/>
    <w:rsid w:val="0069798A"/>
    <w:rsid w:val="00697C8A"/>
    <w:rsid w:val="00697EA8"/>
    <w:rsid w:val="006A011D"/>
    <w:rsid w:val="006A016E"/>
    <w:rsid w:val="006A01D1"/>
    <w:rsid w:val="006A0266"/>
    <w:rsid w:val="006A0294"/>
    <w:rsid w:val="006A02BE"/>
    <w:rsid w:val="006A02D6"/>
    <w:rsid w:val="006A07D7"/>
    <w:rsid w:val="006A0AEF"/>
    <w:rsid w:val="006A0B57"/>
    <w:rsid w:val="006A0F15"/>
    <w:rsid w:val="006A0F56"/>
    <w:rsid w:val="006A10D5"/>
    <w:rsid w:val="006A1785"/>
    <w:rsid w:val="006A1800"/>
    <w:rsid w:val="006A19CB"/>
    <w:rsid w:val="006A1EF5"/>
    <w:rsid w:val="006A1F97"/>
    <w:rsid w:val="006A211C"/>
    <w:rsid w:val="006A23EF"/>
    <w:rsid w:val="006A266D"/>
    <w:rsid w:val="006A26DC"/>
    <w:rsid w:val="006A26E4"/>
    <w:rsid w:val="006A29BC"/>
    <w:rsid w:val="006A2B6A"/>
    <w:rsid w:val="006A2C50"/>
    <w:rsid w:val="006A2DBF"/>
    <w:rsid w:val="006A2EE9"/>
    <w:rsid w:val="006A31FA"/>
    <w:rsid w:val="006A34C6"/>
    <w:rsid w:val="006A39BA"/>
    <w:rsid w:val="006A3BA7"/>
    <w:rsid w:val="006A3C51"/>
    <w:rsid w:val="006A41D3"/>
    <w:rsid w:val="006A424D"/>
    <w:rsid w:val="006A43C7"/>
    <w:rsid w:val="006A4556"/>
    <w:rsid w:val="006A4781"/>
    <w:rsid w:val="006A4978"/>
    <w:rsid w:val="006A4A28"/>
    <w:rsid w:val="006A4C99"/>
    <w:rsid w:val="006A5282"/>
    <w:rsid w:val="006A5325"/>
    <w:rsid w:val="006A5803"/>
    <w:rsid w:val="006A5946"/>
    <w:rsid w:val="006A629B"/>
    <w:rsid w:val="006A64E7"/>
    <w:rsid w:val="006A6522"/>
    <w:rsid w:val="006A65E7"/>
    <w:rsid w:val="006A6767"/>
    <w:rsid w:val="006A6C12"/>
    <w:rsid w:val="006A6F73"/>
    <w:rsid w:val="006A6F9C"/>
    <w:rsid w:val="006A6FB3"/>
    <w:rsid w:val="006A740E"/>
    <w:rsid w:val="006A7910"/>
    <w:rsid w:val="006A7C24"/>
    <w:rsid w:val="006A7CBD"/>
    <w:rsid w:val="006A7DA4"/>
    <w:rsid w:val="006B026A"/>
    <w:rsid w:val="006B0380"/>
    <w:rsid w:val="006B0A06"/>
    <w:rsid w:val="006B0C64"/>
    <w:rsid w:val="006B0D3F"/>
    <w:rsid w:val="006B0FF1"/>
    <w:rsid w:val="006B124B"/>
    <w:rsid w:val="006B1308"/>
    <w:rsid w:val="006B1DA7"/>
    <w:rsid w:val="006B2517"/>
    <w:rsid w:val="006B259F"/>
    <w:rsid w:val="006B26C5"/>
    <w:rsid w:val="006B276F"/>
    <w:rsid w:val="006B27BB"/>
    <w:rsid w:val="006B2802"/>
    <w:rsid w:val="006B2ABD"/>
    <w:rsid w:val="006B3283"/>
    <w:rsid w:val="006B351F"/>
    <w:rsid w:val="006B358B"/>
    <w:rsid w:val="006B3641"/>
    <w:rsid w:val="006B37E8"/>
    <w:rsid w:val="006B3805"/>
    <w:rsid w:val="006B3C92"/>
    <w:rsid w:val="006B3E4E"/>
    <w:rsid w:val="006B41FC"/>
    <w:rsid w:val="006B4232"/>
    <w:rsid w:val="006B45E0"/>
    <w:rsid w:val="006B47A4"/>
    <w:rsid w:val="006B4A3C"/>
    <w:rsid w:val="006B4DB0"/>
    <w:rsid w:val="006B5001"/>
    <w:rsid w:val="006B5525"/>
    <w:rsid w:val="006B5548"/>
    <w:rsid w:val="006B5A4E"/>
    <w:rsid w:val="006B5BAB"/>
    <w:rsid w:val="006B5FC2"/>
    <w:rsid w:val="006B5FE3"/>
    <w:rsid w:val="006B6263"/>
    <w:rsid w:val="006B6293"/>
    <w:rsid w:val="006B62EA"/>
    <w:rsid w:val="006B6499"/>
    <w:rsid w:val="006B6528"/>
    <w:rsid w:val="006B6A69"/>
    <w:rsid w:val="006B6B01"/>
    <w:rsid w:val="006B7628"/>
    <w:rsid w:val="006B7A89"/>
    <w:rsid w:val="006B7B3F"/>
    <w:rsid w:val="006B7C66"/>
    <w:rsid w:val="006C0145"/>
    <w:rsid w:val="006C0165"/>
    <w:rsid w:val="006C0694"/>
    <w:rsid w:val="006C071B"/>
    <w:rsid w:val="006C0B06"/>
    <w:rsid w:val="006C0E68"/>
    <w:rsid w:val="006C1098"/>
    <w:rsid w:val="006C1474"/>
    <w:rsid w:val="006C1679"/>
    <w:rsid w:val="006C1BE1"/>
    <w:rsid w:val="006C1D77"/>
    <w:rsid w:val="006C1D80"/>
    <w:rsid w:val="006C21D7"/>
    <w:rsid w:val="006C2236"/>
    <w:rsid w:val="006C243A"/>
    <w:rsid w:val="006C2A19"/>
    <w:rsid w:val="006C2DCD"/>
    <w:rsid w:val="006C30CC"/>
    <w:rsid w:val="006C330F"/>
    <w:rsid w:val="006C3A65"/>
    <w:rsid w:val="006C3D0E"/>
    <w:rsid w:val="006C446D"/>
    <w:rsid w:val="006C4643"/>
    <w:rsid w:val="006C496E"/>
    <w:rsid w:val="006C4BC8"/>
    <w:rsid w:val="006C4CBC"/>
    <w:rsid w:val="006C4CE7"/>
    <w:rsid w:val="006C4F28"/>
    <w:rsid w:val="006C509C"/>
    <w:rsid w:val="006C55E3"/>
    <w:rsid w:val="006C5696"/>
    <w:rsid w:val="006C5BDB"/>
    <w:rsid w:val="006C5D57"/>
    <w:rsid w:val="006C5DC4"/>
    <w:rsid w:val="006C5DCE"/>
    <w:rsid w:val="006C5DD3"/>
    <w:rsid w:val="006C5EAD"/>
    <w:rsid w:val="006C5F83"/>
    <w:rsid w:val="006C606C"/>
    <w:rsid w:val="006C62FB"/>
    <w:rsid w:val="006C6335"/>
    <w:rsid w:val="006C6614"/>
    <w:rsid w:val="006C66CF"/>
    <w:rsid w:val="006C6AD2"/>
    <w:rsid w:val="006C6D05"/>
    <w:rsid w:val="006C6DB0"/>
    <w:rsid w:val="006C7019"/>
    <w:rsid w:val="006C7608"/>
    <w:rsid w:val="006C7B4C"/>
    <w:rsid w:val="006C7D23"/>
    <w:rsid w:val="006C7ED2"/>
    <w:rsid w:val="006C7EFE"/>
    <w:rsid w:val="006D0192"/>
    <w:rsid w:val="006D021A"/>
    <w:rsid w:val="006D0277"/>
    <w:rsid w:val="006D04EE"/>
    <w:rsid w:val="006D074B"/>
    <w:rsid w:val="006D076E"/>
    <w:rsid w:val="006D0F07"/>
    <w:rsid w:val="006D11F9"/>
    <w:rsid w:val="006D1346"/>
    <w:rsid w:val="006D13DA"/>
    <w:rsid w:val="006D1A95"/>
    <w:rsid w:val="006D1C3B"/>
    <w:rsid w:val="006D1D9A"/>
    <w:rsid w:val="006D1EEF"/>
    <w:rsid w:val="006D25C7"/>
    <w:rsid w:val="006D26CA"/>
    <w:rsid w:val="006D2B1A"/>
    <w:rsid w:val="006D2B5A"/>
    <w:rsid w:val="006D2D01"/>
    <w:rsid w:val="006D2E67"/>
    <w:rsid w:val="006D30AB"/>
    <w:rsid w:val="006D318A"/>
    <w:rsid w:val="006D329B"/>
    <w:rsid w:val="006D337D"/>
    <w:rsid w:val="006D3441"/>
    <w:rsid w:val="006D371D"/>
    <w:rsid w:val="006D38BE"/>
    <w:rsid w:val="006D3901"/>
    <w:rsid w:val="006D3AA3"/>
    <w:rsid w:val="006D3C44"/>
    <w:rsid w:val="006D3E17"/>
    <w:rsid w:val="006D3E6F"/>
    <w:rsid w:val="006D40C1"/>
    <w:rsid w:val="006D4102"/>
    <w:rsid w:val="006D4797"/>
    <w:rsid w:val="006D4804"/>
    <w:rsid w:val="006D4815"/>
    <w:rsid w:val="006D4904"/>
    <w:rsid w:val="006D4D93"/>
    <w:rsid w:val="006D4F4A"/>
    <w:rsid w:val="006D53B0"/>
    <w:rsid w:val="006D54B8"/>
    <w:rsid w:val="006D564A"/>
    <w:rsid w:val="006D5CA4"/>
    <w:rsid w:val="006D6185"/>
    <w:rsid w:val="006D62C8"/>
    <w:rsid w:val="006D6751"/>
    <w:rsid w:val="006D6C35"/>
    <w:rsid w:val="006D7171"/>
    <w:rsid w:val="006D7405"/>
    <w:rsid w:val="006D7442"/>
    <w:rsid w:val="006D749E"/>
    <w:rsid w:val="006D752D"/>
    <w:rsid w:val="006D783C"/>
    <w:rsid w:val="006D7B4E"/>
    <w:rsid w:val="006D7C53"/>
    <w:rsid w:val="006D7DA3"/>
    <w:rsid w:val="006D7E17"/>
    <w:rsid w:val="006E00BF"/>
    <w:rsid w:val="006E0267"/>
    <w:rsid w:val="006E0449"/>
    <w:rsid w:val="006E07D3"/>
    <w:rsid w:val="006E0A4C"/>
    <w:rsid w:val="006E0D5E"/>
    <w:rsid w:val="006E0EC1"/>
    <w:rsid w:val="006E1265"/>
    <w:rsid w:val="006E1466"/>
    <w:rsid w:val="006E1556"/>
    <w:rsid w:val="006E18E3"/>
    <w:rsid w:val="006E1A75"/>
    <w:rsid w:val="006E1B40"/>
    <w:rsid w:val="006E1B8F"/>
    <w:rsid w:val="006E1E8B"/>
    <w:rsid w:val="006E20B8"/>
    <w:rsid w:val="006E216E"/>
    <w:rsid w:val="006E2891"/>
    <w:rsid w:val="006E2C3B"/>
    <w:rsid w:val="006E2C84"/>
    <w:rsid w:val="006E2F77"/>
    <w:rsid w:val="006E309F"/>
    <w:rsid w:val="006E31B5"/>
    <w:rsid w:val="006E32A6"/>
    <w:rsid w:val="006E35C5"/>
    <w:rsid w:val="006E35F9"/>
    <w:rsid w:val="006E3BC7"/>
    <w:rsid w:val="006E3C74"/>
    <w:rsid w:val="006E41AC"/>
    <w:rsid w:val="006E4431"/>
    <w:rsid w:val="006E4528"/>
    <w:rsid w:val="006E466A"/>
    <w:rsid w:val="006E46F2"/>
    <w:rsid w:val="006E485B"/>
    <w:rsid w:val="006E4967"/>
    <w:rsid w:val="006E4B63"/>
    <w:rsid w:val="006E5882"/>
    <w:rsid w:val="006E5D0A"/>
    <w:rsid w:val="006E5FE5"/>
    <w:rsid w:val="006E62E8"/>
    <w:rsid w:val="006E6537"/>
    <w:rsid w:val="006E6724"/>
    <w:rsid w:val="006E6937"/>
    <w:rsid w:val="006E6955"/>
    <w:rsid w:val="006E69A5"/>
    <w:rsid w:val="006E6B63"/>
    <w:rsid w:val="006E6F87"/>
    <w:rsid w:val="006E7080"/>
    <w:rsid w:val="006E72E9"/>
    <w:rsid w:val="006E77AA"/>
    <w:rsid w:val="006E7892"/>
    <w:rsid w:val="006E7BAB"/>
    <w:rsid w:val="006E7CAF"/>
    <w:rsid w:val="006E7F98"/>
    <w:rsid w:val="006F033C"/>
    <w:rsid w:val="006F04DF"/>
    <w:rsid w:val="006F0B01"/>
    <w:rsid w:val="006F0BF0"/>
    <w:rsid w:val="006F0EAD"/>
    <w:rsid w:val="006F124C"/>
    <w:rsid w:val="006F1255"/>
    <w:rsid w:val="006F12B2"/>
    <w:rsid w:val="006F1352"/>
    <w:rsid w:val="006F1797"/>
    <w:rsid w:val="006F19F3"/>
    <w:rsid w:val="006F1A21"/>
    <w:rsid w:val="006F1E88"/>
    <w:rsid w:val="006F1F8D"/>
    <w:rsid w:val="006F284E"/>
    <w:rsid w:val="006F2E09"/>
    <w:rsid w:val="006F2FBE"/>
    <w:rsid w:val="006F3030"/>
    <w:rsid w:val="006F320B"/>
    <w:rsid w:val="006F359C"/>
    <w:rsid w:val="006F35F2"/>
    <w:rsid w:val="006F3CA7"/>
    <w:rsid w:val="006F4416"/>
    <w:rsid w:val="006F4BB5"/>
    <w:rsid w:val="006F4C2C"/>
    <w:rsid w:val="006F4CD6"/>
    <w:rsid w:val="006F4F9A"/>
    <w:rsid w:val="006F53F2"/>
    <w:rsid w:val="006F5BB8"/>
    <w:rsid w:val="006F60C9"/>
    <w:rsid w:val="006F6129"/>
    <w:rsid w:val="006F63C4"/>
    <w:rsid w:val="006F63D8"/>
    <w:rsid w:val="006F6696"/>
    <w:rsid w:val="006F678E"/>
    <w:rsid w:val="006F67CD"/>
    <w:rsid w:val="006F6BAB"/>
    <w:rsid w:val="006F6F0E"/>
    <w:rsid w:val="006F71F2"/>
    <w:rsid w:val="006F746E"/>
    <w:rsid w:val="006F74DD"/>
    <w:rsid w:val="006F7561"/>
    <w:rsid w:val="006F77D8"/>
    <w:rsid w:val="006F7A1B"/>
    <w:rsid w:val="006F7C76"/>
    <w:rsid w:val="006F7CD1"/>
    <w:rsid w:val="006F7FB4"/>
    <w:rsid w:val="0070004B"/>
    <w:rsid w:val="0070027F"/>
    <w:rsid w:val="0070029A"/>
    <w:rsid w:val="007007EA"/>
    <w:rsid w:val="007008FC"/>
    <w:rsid w:val="0070093E"/>
    <w:rsid w:val="00700A28"/>
    <w:rsid w:val="00700AAE"/>
    <w:rsid w:val="0070118D"/>
    <w:rsid w:val="00701315"/>
    <w:rsid w:val="00701410"/>
    <w:rsid w:val="00701ACF"/>
    <w:rsid w:val="00701B78"/>
    <w:rsid w:val="00701B9C"/>
    <w:rsid w:val="00701F4D"/>
    <w:rsid w:val="007020F1"/>
    <w:rsid w:val="007023A1"/>
    <w:rsid w:val="0070260B"/>
    <w:rsid w:val="00702630"/>
    <w:rsid w:val="007027B3"/>
    <w:rsid w:val="00702BCF"/>
    <w:rsid w:val="007031AB"/>
    <w:rsid w:val="007031FE"/>
    <w:rsid w:val="0070326A"/>
    <w:rsid w:val="007032AE"/>
    <w:rsid w:val="007035CF"/>
    <w:rsid w:val="00703604"/>
    <w:rsid w:val="0070399E"/>
    <w:rsid w:val="00704498"/>
    <w:rsid w:val="00704572"/>
    <w:rsid w:val="00704694"/>
    <w:rsid w:val="00704729"/>
    <w:rsid w:val="007048FD"/>
    <w:rsid w:val="00704E5C"/>
    <w:rsid w:val="00704EBD"/>
    <w:rsid w:val="00705227"/>
    <w:rsid w:val="00705498"/>
    <w:rsid w:val="007055B9"/>
    <w:rsid w:val="00705AAD"/>
    <w:rsid w:val="00705C37"/>
    <w:rsid w:val="00705D20"/>
    <w:rsid w:val="00705E0B"/>
    <w:rsid w:val="0070628F"/>
    <w:rsid w:val="00706486"/>
    <w:rsid w:val="0070659C"/>
    <w:rsid w:val="007065A6"/>
    <w:rsid w:val="00706834"/>
    <w:rsid w:val="007068DC"/>
    <w:rsid w:val="00707038"/>
    <w:rsid w:val="00707172"/>
    <w:rsid w:val="0070799B"/>
    <w:rsid w:val="00707A51"/>
    <w:rsid w:val="00710025"/>
    <w:rsid w:val="00710947"/>
    <w:rsid w:val="00710A41"/>
    <w:rsid w:val="00710A6E"/>
    <w:rsid w:val="00710C2B"/>
    <w:rsid w:val="00710E2F"/>
    <w:rsid w:val="00710EE4"/>
    <w:rsid w:val="00711957"/>
    <w:rsid w:val="00711960"/>
    <w:rsid w:val="00711BA7"/>
    <w:rsid w:val="00711D49"/>
    <w:rsid w:val="00711DB4"/>
    <w:rsid w:val="00711F02"/>
    <w:rsid w:val="00711F07"/>
    <w:rsid w:val="00711F36"/>
    <w:rsid w:val="0071219D"/>
    <w:rsid w:val="00712314"/>
    <w:rsid w:val="007123A5"/>
    <w:rsid w:val="00712982"/>
    <w:rsid w:val="00712C47"/>
    <w:rsid w:val="00712E68"/>
    <w:rsid w:val="00712F72"/>
    <w:rsid w:val="0071311D"/>
    <w:rsid w:val="007131A6"/>
    <w:rsid w:val="0071339C"/>
    <w:rsid w:val="0071348A"/>
    <w:rsid w:val="007138D4"/>
    <w:rsid w:val="00713988"/>
    <w:rsid w:val="00713B39"/>
    <w:rsid w:val="00713F7C"/>
    <w:rsid w:val="00713FC3"/>
    <w:rsid w:val="007144EB"/>
    <w:rsid w:val="00714749"/>
    <w:rsid w:val="007149D1"/>
    <w:rsid w:val="00714BAC"/>
    <w:rsid w:val="00715081"/>
    <w:rsid w:val="007157C1"/>
    <w:rsid w:val="00715B99"/>
    <w:rsid w:val="00715D83"/>
    <w:rsid w:val="00715DB5"/>
    <w:rsid w:val="007160C4"/>
    <w:rsid w:val="0071612E"/>
    <w:rsid w:val="0071619B"/>
    <w:rsid w:val="00716B9D"/>
    <w:rsid w:val="00716C47"/>
    <w:rsid w:val="00716F7E"/>
    <w:rsid w:val="007171F8"/>
    <w:rsid w:val="0071763F"/>
    <w:rsid w:val="007176EA"/>
    <w:rsid w:val="007179FE"/>
    <w:rsid w:val="00717FB9"/>
    <w:rsid w:val="00717FCA"/>
    <w:rsid w:val="00720556"/>
    <w:rsid w:val="00720577"/>
    <w:rsid w:val="00720708"/>
    <w:rsid w:val="007207A1"/>
    <w:rsid w:val="007207E7"/>
    <w:rsid w:val="007208B0"/>
    <w:rsid w:val="007209E3"/>
    <w:rsid w:val="00720B48"/>
    <w:rsid w:val="00720B60"/>
    <w:rsid w:val="00720D4D"/>
    <w:rsid w:val="00721416"/>
    <w:rsid w:val="00721573"/>
    <w:rsid w:val="00721671"/>
    <w:rsid w:val="0072198D"/>
    <w:rsid w:val="00721BB2"/>
    <w:rsid w:val="007221AF"/>
    <w:rsid w:val="00722D53"/>
    <w:rsid w:val="00722F2E"/>
    <w:rsid w:val="00723379"/>
    <w:rsid w:val="00723BC9"/>
    <w:rsid w:val="00723C0A"/>
    <w:rsid w:val="00724182"/>
    <w:rsid w:val="00725496"/>
    <w:rsid w:val="007256A5"/>
    <w:rsid w:val="0072577A"/>
    <w:rsid w:val="007258B9"/>
    <w:rsid w:val="00725964"/>
    <w:rsid w:val="00725B2A"/>
    <w:rsid w:val="00725B70"/>
    <w:rsid w:val="00725FAD"/>
    <w:rsid w:val="00726295"/>
    <w:rsid w:val="007263C2"/>
    <w:rsid w:val="007263DB"/>
    <w:rsid w:val="00726899"/>
    <w:rsid w:val="00726C86"/>
    <w:rsid w:val="00726CA4"/>
    <w:rsid w:val="00726CB9"/>
    <w:rsid w:val="00727067"/>
    <w:rsid w:val="00727237"/>
    <w:rsid w:val="00727717"/>
    <w:rsid w:val="0072774B"/>
    <w:rsid w:val="0072790D"/>
    <w:rsid w:val="00727975"/>
    <w:rsid w:val="00727A97"/>
    <w:rsid w:val="00727E48"/>
    <w:rsid w:val="00727EF1"/>
    <w:rsid w:val="00730107"/>
    <w:rsid w:val="0073016A"/>
    <w:rsid w:val="00730215"/>
    <w:rsid w:val="0073034A"/>
    <w:rsid w:val="007304A7"/>
    <w:rsid w:val="0073066A"/>
    <w:rsid w:val="00730BD7"/>
    <w:rsid w:val="00730DD4"/>
    <w:rsid w:val="00730DF4"/>
    <w:rsid w:val="00730FEA"/>
    <w:rsid w:val="0073105F"/>
    <w:rsid w:val="00731D5A"/>
    <w:rsid w:val="007323A5"/>
    <w:rsid w:val="0073254B"/>
    <w:rsid w:val="00732553"/>
    <w:rsid w:val="00732929"/>
    <w:rsid w:val="00732B42"/>
    <w:rsid w:val="00732BE5"/>
    <w:rsid w:val="00732DB6"/>
    <w:rsid w:val="007332A0"/>
    <w:rsid w:val="0073355E"/>
    <w:rsid w:val="00733741"/>
    <w:rsid w:val="0073396C"/>
    <w:rsid w:val="00733A09"/>
    <w:rsid w:val="00734188"/>
    <w:rsid w:val="007342EE"/>
    <w:rsid w:val="00734485"/>
    <w:rsid w:val="007346FD"/>
    <w:rsid w:val="007349F8"/>
    <w:rsid w:val="00734B86"/>
    <w:rsid w:val="00734D83"/>
    <w:rsid w:val="00735212"/>
    <w:rsid w:val="00735333"/>
    <w:rsid w:val="0073549E"/>
    <w:rsid w:val="007356BD"/>
    <w:rsid w:val="007356E0"/>
    <w:rsid w:val="00735738"/>
    <w:rsid w:val="00735A5A"/>
    <w:rsid w:val="00735BBB"/>
    <w:rsid w:val="00735D55"/>
    <w:rsid w:val="00736CC9"/>
    <w:rsid w:val="00736D4A"/>
    <w:rsid w:val="00736DF0"/>
    <w:rsid w:val="00736FB8"/>
    <w:rsid w:val="007372CF"/>
    <w:rsid w:val="00737323"/>
    <w:rsid w:val="0073745C"/>
    <w:rsid w:val="007379B0"/>
    <w:rsid w:val="007379F3"/>
    <w:rsid w:val="00737A4B"/>
    <w:rsid w:val="00737B4C"/>
    <w:rsid w:val="00737C21"/>
    <w:rsid w:val="00737E3F"/>
    <w:rsid w:val="00737F64"/>
    <w:rsid w:val="00737F9F"/>
    <w:rsid w:val="007404AE"/>
    <w:rsid w:val="0074081B"/>
    <w:rsid w:val="00740C51"/>
    <w:rsid w:val="00741330"/>
    <w:rsid w:val="007414FE"/>
    <w:rsid w:val="00741D5C"/>
    <w:rsid w:val="00742215"/>
    <w:rsid w:val="00742385"/>
    <w:rsid w:val="00742543"/>
    <w:rsid w:val="0074263A"/>
    <w:rsid w:val="00742952"/>
    <w:rsid w:val="00742DE1"/>
    <w:rsid w:val="00742E4B"/>
    <w:rsid w:val="00742ED6"/>
    <w:rsid w:val="007432D1"/>
    <w:rsid w:val="00743573"/>
    <w:rsid w:val="007436E0"/>
    <w:rsid w:val="00743902"/>
    <w:rsid w:val="00743EEA"/>
    <w:rsid w:val="00743F41"/>
    <w:rsid w:val="00744079"/>
    <w:rsid w:val="007444F2"/>
    <w:rsid w:val="0074466A"/>
    <w:rsid w:val="007446FB"/>
    <w:rsid w:val="00744B8B"/>
    <w:rsid w:val="00744EAE"/>
    <w:rsid w:val="0074508C"/>
    <w:rsid w:val="0074533B"/>
    <w:rsid w:val="0074579C"/>
    <w:rsid w:val="00745F58"/>
    <w:rsid w:val="00746001"/>
    <w:rsid w:val="00746211"/>
    <w:rsid w:val="007462D9"/>
    <w:rsid w:val="0074681D"/>
    <w:rsid w:val="007468D2"/>
    <w:rsid w:val="00746B0A"/>
    <w:rsid w:val="00746E0C"/>
    <w:rsid w:val="007475CB"/>
    <w:rsid w:val="0074771C"/>
    <w:rsid w:val="007478A9"/>
    <w:rsid w:val="00747A62"/>
    <w:rsid w:val="00747D13"/>
    <w:rsid w:val="0075009F"/>
    <w:rsid w:val="00750291"/>
    <w:rsid w:val="00750377"/>
    <w:rsid w:val="00750971"/>
    <w:rsid w:val="007509E1"/>
    <w:rsid w:val="00750FF9"/>
    <w:rsid w:val="007517BE"/>
    <w:rsid w:val="0075190E"/>
    <w:rsid w:val="00751939"/>
    <w:rsid w:val="0075262E"/>
    <w:rsid w:val="0075294C"/>
    <w:rsid w:val="00752BED"/>
    <w:rsid w:val="00752C19"/>
    <w:rsid w:val="00752CAB"/>
    <w:rsid w:val="007531FB"/>
    <w:rsid w:val="0075322F"/>
    <w:rsid w:val="0075358B"/>
    <w:rsid w:val="00753AAA"/>
    <w:rsid w:val="00753C62"/>
    <w:rsid w:val="007540F1"/>
    <w:rsid w:val="0075470D"/>
    <w:rsid w:val="007550F5"/>
    <w:rsid w:val="00755471"/>
    <w:rsid w:val="00755521"/>
    <w:rsid w:val="00755AF8"/>
    <w:rsid w:val="00755C0D"/>
    <w:rsid w:val="00755E24"/>
    <w:rsid w:val="00756159"/>
    <w:rsid w:val="0075615E"/>
    <w:rsid w:val="0075631F"/>
    <w:rsid w:val="007565D8"/>
    <w:rsid w:val="00756C3D"/>
    <w:rsid w:val="00756D78"/>
    <w:rsid w:val="0075752A"/>
    <w:rsid w:val="0075773F"/>
    <w:rsid w:val="00757853"/>
    <w:rsid w:val="00757BD5"/>
    <w:rsid w:val="00757D4C"/>
    <w:rsid w:val="007602AB"/>
    <w:rsid w:val="007607EB"/>
    <w:rsid w:val="00760A0B"/>
    <w:rsid w:val="00760BE7"/>
    <w:rsid w:val="00760D60"/>
    <w:rsid w:val="00761026"/>
    <w:rsid w:val="00761676"/>
    <w:rsid w:val="00761683"/>
    <w:rsid w:val="007617FB"/>
    <w:rsid w:val="00761B11"/>
    <w:rsid w:val="00761BEF"/>
    <w:rsid w:val="00761D5D"/>
    <w:rsid w:val="00761DA0"/>
    <w:rsid w:val="00761F79"/>
    <w:rsid w:val="00761F9D"/>
    <w:rsid w:val="0076200E"/>
    <w:rsid w:val="007628E4"/>
    <w:rsid w:val="00762BBF"/>
    <w:rsid w:val="00762D4F"/>
    <w:rsid w:val="00762E0F"/>
    <w:rsid w:val="00762E25"/>
    <w:rsid w:val="00762E28"/>
    <w:rsid w:val="00762F65"/>
    <w:rsid w:val="00763181"/>
    <w:rsid w:val="00763740"/>
    <w:rsid w:val="0076385F"/>
    <w:rsid w:val="00763913"/>
    <w:rsid w:val="00763BB5"/>
    <w:rsid w:val="00763D66"/>
    <w:rsid w:val="0076432B"/>
    <w:rsid w:val="007643E7"/>
    <w:rsid w:val="007646A0"/>
    <w:rsid w:val="007647CB"/>
    <w:rsid w:val="007648AD"/>
    <w:rsid w:val="00764953"/>
    <w:rsid w:val="00764A42"/>
    <w:rsid w:val="00764C7D"/>
    <w:rsid w:val="0076530F"/>
    <w:rsid w:val="00765345"/>
    <w:rsid w:val="007654E0"/>
    <w:rsid w:val="0076552D"/>
    <w:rsid w:val="00765818"/>
    <w:rsid w:val="00765B8A"/>
    <w:rsid w:val="00765C55"/>
    <w:rsid w:val="00765D43"/>
    <w:rsid w:val="00766492"/>
    <w:rsid w:val="007666B0"/>
    <w:rsid w:val="00766732"/>
    <w:rsid w:val="007668B8"/>
    <w:rsid w:val="00766D28"/>
    <w:rsid w:val="0076704C"/>
    <w:rsid w:val="007672BA"/>
    <w:rsid w:val="007673E7"/>
    <w:rsid w:val="00767408"/>
    <w:rsid w:val="0076765B"/>
    <w:rsid w:val="007677EB"/>
    <w:rsid w:val="007679AC"/>
    <w:rsid w:val="00767BE0"/>
    <w:rsid w:val="00767BE5"/>
    <w:rsid w:val="00767D5F"/>
    <w:rsid w:val="00770445"/>
    <w:rsid w:val="00770563"/>
    <w:rsid w:val="00770694"/>
    <w:rsid w:val="007706BD"/>
    <w:rsid w:val="007707B2"/>
    <w:rsid w:val="00770C4D"/>
    <w:rsid w:val="00770E60"/>
    <w:rsid w:val="00770F32"/>
    <w:rsid w:val="00770FF6"/>
    <w:rsid w:val="007710BC"/>
    <w:rsid w:val="007716A7"/>
    <w:rsid w:val="007717D8"/>
    <w:rsid w:val="00771892"/>
    <w:rsid w:val="00771ACA"/>
    <w:rsid w:val="00771DB4"/>
    <w:rsid w:val="007721FD"/>
    <w:rsid w:val="00772253"/>
    <w:rsid w:val="007722A3"/>
    <w:rsid w:val="00772498"/>
    <w:rsid w:val="00772511"/>
    <w:rsid w:val="00772754"/>
    <w:rsid w:val="007729EC"/>
    <w:rsid w:val="00772AA8"/>
    <w:rsid w:val="00772CE1"/>
    <w:rsid w:val="00772FE8"/>
    <w:rsid w:val="0077323F"/>
    <w:rsid w:val="00773564"/>
    <w:rsid w:val="007737E6"/>
    <w:rsid w:val="00773893"/>
    <w:rsid w:val="00773E16"/>
    <w:rsid w:val="00774268"/>
    <w:rsid w:val="0077449B"/>
    <w:rsid w:val="00775228"/>
    <w:rsid w:val="0077529A"/>
    <w:rsid w:val="00775317"/>
    <w:rsid w:val="00775543"/>
    <w:rsid w:val="0077562B"/>
    <w:rsid w:val="0077564E"/>
    <w:rsid w:val="00775A05"/>
    <w:rsid w:val="00775D35"/>
    <w:rsid w:val="00775FD8"/>
    <w:rsid w:val="00776280"/>
    <w:rsid w:val="007764FB"/>
    <w:rsid w:val="0077661E"/>
    <w:rsid w:val="007767B9"/>
    <w:rsid w:val="00776A5C"/>
    <w:rsid w:val="00776DA8"/>
    <w:rsid w:val="00776DFF"/>
    <w:rsid w:val="00776E3C"/>
    <w:rsid w:val="007771A5"/>
    <w:rsid w:val="007771A8"/>
    <w:rsid w:val="00777418"/>
    <w:rsid w:val="00777548"/>
    <w:rsid w:val="007778CE"/>
    <w:rsid w:val="007778F2"/>
    <w:rsid w:val="007779BB"/>
    <w:rsid w:val="00777B87"/>
    <w:rsid w:val="00777CED"/>
    <w:rsid w:val="00777D32"/>
    <w:rsid w:val="00780BAA"/>
    <w:rsid w:val="007811E7"/>
    <w:rsid w:val="007812C2"/>
    <w:rsid w:val="00781459"/>
    <w:rsid w:val="00781DB5"/>
    <w:rsid w:val="00781E5C"/>
    <w:rsid w:val="00782350"/>
    <w:rsid w:val="00782474"/>
    <w:rsid w:val="0078270A"/>
    <w:rsid w:val="00782A25"/>
    <w:rsid w:val="00782A3E"/>
    <w:rsid w:val="00782ABE"/>
    <w:rsid w:val="00782EB1"/>
    <w:rsid w:val="00782FF4"/>
    <w:rsid w:val="0078318E"/>
    <w:rsid w:val="00783604"/>
    <w:rsid w:val="00783865"/>
    <w:rsid w:val="00783B1C"/>
    <w:rsid w:val="00783B94"/>
    <w:rsid w:val="00783E6C"/>
    <w:rsid w:val="00784015"/>
    <w:rsid w:val="00784355"/>
    <w:rsid w:val="00784600"/>
    <w:rsid w:val="0078493C"/>
    <w:rsid w:val="00784DEA"/>
    <w:rsid w:val="00785383"/>
    <w:rsid w:val="00785531"/>
    <w:rsid w:val="007857AB"/>
    <w:rsid w:val="00785B94"/>
    <w:rsid w:val="007860C4"/>
    <w:rsid w:val="00786141"/>
    <w:rsid w:val="0078673B"/>
    <w:rsid w:val="007869DF"/>
    <w:rsid w:val="00786B36"/>
    <w:rsid w:val="00786BE7"/>
    <w:rsid w:val="00787527"/>
    <w:rsid w:val="0078764C"/>
    <w:rsid w:val="00787652"/>
    <w:rsid w:val="00787675"/>
    <w:rsid w:val="00787992"/>
    <w:rsid w:val="00787A4D"/>
    <w:rsid w:val="00787BB9"/>
    <w:rsid w:val="00787DDC"/>
    <w:rsid w:val="00787E5D"/>
    <w:rsid w:val="00787ED0"/>
    <w:rsid w:val="00790150"/>
    <w:rsid w:val="007903BE"/>
    <w:rsid w:val="00790674"/>
    <w:rsid w:val="00790D0C"/>
    <w:rsid w:val="00790D21"/>
    <w:rsid w:val="00790D22"/>
    <w:rsid w:val="00790F8C"/>
    <w:rsid w:val="007911CE"/>
    <w:rsid w:val="007911EA"/>
    <w:rsid w:val="00791819"/>
    <w:rsid w:val="00791C0B"/>
    <w:rsid w:val="00791C13"/>
    <w:rsid w:val="00791C35"/>
    <w:rsid w:val="00791D76"/>
    <w:rsid w:val="00792365"/>
    <w:rsid w:val="00792717"/>
    <w:rsid w:val="0079330D"/>
    <w:rsid w:val="00793365"/>
    <w:rsid w:val="00793657"/>
    <w:rsid w:val="00793F34"/>
    <w:rsid w:val="00793FFF"/>
    <w:rsid w:val="007943C6"/>
    <w:rsid w:val="007944FF"/>
    <w:rsid w:val="0079454B"/>
    <w:rsid w:val="00794ABC"/>
    <w:rsid w:val="00794BF5"/>
    <w:rsid w:val="00794C1C"/>
    <w:rsid w:val="00794EEC"/>
    <w:rsid w:val="00795110"/>
    <w:rsid w:val="00795587"/>
    <w:rsid w:val="00795C73"/>
    <w:rsid w:val="00795E26"/>
    <w:rsid w:val="00795EB4"/>
    <w:rsid w:val="00796380"/>
    <w:rsid w:val="00796547"/>
    <w:rsid w:val="00796740"/>
    <w:rsid w:val="00796880"/>
    <w:rsid w:val="00796ADD"/>
    <w:rsid w:val="00796E33"/>
    <w:rsid w:val="00796F9C"/>
    <w:rsid w:val="0079707D"/>
    <w:rsid w:val="007973F2"/>
    <w:rsid w:val="007977A2"/>
    <w:rsid w:val="007977A8"/>
    <w:rsid w:val="00797F4C"/>
    <w:rsid w:val="007A00C0"/>
    <w:rsid w:val="007A014C"/>
    <w:rsid w:val="007A03CC"/>
    <w:rsid w:val="007A0500"/>
    <w:rsid w:val="007A0696"/>
    <w:rsid w:val="007A0767"/>
    <w:rsid w:val="007A113D"/>
    <w:rsid w:val="007A175B"/>
    <w:rsid w:val="007A17AC"/>
    <w:rsid w:val="007A1CE7"/>
    <w:rsid w:val="007A2337"/>
    <w:rsid w:val="007A2475"/>
    <w:rsid w:val="007A2898"/>
    <w:rsid w:val="007A2D03"/>
    <w:rsid w:val="007A2EED"/>
    <w:rsid w:val="007A30E2"/>
    <w:rsid w:val="007A3144"/>
    <w:rsid w:val="007A32D4"/>
    <w:rsid w:val="007A3472"/>
    <w:rsid w:val="007A368B"/>
    <w:rsid w:val="007A3B74"/>
    <w:rsid w:val="007A3BD7"/>
    <w:rsid w:val="007A3F15"/>
    <w:rsid w:val="007A3F5A"/>
    <w:rsid w:val="007A4046"/>
    <w:rsid w:val="007A40CC"/>
    <w:rsid w:val="007A4170"/>
    <w:rsid w:val="007A42F6"/>
    <w:rsid w:val="007A457C"/>
    <w:rsid w:val="007A4670"/>
    <w:rsid w:val="007A4AAA"/>
    <w:rsid w:val="007A4D2C"/>
    <w:rsid w:val="007A4D98"/>
    <w:rsid w:val="007A508A"/>
    <w:rsid w:val="007A5664"/>
    <w:rsid w:val="007A5737"/>
    <w:rsid w:val="007A5AA9"/>
    <w:rsid w:val="007A5AC2"/>
    <w:rsid w:val="007A62CE"/>
    <w:rsid w:val="007A65EB"/>
    <w:rsid w:val="007A663A"/>
    <w:rsid w:val="007A6810"/>
    <w:rsid w:val="007A6ACF"/>
    <w:rsid w:val="007A6D28"/>
    <w:rsid w:val="007A722D"/>
    <w:rsid w:val="007A7343"/>
    <w:rsid w:val="007A75EE"/>
    <w:rsid w:val="007A7601"/>
    <w:rsid w:val="007A7610"/>
    <w:rsid w:val="007A7C8A"/>
    <w:rsid w:val="007A7D00"/>
    <w:rsid w:val="007A7E9D"/>
    <w:rsid w:val="007B00A8"/>
    <w:rsid w:val="007B0389"/>
    <w:rsid w:val="007B04E1"/>
    <w:rsid w:val="007B0542"/>
    <w:rsid w:val="007B0AE7"/>
    <w:rsid w:val="007B0D69"/>
    <w:rsid w:val="007B1277"/>
    <w:rsid w:val="007B12CD"/>
    <w:rsid w:val="007B1384"/>
    <w:rsid w:val="007B18E8"/>
    <w:rsid w:val="007B1B12"/>
    <w:rsid w:val="007B1C28"/>
    <w:rsid w:val="007B1F5F"/>
    <w:rsid w:val="007B1F9A"/>
    <w:rsid w:val="007B2073"/>
    <w:rsid w:val="007B2075"/>
    <w:rsid w:val="007B22ED"/>
    <w:rsid w:val="007B2451"/>
    <w:rsid w:val="007B2592"/>
    <w:rsid w:val="007B25BA"/>
    <w:rsid w:val="007B270D"/>
    <w:rsid w:val="007B2BE3"/>
    <w:rsid w:val="007B2C78"/>
    <w:rsid w:val="007B330A"/>
    <w:rsid w:val="007B372D"/>
    <w:rsid w:val="007B3806"/>
    <w:rsid w:val="007B3884"/>
    <w:rsid w:val="007B3976"/>
    <w:rsid w:val="007B3A60"/>
    <w:rsid w:val="007B3D18"/>
    <w:rsid w:val="007B3D91"/>
    <w:rsid w:val="007B3E12"/>
    <w:rsid w:val="007B419F"/>
    <w:rsid w:val="007B4200"/>
    <w:rsid w:val="007B4222"/>
    <w:rsid w:val="007B46C9"/>
    <w:rsid w:val="007B473B"/>
    <w:rsid w:val="007B4758"/>
    <w:rsid w:val="007B4789"/>
    <w:rsid w:val="007B4A45"/>
    <w:rsid w:val="007B4BE3"/>
    <w:rsid w:val="007B4EC6"/>
    <w:rsid w:val="007B509D"/>
    <w:rsid w:val="007B5231"/>
    <w:rsid w:val="007B5724"/>
    <w:rsid w:val="007B585E"/>
    <w:rsid w:val="007B5BA6"/>
    <w:rsid w:val="007B6AF6"/>
    <w:rsid w:val="007B6B06"/>
    <w:rsid w:val="007B6CAC"/>
    <w:rsid w:val="007B6FF1"/>
    <w:rsid w:val="007B730D"/>
    <w:rsid w:val="007B74AD"/>
    <w:rsid w:val="007B77FA"/>
    <w:rsid w:val="007B7959"/>
    <w:rsid w:val="007B7D06"/>
    <w:rsid w:val="007B7D69"/>
    <w:rsid w:val="007C02DD"/>
    <w:rsid w:val="007C075E"/>
    <w:rsid w:val="007C0A47"/>
    <w:rsid w:val="007C0E91"/>
    <w:rsid w:val="007C14C8"/>
    <w:rsid w:val="007C1590"/>
    <w:rsid w:val="007C18C0"/>
    <w:rsid w:val="007C1B1E"/>
    <w:rsid w:val="007C1D86"/>
    <w:rsid w:val="007C1F85"/>
    <w:rsid w:val="007C263E"/>
    <w:rsid w:val="007C2671"/>
    <w:rsid w:val="007C2764"/>
    <w:rsid w:val="007C28FD"/>
    <w:rsid w:val="007C2E5D"/>
    <w:rsid w:val="007C2F3C"/>
    <w:rsid w:val="007C30D3"/>
    <w:rsid w:val="007C3480"/>
    <w:rsid w:val="007C363E"/>
    <w:rsid w:val="007C366B"/>
    <w:rsid w:val="007C36A4"/>
    <w:rsid w:val="007C36FA"/>
    <w:rsid w:val="007C3C01"/>
    <w:rsid w:val="007C3C68"/>
    <w:rsid w:val="007C4082"/>
    <w:rsid w:val="007C40F2"/>
    <w:rsid w:val="007C418E"/>
    <w:rsid w:val="007C424D"/>
    <w:rsid w:val="007C4952"/>
    <w:rsid w:val="007C4A23"/>
    <w:rsid w:val="007C4EAE"/>
    <w:rsid w:val="007C4F56"/>
    <w:rsid w:val="007C4FD6"/>
    <w:rsid w:val="007C51BB"/>
    <w:rsid w:val="007C52BA"/>
    <w:rsid w:val="007C549B"/>
    <w:rsid w:val="007C59E7"/>
    <w:rsid w:val="007C5F11"/>
    <w:rsid w:val="007C6063"/>
    <w:rsid w:val="007C642C"/>
    <w:rsid w:val="007C65AC"/>
    <w:rsid w:val="007C6655"/>
    <w:rsid w:val="007C6C21"/>
    <w:rsid w:val="007C6C5A"/>
    <w:rsid w:val="007C6DFC"/>
    <w:rsid w:val="007C7060"/>
    <w:rsid w:val="007C73B9"/>
    <w:rsid w:val="007C7408"/>
    <w:rsid w:val="007C7A8D"/>
    <w:rsid w:val="007C7B58"/>
    <w:rsid w:val="007C7CFF"/>
    <w:rsid w:val="007C7E91"/>
    <w:rsid w:val="007C7F71"/>
    <w:rsid w:val="007D001D"/>
    <w:rsid w:val="007D012A"/>
    <w:rsid w:val="007D0196"/>
    <w:rsid w:val="007D052E"/>
    <w:rsid w:val="007D0823"/>
    <w:rsid w:val="007D1585"/>
    <w:rsid w:val="007D16D8"/>
    <w:rsid w:val="007D17D2"/>
    <w:rsid w:val="007D180F"/>
    <w:rsid w:val="007D1DA2"/>
    <w:rsid w:val="007D2016"/>
    <w:rsid w:val="007D23C3"/>
    <w:rsid w:val="007D25CF"/>
    <w:rsid w:val="007D2AF4"/>
    <w:rsid w:val="007D2B7C"/>
    <w:rsid w:val="007D30F0"/>
    <w:rsid w:val="007D3399"/>
    <w:rsid w:val="007D33A5"/>
    <w:rsid w:val="007D3652"/>
    <w:rsid w:val="007D36B3"/>
    <w:rsid w:val="007D3930"/>
    <w:rsid w:val="007D39EA"/>
    <w:rsid w:val="007D3DFE"/>
    <w:rsid w:val="007D42B0"/>
    <w:rsid w:val="007D47DD"/>
    <w:rsid w:val="007D51BC"/>
    <w:rsid w:val="007D5482"/>
    <w:rsid w:val="007D5CA5"/>
    <w:rsid w:val="007D5CBF"/>
    <w:rsid w:val="007D63CB"/>
    <w:rsid w:val="007D677A"/>
    <w:rsid w:val="007D67EA"/>
    <w:rsid w:val="007D6D50"/>
    <w:rsid w:val="007D6E40"/>
    <w:rsid w:val="007D7271"/>
    <w:rsid w:val="007D79BD"/>
    <w:rsid w:val="007D7D40"/>
    <w:rsid w:val="007D7E4A"/>
    <w:rsid w:val="007D7E56"/>
    <w:rsid w:val="007E015A"/>
    <w:rsid w:val="007E060A"/>
    <w:rsid w:val="007E072C"/>
    <w:rsid w:val="007E07E3"/>
    <w:rsid w:val="007E0863"/>
    <w:rsid w:val="007E090B"/>
    <w:rsid w:val="007E0A22"/>
    <w:rsid w:val="007E0BCB"/>
    <w:rsid w:val="007E0C70"/>
    <w:rsid w:val="007E1082"/>
    <w:rsid w:val="007E1216"/>
    <w:rsid w:val="007E1504"/>
    <w:rsid w:val="007E155D"/>
    <w:rsid w:val="007E1733"/>
    <w:rsid w:val="007E1772"/>
    <w:rsid w:val="007E1A3A"/>
    <w:rsid w:val="007E1D07"/>
    <w:rsid w:val="007E1DC3"/>
    <w:rsid w:val="007E265E"/>
    <w:rsid w:val="007E2757"/>
    <w:rsid w:val="007E2EDE"/>
    <w:rsid w:val="007E35BB"/>
    <w:rsid w:val="007E36F4"/>
    <w:rsid w:val="007E3BA8"/>
    <w:rsid w:val="007E3C01"/>
    <w:rsid w:val="007E3D2D"/>
    <w:rsid w:val="007E3F13"/>
    <w:rsid w:val="007E4156"/>
    <w:rsid w:val="007E4328"/>
    <w:rsid w:val="007E459E"/>
    <w:rsid w:val="007E45A0"/>
    <w:rsid w:val="007E4B5E"/>
    <w:rsid w:val="007E5739"/>
    <w:rsid w:val="007E5B2C"/>
    <w:rsid w:val="007E5C1A"/>
    <w:rsid w:val="007E5C3A"/>
    <w:rsid w:val="007E5D7B"/>
    <w:rsid w:val="007E5E0C"/>
    <w:rsid w:val="007E606B"/>
    <w:rsid w:val="007E6234"/>
    <w:rsid w:val="007E6265"/>
    <w:rsid w:val="007E652F"/>
    <w:rsid w:val="007E660E"/>
    <w:rsid w:val="007E66B6"/>
    <w:rsid w:val="007E68F0"/>
    <w:rsid w:val="007E6DD7"/>
    <w:rsid w:val="007E6F61"/>
    <w:rsid w:val="007E7066"/>
    <w:rsid w:val="007E7192"/>
    <w:rsid w:val="007E72BD"/>
    <w:rsid w:val="007E74F1"/>
    <w:rsid w:val="007E7A53"/>
    <w:rsid w:val="007E7CA3"/>
    <w:rsid w:val="007E7E79"/>
    <w:rsid w:val="007F00E8"/>
    <w:rsid w:val="007F012A"/>
    <w:rsid w:val="007F016A"/>
    <w:rsid w:val="007F01D6"/>
    <w:rsid w:val="007F0262"/>
    <w:rsid w:val="007F0451"/>
    <w:rsid w:val="007F04D5"/>
    <w:rsid w:val="007F07F8"/>
    <w:rsid w:val="007F095D"/>
    <w:rsid w:val="007F0D83"/>
    <w:rsid w:val="007F0E6C"/>
    <w:rsid w:val="007F12CB"/>
    <w:rsid w:val="007F131A"/>
    <w:rsid w:val="007F14DB"/>
    <w:rsid w:val="007F189A"/>
    <w:rsid w:val="007F18A6"/>
    <w:rsid w:val="007F19B9"/>
    <w:rsid w:val="007F1A50"/>
    <w:rsid w:val="007F1A57"/>
    <w:rsid w:val="007F1BE1"/>
    <w:rsid w:val="007F1C64"/>
    <w:rsid w:val="007F1F0F"/>
    <w:rsid w:val="007F20C9"/>
    <w:rsid w:val="007F2511"/>
    <w:rsid w:val="007F3022"/>
    <w:rsid w:val="007F34D0"/>
    <w:rsid w:val="007F3564"/>
    <w:rsid w:val="007F3D53"/>
    <w:rsid w:val="007F40A7"/>
    <w:rsid w:val="007F49FF"/>
    <w:rsid w:val="007F4B5D"/>
    <w:rsid w:val="007F4F14"/>
    <w:rsid w:val="007F4FF6"/>
    <w:rsid w:val="007F5181"/>
    <w:rsid w:val="007F5974"/>
    <w:rsid w:val="007F5FAD"/>
    <w:rsid w:val="007F60EE"/>
    <w:rsid w:val="007F6362"/>
    <w:rsid w:val="007F63A2"/>
    <w:rsid w:val="007F64AF"/>
    <w:rsid w:val="007F6587"/>
    <w:rsid w:val="007F65B5"/>
    <w:rsid w:val="007F67A5"/>
    <w:rsid w:val="007F6A0F"/>
    <w:rsid w:val="007F6EBF"/>
    <w:rsid w:val="007F751E"/>
    <w:rsid w:val="007F75D4"/>
    <w:rsid w:val="007F7660"/>
    <w:rsid w:val="007F78C2"/>
    <w:rsid w:val="007F79A3"/>
    <w:rsid w:val="007F79AA"/>
    <w:rsid w:val="007F7C43"/>
    <w:rsid w:val="007F7F2C"/>
    <w:rsid w:val="007F7FE7"/>
    <w:rsid w:val="008002EF"/>
    <w:rsid w:val="00800673"/>
    <w:rsid w:val="00800804"/>
    <w:rsid w:val="00800C9F"/>
    <w:rsid w:val="00800CE0"/>
    <w:rsid w:val="00800D5C"/>
    <w:rsid w:val="00801154"/>
    <w:rsid w:val="0080122A"/>
    <w:rsid w:val="008014A2"/>
    <w:rsid w:val="0080173B"/>
    <w:rsid w:val="00801AF7"/>
    <w:rsid w:val="00801E6B"/>
    <w:rsid w:val="008023BC"/>
    <w:rsid w:val="008023D2"/>
    <w:rsid w:val="008027DE"/>
    <w:rsid w:val="008032B6"/>
    <w:rsid w:val="00803304"/>
    <w:rsid w:val="00803311"/>
    <w:rsid w:val="0080341F"/>
    <w:rsid w:val="00803440"/>
    <w:rsid w:val="0080363A"/>
    <w:rsid w:val="00803642"/>
    <w:rsid w:val="008039CB"/>
    <w:rsid w:val="0080402E"/>
    <w:rsid w:val="00804273"/>
    <w:rsid w:val="00804455"/>
    <w:rsid w:val="008044B9"/>
    <w:rsid w:val="008048B1"/>
    <w:rsid w:val="0080494E"/>
    <w:rsid w:val="00804A92"/>
    <w:rsid w:val="00805A54"/>
    <w:rsid w:val="00805A6E"/>
    <w:rsid w:val="00805ACF"/>
    <w:rsid w:val="00805CBE"/>
    <w:rsid w:val="0080610C"/>
    <w:rsid w:val="00806249"/>
    <w:rsid w:val="008062B3"/>
    <w:rsid w:val="00806377"/>
    <w:rsid w:val="008063DE"/>
    <w:rsid w:val="008065F4"/>
    <w:rsid w:val="0080660D"/>
    <w:rsid w:val="008069D3"/>
    <w:rsid w:val="00806AAA"/>
    <w:rsid w:val="00806CB6"/>
    <w:rsid w:val="00806CF3"/>
    <w:rsid w:val="00806D6D"/>
    <w:rsid w:val="0080714A"/>
    <w:rsid w:val="0080774F"/>
    <w:rsid w:val="008079C4"/>
    <w:rsid w:val="00807A69"/>
    <w:rsid w:val="00807B84"/>
    <w:rsid w:val="00807C7B"/>
    <w:rsid w:val="00810292"/>
    <w:rsid w:val="008102F6"/>
    <w:rsid w:val="00810388"/>
    <w:rsid w:val="0081073F"/>
    <w:rsid w:val="00810B0D"/>
    <w:rsid w:val="00810DF7"/>
    <w:rsid w:val="00810F2D"/>
    <w:rsid w:val="00810F44"/>
    <w:rsid w:val="00811224"/>
    <w:rsid w:val="00811511"/>
    <w:rsid w:val="00811702"/>
    <w:rsid w:val="00811706"/>
    <w:rsid w:val="00811BA6"/>
    <w:rsid w:val="00811F04"/>
    <w:rsid w:val="00812272"/>
    <w:rsid w:val="008123D1"/>
    <w:rsid w:val="008125C3"/>
    <w:rsid w:val="00812768"/>
    <w:rsid w:val="00812988"/>
    <w:rsid w:val="00812A72"/>
    <w:rsid w:val="00812AB5"/>
    <w:rsid w:val="00812BCC"/>
    <w:rsid w:val="00812CC3"/>
    <w:rsid w:val="00812F2A"/>
    <w:rsid w:val="0081311D"/>
    <w:rsid w:val="00813257"/>
    <w:rsid w:val="0081342E"/>
    <w:rsid w:val="008135C6"/>
    <w:rsid w:val="008136F4"/>
    <w:rsid w:val="00813D73"/>
    <w:rsid w:val="00814022"/>
    <w:rsid w:val="008147D0"/>
    <w:rsid w:val="00814905"/>
    <w:rsid w:val="0081511F"/>
    <w:rsid w:val="00815376"/>
    <w:rsid w:val="00815C8A"/>
    <w:rsid w:val="00815EBD"/>
    <w:rsid w:val="00815F99"/>
    <w:rsid w:val="00815FB6"/>
    <w:rsid w:val="00816302"/>
    <w:rsid w:val="008164D2"/>
    <w:rsid w:val="0081668B"/>
    <w:rsid w:val="00816797"/>
    <w:rsid w:val="00816836"/>
    <w:rsid w:val="0081692F"/>
    <w:rsid w:val="00816A0C"/>
    <w:rsid w:val="00816BFF"/>
    <w:rsid w:val="00817012"/>
    <w:rsid w:val="0081705F"/>
    <w:rsid w:val="0081725F"/>
    <w:rsid w:val="008172C6"/>
    <w:rsid w:val="00817461"/>
    <w:rsid w:val="00817559"/>
    <w:rsid w:val="00817D1B"/>
    <w:rsid w:val="00817DF0"/>
    <w:rsid w:val="00820181"/>
    <w:rsid w:val="008209AF"/>
    <w:rsid w:val="00820BE8"/>
    <w:rsid w:val="00820C74"/>
    <w:rsid w:val="00820CF1"/>
    <w:rsid w:val="00820DF8"/>
    <w:rsid w:val="00820E49"/>
    <w:rsid w:val="00821022"/>
    <w:rsid w:val="008211EA"/>
    <w:rsid w:val="00821262"/>
    <w:rsid w:val="008214BC"/>
    <w:rsid w:val="0082150E"/>
    <w:rsid w:val="008216A2"/>
    <w:rsid w:val="00821700"/>
    <w:rsid w:val="0082191C"/>
    <w:rsid w:val="00821AB5"/>
    <w:rsid w:val="00821C7D"/>
    <w:rsid w:val="00821F4D"/>
    <w:rsid w:val="008220C8"/>
    <w:rsid w:val="008220DD"/>
    <w:rsid w:val="00822142"/>
    <w:rsid w:val="00822322"/>
    <w:rsid w:val="00822BCD"/>
    <w:rsid w:val="008231CF"/>
    <w:rsid w:val="00823814"/>
    <w:rsid w:val="0082391B"/>
    <w:rsid w:val="00823CD0"/>
    <w:rsid w:val="00824280"/>
    <w:rsid w:val="008242D1"/>
    <w:rsid w:val="0082436C"/>
    <w:rsid w:val="008244FB"/>
    <w:rsid w:val="00824793"/>
    <w:rsid w:val="00824831"/>
    <w:rsid w:val="00824DF5"/>
    <w:rsid w:val="00824EE0"/>
    <w:rsid w:val="008250C2"/>
    <w:rsid w:val="00825774"/>
    <w:rsid w:val="008258E7"/>
    <w:rsid w:val="00825A9C"/>
    <w:rsid w:val="00825D09"/>
    <w:rsid w:val="00825EB7"/>
    <w:rsid w:val="00826040"/>
    <w:rsid w:val="008261A0"/>
    <w:rsid w:val="008261C7"/>
    <w:rsid w:val="00826573"/>
    <w:rsid w:val="008266AA"/>
    <w:rsid w:val="00826ABC"/>
    <w:rsid w:val="008273F5"/>
    <w:rsid w:val="00827634"/>
    <w:rsid w:val="0082782C"/>
    <w:rsid w:val="00827B16"/>
    <w:rsid w:val="00827E20"/>
    <w:rsid w:val="00830770"/>
    <w:rsid w:val="00830A0E"/>
    <w:rsid w:val="00830B7E"/>
    <w:rsid w:val="00830FAD"/>
    <w:rsid w:val="00830FD4"/>
    <w:rsid w:val="008319F3"/>
    <w:rsid w:val="00831A4C"/>
    <w:rsid w:val="0083200C"/>
    <w:rsid w:val="0083296D"/>
    <w:rsid w:val="00832F41"/>
    <w:rsid w:val="00833247"/>
    <w:rsid w:val="0083333F"/>
    <w:rsid w:val="008335B7"/>
    <w:rsid w:val="00833677"/>
    <w:rsid w:val="00833AFD"/>
    <w:rsid w:val="00833CA7"/>
    <w:rsid w:val="00833E06"/>
    <w:rsid w:val="0083403C"/>
    <w:rsid w:val="00834358"/>
    <w:rsid w:val="00834784"/>
    <w:rsid w:val="00834BCF"/>
    <w:rsid w:val="00834C83"/>
    <w:rsid w:val="00834DF3"/>
    <w:rsid w:val="00834F06"/>
    <w:rsid w:val="0083537B"/>
    <w:rsid w:val="00835772"/>
    <w:rsid w:val="00835960"/>
    <w:rsid w:val="00835B82"/>
    <w:rsid w:val="00835DB4"/>
    <w:rsid w:val="00836183"/>
    <w:rsid w:val="0083622A"/>
    <w:rsid w:val="0083669E"/>
    <w:rsid w:val="0083675F"/>
    <w:rsid w:val="008371BD"/>
    <w:rsid w:val="0083731E"/>
    <w:rsid w:val="008375B6"/>
    <w:rsid w:val="008376D6"/>
    <w:rsid w:val="008376EA"/>
    <w:rsid w:val="00837A42"/>
    <w:rsid w:val="00837ABE"/>
    <w:rsid w:val="00837FC7"/>
    <w:rsid w:val="00837FE2"/>
    <w:rsid w:val="0083CDEC"/>
    <w:rsid w:val="008402C5"/>
    <w:rsid w:val="008402EF"/>
    <w:rsid w:val="00840535"/>
    <w:rsid w:val="0084077E"/>
    <w:rsid w:val="008407C5"/>
    <w:rsid w:val="00840839"/>
    <w:rsid w:val="00840C64"/>
    <w:rsid w:val="00840E51"/>
    <w:rsid w:val="0084150B"/>
    <w:rsid w:val="00841607"/>
    <w:rsid w:val="00841759"/>
    <w:rsid w:val="00841BB7"/>
    <w:rsid w:val="008421A8"/>
    <w:rsid w:val="008421B1"/>
    <w:rsid w:val="00842760"/>
    <w:rsid w:val="00843234"/>
    <w:rsid w:val="0084329B"/>
    <w:rsid w:val="0084377E"/>
    <w:rsid w:val="00843A3C"/>
    <w:rsid w:val="00843BFD"/>
    <w:rsid w:val="00843EED"/>
    <w:rsid w:val="00844092"/>
    <w:rsid w:val="00844195"/>
    <w:rsid w:val="0084433C"/>
    <w:rsid w:val="0084471D"/>
    <w:rsid w:val="00844778"/>
    <w:rsid w:val="00844C79"/>
    <w:rsid w:val="00844D3F"/>
    <w:rsid w:val="00844F2B"/>
    <w:rsid w:val="008450AE"/>
    <w:rsid w:val="00845237"/>
    <w:rsid w:val="00845368"/>
    <w:rsid w:val="00845419"/>
    <w:rsid w:val="008459C3"/>
    <w:rsid w:val="00845C8A"/>
    <w:rsid w:val="00845F39"/>
    <w:rsid w:val="008461CA"/>
    <w:rsid w:val="0084631D"/>
    <w:rsid w:val="008467D2"/>
    <w:rsid w:val="008468C8"/>
    <w:rsid w:val="008469A3"/>
    <w:rsid w:val="0084712C"/>
    <w:rsid w:val="008475B6"/>
    <w:rsid w:val="008477A8"/>
    <w:rsid w:val="00847C41"/>
    <w:rsid w:val="00847DAC"/>
    <w:rsid w:val="00847F36"/>
    <w:rsid w:val="0085010F"/>
    <w:rsid w:val="008505C7"/>
    <w:rsid w:val="0085060E"/>
    <w:rsid w:val="00850C38"/>
    <w:rsid w:val="00850FD1"/>
    <w:rsid w:val="00851188"/>
    <w:rsid w:val="008513EE"/>
    <w:rsid w:val="00851661"/>
    <w:rsid w:val="00851BBF"/>
    <w:rsid w:val="00851DB0"/>
    <w:rsid w:val="00852125"/>
    <w:rsid w:val="0085235F"/>
    <w:rsid w:val="008523E7"/>
    <w:rsid w:val="00852B8B"/>
    <w:rsid w:val="00852C3E"/>
    <w:rsid w:val="00852DEC"/>
    <w:rsid w:val="00853040"/>
    <w:rsid w:val="00853B84"/>
    <w:rsid w:val="00853CAE"/>
    <w:rsid w:val="00853EDC"/>
    <w:rsid w:val="00854280"/>
    <w:rsid w:val="00854373"/>
    <w:rsid w:val="008544B2"/>
    <w:rsid w:val="00854E0A"/>
    <w:rsid w:val="008557A5"/>
    <w:rsid w:val="0085592C"/>
    <w:rsid w:val="00855C1B"/>
    <w:rsid w:val="00855CFA"/>
    <w:rsid w:val="00855F00"/>
    <w:rsid w:val="00855F6F"/>
    <w:rsid w:val="00855FE4"/>
    <w:rsid w:val="00855FEC"/>
    <w:rsid w:val="00856296"/>
    <w:rsid w:val="008565A1"/>
    <w:rsid w:val="00856A3A"/>
    <w:rsid w:val="00856ACA"/>
    <w:rsid w:val="00856B8A"/>
    <w:rsid w:val="00856CB5"/>
    <w:rsid w:val="00856FEA"/>
    <w:rsid w:val="008579E3"/>
    <w:rsid w:val="00857BA6"/>
    <w:rsid w:val="00857DD3"/>
    <w:rsid w:val="00857E3B"/>
    <w:rsid w:val="008606C6"/>
    <w:rsid w:val="008606CE"/>
    <w:rsid w:val="008609BC"/>
    <w:rsid w:val="00860E1E"/>
    <w:rsid w:val="00860E4D"/>
    <w:rsid w:val="008612B3"/>
    <w:rsid w:val="00861AED"/>
    <w:rsid w:val="00861B54"/>
    <w:rsid w:val="0086211D"/>
    <w:rsid w:val="008622CF"/>
    <w:rsid w:val="00862A03"/>
    <w:rsid w:val="00862DEE"/>
    <w:rsid w:val="0086327A"/>
    <w:rsid w:val="008632F1"/>
    <w:rsid w:val="008633A0"/>
    <w:rsid w:val="008639A8"/>
    <w:rsid w:val="0086417C"/>
    <w:rsid w:val="00864A42"/>
    <w:rsid w:val="00865127"/>
    <w:rsid w:val="00865219"/>
    <w:rsid w:val="00865485"/>
    <w:rsid w:val="0086562A"/>
    <w:rsid w:val="008656C5"/>
    <w:rsid w:val="00865A0A"/>
    <w:rsid w:val="00865A2E"/>
    <w:rsid w:val="00865A84"/>
    <w:rsid w:val="00865C9C"/>
    <w:rsid w:val="00865CD6"/>
    <w:rsid w:val="00865D5B"/>
    <w:rsid w:val="008662AC"/>
    <w:rsid w:val="008669D5"/>
    <w:rsid w:val="00866BC6"/>
    <w:rsid w:val="00866BD4"/>
    <w:rsid w:val="008676FC"/>
    <w:rsid w:val="008678DB"/>
    <w:rsid w:val="008679FA"/>
    <w:rsid w:val="00867B35"/>
    <w:rsid w:val="00867E1E"/>
    <w:rsid w:val="00870285"/>
    <w:rsid w:val="00870563"/>
    <w:rsid w:val="008705E2"/>
    <w:rsid w:val="00870C14"/>
    <w:rsid w:val="00870E3B"/>
    <w:rsid w:val="008713EF"/>
    <w:rsid w:val="00871434"/>
    <w:rsid w:val="00871807"/>
    <w:rsid w:val="0087185C"/>
    <w:rsid w:val="008718D5"/>
    <w:rsid w:val="008718D9"/>
    <w:rsid w:val="00871C34"/>
    <w:rsid w:val="00871F3B"/>
    <w:rsid w:val="00872100"/>
    <w:rsid w:val="0087219A"/>
    <w:rsid w:val="008725BD"/>
    <w:rsid w:val="008729EF"/>
    <w:rsid w:val="00872AAB"/>
    <w:rsid w:val="00872CF2"/>
    <w:rsid w:val="00872CF9"/>
    <w:rsid w:val="00872D01"/>
    <w:rsid w:val="00872D21"/>
    <w:rsid w:val="00873310"/>
    <w:rsid w:val="008735DC"/>
    <w:rsid w:val="00873686"/>
    <w:rsid w:val="0087398B"/>
    <w:rsid w:val="00873A41"/>
    <w:rsid w:val="00873BC0"/>
    <w:rsid w:val="00873D40"/>
    <w:rsid w:val="00873DE1"/>
    <w:rsid w:val="00873E34"/>
    <w:rsid w:val="0087409A"/>
    <w:rsid w:val="008740B8"/>
    <w:rsid w:val="0087428D"/>
    <w:rsid w:val="00874431"/>
    <w:rsid w:val="00874568"/>
    <w:rsid w:val="00874C51"/>
    <w:rsid w:val="00874CDD"/>
    <w:rsid w:val="008759A2"/>
    <w:rsid w:val="00875BDB"/>
    <w:rsid w:val="008763FF"/>
    <w:rsid w:val="00876B66"/>
    <w:rsid w:val="008771E2"/>
    <w:rsid w:val="0087793B"/>
    <w:rsid w:val="00877AEC"/>
    <w:rsid w:val="00877E5C"/>
    <w:rsid w:val="00877F9A"/>
    <w:rsid w:val="0088014D"/>
    <w:rsid w:val="00880384"/>
    <w:rsid w:val="008809A9"/>
    <w:rsid w:val="00880C76"/>
    <w:rsid w:val="00880F00"/>
    <w:rsid w:val="008816CB"/>
    <w:rsid w:val="00881B45"/>
    <w:rsid w:val="00881C3A"/>
    <w:rsid w:val="00881FDC"/>
    <w:rsid w:val="008822B2"/>
    <w:rsid w:val="0088259A"/>
    <w:rsid w:val="00882678"/>
    <w:rsid w:val="00883461"/>
    <w:rsid w:val="008835DF"/>
    <w:rsid w:val="0088380F"/>
    <w:rsid w:val="0088387B"/>
    <w:rsid w:val="0088395D"/>
    <w:rsid w:val="008839DD"/>
    <w:rsid w:val="00883D12"/>
    <w:rsid w:val="0088435D"/>
    <w:rsid w:val="008847F6"/>
    <w:rsid w:val="008848D1"/>
    <w:rsid w:val="0088499C"/>
    <w:rsid w:val="00884A94"/>
    <w:rsid w:val="00884BA1"/>
    <w:rsid w:val="00885071"/>
    <w:rsid w:val="00885675"/>
    <w:rsid w:val="008856AC"/>
    <w:rsid w:val="008856B2"/>
    <w:rsid w:val="008858DF"/>
    <w:rsid w:val="008860C8"/>
    <w:rsid w:val="00886198"/>
    <w:rsid w:val="0088632F"/>
    <w:rsid w:val="008865A4"/>
    <w:rsid w:val="008865F6"/>
    <w:rsid w:val="00886AD6"/>
    <w:rsid w:val="00886CAB"/>
    <w:rsid w:val="00886F69"/>
    <w:rsid w:val="00886FA9"/>
    <w:rsid w:val="0088706C"/>
    <w:rsid w:val="00887136"/>
    <w:rsid w:val="008871BD"/>
    <w:rsid w:val="0088720F"/>
    <w:rsid w:val="008872B9"/>
    <w:rsid w:val="00887320"/>
    <w:rsid w:val="008873D4"/>
    <w:rsid w:val="0088763C"/>
    <w:rsid w:val="00887A75"/>
    <w:rsid w:val="00887AA7"/>
    <w:rsid w:val="00887E52"/>
    <w:rsid w:val="008900C8"/>
    <w:rsid w:val="00890593"/>
    <w:rsid w:val="008905FE"/>
    <w:rsid w:val="00890981"/>
    <w:rsid w:val="008909EA"/>
    <w:rsid w:val="00890A48"/>
    <w:rsid w:val="00890DF2"/>
    <w:rsid w:val="00890FAE"/>
    <w:rsid w:val="00891016"/>
    <w:rsid w:val="00891142"/>
    <w:rsid w:val="00891AAE"/>
    <w:rsid w:val="00891AD4"/>
    <w:rsid w:val="00891C41"/>
    <w:rsid w:val="00891D1D"/>
    <w:rsid w:val="00891F62"/>
    <w:rsid w:val="0089224A"/>
    <w:rsid w:val="008922C8"/>
    <w:rsid w:val="00892433"/>
    <w:rsid w:val="00892602"/>
    <w:rsid w:val="00892880"/>
    <w:rsid w:val="00892FA7"/>
    <w:rsid w:val="00893008"/>
    <w:rsid w:val="008935B3"/>
    <w:rsid w:val="00893610"/>
    <w:rsid w:val="008939C2"/>
    <w:rsid w:val="00893DB4"/>
    <w:rsid w:val="00894143"/>
    <w:rsid w:val="008942A2"/>
    <w:rsid w:val="0089499C"/>
    <w:rsid w:val="00894E30"/>
    <w:rsid w:val="00894E41"/>
    <w:rsid w:val="00894FCA"/>
    <w:rsid w:val="00895183"/>
    <w:rsid w:val="008952B1"/>
    <w:rsid w:val="00895318"/>
    <w:rsid w:val="008953E1"/>
    <w:rsid w:val="0089588C"/>
    <w:rsid w:val="00896161"/>
    <w:rsid w:val="0089639E"/>
    <w:rsid w:val="008965AE"/>
    <w:rsid w:val="008967AA"/>
    <w:rsid w:val="0089685B"/>
    <w:rsid w:val="00896A82"/>
    <w:rsid w:val="00896FFB"/>
    <w:rsid w:val="00897001"/>
    <w:rsid w:val="00897220"/>
    <w:rsid w:val="008973F9"/>
    <w:rsid w:val="00897446"/>
    <w:rsid w:val="0089744F"/>
    <w:rsid w:val="00897756"/>
    <w:rsid w:val="0089796E"/>
    <w:rsid w:val="008A00B2"/>
    <w:rsid w:val="008A02DB"/>
    <w:rsid w:val="008A054D"/>
    <w:rsid w:val="008A084B"/>
    <w:rsid w:val="008A08C0"/>
    <w:rsid w:val="008A191A"/>
    <w:rsid w:val="008A1A3C"/>
    <w:rsid w:val="008A1BF3"/>
    <w:rsid w:val="008A21F7"/>
    <w:rsid w:val="008A2385"/>
    <w:rsid w:val="008A28EE"/>
    <w:rsid w:val="008A2C40"/>
    <w:rsid w:val="008A3061"/>
    <w:rsid w:val="008A31A5"/>
    <w:rsid w:val="008A38B1"/>
    <w:rsid w:val="008A3B13"/>
    <w:rsid w:val="008A3F0B"/>
    <w:rsid w:val="008A422E"/>
    <w:rsid w:val="008A4382"/>
    <w:rsid w:val="008A477E"/>
    <w:rsid w:val="008A4CEC"/>
    <w:rsid w:val="008A4D96"/>
    <w:rsid w:val="008A52A4"/>
    <w:rsid w:val="008A52EC"/>
    <w:rsid w:val="008A57DA"/>
    <w:rsid w:val="008A6003"/>
    <w:rsid w:val="008A605F"/>
    <w:rsid w:val="008A61AA"/>
    <w:rsid w:val="008A62B1"/>
    <w:rsid w:val="008A69FB"/>
    <w:rsid w:val="008A6AE1"/>
    <w:rsid w:val="008A6AF4"/>
    <w:rsid w:val="008A6BE2"/>
    <w:rsid w:val="008A7072"/>
    <w:rsid w:val="008A70F3"/>
    <w:rsid w:val="008A7144"/>
    <w:rsid w:val="008A7153"/>
    <w:rsid w:val="008A7292"/>
    <w:rsid w:val="008A7734"/>
    <w:rsid w:val="008A7972"/>
    <w:rsid w:val="008A7C5A"/>
    <w:rsid w:val="008B019A"/>
    <w:rsid w:val="008B02B7"/>
    <w:rsid w:val="008B07BD"/>
    <w:rsid w:val="008B0828"/>
    <w:rsid w:val="008B0ACD"/>
    <w:rsid w:val="008B0E17"/>
    <w:rsid w:val="008B1142"/>
    <w:rsid w:val="008B1312"/>
    <w:rsid w:val="008B136B"/>
    <w:rsid w:val="008B16F1"/>
    <w:rsid w:val="008B1732"/>
    <w:rsid w:val="008B18B7"/>
    <w:rsid w:val="008B1916"/>
    <w:rsid w:val="008B1B7B"/>
    <w:rsid w:val="008B1F7D"/>
    <w:rsid w:val="008B27DE"/>
    <w:rsid w:val="008B326E"/>
    <w:rsid w:val="008B35DF"/>
    <w:rsid w:val="008B3B72"/>
    <w:rsid w:val="008B3E87"/>
    <w:rsid w:val="008B3F10"/>
    <w:rsid w:val="008B4534"/>
    <w:rsid w:val="008B462A"/>
    <w:rsid w:val="008B48C2"/>
    <w:rsid w:val="008B5589"/>
    <w:rsid w:val="008B5D1C"/>
    <w:rsid w:val="008B5D84"/>
    <w:rsid w:val="008B606D"/>
    <w:rsid w:val="008B6191"/>
    <w:rsid w:val="008B65EE"/>
    <w:rsid w:val="008B682F"/>
    <w:rsid w:val="008B68E8"/>
    <w:rsid w:val="008B6BBE"/>
    <w:rsid w:val="008B6BFD"/>
    <w:rsid w:val="008B6F35"/>
    <w:rsid w:val="008B6F49"/>
    <w:rsid w:val="008B6F69"/>
    <w:rsid w:val="008B6F9C"/>
    <w:rsid w:val="008B72DB"/>
    <w:rsid w:val="008B7431"/>
    <w:rsid w:val="008B76E6"/>
    <w:rsid w:val="008B7903"/>
    <w:rsid w:val="008C0297"/>
    <w:rsid w:val="008C061F"/>
    <w:rsid w:val="008C0A70"/>
    <w:rsid w:val="008C0BAF"/>
    <w:rsid w:val="008C0E05"/>
    <w:rsid w:val="008C0E57"/>
    <w:rsid w:val="008C1541"/>
    <w:rsid w:val="008C1ED0"/>
    <w:rsid w:val="008C2450"/>
    <w:rsid w:val="008C2556"/>
    <w:rsid w:val="008C25A3"/>
    <w:rsid w:val="008C2929"/>
    <w:rsid w:val="008C2B3C"/>
    <w:rsid w:val="008C2E22"/>
    <w:rsid w:val="008C2F02"/>
    <w:rsid w:val="008C309B"/>
    <w:rsid w:val="008C311E"/>
    <w:rsid w:val="008C3CF3"/>
    <w:rsid w:val="008C3E80"/>
    <w:rsid w:val="008C3ECB"/>
    <w:rsid w:val="008C41CF"/>
    <w:rsid w:val="008C43B1"/>
    <w:rsid w:val="008C477F"/>
    <w:rsid w:val="008C4C24"/>
    <w:rsid w:val="008C51EE"/>
    <w:rsid w:val="008C52D2"/>
    <w:rsid w:val="008C53A3"/>
    <w:rsid w:val="008C6293"/>
    <w:rsid w:val="008C6CF3"/>
    <w:rsid w:val="008C6FEA"/>
    <w:rsid w:val="008C7244"/>
    <w:rsid w:val="008C727F"/>
    <w:rsid w:val="008C7348"/>
    <w:rsid w:val="008C748D"/>
    <w:rsid w:val="008C7523"/>
    <w:rsid w:val="008C75EA"/>
    <w:rsid w:val="008C7705"/>
    <w:rsid w:val="008C78BB"/>
    <w:rsid w:val="008C7CF8"/>
    <w:rsid w:val="008C7D17"/>
    <w:rsid w:val="008C7E1F"/>
    <w:rsid w:val="008C7EB2"/>
    <w:rsid w:val="008D0498"/>
    <w:rsid w:val="008D05DC"/>
    <w:rsid w:val="008D06B2"/>
    <w:rsid w:val="008D06FF"/>
    <w:rsid w:val="008D0A09"/>
    <w:rsid w:val="008D0C76"/>
    <w:rsid w:val="008D0D82"/>
    <w:rsid w:val="008D11FC"/>
    <w:rsid w:val="008D12C7"/>
    <w:rsid w:val="008D1959"/>
    <w:rsid w:val="008D1A20"/>
    <w:rsid w:val="008D1C35"/>
    <w:rsid w:val="008D24F8"/>
    <w:rsid w:val="008D2570"/>
    <w:rsid w:val="008D26B4"/>
    <w:rsid w:val="008D2808"/>
    <w:rsid w:val="008D2AE5"/>
    <w:rsid w:val="008D2B9C"/>
    <w:rsid w:val="008D2DBD"/>
    <w:rsid w:val="008D3165"/>
    <w:rsid w:val="008D35B9"/>
    <w:rsid w:val="008D37B6"/>
    <w:rsid w:val="008D393C"/>
    <w:rsid w:val="008D3B25"/>
    <w:rsid w:val="008D3CD0"/>
    <w:rsid w:val="008D3D01"/>
    <w:rsid w:val="008D3D11"/>
    <w:rsid w:val="008D3DF5"/>
    <w:rsid w:val="008D48C2"/>
    <w:rsid w:val="008D4927"/>
    <w:rsid w:val="008D49A4"/>
    <w:rsid w:val="008D4B73"/>
    <w:rsid w:val="008D4BFC"/>
    <w:rsid w:val="008D4C56"/>
    <w:rsid w:val="008D4CAA"/>
    <w:rsid w:val="008D52C5"/>
    <w:rsid w:val="008D5B65"/>
    <w:rsid w:val="008D5D8B"/>
    <w:rsid w:val="008D61F6"/>
    <w:rsid w:val="008D663A"/>
    <w:rsid w:val="008D6666"/>
    <w:rsid w:val="008D6798"/>
    <w:rsid w:val="008D6807"/>
    <w:rsid w:val="008D6982"/>
    <w:rsid w:val="008D69EF"/>
    <w:rsid w:val="008D6BE3"/>
    <w:rsid w:val="008D6CCE"/>
    <w:rsid w:val="008D6F31"/>
    <w:rsid w:val="008D6F4E"/>
    <w:rsid w:val="008D7249"/>
    <w:rsid w:val="008D72A5"/>
    <w:rsid w:val="008D73D3"/>
    <w:rsid w:val="008D73FE"/>
    <w:rsid w:val="008D7472"/>
    <w:rsid w:val="008D77A7"/>
    <w:rsid w:val="008D7894"/>
    <w:rsid w:val="008D7B2D"/>
    <w:rsid w:val="008E0388"/>
    <w:rsid w:val="008E04DC"/>
    <w:rsid w:val="008E09B9"/>
    <w:rsid w:val="008E0A7B"/>
    <w:rsid w:val="008E0B39"/>
    <w:rsid w:val="008E104B"/>
    <w:rsid w:val="008E1211"/>
    <w:rsid w:val="008E12DD"/>
    <w:rsid w:val="008E12FE"/>
    <w:rsid w:val="008E1ABC"/>
    <w:rsid w:val="008E1B9C"/>
    <w:rsid w:val="008E262A"/>
    <w:rsid w:val="008E26C8"/>
    <w:rsid w:val="008E28A6"/>
    <w:rsid w:val="008E2AB8"/>
    <w:rsid w:val="008E2B2C"/>
    <w:rsid w:val="008E2C15"/>
    <w:rsid w:val="008E2C51"/>
    <w:rsid w:val="008E2CF4"/>
    <w:rsid w:val="008E2DAB"/>
    <w:rsid w:val="008E31C6"/>
    <w:rsid w:val="008E348B"/>
    <w:rsid w:val="008E3549"/>
    <w:rsid w:val="008E3994"/>
    <w:rsid w:val="008E3A1F"/>
    <w:rsid w:val="008E3B7C"/>
    <w:rsid w:val="008E3D4E"/>
    <w:rsid w:val="008E3DA4"/>
    <w:rsid w:val="008E3E2D"/>
    <w:rsid w:val="008E4279"/>
    <w:rsid w:val="008E4481"/>
    <w:rsid w:val="008E481D"/>
    <w:rsid w:val="008E4AD4"/>
    <w:rsid w:val="008E4E0A"/>
    <w:rsid w:val="008E4E63"/>
    <w:rsid w:val="008E50F5"/>
    <w:rsid w:val="008E577C"/>
    <w:rsid w:val="008E585A"/>
    <w:rsid w:val="008E5A48"/>
    <w:rsid w:val="008E5A8F"/>
    <w:rsid w:val="008E5B2E"/>
    <w:rsid w:val="008E5DEB"/>
    <w:rsid w:val="008E61B3"/>
    <w:rsid w:val="008E6594"/>
    <w:rsid w:val="008E68C3"/>
    <w:rsid w:val="008E6BB5"/>
    <w:rsid w:val="008E6D9E"/>
    <w:rsid w:val="008E6F1E"/>
    <w:rsid w:val="008E6F66"/>
    <w:rsid w:val="008E722C"/>
    <w:rsid w:val="008E72BB"/>
    <w:rsid w:val="008E73A0"/>
    <w:rsid w:val="008E74E4"/>
    <w:rsid w:val="008E76C7"/>
    <w:rsid w:val="008E7B05"/>
    <w:rsid w:val="008E7B75"/>
    <w:rsid w:val="008E7C18"/>
    <w:rsid w:val="008E7DAE"/>
    <w:rsid w:val="008E7DC3"/>
    <w:rsid w:val="008E7E5D"/>
    <w:rsid w:val="008F08B9"/>
    <w:rsid w:val="008F08CD"/>
    <w:rsid w:val="008F08FD"/>
    <w:rsid w:val="008F09C4"/>
    <w:rsid w:val="008F09D8"/>
    <w:rsid w:val="008F0A17"/>
    <w:rsid w:val="008F0AF8"/>
    <w:rsid w:val="008F0C56"/>
    <w:rsid w:val="008F1086"/>
    <w:rsid w:val="008F11E7"/>
    <w:rsid w:val="008F1494"/>
    <w:rsid w:val="008F14C7"/>
    <w:rsid w:val="008F1758"/>
    <w:rsid w:val="008F19B1"/>
    <w:rsid w:val="008F1CC6"/>
    <w:rsid w:val="008F1DDF"/>
    <w:rsid w:val="008F1F19"/>
    <w:rsid w:val="008F1F6C"/>
    <w:rsid w:val="008F2159"/>
    <w:rsid w:val="008F219B"/>
    <w:rsid w:val="008F2449"/>
    <w:rsid w:val="008F27EC"/>
    <w:rsid w:val="008F298F"/>
    <w:rsid w:val="008F2A1A"/>
    <w:rsid w:val="008F2B3E"/>
    <w:rsid w:val="008F2D5A"/>
    <w:rsid w:val="008F30D5"/>
    <w:rsid w:val="008F32C5"/>
    <w:rsid w:val="008F32E0"/>
    <w:rsid w:val="008F34B1"/>
    <w:rsid w:val="008F4041"/>
    <w:rsid w:val="008F438F"/>
    <w:rsid w:val="008F43BE"/>
    <w:rsid w:val="008F4A9E"/>
    <w:rsid w:val="008F4D55"/>
    <w:rsid w:val="008F4E27"/>
    <w:rsid w:val="008F5217"/>
    <w:rsid w:val="008F56E4"/>
    <w:rsid w:val="008F59B1"/>
    <w:rsid w:val="008F5B5E"/>
    <w:rsid w:val="008F617D"/>
    <w:rsid w:val="008F6322"/>
    <w:rsid w:val="008F6794"/>
    <w:rsid w:val="008F67A0"/>
    <w:rsid w:val="008F686F"/>
    <w:rsid w:val="008F6D82"/>
    <w:rsid w:val="008F6DDF"/>
    <w:rsid w:val="008F73AD"/>
    <w:rsid w:val="008F792B"/>
    <w:rsid w:val="008F7CF7"/>
    <w:rsid w:val="008F7EF6"/>
    <w:rsid w:val="008F7F11"/>
    <w:rsid w:val="008F7F3F"/>
    <w:rsid w:val="008F7FF7"/>
    <w:rsid w:val="0090017E"/>
    <w:rsid w:val="0090026D"/>
    <w:rsid w:val="00900636"/>
    <w:rsid w:val="0090157A"/>
    <w:rsid w:val="00901A89"/>
    <w:rsid w:val="00901F0A"/>
    <w:rsid w:val="009023B0"/>
    <w:rsid w:val="00902423"/>
    <w:rsid w:val="009024C2"/>
    <w:rsid w:val="00902A58"/>
    <w:rsid w:val="00902CE1"/>
    <w:rsid w:val="00902F84"/>
    <w:rsid w:val="00903A83"/>
    <w:rsid w:val="00903F3D"/>
    <w:rsid w:val="009040F6"/>
    <w:rsid w:val="00904324"/>
    <w:rsid w:val="00904512"/>
    <w:rsid w:val="0090453F"/>
    <w:rsid w:val="00904653"/>
    <w:rsid w:val="00904CA2"/>
    <w:rsid w:val="00905202"/>
    <w:rsid w:val="00905623"/>
    <w:rsid w:val="00905735"/>
    <w:rsid w:val="009058BF"/>
    <w:rsid w:val="00905AAC"/>
    <w:rsid w:val="00905B5D"/>
    <w:rsid w:val="00905C63"/>
    <w:rsid w:val="00905C67"/>
    <w:rsid w:val="00906260"/>
    <w:rsid w:val="0090629E"/>
    <w:rsid w:val="009062C6"/>
    <w:rsid w:val="0090633D"/>
    <w:rsid w:val="009063EC"/>
    <w:rsid w:val="00906A07"/>
    <w:rsid w:val="00906BCF"/>
    <w:rsid w:val="0090704A"/>
    <w:rsid w:val="009075AF"/>
    <w:rsid w:val="0090791C"/>
    <w:rsid w:val="00907BAE"/>
    <w:rsid w:val="00907C03"/>
    <w:rsid w:val="00907CDE"/>
    <w:rsid w:val="00910120"/>
    <w:rsid w:val="00910224"/>
    <w:rsid w:val="0091079A"/>
    <w:rsid w:val="009108AB"/>
    <w:rsid w:val="00910932"/>
    <w:rsid w:val="00910EA5"/>
    <w:rsid w:val="00910EB3"/>
    <w:rsid w:val="00910EC4"/>
    <w:rsid w:val="00910F93"/>
    <w:rsid w:val="009110FA"/>
    <w:rsid w:val="009113B8"/>
    <w:rsid w:val="009113EC"/>
    <w:rsid w:val="00911494"/>
    <w:rsid w:val="00911A4A"/>
    <w:rsid w:val="00911BF7"/>
    <w:rsid w:val="009122FA"/>
    <w:rsid w:val="009123E4"/>
    <w:rsid w:val="00912501"/>
    <w:rsid w:val="009125F0"/>
    <w:rsid w:val="00912FE8"/>
    <w:rsid w:val="009132C4"/>
    <w:rsid w:val="009137A6"/>
    <w:rsid w:val="00913B75"/>
    <w:rsid w:val="00913D85"/>
    <w:rsid w:val="0091411B"/>
    <w:rsid w:val="00914173"/>
    <w:rsid w:val="00914319"/>
    <w:rsid w:val="00914489"/>
    <w:rsid w:val="009144E9"/>
    <w:rsid w:val="00914B78"/>
    <w:rsid w:val="00914C33"/>
    <w:rsid w:val="00914FA9"/>
    <w:rsid w:val="0091522C"/>
    <w:rsid w:val="009152E4"/>
    <w:rsid w:val="0091533F"/>
    <w:rsid w:val="009159D7"/>
    <w:rsid w:val="00915C6E"/>
    <w:rsid w:val="00915CBF"/>
    <w:rsid w:val="00915D5D"/>
    <w:rsid w:val="00915D88"/>
    <w:rsid w:val="00915FF0"/>
    <w:rsid w:val="00916064"/>
    <w:rsid w:val="00916370"/>
    <w:rsid w:val="00916525"/>
    <w:rsid w:val="00916931"/>
    <w:rsid w:val="00916B9A"/>
    <w:rsid w:val="00916EBD"/>
    <w:rsid w:val="00916EC4"/>
    <w:rsid w:val="009171C1"/>
    <w:rsid w:val="00917481"/>
    <w:rsid w:val="00917C10"/>
    <w:rsid w:val="00917E02"/>
    <w:rsid w:val="0092017F"/>
    <w:rsid w:val="00920850"/>
    <w:rsid w:val="00920AAF"/>
    <w:rsid w:val="00920CAC"/>
    <w:rsid w:val="00920E86"/>
    <w:rsid w:val="00920FB1"/>
    <w:rsid w:val="00921111"/>
    <w:rsid w:val="0092122F"/>
    <w:rsid w:val="009214E8"/>
    <w:rsid w:val="009216CA"/>
    <w:rsid w:val="009217A6"/>
    <w:rsid w:val="009218A8"/>
    <w:rsid w:val="00921963"/>
    <w:rsid w:val="00921AB4"/>
    <w:rsid w:val="00921F00"/>
    <w:rsid w:val="009220F4"/>
    <w:rsid w:val="0092257D"/>
    <w:rsid w:val="0092258A"/>
    <w:rsid w:val="00922777"/>
    <w:rsid w:val="00922BB5"/>
    <w:rsid w:val="00923180"/>
    <w:rsid w:val="009234CC"/>
    <w:rsid w:val="0092356F"/>
    <w:rsid w:val="00923C96"/>
    <w:rsid w:val="00923E1F"/>
    <w:rsid w:val="00923FB1"/>
    <w:rsid w:val="009240F8"/>
    <w:rsid w:val="009247A6"/>
    <w:rsid w:val="00924BB6"/>
    <w:rsid w:val="00925182"/>
    <w:rsid w:val="00925344"/>
    <w:rsid w:val="00925906"/>
    <w:rsid w:val="00925913"/>
    <w:rsid w:val="009261F9"/>
    <w:rsid w:val="00926211"/>
    <w:rsid w:val="0092662B"/>
    <w:rsid w:val="009267AD"/>
    <w:rsid w:val="00926AA5"/>
    <w:rsid w:val="00926CA9"/>
    <w:rsid w:val="009272A4"/>
    <w:rsid w:val="0092792F"/>
    <w:rsid w:val="00927964"/>
    <w:rsid w:val="00927A04"/>
    <w:rsid w:val="00930134"/>
    <w:rsid w:val="00930198"/>
    <w:rsid w:val="00930CEA"/>
    <w:rsid w:val="00930D6E"/>
    <w:rsid w:val="00930E7F"/>
    <w:rsid w:val="0093101F"/>
    <w:rsid w:val="0093131A"/>
    <w:rsid w:val="009316A6"/>
    <w:rsid w:val="00931829"/>
    <w:rsid w:val="00931BDA"/>
    <w:rsid w:val="00931BFC"/>
    <w:rsid w:val="00931E93"/>
    <w:rsid w:val="00931EC5"/>
    <w:rsid w:val="009321BA"/>
    <w:rsid w:val="0093263E"/>
    <w:rsid w:val="0093291E"/>
    <w:rsid w:val="009329CB"/>
    <w:rsid w:val="00932C17"/>
    <w:rsid w:val="00932D1F"/>
    <w:rsid w:val="0093306F"/>
    <w:rsid w:val="009331D9"/>
    <w:rsid w:val="00933760"/>
    <w:rsid w:val="00933771"/>
    <w:rsid w:val="009338BF"/>
    <w:rsid w:val="00933CD6"/>
    <w:rsid w:val="009340AA"/>
    <w:rsid w:val="009340E0"/>
    <w:rsid w:val="0093466C"/>
    <w:rsid w:val="00934A8D"/>
    <w:rsid w:val="00935084"/>
    <w:rsid w:val="009350C9"/>
    <w:rsid w:val="009355C8"/>
    <w:rsid w:val="0093563E"/>
    <w:rsid w:val="00935B0C"/>
    <w:rsid w:val="00935C2B"/>
    <w:rsid w:val="00935D34"/>
    <w:rsid w:val="00936285"/>
    <w:rsid w:val="009362B5"/>
    <w:rsid w:val="009364EC"/>
    <w:rsid w:val="00936622"/>
    <w:rsid w:val="00936669"/>
    <w:rsid w:val="00936762"/>
    <w:rsid w:val="009368ED"/>
    <w:rsid w:val="00936A2A"/>
    <w:rsid w:val="00936E96"/>
    <w:rsid w:val="00937078"/>
    <w:rsid w:val="009373EF"/>
    <w:rsid w:val="009374CE"/>
    <w:rsid w:val="00937897"/>
    <w:rsid w:val="00937A80"/>
    <w:rsid w:val="00937A96"/>
    <w:rsid w:val="00937ACE"/>
    <w:rsid w:val="00937C28"/>
    <w:rsid w:val="00937D63"/>
    <w:rsid w:val="00940239"/>
    <w:rsid w:val="009402AB"/>
    <w:rsid w:val="00940316"/>
    <w:rsid w:val="009406BC"/>
    <w:rsid w:val="00940700"/>
    <w:rsid w:val="00940778"/>
    <w:rsid w:val="00940943"/>
    <w:rsid w:val="00940A18"/>
    <w:rsid w:val="00940F00"/>
    <w:rsid w:val="009411B8"/>
    <w:rsid w:val="00941504"/>
    <w:rsid w:val="00941648"/>
    <w:rsid w:val="009417C9"/>
    <w:rsid w:val="00941890"/>
    <w:rsid w:val="00941C26"/>
    <w:rsid w:val="00941DF0"/>
    <w:rsid w:val="00941E48"/>
    <w:rsid w:val="00941E6C"/>
    <w:rsid w:val="00941F3D"/>
    <w:rsid w:val="009420AB"/>
    <w:rsid w:val="009420B2"/>
    <w:rsid w:val="00942405"/>
    <w:rsid w:val="009427A8"/>
    <w:rsid w:val="00942902"/>
    <w:rsid w:val="009434C0"/>
    <w:rsid w:val="00943687"/>
    <w:rsid w:val="00943857"/>
    <w:rsid w:val="00943B59"/>
    <w:rsid w:val="009440A6"/>
    <w:rsid w:val="009443C7"/>
    <w:rsid w:val="009449A1"/>
    <w:rsid w:val="00944A06"/>
    <w:rsid w:val="00944C18"/>
    <w:rsid w:val="00944E53"/>
    <w:rsid w:val="00944E6C"/>
    <w:rsid w:val="00944F86"/>
    <w:rsid w:val="00945049"/>
    <w:rsid w:val="00945101"/>
    <w:rsid w:val="00945156"/>
    <w:rsid w:val="00945394"/>
    <w:rsid w:val="009453A0"/>
    <w:rsid w:val="009454F8"/>
    <w:rsid w:val="00945611"/>
    <w:rsid w:val="00945711"/>
    <w:rsid w:val="009458E6"/>
    <w:rsid w:val="00945D7F"/>
    <w:rsid w:val="00945E55"/>
    <w:rsid w:val="0094601C"/>
    <w:rsid w:val="0094619D"/>
    <w:rsid w:val="00946435"/>
    <w:rsid w:val="00946802"/>
    <w:rsid w:val="0094680F"/>
    <w:rsid w:val="0094681E"/>
    <w:rsid w:val="0094693B"/>
    <w:rsid w:val="00946D99"/>
    <w:rsid w:val="00946DAC"/>
    <w:rsid w:val="00946E59"/>
    <w:rsid w:val="00946EE6"/>
    <w:rsid w:val="00946FEB"/>
    <w:rsid w:val="00947002"/>
    <w:rsid w:val="0094767B"/>
    <w:rsid w:val="00950053"/>
    <w:rsid w:val="00950205"/>
    <w:rsid w:val="0095073A"/>
    <w:rsid w:val="00950742"/>
    <w:rsid w:val="009519D0"/>
    <w:rsid w:val="009519D2"/>
    <w:rsid w:val="00951A33"/>
    <w:rsid w:val="00951AFD"/>
    <w:rsid w:val="00951B5A"/>
    <w:rsid w:val="00951DEF"/>
    <w:rsid w:val="00951EAF"/>
    <w:rsid w:val="0095233C"/>
    <w:rsid w:val="00952743"/>
    <w:rsid w:val="00952BC7"/>
    <w:rsid w:val="00952DE1"/>
    <w:rsid w:val="009535E4"/>
    <w:rsid w:val="00953616"/>
    <w:rsid w:val="00953825"/>
    <w:rsid w:val="009539CA"/>
    <w:rsid w:val="00953B85"/>
    <w:rsid w:val="00953D06"/>
    <w:rsid w:val="00953D3A"/>
    <w:rsid w:val="009541CE"/>
    <w:rsid w:val="0095437B"/>
    <w:rsid w:val="009543C4"/>
    <w:rsid w:val="00954634"/>
    <w:rsid w:val="0095466F"/>
    <w:rsid w:val="0095473E"/>
    <w:rsid w:val="00954939"/>
    <w:rsid w:val="00954AFC"/>
    <w:rsid w:val="00954B1B"/>
    <w:rsid w:val="00955063"/>
    <w:rsid w:val="009550BB"/>
    <w:rsid w:val="00955377"/>
    <w:rsid w:val="00955660"/>
    <w:rsid w:val="00955799"/>
    <w:rsid w:val="00955BEA"/>
    <w:rsid w:val="00955BF5"/>
    <w:rsid w:val="00955CAC"/>
    <w:rsid w:val="00955EE0"/>
    <w:rsid w:val="00955EE8"/>
    <w:rsid w:val="0095633F"/>
    <w:rsid w:val="0095645E"/>
    <w:rsid w:val="0095652F"/>
    <w:rsid w:val="00956AEE"/>
    <w:rsid w:val="00956D8D"/>
    <w:rsid w:val="00957070"/>
    <w:rsid w:val="009570D7"/>
    <w:rsid w:val="00957191"/>
    <w:rsid w:val="0095743F"/>
    <w:rsid w:val="00957581"/>
    <w:rsid w:val="009578E3"/>
    <w:rsid w:val="00957AED"/>
    <w:rsid w:val="00957DB5"/>
    <w:rsid w:val="00960116"/>
    <w:rsid w:val="009602BF"/>
    <w:rsid w:val="009605FE"/>
    <w:rsid w:val="00960CF6"/>
    <w:rsid w:val="009610A5"/>
    <w:rsid w:val="009612CE"/>
    <w:rsid w:val="00961A32"/>
    <w:rsid w:val="00961C68"/>
    <w:rsid w:val="00961CF5"/>
    <w:rsid w:val="00961DD5"/>
    <w:rsid w:val="009627C0"/>
    <w:rsid w:val="00962A85"/>
    <w:rsid w:val="00962C8D"/>
    <w:rsid w:val="00962E4E"/>
    <w:rsid w:val="00962EC1"/>
    <w:rsid w:val="00963229"/>
    <w:rsid w:val="0096328F"/>
    <w:rsid w:val="00963733"/>
    <w:rsid w:val="00963963"/>
    <w:rsid w:val="0096440C"/>
    <w:rsid w:val="009644E8"/>
    <w:rsid w:val="009648FB"/>
    <w:rsid w:val="009649A2"/>
    <w:rsid w:val="00964A71"/>
    <w:rsid w:val="00964B31"/>
    <w:rsid w:val="00964BDD"/>
    <w:rsid w:val="00964F69"/>
    <w:rsid w:val="0096509C"/>
    <w:rsid w:val="00965260"/>
    <w:rsid w:val="00965356"/>
    <w:rsid w:val="0096588E"/>
    <w:rsid w:val="00965CCC"/>
    <w:rsid w:val="00965DD4"/>
    <w:rsid w:val="0096628C"/>
    <w:rsid w:val="009662C6"/>
    <w:rsid w:val="009666CA"/>
    <w:rsid w:val="00966A06"/>
    <w:rsid w:val="00966A43"/>
    <w:rsid w:val="00967641"/>
    <w:rsid w:val="00967ACE"/>
    <w:rsid w:val="00967AE4"/>
    <w:rsid w:val="00967BE4"/>
    <w:rsid w:val="00967E10"/>
    <w:rsid w:val="00967EC3"/>
    <w:rsid w:val="00967FEA"/>
    <w:rsid w:val="009704B4"/>
    <w:rsid w:val="00970CB4"/>
    <w:rsid w:val="00970FB3"/>
    <w:rsid w:val="00970FCA"/>
    <w:rsid w:val="009714FD"/>
    <w:rsid w:val="00971CEC"/>
    <w:rsid w:val="00972420"/>
    <w:rsid w:val="00972470"/>
    <w:rsid w:val="009727E2"/>
    <w:rsid w:val="00972809"/>
    <w:rsid w:val="00972F3F"/>
    <w:rsid w:val="00973390"/>
    <w:rsid w:val="00973728"/>
    <w:rsid w:val="0097392A"/>
    <w:rsid w:val="00973D45"/>
    <w:rsid w:val="00973E0A"/>
    <w:rsid w:val="00974204"/>
    <w:rsid w:val="009743F9"/>
    <w:rsid w:val="009744BD"/>
    <w:rsid w:val="009747CA"/>
    <w:rsid w:val="00974A83"/>
    <w:rsid w:val="00974B97"/>
    <w:rsid w:val="00974DB6"/>
    <w:rsid w:val="00974EDD"/>
    <w:rsid w:val="00974FB1"/>
    <w:rsid w:val="009750B7"/>
    <w:rsid w:val="00975292"/>
    <w:rsid w:val="00975615"/>
    <w:rsid w:val="00975A3B"/>
    <w:rsid w:val="00975B6C"/>
    <w:rsid w:val="00975B92"/>
    <w:rsid w:val="00975CCA"/>
    <w:rsid w:val="009761CE"/>
    <w:rsid w:val="00976427"/>
    <w:rsid w:val="00976714"/>
    <w:rsid w:val="0097673E"/>
    <w:rsid w:val="00976997"/>
    <w:rsid w:val="00976B52"/>
    <w:rsid w:val="00976C64"/>
    <w:rsid w:val="009771C6"/>
    <w:rsid w:val="00977403"/>
    <w:rsid w:val="009774C5"/>
    <w:rsid w:val="0097769F"/>
    <w:rsid w:val="0097773E"/>
    <w:rsid w:val="00977778"/>
    <w:rsid w:val="009779D2"/>
    <w:rsid w:val="00977B58"/>
    <w:rsid w:val="00977CF6"/>
    <w:rsid w:val="00977CFD"/>
    <w:rsid w:val="00977F6D"/>
    <w:rsid w:val="00980074"/>
    <w:rsid w:val="009802CB"/>
    <w:rsid w:val="009804DE"/>
    <w:rsid w:val="009805AA"/>
    <w:rsid w:val="00980729"/>
    <w:rsid w:val="00980A5E"/>
    <w:rsid w:val="00980CBA"/>
    <w:rsid w:val="00980E08"/>
    <w:rsid w:val="00980E8B"/>
    <w:rsid w:val="00980F5D"/>
    <w:rsid w:val="0098139C"/>
    <w:rsid w:val="00981407"/>
    <w:rsid w:val="009816DA"/>
    <w:rsid w:val="00981BB9"/>
    <w:rsid w:val="0098231F"/>
    <w:rsid w:val="00982382"/>
    <w:rsid w:val="009823E7"/>
    <w:rsid w:val="009826E3"/>
    <w:rsid w:val="00982929"/>
    <w:rsid w:val="00982B33"/>
    <w:rsid w:val="00982B50"/>
    <w:rsid w:val="00982C77"/>
    <w:rsid w:val="009838A3"/>
    <w:rsid w:val="0098412A"/>
    <w:rsid w:val="009849E9"/>
    <w:rsid w:val="00984B80"/>
    <w:rsid w:val="00984D92"/>
    <w:rsid w:val="00984E54"/>
    <w:rsid w:val="00985544"/>
    <w:rsid w:val="00985760"/>
    <w:rsid w:val="0098590F"/>
    <w:rsid w:val="00985A17"/>
    <w:rsid w:val="00985AAB"/>
    <w:rsid w:val="00985CA1"/>
    <w:rsid w:val="00985E91"/>
    <w:rsid w:val="0098606D"/>
    <w:rsid w:val="0098622A"/>
    <w:rsid w:val="00986603"/>
    <w:rsid w:val="009869B7"/>
    <w:rsid w:val="00986C57"/>
    <w:rsid w:val="00986CC8"/>
    <w:rsid w:val="00986EA0"/>
    <w:rsid w:val="00987290"/>
    <w:rsid w:val="00987374"/>
    <w:rsid w:val="00987419"/>
    <w:rsid w:val="0098744A"/>
    <w:rsid w:val="0098747E"/>
    <w:rsid w:val="00987AC9"/>
    <w:rsid w:val="00987C87"/>
    <w:rsid w:val="00987CC7"/>
    <w:rsid w:val="00987F7F"/>
    <w:rsid w:val="009902D2"/>
    <w:rsid w:val="009902EB"/>
    <w:rsid w:val="00990B82"/>
    <w:rsid w:val="00990D20"/>
    <w:rsid w:val="00991418"/>
    <w:rsid w:val="0099149C"/>
    <w:rsid w:val="009917DE"/>
    <w:rsid w:val="00991ABA"/>
    <w:rsid w:val="00991B59"/>
    <w:rsid w:val="00991D0C"/>
    <w:rsid w:val="00991D44"/>
    <w:rsid w:val="009921D9"/>
    <w:rsid w:val="0099225C"/>
    <w:rsid w:val="00992710"/>
    <w:rsid w:val="00992733"/>
    <w:rsid w:val="0099280B"/>
    <w:rsid w:val="00992824"/>
    <w:rsid w:val="00992A8C"/>
    <w:rsid w:val="00992B48"/>
    <w:rsid w:val="00992C94"/>
    <w:rsid w:val="00992EF9"/>
    <w:rsid w:val="00993706"/>
    <w:rsid w:val="009937CF"/>
    <w:rsid w:val="00993CFE"/>
    <w:rsid w:val="00993D56"/>
    <w:rsid w:val="00993FE1"/>
    <w:rsid w:val="00994436"/>
    <w:rsid w:val="00994635"/>
    <w:rsid w:val="0099488C"/>
    <w:rsid w:val="00994A0D"/>
    <w:rsid w:val="00994AEB"/>
    <w:rsid w:val="00994E44"/>
    <w:rsid w:val="00995037"/>
    <w:rsid w:val="0099518C"/>
    <w:rsid w:val="00995245"/>
    <w:rsid w:val="009952C8"/>
    <w:rsid w:val="009956FF"/>
    <w:rsid w:val="00995701"/>
    <w:rsid w:val="00995A13"/>
    <w:rsid w:val="00995AC9"/>
    <w:rsid w:val="00995B1C"/>
    <w:rsid w:val="00995B21"/>
    <w:rsid w:val="00995CBC"/>
    <w:rsid w:val="0099652C"/>
    <w:rsid w:val="0099657B"/>
    <w:rsid w:val="0099675D"/>
    <w:rsid w:val="00996888"/>
    <w:rsid w:val="0099693A"/>
    <w:rsid w:val="0099696D"/>
    <w:rsid w:val="00996972"/>
    <w:rsid w:val="00996990"/>
    <w:rsid w:val="00996A2B"/>
    <w:rsid w:val="00996B26"/>
    <w:rsid w:val="00997035"/>
    <w:rsid w:val="00997690"/>
    <w:rsid w:val="00997986"/>
    <w:rsid w:val="00997F3A"/>
    <w:rsid w:val="009A014E"/>
    <w:rsid w:val="009A0242"/>
    <w:rsid w:val="009A02D5"/>
    <w:rsid w:val="009A04EE"/>
    <w:rsid w:val="009A0564"/>
    <w:rsid w:val="009A06CD"/>
    <w:rsid w:val="009A0BF4"/>
    <w:rsid w:val="009A0DFB"/>
    <w:rsid w:val="009A0E5A"/>
    <w:rsid w:val="009A1215"/>
    <w:rsid w:val="009A1464"/>
    <w:rsid w:val="009A158A"/>
    <w:rsid w:val="009A1697"/>
    <w:rsid w:val="009A16A4"/>
    <w:rsid w:val="009A1925"/>
    <w:rsid w:val="009A1B6B"/>
    <w:rsid w:val="009A1C09"/>
    <w:rsid w:val="009A1C3B"/>
    <w:rsid w:val="009A1D2F"/>
    <w:rsid w:val="009A1EBD"/>
    <w:rsid w:val="009A1EFF"/>
    <w:rsid w:val="009A1F28"/>
    <w:rsid w:val="009A1FD7"/>
    <w:rsid w:val="009A210B"/>
    <w:rsid w:val="009A22C5"/>
    <w:rsid w:val="009A2B2E"/>
    <w:rsid w:val="009A2BE2"/>
    <w:rsid w:val="009A2D6A"/>
    <w:rsid w:val="009A2E5A"/>
    <w:rsid w:val="009A2E72"/>
    <w:rsid w:val="009A34AD"/>
    <w:rsid w:val="009A3AA2"/>
    <w:rsid w:val="009A3E53"/>
    <w:rsid w:val="009A3EDA"/>
    <w:rsid w:val="009A438E"/>
    <w:rsid w:val="009A4965"/>
    <w:rsid w:val="009A4A12"/>
    <w:rsid w:val="009A4BBB"/>
    <w:rsid w:val="009A4E73"/>
    <w:rsid w:val="009A5056"/>
    <w:rsid w:val="009A5370"/>
    <w:rsid w:val="009A555C"/>
    <w:rsid w:val="009A5B31"/>
    <w:rsid w:val="009A5D4A"/>
    <w:rsid w:val="009A5D5A"/>
    <w:rsid w:val="009A6326"/>
    <w:rsid w:val="009A6763"/>
    <w:rsid w:val="009A6A32"/>
    <w:rsid w:val="009A6AD7"/>
    <w:rsid w:val="009A7A37"/>
    <w:rsid w:val="009A7B35"/>
    <w:rsid w:val="009A7BDC"/>
    <w:rsid w:val="009A7DA6"/>
    <w:rsid w:val="009A7DD4"/>
    <w:rsid w:val="009A7EBD"/>
    <w:rsid w:val="009B0298"/>
    <w:rsid w:val="009B07AE"/>
    <w:rsid w:val="009B08B6"/>
    <w:rsid w:val="009B1198"/>
    <w:rsid w:val="009B1206"/>
    <w:rsid w:val="009B1399"/>
    <w:rsid w:val="009B163E"/>
    <w:rsid w:val="009B16DE"/>
    <w:rsid w:val="009B16F8"/>
    <w:rsid w:val="009B1795"/>
    <w:rsid w:val="009B17D3"/>
    <w:rsid w:val="009B181B"/>
    <w:rsid w:val="009B1F34"/>
    <w:rsid w:val="009B20AE"/>
    <w:rsid w:val="009B20EE"/>
    <w:rsid w:val="009B2794"/>
    <w:rsid w:val="009B2C52"/>
    <w:rsid w:val="009B2E58"/>
    <w:rsid w:val="009B2EB0"/>
    <w:rsid w:val="009B2EF0"/>
    <w:rsid w:val="009B2F5B"/>
    <w:rsid w:val="009B3086"/>
    <w:rsid w:val="009B3771"/>
    <w:rsid w:val="009B37A2"/>
    <w:rsid w:val="009B38E5"/>
    <w:rsid w:val="009B39FA"/>
    <w:rsid w:val="009B3C1E"/>
    <w:rsid w:val="009B3CBC"/>
    <w:rsid w:val="009B401D"/>
    <w:rsid w:val="009B43E1"/>
    <w:rsid w:val="009B43F4"/>
    <w:rsid w:val="009B4573"/>
    <w:rsid w:val="009B4BD9"/>
    <w:rsid w:val="009B4C19"/>
    <w:rsid w:val="009B4DCE"/>
    <w:rsid w:val="009B4E1B"/>
    <w:rsid w:val="009B55BC"/>
    <w:rsid w:val="009B58C2"/>
    <w:rsid w:val="009B5CAE"/>
    <w:rsid w:val="009B5D65"/>
    <w:rsid w:val="009B5D93"/>
    <w:rsid w:val="009B5F30"/>
    <w:rsid w:val="009B68EA"/>
    <w:rsid w:val="009B6AD9"/>
    <w:rsid w:val="009B6F9A"/>
    <w:rsid w:val="009B739D"/>
    <w:rsid w:val="009B7472"/>
    <w:rsid w:val="009B7CFD"/>
    <w:rsid w:val="009C00A2"/>
    <w:rsid w:val="009C0273"/>
    <w:rsid w:val="009C05CE"/>
    <w:rsid w:val="009C0652"/>
    <w:rsid w:val="009C06B8"/>
    <w:rsid w:val="009C0CB2"/>
    <w:rsid w:val="009C0DAC"/>
    <w:rsid w:val="009C1101"/>
    <w:rsid w:val="009C11B9"/>
    <w:rsid w:val="009C194C"/>
    <w:rsid w:val="009C1B8E"/>
    <w:rsid w:val="009C1C7F"/>
    <w:rsid w:val="009C1CBB"/>
    <w:rsid w:val="009C285A"/>
    <w:rsid w:val="009C28E5"/>
    <w:rsid w:val="009C2B71"/>
    <w:rsid w:val="009C2F1C"/>
    <w:rsid w:val="009C318F"/>
    <w:rsid w:val="009C37D6"/>
    <w:rsid w:val="009C3BE9"/>
    <w:rsid w:val="009C3E59"/>
    <w:rsid w:val="009C3E98"/>
    <w:rsid w:val="009C3EE3"/>
    <w:rsid w:val="009C3FE5"/>
    <w:rsid w:val="009C428F"/>
    <w:rsid w:val="009C43C7"/>
    <w:rsid w:val="009C524A"/>
    <w:rsid w:val="009C5416"/>
    <w:rsid w:val="009C5448"/>
    <w:rsid w:val="009C5454"/>
    <w:rsid w:val="009C55C2"/>
    <w:rsid w:val="009C5E9F"/>
    <w:rsid w:val="009C5ED1"/>
    <w:rsid w:val="009C61CA"/>
    <w:rsid w:val="009C622E"/>
    <w:rsid w:val="009C6276"/>
    <w:rsid w:val="009C62E0"/>
    <w:rsid w:val="009C68E6"/>
    <w:rsid w:val="009C69FF"/>
    <w:rsid w:val="009C6EBA"/>
    <w:rsid w:val="009C7136"/>
    <w:rsid w:val="009C71AA"/>
    <w:rsid w:val="009C7542"/>
    <w:rsid w:val="009C78AC"/>
    <w:rsid w:val="009D0094"/>
    <w:rsid w:val="009D03F4"/>
    <w:rsid w:val="009D0438"/>
    <w:rsid w:val="009D058D"/>
    <w:rsid w:val="009D0ACD"/>
    <w:rsid w:val="009D0B71"/>
    <w:rsid w:val="009D0CCB"/>
    <w:rsid w:val="009D0DB1"/>
    <w:rsid w:val="009D0E35"/>
    <w:rsid w:val="009D116D"/>
    <w:rsid w:val="009D138D"/>
    <w:rsid w:val="009D154B"/>
    <w:rsid w:val="009D175E"/>
    <w:rsid w:val="009D179B"/>
    <w:rsid w:val="009D1A0E"/>
    <w:rsid w:val="009D1AD6"/>
    <w:rsid w:val="009D1D18"/>
    <w:rsid w:val="009D1DCA"/>
    <w:rsid w:val="009D2125"/>
    <w:rsid w:val="009D24B4"/>
    <w:rsid w:val="009D26DE"/>
    <w:rsid w:val="009D2817"/>
    <w:rsid w:val="009D2ADB"/>
    <w:rsid w:val="009D2BE3"/>
    <w:rsid w:val="009D2D91"/>
    <w:rsid w:val="009D2DFC"/>
    <w:rsid w:val="009D2E3E"/>
    <w:rsid w:val="009D2F36"/>
    <w:rsid w:val="009D3137"/>
    <w:rsid w:val="009D32D1"/>
    <w:rsid w:val="009D33BA"/>
    <w:rsid w:val="009D3445"/>
    <w:rsid w:val="009D35CC"/>
    <w:rsid w:val="009D367B"/>
    <w:rsid w:val="009D3B02"/>
    <w:rsid w:val="009D3C3F"/>
    <w:rsid w:val="009D3CB4"/>
    <w:rsid w:val="009D3E6C"/>
    <w:rsid w:val="009D3F80"/>
    <w:rsid w:val="009D40C6"/>
    <w:rsid w:val="009D40E4"/>
    <w:rsid w:val="009D43C2"/>
    <w:rsid w:val="009D45D0"/>
    <w:rsid w:val="009D45FF"/>
    <w:rsid w:val="009D4858"/>
    <w:rsid w:val="009D508E"/>
    <w:rsid w:val="009D5305"/>
    <w:rsid w:val="009D5B37"/>
    <w:rsid w:val="009D5BEA"/>
    <w:rsid w:val="009D5DD4"/>
    <w:rsid w:val="009D62FB"/>
    <w:rsid w:val="009D6362"/>
    <w:rsid w:val="009D65D0"/>
    <w:rsid w:val="009D6D3A"/>
    <w:rsid w:val="009D7997"/>
    <w:rsid w:val="009D7C35"/>
    <w:rsid w:val="009D7E4A"/>
    <w:rsid w:val="009D7EFE"/>
    <w:rsid w:val="009D7F7A"/>
    <w:rsid w:val="009E01F1"/>
    <w:rsid w:val="009E094D"/>
    <w:rsid w:val="009E0AE0"/>
    <w:rsid w:val="009E0C2F"/>
    <w:rsid w:val="009E11A7"/>
    <w:rsid w:val="009E13CC"/>
    <w:rsid w:val="009E1522"/>
    <w:rsid w:val="009E1599"/>
    <w:rsid w:val="009E1821"/>
    <w:rsid w:val="009E1825"/>
    <w:rsid w:val="009E18D6"/>
    <w:rsid w:val="009E2210"/>
    <w:rsid w:val="009E27B6"/>
    <w:rsid w:val="009E28AD"/>
    <w:rsid w:val="009E2986"/>
    <w:rsid w:val="009E2DAB"/>
    <w:rsid w:val="009E30FA"/>
    <w:rsid w:val="009E39D8"/>
    <w:rsid w:val="009E39E2"/>
    <w:rsid w:val="009E3A32"/>
    <w:rsid w:val="009E3A86"/>
    <w:rsid w:val="009E3C75"/>
    <w:rsid w:val="009E41B1"/>
    <w:rsid w:val="009E4574"/>
    <w:rsid w:val="009E45AC"/>
    <w:rsid w:val="009E47AD"/>
    <w:rsid w:val="009E4CB4"/>
    <w:rsid w:val="009E4DF2"/>
    <w:rsid w:val="009E5061"/>
    <w:rsid w:val="009E57CC"/>
    <w:rsid w:val="009E59DE"/>
    <w:rsid w:val="009E5A74"/>
    <w:rsid w:val="009E5BEC"/>
    <w:rsid w:val="009E5F1F"/>
    <w:rsid w:val="009E6297"/>
    <w:rsid w:val="009E69CE"/>
    <w:rsid w:val="009E6C13"/>
    <w:rsid w:val="009E709A"/>
    <w:rsid w:val="009E71FC"/>
    <w:rsid w:val="009E7B7E"/>
    <w:rsid w:val="009E7C1F"/>
    <w:rsid w:val="009E7C41"/>
    <w:rsid w:val="009E7D31"/>
    <w:rsid w:val="009E7FEC"/>
    <w:rsid w:val="009F0289"/>
    <w:rsid w:val="009F060C"/>
    <w:rsid w:val="009F07B6"/>
    <w:rsid w:val="009F086C"/>
    <w:rsid w:val="009F088B"/>
    <w:rsid w:val="009F0919"/>
    <w:rsid w:val="009F0BE6"/>
    <w:rsid w:val="009F0C97"/>
    <w:rsid w:val="009F0E79"/>
    <w:rsid w:val="009F1467"/>
    <w:rsid w:val="009F1544"/>
    <w:rsid w:val="009F16DC"/>
    <w:rsid w:val="009F1A77"/>
    <w:rsid w:val="009F1A86"/>
    <w:rsid w:val="009F1A88"/>
    <w:rsid w:val="009F1E6E"/>
    <w:rsid w:val="009F1F5F"/>
    <w:rsid w:val="009F23BE"/>
    <w:rsid w:val="009F259B"/>
    <w:rsid w:val="009F278B"/>
    <w:rsid w:val="009F2A37"/>
    <w:rsid w:val="009F2A4D"/>
    <w:rsid w:val="009F2D25"/>
    <w:rsid w:val="009F3074"/>
    <w:rsid w:val="009F3322"/>
    <w:rsid w:val="009F3378"/>
    <w:rsid w:val="009F358A"/>
    <w:rsid w:val="009F3903"/>
    <w:rsid w:val="009F3926"/>
    <w:rsid w:val="009F403A"/>
    <w:rsid w:val="009F4191"/>
    <w:rsid w:val="009F447F"/>
    <w:rsid w:val="009F477D"/>
    <w:rsid w:val="009F4810"/>
    <w:rsid w:val="009F4A7F"/>
    <w:rsid w:val="009F4D33"/>
    <w:rsid w:val="009F52E4"/>
    <w:rsid w:val="009F57ED"/>
    <w:rsid w:val="009F596B"/>
    <w:rsid w:val="009F5A7D"/>
    <w:rsid w:val="009F5A88"/>
    <w:rsid w:val="009F5AA4"/>
    <w:rsid w:val="009F5D37"/>
    <w:rsid w:val="009F5D57"/>
    <w:rsid w:val="009F60AA"/>
    <w:rsid w:val="009F6183"/>
    <w:rsid w:val="009F63C6"/>
    <w:rsid w:val="009F65EF"/>
    <w:rsid w:val="009F6AA7"/>
    <w:rsid w:val="009F711E"/>
    <w:rsid w:val="009F73A9"/>
    <w:rsid w:val="009F780B"/>
    <w:rsid w:val="009F79BD"/>
    <w:rsid w:val="009F7BBC"/>
    <w:rsid w:val="009F7D65"/>
    <w:rsid w:val="009F7F64"/>
    <w:rsid w:val="00A0001B"/>
    <w:rsid w:val="00A00696"/>
    <w:rsid w:val="00A007BA"/>
    <w:rsid w:val="00A00C1F"/>
    <w:rsid w:val="00A00D49"/>
    <w:rsid w:val="00A00F62"/>
    <w:rsid w:val="00A01185"/>
    <w:rsid w:val="00A01221"/>
    <w:rsid w:val="00A012DB"/>
    <w:rsid w:val="00A014D6"/>
    <w:rsid w:val="00A015CD"/>
    <w:rsid w:val="00A0188F"/>
    <w:rsid w:val="00A019F8"/>
    <w:rsid w:val="00A01E02"/>
    <w:rsid w:val="00A01EDA"/>
    <w:rsid w:val="00A0229E"/>
    <w:rsid w:val="00A023BC"/>
    <w:rsid w:val="00A02AF3"/>
    <w:rsid w:val="00A02BD2"/>
    <w:rsid w:val="00A02C3A"/>
    <w:rsid w:val="00A02FEA"/>
    <w:rsid w:val="00A03692"/>
    <w:rsid w:val="00A040A7"/>
    <w:rsid w:val="00A042E8"/>
    <w:rsid w:val="00A0473E"/>
    <w:rsid w:val="00A04B9A"/>
    <w:rsid w:val="00A04DEF"/>
    <w:rsid w:val="00A04FC3"/>
    <w:rsid w:val="00A050BD"/>
    <w:rsid w:val="00A0530E"/>
    <w:rsid w:val="00A053D4"/>
    <w:rsid w:val="00A058A7"/>
    <w:rsid w:val="00A05A72"/>
    <w:rsid w:val="00A05AB4"/>
    <w:rsid w:val="00A05B77"/>
    <w:rsid w:val="00A05CFE"/>
    <w:rsid w:val="00A05DA0"/>
    <w:rsid w:val="00A060D2"/>
    <w:rsid w:val="00A063EB"/>
    <w:rsid w:val="00A06476"/>
    <w:rsid w:val="00A069BB"/>
    <w:rsid w:val="00A06C28"/>
    <w:rsid w:val="00A06C57"/>
    <w:rsid w:val="00A06D5E"/>
    <w:rsid w:val="00A06EA6"/>
    <w:rsid w:val="00A077A7"/>
    <w:rsid w:val="00A07836"/>
    <w:rsid w:val="00A07955"/>
    <w:rsid w:val="00A0798E"/>
    <w:rsid w:val="00A07C7C"/>
    <w:rsid w:val="00A1010B"/>
    <w:rsid w:val="00A10243"/>
    <w:rsid w:val="00A10391"/>
    <w:rsid w:val="00A10C9A"/>
    <w:rsid w:val="00A10D87"/>
    <w:rsid w:val="00A10DBF"/>
    <w:rsid w:val="00A11064"/>
    <w:rsid w:val="00A11177"/>
    <w:rsid w:val="00A11939"/>
    <w:rsid w:val="00A12318"/>
    <w:rsid w:val="00A12373"/>
    <w:rsid w:val="00A124E7"/>
    <w:rsid w:val="00A12969"/>
    <w:rsid w:val="00A12A94"/>
    <w:rsid w:val="00A131B3"/>
    <w:rsid w:val="00A1367C"/>
    <w:rsid w:val="00A13689"/>
    <w:rsid w:val="00A136F6"/>
    <w:rsid w:val="00A13892"/>
    <w:rsid w:val="00A13EDF"/>
    <w:rsid w:val="00A14355"/>
    <w:rsid w:val="00A143AE"/>
    <w:rsid w:val="00A144A2"/>
    <w:rsid w:val="00A14553"/>
    <w:rsid w:val="00A14641"/>
    <w:rsid w:val="00A1468F"/>
    <w:rsid w:val="00A146BE"/>
    <w:rsid w:val="00A14790"/>
    <w:rsid w:val="00A14A07"/>
    <w:rsid w:val="00A14BED"/>
    <w:rsid w:val="00A15044"/>
    <w:rsid w:val="00A15062"/>
    <w:rsid w:val="00A155AA"/>
    <w:rsid w:val="00A161B0"/>
    <w:rsid w:val="00A1646E"/>
    <w:rsid w:val="00A164A7"/>
    <w:rsid w:val="00A164CB"/>
    <w:rsid w:val="00A16587"/>
    <w:rsid w:val="00A165C5"/>
    <w:rsid w:val="00A167A6"/>
    <w:rsid w:val="00A1725D"/>
    <w:rsid w:val="00A17735"/>
    <w:rsid w:val="00A17870"/>
    <w:rsid w:val="00A178A9"/>
    <w:rsid w:val="00A17B57"/>
    <w:rsid w:val="00A17BCE"/>
    <w:rsid w:val="00A17F2A"/>
    <w:rsid w:val="00A20247"/>
    <w:rsid w:val="00A206B5"/>
    <w:rsid w:val="00A206D7"/>
    <w:rsid w:val="00A2077E"/>
    <w:rsid w:val="00A20BAE"/>
    <w:rsid w:val="00A2108C"/>
    <w:rsid w:val="00A21194"/>
    <w:rsid w:val="00A21269"/>
    <w:rsid w:val="00A212F6"/>
    <w:rsid w:val="00A213AD"/>
    <w:rsid w:val="00A21479"/>
    <w:rsid w:val="00A216E6"/>
    <w:rsid w:val="00A21BDC"/>
    <w:rsid w:val="00A21E5B"/>
    <w:rsid w:val="00A2201A"/>
    <w:rsid w:val="00A22099"/>
    <w:rsid w:val="00A2223D"/>
    <w:rsid w:val="00A222C1"/>
    <w:rsid w:val="00A223A3"/>
    <w:rsid w:val="00A224E1"/>
    <w:rsid w:val="00A226A1"/>
    <w:rsid w:val="00A22724"/>
    <w:rsid w:val="00A22E20"/>
    <w:rsid w:val="00A2304B"/>
    <w:rsid w:val="00A23268"/>
    <w:rsid w:val="00A235F4"/>
    <w:rsid w:val="00A23A04"/>
    <w:rsid w:val="00A23A7F"/>
    <w:rsid w:val="00A240C1"/>
    <w:rsid w:val="00A24183"/>
    <w:rsid w:val="00A241BF"/>
    <w:rsid w:val="00A242C6"/>
    <w:rsid w:val="00A245F7"/>
    <w:rsid w:val="00A247E5"/>
    <w:rsid w:val="00A24BAA"/>
    <w:rsid w:val="00A25020"/>
    <w:rsid w:val="00A2514B"/>
    <w:rsid w:val="00A251AD"/>
    <w:rsid w:val="00A256E9"/>
    <w:rsid w:val="00A256F6"/>
    <w:rsid w:val="00A2573E"/>
    <w:rsid w:val="00A2591E"/>
    <w:rsid w:val="00A25A65"/>
    <w:rsid w:val="00A25E8C"/>
    <w:rsid w:val="00A25E94"/>
    <w:rsid w:val="00A25F1D"/>
    <w:rsid w:val="00A267B1"/>
    <w:rsid w:val="00A270B4"/>
    <w:rsid w:val="00A274F5"/>
    <w:rsid w:val="00A27944"/>
    <w:rsid w:val="00A27A64"/>
    <w:rsid w:val="00A27DF4"/>
    <w:rsid w:val="00A27EFC"/>
    <w:rsid w:val="00A30104"/>
    <w:rsid w:val="00A30416"/>
    <w:rsid w:val="00A304DE"/>
    <w:rsid w:val="00A308A7"/>
    <w:rsid w:val="00A30985"/>
    <w:rsid w:val="00A309E7"/>
    <w:rsid w:val="00A30C9F"/>
    <w:rsid w:val="00A30CC9"/>
    <w:rsid w:val="00A30E49"/>
    <w:rsid w:val="00A311B4"/>
    <w:rsid w:val="00A311EB"/>
    <w:rsid w:val="00A318C4"/>
    <w:rsid w:val="00A31A2B"/>
    <w:rsid w:val="00A31C51"/>
    <w:rsid w:val="00A31E97"/>
    <w:rsid w:val="00A3272F"/>
    <w:rsid w:val="00A32758"/>
    <w:rsid w:val="00A327BE"/>
    <w:rsid w:val="00A32C94"/>
    <w:rsid w:val="00A32F34"/>
    <w:rsid w:val="00A33139"/>
    <w:rsid w:val="00A332FC"/>
    <w:rsid w:val="00A33771"/>
    <w:rsid w:val="00A33D19"/>
    <w:rsid w:val="00A340E4"/>
    <w:rsid w:val="00A341AB"/>
    <w:rsid w:val="00A3434E"/>
    <w:rsid w:val="00A34BC9"/>
    <w:rsid w:val="00A34DEC"/>
    <w:rsid w:val="00A34E76"/>
    <w:rsid w:val="00A34F30"/>
    <w:rsid w:val="00A35164"/>
    <w:rsid w:val="00A351BF"/>
    <w:rsid w:val="00A35233"/>
    <w:rsid w:val="00A35806"/>
    <w:rsid w:val="00A35D14"/>
    <w:rsid w:val="00A35EF2"/>
    <w:rsid w:val="00A3656C"/>
    <w:rsid w:val="00A3665E"/>
    <w:rsid w:val="00A36A0B"/>
    <w:rsid w:val="00A36A79"/>
    <w:rsid w:val="00A36AE1"/>
    <w:rsid w:val="00A36C66"/>
    <w:rsid w:val="00A36D96"/>
    <w:rsid w:val="00A36E33"/>
    <w:rsid w:val="00A37711"/>
    <w:rsid w:val="00A37760"/>
    <w:rsid w:val="00A3796E"/>
    <w:rsid w:val="00A3797B"/>
    <w:rsid w:val="00A37AD2"/>
    <w:rsid w:val="00A37BFC"/>
    <w:rsid w:val="00A40B86"/>
    <w:rsid w:val="00A40B93"/>
    <w:rsid w:val="00A40F6E"/>
    <w:rsid w:val="00A40FB5"/>
    <w:rsid w:val="00A4101F"/>
    <w:rsid w:val="00A41105"/>
    <w:rsid w:val="00A41447"/>
    <w:rsid w:val="00A414C5"/>
    <w:rsid w:val="00A4175B"/>
    <w:rsid w:val="00A417A5"/>
    <w:rsid w:val="00A41D7B"/>
    <w:rsid w:val="00A421ED"/>
    <w:rsid w:val="00A42239"/>
    <w:rsid w:val="00A422A2"/>
    <w:rsid w:val="00A422FB"/>
    <w:rsid w:val="00A42360"/>
    <w:rsid w:val="00A42397"/>
    <w:rsid w:val="00A427A3"/>
    <w:rsid w:val="00A42A5F"/>
    <w:rsid w:val="00A42CB6"/>
    <w:rsid w:val="00A42F6A"/>
    <w:rsid w:val="00A4334D"/>
    <w:rsid w:val="00A43655"/>
    <w:rsid w:val="00A43698"/>
    <w:rsid w:val="00A43748"/>
    <w:rsid w:val="00A4497F"/>
    <w:rsid w:val="00A44CEC"/>
    <w:rsid w:val="00A44E50"/>
    <w:rsid w:val="00A4530F"/>
    <w:rsid w:val="00A45497"/>
    <w:rsid w:val="00A45A86"/>
    <w:rsid w:val="00A45BA9"/>
    <w:rsid w:val="00A45BD3"/>
    <w:rsid w:val="00A461EC"/>
    <w:rsid w:val="00A462F3"/>
    <w:rsid w:val="00A46428"/>
    <w:rsid w:val="00A46475"/>
    <w:rsid w:val="00A46726"/>
    <w:rsid w:val="00A4683F"/>
    <w:rsid w:val="00A46AD9"/>
    <w:rsid w:val="00A46AF3"/>
    <w:rsid w:val="00A46AF6"/>
    <w:rsid w:val="00A4735C"/>
    <w:rsid w:val="00A4753C"/>
    <w:rsid w:val="00A4776E"/>
    <w:rsid w:val="00A47A96"/>
    <w:rsid w:val="00A47F1B"/>
    <w:rsid w:val="00A500D9"/>
    <w:rsid w:val="00A50622"/>
    <w:rsid w:val="00A506BF"/>
    <w:rsid w:val="00A506C6"/>
    <w:rsid w:val="00A50B72"/>
    <w:rsid w:val="00A50E17"/>
    <w:rsid w:val="00A50E4E"/>
    <w:rsid w:val="00A51197"/>
    <w:rsid w:val="00A5135B"/>
    <w:rsid w:val="00A5174A"/>
    <w:rsid w:val="00A51AD7"/>
    <w:rsid w:val="00A51B32"/>
    <w:rsid w:val="00A521CB"/>
    <w:rsid w:val="00A5238F"/>
    <w:rsid w:val="00A52596"/>
    <w:rsid w:val="00A52757"/>
    <w:rsid w:val="00A5289A"/>
    <w:rsid w:val="00A52960"/>
    <w:rsid w:val="00A529E9"/>
    <w:rsid w:val="00A52B72"/>
    <w:rsid w:val="00A52CCD"/>
    <w:rsid w:val="00A53065"/>
    <w:rsid w:val="00A5352A"/>
    <w:rsid w:val="00A53968"/>
    <w:rsid w:val="00A53B31"/>
    <w:rsid w:val="00A53C58"/>
    <w:rsid w:val="00A54206"/>
    <w:rsid w:val="00A543D9"/>
    <w:rsid w:val="00A5463B"/>
    <w:rsid w:val="00A54833"/>
    <w:rsid w:val="00A54A50"/>
    <w:rsid w:val="00A54D41"/>
    <w:rsid w:val="00A54DEA"/>
    <w:rsid w:val="00A557A1"/>
    <w:rsid w:val="00A55A25"/>
    <w:rsid w:val="00A562F4"/>
    <w:rsid w:val="00A56A55"/>
    <w:rsid w:val="00A57018"/>
    <w:rsid w:val="00A5712D"/>
    <w:rsid w:val="00A573AB"/>
    <w:rsid w:val="00A57457"/>
    <w:rsid w:val="00A57C1A"/>
    <w:rsid w:val="00A57D39"/>
    <w:rsid w:val="00A57D5C"/>
    <w:rsid w:val="00A57E4E"/>
    <w:rsid w:val="00A57F4F"/>
    <w:rsid w:val="00A60B04"/>
    <w:rsid w:val="00A60CBF"/>
    <w:rsid w:val="00A612CC"/>
    <w:rsid w:val="00A61551"/>
    <w:rsid w:val="00A61628"/>
    <w:rsid w:val="00A61AFF"/>
    <w:rsid w:val="00A61E88"/>
    <w:rsid w:val="00A622AA"/>
    <w:rsid w:val="00A62DBA"/>
    <w:rsid w:val="00A62DF8"/>
    <w:rsid w:val="00A6304C"/>
    <w:rsid w:val="00A631C8"/>
    <w:rsid w:val="00A6396D"/>
    <w:rsid w:val="00A63AC0"/>
    <w:rsid w:val="00A64147"/>
    <w:rsid w:val="00A64152"/>
    <w:rsid w:val="00A646B5"/>
    <w:rsid w:val="00A64F24"/>
    <w:rsid w:val="00A6553E"/>
    <w:rsid w:val="00A657F9"/>
    <w:rsid w:val="00A65809"/>
    <w:rsid w:val="00A65AC7"/>
    <w:rsid w:val="00A65D2C"/>
    <w:rsid w:val="00A65FF6"/>
    <w:rsid w:val="00A660B5"/>
    <w:rsid w:val="00A66273"/>
    <w:rsid w:val="00A66407"/>
    <w:rsid w:val="00A6685B"/>
    <w:rsid w:val="00A66D80"/>
    <w:rsid w:val="00A670D6"/>
    <w:rsid w:val="00A67388"/>
    <w:rsid w:val="00A675CF"/>
    <w:rsid w:val="00A67AB0"/>
    <w:rsid w:val="00A67F67"/>
    <w:rsid w:val="00A67FEE"/>
    <w:rsid w:val="00A7044A"/>
    <w:rsid w:val="00A70465"/>
    <w:rsid w:val="00A70591"/>
    <w:rsid w:val="00A70644"/>
    <w:rsid w:val="00A70BF8"/>
    <w:rsid w:val="00A70C3D"/>
    <w:rsid w:val="00A70C90"/>
    <w:rsid w:val="00A714E7"/>
    <w:rsid w:val="00A716C7"/>
    <w:rsid w:val="00A719A2"/>
    <w:rsid w:val="00A71CF5"/>
    <w:rsid w:val="00A71DBE"/>
    <w:rsid w:val="00A72121"/>
    <w:rsid w:val="00A7220C"/>
    <w:rsid w:val="00A72273"/>
    <w:rsid w:val="00A7249E"/>
    <w:rsid w:val="00A7256A"/>
    <w:rsid w:val="00A729A0"/>
    <w:rsid w:val="00A72B5A"/>
    <w:rsid w:val="00A72C4F"/>
    <w:rsid w:val="00A72D72"/>
    <w:rsid w:val="00A72DC5"/>
    <w:rsid w:val="00A730F5"/>
    <w:rsid w:val="00A73206"/>
    <w:rsid w:val="00A7365D"/>
    <w:rsid w:val="00A736E3"/>
    <w:rsid w:val="00A73925"/>
    <w:rsid w:val="00A73A32"/>
    <w:rsid w:val="00A73AF9"/>
    <w:rsid w:val="00A73F44"/>
    <w:rsid w:val="00A74102"/>
    <w:rsid w:val="00A74432"/>
    <w:rsid w:val="00A74883"/>
    <w:rsid w:val="00A748C4"/>
    <w:rsid w:val="00A75DF6"/>
    <w:rsid w:val="00A75FF0"/>
    <w:rsid w:val="00A76208"/>
    <w:rsid w:val="00A7668D"/>
    <w:rsid w:val="00A76A02"/>
    <w:rsid w:val="00A76D62"/>
    <w:rsid w:val="00A76DA7"/>
    <w:rsid w:val="00A76EAF"/>
    <w:rsid w:val="00A76F12"/>
    <w:rsid w:val="00A76F2A"/>
    <w:rsid w:val="00A771FB"/>
    <w:rsid w:val="00A7762A"/>
    <w:rsid w:val="00A77A1D"/>
    <w:rsid w:val="00A77A55"/>
    <w:rsid w:val="00A77C48"/>
    <w:rsid w:val="00A77F7D"/>
    <w:rsid w:val="00A80005"/>
    <w:rsid w:val="00A8017F"/>
    <w:rsid w:val="00A802A9"/>
    <w:rsid w:val="00A8113F"/>
    <w:rsid w:val="00A81302"/>
    <w:rsid w:val="00A8142F"/>
    <w:rsid w:val="00A8155E"/>
    <w:rsid w:val="00A8187A"/>
    <w:rsid w:val="00A81A60"/>
    <w:rsid w:val="00A81E6F"/>
    <w:rsid w:val="00A81E97"/>
    <w:rsid w:val="00A81F8A"/>
    <w:rsid w:val="00A8288A"/>
    <w:rsid w:val="00A82A39"/>
    <w:rsid w:val="00A82C9A"/>
    <w:rsid w:val="00A83003"/>
    <w:rsid w:val="00A83025"/>
    <w:rsid w:val="00A8329B"/>
    <w:rsid w:val="00A833D1"/>
    <w:rsid w:val="00A83523"/>
    <w:rsid w:val="00A8360B"/>
    <w:rsid w:val="00A83BD0"/>
    <w:rsid w:val="00A83C47"/>
    <w:rsid w:val="00A83D05"/>
    <w:rsid w:val="00A842D7"/>
    <w:rsid w:val="00A8475C"/>
    <w:rsid w:val="00A8480C"/>
    <w:rsid w:val="00A84D84"/>
    <w:rsid w:val="00A84EBB"/>
    <w:rsid w:val="00A85269"/>
    <w:rsid w:val="00A85869"/>
    <w:rsid w:val="00A8591D"/>
    <w:rsid w:val="00A85C03"/>
    <w:rsid w:val="00A85C0B"/>
    <w:rsid w:val="00A85DBA"/>
    <w:rsid w:val="00A85F5F"/>
    <w:rsid w:val="00A860EC"/>
    <w:rsid w:val="00A86163"/>
    <w:rsid w:val="00A864B7"/>
    <w:rsid w:val="00A86666"/>
    <w:rsid w:val="00A86937"/>
    <w:rsid w:val="00A86A93"/>
    <w:rsid w:val="00A86C1F"/>
    <w:rsid w:val="00A86F3F"/>
    <w:rsid w:val="00A86F40"/>
    <w:rsid w:val="00A877D9"/>
    <w:rsid w:val="00A87A7F"/>
    <w:rsid w:val="00A87AC2"/>
    <w:rsid w:val="00A87BD0"/>
    <w:rsid w:val="00A87C34"/>
    <w:rsid w:val="00A87D86"/>
    <w:rsid w:val="00A87FBB"/>
    <w:rsid w:val="00A9017E"/>
    <w:rsid w:val="00A9028E"/>
    <w:rsid w:val="00A90483"/>
    <w:rsid w:val="00A91205"/>
    <w:rsid w:val="00A916B8"/>
    <w:rsid w:val="00A91B58"/>
    <w:rsid w:val="00A91D09"/>
    <w:rsid w:val="00A922C2"/>
    <w:rsid w:val="00A92804"/>
    <w:rsid w:val="00A92918"/>
    <w:rsid w:val="00A92A97"/>
    <w:rsid w:val="00A92AA4"/>
    <w:rsid w:val="00A93184"/>
    <w:rsid w:val="00A93347"/>
    <w:rsid w:val="00A9380B"/>
    <w:rsid w:val="00A939D8"/>
    <w:rsid w:val="00A93C1B"/>
    <w:rsid w:val="00A94035"/>
    <w:rsid w:val="00A94404"/>
    <w:rsid w:val="00A944F4"/>
    <w:rsid w:val="00A9459B"/>
    <w:rsid w:val="00A9490F"/>
    <w:rsid w:val="00A94C9F"/>
    <w:rsid w:val="00A94DE0"/>
    <w:rsid w:val="00A94FDB"/>
    <w:rsid w:val="00A94FE2"/>
    <w:rsid w:val="00A95067"/>
    <w:rsid w:val="00A951BD"/>
    <w:rsid w:val="00A952C9"/>
    <w:rsid w:val="00A954AB"/>
    <w:rsid w:val="00A9553A"/>
    <w:rsid w:val="00A959AA"/>
    <w:rsid w:val="00A95C23"/>
    <w:rsid w:val="00A9636D"/>
    <w:rsid w:val="00A96439"/>
    <w:rsid w:val="00A9659F"/>
    <w:rsid w:val="00A96831"/>
    <w:rsid w:val="00A96A33"/>
    <w:rsid w:val="00A96B4C"/>
    <w:rsid w:val="00A971FF"/>
    <w:rsid w:val="00A97413"/>
    <w:rsid w:val="00A97904"/>
    <w:rsid w:val="00A97C88"/>
    <w:rsid w:val="00A97F3D"/>
    <w:rsid w:val="00A97F50"/>
    <w:rsid w:val="00AA0083"/>
    <w:rsid w:val="00AA047D"/>
    <w:rsid w:val="00AA09C9"/>
    <w:rsid w:val="00AA0B5D"/>
    <w:rsid w:val="00AA0F63"/>
    <w:rsid w:val="00AA0FFA"/>
    <w:rsid w:val="00AA1059"/>
    <w:rsid w:val="00AA113B"/>
    <w:rsid w:val="00AA1275"/>
    <w:rsid w:val="00AA153C"/>
    <w:rsid w:val="00AA16FD"/>
    <w:rsid w:val="00AA17CD"/>
    <w:rsid w:val="00AA1A44"/>
    <w:rsid w:val="00AA1D86"/>
    <w:rsid w:val="00AA20B5"/>
    <w:rsid w:val="00AA2B1C"/>
    <w:rsid w:val="00AA3008"/>
    <w:rsid w:val="00AA3111"/>
    <w:rsid w:val="00AA384E"/>
    <w:rsid w:val="00AA3C74"/>
    <w:rsid w:val="00AA3D25"/>
    <w:rsid w:val="00AA3DF1"/>
    <w:rsid w:val="00AA3F59"/>
    <w:rsid w:val="00AA40DD"/>
    <w:rsid w:val="00AA445F"/>
    <w:rsid w:val="00AA476F"/>
    <w:rsid w:val="00AA4B08"/>
    <w:rsid w:val="00AA4B83"/>
    <w:rsid w:val="00AA4B92"/>
    <w:rsid w:val="00AA4EDB"/>
    <w:rsid w:val="00AA509C"/>
    <w:rsid w:val="00AA5115"/>
    <w:rsid w:val="00AA5142"/>
    <w:rsid w:val="00AA537C"/>
    <w:rsid w:val="00AA57DE"/>
    <w:rsid w:val="00AA5840"/>
    <w:rsid w:val="00AA5A6B"/>
    <w:rsid w:val="00AA5F74"/>
    <w:rsid w:val="00AA61EE"/>
    <w:rsid w:val="00AA6DA4"/>
    <w:rsid w:val="00AA6E7E"/>
    <w:rsid w:val="00AA6F01"/>
    <w:rsid w:val="00AA71E9"/>
    <w:rsid w:val="00AA7286"/>
    <w:rsid w:val="00AA7451"/>
    <w:rsid w:val="00AA7627"/>
    <w:rsid w:val="00AA7808"/>
    <w:rsid w:val="00AA781C"/>
    <w:rsid w:val="00AA7C03"/>
    <w:rsid w:val="00AA7E97"/>
    <w:rsid w:val="00AA7F68"/>
    <w:rsid w:val="00AB037A"/>
    <w:rsid w:val="00AB0DCC"/>
    <w:rsid w:val="00AB0E4E"/>
    <w:rsid w:val="00AB10A5"/>
    <w:rsid w:val="00AB15A1"/>
    <w:rsid w:val="00AB1B11"/>
    <w:rsid w:val="00AB1D27"/>
    <w:rsid w:val="00AB1EBD"/>
    <w:rsid w:val="00AB215F"/>
    <w:rsid w:val="00AB2169"/>
    <w:rsid w:val="00AB2345"/>
    <w:rsid w:val="00AB23B4"/>
    <w:rsid w:val="00AB2663"/>
    <w:rsid w:val="00AB26BC"/>
    <w:rsid w:val="00AB28DE"/>
    <w:rsid w:val="00AB2B15"/>
    <w:rsid w:val="00AB2C5A"/>
    <w:rsid w:val="00AB2C8D"/>
    <w:rsid w:val="00AB2EA6"/>
    <w:rsid w:val="00AB2ED4"/>
    <w:rsid w:val="00AB309A"/>
    <w:rsid w:val="00AB30E7"/>
    <w:rsid w:val="00AB33B8"/>
    <w:rsid w:val="00AB33D3"/>
    <w:rsid w:val="00AB348D"/>
    <w:rsid w:val="00AB36AE"/>
    <w:rsid w:val="00AB388E"/>
    <w:rsid w:val="00AB3BB4"/>
    <w:rsid w:val="00AB3DFA"/>
    <w:rsid w:val="00AB4840"/>
    <w:rsid w:val="00AB49AA"/>
    <w:rsid w:val="00AB4AEC"/>
    <w:rsid w:val="00AB4B72"/>
    <w:rsid w:val="00AB508D"/>
    <w:rsid w:val="00AB5300"/>
    <w:rsid w:val="00AB555B"/>
    <w:rsid w:val="00AB57BB"/>
    <w:rsid w:val="00AB5BCD"/>
    <w:rsid w:val="00AB5D2D"/>
    <w:rsid w:val="00AB5E59"/>
    <w:rsid w:val="00AB5FC8"/>
    <w:rsid w:val="00AB67B3"/>
    <w:rsid w:val="00AB6AEA"/>
    <w:rsid w:val="00AB6F0E"/>
    <w:rsid w:val="00AB6F39"/>
    <w:rsid w:val="00AB719A"/>
    <w:rsid w:val="00AB733D"/>
    <w:rsid w:val="00AB7502"/>
    <w:rsid w:val="00AB75AF"/>
    <w:rsid w:val="00AB781D"/>
    <w:rsid w:val="00AB785B"/>
    <w:rsid w:val="00AB7D11"/>
    <w:rsid w:val="00AB7F8F"/>
    <w:rsid w:val="00AC0009"/>
    <w:rsid w:val="00AC032D"/>
    <w:rsid w:val="00AC078E"/>
    <w:rsid w:val="00AC08BE"/>
    <w:rsid w:val="00AC0A99"/>
    <w:rsid w:val="00AC0F23"/>
    <w:rsid w:val="00AC0FA6"/>
    <w:rsid w:val="00AC153C"/>
    <w:rsid w:val="00AC18F9"/>
    <w:rsid w:val="00AC1ACB"/>
    <w:rsid w:val="00AC1C95"/>
    <w:rsid w:val="00AC2031"/>
    <w:rsid w:val="00AC22E8"/>
    <w:rsid w:val="00AC28A3"/>
    <w:rsid w:val="00AC30A1"/>
    <w:rsid w:val="00AC34D7"/>
    <w:rsid w:val="00AC3824"/>
    <w:rsid w:val="00AC392A"/>
    <w:rsid w:val="00AC39CE"/>
    <w:rsid w:val="00AC3B49"/>
    <w:rsid w:val="00AC3D06"/>
    <w:rsid w:val="00AC3FFD"/>
    <w:rsid w:val="00AC40A4"/>
    <w:rsid w:val="00AC4218"/>
    <w:rsid w:val="00AC4267"/>
    <w:rsid w:val="00AC4AA9"/>
    <w:rsid w:val="00AC4D8D"/>
    <w:rsid w:val="00AC4F46"/>
    <w:rsid w:val="00AC505E"/>
    <w:rsid w:val="00AC5186"/>
    <w:rsid w:val="00AC530A"/>
    <w:rsid w:val="00AC53F6"/>
    <w:rsid w:val="00AC54D2"/>
    <w:rsid w:val="00AC557F"/>
    <w:rsid w:val="00AC55CB"/>
    <w:rsid w:val="00AC5630"/>
    <w:rsid w:val="00AC5B5F"/>
    <w:rsid w:val="00AC5C43"/>
    <w:rsid w:val="00AC650B"/>
    <w:rsid w:val="00AC683D"/>
    <w:rsid w:val="00AC6CD7"/>
    <w:rsid w:val="00AC6D2A"/>
    <w:rsid w:val="00AC6DFF"/>
    <w:rsid w:val="00AC708B"/>
    <w:rsid w:val="00AC76CD"/>
    <w:rsid w:val="00AC77B1"/>
    <w:rsid w:val="00AC7A60"/>
    <w:rsid w:val="00AC7A76"/>
    <w:rsid w:val="00AC7EB8"/>
    <w:rsid w:val="00AD0219"/>
    <w:rsid w:val="00AD0A1F"/>
    <w:rsid w:val="00AD0A20"/>
    <w:rsid w:val="00AD0B7D"/>
    <w:rsid w:val="00AD0BE9"/>
    <w:rsid w:val="00AD0D16"/>
    <w:rsid w:val="00AD0E01"/>
    <w:rsid w:val="00AD0E8E"/>
    <w:rsid w:val="00AD115B"/>
    <w:rsid w:val="00AD1337"/>
    <w:rsid w:val="00AD1521"/>
    <w:rsid w:val="00AD1648"/>
    <w:rsid w:val="00AD326E"/>
    <w:rsid w:val="00AD387E"/>
    <w:rsid w:val="00AD38D5"/>
    <w:rsid w:val="00AD39A1"/>
    <w:rsid w:val="00AD3C5D"/>
    <w:rsid w:val="00AD3C5F"/>
    <w:rsid w:val="00AD3D88"/>
    <w:rsid w:val="00AD3F52"/>
    <w:rsid w:val="00AD41C2"/>
    <w:rsid w:val="00AD44C5"/>
    <w:rsid w:val="00AD48EE"/>
    <w:rsid w:val="00AD5032"/>
    <w:rsid w:val="00AD5094"/>
    <w:rsid w:val="00AD62BF"/>
    <w:rsid w:val="00AD699F"/>
    <w:rsid w:val="00AD6AAD"/>
    <w:rsid w:val="00AD6D9E"/>
    <w:rsid w:val="00AD725F"/>
    <w:rsid w:val="00AD7586"/>
    <w:rsid w:val="00AD7B64"/>
    <w:rsid w:val="00AD7D2C"/>
    <w:rsid w:val="00AE02DC"/>
    <w:rsid w:val="00AE04CC"/>
    <w:rsid w:val="00AE0718"/>
    <w:rsid w:val="00AE081E"/>
    <w:rsid w:val="00AE08B5"/>
    <w:rsid w:val="00AE0BA1"/>
    <w:rsid w:val="00AE0C01"/>
    <w:rsid w:val="00AE0D10"/>
    <w:rsid w:val="00AE0D99"/>
    <w:rsid w:val="00AE13D5"/>
    <w:rsid w:val="00AE148F"/>
    <w:rsid w:val="00AE1513"/>
    <w:rsid w:val="00AE17FD"/>
    <w:rsid w:val="00AE18A7"/>
    <w:rsid w:val="00AE1918"/>
    <w:rsid w:val="00AE1DA8"/>
    <w:rsid w:val="00AE21FF"/>
    <w:rsid w:val="00AE2228"/>
    <w:rsid w:val="00AE2294"/>
    <w:rsid w:val="00AE2555"/>
    <w:rsid w:val="00AE2648"/>
    <w:rsid w:val="00AE2652"/>
    <w:rsid w:val="00AE2833"/>
    <w:rsid w:val="00AE292B"/>
    <w:rsid w:val="00AE2B38"/>
    <w:rsid w:val="00AE2DEE"/>
    <w:rsid w:val="00AE2E10"/>
    <w:rsid w:val="00AE30F3"/>
    <w:rsid w:val="00AE3152"/>
    <w:rsid w:val="00AE348E"/>
    <w:rsid w:val="00AE35C0"/>
    <w:rsid w:val="00AE36FD"/>
    <w:rsid w:val="00AE446B"/>
    <w:rsid w:val="00AE4809"/>
    <w:rsid w:val="00AE4C16"/>
    <w:rsid w:val="00AE4DFE"/>
    <w:rsid w:val="00AE4FC0"/>
    <w:rsid w:val="00AE5519"/>
    <w:rsid w:val="00AE57F6"/>
    <w:rsid w:val="00AE5991"/>
    <w:rsid w:val="00AE5EC1"/>
    <w:rsid w:val="00AE5F3D"/>
    <w:rsid w:val="00AE60E0"/>
    <w:rsid w:val="00AE6118"/>
    <w:rsid w:val="00AE6258"/>
    <w:rsid w:val="00AE62D0"/>
    <w:rsid w:val="00AE6492"/>
    <w:rsid w:val="00AE6E0C"/>
    <w:rsid w:val="00AE6EE4"/>
    <w:rsid w:val="00AE6EFF"/>
    <w:rsid w:val="00AE6F79"/>
    <w:rsid w:val="00AE70CF"/>
    <w:rsid w:val="00AE7243"/>
    <w:rsid w:val="00AE73C0"/>
    <w:rsid w:val="00AE73EC"/>
    <w:rsid w:val="00AE7574"/>
    <w:rsid w:val="00AE7856"/>
    <w:rsid w:val="00AE7A7E"/>
    <w:rsid w:val="00AE7F92"/>
    <w:rsid w:val="00AE7FB9"/>
    <w:rsid w:val="00AF01E0"/>
    <w:rsid w:val="00AF02D1"/>
    <w:rsid w:val="00AF0367"/>
    <w:rsid w:val="00AF0774"/>
    <w:rsid w:val="00AF0AEF"/>
    <w:rsid w:val="00AF0D17"/>
    <w:rsid w:val="00AF12C4"/>
    <w:rsid w:val="00AF141E"/>
    <w:rsid w:val="00AF1492"/>
    <w:rsid w:val="00AF1857"/>
    <w:rsid w:val="00AF18F3"/>
    <w:rsid w:val="00AF1A0B"/>
    <w:rsid w:val="00AF1E2B"/>
    <w:rsid w:val="00AF1E5E"/>
    <w:rsid w:val="00AF203C"/>
    <w:rsid w:val="00AF257E"/>
    <w:rsid w:val="00AF28DE"/>
    <w:rsid w:val="00AF29B7"/>
    <w:rsid w:val="00AF29B9"/>
    <w:rsid w:val="00AF29FC"/>
    <w:rsid w:val="00AF2BBD"/>
    <w:rsid w:val="00AF2EBE"/>
    <w:rsid w:val="00AF2EF7"/>
    <w:rsid w:val="00AF2FB6"/>
    <w:rsid w:val="00AF3079"/>
    <w:rsid w:val="00AF33B3"/>
    <w:rsid w:val="00AF3C59"/>
    <w:rsid w:val="00AF3EB8"/>
    <w:rsid w:val="00AF3F34"/>
    <w:rsid w:val="00AF413B"/>
    <w:rsid w:val="00AF42D2"/>
    <w:rsid w:val="00AF46FB"/>
    <w:rsid w:val="00AF4703"/>
    <w:rsid w:val="00AF4756"/>
    <w:rsid w:val="00AF4811"/>
    <w:rsid w:val="00AF4B0C"/>
    <w:rsid w:val="00AF4EB3"/>
    <w:rsid w:val="00AF5473"/>
    <w:rsid w:val="00AF586A"/>
    <w:rsid w:val="00AF5FD9"/>
    <w:rsid w:val="00AF60A3"/>
    <w:rsid w:val="00AF62B8"/>
    <w:rsid w:val="00AF63C0"/>
    <w:rsid w:val="00AF6608"/>
    <w:rsid w:val="00AF6756"/>
    <w:rsid w:val="00AF6895"/>
    <w:rsid w:val="00AF6B3C"/>
    <w:rsid w:val="00AF6B4F"/>
    <w:rsid w:val="00AF6C09"/>
    <w:rsid w:val="00AF6C84"/>
    <w:rsid w:val="00AF6CEE"/>
    <w:rsid w:val="00AF6DEA"/>
    <w:rsid w:val="00AF72D7"/>
    <w:rsid w:val="00AF73A7"/>
    <w:rsid w:val="00AF73B0"/>
    <w:rsid w:val="00AF7429"/>
    <w:rsid w:val="00AF74F3"/>
    <w:rsid w:val="00AF768B"/>
    <w:rsid w:val="00AF7C2F"/>
    <w:rsid w:val="00B001A6"/>
    <w:rsid w:val="00B00259"/>
    <w:rsid w:val="00B002CB"/>
    <w:rsid w:val="00B0053B"/>
    <w:rsid w:val="00B00844"/>
    <w:rsid w:val="00B009AA"/>
    <w:rsid w:val="00B00D08"/>
    <w:rsid w:val="00B00D9B"/>
    <w:rsid w:val="00B00DFE"/>
    <w:rsid w:val="00B01050"/>
    <w:rsid w:val="00B01172"/>
    <w:rsid w:val="00B012E9"/>
    <w:rsid w:val="00B0193D"/>
    <w:rsid w:val="00B01972"/>
    <w:rsid w:val="00B01C99"/>
    <w:rsid w:val="00B01CD2"/>
    <w:rsid w:val="00B026A1"/>
    <w:rsid w:val="00B02820"/>
    <w:rsid w:val="00B02B97"/>
    <w:rsid w:val="00B02D82"/>
    <w:rsid w:val="00B02F64"/>
    <w:rsid w:val="00B032E0"/>
    <w:rsid w:val="00B0352F"/>
    <w:rsid w:val="00B03696"/>
    <w:rsid w:val="00B03892"/>
    <w:rsid w:val="00B038AD"/>
    <w:rsid w:val="00B038C8"/>
    <w:rsid w:val="00B03C15"/>
    <w:rsid w:val="00B03C58"/>
    <w:rsid w:val="00B03CD8"/>
    <w:rsid w:val="00B03CF4"/>
    <w:rsid w:val="00B04040"/>
    <w:rsid w:val="00B04BF7"/>
    <w:rsid w:val="00B04EAB"/>
    <w:rsid w:val="00B0516D"/>
    <w:rsid w:val="00B0539E"/>
    <w:rsid w:val="00B05555"/>
    <w:rsid w:val="00B05613"/>
    <w:rsid w:val="00B05693"/>
    <w:rsid w:val="00B05758"/>
    <w:rsid w:val="00B05966"/>
    <w:rsid w:val="00B05DCA"/>
    <w:rsid w:val="00B05E4E"/>
    <w:rsid w:val="00B061BF"/>
    <w:rsid w:val="00B062E4"/>
    <w:rsid w:val="00B06856"/>
    <w:rsid w:val="00B06974"/>
    <w:rsid w:val="00B06AA6"/>
    <w:rsid w:val="00B070D3"/>
    <w:rsid w:val="00B071A6"/>
    <w:rsid w:val="00B07268"/>
    <w:rsid w:val="00B07410"/>
    <w:rsid w:val="00B07577"/>
    <w:rsid w:val="00B07906"/>
    <w:rsid w:val="00B079A0"/>
    <w:rsid w:val="00B07A1A"/>
    <w:rsid w:val="00B07B37"/>
    <w:rsid w:val="00B10135"/>
    <w:rsid w:val="00B1073C"/>
    <w:rsid w:val="00B10E69"/>
    <w:rsid w:val="00B111AB"/>
    <w:rsid w:val="00B1143E"/>
    <w:rsid w:val="00B1147C"/>
    <w:rsid w:val="00B117DD"/>
    <w:rsid w:val="00B118BD"/>
    <w:rsid w:val="00B11B67"/>
    <w:rsid w:val="00B11F93"/>
    <w:rsid w:val="00B12165"/>
    <w:rsid w:val="00B1297B"/>
    <w:rsid w:val="00B12ADE"/>
    <w:rsid w:val="00B12AE8"/>
    <w:rsid w:val="00B12BAB"/>
    <w:rsid w:val="00B12F9C"/>
    <w:rsid w:val="00B130BE"/>
    <w:rsid w:val="00B13801"/>
    <w:rsid w:val="00B13A67"/>
    <w:rsid w:val="00B13CBA"/>
    <w:rsid w:val="00B13CDA"/>
    <w:rsid w:val="00B13D84"/>
    <w:rsid w:val="00B1403A"/>
    <w:rsid w:val="00B1428B"/>
    <w:rsid w:val="00B14395"/>
    <w:rsid w:val="00B14524"/>
    <w:rsid w:val="00B1453A"/>
    <w:rsid w:val="00B145C0"/>
    <w:rsid w:val="00B14C0F"/>
    <w:rsid w:val="00B150F3"/>
    <w:rsid w:val="00B1552A"/>
    <w:rsid w:val="00B156FB"/>
    <w:rsid w:val="00B15764"/>
    <w:rsid w:val="00B15963"/>
    <w:rsid w:val="00B15B98"/>
    <w:rsid w:val="00B15BB2"/>
    <w:rsid w:val="00B15C38"/>
    <w:rsid w:val="00B16063"/>
    <w:rsid w:val="00B16279"/>
    <w:rsid w:val="00B166D1"/>
    <w:rsid w:val="00B1686A"/>
    <w:rsid w:val="00B1698F"/>
    <w:rsid w:val="00B16A55"/>
    <w:rsid w:val="00B16B06"/>
    <w:rsid w:val="00B16E75"/>
    <w:rsid w:val="00B16E83"/>
    <w:rsid w:val="00B178FD"/>
    <w:rsid w:val="00B1795B"/>
    <w:rsid w:val="00B17972"/>
    <w:rsid w:val="00B179AD"/>
    <w:rsid w:val="00B179DF"/>
    <w:rsid w:val="00B179E6"/>
    <w:rsid w:val="00B17D40"/>
    <w:rsid w:val="00B17DA0"/>
    <w:rsid w:val="00B2007D"/>
    <w:rsid w:val="00B201A2"/>
    <w:rsid w:val="00B2042B"/>
    <w:rsid w:val="00B2053A"/>
    <w:rsid w:val="00B2063E"/>
    <w:rsid w:val="00B206B0"/>
    <w:rsid w:val="00B206B7"/>
    <w:rsid w:val="00B20A31"/>
    <w:rsid w:val="00B20E4C"/>
    <w:rsid w:val="00B21182"/>
    <w:rsid w:val="00B217F8"/>
    <w:rsid w:val="00B21CB6"/>
    <w:rsid w:val="00B21D14"/>
    <w:rsid w:val="00B22246"/>
    <w:rsid w:val="00B227E4"/>
    <w:rsid w:val="00B22E7B"/>
    <w:rsid w:val="00B23843"/>
    <w:rsid w:val="00B23A42"/>
    <w:rsid w:val="00B24020"/>
    <w:rsid w:val="00B242EA"/>
    <w:rsid w:val="00B24573"/>
    <w:rsid w:val="00B24DCB"/>
    <w:rsid w:val="00B24FFD"/>
    <w:rsid w:val="00B25025"/>
    <w:rsid w:val="00B250A6"/>
    <w:rsid w:val="00B26048"/>
    <w:rsid w:val="00B26074"/>
    <w:rsid w:val="00B26448"/>
    <w:rsid w:val="00B26B95"/>
    <w:rsid w:val="00B26F31"/>
    <w:rsid w:val="00B27073"/>
    <w:rsid w:val="00B2743E"/>
    <w:rsid w:val="00B277E0"/>
    <w:rsid w:val="00B27A43"/>
    <w:rsid w:val="00B27AD3"/>
    <w:rsid w:val="00B27E53"/>
    <w:rsid w:val="00B27EC4"/>
    <w:rsid w:val="00B3039D"/>
    <w:rsid w:val="00B30617"/>
    <w:rsid w:val="00B309E3"/>
    <w:rsid w:val="00B30A08"/>
    <w:rsid w:val="00B30CC6"/>
    <w:rsid w:val="00B311C2"/>
    <w:rsid w:val="00B318AC"/>
    <w:rsid w:val="00B31962"/>
    <w:rsid w:val="00B31F0A"/>
    <w:rsid w:val="00B32093"/>
    <w:rsid w:val="00B321BD"/>
    <w:rsid w:val="00B32209"/>
    <w:rsid w:val="00B32493"/>
    <w:rsid w:val="00B32F83"/>
    <w:rsid w:val="00B33114"/>
    <w:rsid w:val="00B33140"/>
    <w:rsid w:val="00B3339E"/>
    <w:rsid w:val="00B335B4"/>
    <w:rsid w:val="00B33717"/>
    <w:rsid w:val="00B33D0E"/>
    <w:rsid w:val="00B33E6A"/>
    <w:rsid w:val="00B34018"/>
    <w:rsid w:val="00B3404E"/>
    <w:rsid w:val="00B3426B"/>
    <w:rsid w:val="00B34422"/>
    <w:rsid w:val="00B34632"/>
    <w:rsid w:val="00B346C0"/>
    <w:rsid w:val="00B34B4E"/>
    <w:rsid w:val="00B34C8B"/>
    <w:rsid w:val="00B34D24"/>
    <w:rsid w:val="00B34DD3"/>
    <w:rsid w:val="00B3541D"/>
    <w:rsid w:val="00B363CB"/>
    <w:rsid w:val="00B3669D"/>
    <w:rsid w:val="00B366A5"/>
    <w:rsid w:val="00B3694C"/>
    <w:rsid w:val="00B3699F"/>
    <w:rsid w:val="00B36A0F"/>
    <w:rsid w:val="00B36B96"/>
    <w:rsid w:val="00B36C5E"/>
    <w:rsid w:val="00B37068"/>
    <w:rsid w:val="00B37078"/>
    <w:rsid w:val="00B373F6"/>
    <w:rsid w:val="00B3741E"/>
    <w:rsid w:val="00B37729"/>
    <w:rsid w:val="00B37844"/>
    <w:rsid w:val="00B3791E"/>
    <w:rsid w:val="00B37AE5"/>
    <w:rsid w:val="00B40058"/>
    <w:rsid w:val="00B40398"/>
    <w:rsid w:val="00B403CC"/>
    <w:rsid w:val="00B40578"/>
    <w:rsid w:val="00B4062E"/>
    <w:rsid w:val="00B40637"/>
    <w:rsid w:val="00B40657"/>
    <w:rsid w:val="00B407A9"/>
    <w:rsid w:val="00B418C6"/>
    <w:rsid w:val="00B41D7A"/>
    <w:rsid w:val="00B41F72"/>
    <w:rsid w:val="00B41FEF"/>
    <w:rsid w:val="00B420BE"/>
    <w:rsid w:val="00B420ED"/>
    <w:rsid w:val="00B423C0"/>
    <w:rsid w:val="00B42596"/>
    <w:rsid w:val="00B426A7"/>
    <w:rsid w:val="00B42784"/>
    <w:rsid w:val="00B4278E"/>
    <w:rsid w:val="00B42EB7"/>
    <w:rsid w:val="00B42F9C"/>
    <w:rsid w:val="00B4308E"/>
    <w:rsid w:val="00B43205"/>
    <w:rsid w:val="00B434F6"/>
    <w:rsid w:val="00B43933"/>
    <w:rsid w:val="00B43990"/>
    <w:rsid w:val="00B43B62"/>
    <w:rsid w:val="00B43D48"/>
    <w:rsid w:val="00B4417E"/>
    <w:rsid w:val="00B44227"/>
    <w:rsid w:val="00B44292"/>
    <w:rsid w:val="00B442B4"/>
    <w:rsid w:val="00B443D2"/>
    <w:rsid w:val="00B44482"/>
    <w:rsid w:val="00B45402"/>
    <w:rsid w:val="00B455CA"/>
    <w:rsid w:val="00B45720"/>
    <w:rsid w:val="00B45AF1"/>
    <w:rsid w:val="00B45CDC"/>
    <w:rsid w:val="00B45FCA"/>
    <w:rsid w:val="00B4614A"/>
    <w:rsid w:val="00B463A5"/>
    <w:rsid w:val="00B464C1"/>
    <w:rsid w:val="00B465DC"/>
    <w:rsid w:val="00B46D01"/>
    <w:rsid w:val="00B47281"/>
    <w:rsid w:val="00B47576"/>
    <w:rsid w:val="00B47590"/>
    <w:rsid w:val="00B47638"/>
    <w:rsid w:val="00B4774C"/>
    <w:rsid w:val="00B477A2"/>
    <w:rsid w:val="00B477BE"/>
    <w:rsid w:val="00B479C0"/>
    <w:rsid w:val="00B47E5B"/>
    <w:rsid w:val="00B50106"/>
    <w:rsid w:val="00B502BF"/>
    <w:rsid w:val="00B503D4"/>
    <w:rsid w:val="00B5050F"/>
    <w:rsid w:val="00B5099B"/>
    <w:rsid w:val="00B50ACC"/>
    <w:rsid w:val="00B50DDD"/>
    <w:rsid w:val="00B50FCD"/>
    <w:rsid w:val="00B510F7"/>
    <w:rsid w:val="00B51368"/>
    <w:rsid w:val="00B516A9"/>
    <w:rsid w:val="00B51790"/>
    <w:rsid w:val="00B51A59"/>
    <w:rsid w:val="00B51BF0"/>
    <w:rsid w:val="00B51F74"/>
    <w:rsid w:val="00B51FAC"/>
    <w:rsid w:val="00B51FC8"/>
    <w:rsid w:val="00B52490"/>
    <w:rsid w:val="00B53260"/>
    <w:rsid w:val="00B533FA"/>
    <w:rsid w:val="00B53401"/>
    <w:rsid w:val="00B53413"/>
    <w:rsid w:val="00B5373F"/>
    <w:rsid w:val="00B538AF"/>
    <w:rsid w:val="00B53C35"/>
    <w:rsid w:val="00B53CA9"/>
    <w:rsid w:val="00B53F96"/>
    <w:rsid w:val="00B5427E"/>
    <w:rsid w:val="00B54385"/>
    <w:rsid w:val="00B548DA"/>
    <w:rsid w:val="00B54EE9"/>
    <w:rsid w:val="00B55B67"/>
    <w:rsid w:val="00B55DC7"/>
    <w:rsid w:val="00B55FBB"/>
    <w:rsid w:val="00B56645"/>
    <w:rsid w:val="00B56AC9"/>
    <w:rsid w:val="00B56AF5"/>
    <w:rsid w:val="00B56DDB"/>
    <w:rsid w:val="00B56E26"/>
    <w:rsid w:val="00B57287"/>
    <w:rsid w:val="00B57370"/>
    <w:rsid w:val="00B60028"/>
    <w:rsid w:val="00B60047"/>
    <w:rsid w:val="00B601B9"/>
    <w:rsid w:val="00B602DC"/>
    <w:rsid w:val="00B60ADF"/>
    <w:rsid w:val="00B60B6F"/>
    <w:rsid w:val="00B60E80"/>
    <w:rsid w:val="00B60E83"/>
    <w:rsid w:val="00B6108C"/>
    <w:rsid w:val="00B6155C"/>
    <w:rsid w:val="00B615E7"/>
    <w:rsid w:val="00B616ED"/>
    <w:rsid w:val="00B61764"/>
    <w:rsid w:val="00B61A85"/>
    <w:rsid w:val="00B61CDC"/>
    <w:rsid w:val="00B61EE8"/>
    <w:rsid w:val="00B62433"/>
    <w:rsid w:val="00B62469"/>
    <w:rsid w:val="00B62573"/>
    <w:rsid w:val="00B627E9"/>
    <w:rsid w:val="00B62845"/>
    <w:rsid w:val="00B62A91"/>
    <w:rsid w:val="00B63166"/>
    <w:rsid w:val="00B63380"/>
    <w:rsid w:val="00B63889"/>
    <w:rsid w:val="00B63A58"/>
    <w:rsid w:val="00B63BF8"/>
    <w:rsid w:val="00B63EEA"/>
    <w:rsid w:val="00B6406E"/>
    <w:rsid w:val="00B64308"/>
    <w:rsid w:val="00B645BA"/>
    <w:rsid w:val="00B645D2"/>
    <w:rsid w:val="00B6470B"/>
    <w:rsid w:val="00B64A61"/>
    <w:rsid w:val="00B64CAD"/>
    <w:rsid w:val="00B64CC1"/>
    <w:rsid w:val="00B64DFB"/>
    <w:rsid w:val="00B64EE2"/>
    <w:rsid w:val="00B653CA"/>
    <w:rsid w:val="00B654F8"/>
    <w:rsid w:val="00B65A44"/>
    <w:rsid w:val="00B65AF1"/>
    <w:rsid w:val="00B65BC4"/>
    <w:rsid w:val="00B65CB6"/>
    <w:rsid w:val="00B65E5A"/>
    <w:rsid w:val="00B662A2"/>
    <w:rsid w:val="00B66B66"/>
    <w:rsid w:val="00B66C90"/>
    <w:rsid w:val="00B66D36"/>
    <w:rsid w:val="00B66D47"/>
    <w:rsid w:val="00B66DA0"/>
    <w:rsid w:val="00B6722C"/>
    <w:rsid w:val="00B6730C"/>
    <w:rsid w:val="00B6733F"/>
    <w:rsid w:val="00B67858"/>
    <w:rsid w:val="00B67DC5"/>
    <w:rsid w:val="00B67ECE"/>
    <w:rsid w:val="00B67F97"/>
    <w:rsid w:val="00B67FDC"/>
    <w:rsid w:val="00B704F6"/>
    <w:rsid w:val="00B70667"/>
    <w:rsid w:val="00B7069D"/>
    <w:rsid w:val="00B71CCC"/>
    <w:rsid w:val="00B71CCF"/>
    <w:rsid w:val="00B71CF3"/>
    <w:rsid w:val="00B720C1"/>
    <w:rsid w:val="00B7218E"/>
    <w:rsid w:val="00B72209"/>
    <w:rsid w:val="00B72420"/>
    <w:rsid w:val="00B72570"/>
    <w:rsid w:val="00B72705"/>
    <w:rsid w:val="00B7271B"/>
    <w:rsid w:val="00B727F2"/>
    <w:rsid w:val="00B72A4F"/>
    <w:rsid w:val="00B72CC5"/>
    <w:rsid w:val="00B730AC"/>
    <w:rsid w:val="00B732A3"/>
    <w:rsid w:val="00B733D7"/>
    <w:rsid w:val="00B7341E"/>
    <w:rsid w:val="00B7353D"/>
    <w:rsid w:val="00B735F8"/>
    <w:rsid w:val="00B737D4"/>
    <w:rsid w:val="00B73D26"/>
    <w:rsid w:val="00B74424"/>
    <w:rsid w:val="00B744BB"/>
    <w:rsid w:val="00B74F27"/>
    <w:rsid w:val="00B75213"/>
    <w:rsid w:val="00B7558B"/>
    <w:rsid w:val="00B75637"/>
    <w:rsid w:val="00B759C4"/>
    <w:rsid w:val="00B75D9A"/>
    <w:rsid w:val="00B76182"/>
    <w:rsid w:val="00B76280"/>
    <w:rsid w:val="00B7648D"/>
    <w:rsid w:val="00B76633"/>
    <w:rsid w:val="00B76755"/>
    <w:rsid w:val="00B769C9"/>
    <w:rsid w:val="00B76AEE"/>
    <w:rsid w:val="00B76B31"/>
    <w:rsid w:val="00B76C1C"/>
    <w:rsid w:val="00B76D1F"/>
    <w:rsid w:val="00B77007"/>
    <w:rsid w:val="00B77020"/>
    <w:rsid w:val="00B7738B"/>
    <w:rsid w:val="00B77B3D"/>
    <w:rsid w:val="00B77D6D"/>
    <w:rsid w:val="00B80014"/>
    <w:rsid w:val="00B807A3"/>
    <w:rsid w:val="00B808AF"/>
    <w:rsid w:val="00B80D10"/>
    <w:rsid w:val="00B80D6C"/>
    <w:rsid w:val="00B80D79"/>
    <w:rsid w:val="00B81051"/>
    <w:rsid w:val="00B8126E"/>
    <w:rsid w:val="00B81278"/>
    <w:rsid w:val="00B813A0"/>
    <w:rsid w:val="00B813B5"/>
    <w:rsid w:val="00B81550"/>
    <w:rsid w:val="00B81BB5"/>
    <w:rsid w:val="00B81C81"/>
    <w:rsid w:val="00B81CEF"/>
    <w:rsid w:val="00B82149"/>
    <w:rsid w:val="00B82452"/>
    <w:rsid w:val="00B825E9"/>
    <w:rsid w:val="00B82637"/>
    <w:rsid w:val="00B82AED"/>
    <w:rsid w:val="00B82B86"/>
    <w:rsid w:val="00B831A5"/>
    <w:rsid w:val="00B83668"/>
    <w:rsid w:val="00B83698"/>
    <w:rsid w:val="00B83A9D"/>
    <w:rsid w:val="00B83BF0"/>
    <w:rsid w:val="00B83C87"/>
    <w:rsid w:val="00B8406D"/>
    <w:rsid w:val="00B84409"/>
    <w:rsid w:val="00B84441"/>
    <w:rsid w:val="00B84795"/>
    <w:rsid w:val="00B84A5D"/>
    <w:rsid w:val="00B84D65"/>
    <w:rsid w:val="00B84D89"/>
    <w:rsid w:val="00B85216"/>
    <w:rsid w:val="00B8570E"/>
    <w:rsid w:val="00B857F1"/>
    <w:rsid w:val="00B85839"/>
    <w:rsid w:val="00B85C53"/>
    <w:rsid w:val="00B8618F"/>
    <w:rsid w:val="00B862F4"/>
    <w:rsid w:val="00B8635D"/>
    <w:rsid w:val="00B86487"/>
    <w:rsid w:val="00B86A70"/>
    <w:rsid w:val="00B86C2D"/>
    <w:rsid w:val="00B86ECA"/>
    <w:rsid w:val="00B87673"/>
    <w:rsid w:val="00B87755"/>
    <w:rsid w:val="00B87CC1"/>
    <w:rsid w:val="00B907C7"/>
    <w:rsid w:val="00B90809"/>
    <w:rsid w:val="00B90921"/>
    <w:rsid w:val="00B90A5E"/>
    <w:rsid w:val="00B90AB1"/>
    <w:rsid w:val="00B90F1C"/>
    <w:rsid w:val="00B90FEF"/>
    <w:rsid w:val="00B91189"/>
    <w:rsid w:val="00B9133C"/>
    <w:rsid w:val="00B916A5"/>
    <w:rsid w:val="00B9189B"/>
    <w:rsid w:val="00B919D8"/>
    <w:rsid w:val="00B91AC1"/>
    <w:rsid w:val="00B91B42"/>
    <w:rsid w:val="00B91B9D"/>
    <w:rsid w:val="00B91C7B"/>
    <w:rsid w:val="00B92027"/>
    <w:rsid w:val="00B92390"/>
    <w:rsid w:val="00B923CD"/>
    <w:rsid w:val="00B92C99"/>
    <w:rsid w:val="00B931E0"/>
    <w:rsid w:val="00B93215"/>
    <w:rsid w:val="00B932DF"/>
    <w:rsid w:val="00B936AC"/>
    <w:rsid w:val="00B9382A"/>
    <w:rsid w:val="00B93A4D"/>
    <w:rsid w:val="00B93AC0"/>
    <w:rsid w:val="00B93B65"/>
    <w:rsid w:val="00B93CBF"/>
    <w:rsid w:val="00B93E60"/>
    <w:rsid w:val="00B9426E"/>
    <w:rsid w:val="00B9437C"/>
    <w:rsid w:val="00B94521"/>
    <w:rsid w:val="00B945EC"/>
    <w:rsid w:val="00B94623"/>
    <w:rsid w:val="00B94628"/>
    <w:rsid w:val="00B947EA"/>
    <w:rsid w:val="00B94854"/>
    <w:rsid w:val="00B9492D"/>
    <w:rsid w:val="00B94ADE"/>
    <w:rsid w:val="00B94E8F"/>
    <w:rsid w:val="00B94F92"/>
    <w:rsid w:val="00B95024"/>
    <w:rsid w:val="00B9502E"/>
    <w:rsid w:val="00B95223"/>
    <w:rsid w:val="00B9541C"/>
    <w:rsid w:val="00B9545F"/>
    <w:rsid w:val="00B955D6"/>
    <w:rsid w:val="00B95878"/>
    <w:rsid w:val="00B958C3"/>
    <w:rsid w:val="00B95C5E"/>
    <w:rsid w:val="00B95CB7"/>
    <w:rsid w:val="00B95FC7"/>
    <w:rsid w:val="00B96071"/>
    <w:rsid w:val="00B96244"/>
    <w:rsid w:val="00B9639B"/>
    <w:rsid w:val="00B968C5"/>
    <w:rsid w:val="00B96A30"/>
    <w:rsid w:val="00B96ABB"/>
    <w:rsid w:val="00B96C11"/>
    <w:rsid w:val="00B96DCD"/>
    <w:rsid w:val="00B96E87"/>
    <w:rsid w:val="00B9728A"/>
    <w:rsid w:val="00B97327"/>
    <w:rsid w:val="00B97627"/>
    <w:rsid w:val="00B9793B"/>
    <w:rsid w:val="00B97953"/>
    <w:rsid w:val="00B97C71"/>
    <w:rsid w:val="00BA0092"/>
    <w:rsid w:val="00BA098C"/>
    <w:rsid w:val="00BA09CB"/>
    <w:rsid w:val="00BA0EC1"/>
    <w:rsid w:val="00BA0ED1"/>
    <w:rsid w:val="00BA0F41"/>
    <w:rsid w:val="00BA0F9E"/>
    <w:rsid w:val="00BA1064"/>
    <w:rsid w:val="00BA117B"/>
    <w:rsid w:val="00BA1907"/>
    <w:rsid w:val="00BA2793"/>
    <w:rsid w:val="00BA29F5"/>
    <w:rsid w:val="00BA325B"/>
    <w:rsid w:val="00BA3513"/>
    <w:rsid w:val="00BA3624"/>
    <w:rsid w:val="00BA3654"/>
    <w:rsid w:val="00BA36D9"/>
    <w:rsid w:val="00BA3AD5"/>
    <w:rsid w:val="00BA3C85"/>
    <w:rsid w:val="00BA3FBA"/>
    <w:rsid w:val="00BA4456"/>
    <w:rsid w:val="00BA461D"/>
    <w:rsid w:val="00BA4773"/>
    <w:rsid w:val="00BA47B1"/>
    <w:rsid w:val="00BA4981"/>
    <w:rsid w:val="00BA4AB3"/>
    <w:rsid w:val="00BA4AB7"/>
    <w:rsid w:val="00BA4BE6"/>
    <w:rsid w:val="00BA4D12"/>
    <w:rsid w:val="00BA4D72"/>
    <w:rsid w:val="00BA4E3B"/>
    <w:rsid w:val="00BA5287"/>
    <w:rsid w:val="00BA552C"/>
    <w:rsid w:val="00BA55C0"/>
    <w:rsid w:val="00BA57D4"/>
    <w:rsid w:val="00BA5AEA"/>
    <w:rsid w:val="00BA5D4C"/>
    <w:rsid w:val="00BA5E6F"/>
    <w:rsid w:val="00BA6254"/>
    <w:rsid w:val="00BA635D"/>
    <w:rsid w:val="00BA64D1"/>
    <w:rsid w:val="00BA6608"/>
    <w:rsid w:val="00BA6651"/>
    <w:rsid w:val="00BA669B"/>
    <w:rsid w:val="00BA6BB6"/>
    <w:rsid w:val="00BA6FF7"/>
    <w:rsid w:val="00BA73F7"/>
    <w:rsid w:val="00BA745E"/>
    <w:rsid w:val="00BA75DF"/>
    <w:rsid w:val="00BA76B9"/>
    <w:rsid w:val="00BA7CF0"/>
    <w:rsid w:val="00BA7D66"/>
    <w:rsid w:val="00BB0263"/>
    <w:rsid w:val="00BB0C22"/>
    <w:rsid w:val="00BB0C3B"/>
    <w:rsid w:val="00BB0F04"/>
    <w:rsid w:val="00BB1083"/>
    <w:rsid w:val="00BB13F3"/>
    <w:rsid w:val="00BB16FA"/>
    <w:rsid w:val="00BB1914"/>
    <w:rsid w:val="00BB194A"/>
    <w:rsid w:val="00BB1954"/>
    <w:rsid w:val="00BB1B7D"/>
    <w:rsid w:val="00BB1DEE"/>
    <w:rsid w:val="00BB21C6"/>
    <w:rsid w:val="00BB2BD9"/>
    <w:rsid w:val="00BB2E8D"/>
    <w:rsid w:val="00BB3281"/>
    <w:rsid w:val="00BB34A4"/>
    <w:rsid w:val="00BB370F"/>
    <w:rsid w:val="00BB3B7F"/>
    <w:rsid w:val="00BB3C35"/>
    <w:rsid w:val="00BB3D66"/>
    <w:rsid w:val="00BB494B"/>
    <w:rsid w:val="00BB4BE6"/>
    <w:rsid w:val="00BB5222"/>
    <w:rsid w:val="00BB550A"/>
    <w:rsid w:val="00BB5E4E"/>
    <w:rsid w:val="00BB5F8C"/>
    <w:rsid w:val="00BB607B"/>
    <w:rsid w:val="00BB655A"/>
    <w:rsid w:val="00BB6889"/>
    <w:rsid w:val="00BB69BD"/>
    <w:rsid w:val="00BB6E63"/>
    <w:rsid w:val="00BB7095"/>
    <w:rsid w:val="00BB7510"/>
    <w:rsid w:val="00BB751D"/>
    <w:rsid w:val="00BB7714"/>
    <w:rsid w:val="00BB774C"/>
    <w:rsid w:val="00BB77F6"/>
    <w:rsid w:val="00BB7DDC"/>
    <w:rsid w:val="00BB7EC9"/>
    <w:rsid w:val="00BC04FD"/>
    <w:rsid w:val="00BC0CDF"/>
    <w:rsid w:val="00BC0D19"/>
    <w:rsid w:val="00BC0E6A"/>
    <w:rsid w:val="00BC10F7"/>
    <w:rsid w:val="00BC1466"/>
    <w:rsid w:val="00BC1574"/>
    <w:rsid w:val="00BC1830"/>
    <w:rsid w:val="00BC1899"/>
    <w:rsid w:val="00BC19D1"/>
    <w:rsid w:val="00BC1A44"/>
    <w:rsid w:val="00BC1A77"/>
    <w:rsid w:val="00BC1A8B"/>
    <w:rsid w:val="00BC1E65"/>
    <w:rsid w:val="00BC1F48"/>
    <w:rsid w:val="00BC20C6"/>
    <w:rsid w:val="00BC2140"/>
    <w:rsid w:val="00BC290E"/>
    <w:rsid w:val="00BC2CE8"/>
    <w:rsid w:val="00BC2D72"/>
    <w:rsid w:val="00BC2E3B"/>
    <w:rsid w:val="00BC2FBB"/>
    <w:rsid w:val="00BC3034"/>
    <w:rsid w:val="00BC36FE"/>
    <w:rsid w:val="00BC37DA"/>
    <w:rsid w:val="00BC398A"/>
    <w:rsid w:val="00BC3E78"/>
    <w:rsid w:val="00BC3F8D"/>
    <w:rsid w:val="00BC3FE4"/>
    <w:rsid w:val="00BC4195"/>
    <w:rsid w:val="00BC4273"/>
    <w:rsid w:val="00BC4287"/>
    <w:rsid w:val="00BC44EB"/>
    <w:rsid w:val="00BC461A"/>
    <w:rsid w:val="00BC46CD"/>
    <w:rsid w:val="00BC4716"/>
    <w:rsid w:val="00BC4873"/>
    <w:rsid w:val="00BC498C"/>
    <w:rsid w:val="00BC4B09"/>
    <w:rsid w:val="00BC4EBF"/>
    <w:rsid w:val="00BC53FB"/>
    <w:rsid w:val="00BC5D4E"/>
    <w:rsid w:val="00BC60A3"/>
    <w:rsid w:val="00BC6215"/>
    <w:rsid w:val="00BC62EB"/>
    <w:rsid w:val="00BC6434"/>
    <w:rsid w:val="00BC6734"/>
    <w:rsid w:val="00BC682C"/>
    <w:rsid w:val="00BC6C50"/>
    <w:rsid w:val="00BC7337"/>
    <w:rsid w:val="00BC7410"/>
    <w:rsid w:val="00BC7432"/>
    <w:rsid w:val="00BC790C"/>
    <w:rsid w:val="00BC7B73"/>
    <w:rsid w:val="00BC7D57"/>
    <w:rsid w:val="00BC7EB1"/>
    <w:rsid w:val="00BD0748"/>
    <w:rsid w:val="00BD10C8"/>
    <w:rsid w:val="00BD121A"/>
    <w:rsid w:val="00BD1513"/>
    <w:rsid w:val="00BD168F"/>
    <w:rsid w:val="00BD1B0D"/>
    <w:rsid w:val="00BD21D7"/>
    <w:rsid w:val="00BD2516"/>
    <w:rsid w:val="00BD252A"/>
    <w:rsid w:val="00BD25E9"/>
    <w:rsid w:val="00BD25F6"/>
    <w:rsid w:val="00BD2680"/>
    <w:rsid w:val="00BD268A"/>
    <w:rsid w:val="00BD27F8"/>
    <w:rsid w:val="00BD28E1"/>
    <w:rsid w:val="00BD2ADD"/>
    <w:rsid w:val="00BD2FA0"/>
    <w:rsid w:val="00BD3347"/>
    <w:rsid w:val="00BD3699"/>
    <w:rsid w:val="00BD370C"/>
    <w:rsid w:val="00BD3988"/>
    <w:rsid w:val="00BD3B03"/>
    <w:rsid w:val="00BD3D3D"/>
    <w:rsid w:val="00BD3EAA"/>
    <w:rsid w:val="00BD4100"/>
    <w:rsid w:val="00BD416D"/>
    <w:rsid w:val="00BD439C"/>
    <w:rsid w:val="00BD44E0"/>
    <w:rsid w:val="00BD4732"/>
    <w:rsid w:val="00BD49BA"/>
    <w:rsid w:val="00BD49EF"/>
    <w:rsid w:val="00BD4DFD"/>
    <w:rsid w:val="00BD501C"/>
    <w:rsid w:val="00BD53CB"/>
    <w:rsid w:val="00BD55D6"/>
    <w:rsid w:val="00BD574E"/>
    <w:rsid w:val="00BD583B"/>
    <w:rsid w:val="00BD5889"/>
    <w:rsid w:val="00BD58C9"/>
    <w:rsid w:val="00BD58E5"/>
    <w:rsid w:val="00BD5969"/>
    <w:rsid w:val="00BD5E69"/>
    <w:rsid w:val="00BD61FB"/>
    <w:rsid w:val="00BD6394"/>
    <w:rsid w:val="00BD6407"/>
    <w:rsid w:val="00BD641D"/>
    <w:rsid w:val="00BD647A"/>
    <w:rsid w:val="00BD6534"/>
    <w:rsid w:val="00BD65A5"/>
    <w:rsid w:val="00BD6685"/>
    <w:rsid w:val="00BD6721"/>
    <w:rsid w:val="00BD67F9"/>
    <w:rsid w:val="00BD6DE0"/>
    <w:rsid w:val="00BD6E17"/>
    <w:rsid w:val="00BD72E4"/>
    <w:rsid w:val="00BD75C3"/>
    <w:rsid w:val="00BD783A"/>
    <w:rsid w:val="00BD7876"/>
    <w:rsid w:val="00BD799F"/>
    <w:rsid w:val="00BD7C77"/>
    <w:rsid w:val="00BD7D1D"/>
    <w:rsid w:val="00BD7D47"/>
    <w:rsid w:val="00BE01B2"/>
    <w:rsid w:val="00BE02C2"/>
    <w:rsid w:val="00BE02D1"/>
    <w:rsid w:val="00BE0776"/>
    <w:rsid w:val="00BE0D5E"/>
    <w:rsid w:val="00BE0D83"/>
    <w:rsid w:val="00BE0F0F"/>
    <w:rsid w:val="00BE134F"/>
    <w:rsid w:val="00BE1407"/>
    <w:rsid w:val="00BE141B"/>
    <w:rsid w:val="00BE16AB"/>
    <w:rsid w:val="00BE1737"/>
    <w:rsid w:val="00BE1BF8"/>
    <w:rsid w:val="00BE2286"/>
    <w:rsid w:val="00BE22B3"/>
    <w:rsid w:val="00BE23C9"/>
    <w:rsid w:val="00BE2575"/>
    <w:rsid w:val="00BE28D3"/>
    <w:rsid w:val="00BE2926"/>
    <w:rsid w:val="00BE2D84"/>
    <w:rsid w:val="00BE2EC9"/>
    <w:rsid w:val="00BE3188"/>
    <w:rsid w:val="00BE3201"/>
    <w:rsid w:val="00BE3640"/>
    <w:rsid w:val="00BE36B5"/>
    <w:rsid w:val="00BE39B7"/>
    <w:rsid w:val="00BE3BF1"/>
    <w:rsid w:val="00BE3DB8"/>
    <w:rsid w:val="00BE3F87"/>
    <w:rsid w:val="00BE43D7"/>
    <w:rsid w:val="00BE44EF"/>
    <w:rsid w:val="00BE4FE0"/>
    <w:rsid w:val="00BE52E7"/>
    <w:rsid w:val="00BE5335"/>
    <w:rsid w:val="00BE53D4"/>
    <w:rsid w:val="00BE5683"/>
    <w:rsid w:val="00BE57A0"/>
    <w:rsid w:val="00BE589D"/>
    <w:rsid w:val="00BE59CE"/>
    <w:rsid w:val="00BE5A9E"/>
    <w:rsid w:val="00BE5B4D"/>
    <w:rsid w:val="00BE5C06"/>
    <w:rsid w:val="00BE5FF4"/>
    <w:rsid w:val="00BE61CA"/>
    <w:rsid w:val="00BE64E5"/>
    <w:rsid w:val="00BE67E3"/>
    <w:rsid w:val="00BE6888"/>
    <w:rsid w:val="00BE68A7"/>
    <w:rsid w:val="00BE68CF"/>
    <w:rsid w:val="00BE6B38"/>
    <w:rsid w:val="00BE6BB2"/>
    <w:rsid w:val="00BE6F93"/>
    <w:rsid w:val="00BE7091"/>
    <w:rsid w:val="00BE723F"/>
    <w:rsid w:val="00BE730E"/>
    <w:rsid w:val="00BE74B0"/>
    <w:rsid w:val="00BE75EA"/>
    <w:rsid w:val="00BE7758"/>
    <w:rsid w:val="00BE77A3"/>
    <w:rsid w:val="00BE78CC"/>
    <w:rsid w:val="00BE7B93"/>
    <w:rsid w:val="00BE7C86"/>
    <w:rsid w:val="00BE7D76"/>
    <w:rsid w:val="00BF06C1"/>
    <w:rsid w:val="00BF0740"/>
    <w:rsid w:val="00BF0C5E"/>
    <w:rsid w:val="00BF0CA0"/>
    <w:rsid w:val="00BF0FBA"/>
    <w:rsid w:val="00BF0FBD"/>
    <w:rsid w:val="00BF1166"/>
    <w:rsid w:val="00BF16EC"/>
    <w:rsid w:val="00BF18FB"/>
    <w:rsid w:val="00BF19A0"/>
    <w:rsid w:val="00BF1AD3"/>
    <w:rsid w:val="00BF1B3B"/>
    <w:rsid w:val="00BF1FF8"/>
    <w:rsid w:val="00BF25E1"/>
    <w:rsid w:val="00BF285D"/>
    <w:rsid w:val="00BF2CE7"/>
    <w:rsid w:val="00BF2F71"/>
    <w:rsid w:val="00BF32E8"/>
    <w:rsid w:val="00BF334E"/>
    <w:rsid w:val="00BF3A94"/>
    <w:rsid w:val="00BF3E44"/>
    <w:rsid w:val="00BF411D"/>
    <w:rsid w:val="00BF41AE"/>
    <w:rsid w:val="00BF44F1"/>
    <w:rsid w:val="00BF44FB"/>
    <w:rsid w:val="00BF4546"/>
    <w:rsid w:val="00BF464A"/>
    <w:rsid w:val="00BF465B"/>
    <w:rsid w:val="00BF4722"/>
    <w:rsid w:val="00BF4C29"/>
    <w:rsid w:val="00BF4F73"/>
    <w:rsid w:val="00BF5077"/>
    <w:rsid w:val="00BF53C2"/>
    <w:rsid w:val="00BF5424"/>
    <w:rsid w:val="00BF54CE"/>
    <w:rsid w:val="00BF57E4"/>
    <w:rsid w:val="00BF5B6C"/>
    <w:rsid w:val="00BF5C6D"/>
    <w:rsid w:val="00BF626A"/>
    <w:rsid w:val="00BF6631"/>
    <w:rsid w:val="00BF66DF"/>
    <w:rsid w:val="00BF6973"/>
    <w:rsid w:val="00BF6A09"/>
    <w:rsid w:val="00BF6C0D"/>
    <w:rsid w:val="00BF6D12"/>
    <w:rsid w:val="00BF6ED6"/>
    <w:rsid w:val="00BF716C"/>
    <w:rsid w:val="00BF71B3"/>
    <w:rsid w:val="00BF78A2"/>
    <w:rsid w:val="00BF79DC"/>
    <w:rsid w:val="00BF7A2F"/>
    <w:rsid w:val="00BF7BE7"/>
    <w:rsid w:val="00C001D3"/>
    <w:rsid w:val="00C00592"/>
    <w:rsid w:val="00C0064E"/>
    <w:rsid w:val="00C0068C"/>
    <w:rsid w:val="00C00FF9"/>
    <w:rsid w:val="00C0127C"/>
    <w:rsid w:val="00C0212F"/>
    <w:rsid w:val="00C02300"/>
    <w:rsid w:val="00C025E7"/>
    <w:rsid w:val="00C027BA"/>
    <w:rsid w:val="00C028B4"/>
    <w:rsid w:val="00C02B07"/>
    <w:rsid w:val="00C02CEC"/>
    <w:rsid w:val="00C02E32"/>
    <w:rsid w:val="00C03222"/>
    <w:rsid w:val="00C0323B"/>
    <w:rsid w:val="00C0339F"/>
    <w:rsid w:val="00C035B0"/>
    <w:rsid w:val="00C035EC"/>
    <w:rsid w:val="00C03625"/>
    <w:rsid w:val="00C038A8"/>
    <w:rsid w:val="00C03983"/>
    <w:rsid w:val="00C03B1F"/>
    <w:rsid w:val="00C03C31"/>
    <w:rsid w:val="00C03DC4"/>
    <w:rsid w:val="00C03F39"/>
    <w:rsid w:val="00C042B2"/>
    <w:rsid w:val="00C04487"/>
    <w:rsid w:val="00C04873"/>
    <w:rsid w:val="00C052A7"/>
    <w:rsid w:val="00C05548"/>
    <w:rsid w:val="00C0558B"/>
    <w:rsid w:val="00C05AE8"/>
    <w:rsid w:val="00C0603F"/>
    <w:rsid w:val="00C0620B"/>
    <w:rsid w:val="00C06ABE"/>
    <w:rsid w:val="00C06CA3"/>
    <w:rsid w:val="00C07223"/>
    <w:rsid w:val="00C074AB"/>
    <w:rsid w:val="00C074D9"/>
    <w:rsid w:val="00C07945"/>
    <w:rsid w:val="00C07A5F"/>
    <w:rsid w:val="00C07B6C"/>
    <w:rsid w:val="00C07D44"/>
    <w:rsid w:val="00C07D55"/>
    <w:rsid w:val="00C10178"/>
    <w:rsid w:val="00C1028F"/>
    <w:rsid w:val="00C10290"/>
    <w:rsid w:val="00C10366"/>
    <w:rsid w:val="00C10429"/>
    <w:rsid w:val="00C104A6"/>
    <w:rsid w:val="00C10730"/>
    <w:rsid w:val="00C10826"/>
    <w:rsid w:val="00C1084D"/>
    <w:rsid w:val="00C110E6"/>
    <w:rsid w:val="00C1124B"/>
    <w:rsid w:val="00C112F5"/>
    <w:rsid w:val="00C114FA"/>
    <w:rsid w:val="00C11748"/>
    <w:rsid w:val="00C11B66"/>
    <w:rsid w:val="00C11EBF"/>
    <w:rsid w:val="00C12228"/>
    <w:rsid w:val="00C124E5"/>
    <w:rsid w:val="00C12631"/>
    <w:rsid w:val="00C12934"/>
    <w:rsid w:val="00C12DF2"/>
    <w:rsid w:val="00C12E53"/>
    <w:rsid w:val="00C1371A"/>
    <w:rsid w:val="00C13B14"/>
    <w:rsid w:val="00C13C87"/>
    <w:rsid w:val="00C13FAD"/>
    <w:rsid w:val="00C14528"/>
    <w:rsid w:val="00C145BF"/>
    <w:rsid w:val="00C15029"/>
    <w:rsid w:val="00C15086"/>
    <w:rsid w:val="00C15149"/>
    <w:rsid w:val="00C15701"/>
    <w:rsid w:val="00C15AE4"/>
    <w:rsid w:val="00C15C45"/>
    <w:rsid w:val="00C15DEA"/>
    <w:rsid w:val="00C15E39"/>
    <w:rsid w:val="00C15F64"/>
    <w:rsid w:val="00C16183"/>
    <w:rsid w:val="00C163E1"/>
    <w:rsid w:val="00C164C7"/>
    <w:rsid w:val="00C171C3"/>
    <w:rsid w:val="00C175C5"/>
    <w:rsid w:val="00C17C3B"/>
    <w:rsid w:val="00C20030"/>
    <w:rsid w:val="00C201D5"/>
    <w:rsid w:val="00C202B6"/>
    <w:rsid w:val="00C205B6"/>
    <w:rsid w:val="00C208F0"/>
    <w:rsid w:val="00C20CB2"/>
    <w:rsid w:val="00C20DC9"/>
    <w:rsid w:val="00C20F29"/>
    <w:rsid w:val="00C21029"/>
    <w:rsid w:val="00C21565"/>
    <w:rsid w:val="00C21B33"/>
    <w:rsid w:val="00C21BA8"/>
    <w:rsid w:val="00C21D96"/>
    <w:rsid w:val="00C2225D"/>
    <w:rsid w:val="00C2284B"/>
    <w:rsid w:val="00C230D8"/>
    <w:rsid w:val="00C23918"/>
    <w:rsid w:val="00C239D6"/>
    <w:rsid w:val="00C23C7C"/>
    <w:rsid w:val="00C23E2A"/>
    <w:rsid w:val="00C23F0D"/>
    <w:rsid w:val="00C23F25"/>
    <w:rsid w:val="00C23F2E"/>
    <w:rsid w:val="00C24346"/>
    <w:rsid w:val="00C244C2"/>
    <w:rsid w:val="00C24544"/>
    <w:rsid w:val="00C24876"/>
    <w:rsid w:val="00C249A5"/>
    <w:rsid w:val="00C249A8"/>
    <w:rsid w:val="00C24D3C"/>
    <w:rsid w:val="00C253DE"/>
    <w:rsid w:val="00C25697"/>
    <w:rsid w:val="00C2585C"/>
    <w:rsid w:val="00C259A6"/>
    <w:rsid w:val="00C260FF"/>
    <w:rsid w:val="00C261DF"/>
    <w:rsid w:val="00C262AC"/>
    <w:rsid w:val="00C266BE"/>
    <w:rsid w:val="00C266EA"/>
    <w:rsid w:val="00C269EB"/>
    <w:rsid w:val="00C26B24"/>
    <w:rsid w:val="00C2712C"/>
    <w:rsid w:val="00C2724F"/>
    <w:rsid w:val="00C27470"/>
    <w:rsid w:val="00C27508"/>
    <w:rsid w:val="00C27632"/>
    <w:rsid w:val="00C2775D"/>
    <w:rsid w:val="00C2777C"/>
    <w:rsid w:val="00C279C6"/>
    <w:rsid w:val="00C27CCC"/>
    <w:rsid w:val="00C3000F"/>
    <w:rsid w:val="00C30306"/>
    <w:rsid w:val="00C3098E"/>
    <w:rsid w:val="00C30990"/>
    <w:rsid w:val="00C30BF3"/>
    <w:rsid w:val="00C30C39"/>
    <w:rsid w:val="00C31092"/>
    <w:rsid w:val="00C31611"/>
    <w:rsid w:val="00C31CEF"/>
    <w:rsid w:val="00C31D3A"/>
    <w:rsid w:val="00C31D53"/>
    <w:rsid w:val="00C31DEF"/>
    <w:rsid w:val="00C3254A"/>
    <w:rsid w:val="00C3260B"/>
    <w:rsid w:val="00C32724"/>
    <w:rsid w:val="00C32758"/>
    <w:rsid w:val="00C3276A"/>
    <w:rsid w:val="00C328E7"/>
    <w:rsid w:val="00C33007"/>
    <w:rsid w:val="00C3308C"/>
    <w:rsid w:val="00C33135"/>
    <w:rsid w:val="00C3318E"/>
    <w:rsid w:val="00C33A55"/>
    <w:rsid w:val="00C33A70"/>
    <w:rsid w:val="00C33B67"/>
    <w:rsid w:val="00C33C0B"/>
    <w:rsid w:val="00C3401B"/>
    <w:rsid w:val="00C3417D"/>
    <w:rsid w:val="00C34401"/>
    <w:rsid w:val="00C3462B"/>
    <w:rsid w:val="00C34743"/>
    <w:rsid w:val="00C34962"/>
    <w:rsid w:val="00C349DD"/>
    <w:rsid w:val="00C34A22"/>
    <w:rsid w:val="00C34A46"/>
    <w:rsid w:val="00C34FC8"/>
    <w:rsid w:val="00C3506C"/>
    <w:rsid w:val="00C35251"/>
    <w:rsid w:val="00C352EA"/>
    <w:rsid w:val="00C35302"/>
    <w:rsid w:val="00C35436"/>
    <w:rsid w:val="00C3555E"/>
    <w:rsid w:val="00C3573D"/>
    <w:rsid w:val="00C35D83"/>
    <w:rsid w:val="00C35E72"/>
    <w:rsid w:val="00C35F79"/>
    <w:rsid w:val="00C35FAF"/>
    <w:rsid w:val="00C35FD2"/>
    <w:rsid w:val="00C36332"/>
    <w:rsid w:val="00C3650A"/>
    <w:rsid w:val="00C36AA2"/>
    <w:rsid w:val="00C36B7F"/>
    <w:rsid w:val="00C36B85"/>
    <w:rsid w:val="00C36BD6"/>
    <w:rsid w:val="00C36F17"/>
    <w:rsid w:val="00C36F9E"/>
    <w:rsid w:val="00C36FC0"/>
    <w:rsid w:val="00C3735B"/>
    <w:rsid w:val="00C378A1"/>
    <w:rsid w:val="00C37AB5"/>
    <w:rsid w:val="00C401D9"/>
    <w:rsid w:val="00C4024E"/>
    <w:rsid w:val="00C40254"/>
    <w:rsid w:val="00C402D8"/>
    <w:rsid w:val="00C4039B"/>
    <w:rsid w:val="00C407EE"/>
    <w:rsid w:val="00C40AD0"/>
    <w:rsid w:val="00C4103D"/>
    <w:rsid w:val="00C41230"/>
    <w:rsid w:val="00C416B4"/>
    <w:rsid w:val="00C419CE"/>
    <w:rsid w:val="00C41AA7"/>
    <w:rsid w:val="00C41C3E"/>
    <w:rsid w:val="00C41EC6"/>
    <w:rsid w:val="00C428B4"/>
    <w:rsid w:val="00C428EF"/>
    <w:rsid w:val="00C431FC"/>
    <w:rsid w:val="00C43C63"/>
    <w:rsid w:val="00C43FA9"/>
    <w:rsid w:val="00C441B8"/>
    <w:rsid w:val="00C449B2"/>
    <w:rsid w:val="00C44F8F"/>
    <w:rsid w:val="00C453BC"/>
    <w:rsid w:val="00C45B1F"/>
    <w:rsid w:val="00C45DD2"/>
    <w:rsid w:val="00C45F79"/>
    <w:rsid w:val="00C46037"/>
    <w:rsid w:val="00C46268"/>
    <w:rsid w:val="00C462BE"/>
    <w:rsid w:val="00C463A0"/>
    <w:rsid w:val="00C46492"/>
    <w:rsid w:val="00C4679A"/>
    <w:rsid w:val="00C468C4"/>
    <w:rsid w:val="00C46C80"/>
    <w:rsid w:val="00C46DB6"/>
    <w:rsid w:val="00C46F78"/>
    <w:rsid w:val="00C47240"/>
    <w:rsid w:val="00C47253"/>
    <w:rsid w:val="00C47402"/>
    <w:rsid w:val="00C474B6"/>
    <w:rsid w:val="00C4755D"/>
    <w:rsid w:val="00C47BCF"/>
    <w:rsid w:val="00C47D37"/>
    <w:rsid w:val="00C5010C"/>
    <w:rsid w:val="00C502C4"/>
    <w:rsid w:val="00C507CC"/>
    <w:rsid w:val="00C507E7"/>
    <w:rsid w:val="00C5099E"/>
    <w:rsid w:val="00C5119C"/>
    <w:rsid w:val="00C511D4"/>
    <w:rsid w:val="00C513B9"/>
    <w:rsid w:val="00C5157B"/>
    <w:rsid w:val="00C51630"/>
    <w:rsid w:val="00C5168A"/>
    <w:rsid w:val="00C51690"/>
    <w:rsid w:val="00C51776"/>
    <w:rsid w:val="00C51864"/>
    <w:rsid w:val="00C518FA"/>
    <w:rsid w:val="00C5198D"/>
    <w:rsid w:val="00C51A0F"/>
    <w:rsid w:val="00C51C8E"/>
    <w:rsid w:val="00C51D6F"/>
    <w:rsid w:val="00C51F4A"/>
    <w:rsid w:val="00C52383"/>
    <w:rsid w:val="00C526BA"/>
    <w:rsid w:val="00C527A8"/>
    <w:rsid w:val="00C527FD"/>
    <w:rsid w:val="00C52A9B"/>
    <w:rsid w:val="00C52C53"/>
    <w:rsid w:val="00C530A0"/>
    <w:rsid w:val="00C5314D"/>
    <w:rsid w:val="00C535B3"/>
    <w:rsid w:val="00C53985"/>
    <w:rsid w:val="00C53B68"/>
    <w:rsid w:val="00C53C73"/>
    <w:rsid w:val="00C5401E"/>
    <w:rsid w:val="00C54102"/>
    <w:rsid w:val="00C5410A"/>
    <w:rsid w:val="00C54181"/>
    <w:rsid w:val="00C541A0"/>
    <w:rsid w:val="00C541C7"/>
    <w:rsid w:val="00C546BB"/>
    <w:rsid w:val="00C5501B"/>
    <w:rsid w:val="00C55108"/>
    <w:rsid w:val="00C55A37"/>
    <w:rsid w:val="00C55B3D"/>
    <w:rsid w:val="00C55B7E"/>
    <w:rsid w:val="00C55F79"/>
    <w:rsid w:val="00C56049"/>
    <w:rsid w:val="00C56274"/>
    <w:rsid w:val="00C57F10"/>
    <w:rsid w:val="00C600B0"/>
    <w:rsid w:val="00C6023B"/>
    <w:rsid w:val="00C6046C"/>
    <w:rsid w:val="00C609C5"/>
    <w:rsid w:val="00C60AC5"/>
    <w:rsid w:val="00C60CA2"/>
    <w:rsid w:val="00C610F7"/>
    <w:rsid w:val="00C610F8"/>
    <w:rsid w:val="00C6114A"/>
    <w:rsid w:val="00C612B9"/>
    <w:rsid w:val="00C614DD"/>
    <w:rsid w:val="00C61981"/>
    <w:rsid w:val="00C61C71"/>
    <w:rsid w:val="00C62037"/>
    <w:rsid w:val="00C6206A"/>
    <w:rsid w:val="00C625C7"/>
    <w:rsid w:val="00C627B6"/>
    <w:rsid w:val="00C63007"/>
    <w:rsid w:val="00C6318A"/>
    <w:rsid w:val="00C63295"/>
    <w:rsid w:val="00C6330C"/>
    <w:rsid w:val="00C6335C"/>
    <w:rsid w:val="00C6351B"/>
    <w:rsid w:val="00C635D4"/>
    <w:rsid w:val="00C64190"/>
    <w:rsid w:val="00C64192"/>
    <w:rsid w:val="00C64841"/>
    <w:rsid w:val="00C648DC"/>
    <w:rsid w:val="00C649EC"/>
    <w:rsid w:val="00C64A32"/>
    <w:rsid w:val="00C64C89"/>
    <w:rsid w:val="00C65112"/>
    <w:rsid w:val="00C65324"/>
    <w:rsid w:val="00C6546E"/>
    <w:rsid w:val="00C6582E"/>
    <w:rsid w:val="00C65A10"/>
    <w:rsid w:val="00C65B26"/>
    <w:rsid w:val="00C65C3B"/>
    <w:rsid w:val="00C65CFF"/>
    <w:rsid w:val="00C6610E"/>
    <w:rsid w:val="00C661DF"/>
    <w:rsid w:val="00C66999"/>
    <w:rsid w:val="00C66C3D"/>
    <w:rsid w:val="00C66C71"/>
    <w:rsid w:val="00C66EE4"/>
    <w:rsid w:val="00C66F5E"/>
    <w:rsid w:val="00C6760E"/>
    <w:rsid w:val="00C67AC0"/>
    <w:rsid w:val="00C702CA"/>
    <w:rsid w:val="00C703BA"/>
    <w:rsid w:val="00C706B4"/>
    <w:rsid w:val="00C707EF"/>
    <w:rsid w:val="00C70C58"/>
    <w:rsid w:val="00C70EA2"/>
    <w:rsid w:val="00C70F28"/>
    <w:rsid w:val="00C712CB"/>
    <w:rsid w:val="00C714F7"/>
    <w:rsid w:val="00C71518"/>
    <w:rsid w:val="00C71680"/>
    <w:rsid w:val="00C71749"/>
    <w:rsid w:val="00C71A5A"/>
    <w:rsid w:val="00C723C8"/>
    <w:rsid w:val="00C724EC"/>
    <w:rsid w:val="00C72B9C"/>
    <w:rsid w:val="00C72D07"/>
    <w:rsid w:val="00C72E07"/>
    <w:rsid w:val="00C73024"/>
    <w:rsid w:val="00C7327F"/>
    <w:rsid w:val="00C7334E"/>
    <w:rsid w:val="00C735CD"/>
    <w:rsid w:val="00C736CD"/>
    <w:rsid w:val="00C73888"/>
    <w:rsid w:val="00C73ADF"/>
    <w:rsid w:val="00C73BA5"/>
    <w:rsid w:val="00C741CD"/>
    <w:rsid w:val="00C742CA"/>
    <w:rsid w:val="00C7431F"/>
    <w:rsid w:val="00C74454"/>
    <w:rsid w:val="00C7469C"/>
    <w:rsid w:val="00C74A41"/>
    <w:rsid w:val="00C74AEA"/>
    <w:rsid w:val="00C74B63"/>
    <w:rsid w:val="00C74E7C"/>
    <w:rsid w:val="00C74F7F"/>
    <w:rsid w:val="00C75228"/>
    <w:rsid w:val="00C7534D"/>
    <w:rsid w:val="00C7558F"/>
    <w:rsid w:val="00C755AD"/>
    <w:rsid w:val="00C755B6"/>
    <w:rsid w:val="00C756BA"/>
    <w:rsid w:val="00C758B5"/>
    <w:rsid w:val="00C75A67"/>
    <w:rsid w:val="00C75A8F"/>
    <w:rsid w:val="00C76530"/>
    <w:rsid w:val="00C765F9"/>
    <w:rsid w:val="00C7678E"/>
    <w:rsid w:val="00C76859"/>
    <w:rsid w:val="00C76894"/>
    <w:rsid w:val="00C769C7"/>
    <w:rsid w:val="00C76F6B"/>
    <w:rsid w:val="00C76FD6"/>
    <w:rsid w:val="00C7726C"/>
    <w:rsid w:val="00C7741E"/>
    <w:rsid w:val="00C77A80"/>
    <w:rsid w:val="00C77B12"/>
    <w:rsid w:val="00C77B8E"/>
    <w:rsid w:val="00C77C22"/>
    <w:rsid w:val="00C80532"/>
    <w:rsid w:val="00C8074D"/>
    <w:rsid w:val="00C80A7D"/>
    <w:rsid w:val="00C80BE0"/>
    <w:rsid w:val="00C80D4A"/>
    <w:rsid w:val="00C8127F"/>
    <w:rsid w:val="00C815DC"/>
    <w:rsid w:val="00C8163F"/>
    <w:rsid w:val="00C816F1"/>
    <w:rsid w:val="00C818F6"/>
    <w:rsid w:val="00C821B4"/>
    <w:rsid w:val="00C821D0"/>
    <w:rsid w:val="00C8223E"/>
    <w:rsid w:val="00C82357"/>
    <w:rsid w:val="00C826A7"/>
    <w:rsid w:val="00C82CED"/>
    <w:rsid w:val="00C82FE7"/>
    <w:rsid w:val="00C8318F"/>
    <w:rsid w:val="00C832DE"/>
    <w:rsid w:val="00C8353C"/>
    <w:rsid w:val="00C83991"/>
    <w:rsid w:val="00C84151"/>
    <w:rsid w:val="00C84216"/>
    <w:rsid w:val="00C845F3"/>
    <w:rsid w:val="00C84853"/>
    <w:rsid w:val="00C8491B"/>
    <w:rsid w:val="00C84D0D"/>
    <w:rsid w:val="00C84D93"/>
    <w:rsid w:val="00C8501F"/>
    <w:rsid w:val="00C85037"/>
    <w:rsid w:val="00C8534D"/>
    <w:rsid w:val="00C8559E"/>
    <w:rsid w:val="00C85DE8"/>
    <w:rsid w:val="00C85F9D"/>
    <w:rsid w:val="00C860DA"/>
    <w:rsid w:val="00C86AC3"/>
    <w:rsid w:val="00C86F48"/>
    <w:rsid w:val="00C87148"/>
    <w:rsid w:val="00C871B7"/>
    <w:rsid w:val="00C871BC"/>
    <w:rsid w:val="00C87440"/>
    <w:rsid w:val="00C874D9"/>
    <w:rsid w:val="00C876EB"/>
    <w:rsid w:val="00C90195"/>
    <w:rsid w:val="00C904F8"/>
    <w:rsid w:val="00C909D0"/>
    <w:rsid w:val="00C909FB"/>
    <w:rsid w:val="00C90E1E"/>
    <w:rsid w:val="00C90E39"/>
    <w:rsid w:val="00C90EBB"/>
    <w:rsid w:val="00C910AC"/>
    <w:rsid w:val="00C910D8"/>
    <w:rsid w:val="00C912DE"/>
    <w:rsid w:val="00C9162A"/>
    <w:rsid w:val="00C916B2"/>
    <w:rsid w:val="00C91BDA"/>
    <w:rsid w:val="00C91D18"/>
    <w:rsid w:val="00C91EE2"/>
    <w:rsid w:val="00C91FB3"/>
    <w:rsid w:val="00C920FE"/>
    <w:rsid w:val="00C924BB"/>
    <w:rsid w:val="00C92522"/>
    <w:rsid w:val="00C925F8"/>
    <w:rsid w:val="00C92728"/>
    <w:rsid w:val="00C927A9"/>
    <w:rsid w:val="00C92855"/>
    <w:rsid w:val="00C92BD4"/>
    <w:rsid w:val="00C92CA3"/>
    <w:rsid w:val="00C92D07"/>
    <w:rsid w:val="00C93178"/>
    <w:rsid w:val="00C93273"/>
    <w:rsid w:val="00C9350E"/>
    <w:rsid w:val="00C9380A"/>
    <w:rsid w:val="00C939D9"/>
    <w:rsid w:val="00C93F16"/>
    <w:rsid w:val="00C93F39"/>
    <w:rsid w:val="00C9418C"/>
    <w:rsid w:val="00C944EB"/>
    <w:rsid w:val="00C94717"/>
    <w:rsid w:val="00C947AE"/>
    <w:rsid w:val="00C94884"/>
    <w:rsid w:val="00C949D7"/>
    <w:rsid w:val="00C94D68"/>
    <w:rsid w:val="00C951EB"/>
    <w:rsid w:val="00C951EC"/>
    <w:rsid w:val="00C95489"/>
    <w:rsid w:val="00C955F8"/>
    <w:rsid w:val="00C95860"/>
    <w:rsid w:val="00C95989"/>
    <w:rsid w:val="00C95CAD"/>
    <w:rsid w:val="00C95D28"/>
    <w:rsid w:val="00C95D33"/>
    <w:rsid w:val="00C95D9E"/>
    <w:rsid w:val="00C962B6"/>
    <w:rsid w:val="00C96804"/>
    <w:rsid w:val="00C96C23"/>
    <w:rsid w:val="00C971C9"/>
    <w:rsid w:val="00C9730F"/>
    <w:rsid w:val="00C977CB"/>
    <w:rsid w:val="00C97959"/>
    <w:rsid w:val="00C979CD"/>
    <w:rsid w:val="00C97B47"/>
    <w:rsid w:val="00C97DF2"/>
    <w:rsid w:val="00CA007D"/>
    <w:rsid w:val="00CA0158"/>
    <w:rsid w:val="00CA0344"/>
    <w:rsid w:val="00CA0B75"/>
    <w:rsid w:val="00CA0DA6"/>
    <w:rsid w:val="00CA0E91"/>
    <w:rsid w:val="00CA11DC"/>
    <w:rsid w:val="00CA1337"/>
    <w:rsid w:val="00CA1459"/>
    <w:rsid w:val="00CA17D8"/>
    <w:rsid w:val="00CA18F8"/>
    <w:rsid w:val="00CA1908"/>
    <w:rsid w:val="00CA2022"/>
    <w:rsid w:val="00CA222F"/>
    <w:rsid w:val="00CA249B"/>
    <w:rsid w:val="00CA259D"/>
    <w:rsid w:val="00CA2762"/>
    <w:rsid w:val="00CA2A10"/>
    <w:rsid w:val="00CA2BBE"/>
    <w:rsid w:val="00CA2C51"/>
    <w:rsid w:val="00CA3044"/>
    <w:rsid w:val="00CA320B"/>
    <w:rsid w:val="00CA3560"/>
    <w:rsid w:val="00CA35A0"/>
    <w:rsid w:val="00CA3A9C"/>
    <w:rsid w:val="00CA3B78"/>
    <w:rsid w:val="00CA3BE1"/>
    <w:rsid w:val="00CA3C01"/>
    <w:rsid w:val="00CA3EBA"/>
    <w:rsid w:val="00CA400C"/>
    <w:rsid w:val="00CA42FA"/>
    <w:rsid w:val="00CA43DB"/>
    <w:rsid w:val="00CA471E"/>
    <w:rsid w:val="00CA4A11"/>
    <w:rsid w:val="00CA4E74"/>
    <w:rsid w:val="00CA500D"/>
    <w:rsid w:val="00CA51E6"/>
    <w:rsid w:val="00CA523C"/>
    <w:rsid w:val="00CA541F"/>
    <w:rsid w:val="00CA57BD"/>
    <w:rsid w:val="00CA5A4E"/>
    <w:rsid w:val="00CA5AD9"/>
    <w:rsid w:val="00CA5B2E"/>
    <w:rsid w:val="00CA5D26"/>
    <w:rsid w:val="00CA5D3F"/>
    <w:rsid w:val="00CA5E53"/>
    <w:rsid w:val="00CA6395"/>
    <w:rsid w:val="00CA63EE"/>
    <w:rsid w:val="00CA660B"/>
    <w:rsid w:val="00CA6620"/>
    <w:rsid w:val="00CA6645"/>
    <w:rsid w:val="00CA6C25"/>
    <w:rsid w:val="00CA6D7E"/>
    <w:rsid w:val="00CA6F0B"/>
    <w:rsid w:val="00CA6FCA"/>
    <w:rsid w:val="00CA72CD"/>
    <w:rsid w:val="00CA78EA"/>
    <w:rsid w:val="00CA78F8"/>
    <w:rsid w:val="00CA7991"/>
    <w:rsid w:val="00CB0108"/>
    <w:rsid w:val="00CB03CE"/>
    <w:rsid w:val="00CB049C"/>
    <w:rsid w:val="00CB066D"/>
    <w:rsid w:val="00CB0699"/>
    <w:rsid w:val="00CB06B5"/>
    <w:rsid w:val="00CB0852"/>
    <w:rsid w:val="00CB0A14"/>
    <w:rsid w:val="00CB0CD5"/>
    <w:rsid w:val="00CB0E1E"/>
    <w:rsid w:val="00CB1305"/>
    <w:rsid w:val="00CB1405"/>
    <w:rsid w:val="00CB1448"/>
    <w:rsid w:val="00CB1464"/>
    <w:rsid w:val="00CB1629"/>
    <w:rsid w:val="00CB18BB"/>
    <w:rsid w:val="00CB18C3"/>
    <w:rsid w:val="00CB1B66"/>
    <w:rsid w:val="00CB1C8A"/>
    <w:rsid w:val="00CB1DF7"/>
    <w:rsid w:val="00CB1E47"/>
    <w:rsid w:val="00CB2153"/>
    <w:rsid w:val="00CB226C"/>
    <w:rsid w:val="00CB2300"/>
    <w:rsid w:val="00CB25C1"/>
    <w:rsid w:val="00CB25C4"/>
    <w:rsid w:val="00CB26EC"/>
    <w:rsid w:val="00CB2753"/>
    <w:rsid w:val="00CB276B"/>
    <w:rsid w:val="00CB281E"/>
    <w:rsid w:val="00CB293C"/>
    <w:rsid w:val="00CB29DD"/>
    <w:rsid w:val="00CB2AA6"/>
    <w:rsid w:val="00CB2AC2"/>
    <w:rsid w:val="00CB2CBF"/>
    <w:rsid w:val="00CB2DDC"/>
    <w:rsid w:val="00CB2F3A"/>
    <w:rsid w:val="00CB2FC5"/>
    <w:rsid w:val="00CB30BF"/>
    <w:rsid w:val="00CB3130"/>
    <w:rsid w:val="00CB33FB"/>
    <w:rsid w:val="00CB36D6"/>
    <w:rsid w:val="00CB3B2A"/>
    <w:rsid w:val="00CB459B"/>
    <w:rsid w:val="00CB48A9"/>
    <w:rsid w:val="00CB4CCB"/>
    <w:rsid w:val="00CB4F9E"/>
    <w:rsid w:val="00CB51FD"/>
    <w:rsid w:val="00CB53DA"/>
    <w:rsid w:val="00CB53E4"/>
    <w:rsid w:val="00CB5413"/>
    <w:rsid w:val="00CB54E5"/>
    <w:rsid w:val="00CB54F6"/>
    <w:rsid w:val="00CB55EA"/>
    <w:rsid w:val="00CB5C00"/>
    <w:rsid w:val="00CB5C90"/>
    <w:rsid w:val="00CB5E99"/>
    <w:rsid w:val="00CB5F25"/>
    <w:rsid w:val="00CB60F4"/>
    <w:rsid w:val="00CB672A"/>
    <w:rsid w:val="00CB710C"/>
    <w:rsid w:val="00CB7883"/>
    <w:rsid w:val="00CB7EAC"/>
    <w:rsid w:val="00CC095E"/>
    <w:rsid w:val="00CC09F6"/>
    <w:rsid w:val="00CC0FC3"/>
    <w:rsid w:val="00CC178A"/>
    <w:rsid w:val="00CC1C48"/>
    <w:rsid w:val="00CC1D7F"/>
    <w:rsid w:val="00CC1F49"/>
    <w:rsid w:val="00CC1F63"/>
    <w:rsid w:val="00CC2198"/>
    <w:rsid w:val="00CC259E"/>
    <w:rsid w:val="00CC266C"/>
    <w:rsid w:val="00CC2680"/>
    <w:rsid w:val="00CC27B6"/>
    <w:rsid w:val="00CC2E03"/>
    <w:rsid w:val="00CC3190"/>
    <w:rsid w:val="00CC3306"/>
    <w:rsid w:val="00CC33A7"/>
    <w:rsid w:val="00CC3785"/>
    <w:rsid w:val="00CC3FB3"/>
    <w:rsid w:val="00CC43C2"/>
    <w:rsid w:val="00CC45B0"/>
    <w:rsid w:val="00CC4B87"/>
    <w:rsid w:val="00CC4D2D"/>
    <w:rsid w:val="00CC4DBD"/>
    <w:rsid w:val="00CC4F6C"/>
    <w:rsid w:val="00CC5198"/>
    <w:rsid w:val="00CC558A"/>
    <w:rsid w:val="00CC55AB"/>
    <w:rsid w:val="00CC5837"/>
    <w:rsid w:val="00CC5987"/>
    <w:rsid w:val="00CC5A8B"/>
    <w:rsid w:val="00CC5B5C"/>
    <w:rsid w:val="00CC5F36"/>
    <w:rsid w:val="00CC5FCF"/>
    <w:rsid w:val="00CC604D"/>
    <w:rsid w:val="00CC6155"/>
    <w:rsid w:val="00CC6787"/>
    <w:rsid w:val="00CC6861"/>
    <w:rsid w:val="00CC688C"/>
    <w:rsid w:val="00CC68D4"/>
    <w:rsid w:val="00CC6AE5"/>
    <w:rsid w:val="00CC6BC8"/>
    <w:rsid w:val="00CC6C0C"/>
    <w:rsid w:val="00CC6E7D"/>
    <w:rsid w:val="00CC6E9F"/>
    <w:rsid w:val="00CC6ED8"/>
    <w:rsid w:val="00CC6F3E"/>
    <w:rsid w:val="00CC70C4"/>
    <w:rsid w:val="00CC73A8"/>
    <w:rsid w:val="00CC754E"/>
    <w:rsid w:val="00CC7A6F"/>
    <w:rsid w:val="00CC7A94"/>
    <w:rsid w:val="00CC7BDC"/>
    <w:rsid w:val="00CD0010"/>
    <w:rsid w:val="00CD0044"/>
    <w:rsid w:val="00CD02C1"/>
    <w:rsid w:val="00CD036A"/>
    <w:rsid w:val="00CD084D"/>
    <w:rsid w:val="00CD0966"/>
    <w:rsid w:val="00CD0B5C"/>
    <w:rsid w:val="00CD11D0"/>
    <w:rsid w:val="00CD1301"/>
    <w:rsid w:val="00CD1302"/>
    <w:rsid w:val="00CD1335"/>
    <w:rsid w:val="00CD1526"/>
    <w:rsid w:val="00CD1830"/>
    <w:rsid w:val="00CD1C7B"/>
    <w:rsid w:val="00CD1ECC"/>
    <w:rsid w:val="00CD225C"/>
    <w:rsid w:val="00CD260B"/>
    <w:rsid w:val="00CD27BE"/>
    <w:rsid w:val="00CD2958"/>
    <w:rsid w:val="00CD2C00"/>
    <w:rsid w:val="00CD33B4"/>
    <w:rsid w:val="00CD3A49"/>
    <w:rsid w:val="00CD4173"/>
    <w:rsid w:val="00CD429D"/>
    <w:rsid w:val="00CD42AC"/>
    <w:rsid w:val="00CD452A"/>
    <w:rsid w:val="00CD45B8"/>
    <w:rsid w:val="00CD45F1"/>
    <w:rsid w:val="00CD48BC"/>
    <w:rsid w:val="00CD4B23"/>
    <w:rsid w:val="00CD4BDE"/>
    <w:rsid w:val="00CD512C"/>
    <w:rsid w:val="00CD519E"/>
    <w:rsid w:val="00CD5328"/>
    <w:rsid w:val="00CD54D7"/>
    <w:rsid w:val="00CD568C"/>
    <w:rsid w:val="00CD569B"/>
    <w:rsid w:val="00CD5E75"/>
    <w:rsid w:val="00CD6008"/>
    <w:rsid w:val="00CD6269"/>
    <w:rsid w:val="00CD62E3"/>
    <w:rsid w:val="00CD66CB"/>
    <w:rsid w:val="00CD6AD7"/>
    <w:rsid w:val="00CD741C"/>
    <w:rsid w:val="00CD7530"/>
    <w:rsid w:val="00CD7867"/>
    <w:rsid w:val="00CD78BB"/>
    <w:rsid w:val="00CD7C1E"/>
    <w:rsid w:val="00CD7C72"/>
    <w:rsid w:val="00CD7E77"/>
    <w:rsid w:val="00CD7F21"/>
    <w:rsid w:val="00CE0840"/>
    <w:rsid w:val="00CE0A70"/>
    <w:rsid w:val="00CE0D7F"/>
    <w:rsid w:val="00CE124D"/>
    <w:rsid w:val="00CE14AB"/>
    <w:rsid w:val="00CE1768"/>
    <w:rsid w:val="00CE20BC"/>
    <w:rsid w:val="00CE2175"/>
    <w:rsid w:val="00CE2210"/>
    <w:rsid w:val="00CE25A4"/>
    <w:rsid w:val="00CE25C2"/>
    <w:rsid w:val="00CE279C"/>
    <w:rsid w:val="00CE28C6"/>
    <w:rsid w:val="00CE28EA"/>
    <w:rsid w:val="00CE298D"/>
    <w:rsid w:val="00CE29A0"/>
    <w:rsid w:val="00CE2A21"/>
    <w:rsid w:val="00CE2A6E"/>
    <w:rsid w:val="00CE2B25"/>
    <w:rsid w:val="00CE3087"/>
    <w:rsid w:val="00CE3A5A"/>
    <w:rsid w:val="00CE3C91"/>
    <w:rsid w:val="00CE403F"/>
    <w:rsid w:val="00CE4526"/>
    <w:rsid w:val="00CE466F"/>
    <w:rsid w:val="00CE5080"/>
    <w:rsid w:val="00CE50C0"/>
    <w:rsid w:val="00CE5113"/>
    <w:rsid w:val="00CE5148"/>
    <w:rsid w:val="00CE51DE"/>
    <w:rsid w:val="00CE5634"/>
    <w:rsid w:val="00CE5859"/>
    <w:rsid w:val="00CE5927"/>
    <w:rsid w:val="00CE5A16"/>
    <w:rsid w:val="00CE5A9D"/>
    <w:rsid w:val="00CE5C78"/>
    <w:rsid w:val="00CE5E78"/>
    <w:rsid w:val="00CE5FDA"/>
    <w:rsid w:val="00CE69E4"/>
    <w:rsid w:val="00CE6CDF"/>
    <w:rsid w:val="00CE6DF4"/>
    <w:rsid w:val="00CE6E1E"/>
    <w:rsid w:val="00CE7416"/>
    <w:rsid w:val="00CE7622"/>
    <w:rsid w:val="00CE763F"/>
    <w:rsid w:val="00CE769C"/>
    <w:rsid w:val="00CE79A1"/>
    <w:rsid w:val="00CE7ADD"/>
    <w:rsid w:val="00CF0015"/>
    <w:rsid w:val="00CF01EC"/>
    <w:rsid w:val="00CF0222"/>
    <w:rsid w:val="00CF0277"/>
    <w:rsid w:val="00CF0303"/>
    <w:rsid w:val="00CF032B"/>
    <w:rsid w:val="00CF048A"/>
    <w:rsid w:val="00CF049C"/>
    <w:rsid w:val="00CF05C0"/>
    <w:rsid w:val="00CF0A79"/>
    <w:rsid w:val="00CF0FE4"/>
    <w:rsid w:val="00CF1671"/>
    <w:rsid w:val="00CF1736"/>
    <w:rsid w:val="00CF1944"/>
    <w:rsid w:val="00CF1F0D"/>
    <w:rsid w:val="00CF1F64"/>
    <w:rsid w:val="00CF203B"/>
    <w:rsid w:val="00CF27EF"/>
    <w:rsid w:val="00CF29B0"/>
    <w:rsid w:val="00CF2CB1"/>
    <w:rsid w:val="00CF2DC1"/>
    <w:rsid w:val="00CF2E5B"/>
    <w:rsid w:val="00CF304E"/>
    <w:rsid w:val="00CF38E8"/>
    <w:rsid w:val="00CF4086"/>
    <w:rsid w:val="00CF428F"/>
    <w:rsid w:val="00CF42B4"/>
    <w:rsid w:val="00CF42E8"/>
    <w:rsid w:val="00CF443D"/>
    <w:rsid w:val="00CF4528"/>
    <w:rsid w:val="00CF455F"/>
    <w:rsid w:val="00CF4C24"/>
    <w:rsid w:val="00CF4E96"/>
    <w:rsid w:val="00CF4F57"/>
    <w:rsid w:val="00CF51E6"/>
    <w:rsid w:val="00CF53E5"/>
    <w:rsid w:val="00CF5C8E"/>
    <w:rsid w:val="00CF5CD2"/>
    <w:rsid w:val="00CF5CE9"/>
    <w:rsid w:val="00CF60E4"/>
    <w:rsid w:val="00CF6219"/>
    <w:rsid w:val="00CF6353"/>
    <w:rsid w:val="00CF6603"/>
    <w:rsid w:val="00CF6AC0"/>
    <w:rsid w:val="00CF6EA9"/>
    <w:rsid w:val="00CF745B"/>
    <w:rsid w:val="00CF773D"/>
    <w:rsid w:val="00CF777C"/>
    <w:rsid w:val="00CF785C"/>
    <w:rsid w:val="00CF79E3"/>
    <w:rsid w:val="00D0043A"/>
    <w:rsid w:val="00D0054D"/>
    <w:rsid w:val="00D00AE1"/>
    <w:rsid w:val="00D00C53"/>
    <w:rsid w:val="00D00DC7"/>
    <w:rsid w:val="00D01048"/>
    <w:rsid w:val="00D01151"/>
    <w:rsid w:val="00D01429"/>
    <w:rsid w:val="00D015DD"/>
    <w:rsid w:val="00D01B83"/>
    <w:rsid w:val="00D02169"/>
    <w:rsid w:val="00D023DB"/>
    <w:rsid w:val="00D02A09"/>
    <w:rsid w:val="00D02BCF"/>
    <w:rsid w:val="00D032FF"/>
    <w:rsid w:val="00D033AA"/>
    <w:rsid w:val="00D034DA"/>
    <w:rsid w:val="00D03876"/>
    <w:rsid w:val="00D03A3A"/>
    <w:rsid w:val="00D03B02"/>
    <w:rsid w:val="00D03D11"/>
    <w:rsid w:val="00D03FEA"/>
    <w:rsid w:val="00D04017"/>
    <w:rsid w:val="00D04308"/>
    <w:rsid w:val="00D0495F"/>
    <w:rsid w:val="00D04B0A"/>
    <w:rsid w:val="00D0506C"/>
    <w:rsid w:val="00D05567"/>
    <w:rsid w:val="00D05571"/>
    <w:rsid w:val="00D05709"/>
    <w:rsid w:val="00D05833"/>
    <w:rsid w:val="00D05B54"/>
    <w:rsid w:val="00D05EA3"/>
    <w:rsid w:val="00D060A5"/>
    <w:rsid w:val="00D06238"/>
    <w:rsid w:val="00D0666E"/>
    <w:rsid w:val="00D06809"/>
    <w:rsid w:val="00D06879"/>
    <w:rsid w:val="00D06D70"/>
    <w:rsid w:val="00D072B6"/>
    <w:rsid w:val="00D07509"/>
    <w:rsid w:val="00D07576"/>
    <w:rsid w:val="00D07628"/>
    <w:rsid w:val="00D0767E"/>
    <w:rsid w:val="00D0773F"/>
    <w:rsid w:val="00D07CA1"/>
    <w:rsid w:val="00D1014C"/>
    <w:rsid w:val="00D10430"/>
    <w:rsid w:val="00D107A8"/>
    <w:rsid w:val="00D10B5C"/>
    <w:rsid w:val="00D10B93"/>
    <w:rsid w:val="00D10DEA"/>
    <w:rsid w:val="00D110D7"/>
    <w:rsid w:val="00D11199"/>
    <w:rsid w:val="00D118D7"/>
    <w:rsid w:val="00D11988"/>
    <w:rsid w:val="00D1209F"/>
    <w:rsid w:val="00D121A5"/>
    <w:rsid w:val="00D12312"/>
    <w:rsid w:val="00D12520"/>
    <w:rsid w:val="00D12623"/>
    <w:rsid w:val="00D126B5"/>
    <w:rsid w:val="00D12776"/>
    <w:rsid w:val="00D127C1"/>
    <w:rsid w:val="00D12A25"/>
    <w:rsid w:val="00D12D96"/>
    <w:rsid w:val="00D12DE7"/>
    <w:rsid w:val="00D12E9E"/>
    <w:rsid w:val="00D12FE9"/>
    <w:rsid w:val="00D1332B"/>
    <w:rsid w:val="00D133F5"/>
    <w:rsid w:val="00D13600"/>
    <w:rsid w:val="00D13712"/>
    <w:rsid w:val="00D13728"/>
    <w:rsid w:val="00D137A0"/>
    <w:rsid w:val="00D138B2"/>
    <w:rsid w:val="00D13963"/>
    <w:rsid w:val="00D13CB8"/>
    <w:rsid w:val="00D1408B"/>
    <w:rsid w:val="00D14C82"/>
    <w:rsid w:val="00D14CB6"/>
    <w:rsid w:val="00D14D3C"/>
    <w:rsid w:val="00D14D54"/>
    <w:rsid w:val="00D14E45"/>
    <w:rsid w:val="00D14F8D"/>
    <w:rsid w:val="00D15102"/>
    <w:rsid w:val="00D153DB"/>
    <w:rsid w:val="00D15426"/>
    <w:rsid w:val="00D1568C"/>
    <w:rsid w:val="00D156E5"/>
    <w:rsid w:val="00D15926"/>
    <w:rsid w:val="00D1592B"/>
    <w:rsid w:val="00D15AD3"/>
    <w:rsid w:val="00D15C60"/>
    <w:rsid w:val="00D15DB4"/>
    <w:rsid w:val="00D15ED0"/>
    <w:rsid w:val="00D1622C"/>
    <w:rsid w:val="00D1671B"/>
    <w:rsid w:val="00D1685E"/>
    <w:rsid w:val="00D16B82"/>
    <w:rsid w:val="00D16D08"/>
    <w:rsid w:val="00D16E1F"/>
    <w:rsid w:val="00D16FC6"/>
    <w:rsid w:val="00D17154"/>
    <w:rsid w:val="00D1719C"/>
    <w:rsid w:val="00D1720D"/>
    <w:rsid w:val="00D173BF"/>
    <w:rsid w:val="00D1764D"/>
    <w:rsid w:val="00D17874"/>
    <w:rsid w:val="00D17A7B"/>
    <w:rsid w:val="00D17CC7"/>
    <w:rsid w:val="00D17DBE"/>
    <w:rsid w:val="00D203A1"/>
    <w:rsid w:val="00D203B0"/>
    <w:rsid w:val="00D20657"/>
    <w:rsid w:val="00D20725"/>
    <w:rsid w:val="00D20964"/>
    <w:rsid w:val="00D20A33"/>
    <w:rsid w:val="00D20D34"/>
    <w:rsid w:val="00D211DC"/>
    <w:rsid w:val="00D21431"/>
    <w:rsid w:val="00D214A1"/>
    <w:rsid w:val="00D216A0"/>
    <w:rsid w:val="00D21A03"/>
    <w:rsid w:val="00D21D3E"/>
    <w:rsid w:val="00D21E8C"/>
    <w:rsid w:val="00D21F44"/>
    <w:rsid w:val="00D21FCE"/>
    <w:rsid w:val="00D222A0"/>
    <w:rsid w:val="00D225E8"/>
    <w:rsid w:val="00D22BC4"/>
    <w:rsid w:val="00D22FE9"/>
    <w:rsid w:val="00D231B3"/>
    <w:rsid w:val="00D23324"/>
    <w:rsid w:val="00D233EE"/>
    <w:rsid w:val="00D23564"/>
    <w:rsid w:val="00D23602"/>
    <w:rsid w:val="00D2371B"/>
    <w:rsid w:val="00D2376D"/>
    <w:rsid w:val="00D2385D"/>
    <w:rsid w:val="00D2388A"/>
    <w:rsid w:val="00D23E09"/>
    <w:rsid w:val="00D240A9"/>
    <w:rsid w:val="00D244D8"/>
    <w:rsid w:val="00D244FD"/>
    <w:rsid w:val="00D24528"/>
    <w:rsid w:val="00D24712"/>
    <w:rsid w:val="00D24EB3"/>
    <w:rsid w:val="00D24FA0"/>
    <w:rsid w:val="00D258BB"/>
    <w:rsid w:val="00D25BE8"/>
    <w:rsid w:val="00D261D1"/>
    <w:rsid w:val="00D26364"/>
    <w:rsid w:val="00D27297"/>
    <w:rsid w:val="00D273A8"/>
    <w:rsid w:val="00D27413"/>
    <w:rsid w:val="00D27C1B"/>
    <w:rsid w:val="00D27EEF"/>
    <w:rsid w:val="00D27FAC"/>
    <w:rsid w:val="00D27FDF"/>
    <w:rsid w:val="00D3019F"/>
    <w:rsid w:val="00D305ED"/>
    <w:rsid w:val="00D3074E"/>
    <w:rsid w:val="00D30D6D"/>
    <w:rsid w:val="00D30E34"/>
    <w:rsid w:val="00D30F07"/>
    <w:rsid w:val="00D31183"/>
    <w:rsid w:val="00D3130C"/>
    <w:rsid w:val="00D31613"/>
    <w:rsid w:val="00D31638"/>
    <w:rsid w:val="00D3171E"/>
    <w:rsid w:val="00D31EDD"/>
    <w:rsid w:val="00D32247"/>
    <w:rsid w:val="00D324B5"/>
    <w:rsid w:val="00D327E4"/>
    <w:rsid w:val="00D32C6D"/>
    <w:rsid w:val="00D32CA1"/>
    <w:rsid w:val="00D330CF"/>
    <w:rsid w:val="00D3326A"/>
    <w:rsid w:val="00D339E4"/>
    <w:rsid w:val="00D33B8A"/>
    <w:rsid w:val="00D33B8B"/>
    <w:rsid w:val="00D33BB1"/>
    <w:rsid w:val="00D33CCD"/>
    <w:rsid w:val="00D34039"/>
    <w:rsid w:val="00D3419F"/>
    <w:rsid w:val="00D34316"/>
    <w:rsid w:val="00D34616"/>
    <w:rsid w:val="00D34859"/>
    <w:rsid w:val="00D34990"/>
    <w:rsid w:val="00D34C0C"/>
    <w:rsid w:val="00D34CE0"/>
    <w:rsid w:val="00D34E50"/>
    <w:rsid w:val="00D3565A"/>
    <w:rsid w:val="00D35B1E"/>
    <w:rsid w:val="00D35C48"/>
    <w:rsid w:val="00D35EA2"/>
    <w:rsid w:val="00D35F80"/>
    <w:rsid w:val="00D36209"/>
    <w:rsid w:val="00D364C7"/>
    <w:rsid w:val="00D36520"/>
    <w:rsid w:val="00D36B2F"/>
    <w:rsid w:val="00D370B2"/>
    <w:rsid w:val="00D3776E"/>
    <w:rsid w:val="00D3783C"/>
    <w:rsid w:val="00D3796F"/>
    <w:rsid w:val="00D37E63"/>
    <w:rsid w:val="00D408A6"/>
    <w:rsid w:val="00D40F9C"/>
    <w:rsid w:val="00D40F9E"/>
    <w:rsid w:val="00D410BA"/>
    <w:rsid w:val="00D417B2"/>
    <w:rsid w:val="00D4185D"/>
    <w:rsid w:val="00D41A6A"/>
    <w:rsid w:val="00D41AE7"/>
    <w:rsid w:val="00D41D33"/>
    <w:rsid w:val="00D41FAA"/>
    <w:rsid w:val="00D4244E"/>
    <w:rsid w:val="00D42477"/>
    <w:rsid w:val="00D426DE"/>
    <w:rsid w:val="00D428CB"/>
    <w:rsid w:val="00D42CD3"/>
    <w:rsid w:val="00D42D91"/>
    <w:rsid w:val="00D42DFC"/>
    <w:rsid w:val="00D42EA0"/>
    <w:rsid w:val="00D43084"/>
    <w:rsid w:val="00D4327D"/>
    <w:rsid w:val="00D43730"/>
    <w:rsid w:val="00D4376F"/>
    <w:rsid w:val="00D43D57"/>
    <w:rsid w:val="00D43F34"/>
    <w:rsid w:val="00D44284"/>
    <w:rsid w:val="00D442AE"/>
    <w:rsid w:val="00D4453B"/>
    <w:rsid w:val="00D44E26"/>
    <w:rsid w:val="00D44F33"/>
    <w:rsid w:val="00D45053"/>
    <w:rsid w:val="00D45317"/>
    <w:rsid w:val="00D455EE"/>
    <w:rsid w:val="00D4572F"/>
    <w:rsid w:val="00D45D2A"/>
    <w:rsid w:val="00D45E13"/>
    <w:rsid w:val="00D45E25"/>
    <w:rsid w:val="00D45ED9"/>
    <w:rsid w:val="00D45FF5"/>
    <w:rsid w:val="00D4638B"/>
    <w:rsid w:val="00D463F6"/>
    <w:rsid w:val="00D466B2"/>
    <w:rsid w:val="00D4675E"/>
    <w:rsid w:val="00D467AB"/>
    <w:rsid w:val="00D467E7"/>
    <w:rsid w:val="00D46995"/>
    <w:rsid w:val="00D469C7"/>
    <w:rsid w:val="00D46AC7"/>
    <w:rsid w:val="00D46B30"/>
    <w:rsid w:val="00D46D93"/>
    <w:rsid w:val="00D46ED6"/>
    <w:rsid w:val="00D4703C"/>
    <w:rsid w:val="00D4734F"/>
    <w:rsid w:val="00D47867"/>
    <w:rsid w:val="00D47930"/>
    <w:rsid w:val="00D479D6"/>
    <w:rsid w:val="00D47E3D"/>
    <w:rsid w:val="00D50121"/>
    <w:rsid w:val="00D5026B"/>
    <w:rsid w:val="00D50449"/>
    <w:rsid w:val="00D5045D"/>
    <w:rsid w:val="00D50D75"/>
    <w:rsid w:val="00D50DE2"/>
    <w:rsid w:val="00D5113E"/>
    <w:rsid w:val="00D51786"/>
    <w:rsid w:val="00D519CD"/>
    <w:rsid w:val="00D51AE0"/>
    <w:rsid w:val="00D51B51"/>
    <w:rsid w:val="00D51B62"/>
    <w:rsid w:val="00D51B87"/>
    <w:rsid w:val="00D51C34"/>
    <w:rsid w:val="00D51D7A"/>
    <w:rsid w:val="00D5219F"/>
    <w:rsid w:val="00D52229"/>
    <w:rsid w:val="00D52806"/>
    <w:rsid w:val="00D52839"/>
    <w:rsid w:val="00D529DC"/>
    <w:rsid w:val="00D52E50"/>
    <w:rsid w:val="00D53238"/>
    <w:rsid w:val="00D53285"/>
    <w:rsid w:val="00D537FB"/>
    <w:rsid w:val="00D53A08"/>
    <w:rsid w:val="00D53D41"/>
    <w:rsid w:val="00D54073"/>
    <w:rsid w:val="00D54280"/>
    <w:rsid w:val="00D54333"/>
    <w:rsid w:val="00D5465D"/>
    <w:rsid w:val="00D54D01"/>
    <w:rsid w:val="00D54F0F"/>
    <w:rsid w:val="00D550CE"/>
    <w:rsid w:val="00D55135"/>
    <w:rsid w:val="00D55157"/>
    <w:rsid w:val="00D5568E"/>
    <w:rsid w:val="00D55722"/>
    <w:rsid w:val="00D55871"/>
    <w:rsid w:val="00D558A1"/>
    <w:rsid w:val="00D55AD2"/>
    <w:rsid w:val="00D55B80"/>
    <w:rsid w:val="00D55B89"/>
    <w:rsid w:val="00D55C0E"/>
    <w:rsid w:val="00D55C90"/>
    <w:rsid w:val="00D5681B"/>
    <w:rsid w:val="00D56820"/>
    <w:rsid w:val="00D56822"/>
    <w:rsid w:val="00D56A24"/>
    <w:rsid w:val="00D56C83"/>
    <w:rsid w:val="00D5725B"/>
    <w:rsid w:val="00D5726C"/>
    <w:rsid w:val="00D57594"/>
    <w:rsid w:val="00D57932"/>
    <w:rsid w:val="00D57B2F"/>
    <w:rsid w:val="00D57C2A"/>
    <w:rsid w:val="00D60086"/>
    <w:rsid w:val="00D60133"/>
    <w:rsid w:val="00D60426"/>
    <w:rsid w:val="00D604D9"/>
    <w:rsid w:val="00D60B8A"/>
    <w:rsid w:val="00D60DC4"/>
    <w:rsid w:val="00D60F41"/>
    <w:rsid w:val="00D60F4A"/>
    <w:rsid w:val="00D61201"/>
    <w:rsid w:val="00D612CC"/>
    <w:rsid w:val="00D6147D"/>
    <w:rsid w:val="00D61691"/>
    <w:rsid w:val="00D616CA"/>
    <w:rsid w:val="00D617A7"/>
    <w:rsid w:val="00D619F6"/>
    <w:rsid w:val="00D61FFE"/>
    <w:rsid w:val="00D62B80"/>
    <w:rsid w:val="00D62F29"/>
    <w:rsid w:val="00D62F76"/>
    <w:rsid w:val="00D632EF"/>
    <w:rsid w:val="00D63371"/>
    <w:rsid w:val="00D639CE"/>
    <w:rsid w:val="00D63CEA"/>
    <w:rsid w:val="00D64252"/>
    <w:rsid w:val="00D643B7"/>
    <w:rsid w:val="00D6445D"/>
    <w:rsid w:val="00D6493B"/>
    <w:rsid w:val="00D64CA2"/>
    <w:rsid w:val="00D64E63"/>
    <w:rsid w:val="00D64FCC"/>
    <w:rsid w:val="00D65080"/>
    <w:rsid w:val="00D650EB"/>
    <w:rsid w:val="00D653ED"/>
    <w:rsid w:val="00D65436"/>
    <w:rsid w:val="00D6549F"/>
    <w:rsid w:val="00D65547"/>
    <w:rsid w:val="00D657D7"/>
    <w:rsid w:val="00D65B8F"/>
    <w:rsid w:val="00D65C3A"/>
    <w:rsid w:val="00D66063"/>
    <w:rsid w:val="00D6661D"/>
    <w:rsid w:val="00D667DB"/>
    <w:rsid w:val="00D66915"/>
    <w:rsid w:val="00D66AC8"/>
    <w:rsid w:val="00D66CEA"/>
    <w:rsid w:val="00D676D0"/>
    <w:rsid w:val="00D67878"/>
    <w:rsid w:val="00D67C5A"/>
    <w:rsid w:val="00D67E89"/>
    <w:rsid w:val="00D70616"/>
    <w:rsid w:val="00D70713"/>
    <w:rsid w:val="00D70899"/>
    <w:rsid w:val="00D70B3B"/>
    <w:rsid w:val="00D70B68"/>
    <w:rsid w:val="00D70ECE"/>
    <w:rsid w:val="00D70FFC"/>
    <w:rsid w:val="00D7100F"/>
    <w:rsid w:val="00D715B8"/>
    <w:rsid w:val="00D71762"/>
    <w:rsid w:val="00D718AB"/>
    <w:rsid w:val="00D71AF9"/>
    <w:rsid w:val="00D71C69"/>
    <w:rsid w:val="00D71CB6"/>
    <w:rsid w:val="00D720D1"/>
    <w:rsid w:val="00D720E6"/>
    <w:rsid w:val="00D721B6"/>
    <w:rsid w:val="00D723F5"/>
    <w:rsid w:val="00D72624"/>
    <w:rsid w:val="00D726C7"/>
    <w:rsid w:val="00D72B2B"/>
    <w:rsid w:val="00D72EFF"/>
    <w:rsid w:val="00D73955"/>
    <w:rsid w:val="00D739D4"/>
    <w:rsid w:val="00D74144"/>
    <w:rsid w:val="00D746A3"/>
    <w:rsid w:val="00D747FE"/>
    <w:rsid w:val="00D74957"/>
    <w:rsid w:val="00D749BE"/>
    <w:rsid w:val="00D74B83"/>
    <w:rsid w:val="00D74B84"/>
    <w:rsid w:val="00D74C54"/>
    <w:rsid w:val="00D74CB4"/>
    <w:rsid w:val="00D74D0D"/>
    <w:rsid w:val="00D74DCF"/>
    <w:rsid w:val="00D74FAB"/>
    <w:rsid w:val="00D751B8"/>
    <w:rsid w:val="00D753BA"/>
    <w:rsid w:val="00D755DB"/>
    <w:rsid w:val="00D75690"/>
    <w:rsid w:val="00D759E1"/>
    <w:rsid w:val="00D75BC2"/>
    <w:rsid w:val="00D75E90"/>
    <w:rsid w:val="00D7603F"/>
    <w:rsid w:val="00D7605F"/>
    <w:rsid w:val="00D761B1"/>
    <w:rsid w:val="00D761C2"/>
    <w:rsid w:val="00D76BA0"/>
    <w:rsid w:val="00D77008"/>
    <w:rsid w:val="00D7709F"/>
    <w:rsid w:val="00D770A4"/>
    <w:rsid w:val="00D77300"/>
    <w:rsid w:val="00D773DC"/>
    <w:rsid w:val="00D7750E"/>
    <w:rsid w:val="00D77CB6"/>
    <w:rsid w:val="00D77CCF"/>
    <w:rsid w:val="00D77D82"/>
    <w:rsid w:val="00D77E4C"/>
    <w:rsid w:val="00D77F34"/>
    <w:rsid w:val="00D80210"/>
    <w:rsid w:val="00D802CB"/>
    <w:rsid w:val="00D802ED"/>
    <w:rsid w:val="00D80466"/>
    <w:rsid w:val="00D808D8"/>
    <w:rsid w:val="00D809FA"/>
    <w:rsid w:val="00D80A34"/>
    <w:rsid w:val="00D80B2B"/>
    <w:rsid w:val="00D80D3A"/>
    <w:rsid w:val="00D80F1B"/>
    <w:rsid w:val="00D81B94"/>
    <w:rsid w:val="00D81C90"/>
    <w:rsid w:val="00D81D2E"/>
    <w:rsid w:val="00D82066"/>
    <w:rsid w:val="00D8211B"/>
    <w:rsid w:val="00D8229D"/>
    <w:rsid w:val="00D8259E"/>
    <w:rsid w:val="00D82A0E"/>
    <w:rsid w:val="00D831FE"/>
    <w:rsid w:val="00D83637"/>
    <w:rsid w:val="00D8365B"/>
    <w:rsid w:val="00D838D1"/>
    <w:rsid w:val="00D839CE"/>
    <w:rsid w:val="00D83FCE"/>
    <w:rsid w:val="00D84043"/>
    <w:rsid w:val="00D84397"/>
    <w:rsid w:val="00D84903"/>
    <w:rsid w:val="00D84D3F"/>
    <w:rsid w:val="00D84DB2"/>
    <w:rsid w:val="00D84E4C"/>
    <w:rsid w:val="00D84F51"/>
    <w:rsid w:val="00D85108"/>
    <w:rsid w:val="00D851D3"/>
    <w:rsid w:val="00D85267"/>
    <w:rsid w:val="00D853DF"/>
    <w:rsid w:val="00D8553A"/>
    <w:rsid w:val="00D85679"/>
    <w:rsid w:val="00D85905"/>
    <w:rsid w:val="00D85A1B"/>
    <w:rsid w:val="00D85BA3"/>
    <w:rsid w:val="00D85C45"/>
    <w:rsid w:val="00D86200"/>
    <w:rsid w:val="00D86384"/>
    <w:rsid w:val="00D866BB"/>
    <w:rsid w:val="00D868DC"/>
    <w:rsid w:val="00D869C0"/>
    <w:rsid w:val="00D86C90"/>
    <w:rsid w:val="00D87164"/>
    <w:rsid w:val="00D87547"/>
    <w:rsid w:val="00D87945"/>
    <w:rsid w:val="00D87AC5"/>
    <w:rsid w:val="00D87C0B"/>
    <w:rsid w:val="00D87D24"/>
    <w:rsid w:val="00D87F93"/>
    <w:rsid w:val="00D901C2"/>
    <w:rsid w:val="00D9089E"/>
    <w:rsid w:val="00D909F5"/>
    <w:rsid w:val="00D90A6C"/>
    <w:rsid w:val="00D90ADF"/>
    <w:rsid w:val="00D90D1E"/>
    <w:rsid w:val="00D90DD5"/>
    <w:rsid w:val="00D90F2D"/>
    <w:rsid w:val="00D91040"/>
    <w:rsid w:val="00D91230"/>
    <w:rsid w:val="00D91297"/>
    <w:rsid w:val="00D912C0"/>
    <w:rsid w:val="00D9151B"/>
    <w:rsid w:val="00D91523"/>
    <w:rsid w:val="00D9154E"/>
    <w:rsid w:val="00D9166A"/>
    <w:rsid w:val="00D91692"/>
    <w:rsid w:val="00D916CA"/>
    <w:rsid w:val="00D916CB"/>
    <w:rsid w:val="00D91897"/>
    <w:rsid w:val="00D91905"/>
    <w:rsid w:val="00D919D4"/>
    <w:rsid w:val="00D91AA3"/>
    <w:rsid w:val="00D91BA6"/>
    <w:rsid w:val="00D91F28"/>
    <w:rsid w:val="00D92450"/>
    <w:rsid w:val="00D925C7"/>
    <w:rsid w:val="00D928DF"/>
    <w:rsid w:val="00D92E34"/>
    <w:rsid w:val="00D930BF"/>
    <w:rsid w:val="00D93285"/>
    <w:rsid w:val="00D93822"/>
    <w:rsid w:val="00D93937"/>
    <w:rsid w:val="00D93A1E"/>
    <w:rsid w:val="00D93BC7"/>
    <w:rsid w:val="00D9467C"/>
    <w:rsid w:val="00D946BA"/>
    <w:rsid w:val="00D946F9"/>
    <w:rsid w:val="00D9489F"/>
    <w:rsid w:val="00D94C11"/>
    <w:rsid w:val="00D94D2B"/>
    <w:rsid w:val="00D9524B"/>
    <w:rsid w:val="00D9526B"/>
    <w:rsid w:val="00D953D6"/>
    <w:rsid w:val="00D954AE"/>
    <w:rsid w:val="00D955E3"/>
    <w:rsid w:val="00D9566B"/>
    <w:rsid w:val="00D956C4"/>
    <w:rsid w:val="00D95938"/>
    <w:rsid w:val="00D95BB9"/>
    <w:rsid w:val="00D95F66"/>
    <w:rsid w:val="00D961B7"/>
    <w:rsid w:val="00D961C9"/>
    <w:rsid w:val="00D96329"/>
    <w:rsid w:val="00D96721"/>
    <w:rsid w:val="00D9691B"/>
    <w:rsid w:val="00D96BAF"/>
    <w:rsid w:val="00D97A0E"/>
    <w:rsid w:val="00D97D2B"/>
    <w:rsid w:val="00D97FF4"/>
    <w:rsid w:val="00DA0129"/>
    <w:rsid w:val="00DA012C"/>
    <w:rsid w:val="00DA01E2"/>
    <w:rsid w:val="00DA0B12"/>
    <w:rsid w:val="00DA0B1A"/>
    <w:rsid w:val="00DA0DDA"/>
    <w:rsid w:val="00DA0F9D"/>
    <w:rsid w:val="00DA111C"/>
    <w:rsid w:val="00DA11E6"/>
    <w:rsid w:val="00DA1A92"/>
    <w:rsid w:val="00DA1DDC"/>
    <w:rsid w:val="00DA23E7"/>
    <w:rsid w:val="00DA24DA"/>
    <w:rsid w:val="00DA280F"/>
    <w:rsid w:val="00DA2A78"/>
    <w:rsid w:val="00DA2BA2"/>
    <w:rsid w:val="00DA2E21"/>
    <w:rsid w:val="00DA3784"/>
    <w:rsid w:val="00DA3928"/>
    <w:rsid w:val="00DA39FB"/>
    <w:rsid w:val="00DA422E"/>
    <w:rsid w:val="00DA423C"/>
    <w:rsid w:val="00DA4436"/>
    <w:rsid w:val="00DA44FC"/>
    <w:rsid w:val="00DA488E"/>
    <w:rsid w:val="00DA4A7D"/>
    <w:rsid w:val="00DA4A87"/>
    <w:rsid w:val="00DA4C12"/>
    <w:rsid w:val="00DA4CBC"/>
    <w:rsid w:val="00DA4EF9"/>
    <w:rsid w:val="00DA4F30"/>
    <w:rsid w:val="00DA5556"/>
    <w:rsid w:val="00DA5590"/>
    <w:rsid w:val="00DA5632"/>
    <w:rsid w:val="00DA61E5"/>
    <w:rsid w:val="00DA684D"/>
    <w:rsid w:val="00DA68F1"/>
    <w:rsid w:val="00DA6A70"/>
    <w:rsid w:val="00DA6B23"/>
    <w:rsid w:val="00DA6C95"/>
    <w:rsid w:val="00DA6CFC"/>
    <w:rsid w:val="00DA716F"/>
    <w:rsid w:val="00DA786F"/>
    <w:rsid w:val="00DA793C"/>
    <w:rsid w:val="00DA7B1E"/>
    <w:rsid w:val="00DA7B54"/>
    <w:rsid w:val="00DA7E23"/>
    <w:rsid w:val="00DB01A7"/>
    <w:rsid w:val="00DB08AE"/>
    <w:rsid w:val="00DB0993"/>
    <w:rsid w:val="00DB0B73"/>
    <w:rsid w:val="00DB0D2C"/>
    <w:rsid w:val="00DB0D4E"/>
    <w:rsid w:val="00DB0DD2"/>
    <w:rsid w:val="00DB0DF9"/>
    <w:rsid w:val="00DB11BA"/>
    <w:rsid w:val="00DB1282"/>
    <w:rsid w:val="00DB1328"/>
    <w:rsid w:val="00DB14CC"/>
    <w:rsid w:val="00DB1528"/>
    <w:rsid w:val="00DB15B0"/>
    <w:rsid w:val="00DB15E4"/>
    <w:rsid w:val="00DB1655"/>
    <w:rsid w:val="00DB166D"/>
    <w:rsid w:val="00DB1AE3"/>
    <w:rsid w:val="00DB1EBB"/>
    <w:rsid w:val="00DB2037"/>
    <w:rsid w:val="00DB2286"/>
    <w:rsid w:val="00DB2768"/>
    <w:rsid w:val="00DB2983"/>
    <w:rsid w:val="00DB2A1C"/>
    <w:rsid w:val="00DB2BDC"/>
    <w:rsid w:val="00DB2E2E"/>
    <w:rsid w:val="00DB3C10"/>
    <w:rsid w:val="00DB3CFA"/>
    <w:rsid w:val="00DB3DEF"/>
    <w:rsid w:val="00DB53D3"/>
    <w:rsid w:val="00DB53FB"/>
    <w:rsid w:val="00DB55D2"/>
    <w:rsid w:val="00DB5625"/>
    <w:rsid w:val="00DB5AAC"/>
    <w:rsid w:val="00DB5ADB"/>
    <w:rsid w:val="00DB5EFD"/>
    <w:rsid w:val="00DB6164"/>
    <w:rsid w:val="00DB633B"/>
    <w:rsid w:val="00DB6668"/>
    <w:rsid w:val="00DB6B3B"/>
    <w:rsid w:val="00DB6CAD"/>
    <w:rsid w:val="00DB6D23"/>
    <w:rsid w:val="00DB6E5F"/>
    <w:rsid w:val="00DB7055"/>
    <w:rsid w:val="00DB7151"/>
    <w:rsid w:val="00DB72B2"/>
    <w:rsid w:val="00DB7754"/>
    <w:rsid w:val="00DB7BE1"/>
    <w:rsid w:val="00DC01DD"/>
    <w:rsid w:val="00DC0424"/>
    <w:rsid w:val="00DC0513"/>
    <w:rsid w:val="00DC0C96"/>
    <w:rsid w:val="00DC1CA1"/>
    <w:rsid w:val="00DC1E5B"/>
    <w:rsid w:val="00DC1FFF"/>
    <w:rsid w:val="00DC2466"/>
    <w:rsid w:val="00DC2593"/>
    <w:rsid w:val="00DC2655"/>
    <w:rsid w:val="00DC26DF"/>
    <w:rsid w:val="00DC279C"/>
    <w:rsid w:val="00DC2A4D"/>
    <w:rsid w:val="00DC2AB5"/>
    <w:rsid w:val="00DC2B80"/>
    <w:rsid w:val="00DC2EF4"/>
    <w:rsid w:val="00DC30BA"/>
    <w:rsid w:val="00DC3253"/>
    <w:rsid w:val="00DC32B7"/>
    <w:rsid w:val="00DC3321"/>
    <w:rsid w:val="00DC38EA"/>
    <w:rsid w:val="00DC3A4F"/>
    <w:rsid w:val="00DC3B06"/>
    <w:rsid w:val="00DC3B19"/>
    <w:rsid w:val="00DC3DC9"/>
    <w:rsid w:val="00DC3EE2"/>
    <w:rsid w:val="00DC445C"/>
    <w:rsid w:val="00DC462D"/>
    <w:rsid w:val="00DC470F"/>
    <w:rsid w:val="00DC4B82"/>
    <w:rsid w:val="00DC4CD1"/>
    <w:rsid w:val="00DC4E58"/>
    <w:rsid w:val="00DC50FD"/>
    <w:rsid w:val="00DC526F"/>
    <w:rsid w:val="00DC54F1"/>
    <w:rsid w:val="00DC55B0"/>
    <w:rsid w:val="00DC599F"/>
    <w:rsid w:val="00DC5B14"/>
    <w:rsid w:val="00DC5E9C"/>
    <w:rsid w:val="00DC6698"/>
    <w:rsid w:val="00DC6831"/>
    <w:rsid w:val="00DC69B2"/>
    <w:rsid w:val="00DC6F45"/>
    <w:rsid w:val="00DC6F7B"/>
    <w:rsid w:val="00DC6F95"/>
    <w:rsid w:val="00DC7041"/>
    <w:rsid w:val="00DC70F2"/>
    <w:rsid w:val="00DC7238"/>
    <w:rsid w:val="00DC7377"/>
    <w:rsid w:val="00DC737E"/>
    <w:rsid w:val="00DC7682"/>
    <w:rsid w:val="00DC781C"/>
    <w:rsid w:val="00DC7EA7"/>
    <w:rsid w:val="00DD01A5"/>
    <w:rsid w:val="00DD01CA"/>
    <w:rsid w:val="00DD03F9"/>
    <w:rsid w:val="00DD0485"/>
    <w:rsid w:val="00DD051C"/>
    <w:rsid w:val="00DD0794"/>
    <w:rsid w:val="00DD096A"/>
    <w:rsid w:val="00DD1743"/>
    <w:rsid w:val="00DD17D7"/>
    <w:rsid w:val="00DD19DA"/>
    <w:rsid w:val="00DD1E61"/>
    <w:rsid w:val="00DD1F2F"/>
    <w:rsid w:val="00DD1FAE"/>
    <w:rsid w:val="00DD24B4"/>
    <w:rsid w:val="00DD2554"/>
    <w:rsid w:val="00DD2708"/>
    <w:rsid w:val="00DD27A7"/>
    <w:rsid w:val="00DD2B6A"/>
    <w:rsid w:val="00DD2C79"/>
    <w:rsid w:val="00DD2EB2"/>
    <w:rsid w:val="00DD335A"/>
    <w:rsid w:val="00DD3395"/>
    <w:rsid w:val="00DD3398"/>
    <w:rsid w:val="00DD3781"/>
    <w:rsid w:val="00DD387B"/>
    <w:rsid w:val="00DD3F5C"/>
    <w:rsid w:val="00DD417D"/>
    <w:rsid w:val="00DD4286"/>
    <w:rsid w:val="00DD46F9"/>
    <w:rsid w:val="00DD49B6"/>
    <w:rsid w:val="00DD4D21"/>
    <w:rsid w:val="00DD4D27"/>
    <w:rsid w:val="00DD505B"/>
    <w:rsid w:val="00DD5131"/>
    <w:rsid w:val="00DD516F"/>
    <w:rsid w:val="00DD5478"/>
    <w:rsid w:val="00DD550E"/>
    <w:rsid w:val="00DD5717"/>
    <w:rsid w:val="00DD5857"/>
    <w:rsid w:val="00DD591B"/>
    <w:rsid w:val="00DD5991"/>
    <w:rsid w:val="00DD5E37"/>
    <w:rsid w:val="00DD600E"/>
    <w:rsid w:val="00DD604A"/>
    <w:rsid w:val="00DD60AF"/>
    <w:rsid w:val="00DD613F"/>
    <w:rsid w:val="00DD62B4"/>
    <w:rsid w:val="00DD62FC"/>
    <w:rsid w:val="00DD6406"/>
    <w:rsid w:val="00DD6A95"/>
    <w:rsid w:val="00DD6B4D"/>
    <w:rsid w:val="00DD6CEF"/>
    <w:rsid w:val="00DD6F5C"/>
    <w:rsid w:val="00DD7432"/>
    <w:rsid w:val="00DD7772"/>
    <w:rsid w:val="00DD78DE"/>
    <w:rsid w:val="00DE002C"/>
    <w:rsid w:val="00DE058B"/>
    <w:rsid w:val="00DE0742"/>
    <w:rsid w:val="00DE08A5"/>
    <w:rsid w:val="00DE0C80"/>
    <w:rsid w:val="00DE0CB3"/>
    <w:rsid w:val="00DE0E0E"/>
    <w:rsid w:val="00DE1166"/>
    <w:rsid w:val="00DE1295"/>
    <w:rsid w:val="00DE1531"/>
    <w:rsid w:val="00DE16BC"/>
    <w:rsid w:val="00DE1B3B"/>
    <w:rsid w:val="00DE1C25"/>
    <w:rsid w:val="00DE228A"/>
    <w:rsid w:val="00DE22BC"/>
    <w:rsid w:val="00DE23CA"/>
    <w:rsid w:val="00DE2463"/>
    <w:rsid w:val="00DE2556"/>
    <w:rsid w:val="00DE25E5"/>
    <w:rsid w:val="00DE2C24"/>
    <w:rsid w:val="00DE30F5"/>
    <w:rsid w:val="00DE33A6"/>
    <w:rsid w:val="00DE35B0"/>
    <w:rsid w:val="00DE37E0"/>
    <w:rsid w:val="00DE3AFF"/>
    <w:rsid w:val="00DE3F01"/>
    <w:rsid w:val="00DE3FDE"/>
    <w:rsid w:val="00DE41C4"/>
    <w:rsid w:val="00DE4850"/>
    <w:rsid w:val="00DE4872"/>
    <w:rsid w:val="00DE4C40"/>
    <w:rsid w:val="00DE4D9E"/>
    <w:rsid w:val="00DE51B4"/>
    <w:rsid w:val="00DE525E"/>
    <w:rsid w:val="00DE5395"/>
    <w:rsid w:val="00DE562C"/>
    <w:rsid w:val="00DE5AD4"/>
    <w:rsid w:val="00DE5EF8"/>
    <w:rsid w:val="00DE60CC"/>
    <w:rsid w:val="00DE6520"/>
    <w:rsid w:val="00DE6937"/>
    <w:rsid w:val="00DE69A8"/>
    <w:rsid w:val="00DE6B5C"/>
    <w:rsid w:val="00DE71B8"/>
    <w:rsid w:val="00DE7685"/>
    <w:rsid w:val="00DE7718"/>
    <w:rsid w:val="00DE7976"/>
    <w:rsid w:val="00DE79BF"/>
    <w:rsid w:val="00DE7A74"/>
    <w:rsid w:val="00DE7DEE"/>
    <w:rsid w:val="00DE7EE8"/>
    <w:rsid w:val="00DF05C8"/>
    <w:rsid w:val="00DF0796"/>
    <w:rsid w:val="00DF0CA7"/>
    <w:rsid w:val="00DF0D61"/>
    <w:rsid w:val="00DF0EF8"/>
    <w:rsid w:val="00DF0F5E"/>
    <w:rsid w:val="00DF11B7"/>
    <w:rsid w:val="00DF1332"/>
    <w:rsid w:val="00DF165C"/>
    <w:rsid w:val="00DF1B94"/>
    <w:rsid w:val="00DF1BA6"/>
    <w:rsid w:val="00DF2022"/>
    <w:rsid w:val="00DF2334"/>
    <w:rsid w:val="00DF26AA"/>
    <w:rsid w:val="00DF2A55"/>
    <w:rsid w:val="00DF3541"/>
    <w:rsid w:val="00DF35F2"/>
    <w:rsid w:val="00DF38B6"/>
    <w:rsid w:val="00DF39A0"/>
    <w:rsid w:val="00DF3DC5"/>
    <w:rsid w:val="00DF4312"/>
    <w:rsid w:val="00DF46A7"/>
    <w:rsid w:val="00DF46E8"/>
    <w:rsid w:val="00DF4787"/>
    <w:rsid w:val="00DF47C9"/>
    <w:rsid w:val="00DF4890"/>
    <w:rsid w:val="00DF4915"/>
    <w:rsid w:val="00DF4AEA"/>
    <w:rsid w:val="00DF5201"/>
    <w:rsid w:val="00DF576D"/>
    <w:rsid w:val="00DF5998"/>
    <w:rsid w:val="00DF5AE0"/>
    <w:rsid w:val="00DF5B09"/>
    <w:rsid w:val="00DF5C97"/>
    <w:rsid w:val="00DF5E69"/>
    <w:rsid w:val="00DF6132"/>
    <w:rsid w:val="00DF6218"/>
    <w:rsid w:val="00DF642C"/>
    <w:rsid w:val="00DF664F"/>
    <w:rsid w:val="00DF669F"/>
    <w:rsid w:val="00DF695B"/>
    <w:rsid w:val="00DF6B52"/>
    <w:rsid w:val="00DF6CC1"/>
    <w:rsid w:val="00DF7032"/>
    <w:rsid w:val="00DF7347"/>
    <w:rsid w:val="00DF74CE"/>
    <w:rsid w:val="00DF7889"/>
    <w:rsid w:val="00DF7967"/>
    <w:rsid w:val="00DF7B20"/>
    <w:rsid w:val="00DF7CBE"/>
    <w:rsid w:val="00E001FA"/>
    <w:rsid w:val="00E00428"/>
    <w:rsid w:val="00E0074B"/>
    <w:rsid w:val="00E00B89"/>
    <w:rsid w:val="00E00BBB"/>
    <w:rsid w:val="00E00C3D"/>
    <w:rsid w:val="00E00E13"/>
    <w:rsid w:val="00E0130C"/>
    <w:rsid w:val="00E018BA"/>
    <w:rsid w:val="00E01B3B"/>
    <w:rsid w:val="00E01E44"/>
    <w:rsid w:val="00E01E7F"/>
    <w:rsid w:val="00E01FC7"/>
    <w:rsid w:val="00E021D6"/>
    <w:rsid w:val="00E0258D"/>
    <w:rsid w:val="00E025A9"/>
    <w:rsid w:val="00E02673"/>
    <w:rsid w:val="00E026AA"/>
    <w:rsid w:val="00E02BAE"/>
    <w:rsid w:val="00E02D1D"/>
    <w:rsid w:val="00E02E35"/>
    <w:rsid w:val="00E02EB3"/>
    <w:rsid w:val="00E02FA6"/>
    <w:rsid w:val="00E032DC"/>
    <w:rsid w:val="00E035D8"/>
    <w:rsid w:val="00E03652"/>
    <w:rsid w:val="00E039C0"/>
    <w:rsid w:val="00E03B44"/>
    <w:rsid w:val="00E03BA2"/>
    <w:rsid w:val="00E03C31"/>
    <w:rsid w:val="00E0479B"/>
    <w:rsid w:val="00E04810"/>
    <w:rsid w:val="00E048EB"/>
    <w:rsid w:val="00E04E2C"/>
    <w:rsid w:val="00E0514E"/>
    <w:rsid w:val="00E0538B"/>
    <w:rsid w:val="00E05766"/>
    <w:rsid w:val="00E0583E"/>
    <w:rsid w:val="00E0592A"/>
    <w:rsid w:val="00E0628E"/>
    <w:rsid w:val="00E0636B"/>
    <w:rsid w:val="00E066B9"/>
    <w:rsid w:val="00E06AD4"/>
    <w:rsid w:val="00E06B9F"/>
    <w:rsid w:val="00E06F00"/>
    <w:rsid w:val="00E06F7B"/>
    <w:rsid w:val="00E0717A"/>
    <w:rsid w:val="00E071BF"/>
    <w:rsid w:val="00E07252"/>
    <w:rsid w:val="00E079EF"/>
    <w:rsid w:val="00E07FEB"/>
    <w:rsid w:val="00E10041"/>
    <w:rsid w:val="00E100B0"/>
    <w:rsid w:val="00E102FF"/>
    <w:rsid w:val="00E10379"/>
    <w:rsid w:val="00E104CD"/>
    <w:rsid w:val="00E10B7D"/>
    <w:rsid w:val="00E10DE0"/>
    <w:rsid w:val="00E1140A"/>
    <w:rsid w:val="00E11507"/>
    <w:rsid w:val="00E1157F"/>
    <w:rsid w:val="00E11607"/>
    <w:rsid w:val="00E119B1"/>
    <w:rsid w:val="00E12265"/>
    <w:rsid w:val="00E12935"/>
    <w:rsid w:val="00E12ACD"/>
    <w:rsid w:val="00E12C99"/>
    <w:rsid w:val="00E12DD0"/>
    <w:rsid w:val="00E12F09"/>
    <w:rsid w:val="00E12F37"/>
    <w:rsid w:val="00E12F3E"/>
    <w:rsid w:val="00E12F88"/>
    <w:rsid w:val="00E13977"/>
    <w:rsid w:val="00E13B70"/>
    <w:rsid w:val="00E13B92"/>
    <w:rsid w:val="00E13EC0"/>
    <w:rsid w:val="00E1401F"/>
    <w:rsid w:val="00E1404E"/>
    <w:rsid w:val="00E140AB"/>
    <w:rsid w:val="00E144CB"/>
    <w:rsid w:val="00E14A62"/>
    <w:rsid w:val="00E14F48"/>
    <w:rsid w:val="00E14F5F"/>
    <w:rsid w:val="00E14FC9"/>
    <w:rsid w:val="00E15178"/>
    <w:rsid w:val="00E151D2"/>
    <w:rsid w:val="00E1542D"/>
    <w:rsid w:val="00E1587F"/>
    <w:rsid w:val="00E15A64"/>
    <w:rsid w:val="00E15B9C"/>
    <w:rsid w:val="00E15CCB"/>
    <w:rsid w:val="00E15D86"/>
    <w:rsid w:val="00E15E9B"/>
    <w:rsid w:val="00E15F8F"/>
    <w:rsid w:val="00E16257"/>
    <w:rsid w:val="00E162C5"/>
    <w:rsid w:val="00E16548"/>
    <w:rsid w:val="00E1662E"/>
    <w:rsid w:val="00E16795"/>
    <w:rsid w:val="00E169BF"/>
    <w:rsid w:val="00E16B33"/>
    <w:rsid w:val="00E16EA9"/>
    <w:rsid w:val="00E16F05"/>
    <w:rsid w:val="00E16F9A"/>
    <w:rsid w:val="00E16FE6"/>
    <w:rsid w:val="00E17387"/>
    <w:rsid w:val="00E175D4"/>
    <w:rsid w:val="00E179C2"/>
    <w:rsid w:val="00E17B27"/>
    <w:rsid w:val="00E17F15"/>
    <w:rsid w:val="00E2010D"/>
    <w:rsid w:val="00E203F2"/>
    <w:rsid w:val="00E20895"/>
    <w:rsid w:val="00E209F7"/>
    <w:rsid w:val="00E20C9B"/>
    <w:rsid w:val="00E21402"/>
    <w:rsid w:val="00E215C3"/>
    <w:rsid w:val="00E217B2"/>
    <w:rsid w:val="00E218EA"/>
    <w:rsid w:val="00E21BD5"/>
    <w:rsid w:val="00E221D5"/>
    <w:rsid w:val="00E221F6"/>
    <w:rsid w:val="00E22394"/>
    <w:rsid w:val="00E2271D"/>
    <w:rsid w:val="00E2291F"/>
    <w:rsid w:val="00E22A6B"/>
    <w:rsid w:val="00E22BDE"/>
    <w:rsid w:val="00E22CBF"/>
    <w:rsid w:val="00E23428"/>
    <w:rsid w:val="00E2347D"/>
    <w:rsid w:val="00E237CA"/>
    <w:rsid w:val="00E238B7"/>
    <w:rsid w:val="00E23AFF"/>
    <w:rsid w:val="00E23BE6"/>
    <w:rsid w:val="00E23DCC"/>
    <w:rsid w:val="00E23F15"/>
    <w:rsid w:val="00E24175"/>
    <w:rsid w:val="00E2425D"/>
    <w:rsid w:val="00E24587"/>
    <w:rsid w:val="00E24840"/>
    <w:rsid w:val="00E24936"/>
    <w:rsid w:val="00E24B26"/>
    <w:rsid w:val="00E24CE9"/>
    <w:rsid w:val="00E24D9A"/>
    <w:rsid w:val="00E24FA5"/>
    <w:rsid w:val="00E258A5"/>
    <w:rsid w:val="00E25BEF"/>
    <w:rsid w:val="00E2602B"/>
    <w:rsid w:val="00E26054"/>
    <w:rsid w:val="00E26847"/>
    <w:rsid w:val="00E268BA"/>
    <w:rsid w:val="00E2728B"/>
    <w:rsid w:val="00E27371"/>
    <w:rsid w:val="00E274AA"/>
    <w:rsid w:val="00E2752B"/>
    <w:rsid w:val="00E2757C"/>
    <w:rsid w:val="00E275CC"/>
    <w:rsid w:val="00E27970"/>
    <w:rsid w:val="00E27E1E"/>
    <w:rsid w:val="00E27EBB"/>
    <w:rsid w:val="00E27F14"/>
    <w:rsid w:val="00E302DE"/>
    <w:rsid w:val="00E303FD"/>
    <w:rsid w:val="00E30410"/>
    <w:rsid w:val="00E304AA"/>
    <w:rsid w:val="00E30685"/>
    <w:rsid w:val="00E3068B"/>
    <w:rsid w:val="00E3076B"/>
    <w:rsid w:val="00E30DD1"/>
    <w:rsid w:val="00E30ED4"/>
    <w:rsid w:val="00E30FFB"/>
    <w:rsid w:val="00E31185"/>
    <w:rsid w:val="00E311B3"/>
    <w:rsid w:val="00E31257"/>
    <w:rsid w:val="00E31418"/>
    <w:rsid w:val="00E3161E"/>
    <w:rsid w:val="00E318DB"/>
    <w:rsid w:val="00E318EC"/>
    <w:rsid w:val="00E31D39"/>
    <w:rsid w:val="00E32054"/>
    <w:rsid w:val="00E32076"/>
    <w:rsid w:val="00E3211F"/>
    <w:rsid w:val="00E3229F"/>
    <w:rsid w:val="00E32307"/>
    <w:rsid w:val="00E32778"/>
    <w:rsid w:val="00E3290B"/>
    <w:rsid w:val="00E32AF6"/>
    <w:rsid w:val="00E32D0E"/>
    <w:rsid w:val="00E32FF4"/>
    <w:rsid w:val="00E330D2"/>
    <w:rsid w:val="00E335B4"/>
    <w:rsid w:val="00E336CE"/>
    <w:rsid w:val="00E3392B"/>
    <w:rsid w:val="00E33D34"/>
    <w:rsid w:val="00E33E61"/>
    <w:rsid w:val="00E340B5"/>
    <w:rsid w:val="00E341C1"/>
    <w:rsid w:val="00E3423A"/>
    <w:rsid w:val="00E3426E"/>
    <w:rsid w:val="00E34419"/>
    <w:rsid w:val="00E346E8"/>
    <w:rsid w:val="00E34B06"/>
    <w:rsid w:val="00E34D68"/>
    <w:rsid w:val="00E35359"/>
    <w:rsid w:val="00E3568C"/>
    <w:rsid w:val="00E35768"/>
    <w:rsid w:val="00E357FB"/>
    <w:rsid w:val="00E35C61"/>
    <w:rsid w:val="00E35E53"/>
    <w:rsid w:val="00E3623F"/>
    <w:rsid w:val="00E3645C"/>
    <w:rsid w:val="00E366ED"/>
    <w:rsid w:val="00E36EA7"/>
    <w:rsid w:val="00E371C4"/>
    <w:rsid w:val="00E37257"/>
    <w:rsid w:val="00E37322"/>
    <w:rsid w:val="00E375C6"/>
    <w:rsid w:val="00E376A5"/>
    <w:rsid w:val="00E37860"/>
    <w:rsid w:val="00E37C8B"/>
    <w:rsid w:val="00E37CC2"/>
    <w:rsid w:val="00E37D7A"/>
    <w:rsid w:val="00E37ED8"/>
    <w:rsid w:val="00E37FA4"/>
    <w:rsid w:val="00E40271"/>
    <w:rsid w:val="00E404CB"/>
    <w:rsid w:val="00E4050E"/>
    <w:rsid w:val="00E407E7"/>
    <w:rsid w:val="00E409B9"/>
    <w:rsid w:val="00E409BC"/>
    <w:rsid w:val="00E40AC3"/>
    <w:rsid w:val="00E40CB4"/>
    <w:rsid w:val="00E40EE5"/>
    <w:rsid w:val="00E414F4"/>
    <w:rsid w:val="00E4173E"/>
    <w:rsid w:val="00E41A40"/>
    <w:rsid w:val="00E41A6D"/>
    <w:rsid w:val="00E41D48"/>
    <w:rsid w:val="00E41FE7"/>
    <w:rsid w:val="00E42144"/>
    <w:rsid w:val="00E4219C"/>
    <w:rsid w:val="00E424A3"/>
    <w:rsid w:val="00E428C0"/>
    <w:rsid w:val="00E428F1"/>
    <w:rsid w:val="00E42919"/>
    <w:rsid w:val="00E42A5C"/>
    <w:rsid w:val="00E42E2F"/>
    <w:rsid w:val="00E42F8C"/>
    <w:rsid w:val="00E43045"/>
    <w:rsid w:val="00E43328"/>
    <w:rsid w:val="00E43812"/>
    <w:rsid w:val="00E4398A"/>
    <w:rsid w:val="00E43CDF"/>
    <w:rsid w:val="00E43DB5"/>
    <w:rsid w:val="00E43EDE"/>
    <w:rsid w:val="00E4414E"/>
    <w:rsid w:val="00E44338"/>
    <w:rsid w:val="00E4496F"/>
    <w:rsid w:val="00E44F9E"/>
    <w:rsid w:val="00E454DB"/>
    <w:rsid w:val="00E45574"/>
    <w:rsid w:val="00E457F3"/>
    <w:rsid w:val="00E45813"/>
    <w:rsid w:val="00E461B3"/>
    <w:rsid w:val="00E4681D"/>
    <w:rsid w:val="00E468B8"/>
    <w:rsid w:val="00E46C48"/>
    <w:rsid w:val="00E46CFC"/>
    <w:rsid w:val="00E470BF"/>
    <w:rsid w:val="00E4751B"/>
    <w:rsid w:val="00E475E5"/>
    <w:rsid w:val="00E47BB2"/>
    <w:rsid w:val="00E47C0D"/>
    <w:rsid w:val="00E47D28"/>
    <w:rsid w:val="00E50654"/>
    <w:rsid w:val="00E50680"/>
    <w:rsid w:val="00E50681"/>
    <w:rsid w:val="00E50962"/>
    <w:rsid w:val="00E50A4A"/>
    <w:rsid w:val="00E50AC9"/>
    <w:rsid w:val="00E50DA7"/>
    <w:rsid w:val="00E50F33"/>
    <w:rsid w:val="00E50F3D"/>
    <w:rsid w:val="00E50FC7"/>
    <w:rsid w:val="00E51163"/>
    <w:rsid w:val="00E51341"/>
    <w:rsid w:val="00E51AE4"/>
    <w:rsid w:val="00E51B0D"/>
    <w:rsid w:val="00E51F89"/>
    <w:rsid w:val="00E522CC"/>
    <w:rsid w:val="00E524F5"/>
    <w:rsid w:val="00E528DB"/>
    <w:rsid w:val="00E528E0"/>
    <w:rsid w:val="00E52944"/>
    <w:rsid w:val="00E529AD"/>
    <w:rsid w:val="00E52AA9"/>
    <w:rsid w:val="00E52E82"/>
    <w:rsid w:val="00E53066"/>
    <w:rsid w:val="00E53413"/>
    <w:rsid w:val="00E53A73"/>
    <w:rsid w:val="00E542E5"/>
    <w:rsid w:val="00E543D4"/>
    <w:rsid w:val="00E544BE"/>
    <w:rsid w:val="00E5484F"/>
    <w:rsid w:val="00E54C92"/>
    <w:rsid w:val="00E54CEE"/>
    <w:rsid w:val="00E54E0F"/>
    <w:rsid w:val="00E54EC3"/>
    <w:rsid w:val="00E54F96"/>
    <w:rsid w:val="00E55017"/>
    <w:rsid w:val="00E55A8F"/>
    <w:rsid w:val="00E55CBA"/>
    <w:rsid w:val="00E55D75"/>
    <w:rsid w:val="00E55DFE"/>
    <w:rsid w:val="00E55EDA"/>
    <w:rsid w:val="00E56079"/>
    <w:rsid w:val="00E560D3"/>
    <w:rsid w:val="00E56EEA"/>
    <w:rsid w:val="00E56FF7"/>
    <w:rsid w:val="00E572B4"/>
    <w:rsid w:val="00E573A7"/>
    <w:rsid w:val="00E573FF"/>
    <w:rsid w:val="00E5764B"/>
    <w:rsid w:val="00E57B24"/>
    <w:rsid w:val="00E600A9"/>
    <w:rsid w:val="00E60948"/>
    <w:rsid w:val="00E60A1F"/>
    <w:rsid w:val="00E60A59"/>
    <w:rsid w:val="00E60B6D"/>
    <w:rsid w:val="00E60D0F"/>
    <w:rsid w:val="00E6105C"/>
    <w:rsid w:val="00E61122"/>
    <w:rsid w:val="00E61218"/>
    <w:rsid w:val="00E61332"/>
    <w:rsid w:val="00E6135C"/>
    <w:rsid w:val="00E616A1"/>
    <w:rsid w:val="00E61BBA"/>
    <w:rsid w:val="00E61C15"/>
    <w:rsid w:val="00E61F00"/>
    <w:rsid w:val="00E6217A"/>
    <w:rsid w:val="00E62265"/>
    <w:rsid w:val="00E62684"/>
    <w:rsid w:val="00E62706"/>
    <w:rsid w:val="00E62727"/>
    <w:rsid w:val="00E62E43"/>
    <w:rsid w:val="00E6337D"/>
    <w:rsid w:val="00E6367C"/>
    <w:rsid w:val="00E64208"/>
    <w:rsid w:val="00E643C1"/>
    <w:rsid w:val="00E6445D"/>
    <w:rsid w:val="00E64676"/>
    <w:rsid w:val="00E64C1A"/>
    <w:rsid w:val="00E64E8E"/>
    <w:rsid w:val="00E65412"/>
    <w:rsid w:val="00E655AE"/>
    <w:rsid w:val="00E658F9"/>
    <w:rsid w:val="00E65B31"/>
    <w:rsid w:val="00E65C37"/>
    <w:rsid w:val="00E65FE4"/>
    <w:rsid w:val="00E66771"/>
    <w:rsid w:val="00E66775"/>
    <w:rsid w:val="00E66B85"/>
    <w:rsid w:val="00E66D2A"/>
    <w:rsid w:val="00E671A0"/>
    <w:rsid w:val="00E6749D"/>
    <w:rsid w:val="00E674CD"/>
    <w:rsid w:val="00E67556"/>
    <w:rsid w:val="00E6757E"/>
    <w:rsid w:val="00E70658"/>
    <w:rsid w:val="00E71358"/>
    <w:rsid w:val="00E71556"/>
    <w:rsid w:val="00E718E3"/>
    <w:rsid w:val="00E7199D"/>
    <w:rsid w:val="00E71C32"/>
    <w:rsid w:val="00E71C3A"/>
    <w:rsid w:val="00E724B6"/>
    <w:rsid w:val="00E7263C"/>
    <w:rsid w:val="00E729AF"/>
    <w:rsid w:val="00E7311F"/>
    <w:rsid w:val="00E73D1E"/>
    <w:rsid w:val="00E73D79"/>
    <w:rsid w:val="00E7416C"/>
    <w:rsid w:val="00E74247"/>
    <w:rsid w:val="00E743B7"/>
    <w:rsid w:val="00E7445F"/>
    <w:rsid w:val="00E745FC"/>
    <w:rsid w:val="00E748EF"/>
    <w:rsid w:val="00E7491D"/>
    <w:rsid w:val="00E74938"/>
    <w:rsid w:val="00E74A66"/>
    <w:rsid w:val="00E74B58"/>
    <w:rsid w:val="00E74E99"/>
    <w:rsid w:val="00E74F01"/>
    <w:rsid w:val="00E74FD8"/>
    <w:rsid w:val="00E75201"/>
    <w:rsid w:val="00E754CC"/>
    <w:rsid w:val="00E75630"/>
    <w:rsid w:val="00E75ACB"/>
    <w:rsid w:val="00E75C8E"/>
    <w:rsid w:val="00E75EF9"/>
    <w:rsid w:val="00E761DB"/>
    <w:rsid w:val="00E7676E"/>
    <w:rsid w:val="00E76A61"/>
    <w:rsid w:val="00E77103"/>
    <w:rsid w:val="00E77321"/>
    <w:rsid w:val="00E777FE"/>
    <w:rsid w:val="00E779F2"/>
    <w:rsid w:val="00E77DF7"/>
    <w:rsid w:val="00E77E13"/>
    <w:rsid w:val="00E8026F"/>
    <w:rsid w:val="00E80509"/>
    <w:rsid w:val="00E8072B"/>
    <w:rsid w:val="00E8078D"/>
    <w:rsid w:val="00E80B01"/>
    <w:rsid w:val="00E80B50"/>
    <w:rsid w:val="00E80D55"/>
    <w:rsid w:val="00E81050"/>
    <w:rsid w:val="00E8106D"/>
    <w:rsid w:val="00E812CA"/>
    <w:rsid w:val="00E81318"/>
    <w:rsid w:val="00E8171B"/>
    <w:rsid w:val="00E81FA7"/>
    <w:rsid w:val="00E8208F"/>
    <w:rsid w:val="00E821A3"/>
    <w:rsid w:val="00E82380"/>
    <w:rsid w:val="00E8287A"/>
    <w:rsid w:val="00E829C4"/>
    <w:rsid w:val="00E833A9"/>
    <w:rsid w:val="00E83B43"/>
    <w:rsid w:val="00E83D0A"/>
    <w:rsid w:val="00E83EA1"/>
    <w:rsid w:val="00E84000"/>
    <w:rsid w:val="00E84329"/>
    <w:rsid w:val="00E84492"/>
    <w:rsid w:val="00E845C5"/>
    <w:rsid w:val="00E845D4"/>
    <w:rsid w:val="00E8492C"/>
    <w:rsid w:val="00E84CF0"/>
    <w:rsid w:val="00E84DA1"/>
    <w:rsid w:val="00E8504C"/>
    <w:rsid w:val="00E85124"/>
    <w:rsid w:val="00E85206"/>
    <w:rsid w:val="00E8550C"/>
    <w:rsid w:val="00E8563C"/>
    <w:rsid w:val="00E858A1"/>
    <w:rsid w:val="00E85BAA"/>
    <w:rsid w:val="00E85D0F"/>
    <w:rsid w:val="00E85E36"/>
    <w:rsid w:val="00E86392"/>
    <w:rsid w:val="00E86439"/>
    <w:rsid w:val="00E86480"/>
    <w:rsid w:val="00E864AE"/>
    <w:rsid w:val="00E86572"/>
    <w:rsid w:val="00E86738"/>
    <w:rsid w:val="00E867C9"/>
    <w:rsid w:val="00E867F9"/>
    <w:rsid w:val="00E86935"/>
    <w:rsid w:val="00E86AD7"/>
    <w:rsid w:val="00E86B79"/>
    <w:rsid w:val="00E86DAD"/>
    <w:rsid w:val="00E86FFB"/>
    <w:rsid w:val="00E87296"/>
    <w:rsid w:val="00E874E0"/>
    <w:rsid w:val="00E8751A"/>
    <w:rsid w:val="00E87544"/>
    <w:rsid w:val="00E875A8"/>
    <w:rsid w:val="00E877C3"/>
    <w:rsid w:val="00E9005E"/>
    <w:rsid w:val="00E900A3"/>
    <w:rsid w:val="00E90122"/>
    <w:rsid w:val="00E90295"/>
    <w:rsid w:val="00E90815"/>
    <w:rsid w:val="00E90904"/>
    <w:rsid w:val="00E90B0D"/>
    <w:rsid w:val="00E90C32"/>
    <w:rsid w:val="00E90F69"/>
    <w:rsid w:val="00E913CC"/>
    <w:rsid w:val="00E9140A"/>
    <w:rsid w:val="00E91586"/>
    <w:rsid w:val="00E91C2C"/>
    <w:rsid w:val="00E91E14"/>
    <w:rsid w:val="00E91E26"/>
    <w:rsid w:val="00E922E2"/>
    <w:rsid w:val="00E92830"/>
    <w:rsid w:val="00E92991"/>
    <w:rsid w:val="00E929F6"/>
    <w:rsid w:val="00E92B12"/>
    <w:rsid w:val="00E92D50"/>
    <w:rsid w:val="00E92D5E"/>
    <w:rsid w:val="00E92E43"/>
    <w:rsid w:val="00E935E3"/>
    <w:rsid w:val="00E93CC4"/>
    <w:rsid w:val="00E93D4E"/>
    <w:rsid w:val="00E9459A"/>
    <w:rsid w:val="00E948B0"/>
    <w:rsid w:val="00E9497A"/>
    <w:rsid w:val="00E94B95"/>
    <w:rsid w:val="00E94C73"/>
    <w:rsid w:val="00E95637"/>
    <w:rsid w:val="00E9569F"/>
    <w:rsid w:val="00E95745"/>
    <w:rsid w:val="00E961C8"/>
    <w:rsid w:val="00E962A7"/>
    <w:rsid w:val="00E96320"/>
    <w:rsid w:val="00E964CD"/>
    <w:rsid w:val="00E96605"/>
    <w:rsid w:val="00E966E7"/>
    <w:rsid w:val="00E9683F"/>
    <w:rsid w:val="00E96945"/>
    <w:rsid w:val="00E96B42"/>
    <w:rsid w:val="00E96BEA"/>
    <w:rsid w:val="00E96CD2"/>
    <w:rsid w:val="00E96DBF"/>
    <w:rsid w:val="00E96F8B"/>
    <w:rsid w:val="00E9731A"/>
    <w:rsid w:val="00E9779A"/>
    <w:rsid w:val="00E977BF"/>
    <w:rsid w:val="00E97878"/>
    <w:rsid w:val="00EA0290"/>
    <w:rsid w:val="00EA0333"/>
    <w:rsid w:val="00EA04F2"/>
    <w:rsid w:val="00EA0974"/>
    <w:rsid w:val="00EA0A07"/>
    <w:rsid w:val="00EA0AE0"/>
    <w:rsid w:val="00EA0CC7"/>
    <w:rsid w:val="00EA0D15"/>
    <w:rsid w:val="00EA0DD5"/>
    <w:rsid w:val="00EA0DEA"/>
    <w:rsid w:val="00EA0F4E"/>
    <w:rsid w:val="00EA1384"/>
    <w:rsid w:val="00EA13B2"/>
    <w:rsid w:val="00EA14BE"/>
    <w:rsid w:val="00EA15DA"/>
    <w:rsid w:val="00EA17BE"/>
    <w:rsid w:val="00EA18D6"/>
    <w:rsid w:val="00EA1A14"/>
    <w:rsid w:val="00EA1C41"/>
    <w:rsid w:val="00EA1CCF"/>
    <w:rsid w:val="00EA1D33"/>
    <w:rsid w:val="00EA2108"/>
    <w:rsid w:val="00EA249D"/>
    <w:rsid w:val="00EA26CC"/>
    <w:rsid w:val="00EA2726"/>
    <w:rsid w:val="00EA273F"/>
    <w:rsid w:val="00EA2760"/>
    <w:rsid w:val="00EA2CC6"/>
    <w:rsid w:val="00EA2D9D"/>
    <w:rsid w:val="00EA33AD"/>
    <w:rsid w:val="00EA3779"/>
    <w:rsid w:val="00EA399C"/>
    <w:rsid w:val="00EA3AE5"/>
    <w:rsid w:val="00EA3C85"/>
    <w:rsid w:val="00EA3D5C"/>
    <w:rsid w:val="00EA3D8B"/>
    <w:rsid w:val="00EA4397"/>
    <w:rsid w:val="00EA461D"/>
    <w:rsid w:val="00EA476A"/>
    <w:rsid w:val="00EA4A6E"/>
    <w:rsid w:val="00EA4FD5"/>
    <w:rsid w:val="00EA50AB"/>
    <w:rsid w:val="00EA52B1"/>
    <w:rsid w:val="00EA57A9"/>
    <w:rsid w:val="00EA5B1A"/>
    <w:rsid w:val="00EA6261"/>
    <w:rsid w:val="00EA63CB"/>
    <w:rsid w:val="00EA6469"/>
    <w:rsid w:val="00EA64AB"/>
    <w:rsid w:val="00EA6CBC"/>
    <w:rsid w:val="00EA6D22"/>
    <w:rsid w:val="00EA6E12"/>
    <w:rsid w:val="00EA70E1"/>
    <w:rsid w:val="00EA766D"/>
    <w:rsid w:val="00EA76B3"/>
    <w:rsid w:val="00EA7758"/>
    <w:rsid w:val="00EA7935"/>
    <w:rsid w:val="00EA7B51"/>
    <w:rsid w:val="00EA7CB3"/>
    <w:rsid w:val="00EB025C"/>
    <w:rsid w:val="00EB0AA7"/>
    <w:rsid w:val="00EB0CB4"/>
    <w:rsid w:val="00EB0CFD"/>
    <w:rsid w:val="00EB0D05"/>
    <w:rsid w:val="00EB0D46"/>
    <w:rsid w:val="00EB1109"/>
    <w:rsid w:val="00EB14C7"/>
    <w:rsid w:val="00EB16FE"/>
    <w:rsid w:val="00EB1C78"/>
    <w:rsid w:val="00EB1ED1"/>
    <w:rsid w:val="00EB2340"/>
    <w:rsid w:val="00EB23C4"/>
    <w:rsid w:val="00EB2563"/>
    <w:rsid w:val="00EB25C7"/>
    <w:rsid w:val="00EB2704"/>
    <w:rsid w:val="00EB2C09"/>
    <w:rsid w:val="00EB2DF8"/>
    <w:rsid w:val="00EB2EBF"/>
    <w:rsid w:val="00EB3000"/>
    <w:rsid w:val="00EB326A"/>
    <w:rsid w:val="00EB3362"/>
    <w:rsid w:val="00EB3565"/>
    <w:rsid w:val="00EB35AA"/>
    <w:rsid w:val="00EB360A"/>
    <w:rsid w:val="00EB3694"/>
    <w:rsid w:val="00EB3785"/>
    <w:rsid w:val="00EB4148"/>
    <w:rsid w:val="00EB4317"/>
    <w:rsid w:val="00EB452B"/>
    <w:rsid w:val="00EB4639"/>
    <w:rsid w:val="00EB473A"/>
    <w:rsid w:val="00EB4CC7"/>
    <w:rsid w:val="00EB4D49"/>
    <w:rsid w:val="00EB504D"/>
    <w:rsid w:val="00EB54E7"/>
    <w:rsid w:val="00EB59AC"/>
    <w:rsid w:val="00EB5C3E"/>
    <w:rsid w:val="00EB5D0B"/>
    <w:rsid w:val="00EB6059"/>
    <w:rsid w:val="00EB61A0"/>
    <w:rsid w:val="00EB646B"/>
    <w:rsid w:val="00EB64E8"/>
    <w:rsid w:val="00EB65EF"/>
    <w:rsid w:val="00EB6817"/>
    <w:rsid w:val="00EB6913"/>
    <w:rsid w:val="00EB6C8A"/>
    <w:rsid w:val="00EB6D17"/>
    <w:rsid w:val="00EB704F"/>
    <w:rsid w:val="00EB7592"/>
    <w:rsid w:val="00EB75B8"/>
    <w:rsid w:val="00EB764C"/>
    <w:rsid w:val="00EB76B0"/>
    <w:rsid w:val="00EB78D2"/>
    <w:rsid w:val="00EB78DB"/>
    <w:rsid w:val="00EB7C9E"/>
    <w:rsid w:val="00EC03A7"/>
    <w:rsid w:val="00EC0519"/>
    <w:rsid w:val="00EC0A23"/>
    <w:rsid w:val="00EC0A35"/>
    <w:rsid w:val="00EC0A67"/>
    <w:rsid w:val="00EC0B57"/>
    <w:rsid w:val="00EC1056"/>
    <w:rsid w:val="00EC123E"/>
    <w:rsid w:val="00EC12BE"/>
    <w:rsid w:val="00EC1652"/>
    <w:rsid w:val="00EC190F"/>
    <w:rsid w:val="00EC1A40"/>
    <w:rsid w:val="00EC1B33"/>
    <w:rsid w:val="00EC2143"/>
    <w:rsid w:val="00EC21D3"/>
    <w:rsid w:val="00EC2424"/>
    <w:rsid w:val="00EC24B1"/>
    <w:rsid w:val="00EC24FD"/>
    <w:rsid w:val="00EC29B5"/>
    <w:rsid w:val="00EC2B03"/>
    <w:rsid w:val="00EC2C3F"/>
    <w:rsid w:val="00EC2D9F"/>
    <w:rsid w:val="00EC303E"/>
    <w:rsid w:val="00EC30DB"/>
    <w:rsid w:val="00EC3157"/>
    <w:rsid w:val="00EC3432"/>
    <w:rsid w:val="00EC34A3"/>
    <w:rsid w:val="00EC38AC"/>
    <w:rsid w:val="00EC3BEA"/>
    <w:rsid w:val="00EC3F9E"/>
    <w:rsid w:val="00EC42BD"/>
    <w:rsid w:val="00EC468C"/>
    <w:rsid w:val="00EC4858"/>
    <w:rsid w:val="00EC4DD5"/>
    <w:rsid w:val="00EC52B1"/>
    <w:rsid w:val="00EC571E"/>
    <w:rsid w:val="00EC5848"/>
    <w:rsid w:val="00EC5A5C"/>
    <w:rsid w:val="00EC5E72"/>
    <w:rsid w:val="00EC6668"/>
    <w:rsid w:val="00EC6709"/>
    <w:rsid w:val="00EC6766"/>
    <w:rsid w:val="00EC7113"/>
    <w:rsid w:val="00EC71A4"/>
    <w:rsid w:val="00EC74EF"/>
    <w:rsid w:val="00EC770A"/>
    <w:rsid w:val="00EC78DA"/>
    <w:rsid w:val="00EC7B3E"/>
    <w:rsid w:val="00EC7EDD"/>
    <w:rsid w:val="00EC7EF4"/>
    <w:rsid w:val="00ED0053"/>
    <w:rsid w:val="00ED02AE"/>
    <w:rsid w:val="00ED042F"/>
    <w:rsid w:val="00ED04DF"/>
    <w:rsid w:val="00ED0F74"/>
    <w:rsid w:val="00ED12BA"/>
    <w:rsid w:val="00ED17AC"/>
    <w:rsid w:val="00ED19EE"/>
    <w:rsid w:val="00ED1D56"/>
    <w:rsid w:val="00ED1F46"/>
    <w:rsid w:val="00ED23CE"/>
    <w:rsid w:val="00ED2538"/>
    <w:rsid w:val="00ED2593"/>
    <w:rsid w:val="00ED2606"/>
    <w:rsid w:val="00ED2E7A"/>
    <w:rsid w:val="00ED305F"/>
    <w:rsid w:val="00ED3091"/>
    <w:rsid w:val="00ED325B"/>
    <w:rsid w:val="00ED3301"/>
    <w:rsid w:val="00ED359E"/>
    <w:rsid w:val="00ED3694"/>
    <w:rsid w:val="00ED3963"/>
    <w:rsid w:val="00ED3CC5"/>
    <w:rsid w:val="00ED3D11"/>
    <w:rsid w:val="00ED3D5C"/>
    <w:rsid w:val="00ED3EFA"/>
    <w:rsid w:val="00ED3FD7"/>
    <w:rsid w:val="00ED4194"/>
    <w:rsid w:val="00ED4903"/>
    <w:rsid w:val="00ED4B13"/>
    <w:rsid w:val="00ED4BF3"/>
    <w:rsid w:val="00ED50A1"/>
    <w:rsid w:val="00ED50E8"/>
    <w:rsid w:val="00ED538B"/>
    <w:rsid w:val="00ED557D"/>
    <w:rsid w:val="00ED57E9"/>
    <w:rsid w:val="00ED5872"/>
    <w:rsid w:val="00ED5A5D"/>
    <w:rsid w:val="00ED5E8E"/>
    <w:rsid w:val="00ED5ED5"/>
    <w:rsid w:val="00ED6036"/>
    <w:rsid w:val="00ED60D6"/>
    <w:rsid w:val="00ED6162"/>
    <w:rsid w:val="00ED61F5"/>
    <w:rsid w:val="00ED64AF"/>
    <w:rsid w:val="00ED65F3"/>
    <w:rsid w:val="00ED6658"/>
    <w:rsid w:val="00ED69FB"/>
    <w:rsid w:val="00ED6CC3"/>
    <w:rsid w:val="00ED6CF1"/>
    <w:rsid w:val="00ED70EC"/>
    <w:rsid w:val="00ED7106"/>
    <w:rsid w:val="00ED727B"/>
    <w:rsid w:val="00ED73C6"/>
    <w:rsid w:val="00ED75BD"/>
    <w:rsid w:val="00ED7682"/>
    <w:rsid w:val="00ED77D6"/>
    <w:rsid w:val="00ED7C12"/>
    <w:rsid w:val="00ED7D67"/>
    <w:rsid w:val="00ED7E10"/>
    <w:rsid w:val="00ED7F7B"/>
    <w:rsid w:val="00EE0345"/>
    <w:rsid w:val="00EE05D7"/>
    <w:rsid w:val="00EE075A"/>
    <w:rsid w:val="00EE0DE7"/>
    <w:rsid w:val="00EE1169"/>
    <w:rsid w:val="00EE141A"/>
    <w:rsid w:val="00EE1662"/>
    <w:rsid w:val="00EE1852"/>
    <w:rsid w:val="00EE191D"/>
    <w:rsid w:val="00EE1976"/>
    <w:rsid w:val="00EE1F59"/>
    <w:rsid w:val="00EE2257"/>
    <w:rsid w:val="00EE26DC"/>
    <w:rsid w:val="00EE2785"/>
    <w:rsid w:val="00EE2A32"/>
    <w:rsid w:val="00EE2C24"/>
    <w:rsid w:val="00EE2C79"/>
    <w:rsid w:val="00EE30AC"/>
    <w:rsid w:val="00EE381A"/>
    <w:rsid w:val="00EE4101"/>
    <w:rsid w:val="00EE4123"/>
    <w:rsid w:val="00EE458A"/>
    <w:rsid w:val="00EE46A5"/>
    <w:rsid w:val="00EE46C3"/>
    <w:rsid w:val="00EE4B9B"/>
    <w:rsid w:val="00EE4E8C"/>
    <w:rsid w:val="00EE51BE"/>
    <w:rsid w:val="00EE5A6A"/>
    <w:rsid w:val="00EE5B60"/>
    <w:rsid w:val="00EE5D23"/>
    <w:rsid w:val="00EE5F29"/>
    <w:rsid w:val="00EE615B"/>
    <w:rsid w:val="00EE62DA"/>
    <w:rsid w:val="00EE646E"/>
    <w:rsid w:val="00EE65B9"/>
    <w:rsid w:val="00EE6F3C"/>
    <w:rsid w:val="00EE6FB0"/>
    <w:rsid w:val="00EE70C5"/>
    <w:rsid w:val="00EE7271"/>
    <w:rsid w:val="00EE79D1"/>
    <w:rsid w:val="00EE7A5E"/>
    <w:rsid w:val="00EE7C26"/>
    <w:rsid w:val="00EE7F3F"/>
    <w:rsid w:val="00EF008C"/>
    <w:rsid w:val="00EF0155"/>
    <w:rsid w:val="00EF03E7"/>
    <w:rsid w:val="00EF0A38"/>
    <w:rsid w:val="00EF0AF4"/>
    <w:rsid w:val="00EF0E0B"/>
    <w:rsid w:val="00EF0E4C"/>
    <w:rsid w:val="00EF11CB"/>
    <w:rsid w:val="00EF1ABA"/>
    <w:rsid w:val="00EF1AF6"/>
    <w:rsid w:val="00EF1D5C"/>
    <w:rsid w:val="00EF1D84"/>
    <w:rsid w:val="00EF238D"/>
    <w:rsid w:val="00EF2505"/>
    <w:rsid w:val="00EF2508"/>
    <w:rsid w:val="00EF287E"/>
    <w:rsid w:val="00EF28A4"/>
    <w:rsid w:val="00EF2C6C"/>
    <w:rsid w:val="00EF2F02"/>
    <w:rsid w:val="00EF361F"/>
    <w:rsid w:val="00EF375B"/>
    <w:rsid w:val="00EF398A"/>
    <w:rsid w:val="00EF3ED8"/>
    <w:rsid w:val="00EF40AB"/>
    <w:rsid w:val="00EF40B6"/>
    <w:rsid w:val="00EF4199"/>
    <w:rsid w:val="00EF419C"/>
    <w:rsid w:val="00EF425D"/>
    <w:rsid w:val="00EF4CE3"/>
    <w:rsid w:val="00EF5037"/>
    <w:rsid w:val="00EF527B"/>
    <w:rsid w:val="00EF5703"/>
    <w:rsid w:val="00EF577F"/>
    <w:rsid w:val="00EF5787"/>
    <w:rsid w:val="00EF5B61"/>
    <w:rsid w:val="00EF5BEB"/>
    <w:rsid w:val="00EF5EB5"/>
    <w:rsid w:val="00EF629F"/>
    <w:rsid w:val="00EF640A"/>
    <w:rsid w:val="00EF640E"/>
    <w:rsid w:val="00EF6443"/>
    <w:rsid w:val="00EF66D1"/>
    <w:rsid w:val="00EF6784"/>
    <w:rsid w:val="00EF69D6"/>
    <w:rsid w:val="00EF6B13"/>
    <w:rsid w:val="00EF6ECF"/>
    <w:rsid w:val="00EF7232"/>
    <w:rsid w:val="00EF725B"/>
    <w:rsid w:val="00EF7669"/>
    <w:rsid w:val="00EF7959"/>
    <w:rsid w:val="00EF7A69"/>
    <w:rsid w:val="00EF7AFD"/>
    <w:rsid w:val="00EF7EFC"/>
    <w:rsid w:val="00EF7FFE"/>
    <w:rsid w:val="00F0025C"/>
    <w:rsid w:val="00F0042A"/>
    <w:rsid w:val="00F005ED"/>
    <w:rsid w:val="00F00913"/>
    <w:rsid w:val="00F00D18"/>
    <w:rsid w:val="00F010F6"/>
    <w:rsid w:val="00F01316"/>
    <w:rsid w:val="00F013B1"/>
    <w:rsid w:val="00F0148C"/>
    <w:rsid w:val="00F0155E"/>
    <w:rsid w:val="00F015E8"/>
    <w:rsid w:val="00F01798"/>
    <w:rsid w:val="00F018F1"/>
    <w:rsid w:val="00F01BD3"/>
    <w:rsid w:val="00F01EF4"/>
    <w:rsid w:val="00F02103"/>
    <w:rsid w:val="00F02209"/>
    <w:rsid w:val="00F023ED"/>
    <w:rsid w:val="00F02551"/>
    <w:rsid w:val="00F02812"/>
    <w:rsid w:val="00F02955"/>
    <w:rsid w:val="00F0295C"/>
    <w:rsid w:val="00F02997"/>
    <w:rsid w:val="00F02999"/>
    <w:rsid w:val="00F029AC"/>
    <w:rsid w:val="00F02A19"/>
    <w:rsid w:val="00F03295"/>
    <w:rsid w:val="00F03561"/>
    <w:rsid w:val="00F036AD"/>
    <w:rsid w:val="00F0375F"/>
    <w:rsid w:val="00F03918"/>
    <w:rsid w:val="00F03A7D"/>
    <w:rsid w:val="00F0410A"/>
    <w:rsid w:val="00F041A1"/>
    <w:rsid w:val="00F0487C"/>
    <w:rsid w:val="00F04FCB"/>
    <w:rsid w:val="00F05176"/>
    <w:rsid w:val="00F05239"/>
    <w:rsid w:val="00F0523D"/>
    <w:rsid w:val="00F05CD8"/>
    <w:rsid w:val="00F06067"/>
    <w:rsid w:val="00F06090"/>
    <w:rsid w:val="00F06719"/>
    <w:rsid w:val="00F067AC"/>
    <w:rsid w:val="00F06E6F"/>
    <w:rsid w:val="00F072E3"/>
    <w:rsid w:val="00F074A7"/>
    <w:rsid w:val="00F074C1"/>
    <w:rsid w:val="00F07677"/>
    <w:rsid w:val="00F07772"/>
    <w:rsid w:val="00F077A7"/>
    <w:rsid w:val="00F07875"/>
    <w:rsid w:val="00F07910"/>
    <w:rsid w:val="00F07D5E"/>
    <w:rsid w:val="00F100C9"/>
    <w:rsid w:val="00F102EE"/>
    <w:rsid w:val="00F10816"/>
    <w:rsid w:val="00F10DA8"/>
    <w:rsid w:val="00F11016"/>
    <w:rsid w:val="00F11745"/>
    <w:rsid w:val="00F11833"/>
    <w:rsid w:val="00F11A0B"/>
    <w:rsid w:val="00F11B26"/>
    <w:rsid w:val="00F11BD4"/>
    <w:rsid w:val="00F11C03"/>
    <w:rsid w:val="00F11ECF"/>
    <w:rsid w:val="00F11F4F"/>
    <w:rsid w:val="00F11F8D"/>
    <w:rsid w:val="00F122F9"/>
    <w:rsid w:val="00F122FB"/>
    <w:rsid w:val="00F125F0"/>
    <w:rsid w:val="00F1272E"/>
    <w:rsid w:val="00F12AB3"/>
    <w:rsid w:val="00F12C5A"/>
    <w:rsid w:val="00F12EA9"/>
    <w:rsid w:val="00F13682"/>
    <w:rsid w:val="00F1369F"/>
    <w:rsid w:val="00F13921"/>
    <w:rsid w:val="00F13B15"/>
    <w:rsid w:val="00F13F73"/>
    <w:rsid w:val="00F142D7"/>
    <w:rsid w:val="00F14425"/>
    <w:rsid w:val="00F1448E"/>
    <w:rsid w:val="00F145DF"/>
    <w:rsid w:val="00F14977"/>
    <w:rsid w:val="00F14E02"/>
    <w:rsid w:val="00F14F9C"/>
    <w:rsid w:val="00F150C8"/>
    <w:rsid w:val="00F15214"/>
    <w:rsid w:val="00F15259"/>
    <w:rsid w:val="00F152EB"/>
    <w:rsid w:val="00F1546B"/>
    <w:rsid w:val="00F1577D"/>
    <w:rsid w:val="00F15AF9"/>
    <w:rsid w:val="00F15C84"/>
    <w:rsid w:val="00F15EEA"/>
    <w:rsid w:val="00F1608C"/>
    <w:rsid w:val="00F1614A"/>
    <w:rsid w:val="00F162B2"/>
    <w:rsid w:val="00F1672E"/>
    <w:rsid w:val="00F16747"/>
    <w:rsid w:val="00F167AF"/>
    <w:rsid w:val="00F16A78"/>
    <w:rsid w:val="00F16C50"/>
    <w:rsid w:val="00F16D06"/>
    <w:rsid w:val="00F16EF2"/>
    <w:rsid w:val="00F1707E"/>
    <w:rsid w:val="00F173CC"/>
    <w:rsid w:val="00F173F7"/>
    <w:rsid w:val="00F175A9"/>
    <w:rsid w:val="00F17826"/>
    <w:rsid w:val="00F17B50"/>
    <w:rsid w:val="00F17F6A"/>
    <w:rsid w:val="00F17FD2"/>
    <w:rsid w:val="00F200F1"/>
    <w:rsid w:val="00F205B0"/>
    <w:rsid w:val="00F20E75"/>
    <w:rsid w:val="00F21044"/>
    <w:rsid w:val="00F21281"/>
    <w:rsid w:val="00F21329"/>
    <w:rsid w:val="00F21882"/>
    <w:rsid w:val="00F21970"/>
    <w:rsid w:val="00F21B9B"/>
    <w:rsid w:val="00F21D4C"/>
    <w:rsid w:val="00F22445"/>
    <w:rsid w:val="00F22515"/>
    <w:rsid w:val="00F22848"/>
    <w:rsid w:val="00F22925"/>
    <w:rsid w:val="00F22AEE"/>
    <w:rsid w:val="00F22B91"/>
    <w:rsid w:val="00F22F57"/>
    <w:rsid w:val="00F22FC2"/>
    <w:rsid w:val="00F230B9"/>
    <w:rsid w:val="00F2326E"/>
    <w:rsid w:val="00F2352C"/>
    <w:rsid w:val="00F2363E"/>
    <w:rsid w:val="00F237A9"/>
    <w:rsid w:val="00F23B1B"/>
    <w:rsid w:val="00F23D6F"/>
    <w:rsid w:val="00F23DBA"/>
    <w:rsid w:val="00F2408C"/>
    <w:rsid w:val="00F240BE"/>
    <w:rsid w:val="00F2419B"/>
    <w:rsid w:val="00F24429"/>
    <w:rsid w:val="00F24833"/>
    <w:rsid w:val="00F24995"/>
    <w:rsid w:val="00F25014"/>
    <w:rsid w:val="00F25095"/>
    <w:rsid w:val="00F25316"/>
    <w:rsid w:val="00F2538C"/>
    <w:rsid w:val="00F254BD"/>
    <w:rsid w:val="00F256A9"/>
    <w:rsid w:val="00F25872"/>
    <w:rsid w:val="00F25964"/>
    <w:rsid w:val="00F26226"/>
    <w:rsid w:val="00F26AE6"/>
    <w:rsid w:val="00F26C24"/>
    <w:rsid w:val="00F26DD4"/>
    <w:rsid w:val="00F27149"/>
    <w:rsid w:val="00F271E7"/>
    <w:rsid w:val="00F27433"/>
    <w:rsid w:val="00F274DB"/>
    <w:rsid w:val="00F279AA"/>
    <w:rsid w:val="00F27BE1"/>
    <w:rsid w:val="00F27E8D"/>
    <w:rsid w:val="00F27F6B"/>
    <w:rsid w:val="00F3022D"/>
    <w:rsid w:val="00F30309"/>
    <w:rsid w:val="00F3033D"/>
    <w:rsid w:val="00F30398"/>
    <w:rsid w:val="00F306E1"/>
    <w:rsid w:val="00F306F9"/>
    <w:rsid w:val="00F3077D"/>
    <w:rsid w:val="00F30C09"/>
    <w:rsid w:val="00F31003"/>
    <w:rsid w:val="00F310BD"/>
    <w:rsid w:val="00F311EB"/>
    <w:rsid w:val="00F31209"/>
    <w:rsid w:val="00F31393"/>
    <w:rsid w:val="00F318D0"/>
    <w:rsid w:val="00F31C43"/>
    <w:rsid w:val="00F31CFD"/>
    <w:rsid w:val="00F32328"/>
    <w:rsid w:val="00F324B5"/>
    <w:rsid w:val="00F3257D"/>
    <w:rsid w:val="00F325A6"/>
    <w:rsid w:val="00F32614"/>
    <w:rsid w:val="00F32756"/>
    <w:rsid w:val="00F32834"/>
    <w:rsid w:val="00F32AF4"/>
    <w:rsid w:val="00F32F72"/>
    <w:rsid w:val="00F3300A"/>
    <w:rsid w:val="00F3315C"/>
    <w:rsid w:val="00F3334D"/>
    <w:rsid w:val="00F33437"/>
    <w:rsid w:val="00F33764"/>
    <w:rsid w:val="00F338DB"/>
    <w:rsid w:val="00F33AE6"/>
    <w:rsid w:val="00F33F58"/>
    <w:rsid w:val="00F3417C"/>
    <w:rsid w:val="00F349BB"/>
    <w:rsid w:val="00F34D84"/>
    <w:rsid w:val="00F34F26"/>
    <w:rsid w:val="00F35292"/>
    <w:rsid w:val="00F354F8"/>
    <w:rsid w:val="00F35649"/>
    <w:rsid w:val="00F357CE"/>
    <w:rsid w:val="00F359DE"/>
    <w:rsid w:val="00F35F77"/>
    <w:rsid w:val="00F36312"/>
    <w:rsid w:val="00F3661F"/>
    <w:rsid w:val="00F367AD"/>
    <w:rsid w:val="00F369AB"/>
    <w:rsid w:val="00F36A5A"/>
    <w:rsid w:val="00F36D54"/>
    <w:rsid w:val="00F36D85"/>
    <w:rsid w:val="00F374A9"/>
    <w:rsid w:val="00F3758A"/>
    <w:rsid w:val="00F37869"/>
    <w:rsid w:val="00F3795E"/>
    <w:rsid w:val="00F37EB2"/>
    <w:rsid w:val="00F37F54"/>
    <w:rsid w:val="00F40606"/>
    <w:rsid w:val="00F40977"/>
    <w:rsid w:val="00F40A41"/>
    <w:rsid w:val="00F40BB8"/>
    <w:rsid w:val="00F40C91"/>
    <w:rsid w:val="00F41105"/>
    <w:rsid w:val="00F415E5"/>
    <w:rsid w:val="00F41617"/>
    <w:rsid w:val="00F416CB"/>
    <w:rsid w:val="00F41FF7"/>
    <w:rsid w:val="00F4223F"/>
    <w:rsid w:val="00F424E8"/>
    <w:rsid w:val="00F42EE4"/>
    <w:rsid w:val="00F42F97"/>
    <w:rsid w:val="00F42FCE"/>
    <w:rsid w:val="00F4301A"/>
    <w:rsid w:val="00F43338"/>
    <w:rsid w:val="00F43479"/>
    <w:rsid w:val="00F4351E"/>
    <w:rsid w:val="00F43B0A"/>
    <w:rsid w:val="00F4401A"/>
    <w:rsid w:val="00F44427"/>
    <w:rsid w:val="00F445BB"/>
    <w:rsid w:val="00F445D4"/>
    <w:rsid w:val="00F44709"/>
    <w:rsid w:val="00F449A0"/>
    <w:rsid w:val="00F44C1B"/>
    <w:rsid w:val="00F44CD9"/>
    <w:rsid w:val="00F44D32"/>
    <w:rsid w:val="00F44F03"/>
    <w:rsid w:val="00F45076"/>
    <w:rsid w:val="00F45350"/>
    <w:rsid w:val="00F45425"/>
    <w:rsid w:val="00F4546F"/>
    <w:rsid w:val="00F45B41"/>
    <w:rsid w:val="00F45BFF"/>
    <w:rsid w:val="00F4649E"/>
    <w:rsid w:val="00F467BC"/>
    <w:rsid w:val="00F47177"/>
    <w:rsid w:val="00F4746C"/>
    <w:rsid w:val="00F47819"/>
    <w:rsid w:val="00F47869"/>
    <w:rsid w:val="00F479A9"/>
    <w:rsid w:val="00F479B7"/>
    <w:rsid w:val="00F47B03"/>
    <w:rsid w:val="00F47CC4"/>
    <w:rsid w:val="00F47CDF"/>
    <w:rsid w:val="00F50221"/>
    <w:rsid w:val="00F50414"/>
    <w:rsid w:val="00F5081C"/>
    <w:rsid w:val="00F50B12"/>
    <w:rsid w:val="00F50DF0"/>
    <w:rsid w:val="00F50EE1"/>
    <w:rsid w:val="00F50F6A"/>
    <w:rsid w:val="00F51347"/>
    <w:rsid w:val="00F5162D"/>
    <w:rsid w:val="00F516CA"/>
    <w:rsid w:val="00F516CD"/>
    <w:rsid w:val="00F51A90"/>
    <w:rsid w:val="00F51C0D"/>
    <w:rsid w:val="00F520E8"/>
    <w:rsid w:val="00F52131"/>
    <w:rsid w:val="00F523A1"/>
    <w:rsid w:val="00F524C3"/>
    <w:rsid w:val="00F525CE"/>
    <w:rsid w:val="00F52CAB"/>
    <w:rsid w:val="00F52EC3"/>
    <w:rsid w:val="00F53407"/>
    <w:rsid w:val="00F53948"/>
    <w:rsid w:val="00F53983"/>
    <w:rsid w:val="00F53ACD"/>
    <w:rsid w:val="00F54176"/>
    <w:rsid w:val="00F54832"/>
    <w:rsid w:val="00F54953"/>
    <w:rsid w:val="00F54A6E"/>
    <w:rsid w:val="00F54AC4"/>
    <w:rsid w:val="00F54B03"/>
    <w:rsid w:val="00F54C03"/>
    <w:rsid w:val="00F54C53"/>
    <w:rsid w:val="00F54D50"/>
    <w:rsid w:val="00F550F7"/>
    <w:rsid w:val="00F55E45"/>
    <w:rsid w:val="00F55ED2"/>
    <w:rsid w:val="00F5612C"/>
    <w:rsid w:val="00F5641C"/>
    <w:rsid w:val="00F56594"/>
    <w:rsid w:val="00F566E4"/>
    <w:rsid w:val="00F56703"/>
    <w:rsid w:val="00F56826"/>
    <w:rsid w:val="00F56B06"/>
    <w:rsid w:val="00F56D85"/>
    <w:rsid w:val="00F56E78"/>
    <w:rsid w:val="00F56F76"/>
    <w:rsid w:val="00F57027"/>
    <w:rsid w:val="00F5715F"/>
    <w:rsid w:val="00F571D8"/>
    <w:rsid w:val="00F572E5"/>
    <w:rsid w:val="00F57390"/>
    <w:rsid w:val="00F57B6F"/>
    <w:rsid w:val="00F600F8"/>
    <w:rsid w:val="00F60191"/>
    <w:rsid w:val="00F60290"/>
    <w:rsid w:val="00F60508"/>
    <w:rsid w:val="00F60564"/>
    <w:rsid w:val="00F60F4D"/>
    <w:rsid w:val="00F60F61"/>
    <w:rsid w:val="00F612E5"/>
    <w:rsid w:val="00F61627"/>
    <w:rsid w:val="00F6163F"/>
    <w:rsid w:val="00F616EE"/>
    <w:rsid w:val="00F61F80"/>
    <w:rsid w:val="00F62235"/>
    <w:rsid w:val="00F627C8"/>
    <w:rsid w:val="00F6293F"/>
    <w:rsid w:val="00F62BD1"/>
    <w:rsid w:val="00F62C80"/>
    <w:rsid w:val="00F632BE"/>
    <w:rsid w:val="00F6333E"/>
    <w:rsid w:val="00F633B3"/>
    <w:rsid w:val="00F63496"/>
    <w:rsid w:val="00F6354F"/>
    <w:rsid w:val="00F636CE"/>
    <w:rsid w:val="00F63CDC"/>
    <w:rsid w:val="00F63CED"/>
    <w:rsid w:val="00F63FF4"/>
    <w:rsid w:val="00F63FF9"/>
    <w:rsid w:val="00F642F0"/>
    <w:rsid w:val="00F6450B"/>
    <w:rsid w:val="00F646DF"/>
    <w:rsid w:val="00F6483E"/>
    <w:rsid w:val="00F64C8A"/>
    <w:rsid w:val="00F64CFB"/>
    <w:rsid w:val="00F64F1E"/>
    <w:rsid w:val="00F65225"/>
    <w:rsid w:val="00F6538A"/>
    <w:rsid w:val="00F6600D"/>
    <w:rsid w:val="00F66044"/>
    <w:rsid w:val="00F6608A"/>
    <w:rsid w:val="00F66123"/>
    <w:rsid w:val="00F66150"/>
    <w:rsid w:val="00F666AC"/>
    <w:rsid w:val="00F669BD"/>
    <w:rsid w:val="00F66D32"/>
    <w:rsid w:val="00F66F34"/>
    <w:rsid w:val="00F678EE"/>
    <w:rsid w:val="00F67E85"/>
    <w:rsid w:val="00F707F3"/>
    <w:rsid w:val="00F70800"/>
    <w:rsid w:val="00F7082E"/>
    <w:rsid w:val="00F70856"/>
    <w:rsid w:val="00F71047"/>
    <w:rsid w:val="00F719DD"/>
    <w:rsid w:val="00F71E45"/>
    <w:rsid w:val="00F71F3F"/>
    <w:rsid w:val="00F71FE4"/>
    <w:rsid w:val="00F72107"/>
    <w:rsid w:val="00F721D6"/>
    <w:rsid w:val="00F72211"/>
    <w:rsid w:val="00F72435"/>
    <w:rsid w:val="00F72559"/>
    <w:rsid w:val="00F72616"/>
    <w:rsid w:val="00F730EC"/>
    <w:rsid w:val="00F73381"/>
    <w:rsid w:val="00F73750"/>
    <w:rsid w:val="00F73821"/>
    <w:rsid w:val="00F7398A"/>
    <w:rsid w:val="00F73CA8"/>
    <w:rsid w:val="00F73D88"/>
    <w:rsid w:val="00F73DE1"/>
    <w:rsid w:val="00F74324"/>
    <w:rsid w:val="00F74486"/>
    <w:rsid w:val="00F748CD"/>
    <w:rsid w:val="00F74A54"/>
    <w:rsid w:val="00F74CB9"/>
    <w:rsid w:val="00F74DA1"/>
    <w:rsid w:val="00F74DB2"/>
    <w:rsid w:val="00F74E04"/>
    <w:rsid w:val="00F74E76"/>
    <w:rsid w:val="00F74E97"/>
    <w:rsid w:val="00F74FD0"/>
    <w:rsid w:val="00F750B2"/>
    <w:rsid w:val="00F752A6"/>
    <w:rsid w:val="00F75339"/>
    <w:rsid w:val="00F7538F"/>
    <w:rsid w:val="00F755EC"/>
    <w:rsid w:val="00F75641"/>
    <w:rsid w:val="00F75C50"/>
    <w:rsid w:val="00F75E08"/>
    <w:rsid w:val="00F760D9"/>
    <w:rsid w:val="00F760DE"/>
    <w:rsid w:val="00F76112"/>
    <w:rsid w:val="00F768FA"/>
    <w:rsid w:val="00F76D6C"/>
    <w:rsid w:val="00F772DD"/>
    <w:rsid w:val="00F772E1"/>
    <w:rsid w:val="00F77345"/>
    <w:rsid w:val="00F77951"/>
    <w:rsid w:val="00F77AF0"/>
    <w:rsid w:val="00F77BC2"/>
    <w:rsid w:val="00F77EFC"/>
    <w:rsid w:val="00F80632"/>
    <w:rsid w:val="00F8065F"/>
    <w:rsid w:val="00F809F8"/>
    <w:rsid w:val="00F80A4C"/>
    <w:rsid w:val="00F80D94"/>
    <w:rsid w:val="00F80EC5"/>
    <w:rsid w:val="00F80FA6"/>
    <w:rsid w:val="00F81201"/>
    <w:rsid w:val="00F81390"/>
    <w:rsid w:val="00F8155F"/>
    <w:rsid w:val="00F81911"/>
    <w:rsid w:val="00F8192B"/>
    <w:rsid w:val="00F81D44"/>
    <w:rsid w:val="00F81F9F"/>
    <w:rsid w:val="00F81FFD"/>
    <w:rsid w:val="00F82258"/>
    <w:rsid w:val="00F82406"/>
    <w:rsid w:val="00F82415"/>
    <w:rsid w:val="00F8242A"/>
    <w:rsid w:val="00F824F4"/>
    <w:rsid w:val="00F8265E"/>
    <w:rsid w:val="00F82D15"/>
    <w:rsid w:val="00F83846"/>
    <w:rsid w:val="00F8392F"/>
    <w:rsid w:val="00F83A1D"/>
    <w:rsid w:val="00F83BC4"/>
    <w:rsid w:val="00F83BC5"/>
    <w:rsid w:val="00F83DC9"/>
    <w:rsid w:val="00F84059"/>
    <w:rsid w:val="00F840AD"/>
    <w:rsid w:val="00F841F3"/>
    <w:rsid w:val="00F848C9"/>
    <w:rsid w:val="00F8499A"/>
    <w:rsid w:val="00F84CCB"/>
    <w:rsid w:val="00F84E90"/>
    <w:rsid w:val="00F84EFD"/>
    <w:rsid w:val="00F8573D"/>
    <w:rsid w:val="00F858AF"/>
    <w:rsid w:val="00F8606E"/>
    <w:rsid w:val="00F8607A"/>
    <w:rsid w:val="00F863E7"/>
    <w:rsid w:val="00F86548"/>
    <w:rsid w:val="00F86FC8"/>
    <w:rsid w:val="00F873AE"/>
    <w:rsid w:val="00F87987"/>
    <w:rsid w:val="00F87B5D"/>
    <w:rsid w:val="00F87C6B"/>
    <w:rsid w:val="00F87E26"/>
    <w:rsid w:val="00F87E43"/>
    <w:rsid w:val="00F90230"/>
    <w:rsid w:val="00F902AB"/>
    <w:rsid w:val="00F906EA"/>
    <w:rsid w:val="00F90874"/>
    <w:rsid w:val="00F90A47"/>
    <w:rsid w:val="00F90D27"/>
    <w:rsid w:val="00F9109F"/>
    <w:rsid w:val="00F91438"/>
    <w:rsid w:val="00F9155F"/>
    <w:rsid w:val="00F91713"/>
    <w:rsid w:val="00F923AF"/>
    <w:rsid w:val="00F9251D"/>
    <w:rsid w:val="00F9257D"/>
    <w:rsid w:val="00F925E5"/>
    <w:rsid w:val="00F92801"/>
    <w:rsid w:val="00F928EE"/>
    <w:rsid w:val="00F92A77"/>
    <w:rsid w:val="00F92BDA"/>
    <w:rsid w:val="00F92CFC"/>
    <w:rsid w:val="00F92E65"/>
    <w:rsid w:val="00F93565"/>
    <w:rsid w:val="00F93CBB"/>
    <w:rsid w:val="00F940B9"/>
    <w:rsid w:val="00F941A4"/>
    <w:rsid w:val="00F946F9"/>
    <w:rsid w:val="00F94F81"/>
    <w:rsid w:val="00F950BA"/>
    <w:rsid w:val="00F95277"/>
    <w:rsid w:val="00F954DC"/>
    <w:rsid w:val="00F95948"/>
    <w:rsid w:val="00F95A39"/>
    <w:rsid w:val="00F95A98"/>
    <w:rsid w:val="00F95D1F"/>
    <w:rsid w:val="00F95EAF"/>
    <w:rsid w:val="00F96001"/>
    <w:rsid w:val="00F964B9"/>
    <w:rsid w:val="00F96561"/>
    <w:rsid w:val="00F96A26"/>
    <w:rsid w:val="00F96B99"/>
    <w:rsid w:val="00F96D8B"/>
    <w:rsid w:val="00F96DDF"/>
    <w:rsid w:val="00F971CF"/>
    <w:rsid w:val="00F979D9"/>
    <w:rsid w:val="00F97CE7"/>
    <w:rsid w:val="00F97E0C"/>
    <w:rsid w:val="00FA01AE"/>
    <w:rsid w:val="00FA04A6"/>
    <w:rsid w:val="00FA073D"/>
    <w:rsid w:val="00FA0A3F"/>
    <w:rsid w:val="00FA0B57"/>
    <w:rsid w:val="00FA0F52"/>
    <w:rsid w:val="00FA14D9"/>
    <w:rsid w:val="00FA17FD"/>
    <w:rsid w:val="00FA1866"/>
    <w:rsid w:val="00FA18E9"/>
    <w:rsid w:val="00FA1D7F"/>
    <w:rsid w:val="00FA234B"/>
    <w:rsid w:val="00FA24E6"/>
    <w:rsid w:val="00FA2561"/>
    <w:rsid w:val="00FA27CB"/>
    <w:rsid w:val="00FA2E66"/>
    <w:rsid w:val="00FA2F83"/>
    <w:rsid w:val="00FA317B"/>
    <w:rsid w:val="00FA323D"/>
    <w:rsid w:val="00FA3317"/>
    <w:rsid w:val="00FA3407"/>
    <w:rsid w:val="00FA39C9"/>
    <w:rsid w:val="00FA3A5A"/>
    <w:rsid w:val="00FA3D07"/>
    <w:rsid w:val="00FA42FE"/>
    <w:rsid w:val="00FA4441"/>
    <w:rsid w:val="00FA46F4"/>
    <w:rsid w:val="00FA47E2"/>
    <w:rsid w:val="00FA4D56"/>
    <w:rsid w:val="00FA4EF7"/>
    <w:rsid w:val="00FA4F46"/>
    <w:rsid w:val="00FA4F6D"/>
    <w:rsid w:val="00FA50AE"/>
    <w:rsid w:val="00FA520A"/>
    <w:rsid w:val="00FA569F"/>
    <w:rsid w:val="00FA5DA8"/>
    <w:rsid w:val="00FA5E59"/>
    <w:rsid w:val="00FA5EC0"/>
    <w:rsid w:val="00FA5F5F"/>
    <w:rsid w:val="00FA626C"/>
    <w:rsid w:val="00FA6322"/>
    <w:rsid w:val="00FA64E3"/>
    <w:rsid w:val="00FA659D"/>
    <w:rsid w:val="00FA65AE"/>
    <w:rsid w:val="00FA6EAD"/>
    <w:rsid w:val="00FA7055"/>
    <w:rsid w:val="00FA76F2"/>
    <w:rsid w:val="00FA77B6"/>
    <w:rsid w:val="00FA78D4"/>
    <w:rsid w:val="00FA7969"/>
    <w:rsid w:val="00FA7C58"/>
    <w:rsid w:val="00FA7E5C"/>
    <w:rsid w:val="00FA7F76"/>
    <w:rsid w:val="00FB032A"/>
    <w:rsid w:val="00FB080A"/>
    <w:rsid w:val="00FB0BD6"/>
    <w:rsid w:val="00FB0D6C"/>
    <w:rsid w:val="00FB0D9E"/>
    <w:rsid w:val="00FB1103"/>
    <w:rsid w:val="00FB14E8"/>
    <w:rsid w:val="00FB1529"/>
    <w:rsid w:val="00FB168F"/>
    <w:rsid w:val="00FB1979"/>
    <w:rsid w:val="00FB2107"/>
    <w:rsid w:val="00FB211E"/>
    <w:rsid w:val="00FB2384"/>
    <w:rsid w:val="00FB2421"/>
    <w:rsid w:val="00FB2528"/>
    <w:rsid w:val="00FB270F"/>
    <w:rsid w:val="00FB2712"/>
    <w:rsid w:val="00FB2884"/>
    <w:rsid w:val="00FB2921"/>
    <w:rsid w:val="00FB2958"/>
    <w:rsid w:val="00FB2A6C"/>
    <w:rsid w:val="00FB2AB9"/>
    <w:rsid w:val="00FB2C52"/>
    <w:rsid w:val="00FB315E"/>
    <w:rsid w:val="00FB379B"/>
    <w:rsid w:val="00FB3950"/>
    <w:rsid w:val="00FB3E7F"/>
    <w:rsid w:val="00FB42E3"/>
    <w:rsid w:val="00FB44DF"/>
    <w:rsid w:val="00FB4CDA"/>
    <w:rsid w:val="00FB4D5D"/>
    <w:rsid w:val="00FB4EE6"/>
    <w:rsid w:val="00FB5030"/>
    <w:rsid w:val="00FB55A2"/>
    <w:rsid w:val="00FB599F"/>
    <w:rsid w:val="00FB5A96"/>
    <w:rsid w:val="00FB5DCE"/>
    <w:rsid w:val="00FB5E8E"/>
    <w:rsid w:val="00FB6130"/>
    <w:rsid w:val="00FB6212"/>
    <w:rsid w:val="00FB642A"/>
    <w:rsid w:val="00FB649F"/>
    <w:rsid w:val="00FB654B"/>
    <w:rsid w:val="00FB6761"/>
    <w:rsid w:val="00FB69AE"/>
    <w:rsid w:val="00FB6A30"/>
    <w:rsid w:val="00FB6AC6"/>
    <w:rsid w:val="00FB6B2B"/>
    <w:rsid w:val="00FB6D02"/>
    <w:rsid w:val="00FB6D25"/>
    <w:rsid w:val="00FB6D5B"/>
    <w:rsid w:val="00FB6F13"/>
    <w:rsid w:val="00FB70C6"/>
    <w:rsid w:val="00FB75AD"/>
    <w:rsid w:val="00FB763B"/>
    <w:rsid w:val="00FB763E"/>
    <w:rsid w:val="00FB7724"/>
    <w:rsid w:val="00FB7D16"/>
    <w:rsid w:val="00FB7F81"/>
    <w:rsid w:val="00FC0224"/>
    <w:rsid w:val="00FC040A"/>
    <w:rsid w:val="00FC041C"/>
    <w:rsid w:val="00FC0448"/>
    <w:rsid w:val="00FC074B"/>
    <w:rsid w:val="00FC0A66"/>
    <w:rsid w:val="00FC0B67"/>
    <w:rsid w:val="00FC0BF8"/>
    <w:rsid w:val="00FC0CD6"/>
    <w:rsid w:val="00FC0FF6"/>
    <w:rsid w:val="00FC1012"/>
    <w:rsid w:val="00FC151C"/>
    <w:rsid w:val="00FC1662"/>
    <w:rsid w:val="00FC176D"/>
    <w:rsid w:val="00FC1C60"/>
    <w:rsid w:val="00FC1C94"/>
    <w:rsid w:val="00FC1D77"/>
    <w:rsid w:val="00FC1E3D"/>
    <w:rsid w:val="00FC21CD"/>
    <w:rsid w:val="00FC26BD"/>
    <w:rsid w:val="00FC2742"/>
    <w:rsid w:val="00FC279B"/>
    <w:rsid w:val="00FC28D3"/>
    <w:rsid w:val="00FC2B6E"/>
    <w:rsid w:val="00FC2C1F"/>
    <w:rsid w:val="00FC2E37"/>
    <w:rsid w:val="00FC2E6F"/>
    <w:rsid w:val="00FC2EE3"/>
    <w:rsid w:val="00FC2FA8"/>
    <w:rsid w:val="00FC2FF3"/>
    <w:rsid w:val="00FC319C"/>
    <w:rsid w:val="00FC34B8"/>
    <w:rsid w:val="00FC3CD1"/>
    <w:rsid w:val="00FC3E52"/>
    <w:rsid w:val="00FC4692"/>
    <w:rsid w:val="00FC5164"/>
    <w:rsid w:val="00FC5194"/>
    <w:rsid w:val="00FC529F"/>
    <w:rsid w:val="00FC52E8"/>
    <w:rsid w:val="00FC5564"/>
    <w:rsid w:val="00FC5860"/>
    <w:rsid w:val="00FC5BC8"/>
    <w:rsid w:val="00FC610B"/>
    <w:rsid w:val="00FC68A8"/>
    <w:rsid w:val="00FC68AE"/>
    <w:rsid w:val="00FC6AE2"/>
    <w:rsid w:val="00FC70AC"/>
    <w:rsid w:val="00FC710E"/>
    <w:rsid w:val="00FC717E"/>
    <w:rsid w:val="00FC71DF"/>
    <w:rsid w:val="00FC7228"/>
    <w:rsid w:val="00FC7413"/>
    <w:rsid w:val="00FC7490"/>
    <w:rsid w:val="00FC7571"/>
    <w:rsid w:val="00FD0116"/>
    <w:rsid w:val="00FD0783"/>
    <w:rsid w:val="00FD0890"/>
    <w:rsid w:val="00FD08E1"/>
    <w:rsid w:val="00FD09B5"/>
    <w:rsid w:val="00FD0CC3"/>
    <w:rsid w:val="00FD0F36"/>
    <w:rsid w:val="00FD14A8"/>
    <w:rsid w:val="00FD1653"/>
    <w:rsid w:val="00FD197B"/>
    <w:rsid w:val="00FD1C41"/>
    <w:rsid w:val="00FD1E66"/>
    <w:rsid w:val="00FD1F3C"/>
    <w:rsid w:val="00FD1FE2"/>
    <w:rsid w:val="00FD2CBB"/>
    <w:rsid w:val="00FD2EA7"/>
    <w:rsid w:val="00FD2F2D"/>
    <w:rsid w:val="00FD3011"/>
    <w:rsid w:val="00FD317B"/>
    <w:rsid w:val="00FD323A"/>
    <w:rsid w:val="00FD3BA5"/>
    <w:rsid w:val="00FD426E"/>
    <w:rsid w:val="00FD458B"/>
    <w:rsid w:val="00FD4881"/>
    <w:rsid w:val="00FD4917"/>
    <w:rsid w:val="00FD4D4A"/>
    <w:rsid w:val="00FD5182"/>
    <w:rsid w:val="00FD51C5"/>
    <w:rsid w:val="00FD5417"/>
    <w:rsid w:val="00FD560E"/>
    <w:rsid w:val="00FD56DA"/>
    <w:rsid w:val="00FD576D"/>
    <w:rsid w:val="00FD57AF"/>
    <w:rsid w:val="00FD57FA"/>
    <w:rsid w:val="00FD5983"/>
    <w:rsid w:val="00FD5ABC"/>
    <w:rsid w:val="00FD5B72"/>
    <w:rsid w:val="00FD5BFD"/>
    <w:rsid w:val="00FD5C8E"/>
    <w:rsid w:val="00FD5D38"/>
    <w:rsid w:val="00FD5E7E"/>
    <w:rsid w:val="00FD5EB7"/>
    <w:rsid w:val="00FD601D"/>
    <w:rsid w:val="00FD6316"/>
    <w:rsid w:val="00FD651E"/>
    <w:rsid w:val="00FD65AE"/>
    <w:rsid w:val="00FD66CA"/>
    <w:rsid w:val="00FD6809"/>
    <w:rsid w:val="00FD6868"/>
    <w:rsid w:val="00FD69BD"/>
    <w:rsid w:val="00FD6A58"/>
    <w:rsid w:val="00FD6B56"/>
    <w:rsid w:val="00FD6B60"/>
    <w:rsid w:val="00FD7436"/>
    <w:rsid w:val="00FD7546"/>
    <w:rsid w:val="00FD7548"/>
    <w:rsid w:val="00FD7D2F"/>
    <w:rsid w:val="00FD7D43"/>
    <w:rsid w:val="00FE0090"/>
    <w:rsid w:val="00FE00C0"/>
    <w:rsid w:val="00FE0174"/>
    <w:rsid w:val="00FE0478"/>
    <w:rsid w:val="00FE062C"/>
    <w:rsid w:val="00FE07F7"/>
    <w:rsid w:val="00FE0A18"/>
    <w:rsid w:val="00FE0B69"/>
    <w:rsid w:val="00FE0BAB"/>
    <w:rsid w:val="00FE0F98"/>
    <w:rsid w:val="00FE124D"/>
    <w:rsid w:val="00FE12DA"/>
    <w:rsid w:val="00FE156D"/>
    <w:rsid w:val="00FE1604"/>
    <w:rsid w:val="00FE1782"/>
    <w:rsid w:val="00FE17F2"/>
    <w:rsid w:val="00FE18DB"/>
    <w:rsid w:val="00FE1BB1"/>
    <w:rsid w:val="00FE1C08"/>
    <w:rsid w:val="00FE1E90"/>
    <w:rsid w:val="00FE226C"/>
    <w:rsid w:val="00FE270A"/>
    <w:rsid w:val="00FE27C5"/>
    <w:rsid w:val="00FE2FE4"/>
    <w:rsid w:val="00FE30B9"/>
    <w:rsid w:val="00FE32CA"/>
    <w:rsid w:val="00FE39AC"/>
    <w:rsid w:val="00FE3DBD"/>
    <w:rsid w:val="00FE436B"/>
    <w:rsid w:val="00FE4510"/>
    <w:rsid w:val="00FE4539"/>
    <w:rsid w:val="00FE463B"/>
    <w:rsid w:val="00FE4798"/>
    <w:rsid w:val="00FE490B"/>
    <w:rsid w:val="00FE4C80"/>
    <w:rsid w:val="00FE4D52"/>
    <w:rsid w:val="00FE4E02"/>
    <w:rsid w:val="00FE52D3"/>
    <w:rsid w:val="00FE5482"/>
    <w:rsid w:val="00FE560E"/>
    <w:rsid w:val="00FE5A99"/>
    <w:rsid w:val="00FE5FEE"/>
    <w:rsid w:val="00FE60D0"/>
    <w:rsid w:val="00FE6134"/>
    <w:rsid w:val="00FE61B0"/>
    <w:rsid w:val="00FE6249"/>
    <w:rsid w:val="00FE6338"/>
    <w:rsid w:val="00FE66C1"/>
    <w:rsid w:val="00FE69CB"/>
    <w:rsid w:val="00FE6A6A"/>
    <w:rsid w:val="00FE6BC6"/>
    <w:rsid w:val="00FE6CF6"/>
    <w:rsid w:val="00FE6D81"/>
    <w:rsid w:val="00FE6E45"/>
    <w:rsid w:val="00FE7057"/>
    <w:rsid w:val="00FE73A2"/>
    <w:rsid w:val="00FE7790"/>
    <w:rsid w:val="00FE7B95"/>
    <w:rsid w:val="00FE7C05"/>
    <w:rsid w:val="00FF0974"/>
    <w:rsid w:val="00FF0C42"/>
    <w:rsid w:val="00FF0E9D"/>
    <w:rsid w:val="00FF0F65"/>
    <w:rsid w:val="00FF100E"/>
    <w:rsid w:val="00FF145B"/>
    <w:rsid w:val="00FF1465"/>
    <w:rsid w:val="00FF15F0"/>
    <w:rsid w:val="00FF1822"/>
    <w:rsid w:val="00FF1B73"/>
    <w:rsid w:val="00FF1B7F"/>
    <w:rsid w:val="00FF1CCA"/>
    <w:rsid w:val="00FF2625"/>
    <w:rsid w:val="00FF2CFE"/>
    <w:rsid w:val="00FF2EEE"/>
    <w:rsid w:val="00FF3722"/>
    <w:rsid w:val="00FF376F"/>
    <w:rsid w:val="00FF3775"/>
    <w:rsid w:val="00FF3A42"/>
    <w:rsid w:val="00FF3D8A"/>
    <w:rsid w:val="00FF42F4"/>
    <w:rsid w:val="00FF4891"/>
    <w:rsid w:val="00FF49C2"/>
    <w:rsid w:val="00FF4D2A"/>
    <w:rsid w:val="00FF5487"/>
    <w:rsid w:val="00FF573B"/>
    <w:rsid w:val="00FF57A2"/>
    <w:rsid w:val="00FF5892"/>
    <w:rsid w:val="00FF5A6D"/>
    <w:rsid w:val="00FF5FE9"/>
    <w:rsid w:val="00FF6019"/>
    <w:rsid w:val="00FF627B"/>
    <w:rsid w:val="00FF6908"/>
    <w:rsid w:val="00FF6AEC"/>
    <w:rsid w:val="00FF7573"/>
    <w:rsid w:val="00FF7711"/>
    <w:rsid w:val="00FF7A99"/>
    <w:rsid w:val="00FF7C12"/>
    <w:rsid w:val="00FF7CBB"/>
    <w:rsid w:val="00FF7D9C"/>
    <w:rsid w:val="00FF7E51"/>
    <w:rsid w:val="00FF7EA4"/>
    <w:rsid w:val="00FF7F15"/>
    <w:rsid w:val="00FF7F45"/>
    <w:rsid w:val="01C32B2B"/>
    <w:rsid w:val="02BA5DC4"/>
    <w:rsid w:val="0359D7AB"/>
    <w:rsid w:val="036283DA"/>
    <w:rsid w:val="058C3ED9"/>
    <w:rsid w:val="059FD2D9"/>
    <w:rsid w:val="065B4A8E"/>
    <w:rsid w:val="07ACBF2F"/>
    <w:rsid w:val="09C302EC"/>
    <w:rsid w:val="09F76847"/>
    <w:rsid w:val="0C639C3B"/>
    <w:rsid w:val="0C9F5D73"/>
    <w:rsid w:val="0CE8AF91"/>
    <w:rsid w:val="0D17DC44"/>
    <w:rsid w:val="0D77A98F"/>
    <w:rsid w:val="0E57CD36"/>
    <w:rsid w:val="0ECF0FEC"/>
    <w:rsid w:val="12216E74"/>
    <w:rsid w:val="1273610E"/>
    <w:rsid w:val="129EC688"/>
    <w:rsid w:val="12D7697A"/>
    <w:rsid w:val="1324181C"/>
    <w:rsid w:val="134EE804"/>
    <w:rsid w:val="14AA8B05"/>
    <w:rsid w:val="14D024DF"/>
    <w:rsid w:val="14F45727"/>
    <w:rsid w:val="15520801"/>
    <w:rsid w:val="1700A7A2"/>
    <w:rsid w:val="185EA6D9"/>
    <w:rsid w:val="18AB81BA"/>
    <w:rsid w:val="1AB3FBE0"/>
    <w:rsid w:val="1AF3CE39"/>
    <w:rsid w:val="1B8B26C9"/>
    <w:rsid w:val="1BB7E6D1"/>
    <w:rsid w:val="1C736541"/>
    <w:rsid w:val="1C74FA44"/>
    <w:rsid w:val="1C9E473F"/>
    <w:rsid w:val="1D30EC3F"/>
    <w:rsid w:val="1DD83864"/>
    <w:rsid w:val="1DEB07B8"/>
    <w:rsid w:val="1E60F339"/>
    <w:rsid w:val="1EA371CF"/>
    <w:rsid w:val="1EB9EB16"/>
    <w:rsid w:val="1F08E236"/>
    <w:rsid w:val="20AEB821"/>
    <w:rsid w:val="2122CD27"/>
    <w:rsid w:val="23463B6F"/>
    <w:rsid w:val="237E3271"/>
    <w:rsid w:val="237FA161"/>
    <w:rsid w:val="23B27A3B"/>
    <w:rsid w:val="243BDF27"/>
    <w:rsid w:val="24815C78"/>
    <w:rsid w:val="24D86DF0"/>
    <w:rsid w:val="2509B8D0"/>
    <w:rsid w:val="252B4E02"/>
    <w:rsid w:val="25436CE5"/>
    <w:rsid w:val="254AFA13"/>
    <w:rsid w:val="25B7423E"/>
    <w:rsid w:val="2688FB94"/>
    <w:rsid w:val="26B6E64F"/>
    <w:rsid w:val="26EA9C5D"/>
    <w:rsid w:val="2725EAC8"/>
    <w:rsid w:val="273FCFE5"/>
    <w:rsid w:val="2745CC31"/>
    <w:rsid w:val="27EE7214"/>
    <w:rsid w:val="2960D52D"/>
    <w:rsid w:val="2A6A903F"/>
    <w:rsid w:val="2B4CA9E0"/>
    <w:rsid w:val="2BED169C"/>
    <w:rsid w:val="2C1805B9"/>
    <w:rsid w:val="2C4F0F4C"/>
    <w:rsid w:val="2C5EFBD6"/>
    <w:rsid w:val="2CA598D3"/>
    <w:rsid w:val="2E70A124"/>
    <w:rsid w:val="2E9D1811"/>
    <w:rsid w:val="2ECA98D2"/>
    <w:rsid w:val="2F71B0A4"/>
    <w:rsid w:val="2F7EF1AB"/>
    <w:rsid w:val="2FD2AB3E"/>
    <w:rsid w:val="2FF1D0AB"/>
    <w:rsid w:val="316CDB2E"/>
    <w:rsid w:val="3178FF1F"/>
    <w:rsid w:val="31C53FC6"/>
    <w:rsid w:val="3405E9AD"/>
    <w:rsid w:val="343C7C08"/>
    <w:rsid w:val="345D9BC8"/>
    <w:rsid w:val="3463FB97"/>
    <w:rsid w:val="37CBE1A3"/>
    <w:rsid w:val="393C050F"/>
    <w:rsid w:val="3A946A68"/>
    <w:rsid w:val="3AB76936"/>
    <w:rsid w:val="3AD45766"/>
    <w:rsid w:val="3ADB831D"/>
    <w:rsid w:val="3C4579C4"/>
    <w:rsid w:val="3C8EC1E6"/>
    <w:rsid w:val="3CD9490C"/>
    <w:rsid w:val="3CDA5625"/>
    <w:rsid w:val="3F427159"/>
    <w:rsid w:val="3F96EEED"/>
    <w:rsid w:val="40601F55"/>
    <w:rsid w:val="4111511D"/>
    <w:rsid w:val="4387A480"/>
    <w:rsid w:val="44D61D4D"/>
    <w:rsid w:val="45A3F0E1"/>
    <w:rsid w:val="45B81EC5"/>
    <w:rsid w:val="46B1057F"/>
    <w:rsid w:val="475383E2"/>
    <w:rsid w:val="48B8BEEF"/>
    <w:rsid w:val="48DC8481"/>
    <w:rsid w:val="49423A94"/>
    <w:rsid w:val="49A2C02F"/>
    <w:rsid w:val="4B5F92AE"/>
    <w:rsid w:val="4B6A741C"/>
    <w:rsid w:val="4B757E8A"/>
    <w:rsid w:val="4BFEDB0F"/>
    <w:rsid w:val="4C93F025"/>
    <w:rsid w:val="4CD9537F"/>
    <w:rsid w:val="4D042FF3"/>
    <w:rsid w:val="4D67430F"/>
    <w:rsid w:val="4D7E011B"/>
    <w:rsid w:val="4E29C22D"/>
    <w:rsid w:val="4E511C65"/>
    <w:rsid w:val="4E77B8DA"/>
    <w:rsid w:val="4EC13623"/>
    <w:rsid w:val="4F3E2166"/>
    <w:rsid w:val="501447F5"/>
    <w:rsid w:val="5091F9BE"/>
    <w:rsid w:val="50DA1DB7"/>
    <w:rsid w:val="51B15244"/>
    <w:rsid w:val="532E346E"/>
    <w:rsid w:val="5411CCB2"/>
    <w:rsid w:val="54DDAC12"/>
    <w:rsid w:val="553A6C4E"/>
    <w:rsid w:val="5576EBBC"/>
    <w:rsid w:val="560E17E7"/>
    <w:rsid w:val="56386B6A"/>
    <w:rsid w:val="57BC8FA9"/>
    <w:rsid w:val="57E3C387"/>
    <w:rsid w:val="58C0ABAF"/>
    <w:rsid w:val="5A1B4A73"/>
    <w:rsid w:val="5A75A7B5"/>
    <w:rsid w:val="5B354771"/>
    <w:rsid w:val="5C1E8074"/>
    <w:rsid w:val="5C4C8732"/>
    <w:rsid w:val="5CE1A9A6"/>
    <w:rsid w:val="5CE3B1F1"/>
    <w:rsid w:val="5D1189CE"/>
    <w:rsid w:val="5DC17FD6"/>
    <w:rsid w:val="5DCB7E20"/>
    <w:rsid w:val="5EFBD0B1"/>
    <w:rsid w:val="5FC58285"/>
    <w:rsid w:val="606EAAC0"/>
    <w:rsid w:val="60A8ECAE"/>
    <w:rsid w:val="61EC7BCD"/>
    <w:rsid w:val="6210AFB7"/>
    <w:rsid w:val="6216B53A"/>
    <w:rsid w:val="6234F2DD"/>
    <w:rsid w:val="62A69B64"/>
    <w:rsid w:val="636B564E"/>
    <w:rsid w:val="63BAD6C1"/>
    <w:rsid w:val="63BD2752"/>
    <w:rsid w:val="6409E136"/>
    <w:rsid w:val="65E9A9A0"/>
    <w:rsid w:val="669104DC"/>
    <w:rsid w:val="66A0AD1D"/>
    <w:rsid w:val="67103D4E"/>
    <w:rsid w:val="67959590"/>
    <w:rsid w:val="67C02FF6"/>
    <w:rsid w:val="68541F98"/>
    <w:rsid w:val="68AC40CA"/>
    <w:rsid w:val="68BD3A64"/>
    <w:rsid w:val="6991831A"/>
    <w:rsid w:val="69C96AF1"/>
    <w:rsid w:val="6BFE0F18"/>
    <w:rsid w:val="6BFE6D66"/>
    <w:rsid w:val="6D45D180"/>
    <w:rsid w:val="6F138C8D"/>
    <w:rsid w:val="6F259E06"/>
    <w:rsid w:val="70A2338F"/>
    <w:rsid w:val="70AD1D59"/>
    <w:rsid w:val="70B1C850"/>
    <w:rsid w:val="71637483"/>
    <w:rsid w:val="7177C119"/>
    <w:rsid w:val="71CF130E"/>
    <w:rsid w:val="7226463C"/>
    <w:rsid w:val="736921A0"/>
    <w:rsid w:val="73C35B7D"/>
    <w:rsid w:val="73E9F549"/>
    <w:rsid w:val="7409E354"/>
    <w:rsid w:val="742A2920"/>
    <w:rsid w:val="742B2748"/>
    <w:rsid w:val="7588B305"/>
    <w:rsid w:val="76E053A1"/>
    <w:rsid w:val="776873BA"/>
    <w:rsid w:val="77E88F05"/>
    <w:rsid w:val="78ECF5AB"/>
    <w:rsid w:val="7A1D49CC"/>
    <w:rsid w:val="7A7F4880"/>
    <w:rsid w:val="7AA85677"/>
    <w:rsid w:val="7B1679DC"/>
    <w:rsid w:val="7B3BA2BB"/>
    <w:rsid w:val="7BF929D3"/>
    <w:rsid w:val="7C079A86"/>
    <w:rsid w:val="7C7BA92A"/>
    <w:rsid w:val="7CBCA677"/>
    <w:rsid w:val="7D779170"/>
    <w:rsid w:val="7E713FAE"/>
    <w:rsid w:val="7E9CFF54"/>
    <w:rsid w:val="7F461C42"/>
    <w:rsid w:val="7FFAE5C4"/>
    <w:rsid w:val="7FFFE7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AA8B05"/>
  <w15:chartTrackingRefBased/>
  <w15:docId w15:val="{569D8B8E-C0FB-42EC-B416-DEE35668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RO"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aliases w:val="Paragraphe EI,Paragraphe de liste1,EC,Paragraphe de liste2,Colorful List Accent 1,Liste couleur - Accent 11,Paragraphe de liste11,RETRAIT 1,List Paragraph1,Colorful List - Accent 11,Paragraphe de liste,Dot pt,F5 List Paragraph,3,BULLET 1"/>
    <w:basedOn w:val="Normal"/>
    <w:link w:val="ListParagraphChar"/>
    <w:uiPriority w:val="34"/>
    <w:qFormat/>
    <w:rsid w:val="45B81EC5"/>
    <w:pPr>
      <w:ind w:left="720"/>
      <w:contextualSpacing/>
    </w:pPr>
  </w:style>
  <w:style w:type="paragraph" w:styleId="Revision">
    <w:name w:val="Revision"/>
    <w:hidden/>
    <w:uiPriority w:val="99"/>
    <w:semiHidden/>
    <w:rsid w:val="007E0C70"/>
    <w:pPr>
      <w:spacing w:after="0" w:line="240" w:lineRule="auto"/>
    </w:pPr>
  </w:style>
  <w:style w:type="character" w:styleId="Hyperlink">
    <w:name w:val="Hyperlink"/>
    <w:basedOn w:val="DefaultParagraphFont"/>
    <w:uiPriority w:val="99"/>
    <w:unhideWhenUsed/>
    <w:rsid w:val="2745CC31"/>
    <w:rPr>
      <w:color w:val="467886"/>
      <w:u w:val="single"/>
    </w:rPr>
  </w:style>
  <w:style w:type="paragraph" w:styleId="FootnoteText">
    <w:name w:val="footnote text"/>
    <w:basedOn w:val="Normal"/>
    <w:link w:val="FootnoteTextChar"/>
    <w:uiPriority w:val="99"/>
    <w:semiHidden/>
    <w:unhideWhenUsed/>
    <w:rsid w:val="00E8563C"/>
    <w:pPr>
      <w:spacing w:after="0" w:line="240" w:lineRule="auto"/>
      <w:ind w:left="425" w:hanging="425"/>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E8563C"/>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E8563C"/>
    <w:rPr>
      <w:vertAlign w:val="superscript"/>
    </w:rPr>
  </w:style>
  <w:style w:type="character" w:customStyle="1" w:styleId="ListParagraphChar">
    <w:name w:val="List Paragraph Char"/>
    <w:aliases w:val="Paragraphe EI Char,Paragraphe de liste1 Char,EC Char,Paragraphe de liste2 Char,Colorful List Accent 1 Char,Liste couleur - Accent 11 Char,Paragraphe de liste11 Char,RETRAIT 1 Char,List Paragraph1 Char,Colorful List - Accent 11 Char"/>
    <w:basedOn w:val="DefaultParagraphFont"/>
    <w:link w:val="ListParagraph"/>
    <w:uiPriority w:val="34"/>
    <w:qFormat/>
    <w:rsid w:val="00B16279"/>
  </w:style>
  <w:style w:type="paragraph" w:styleId="Header">
    <w:name w:val="header"/>
    <w:basedOn w:val="Normal"/>
    <w:link w:val="HeaderChar"/>
    <w:uiPriority w:val="99"/>
    <w:unhideWhenUsed/>
    <w:rsid w:val="00AD1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521"/>
  </w:style>
  <w:style w:type="paragraph" w:styleId="Footer">
    <w:name w:val="footer"/>
    <w:basedOn w:val="Normal"/>
    <w:link w:val="FooterChar"/>
    <w:uiPriority w:val="99"/>
    <w:unhideWhenUsed/>
    <w:rsid w:val="00AD1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521"/>
  </w:style>
  <w:style w:type="character" w:styleId="CommentReference">
    <w:name w:val="annotation reference"/>
    <w:basedOn w:val="DefaultParagraphFont"/>
    <w:uiPriority w:val="99"/>
    <w:semiHidden/>
    <w:unhideWhenUsed/>
    <w:rsid w:val="00737C21"/>
    <w:rPr>
      <w:sz w:val="16"/>
      <w:szCs w:val="16"/>
    </w:rPr>
  </w:style>
  <w:style w:type="paragraph" w:styleId="CommentText">
    <w:name w:val="annotation text"/>
    <w:basedOn w:val="Normal"/>
    <w:link w:val="CommentTextChar"/>
    <w:uiPriority w:val="99"/>
    <w:unhideWhenUsed/>
    <w:rsid w:val="00737C21"/>
    <w:pPr>
      <w:spacing w:line="240" w:lineRule="auto"/>
    </w:pPr>
    <w:rPr>
      <w:sz w:val="20"/>
      <w:szCs w:val="20"/>
    </w:rPr>
  </w:style>
  <w:style w:type="character" w:customStyle="1" w:styleId="CommentTextChar">
    <w:name w:val="Comment Text Char"/>
    <w:basedOn w:val="DefaultParagraphFont"/>
    <w:link w:val="CommentText"/>
    <w:uiPriority w:val="99"/>
    <w:rsid w:val="00737C21"/>
    <w:rPr>
      <w:sz w:val="20"/>
      <w:szCs w:val="20"/>
    </w:rPr>
  </w:style>
  <w:style w:type="paragraph" w:styleId="CommentSubject">
    <w:name w:val="annotation subject"/>
    <w:basedOn w:val="CommentText"/>
    <w:next w:val="CommentText"/>
    <w:link w:val="CommentSubjectChar"/>
    <w:uiPriority w:val="99"/>
    <w:semiHidden/>
    <w:unhideWhenUsed/>
    <w:rsid w:val="00737C21"/>
    <w:rPr>
      <w:b/>
      <w:bCs/>
    </w:rPr>
  </w:style>
  <w:style w:type="character" w:customStyle="1" w:styleId="CommentSubjectChar">
    <w:name w:val="Comment Subject Char"/>
    <w:basedOn w:val="CommentTextChar"/>
    <w:link w:val="CommentSubject"/>
    <w:uiPriority w:val="99"/>
    <w:semiHidden/>
    <w:rsid w:val="00737C21"/>
    <w:rPr>
      <w:b/>
      <w:bCs/>
      <w:sz w:val="20"/>
      <w:szCs w:val="20"/>
    </w:rPr>
  </w:style>
  <w:style w:type="character" w:styleId="FollowedHyperlink">
    <w:name w:val="FollowedHyperlink"/>
    <w:basedOn w:val="DefaultParagraphFont"/>
    <w:uiPriority w:val="99"/>
    <w:semiHidden/>
    <w:unhideWhenUsed/>
    <w:rsid w:val="00DC2655"/>
    <w:rPr>
      <w:color w:val="96607D" w:themeColor="followedHyperlink"/>
      <w:u w:val="single"/>
    </w:rPr>
  </w:style>
  <w:style w:type="paragraph" w:customStyle="1" w:styleId="Text1">
    <w:name w:val="Text 1"/>
    <w:basedOn w:val="Normal"/>
    <w:qFormat/>
    <w:rsid w:val="00895183"/>
    <w:pPr>
      <w:spacing w:after="240" w:line="240" w:lineRule="auto"/>
      <w:ind w:left="482"/>
      <w:jc w:val="both"/>
    </w:pPr>
    <w:rPr>
      <w:rFonts w:ascii="Times New Roman" w:eastAsia="Times New Roman" w:hAnsi="Times New Roman" w:cs="Times New Roman"/>
      <w:szCs w:val="20"/>
      <w:lang w:eastAsia="de-DE"/>
    </w:rPr>
  </w:style>
  <w:style w:type="character" w:customStyle="1" w:styleId="UnresolvedMention">
    <w:name w:val="Unresolved Mention"/>
    <w:basedOn w:val="DefaultParagraphFont"/>
    <w:uiPriority w:val="99"/>
    <w:semiHidden/>
    <w:unhideWhenUsed/>
    <w:rsid w:val="00D1568C"/>
    <w:rPr>
      <w:color w:val="605E5C"/>
      <w:shd w:val="clear" w:color="auto" w:fill="E1DFDD"/>
    </w:rPr>
  </w:style>
  <w:style w:type="character" w:customStyle="1" w:styleId="Mention">
    <w:name w:val="Mention"/>
    <w:basedOn w:val="DefaultParagraphFont"/>
    <w:uiPriority w:val="99"/>
    <w:unhideWhenUsed/>
    <w:rsid w:val="009A5056"/>
    <w:rPr>
      <w:color w:val="2B579A"/>
      <w:shd w:val="clear" w:color="auto" w:fill="E1DFDD"/>
    </w:rPr>
  </w:style>
  <w:style w:type="character" w:customStyle="1" w:styleId="Marker">
    <w:name w:val="Marker"/>
    <w:basedOn w:val="DefaultParagraphFont"/>
    <w:rsid w:val="009902EB"/>
    <w:rPr>
      <w:color w:val="0000FF"/>
      <w:shd w:val="clear" w:color="auto" w:fill="auto"/>
    </w:rPr>
  </w:style>
  <w:style w:type="paragraph" w:customStyle="1" w:styleId="Pagedecouverture">
    <w:name w:val="Page de couverture"/>
    <w:basedOn w:val="Normal"/>
    <w:next w:val="Normal"/>
    <w:link w:val="PagedecouvertureChar"/>
    <w:rsid w:val="009902EB"/>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9902E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9902EB"/>
    <w:rPr>
      <w:rFonts w:ascii="Times New Roman" w:eastAsiaTheme="minorHAnsi" w:hAnsi="Times New Roman" w:cs="Times New Roman"/>
      <w:szCs w:val="22"/>
      <w:lang w:eastAsia="en-US"/>
    </w:rPr>
  </w:style>
  <w:style w:type="character" w:customStyle="1" w:styleId="FooterCoverPageChar">
    <w:name w:val="Footer Cover Page Char"/>
    <w:basedOn w:val="PagedecouvertureChar"/>
    <w:link w:val="FooterCoverPage"/>
    <w:rsid w:val="009902EB"/>
    <w:rPr>
      <w:rFonts w:ascii="Times New Roman" w:eastAsiaTheme="minorHAnsi" w:hAnsi="Times New Roman" w:cs="Times New Roman"/>
      <w:szCs w:val="22"/>
      <w:lang w:eastAsia="en-US"/>
    </w:rPr>
  </w:style>
  <w:style w:type="paragraph" w:customStyle="1" w:styleId="FooterSensitivity">
    <w:name w:val="Footer Sensitivity"/>
    <w:basedOn w:val="Normal"/>
    <w:link w:val="FooterSensitivityChar"/>
    <w:rsid w:val="009902E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902EB"/>
    <w:rPr>
      <w:rFonts w:ascii="Times New Roman" w:eastAsiaTheme="minorHAnsi" w:hAnsi="Times New Roman" w:cs="Times New Roman"/>
      <w:b/>
      <w:sz w:val="32"/>
      <w:szCs w:val="22"/>
      <w:lang w:eastAsia="en-US"/>
    </w:rPr>
  </w:style>
  <w:style w:type="paragraph" w:customStyle="1" w:styleId="HeaderCoverPage">
    <w:name w:val="Header Cover Page"/>
    <w:basedOn w:val="Normal"/>
    <w:link w:val="HeaderCoverPageChar"/>
    <w:rsid w:val="009902E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9902EB"/>
    <w:rPr>
      <w:rFonts w:ascii="Times New Roman" w:eastAsiaTheme="minorHAnsi" w:hAnsi="Times New Roman" w:cs="Times New Roman"/>
      <w:szCs w:val="22"/>
      <w:lang w:eastAsia="en-US"/>
    </w:rPr>
  </w:style>
  <w:style w:type="paragraph" w:customStyle="1" w:styleId="HeaderSensitivity">
    <w:name w:val="Header Sensitivity"/>
    <w:basedOn w:val="Normal"/>
    <w:link w:val="HeaderSensitivityChar"/>
    <w:rsid w:val="009902E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902EB"/>
    <w:rPr>
      <w:rFonts w:ascii="Times New Roman" w:eastAsiaTheme="minorHAnsi" w:hAnsi="Times New Roman" w:cs="Times New Roman"/>
      <w:b/>
      <w:sz w:val="32"/>
      <w:szCs w:val="22"/>
      <w:lang w:eastAsia="en-US"/>
    </w:rPr>
  </w:style>
  <w:style w:type="paragraph" w:customStyle="1" w:styleId="HeaderSensitivityRight">
    <w:name w:val="Header Sensitivity Right"/>
    <w:basedOn w:val="Normal"/>
    <w:link w:val="HeaderSensitivityRightChar"/>
    <w:rsid w:val="004652E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902EB"/>
    <w:rPr>
      <w:rFonts w:ascii="Times New Roman" w:eastAsiaTheme="minorHAnsi" w:hAnsi="Times New Roman" w:cs="Times New Roman"/>
      <w:sz w:val="28"/>
      <w:szCs w:val="22"/>
      <w:lang w:eastAsia="en-US"/>
    </w:rPr>
  </w:style>
  <w:style w:type="paragraph" w:customStyle="1" w:styleId="Disclaimer">
    <w:name w:val="Disclaimer"/>
    <w:basedOn w:val="Normal"/>
    <w:rsid w:val="004652E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rPr>
  </w:style>
  <w:style w:type="paragraph" w:customStyle="1" w:styleId="SecurityMarking">
    <w:name w:val="SecurityMarking"/>
    <w:basedOn w:val="Normal"/>
    <w:rsid w:val="004652E5"/>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4652E5"/>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4652E5"/>
    <w:pPr>
      <w:spacing w:after="0" w:line="276" w:lineRule="auto"/>
      <w:ind w:left="5103"/>
    </w:pPr>
    <w:rPr>
      <w:rFonts w:ascii="Times New Roman" w:eastAsiaTheme="minorHAnsi" w:hAnsi="Times New Roman" w:cs="Times New Roman"/>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89514">
      <w:bodyDiv w:val="1"/>
      <w:marLeft w:val="0"/>
      <w:marRight w:val="0"/>
      <w:marTop w:val="0"/>
      <w:marBottom w:val="0"/>
      <w:divBdr>
        <w:top w:val="none" w:sz="0" w:space="0" w:color="auto"/>
        <w:left w:val="none" w:sz="0" w:space="0" w:color="auto"/>
        <w:bottom w:val="none" w:sz="0" w:space="0" w:color="auto"/>
        <w:right w:val="none" w:sz="0" w:space="0" w:color="auto"/>
      </w:divBdr>
      <w:divsChild>
        <w:div w:id="282078757">
          <w:marLeft w:val="0"/>
          <w:marRight w:val="0"/>
          <w:marTop w:val="240"/>
          <w:marBottom w:val="240"/>
          <w:divBdr>
            <w:top w:val="none" w:sz="0" w:space="0" w:color="auto"/>
            <w:left w:val="none" w:sz="0" w:space="0" w:color="auto"/>
            <w:bottom w:val="none" w:sz="0" w:space="0" w:color="auto"/>
            <w:right w:val="none" w:sz="0" w:space="0" w:color="auto"/>
          </w:divBdr>
        </w:div>
        <w:div w:id="319504620">
          <w:marLeft w:val="0"/>
          <w:marRight w:val="0"/>
          <w:marTop w:val="240"/>
          <w:marBottom w:val="240"/>
          <w:divBdr>
            <w:top w:val="none" w:sz="0" w:space="0" w:color="auto"/>
            <w:left w:val="none" w:sz="0" w:space="0" w:color="auto"/>
            <w:bottom w:val="none" w:sz="0" w:space="0" w:color="auto"/>
            <w:right w:val="none" w:sz="0" w:space="0" w:color="auto"/>
          </w:divBdr>
        </w:div>
        <w:div w:id="1152991079">
          <w:marLeft w:val="0"/>
          <w:marRight w:val="0"/>
          <w:marTop w:val="450"/>
          <w:marBottom w:val="240"/>
          <w:divBdr>
            <w:top w:val="none" w:sz="0" w:space="0" w:color="auto"/>
            <w:left w:val="none" w:sz="0" w:space="0" w:color="auto"/>
            <w:bottom w:val="none" w:sz="0" w:space="0" w:color="auto"/>
            <w:right w:val="none" w:sz="0" w:space="0" w:color="auto"/>
          </w:divBdr>
        </w:div>
        <w:div w:id="1440952579">
          <w:marLeft w:val="0"/>
          <w:marRight w:val="0"/>
          <w:marTop w:val="240"/>
          <w:marBottom w:val="240"/>
          <w:divBdr>
            <w:top w:val="none" w:sz="0" w:space="0" w:color="auto"/>
            <w:left w:val="none" w:sz="0" w:space="0" w:color="auto"/>
            <w:bottom w:val="none" w:sz="0" w:space="0" w:color="auto"/>
            <w:right w:val="none" w:sz="0" w:space="0" w:color="auto"/>
          </w:divBdr>
        </w:div>
      </w:divsChild>
    </w:div>
    <w:div w:id="84152238">
      <w:bodyDiv w:val="1"/>
      <w:marLeft w:val="0"/>
      <w:marRight w:val="0"/>
      <w:marTop w:val="0"/>
      <w:marBottom w:val="0"/>
      <w:divBdr>
        <w:top w:val="none" w:sz="0" w:space="0" w:color="auto"/>
        <w:left w:val="none" w:sz="0" w:space="0" w:color="auto"/>
        <w:bottom w:val="none" w:sz="0" w:space="0" w:color="auto"/>
        <w:right w:val="none" w:sz="0" w:space="0" w:color="auto"/>
      </w:divBdr>
      <w:divsChild>
        <w:div w:id="187062034">
          <w:marLeft w:val="0"/>
          <w:marRight w:val="0"/>
          <w:marTop w:val="0"/>
          <w:marBottom w:val="0"/>
          <w:divBdr>
            <w:top w:val="none" w:sz="0" w:space="0" w:color="auto"/>
            <w:left w:val="none" w:sz="0" w:space="0" w:color="auto"/>
            <w:bottom w:val="none" w:sz="0" w:space="0" w:color="auto"/>
            <w:right w:val="none" w:sz="0" w:space="0" w:color="auto"/>
          </w:divBdr>
        </w:div>
        <w:div w:id="208494506">
          <w:marLeft w:val="0"/>
          <w:marRight w:val="0"/>
          <w:marTop w:val="0"/>
          <w:marBottom w:val="0"/>
          <w:divBdr>
            <w:top w:val="none" w:sz="0" w:space="0" w:color="auto"/>
            <w:left w:val="none" w:sz="0" w:space="0" w:color="auto"/>
            <w:bottom w:val="none" w:sz="0" w:space="0" w:color="auto"/>
            <w:right w:val="none" w:sz="0" w:space="0" w:color="auto"/>
          </w:divBdr>
        </w:div>
        <w:div w:id="231164340">
          <w:marLeft w:val="0"/>
          <w:marRight w:val="0"/>
          <w:marTop w:val="0"/>
          <w:marBottom w:val="0"/>
          <w:divBdr>
            <w:top w:val="none" w:sz="0" w:space="0" w:color="auto"/>
            <w:left w:val="none" w:sz="0" w:space="0" w:color="auto"/>
            <w:bottom w:val="none" w:sz="0" w:space="0" w:color="auto"/>
            <w:right w:val="none" w:sz="0" w:space="0" w:color="auto"/>
          </w:divBdr>
        </w:div>
        <w:div w:id="484007756">
          <w:marLeft w:val="0"/>
          <w:marRight w:val="0"/>
          <w:marTop w:val="0"/>
          <w:marBottom w:val="0"/>
          <w:divBdr>
            <w:top w:val="none" w:sz="0" w:space="0" w:color="auto"/>
            <w:left w:val="none" w:sz="0" w:space="0" w:color="auto"/>
            <w:bottom w:val="none" w:sz="0" w:space="0" w:color="auto"/>
            <w:right w:val="none" w:sz="0" w:space="0" w:color="auto"/>
          </w:divBdr>
        </w:div>
        <w:div w:id="615138848">
          <w:marLeft w:val="0"/>
          <w:marRight w:val="0"/>
          <w:marTop w:val="0"/>
          <w:marBottom w:val="0"/>
          <w:divBdr>
            <w:top w:val="none" w:sz="0" w:space="0" w:color="auto"/>
            <w:left w:val="none" w:sz="0" w:space="0" w:color="auto"/>
            <w:bottom w:val="none" w:sz="0" w:space="0" w:color="auto"/>
            <w:right w:val="none" w:sz="0" w:space="0" w:color="auto"/>
          </w:divBdr>
        </w:div>
        <w:div w:id="728042383">
          <w:marLeft w:val="0"/>
          <w:marRight w:val="0"/>
          <w:marTop w:val="0"/>
          <w:marBottom w:val="0"/>
          <w:divBdr>
            <w:top w:val="none" w:sz="0" w:space="0" w:color="auto"/>
            <w:left w:val="none" w:sz="0" w:space="0" w:color="auto"/>
            <w:bottom w:val="none" w:sz="0" w:space="0" w:color="auto"/>
            <w:right w:val="none" w:sz="0" w:space="0" w:color="auto"/>
          </w:divBdr>
        </w:div>
        <w:div w:id="741950335">
          <w:marLeft w:val="0"/>
          <w:marRight w:val="0"/>
          <w:marTop w:val="0"/>
          <w:marBottom w:val="0"/>
          <w:divBdr>
            <w:top w:val="none" w:sz="0" w:space="0" w:color="auto"/>
            <w:left w:val="none" w:sz="0" w:space="0" w:color="auto"/>
            <w:bottom w:val="none" w:sz="0" w:space="0" w:color="auto"/>
            <w:right w:val="none" w:sz="0" w:space="0" w:color="auto"/>
          </w:divBdr>
        </w:div>
        <w:div w:id="1302150955">
          <w:marLeft w:val="0"/>
          <w:marRight w:val="0"/>
          <w:marTop w:val="0"/>
          <w:marBottom w:val="0"/>
          <w:divBdr>
            <w:top w:val="none" w:sz="0" w:space="0" w:color="auto"/>
            <w:left w:val="none" w:sz="0" w:space="0" w:color="auto"/>
            <w:bottom w:val="none" w:sz="0" w:space="0" w:color="auto"/>
            <w:right w:val="none" w:sz="0" w:space="0" w:color="auto"/>
          </w:divBdr>
        </w:div>
        <w:div w:id="1448432152">
          <w:marLeft w:val="0"/>
          <w:marRight w:val="0"/>
          <w:marTop w:val="0"/>
          <w:marBottom w:val="0"/>
          <w:divBdr>
            <w:top w:val="none" w:sz="0" w:space="0" w:color="auto"/>
            <w:left w:val="none" w:sz="0" w:space="0" w:color="auto"/>
            <w:bottom w:val="none" w:sz="0" w:space="0" w:color="auto"/>
            <w:right w:val="none" w:sz="0" w:space="0" w:color="auto"/>
          </w:divBdr>
        </w:div>
        <w:div w:id="1726442651">
          <w:marLeft w:val="0"/>
          <w:marRight w:val="0"/>
          <w:marTop w:val="0"/>
          <w:marBottom w:val="0"/>
          <w:divBdr>
            <w:top w:val="none" w:sz="0" w:space="0" w:color="auto"/>
            <w:left w:val="none" w:sz="0" w:space="0" w:color="auto"/>
            <w:bottom w:val="none" w:sz="0" w:space="0" w:color="auto"/>
            <w:right w:val="none" w:sz="0" w:space="0" w:color="auto"/>
          </w:divBdr>
        </w:div>
        <w:div w:id="1994799425">
          <w:marLeft w:val="0"/>
          <w:marRight w:val="0"/>
          <w:marTop w:val="0"/>
          <w:marBottom w:val="0"/>
          <w:divBdr>
            <w:top w:val="none" w:sz="0" w:space="0" w:color="auto"/>
            <w:left w:val="none" w:sz="0" w:space="0" w:color="auto"/>
            <w:bottom w:val="none" w:sz="0" w:space="0" w:color="auto"/>
            <w:right w:val="none" w:sz="0" w:space="0" w:color="auto"/>
          </w:divBdr>
        </w:div>
        <w:div w:id="2003196015">
          <w:marLeft w:val="0"/>
          <w:marRight w:val="0"/>
          <w:marTop w:val="0"/>
          <w:marBottom w:val="0"/>
          <w:divBdr>
            <w:top w:val="none" w:sz="0" w:space="0" w:color="auto"/>
            <w:left w:val="none" w:sz="0" w:space="0" w:color="auto"/>
            <w:bottom w:val="none" w:sz="0" w:space="0" w:color="auto"/>
            <w:right w:val="none" w:sz="0" w:space="0" w:color="auto"/>
          </w:divBdr>
        </w:div>
      </w:divsChild>
    </w:div>
    <w:div w:id="121969084">
      <w:bodyDiv w:val="1"/>
      <w:marLeft w:val="0"/>
      <w:marRight w:val="0"/>
      <w:marTop w:val="0"/>
      <w:marBottom w:val="0"/>
      <w:divBdr>
        <w:top w:val="none" w:sz="0" w:space="0" w:color="auto"/>
        <w:left w:val="none" w:sz="0" w:space="0" w:color="auto"/>
        <w:bottom w:val="none" w:sz="0" w:space="0" w:color="auto"/>
        <w:right w:val="none" w:sz="0" w:space="0" w:color="auto"/>
      </w:divBdr>
    </w:div>
    <w:div w:id="155076780">
      <w:bodyDiv w:val="1"/>
      <w:marLeft w:val="0"/>
      <w:marRight w:val="0"/>
      <w:marTop w:val="0"/>
      <w:marBottom w:val="0"/>
      <w:divBdr>
        <w:top w:val="none" w:sz="0" w:space="0" w:color="auto"/>
        <w:left w:val="none" w:sz="0" w:space="0" w:color="auto"/>
        <w:bottom w:val="none" w:sz="0" w:space="0" w:color="auto"/>
        <w:right w:val="none" w:sz="0" w:space="0" w:color="auto"/>
      </w:divBdr>
      <w:divsChild>
        <w:div w:id="212736184">
          <w:marLeft w:val="0"/>
          <w:marRight w:val="0"/>
          <w:marTop w:val="0"/>
          <w:marBottom w:val="0"/>
          <w:divBdr>
            <w:top w:val="none" w:sz="0" w:space="0" w:color="auto"/>
            <w:left w:val="none" w:sz="0" w:space="0" w:color="auto"/>
            <w:bottom w:val="none" w:sz="0" w:space="0" w:color="auto"/>
            <w:right w:val="none" w:sz="0" w:space="0" w:color="auto"/>
          </w:divBdr>
        </w:div>
        <w:div w:id="309362016">
          <w:marLeft w:val="0"/>
          <w:marRight w:val="0"/>
          <w:marTop w:val="0"/>
          <w:marBottom w:val="0"/>
          <w:divBdr>
            <w:top w:val="none" w:sz="0" w:space="0" w:color="auto"/>
            <w:left w:val="none" w:sz="0" w:space="0" w:color="auto"/>
            <w:bottom w:val="none" w:sz="0" w:space="0" w:color="auto"/>
            <w:right w:val="none" w:sz="0" w:space="0" w:color="auto"/>
          </w:divBdr>
        </w:div>
      </w:divsChild>
    </w:div>
    <w:div w:id="225846018">
      <w:bodyDiv w:val="1"/>
      <w:marLeft w:val="0"/>
      <w:marRight w:val="0"/>
      <w:marTop w:val="0"/>
      <w:marBottom w:val="0"/>
      <w:divBdr>
        <w:top w:val="none" w:sz="0" w:space="0" w:color="auto"/>
        <w:left w:val="none" w:sz="0" w:space="0" w:color="auto"/>
        <w:bottom w:val="none" w:sz="0" w:space="0" w:color="auto"/>
        <w:right w:val="none" w:sz="0" w:space="0" w:color="auto"/>
      </w:divBdr>
    </w:div>
    <w:div w:id="255407633">
      <w:bodyDiv w:val="1"/>
      <w:marLeft w:val="0"/>
      <w:marRight w:val="0"/>
      <w:marTop w:val="0"/>
      <w:marBottom w:val="0"/>
      <w:divBdr>
        <w:top w:val="none" w:sz="0" w:space="0" w:color="auto"/>
        <w:left w:val="none" w:sz="0" w:space="0" w:color="auto"/>
        <w:bottom w:val="none" w:sz="0" w:space="0" w:color="auto"/>
        <w:right w:val="none" w:sz="0" w:space="0" w:color="auto"/>
      </w:divBdr>
    </w:div>
    <w:div w:id="261111824">
      <w:bodyDiv w:val="1"/>
      <w:marLeft w:val="0"/>
      <w:marRight w:val="0"/>
      <w:marTop w:val="0"/>
      <w:marBottom w:val="0"/>
      <w:divBdr>
        <w:top w:val="none" w:sz="0" w:space="0" w:color="auto"/>
        <w:left w:val="none" w:sz="0" w:space="0" w:color="auto"/>
        <w:bottom w:val="none" w:sz="0" w:space="0" w:color="auto"/>
        <w:right w:val="none" w:sz="0" w:space="0" w:color="auto"/>
      </w:divBdr>
      <w:divsChild>
        <w:div w:id="504319748">
          <w:marLeft w:val="0"/>
          <w:marRight w:val="0"/>
          <w:marTop w:val="0"/>
          <w:marBottom w:val="0"/>
          <w:divBdr>
            <w:top w:val="none" w:sz="0" w:space="0" w:color="auto"/>
            <w:left w:val="none" w:sz="0" w:space="0" w:color="auto"/>
            <w:bottom w:val="none" w:sz="0" w:space="0" w:color="auto"/>
            <w:right w:val="none" w:sz="0" w:space="0" w:color="auto"/>
          </w:divBdr>
        </w:div>
        <w:div w:id="1698970568">
          <w:marLeft w:val="0"/>
          <w:marRight w:val="0"/>
          <w:marTop w:val="0"/>
          <w:marBottom w:val="0"/>
          <w:divBdr>
            <w:top w:val="none" w:sz="0" w:space="0" w:color="auto"/>
            <w:left w:val="none" w:sz="0" w:space="0" w:color="auto"/>
            <w:bottom w:val="none" w:sz="0" w:space="0" w:color="auto"/>
            <w:right w:val="none" w:sz="0" w:space="0" w:color="auto"/>
          </w:divBdr>
        </w:div>
        <w:div w:id="1963414029">
          <w:marLeft w:val="0"/>
          <w:marRight w:val="0"/>
          <w:marTop w:val="0"/>
          <w:marBottom w:val="0"/>
          <w:divBdr>
            <w:top w:val="none" w:sz="0" w:space="0" w:color="auto"/>
            <w:left w:val="none" w:sz="0" w:space="0" w:color="auto"/>
            <w:bottom w:val="none" w:sz="0" w:space="0" w:color="auto"/>
            <w:right w:val="none" w:sz="0" w:space="0" w:color="auto"/>
          </w:divBdr>
        </w:div>
        <w:div w:id="1992978897">
          <w:marLeft w:val="0"/>
          <w:marRight w:val="0"/>
          <w:marTop w:val="0"/>
          <w:marBottom w:val="0"/>
          <w:divBdr>
            <w:top w:val="none" w:sz="0" w:space="0" w:color="auto"/>
            <w:left w:val="none" w:sz="0" w:space="0" w:color="auto"/>
            <w:bottom w:val="none" w:sz="0" w:space="0" w:color="auto"/>
            <w:right w:val="none" w:sz="0" w:space="0" w:color="auto"/>
          </w:divBdr>
        </w:div>
      </w:divsChild>
    </w:div>
    <w:div w:id="439840502">
      <w:bodyDiv w:val="1"/>
      <w:marLeft w:val="0"/>
      <w:marRight w:val="0"/>
      <w:marTop w:val="0"/>
      <w:marBottom w:val="0"/>
      <w:divBdr>
        <w:top w:val="none" w:sz="0" w:space="0" w:color="auto"/>
        <w:left w:val="none" w:sz="0" w:space="0" w:color="auto"/>
        <w:bottom w:val="none" w:sz="0" w:space="0" w:color="auto"/>
        <w:right w:val="none" w:sz="0" w:space="0" w:color="auto"/>
      </w:divBdr>
      <w:divsChild>
        <w:div w:id="15933793">
          <w:marLeft w:val="0"/>
          <w:marRight w:val="0"/>
          <w:marTop w:val="0"/>
          <w:marBottom w:val="0"/>
          <w:divBdr>
            <w:top w:val="none" w:sz="0" w:space="0" w:color="auto"/>
            <w:left w:val="none" w:sz="0" w:space="0" w:color="auto"/>
            <w:bottom w:val="none" w:sz="0" w:space="0" w:color="auto"/>
            <w:right w:val="none" w:sz="0" w:space="0" w:color="auto"/>
          </w:divBdr>
        </w:div>
        <w:div w:id="531504179">
          <w:marLeft w:val="0"/>
          <w:marRight w:val="0"/>
          <w:marTop w:val="0"/>
          <w:marBottom w:val="0"/>
          <w:divBdr>
            <w:top w:val="none" w:sz="0" w:space="0" w:color="auto"/>
            <w:left w:val="none" w:sz="0" w:space="0" w:color="auto"/>
            <w:bottom w:val="none" w:sz="0" w:space="0" w:color="auto"/>
            <w:right w:val="none" w:sz="0" w:space="0" w:color="auto"/>
          </w:divBdr>
        </w:div>
        <w:div w:id="551816086">
          <w:marLeft w:val="0"/>
          <w:marRight w:val="0"/>
          <w:marTop w:val="0"/>
          <w:marBottom w:val="0"/>
          <w:divBdr>
            <w:top w:val="none" w:sz="0" w:space="0" w:color="auto"/>
            <w:left w:val="none" w:sz="0" w:space="0" w:color="auto"/>
            <w:bottom w:val="none" w:sz="0" w:space="0" w:color="auto"/>
            <w:right w:val="none" w:sz="0" w:space="0" w:color="auto"/>
          </w:divBdr>
        </w:div>
        <w:div w:id="1317956009">
          <w:marLeft w:val="0"/>
          <w:marRight w:val="0"/>
          <w:marTop w:val="0"/>
          <w:marBottom w:val="0"/>
          <w:divBdr>
            <w:top w:val="none" w:sz="0" w:space="0" w:color="auto"/>
            <w:left w:val="none" w:sz="0" w:space="0" w:color="auto"/>
            <w:bottom w:val="none" w:sz="0" w:space="0" w:color="auto"/>
            <w:right w:val="none" w:sz="0" w:space="0" w:color="auto"/>
          </w:divBdr>
        </w:div>
        <w:div w:id="1716152646">
          <w:marLeft w:val="0"/>
          <w:marRight w:val="0"/>
          <w:marTop w:val="0"/>
          <w:marBottom w:val="0"/>
          <w:divBdr>
            <w:top w:val="none" w:sz="0" w:space="0" w:color="auto"/>
            <w:left w:val="none" w:sz="0" w:space="0" w:color="auto"/>
            <w:bottom w:val="none" w:sz="0" w:space="0" w:color="auto"/>
            <w:right w:val="none" w:sz="0" w:space="0" w:color="auto"/>
          </w:divBdr>
        </w:div>
        <w:div w:id="1912037960">
          <w:marLeft w:val="0"/>
          <w:marRight w:val="0"/>
          <w:marTop w:val="0"/>
          <w:marBottom w:val="0"/>
          <w:divBdr>
            <w:top w:val="none" w:sz="0" w:space="0" w:color="auto"/>
            <w:left w:val="none" w:sz="0" w:space="0" w:color="auto"/>
            <w:bottom w:val="none" w:sz="0" w:space="0" w:color="auto"/>
            <w:right w:val="none" w:sz="0" w:space="0" w:color="auto"/>
          </w:divBdr>
        </w:div>
        <w:div w:id="1997343190">
          <w:marLeft w:val="0"/>
          <w:marRight w:val="0"/>
          <w:marTop w:val="0"/>
          <w:marBottom w:val="0"/>
          <w:divBdr>
            <w:top w:val="none" w:sz="0" w:space="0" w:color="auto"/>
            <w:left w:val="none" w:sz="0" w:space="0" w:color="auto"/>
            <w:bottom w:val="none" w:sz="0" w:space="0" w:color="auto"/>
            <w:right w:val="none" w:sz="0" w:space="0" w:color="auto"/>
          </w:divBdr>
        </w:div>
        <w:div w:id="2084519973">
          <w:marLeft w:val="0"/>
          <w:marRight w:val="0"/>
          <w:marTop w:val="0"/>
          <w:marBottom w:val="0"/>
          <w:divBdr>
            <w:top w:val="none" w:sz="0" w:space="0" w:color="auto"/>
            <w:left w:val="none" w:sz="0" w:space="0" w:color="auto"/>
            <w:bottom w:val="none" w:sz="0" w:space="0" w:color="auto"/>
            <w:right w:val="none" w:sz="0" w:space="0" w:color="auto"/>
          </w:divBdr>
        </w:div>
      </w:divsChild>
    </w:div>
    <w:div w:id="460264896">
      <w:bodyDiv w:val="1"/>
      <w:marLeft w:val="0"/>
      <w:marRight w:val="0"/>
      <w:marTop w:val="0"/>
      <w:marBottom w:val="0"/>
      <w:divBdr>
        <w:top w:val="none" w:sz="0" w:space="0" w:color="auto"/>
        <w:left w:val="none" w:sz="0" w:space="0" w:color="auto"/>
        <w:bottom w:val="none" w:sz="0" w:space="0" w:color="auto"/>
        <w:right w:val="none" w:sz="0" w:space="0" w:color="auto"/>
      </w:divBdr>
      <w:divsChild>
        <w:div w:id="423263373">
          <w:marLeft w:val="0"/>
          <w:marRight w:val="0"/>
          <w:marTop w:val="0"/>
          <w:marBottom w:val="0"/>
          <w:divBdr>
            <w:top w:val="none" w:sz="0" w:space="0" w:color="auto"/>
            <w:left w:val="none" w:sz="0" w:space="0" w:color="auto"/>
            <w:bottom w:val="none" w:sz="0" w:space="0" w:color="auto"/>
            <w:right w:val="none" w:sz="0" w:space="0" w:color="auto"/>
          </w:divBdr>
        </w:div>
        <w:div w:id="1225599980">
          <w:marLeft w:val="0"/>
          <w:marRight w:val="0"/>
          <w:marTop w:val="0"/>
          <w:marBottom w:val="0"/>
          <w:divBdr>
            <w:top w:val="none" w:sz="0" w:space="0" w:color="auto"/>
            <w:left w:val="none" w:sz="0" w:space="0" w:color="auto"/>
            <w:bottom w:val="none" w:sz="0" w:space="0" w:color="auto"/>
            <w:right w:val="none" w:sz="0" w:space="0" w:color="auto"/>
          </w:divBdr>
          <w:divsChild>
            <w:div w:id="94133966">
              <w:marLeft w:val="0"/>
              <w:marRight w:val="0"/>
              <w:marTop w:val="0"/>
              <w:marBottom w:val="0"/>
              <w:divBdr>
                <w:top w:val="none" w:sz="0" w:space="0" w:color="auto"/>
                <w:left w:val="none" w:sz="0" w:space="0" w:color="auto"/>
                <w:bottom w:val="none" w:sz="0" w:space="0" w:color="auto"/>
                <w:right w:val="none" w:sz="0" w:space="0" w:color="auto"/>
              </w:divBdr>
            </w:div>
            <w:div w:id="201596327">
              <w:marLeft w:val="0"/>
              <w:marRight w:val="0"/>
              <w:marTop w:val="0"/>
              <w:marBottom w:val="0"/>
              <w:divBdr>
                <w:top w:val="none" w:sz="0" w:space="0" w:color="auto"/>
                <w:left w:val="none" w:sz="0" w:space="0" w:color="auto"/>
                <w:bottom w:val="none" w:sz="0" w:space="0" w:color="auto"/>
                <w:right w:val="none" w:sz="0" w:space="0" w:color="auto"/>
              </w:divBdr>
            </w:div>
            <w:div w:id="239027954">
              <w:marLeft w:val="0"/>
              <w:marRight w:val="0"/>
              <w:marTop w:val="0"/>
              <w:marBottom w:val="0"/>
              <w:divBdr>
                <w:top w:val="none" w:sz="0" w:space="0" w:color="auto"/>
                <w:left w:val="none" w:sz="0" w:space="0" w:color="auto"/>
                <w:bottom w:val="none" w:sz="0" w:space="0" w:color="auto"/>
                <w:right w:val="none" w:sz="0" w:space="0" w:color="auto"/>
              </w:divBdr>
            </w:div>
            <w:div w:id="244656800">
              <w:marLeft w:val="0"/>
              <w:marRight w:val="0"/>
              <w:marTop w:val="0"/>
              <w:marBottom w:val="0"/>
              <w:divBdr>
                <w:top w:val="none" w:sz="0" w:space="0" w:color="auto"/>
                <w:left w:val="none" w:sz="0" w:space="0" w:color="auto"/>
                <w:bottom w:val="none" w:sz="0" w:space="0" w:color="auto"/>
                <w:right w:val="none" w:sz="0" w:space="0" w:color="auto"/>
              </w:divBdr>
            </w:div>
            <w:div w:id="791632976">
              <w:marLeft w:val="0"/>
              <w:marRight w:val="0"/>
              <w:marTop w:val="0"/>
              <w:marBottom w:val="0"/>
              <w:divBdr>
                <w:top w:val="none" w:sz="0" w:space="0" w:color="auto"/>
                <w:left w:val="none" w:sz="0" w:space="0" w:color="auto"/>
                <w:bottom w:val="none" w:sz="0" w:space="0" w:color="auto"/>
                <w:right w:val="none" w:sz="0" w:space="0" w:color="auto"/>
              </w:divBdr>
            </w:div>
            <w:div w:id="820192389">
              <w:marLeft w:val="0"/>
              <w:marRight w:val="0"/>
              <w:marTop w:val="0"/>
              <w:marBottom w:val="0"/>
              <w:divBdr>
                <w:top w:val="none" w:sz="0" w:space="0" w:color="auto"/>
                <w:left w:val="none" w:sz="0" w:space="0" w:color="auto"/>
                <w:bottom w:val="none" w:sz="0" w:space="0" w:color="auto"/>
                <w:right w:val="none" w:sz="0" w:space="0" w:color="auto"/>
              </w:divBdr>
            </w:div>
            <w:div w:id="837576017">
              <w:marLeft w:val="0"/>
              <w:marRight w:val="0"/>
              <w:marTop w:val="0"/>
              <w:marBottom w:val="0"/>
              <w:divBdr>
                <w:top w:val="none" w:sz="0" w:space="0" w:color="auto"/>
                <w:left w:val="none" w:sz="0" w:space="0" w:color="auto"/>
                <w:bottom w:val="none" w:sz="0" w:space="0" w:color="auto"/>
                <w:right w:val="none" w:sz="0" w:space="0" w:color="auto"/>
              </w:divBdr>
            </w:div>
            <w:div w:id="878779456">
              <w:marLeft w:val="0"/>
              <w:marRight w:val="0"/>
              <w:marTop w:val="0"/>
              <w:marBottom w:val="0"/>
              <w:divBdr>
                <w:top w:val="none" w:sz="0" w:space="0" w:color="auto"/>
                <w:left w:val="none" w:sz="0" w:space="0" w:color="auto"/>
                <w:bottom w:val="none" w:sz="0" w:space="0" w:color="auto"/>
                <w:right w:val="none" w:sz="0" w:space="0" w:color="auto"/>
              </w:divBdr>
            </w:div>
            <w:div w:id="1201670186">
              <w:marLeft w:val="0"/>
              <w:marRight w:val="0"/>
              <w:marTop w:val="0"/>
              <w:marBottom w:val="0"/>
              <w:divBdr>
                <w:top w:val="none" w:sz="0" w:space="0" w:color="auto"/>
                <w:left w:val="none" w:sz="0" w:space="0" w:color="auto"/>
                <w:bottom w:val="none" w:sz="0" w:space="0" w:color="auto"/>
                <w:right w:val="none" w:sz="0" w:space="0" w:color="auto"/>
              </w:divBdr>
            </w:div>
            <w:div w:id="1288897489">
              <w:marLeft w:val="0"/>
              <w:marRight w:val="0"/>
              <w:marTop w:val="0"/>
              <w:marBottom w:val="0"/>
              <w:divBdr>
                <w:top w:val="none" w:sz="0" w:space="0" w:color="auto"/>
                <w:left w:val="none" w:sz="0" w:space="0" w:color="auto"/>
                <w:bottom w:val="none" w:sz="0" w:space="0" w:color="auto"/>
                <w:right w:val="none" w:sz="0" w:space="0" w:color="auto"/>
              </w:divBdr>
            </w:div>
            <w:div w:id="1305310109">
              <w:marLeft w:val="0"/>
              <w:marRight w:val="0"/>
              <w:marTop w:val="0"/>
              <w:marBottom w:val="0"/>
              <w:divBdr>
                <w:top w:val="none" w:sz="0" w:space="0" w:color="auto"/>
                <w:left w:val="none" w:sz="0" w:space="0" w:color="auto"/>
                <w:bottom w:val="none" w:sz="0" w:space="0" w:color="auto"/>
                <w:right w:val="none" w:sz="0" w:space="0" w:color="auto"/>
              </w:divBdr>
            </w:div>
            <w:div w:id="1668744636">
              <w:marLeft w:val="0"/>
              <w:marRight w:val="0"/>
              <w:marTop w:val="0"/>
              <w:marBottom w:val="0"/>
              <w:divBdr>
                <w:top w:val="none" w:sz="0" w:space="0" w:color="auto"/>
                <w:left w:val="none" w:sz="0" w:space="0" w:color="auto"/>
                <w:bottom w:val="none" w:sz="0" w:space="0" w:color="auto"/>
                <w:right w:val="none" w:sz="0" w:space="0" w:color="auto"/>
              </w:divBdr>
            </w:div>
            <w:div w:id="1878817068">
              <w:marLeft w:val="0"/>
              <w:marRight w:val="0"/>
              <w:marTop w:val="0"/>
              <w:marBottom w:val="0"/>
              <w:divBdr>
                <w:top w:val="none" w:sz="0" w:space="0" w:color="auto"/>
                <w:left w:val="none" w:sz="0" w:space="0" w:color="auto"/>
                <w:bottom w:val="none" w:sz="0" w:space="0" w:color="auto"/>
                <w:right w:val="none" w:sz="0" w:space="0" w:color="auto"/>
              </w:divBdr>
            </w:div>
            <w:div w:id="1979526152">
              <w:marLeft w:val="0"/>
              <w:marRight w:val="0"/>
              <w:marTop w:val="0"/>
              <w:marBottom w:val="0"/>
              <w:divBdr>
                <w:top w:val="none" w:sz="0" w:space="0" w:color="auto"/>
                <w:left w:val="none" w:sz="0" w:space="0" w:color="auto"/>
                <w:bottom w:val="none" w:sz="0" w:space="0" w:color="auto"/>
                <w:right w:val="none" w:sz="0" w:space="0" w:color="auto"/>
              </w:divBdr>
            </w:div>
            <w:div w:id="2138377322">
              <w:marLeft w:val="0"/>
              <w:marRight w:val="0"/>
              <w:marTop w:val="0"/>
              <w:marBottom w:val="0"/>
              <w:divBdr>
                <w:top w:val="none" w:sz="0" w:space="0" w:color="auto"/>
                <w:left w:val="none" w:sz="0" w:space="0" w:color="auto"/>
                <w:bottom w:val="none" w:sz="0" w:space="0" w:color="auto"/>
                <w:right w:val="none" w:sz="0" w:space="0" w:color="auto"/>
              </w:divBdr>
            </w:div>
          </w:divsChild>
        </w:div>
        <w:div w:id="1686441571">
          <w:marLeft w:val="0"/>
          <w:marRight w:val="0"/>
          <w:marTop w:val="0"/>
          <w:marBottom w:val="0"/>
          <w:divBdr>
            <w:top w:val="none" w:sz="0" w:space="0" w:color="auto"/>
            <w:left w:val="none" w:sz="0" w:space="0" w:color="auto"/>
            <w:bottom w:val="none" w:sz="0" w:space="0" w:color="auto"/>
            <w:right w:val="none" w:sz="0" w:space="0" w:color="auto"/>
          </w:divBdr>
        </w:div>
        <w:div w:id="2095004286">
          <w:marLeft w:val="0"/>
          <w:marRight w:val="0"/>
          <w:marTop w:val="0"/>
          <w:marBottom w:val="0"/>
          <w:divBdr>
            <w:top w:val="none" w:sz="0" w:space="0" w:color="auto"/>
            <w:left w:val="none" w:sz="0" w:space="0" w:color="auto"/>
            <w:bottom w:val="none" w:sz="0" w:space="0" w:color="auto"/>
            <w:right w:val="none" w:sz="0" w:space="0" w:color="auto"/>
          </w:divBdr>
        </w:div>
      </w:divsChild>
    </w:div>
    <w:div w:id="466898896">
      <w:bodyDiv w:val="1"/>
      <w:marLeft w:val="0"/>
      <w:marRight w:val="0"/>
      <w:marTop w:val="0"/>
      <w:marBottom w:val="0"/>
      <w:divBdr>
        <w:top w:val="none" w:sz="0" w:space="0" w:color="auto"/>
        <w:left w:val="none" w:sz="0" w:space="0" w:color="auto"/>
        <w:bottom w:val="none" w:sz="0" w:space="0" w:color="auto"/>
        <w:right w:val="none" w:sz="0" w:space="0" w:color="auto"/>
      </w:divBdr>
      <w:divsChild>
        <w:div w:id="363756473">
          <w:marLeft w:val="0"/>
          <w:marRight w:val="0"/>
          <w:marTop w:val="0"/>
          <w:marBottom w:val="0"/>
          <w:divBdr>
            <w:top w:val="none" w:sz="0" w:space="0" w:color="auto"/>
            <w:left w:val="none" w:sz="0" w:space="0" w:color="auto"/>
            <w:bottom w:val="none" w:sz="0" w:space="0" w:color="auto"/>
            <w:right w:val="none" w:sz="0" w:space="0" w:color="auto"/>
          </w:divBdr>
        </w:div>
        <w:div w:id="985360608">
          <w:marLeft w:val="0"/>
          <w:marRight w:val="0"/>
          <w:marTop w:val="0"/>
          <w:marBottom w:val="0"/>
          <w:divBdr>
            <w:top w:val="none" w:sz="0" w:space="0" w:color="auto"/>
            <w:left w:val="none" w:sz="0" w:space="0" w:color="auto"/>
            <w:bottom w:val="none" w:sz="0" w:space="0" w:color="auto"/>
            <w:right w:val="none" w:sz="0" w:space="0" w:color="auto"/>
          </w:divBdr>
        </w:div>
        <w:div w:id="1473064367">
          <w:marLeft w:val="0"/>
          <w:marRight w:val="0"/>
          <w:marTop w:val="0"/>
          <w:marBottom w:val="0"/>
          <w:divBdr>
            <w:top w:val="none" w:sz="0" w:space="0" w:color="auto"/>
            <w:left w:val="none" w:sz="0" w:space="0" w:color="auto"/>
            <w:bottom w:val="none" w:sz="0" w:space="0" w:color="auto"/>
            <w:right w:val="none" w:sz="0" w:space="0" w:color="auto"/>
          </w:divBdr>
        </w:div>
        <w:div w:id="2016955288">
          <w:marLeft w:val="0"/>
          <w:marRight w:val="0"/>
          <w:marTop w:val="0"/>
          <w:marBottom w:val="0"/>
          <w:divBdr>
            <w:top w:val="none" w:sz="0" w:space="0" w:color="auto"/>
            <w:left w:val="none" w:sz="0" w:space="0" w:color="auto"/>
            <w:bottom w:val="none" w:sz="0" w:space="0" w:color="auto"/>
            <w:right w:val="none" w:sz="0" w:space="0" w:color="auto"/>
          </w:divBdr>
        </w:div>
      </w:divsChild>
    </w:div>
    <w:div w:id="519587014">
      <w:bodyDiv w:val="1"/>
      <w:marLeft w:val="0"/>
      <w:marRight w:val="0"/>
      <w:marTop w:val="0"/>
      <w:marBottom w:val="0"/>
      <w:divBdr>
        <w:top w:val="none" w:sz="0" w:space="0" w:color="auto"/>
        <w:left w:val="none" w:sz="0" w:space="0" w:color="auto"/>
        <w:bottom w:val="none" w:sz="0" w:space="0" w:color="auto"/>
        <w:right w:val="none" w:sz="0" w:space="0" w:color="auto"/>
      </w:divBdr>
      <w:divsChild>
        <w:div w:id="443382078">
          <w:marLeft w:val="0"/>
          <w:marRight w:val="0"/>
          <w:marTop w:val="0"/>
          <w:marBottom w:val="0"/>
          <w:divBdr>
            <w:top w:val="none" w:sz="0" w:space="0" w:color="auto"/>
            <w:left w:val="none" w:sz="0" w:space="0" w:color="auto"/>
            <w:bottom w:val="none" w:sz="0" w:space="0" w:color="auto"/>
            <w:right w:val="none" w:sz="0" w:space="0" w:color="auto"/>
          </w:divBdr>
        </w:div>
        <w:div w:id="1830559653">
          <w:marLeft w:val="0"/>
          <w:marRight w:val="0"/>
          <w:marTop w:val="0"/>
          <w:marBottom w:val="0"/>
          <w:divBdr>
            <w:top w:val="none" w:sz="0" w:space="0" w:color="auto"/>
            <w:left w:val="none" w:sz="0" w:space="0" w:color="auto"/>
            <w:bottom w:val="none" w:sz="0" w:space="0" w:color="auto"/>
            <w:right w:val="none" w:sz="0" w:space="0" w:color="auto"/>
          </w:divBdr>
        </w:div>
      </w:divsChild>
    </w:div>
    <w:div w:id="533009014">
      <w:bodyDiv w:val="1"/>
      <w:marLeft w:val="0"/>
      <w:marRight w:val="0"/>
      <w:marTop w:val="0"/>
      <w:marBottom w:val="0"/>
      <w:divBdr>
        <w:top w:val="none" w:sz="0" w:space="0" w:color="auto"/>
        <w:left w:val="none" w:sz="0" w:space="0" w:color="auto"/>
        <w:bottom w:val="none" w:sz="0" w:space="0" w:color="auto"/>
        <w:right w:val="none" w:sz="0" w:space="0" w:color="auto"/>
      </w:divBdr>
      <w:divsChild>
        <w:div w:id="306085791">
          <w:marLeft w:val="0"/>
          <w:marRight w:val="0"/>
          <w:marTop w:val="0"/>
          <w:marBottom w:val="0"/>
          <w:divBdr>
            <w:top w:val="none" w:sz="0" w:space="0" w:color="auto"/>
            <w:left w:val="none" w:sz="0" w:space="0" w:color="auto"/>
            <w:bottom w:val="none" w:sz="0" w:space="0" w:color="auto"/>
            <w:right w:val="none" w:sz="0" w:space="0" w:color="auto"/>
          </w:divBdr>
        </w:div>
        <w:div w:id="446703907">
          <w:marLeft w:val="0"/>
          <w:marRight w:val="0"/>
          <w:marTop w:val="0"/>
          <w:marBottom w:val="0"/>
          <w:divBdr>
            <w:top w:val="none" w:sz="0" w:space="0" w:color="auto"/>
            <w:left w:val="none" w:sz="0" w:space="0" w:color="auto"/>
            <w:bottom w:val="none" w:sz="0" w:space="0" w:color="auto"/>
            <w:right w:val="none" w:sz="0" w:space="0" w:color="auto"/>
          </w:divBdr>
          <w:divsChild>
            <w:div w:id="112940390">
              <w:marLeft w:val="0"/>
              <w:marRight w:val="0"/>
              <w:marTop w:val="0"/>
              <w:marBottom w:val="0"/>
              <w:divBdr>
                <w:top w:val="none" w:sz="0" w:space="0" w:color="auto"/>
                <w:left w:val="none" w:sz="0" w:space="0" w:color="auto"/>
                <w:bottom w:val="none" w:sz="0" w:space="0" w:color="auto"/>
                <w:right w:val="none" w:sz="0" w:space="0" w:color="auto"/>
              </w:divBdr>
            </w:div>
            <w:div w:id="336613527">
              <w:marLeft w:val="0"/>
              <w:marRight w:val="0"/>
              <w:marTop w:val="0"/>
              <w:marBottom w:val="0"/>
              <w:divBdr>
                <w:top w:val="none" w:sz="0" w:space="0" w:color="auto"/>
                <w:left w:val="none" w:sz="0" w:space="0" w:color="auto"/>
                <w:bottom w:val="none" w:sz="0" w:space="0" w:color="auto"/>
                <w:right w:val="none" w:sz="0" w:space="0" w:color="auto"/>
              </w:divBdr>
            </w:div>
            <w:div w:id="387998091">
              <w:marLeft w:val="0"/>
              <w:marRight w:val="0"/>
              <w:marTop w:val="0"/>
              <w:marBottom w:val="0"/>
              <w:divBdr>
                <w:top w:val="none" w:sz="0" w:space="0" w:color="auto"/>
                <w:left w:val="none" w:sz="0" w:space="0" w:color="auto"/>
                <w:bottom w:val="none" w:sz="0" w:space="0" w:color="auto"/>
                <w:right w:val="none" w:sz="0" w:space="0" w:color="auto"/>
              </w:divBdr>
            </w:div>
            <w:div w:id="846792129">
              <w:marLeft w:val="0"/>
              <w:marRight w:val="0"/>
              <w:marTop w:val="0"/>
              <w:marBottom w:val="0"/>
              <w:divBdr>
                <w:top w:val="none" w:sz="0" w:space="0" w:color="auto"/>
                <w:left w:val="none" w:sz="0" w:space="0" w:color="auto"/>
                <w:bottom w:val="none" w:sz="0" w:space="0" w:color="auto"/>
                <w:right w:val="none" w:sz="0" w:space="0" w:color="auto"/>
              </w:divBdr>
            </w:div>
            <w:div w:id="928731706">
              <w:marLeft w:val="0"/>
              <w:marRight w:val="0"/>
              <w:marTop w:val="0"/>
              <w:marBottom w:val="0"/>
              <w:divBdr>
                <w:top w:val="none" w:sz="0" w:space="0" w:color="auto"/>
                <w:left w:val="none" w:sz="0" w:space="0" w:color="auto"/>
                <w:bottom w:val="none" w:sz="0" w:space="0" w:color="auto"/>
                <w:right w:val="none" w:sz="0" w:space="0" w:color="auto"/>
              </w:divBdr>
            </w:div>
            <w:div w:id="1098481038">
              <w:marLeft w:val="0"/>
              <w:marRight w:val="0"/>
              <w:marTop w:val="0"/>
              <w:marBottom w:val="0"/>
              <w:divBdr>
                <w:top w:val="none" w:sz="0" w:space="0" w:color="auto"/>
                <w:left w:val="none" w:sz="0" w:space="0" w:color="auto"/>
                <w:bottom w:val="none" w:sz="0" w:space="0" w:color="auto"/>
                <w:right w:val="none" w:sz="0" w:space="0" w:color="auto"/>
              </w:divBdr>
            </w:div>
            <w:div w:id="1339389287">
              <w:marLeft w:val="0"/>
              <w:marRight w:val="0"/>
              <w:marTop w:val="0"/>
              <w:marBottom w:val="0"/>
              <w:divBdr>
                <w:top w:val="none" w:sz="0" w:space="0" w:color="auto"/>
                <w:left w:val="none" w:sz="0" w:space="0" w:color="auto"/>
                <w:bottom w:val="none" w:sz="0" w:space="0" w:color="auto"/>
                <w:right w:val="none" w:sz="0" w:space="0" w:color="auto"/>
              </w:divBdr>
            </w:div>
            <w:div w:id="1392801518">
              <w:marLeft w:val="0"/>
              <w:marRight w:val="0"/>
              <w:marTop w:val="0"/>
              <w:marBottom w:val="0"/>
              <w:divBdr>
                <w:top w:val="none" w:sz="0" w:space="0" w:color="auto"/>
                <w:left w:val="none" w:sz="0" w:space="0" w:color="auto"/>
                <w:bottom w:val="none" w:sz="0" w:space="0" w:color="auto"/>
                <w:right w:val="none" w:sz="0" w:space="0" w:color="auto"/>
              </w:divBdr>
            </w:div>
            <w:div w:id="1494756174">
              <w:marLeft w:val="0"/>
              <w:marRight w:val="0"/>
              <w:marTop w:val="0"/>
              <w:marBottom w:val="0"/>
              <w:divBdr>
                <w:top w:val="none" w:sz="0" w:space="0" w:color="auto"/>
                <w:left w:val="none" w:sz="0" w:space="0" w:color="auto"/>
                <w:bottom w:val="none" w:sz="0" w:space="0" w:color="auto"/>
                <w:right w:val="none" w:sz="0" w:space="0" w:color="auto"/>
              </w:divBdr>
            </w:div>
            <w:div w:id="1547371903">
              <w:marLeft w:val="0"/>
              <w:marRight w:val="0"/>
              <w:marTop w:val="0"/>
              <w:marBottom w:val="0"/>
              <w:divBdr>
                <w:top w:val="none" w:sz="0" w:space="0" w:color="auto"/>
                <w:left w:val="none" w:sz="0" w:space="0" w:color="auto"/>
                <w:bottom w:val="none" w:sz="0" w:space="0" w:color="auto"/>
                <w:right w:val="none" w:sz="0" w:space="0" w:color="auto"/>
              </w:divBdr>
            </w:div>
            <w:div w:id="1605066034">
              <w:marLeft w:val="0"/>
              <w:marRight w:val="0"/>
              <w:marTop w:val="0"/>
              <w:marBottom w:val="0"/>
              <w:divBdr>
                <w:top w:val="none" w:sz="0" w:space="0" w:color="auto"/>
                <w:left w:val="none" w:sz="0" w:space="0" w:color="auto"/>
                <w:bottom w:val="none" w:sz="0" w:space="0" w:color="auto"/>
                <w:right w:val="none" w:sz="0" w:space="0" w:color="auto"/>
              </w:divBdr>
            </w:div>
            <w:div w:id="1674186695">
              <w:marLeft w:val="0"/>
              <w:marRight w:val="0"/>
              <w:marTop w:val="0"/>
              <w:marBottom w:val="0"/>
              <w:divBdr>
                <w:top w:val="none" w:sz="0" w:space="0" w:color="auto"/>
                <w:left w:val="none" w:sz="0" w:space="0" w:color="auto"/>
                <w:bottom w:val="none" w:sz="0" w:space="0" w:color="auto"/>
                <w:right w:val="none" w:sz="0" w:space="0" w:color="auto"/>
              </w:divBdr>
            </w:div>
            <w:div w:id="1819035633">
              <w:marLeft w:val="0"/>
              <w:marRight w:val="0"/>
              <w:marTop w:val="0"/>
              <w:marBottom w:val="0"/>
              <w:divBdr>
                <w:top w:val="none" w:sz="0" w:space="0" w:color="auto"/>
                <w:left w:val="none" w:sz="0" w:space="0" w:color="auto"/>
                <w:bottom w:val="none" w:sz="0" w:space="0" w:color="auto"/>
                <w:right w:val="none" w:sz="0" w:space="0" w:color="auto"/>
              </w:divBdr>
            </w:div>
            <w:div w:id="1870683912">
              <w:marLeft w:val="0"/>
              <w:marRight w:val="0"/>
              <w:marTop w:val="0"/>
              <w:marBottom w:val="0"/>
              <w:divBdr>
                <w:top w:val="none" w:sz="0" w:space="0" w:color="auto"/>
                <w:left w:val="none" w:sz="0" w:space="0" w:color="auto"/>
                <w:bottom w:val="none" w:sz="0" w:space="0" w:color="auto"/>
                <w:right w:val="none" w:sz="0" w:space="0" w:color="auto"/>
              </w:divBdr>
            </w:div>
            <w:div w:id="1975216665">
              <w:marLeft w:val="0"/>
              <w:marRight w:val="0"/>
              <w:marTop w:val="0"/>
              <w:marBottom w:val="0"/>
              <w:divBdr>
                <w:top w:val="none" w:sz="0" w:space="0" w:color="auto"/>
                <w:left w:val="none" w:sz="0" w:space="0" w:color="auto"/>
                <w:bottom w:val="none" w:sz="0" w:space="0" w:color="auto"/>
                <w:right w:val="none" w:sz="0" w:space="0" w:color="auto"/>
              </w:divBdr>
            </w:div>
          </w:divsChild>
        </w:div>
        <w:div w:id="900092715">
          <w:marLeft w:val="0"/>
          <w:marRight w:val="0"/>
          <w:marTop w:val="0"/>
          <w:marBottom w:val="0"/>
          <w:divBdr>
            <w:top w:val="none" w:sz="0" w:space="0" w:color="auto"/>
            <w:left w:val="none" w:sz="0" w:space="0" w:color="auto"/>
            <w:bottom w:val="none" w:sz="0" w:space="0" w:color="auto"/>
            <w:right w:val="none" w:sz="0" w:space="0" w:color="auto"/>
          </w:divBdr>
        </w:div>
        <w:div w:id="1226988854">
          <w:marLeft w:val="0"/>
          <w:marRight w:val="0"/>
          <w:marTop w:val="0"/>
          <w:marBottom w:val="0"/>
          <w:divBdr>
            <w:top w:val="none" w:sz="0" w:space="0" w:color="auto"/>
            <w:left w:val="none" w:sz="0" w:space="0" w:color="auto"/>
            <w:bottom w:val="none" w:sz="0" w:space="0" w:color="auto"/>
            <w:right w:val="none" w:sz="0" w:space="0" w:color="auto"/>
          </w:divBdr>
        </w:div>
      </w:divsChild>
    </w:div>
    <w:div w:id="570192045">
      <w:bodyDiv w:val="1"/>
      <w:marLeft w:val="0"/>
      <w:marRight w:val="0"/>
      <w:marTop w:val="0"/>
      <w:marBottom w:val="0"/>
      <w:divBdr>
        <w:top w:val="none" w:sz="0" w:space="0" w:color="auto"/>
        <w:left w:val="none" w:sz="0" w:space="0" w:color="auto"/>
        <w:bottom w:val="none" w:sz="0" w:space="0" w:color="auto"/>
        <w:right w:val="none" w:sz="0" w:space="0" w:color="auto"/>
      </w:divBdr>
    </w:div>
    <w:div w:id="619188190">
      <w:bodyDiv w:val="1"/>
      <w:marLeft w:val="0"/>
      <w:marRight w:val="0"/>
      <w:marTop w:val="0"/>
      <w:marBottom w:val="0"/>
      <w:divBdr>
        <w:top w:val="none" w:sz="0" w:space="0" w:color="auto"/>
        <w:left w:val="none" w:sz="0" w:space="0" w:color="auto"/>
        <w:bottom w:val="none" w:sz="0" w:space="0" w:color="auto"/>
        <w:right w:val="none" w:sz="0" w:space="0" w:color="auto"/>
      </w:divBdr>
      <w:divsChild>
        <w:div w:id="1343044325">
          <w:marLeft w:val="0"/>
          <w:marRight w:val="0"/>
          <w:marTop w:val="0"/>
          <w:marBottom w:val="0"/>
          <w:divBdr>
            <w:top w:val="none" w:sz="0" w:space="0" w:color="auto"/>
            <w:left w:val="none" w:sz="0" w:space="0" w:color="auto"/>
            <w:bottom w:val="none" w:sz="0" w:space="0" w:color="auto"/>
            <w:right w:val="none" w:sz="0" w:space="0" w:color="auto"/>
          </w:divBdr>
          <w:divsChild>
            <w:div w:id="831215889">
              <w:marLeft w:val="0"/>
              <w:marRight w:val="0"/>
              <w:marTop w:val="0"/>
              <w:marBottom w:val="0"/>
              <w:divBdr>
                <w:top w:val="none" w:sz="0" w:space="0" w:color="auto"/>
                <w:left w:val="none" w:sz="0" w:space="0" w:color="auto"/>
                <w:bottom w:val="none" w:sz="0" w:space="0" w:color="auto"/>
                <w:right w:val="none" w:sz="0" w:space="0" w:color="auto"/>
              </w:divBdr>
            </w:div>
            <w:div w:id="1522546606">
              <w:marLeft w:val="0"/>
              <w:marRight w:val="0"/>
              <w:marTop w:val="0"/>
              <w:marBottom w:val="0"/>
              <w:divBdr>
                <w:top w:val="none" w:sz="0" w:space="0" w:color="auto"/>
                <w:left w:val="none" w:sz="0" w:space="0" w:color="auto"/>
                <w:bottom w:val="none" w:sz="0" w:space="0" w:color="auto"/>
                <w:right w:val="none" w:sz="0" w:space="0" w:color="auto"/>
              </w:divBdr>
            </w:div>
            <w:div w:id="1574512221">
              <w:marLeft w:val="0"/>
              <w:marRight w:val="0"/>
              <w:marTop w:val="0"/>
              <w:marBottom w:val="0"/>
              <w:divBdr>
                <w:top w:val="none" w:sz="0" w:space="0" w:color="auto"/>
                <w:left w:val="none" w:sz="0" w:space="0" w:color="auto"/>
                <w:bottom w:val="none" w:sz="0" w:space="0" w:color="auto"/>
                <w:right w:val="none" w:sz="0" w:space="0" w:color="auto"/>
              </w:divBdr>
            </w:div>
            <w:div w:id="1597905153">
              <w:marLeft w:val="0"/>
              <w:marRight w:val="0"/>
              <w:marTop w:val="0"/>
              <w:marBottom w:val="0"/>
              <w:divBdr>
                <w:top w:val="none" w:sz="0" w:space="0" w:color="auto"/>
                <w:left w:val="none" w:sz="0" w:space="0" w:color="auto"/>
                <w:bottom w:val="none" w:sz="0" w:space="0" w:color="auto"/>
                <w:right w:val="none" w:sz="0" w:space="0" w:color="auto"/>
              </w:divBdr>
            </w:div>
            <w:div w:id="1745177661">
              <w:marLeft w:val="0"/>
              <w:marRight w:val="0"/>
              <w:marTop w:val="0"/>
              <w:marBottom w:val="0"/>
              <w:divBdr>
                <w:top w:val="none" w:sz="0" w:space="0" w:color="auto"/>
                <w:left w:val="none" w:sz="0" w:space="0" w:color="auto"/>
                <w:bottom w:val="none" w:sz="0" w:space="0" w:color="auto"/>
                <w:right w:val="none" w:sz="0" w:space="0" w:color="auto"/>
              </w:divBdr>
            </w:div>
            <w:div w:id="1995521331">
              <w:marLeft w:val="0"/>
              <w:marRight w:val="0"/>
              <w:marTop w:val="0"/>
              <w:marBottom w:val="0"/>
              <w:divBdr>
                <w:top w:val="none" w:sz="0" w:space="0" w:color="auto"/>
                <w:left w:val="none" w:sz="0" w:space="0" w:color="auto"/>
                <w:bottom w:val="none" w:sz="0" w:space="0" w:color="auto"/>
                <w:right w:val="none" w:sz="0" w:space="0" w:color="auto"/>
              </w:divBdr>
            </w:div>
            <w:div w:id="2064598246">
              <w:marLeft w:val="0"/>
              <w:marRight w:val="0"/>
              <w:marTop w:val="0"/>
              <w:marBottom w:val="0"/>
              <w:divBdr>
                <w:top w:val="none" w:sz="0" w:space="0" w:color="auto"/>
                <w:left w:val="none" w:sz="0" w:space="0" w:color="auto"/>
                <w:bottom w:val="none" w:sz="0" w:space="0" w:color="auto"/>
                <w:right w:val="none" w:sz="0" w:space="0" w:color="auto"/>
              </w:divBdr>
            </w:div>
          </w:divsChild>
        </w:div>
        <w:div w:id="1649554233">
          <w:marLeft w:val="0"/>
          <w:marRight w:val="0"/>
          <w:marTop w:val="0"/>
          <w:marBottom w:val="0"/>
          <w:divBdr>
            <w:top w:val="none" w:sz="0" w:space="0" w:color="auto"/>
            <w:left w:val="none" w:sz="0" w:space="0" w:color="auto"/>
            <w:bottom w:val="none" w:sz="0" w:space="0" w:color="auto"/>
            <w:right w:val="none" w:sz="0" w:space="0" w:color="auto"/>
          </w:divBdr>
          <w:divsChild>
            <w:div w:id="17396388">
              <w:marLeft w:val="0"/>
              <w:marRight w:val="0"/>
              <w:marTop w:val="0"/>
              <w:marBottom w:val="0"/>
              <w:divBdr>
                <w:top w:val="none" w:sz="0" w:space="0" w:color="auto"/>
                <w:left w:val="none" w:sz="0" w:space="0" w:color="auto"/>
                <w:bottom w:val="none" w:sz="0" w:space="0" w:color="auto"/>
                <w:right w:val="none" w:sz="0" w:space="0" w:color="auto"/>
              </w:divBdr>
            </w:div>
            <w:div w:id="329451790">
              <w:marLeft w:val="0"/>
              <w:marRight w:val="0"/>
              <w:marTop w:val="0"/>
              <w:marBottom w:val="0"/>
              <w:divBdr>
                <w:top w:val="none" w:sz="0" w:space="0" w:color="auto"/>
                <w:left w:val="none" w:sz="0" w:space="0" w:color="auto"/>
                <w:bottom w:val="none" w:sz="0" w:space="0" w:color="auto"/>
                <w:right w:val="none" w:sz="0" w:space="0" w:color="auto"/>
              </w:divBdr>
            </w:div>
            <w:div w:id="607542720">
              <w:marLeft w:val="0"/>
              <w:marRight w:val="0"/>
              <w:marTop w:val="0"/>
              <w:marBottom w:val="0"/>
              <w:divBdr>
                <w:top w:val="none" w:sz="0" w:space="0" w:color="auto"/>
                <w:left w:val="none" w:sz="0" w:space="0" w:color="auto"/>
                <w:bottom w:val="none" w:sz="0" w:space="0" w:color="auto"/>
                <w:right w:val="none" w:sz="0" w:space="0" w:color="auto"/>
              </w:divBdr>
            </w:div>
            <w:div w:id="648749079">
              <w:marLeft w:val="0"/>
              <w:marRight w:val="0"/>
              <w:marTop w:val="0"/>
              <w:marBottom w:val="0"/>
              <w:divBdr>
                <w:top w:val="none" w:sz="0" w:space="0" w:color="auto"/>
                <w:left w:val="none" w:sz="0" w:space="0" w:color="auto"/>
                <w:bottom w:val="none" w:sz="0" w:space="0" w:color="auto"/>
                <w:right w:val="none" w:sz="0" w:space="0" w:color="auto"/>
              </w:divBdr>
            </w:div>
            <w:div w:id="657458086">
              <w:marLeft w:val="0"/>
              <w:marRight w:val="0"/>
              <w:marTop w:val="0"/>
              <w:marBottom w:val="0"/>
              <w:divBdr>
                <w:top w:val="none" w:sz="0" w:space="0" w:color="auto"/>
                <w:left w:val="none" w:sz="0" w:space="0" w:color="auto"/>
                <w:bottom w:val="none" w:sz="0" w:space="0" w:color="auto"/>
                <w:right w:val="none" w:sz="0" w:space="0" w:color="auto"/>
              </w:divBdr>
            </w:div>
            <w:div w:id="1106778117">
              <w:marLeft w:val="0"/>
              <w:marRight w:val="0"/>
              <w:marTop w:val="0"/>
              <w:marBottom w:val="0"/>
              <w:divBdr>
                <w:top w:val="none" w:sz="0" w:space="0" w:color="auto"/>
                <w:left w:val="none" w:sz="0" w:space="0" w:color="auto"/>
                <w:bottom w:val="none" w:sz="0" w:space="0" w:color="auto"/>
                <w:right w:val="none" w:sz="0" w:space="0" w:color="auto"/>
              </w:divBdr>
            </w:div>
            <w:div w:id="1235237648">
              <w:marLeft w:val="0"/>
              <w:marRight w:val="0"/>
              <w:marTop w:val="0"/>
              <w:marBottom w:val="0"/>
              <w:divBdr>
                <w:top w:val="none" w:sz="0" w:space="0" w:color="auto"/>
                <w:left w:val="none" w:sz="0" w:space="0" w:color="auto"/>
                <w:bottom w:val="none" w:sz="0" w:space="0" w:color="auto"/>
                <w:right w:val="none" w:sz="0" w:space="0" w:color="auto"/>
              </w:divBdr>
            </w:div>
            <w:div w:id="1617834894">
              <w:marLeft w:val="0"/>
              <w:marRight w:val="0"/>
              <w:marTop w:val="0"/>
              <w:marBottom w:val="0"/>
              <w:divBdr>
                <w:top w:val="none" w:sz="0" w:space="0" w:color="auto"/>
                <w:left w:val="none" w:sz="0" w:space="0" w:color="auto"/>
                <w:bottom w:val="none" w:sz="0" w:space="0" w:color="auto"/>
                <w:right w:val="none" w:sz="0" w:space="0" w:color="auto"/>
              </w:divBdr>
            </w:div>
            <w:div w:id="1662806539">
              <w:marLeft w:val="0"/>
              <w:marRight w:val="0"/>
              <w:marTop w:val="0"/>
              <w:marBottom w:val="0"/>
              <w:divBdr>
                <w:top w:val="none" w:sz="0" w:space="0" w:color="auto"/>
                <w:left w:val="none" w:sz="0" w:space="0" w:color="auto"/>
                <w:bottom w:val="none" w:sz="0" w:space="0" w:color="auto"/>
                <w:right w:val="none" w:sz="0" w:space="0" w:color="auto"/>
              </w:divBdr>
            </w:div>
            <w:div w:id="169511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02531">
      <w:bodyDiv w:val="1"/>
      <w:marLeft w:val="0"/>
      <w:marRight w:val="0"/>
      <w:marTop w:val="0"/>
      <w:marBottom w:val="0"/>
      <w:divBdr>
        <w:top w:val="none" w:sz="0" w:space="0" w:color="auto"/>
        <w:left w:val="none" w:sz="0" w:space="0" w:color="auto"/>
        <w:bottom w:val="none" w:sz="0" w:space="0" w:color="auto"/>
        <w:right w:val="none" w:sz="0" w:space="0" w:color="auto"/>
      </w:divBdr>
      <w:divsChild>
        <w:div w:id="136456101">
          <w:marLeft w:val="0"/>
          <w:marRight w:val="0"/>
          <w:marTop w:val="0"/>
          <w:marBottom w:val="0"/>
          <w:divBdr>
            <w:top w:val="none" w:sz="0" w:space="0" w:color="auto"/>
            <w:left w:val="none" w:sz="0" w:space="0" w:color="auto"/>
            <w:bottom w:val="none" w:sz="0" w:space="0" w:color="auto"/>
            <w:right w:val="none" w:sz="0" w:space="0" w:color="auto"/>
          </w:divBdr>
        </w:div>
        <w:div w:id="143939563">
          <w:marLeft w:val="0"/>
          <w:marRight w:val="0"/>
          <w:marTop w:val="0"/>
          <w:marBottom w:val="0"/>
          <w:divBdr>
            <w:top w:val="none" w:sz="0" w:space="0" w:color="auto"/>
            <w:left w:val="none" w:sz="0" w:space="0" w:color="auto"/>
            <w:bottom w:val="none" w:sz="0" w:space="0" w:color="auto"/>
            <w:right w:val="none" w:sz="0" w:space="0" w:color="auto"/>
          </w:divBdr>
        </w:div>
        <w:div w:id="305361566">
          <w:marLeft w:val="0"/>
          <w:marRight w:val="0"/>
          <w:marTop w:val="0"/>
          <w:marBottom w:val="0"/>
          <w:divBdr>
            <w:top w:val="none" w:sz="0" w:space="0" w:color="auto"/>
            <w:left w:val="none" w:sz="0" w:space="0" w:color="auto"/>
            <w:bottom w:val="none" w:sz="0" w:space="0" w:color="auto"/>
            <w:right w:val="none" w:sz="0" w:space="0" w:color="auto"/>
          </w:divBdr>
        </w:div>
        <w:div w:id="805440503">
          <w:marLeft w:val="0"/>
          <w:marRight w:val="0"/>
          <w:marTop w:val="0"/>
          <w:marBottom w:val="0"/>
          <w:divBdr>
            <w:top w:val="none" w:sz="0" w:space="0" w:color="auto"/>
            <w:left w:val="none" w:sz="0" w:space="0" w:color="auto"/>
            <w:bottom w:val="none" w:sz="0" w:space="0" w:color="auto"/>
            <w:right w:val="none" w:sz="0" w:space="0" w:color="auto"/>
          </w:divBdr>
        </w:div>
        <w:div w:id="1112944044">
          <w:marLeft w:val="0"/>
          <w:marRight w:val="0"/>
          <w:marTop w:val="0"/>
          <w:marBottom w:val="0"/>
          <w:divBdr>
            <w:top w:val="none" w:sz="0" w:space="0" w:color="auto"/>
            <w:left w:val="none" w:sz="0" w:space="0" w:color="auto"/>
            <w:bottom w:val="none" w:sz="0" w:space="0" w:color="auto"/>
            <w:right w:val="none" w:sz="0" w:space="0" w:color="auto"/>
          </w:divBdr>
        </w:div>
        <w:div w:id="1625573085">
          <w:marLeft w:val="0"/>
          <w:marRight w:val="0"/>
          <w:marTop w:val="0"/>
          <w:marBottom w:val="0"/>
          <w:divBdr>
            <w:top w:val="none" w:sz="0" w:space="0" w:color="auto"/>
            <w:left w:val="none" w:sz="0" w:space="0" w:color="auto"/>
            <w:bottom w:val="none" w:sz="0" w:space="0" w:color="auto"/>
            <w:right w:val="none" w:sz="0" w:space="0" w:color="auto"/>
          </w:divBdr>
        </w:div>
        <w:div w:id="1664121664">
          <w:marLeft w:val="0"/>
          <w:marRight w:val="0"/>
          <w:marTop w:val="0"/>
          <w:marBottom w:val="0"/>
          <w:divBdr>
            <w:top w:val="none" w:sz="0" w:space="0" w:color="auto"/>
            <w:left w:val="none" w:sz="0" w:space="0" w:color="auto"/>
            <w:bottom w:val="none" w:sz="0" w:space="0" w:color="auto"/>
            <w:right w:val="none" w:sz="0" w:space="0" w:color="auto"/>
          </w:divBdr>
        </w:div>
        <w:div w:id="1804495945">
          <w:marLeft w:val="0"/>
          <w:marRight w:val="0"/>
          <w:marTop w:val="0"/>
          <w:marBottom w:val="0"/>
          <w:divBdr>
            <w:top w:val="none" w:sz="0" w:space="0" w:color="auto"/>
            <w:left w:val="none" w:sz="0" w:space="0" w:color="auto"/>
            <w:bottom w:val="none" w:sz="0" w:space="0" w:color="auto"/>
            <w:right w:val="none" w:sz="0" w:space="0" w:color="auto"/>
          </w:divBdr>
        </w:div>
      </w:divsChild>
    </w:div>
    <w:div w:id="777262109">
      <w:bodyDiv w:val="1"/>
      <w:marLeft w:val="0"/>
      <w:marRight w:val="0"/>
      <w:marTop w:val="0"/>
      <w:marBottom w:val="0"/>
      <w:divBdr>
        <w:top w:val="none" w:sz="0" w:space="0" w:color="auto"/>
        <w:left w:val="none" w:sz="0" w:space="0" w:color="auto"/>
        <w:bottom w:val="none" w:sz="0" w:space="0" w:color="auto"/>
        <w:right w:val="none" w:sz="0" w:space="0" w:color="auto"/>
      </w:divBdr>
      <w:divsChild>
        <w:div w:id="138618934">
          <w:marLeft w:val="0"/>
          <w:marRight w:val="0"/>
          <w:marTop w:val="0"/>
          <w:marBottom w:val="0"/>
          <w:divBdr>
            <w:top w:val="none" w:sz="0" w:space="0" w:color="auto"/>
            <w:left w:val="none" w:sz="0" w:space="0" w:color="auto"/>
            <w:bottom w:val="none" w:sz="0" w:space="0" w:color="auto"/>
            <w:right w:val="none" w:sz="0" w:space="0" w:color="auto"/>
          </w:divBdr>
        </w:div>
        <w:div w:id="446966636">
          <w:marLeft w:val="0"/>
          <w:marRight w:val="0"/>
          <w:marTop w:val="0"/>
          <w:marBottom w:val="0"/>
          <w:divBdr>
            <w:top w:val="none" w:sz="0" w:space="0" w:color="auto"/>
            <w:left w:val="none" w:sz="0" w:space="0" w:color="auto"/>
            <w:bottom w:val="none" w:sz="0" w:space="0" w:color="auto"/>
            <w:right w:val="none" w:sz="0" w:space="0" w:color="auto"/>
          </w:divBdr>
        </w:div>
        <w:div w:id="593248669">
          <w:marLeft w:val="0"/>
          <w:marRight w:val="0"/>
          <w:marTop w:val="0"/>
          <w:marBottom w:val="0"/>
          <w:divBdr>
            <w:top w:val="none" w:sz="0" w:space="0" w:color="auto"/>
            <w:left w:val="none" w:sz="0" w:space="0" w:color="auto"/>
            <w:bottom w:val="none" w:sz="0" w:space="0" w:color="auto"/>
            <w:right w:val="none" w:sz="0" w:space="0" w:color="auto"/>
          </w:divBdr>
        </w:div>
        <w:div w:id="681862742">
          <w:marLeft w:val="0"/>
          <w:marRight w:val="0"/>
          <w:marTop w:val="0"/>
          <w:marBottom w:val="0"/>
          <w:divBdr>
            <w:top w:val="none" w:sz="0" w:space="0" w:color="auto"/>
            <w:left w:val="none" w:sz="0" w:space="0" w:color="auto"/>
            <w:bottom w:val="none" w:sz="0" w:space="0" w:color="auto"/>
            <w:right w:val="none" w:sz="0" w:space="0" w:color="auto"/>
          </w:divBdr>
        </w:div>
        <w:div w:id="749230615">
          <w:marLeft w:val="0"/>
          <w:marRight w:val="0"/>
          <w:marTop w:val="0"/>
          <w:marBottom w:val="0"/>
          <w:divBdr>
            <w:top w:val="none" w:sz="0" w:space="0" w:color="auto"/>
            <w:left w:val="none" w:sz="0" w:space="0" w:color="auto"/>
            <w:bottom w:val="none" w:sz="0" w:space="0" w:color="auto"/>
            <w:right w:val="none" w:sz="0" w:space="0" w:color="auto"/>
          </w:divBdr>
        </w:div>
        <w:div w:id="934097443">
          <w:marLeft w:val="0"/>
          <w:marRight w:val="0"/>
          <w:marTop w:val="0"/>
          <w:marBottom w:val="0"/>
          <w:divBdr>
            <w:top w:val="none" w:sz="0" w:space="0" w:color="auto"/>
            <w:left w:val="none" w:sz="0" w:space="0" w:color="auto"/>
            <w:bottom w:val="none" w:sz="0" w:space="0" w:color="auto"/>
            <w:right w:val="none" w:sz="0" w:space="0" w:color="auto"/>
          </w:divBdr>
        </w:div>
        <w:div w:id="1087579621">
          <w:marLeft w:val="0"/>
          <w:marRight w:val="0"/>
          <w:marTop w:val="0"/>
          <w:marBottom w:val="0"/>
          <w:divBdr>
            <w:top w:val="none" w:sz="0" w:space="0" w:color="auto"/>
            <w:left w:val="none" w:sz="0" w:space="0" w:color="auto"/>
            <w:bottom w:val="none" w:sz="0" w:space="0" w:color="auto"/>
            <w:right w:val="none" w:sz="0" w:space="0" w:color="auto"/>
          </w:divBdr>
        </w:div>
        <w:div w:id="1220483452">
          <w:marLeft w:val="0"/>
          <w:marRight w:val="0"/>
          <w:marTop w:val="0"/>
          <w:marBottom w:val="0"/>
          <w:divBdr>
            <w:top w:val="none" w:sz="0" w:space="0" w:color="auto"/>
            <w:left w:val="none" w:sz="0" w:space="0" w:color="auto"/>
            <w:bottom w:val="none" w:sz="0" w:space="0" w:color="auto"/>
            <w:right w:val="none" w:sz="0" w:space="0" w:color="auto"/>
          </w:divBdr>
        </w:div>
        <w:div w:id="1294678890">
          <w:marLeft w:val="0"/>
          <w:marRight w:val="0"/>
          <w:marTop w:val="0"/>
          <w:marBottom w:val="0"/>
          <w:divBdr>
            <w:top w:val="none" w:sz="0" w:space="0" w:color="auto"/>
            <w:left w:val="none" w:sz="0" w:space="0" w:color="auto"/>
            <w:bottom w:val="none" w:sz="0" w:space="0" w:color="auto"/>
            <w:right w:val="none" w:sz="0" w:space="0" w:color="auto"/>
          </w:divBdr>
        </w:div>
        <w:div w:id="1525706960">
          <w:marLeft w:val="0"/>
          <w:marRight w:val="0"/>
          <w:marTop w:val="0"/>
          <w:marBottom w:val="0"/>
          <w:divBdr>
            <w:top w:val="none" w:sz="0" w:space="0" w:color="auto"/>
            <w:left w:val="none" w:sz="0" w:space="0" w:color="auto"/>
            <w:bottom w:val="none" w:sz="0" w:space="0" w:color="auto"/>
            <w:right w:val="none" w:sz="0" w:space="0" w:color="auto"/>
          </w:divBdr>
        </w:div>
        <w:div w:id="1738241437">
          <w:marLeft w:val="0"/>
          <w:marRight w:val="0"/>
          <w:marTop w:val="0"/>
          <w:marBottom w:val="0"/>
          <w:divBdr>
            <w:top w:val="none" w:sz="0" w:space="0" w:color="auto"/>
            <w:left w:val="none" w:sz="0" w:space="0" w:color="auto"/>
            <w:bottom w:val="none" w:sz="0" w:space="0" w:color="auto"/>
            <w:right w:val="none" w:sz="0" w:space="0" w:color="auto"/>
          </w:divBdr>
        </w:div>
        <w:div w:id="2116902969">
          <w:marLeft w:val="0"/>
          <w:marRight w:val="0"/>
          <w:marTop w:val="0"/>
          <w:marBottom w:val="0"/>
          <w:divBdr>
            <w:top w:val="none" w:sz="0" w:space="0" w:color="auto"/>
            <w:left w:val="none" w:sz="0" w:space="0" w:color="auto"/>
            <w:bottom w:val="none" w:sz="0" w:space="0" w:color="auto"/>
            <w:right w:val="none" w:sz="0" w:space="0" w:color="auto"/>
          </w:divBdr>
        </w:div>
      </w:divsChild>
    </w:div>
    <w:div w:id="844436697">
      <w:bodyDiv w:val="1"/>
      <w:marLeft w:val="0"/>
      <w:marRight w:val="0"/>
      <w:marTop w:val="0"/>
      <w:marBottom w:val="0"/>
      <w:divBdr>
        <w:top w:val="none" w:sz="0" w:space="0" w:color="auto"/>
        <w:left w:val="none" w:sz="0" w:space="0" w:color="auto"/>
        <w:bottom w:val="none" w:sz="0" w:space="0" w:color="auto"/>
        <w:right w:val="none" w:sz="0" w:space="0" w:color="auto"/>
      </w:divBdr>
    </w:div>
    <w:div w:id="872884480">
      <w:bodyDiv w:val="1"/>
      <w:marLeft w:val="0"/>
      <w:marRight w:val="0"/>
      <w:marTop w:val="0"/>
      <w:marBottom w:val="0"/>
      <w:divBdr>
        <w:top w:val="none" w:sz="0" w:space="0" w:color="auto"/>
        <w:left w:val="none" w:sz="0" w:space="0" w:color="auto"/>
        <w:bottom w:val="none" w:sz="0" w:space="0" w:color="auto"/>
        <w:right w:val="none" w:sz="0" w:space="0" w:color="auto"/>
      </w:divBdr>
      <w:divsChild>
        <w:div w:id="312563262">
          <w:marLeft w:val="0"/>
          <w:marRight w:val="0"/>
          <w:marTop w:val="0"/>
          <w:marBottom w:val="0"/>
          <w:divBdr>
            <w:top w:val="none" w:sz="0" w:space="0" w:color="auto"/>
            <w:left w:val="none" w:sz="0" w:space="0" w:color="auto"/>
            <w:bottom w:val="none" w:sz="0" w:space="0" w:color="auto"/>
            <w:right w:val="none" w:sz="0" w:space="0" w:color="auto"/>
          </w:divBdr>
        </w:div>
        <w:div w:id="757560135">
          <w:marLeft w:val="0"/>
          <w:marRight w:val="0"/>
          <w:marTop w:val="0"/>
          <w:marBottom w:val="0"/>
          <w:divBdr>
            <w:top w:val="none" w:sz="0" w:space="0" w:color="auto"/>
            <w:left w:val="none" w:sz="0" w:space="0" w:color="auto"/>
            <w:bottom w:val="none" w:sz="0" w:space="0" w:color="auto"/>
            <w:right w:val="none" w:sz="0" w:space="0" w:color="auto"/>
          </w:divBdr>
        </w:div>
      </w:divsChild>
    </w:div>
    <w:div w:id="878931481">
      <w:bodyDiv w:val="1"/>
      <w:marLeft w:val="0"/>
      <w:marRight w:val="0"/>
      <w:marTop w:val="0"/>
      <w:marBottom w:val="0"/>
      <w:divBdr>
        <w:top w:val="none" w:sz="0" w:space="0" w:color="auto"/>
        <w:left w:val="none" w:sz="0" w:space="0" w:color="auto"/>
        <w:bottom w:val="none" w:sz="0" w:space="0" w:color="auto"/>
        <w:right w:val="none" w:sz="0" w:space="0" w:color="auto"/>
      </w:divBdr>
    </w:div>
    <w:div w:id="988097282">
      <w:bodyDiv w:val="1"/>
      <w:marLeft w:val="0"/>
      <w:marRight w:val="0"/>
      <w:marTop w:val="0"/>
      <w:marBottom w:val="0"/>
      <w:divBdr>
        <w:top w:val="none" w:sz="0" w:space="0" w:color="auto"/>
        <w:left w:val="none" w:sz="0" w:space="0" w:color="auto"/>
        <w:bottom w:val="none" w:sz="0" w:space="0" w:color="auto"/>
        <w:right w:val="none" w:sz="0" w:space="0" w:color="auto"/>
      </w:divBdr>
      <w:divsChild>
        <w:div w:id="538903902">
          <w:marLeft w:val="0"/>
          <w:marRight w:val="0"/>
          <w:marTop w:val="0"/>
          <w:marBottom w:val="0"/>
          <w:divBdr>
            <w:top w:val="none" w:sz="0" w:space="0" w:color="auto"/>
            <w:left w:val="none" w:sz="0" w:space="0" w:color="auto"/>
            <w:bottom w:val="none" w:sz="0" w:space="0" w:color="auto"/>
            <w:right w:val="none" w:sz="0" w:space="0" w:color="auto"/>
          </w:divBdr>
        </w:div>
        <w:div w:id="1113986867">
          <w:marLeft w:val="0"/>
          <w:marRight w:val="0"/>
          <w:marTop w:val="0"/>
          <w:marBottom w:val="0"/>
          <w:divBdr>
            <w:top w:val="none" w:sz="0" w:space="0" w:color="auto"/>
            <w:left w:val="none" w:sz="0" w:space="0" w:color="auto"/>
            <w:bottom w:val="none" w:sz="0" w:space="0" w:color="auto"/>
            <w:right w:val="none" w:sz="0" w:space="0" w:color="auto"/>
          </w:divBdr>
        </w:div>
        <w:div w:id="1626689891">
          <w:marLeft w:val="0"/>
          <w:marRight w:val="0"/>
          <w:marTop w:val="0"/>
          <w:marBottom w:val="0"/>
          <w:divBdr>
            <w:top w:val="none" w:sz="0" w:space="0" w:color="auto"/>
            <w:left w:val="none" w:sz="0" w:space="0" w:color="auto"/>
            <w:bottom w:val="none" w:sz="0" w:space="0" w:color="auto"/>
            <w:right w:val="none" w:sz="0" w:space="0" w:color="auto"/>
          </w:divBdr>
        </w:div>
        <w:div w:id="1930119571">
          <w:marLeft w:val="0"/>
          <w:marRight w:val="0"/>
          <w:marTop w:val="0"/>
          <w:marBottom w:val="0"/>
          <w:divBdr>
            <w:top w:val="none" w:sz="0" w:space="0" w:color="auto"/>
            <w:left w:val="none" w:sz="0" w:space="0" w:color="auto"/>
            <w:bottom w:val="none" w:sz="0" w:space="0" w:color="auto"/>
            <w:right w:val="none" w:sz="0" w:space="0" w:color="auto"/>
          </w:divBdr>
        </w:div>
      </w:divsChild>
    </w:div>
    <w:div w:id="1032538156">
      <w:bodyDiv w:val="1"/>
      <w:marLeft w:val="0"/>
      <w:marRight w:val="0"/>
      <w:marTop w:val="0"/>
      <w:marBottom w:val="0"/>
      <w:divBdr>
        <w:top w:val="none" w:sz="0" w:space="0" w:color="auto"/>
        <w:left w:val="none" w:sz="0" w:space="0" w:color="auto"/>
        <w:bottom w:val="none" w:sz="0" w:space="0" w:color="auto"/>
        <w:right w:val="none" w:sz="0" w:space="0" w:color="auto"/>
      </w:divBdr>
    </w:div>
    <w:div w:id="1033118484">
      <w:bodyDiv w:val="1"/>
      <w:marLeft w:val="0"/>
      <w:marRight w:val="0"/>
      <w:marTop w:val="0"/>
      <w:marBottom w:val="0"/>
      <w:divBdr>
        <w:top w:val="none" w:sz="0" w:space="0" w:color="auto"/>
        <w:left w:val="none" w:sz="0" w:space="0" w:color="auto"/>
        <w:bottom w:val="none" w:sz="0" w:space="0" w:color="auto"/>
        <w:right w:val="none" w:sz="0" w:space="0" w:color="auto"/>
      </w:divBdr>
      <w:divsChild>
        <w:div w:id="13042775">
          <w:marLeft w:val="0"/>
          <w:marRight w:val="0"/>
          <w:marTop w:val="0"/>
          <w:marBottom w:val="0"/>
          <w:divBdr>
            <w:top w:val="none" w:sz="0" w:space="0" w:color="auto"/>
            <w:left w:val="none" w:sz="0" w:space="0" w:color="auto"/>
            <w:bottom w:val="none" w:sz="0" w:space="0" w:color="auto"/>
            <w:right w:val="none" w:sz="0" w:space="0" w:color="auto"/>
          </w:divBdr>
        </w:div>
        <w:div w:id="1088425981">
          <w:marLeft w:val="0"/>
          <w:marRight w:val="0"/>
          <w:marTop w:val="0"/>
          <w:marBottom w:val="0"/>
          <w:divBdr>
            <w:top w:val="none" w:sz="0" w:space="0" w:color="auto"/>
            <w:left w:val="none" w:sz="0" w:space="0" w:color="auto"/>
            <w:bottom w:val="none" w:sz="0" w:space="0" w:color="auto"/>
            <w:right w:val="none" w:sz="0" w:space="0" w:color="auto"/>
          </w:divBdr>
        </w:div>
        <w:div w:id="1590772782">
          <w:marLeft w:val="0"/>
          <w:marRight w:val="0"/>
          <w:marTop w:val="0"/>
          <w:marBottom w:val="0"/>
          <w:divBdr>
            <w:top w:val="none" w:sz="0" w:space="0" w:color="auto"/>
            <w:left w:val="none" w:sz="0" w:space="0" w:color="auto"/>
            <w:bottom w:val="none" w:sz="0" w:space="0" w:color="auto"/>
            <w:right w:val="none" w:sz="0" w:space="0" w:color="auto"/>
          </w:divBdr>
        </w:div>
        <w:div w:id="2062512951">
          <w:marLeft w:val="0"/>
          <w:marRight w:val="0"/>
          <w:marTop w:val="0"/>
          <w:marBottom w:val="0"/>
          <w:divBdr>
            <w:top w:val="none" w:sz="0" w:space="0" w:color="auto"/>
            <w:left w:val="none" w:sz="0" w:space="0" w:color="auto"/>
            <w:bottom w:val="none" w:sz="0" w:space="0" w:color="auto"/>
            <w:right w:val="none" w:sz="0" w:space="0" w:color="auto"/>
          </w:divBdr>
        </w:div>
      </w:divsChild>
    </w:div>
    <w:div w:id="1038119467">
      <w:bodyDiv w:val="1"/>
      <w:marLeft w:val="0"/>
      <w:marRight w:val="0"/>
      <w:marTop w:val="0"/>
      <w:marBottom w:val="0"/>
      <w:divBdr>
        <w:top w:val="none" w:sz="0" w:space="0" w:color="auto"/>
        <w:left w:val="none" w:sz="0" w:space="0" w:color="auto"/>
        <w:bottom w:val="none" w:sz="0" w:space="0" w:color="auto"/>
        <w:right w:val="none" w:sz="0" w:space="0" w:color="auto"/>
      </w:divBdr>
      <w:divsChild>
        <w:div w:id="232860023">
          <w:marLeft w:val="0"/>
          <w:marRight w:val="0"/>
          <w:marTop w:val="0"/>
          <w:marBottom w:val="0"/>
          <w:divBdr>
            <w:top w:val="none" w:sz="0" w:space="0" w:color="auto"/>
            <w:left w:val="none" w:sz="0" w:space="0" w:color="auto"/>
            <w:bottom w:val="none" w:sz="0" w:space="0" w:color="auto"/>
            <w:right w:val="none" w:sz="0" w:space="0" w:color="auto"/>
          </w:divBdr>
        </w:div>
        <w:div w:id="291323226">
          <w:marLeft w:val="0"/>
          <w:marRight w:val="0"/>
          <w:marTop w:val="0"/>
          <w:marBottom w:val="0"/>
          <w:divBdr>
            <w:top w:val="none" w:sz="0" w:space="0" w:color="auto"/>
            <w:left w:val="none" w:sz="0" w:space="0" w:color="auto"/>
            <w:bottom w:val="none" w:sz="0" w:space="0" w:color="auto"/>
            <w:right w:val="none" w:sz="0" w:space="0" w:color="auto"/>
          </w:divBdr>
        </w:div>
        <w:div w:id="383910255">
          <w:marLeft w:val="0"/>
          <w:marRight w:val="0"/>
          <w:marTop w:val="0"/>
          <w:marBottom w:val="0"/>
          <w:divBdr>
            <w:top w:val="none" w:sz="0" w:space="0" w:color="auto"/>
            <w:left w:val="none" w:sz="0" w:space="0" w:color="auto"/>
            <w:bottom w:val="none" w:sz="0" w:space="0" w:color="auto"/>
            <w:right w:val="none" w:sz="0" w:space="0" w:color="auto"/>
          </w:divBdr>
        </w:div>
        <w:div w:id="460925674">
          <w:marLeft w:val="0"/>
          <w:marRight w:val="0"/>
          <w:marTop w:val="0"/>
          <w:marBottom w:val="0"/>
          <w:divBdr>
            <w:top w:val="none" w:sz="0" w:space="0" w:color="auto"/>
            <w:left w:val="none" w:sz="0" w:space="0" w:color="auto"/>
            <w:bottom w:val="none" w:sz="0" w:space="0" w:color="auto"/>
            <w:right w:val="none" w:sz="0" w:space="0" w:color="auto"/>
          </w:divBdr>
        </w:div>
        <w:div w:id="576403707">
          <w:marLeft w:val="0"/>
          <w:marRight w:val="0"/>
          <w:marTop w:val="0"/>
          <w:marBottom w:val="0"/>
          <w:divBdr>
            <w:top w:val="none" w:sz="0" w:space="0" w:color="auto"/>
            <w:left w:val="none" w:sz="0" w:space="0" w:color="auto"/>
            <w:bottom w:val="none" w:sz="0" w:space="0" w:color="auto"/>
            <w:right w:val="none" w:sz="0" w:space="0" w:color="auto"/>
          </w:divBdr>
        </w:div>
        <w:div w:id="1013873154">
          <w:marLeft w:val="0"/>
          <w:marRight w:val="0"/>
          <w:marTop w:val="0"/>
          <w:marBottom w:val="0"/>
          <w:divBdr>
            <w:top w:val="none" w:sz="0" w:space="0" w:color="auto"/>
            <w:left w:val="none" w:sz="0" w:space="0" w:color="auto"/>
            <w:bottom w:val="none" w:sz="0" w:space="0" w:color="auto"/>
            <w:right w:val="none" w:sz="0" w:space="0" w:color="auto"/>
          </w:divBdr>
        </w:div>
        <w:div w:id="1082218061">
          <w:marLeft w:val="0"/>
          <w:marRight w:val="0"/>
          <w:marTop w:val="0"/>
          <w:marBottom w:val="0"/>
          <w:divBdr>
            <w:top w:val="none" w:sz="0" w:space="0" w:color="auto"/>
            <w:left w:val="none" w:sz="0" w:space="0" w:color="auto"/>
            <w:bottom w:val="none" w:sz="0" w:space="0" w:color="auto"/>
            <w:right w:val="none" w:sz="0" w:space="0" w:color="auto"/>
          </w:divBdr>
        </w:div>
        <w:div w:id="1220291013">
          <w:marLeft w:val="0"/>
          <w:marRight w:val="0"/>
          <w:marTop w:val="0"/>
          <w:marBottom w:val="0"/>
          <w:divBdr>
            <w:top w:val="none" w:sz="0" w:space="0" w:color="auto"/>
            <w:left w:val="none" w:sz="0" w:space="0" w:color="auto"/>
            <w:bottom w:val="none" w:sz="0" w:space="0" w:color="auto"/>
            <w:right w:val="none" w:sz="0" w:space="0" w:color="auto"/>
          </w:divBdr>
        </w:div>
        <w:div w:id="1532256353">
          <w:marLeft w:val="0"/>
          <w:marRight w:val="0"/>
          <w:marTop w:val="0"/>
          <w:marBottom w:val="0"/>
          <w:divBdr>
            <w:top w:val="none" w:sz="0" w:space="0" w:color="auto"/>
            <w:left w:val="none" w:sz="0" w:space="0" w:color="auto"/>
            <w:bottom w:val="none" w:sz="0" w:space="0" w:color="auto"/>
            <w:right w:val="none" w:sz="0" w:space="0" w:color="auto"/>
          </w:divBdr>
        </w:div>
        <w:div w:id="1568301674">
          <w:marLeft w:val="0"/>
          <w:marRight w:val="0"/>
          <w:marTop w:val="0"/>
          <w:marBottom w:val="0"/>
          <w:divBdr>
            <w:top w:val="none" w:sz="0" w:space="0" w:color="auto"/>
            <w:left w:val="none" w:sz="0" w:space="0" w:color="auto"/>
            <w:bottom w:val="none" w:sz="0" w:space="0" w:color="auto"/>
            <w:right w:val="none" w:sz="0" w:space="0" w:color="auto"/>
          </w:divBdr>
        </w:div>
        <w:div w:id="1578782559">
          <w:marLeft w:val="0"/>
          <w:marRight w:val="0"/>
          <w:marTop w:val="0"/>
          <w:marBottom w:val="0"/>
          <w:divBdr>
            <w:top w:val="none" w:sz="0" w:space="0" w:color="auto"/>
            <w:left w:val="none" w:sz="0" w:space="0" w:color="auto"/>
            <w:bottom w:val="none" w:sz="0" w:space="0" w:color="auto"/>
            <w:right w:val="none" w:sz="0" w:space="0" w:color="auto"/>
          </w:divBdr>
        </w:div>
        <w:div w:id="1904875852">
          <w:marLeft w:val="0"/>
          <w:marRight w:val="0"/>
          <w:marTop w:val="0"/>
          <w:marBottom w:val="0"/>
          <w:divBdr>
            <w:top w:val="none" w:sz="0" w:space="0" w:color="auto"/>
            <w:left w:val="none" w:sz="0" w:space="0" w:color="auto"/>
            <w:bottom w:val="none" w:sz="0" w:space="0" w:color="auto"/>
            <w:right w:val="none" w:sz="0" w:space="0" w:color="auto"/>
          </w:divBdr>
        </w:div>
        <w:div w:id="1965117171">
          <w:marLeft w:val="0"/>
          <w:marRight w:val="0"/>
          <w:marTop w:val="0"/>
          <w:marBottom w:val="0"/>
          <w:divBdr>
            <w:top w:val="none" w:sz="0" w:space="0" w:color="auto"/>
            <w:left w:val="none" w:sz="0" w:space="0" w:color="auto"/>
            <w:bottom w:val="none" w:sz="0" w:space="0" w:color="auto"/>
            <w:right w:val="none" w:sz="0" w:space="0" w:color="auto"/>
          </w:divBdr>
        </w:div>
        <w:div w:id="2077781311">
          <w:marLeft w:val="0"/>
          <w:marRight w:val="0"/>
          <w:marTop w:val="0"/>
          <w:marBottom w:val="0"/>
          <w:divBdr>
            <w:top w:val="none" w:sz="0" w:space="0" w:color="auto"/>
            <w:left w:val="none" w:sz="0" w:space="0" w:color="auto"/>
            <w:bottom w:val="none" w:sz="0" w:space="0" w:color="auto"/>
            <w:right w:val="none" w:sz="0" w:space="0" w:color="auto"/>
          </w:divBdr>
        </w:div>
        <w:div w:id="2086998490">
          <w:marLeft w:val="0"/>
          <w:marRight w:val="0"/>
          <w:marTop w:val="0"/>
          <w:marBottom w:val="0"/>
          <w:divBdr>
            <w:top w:val="none" w:sz="0" w:space="0" w:color="auto"/>
            <w:left w:val="none" w:sz="0" w:space="0" w:color="auto"/>
            <w:bottom w:val="none" w:sz="0" w:space="0" w:color="auto"/>
            <w:right w:val="none" w:sz="0" w:space="0" w:color="auto"/>
          </w:divBdr>
        </w:div>
        <w:div w:id="2128422869">
          <w:marLeft w:val="0"/>
          <w:marRight w:val="0"/>
          <w:marTop w:val="0"/>
          <w:marBottom w:val="0"/>
          <w:divBdr>
            <w:top w:val="none" w:sz="0" w:space="0" w:color="auto"/>
            <w:left w:val="none" w:sz="0" w:space="0" w:color="auto"/>
            <w:bottom w:val="none" w:sz="0" w:space="0" w:color="auto"/>
            <w:right w:val="none" w:sz="0" w:space="0" w:color="auto"/>
          </w:divBdr>
        </w:div>
      </w:divsChild>
    </w:div>
    <w:div w:id="1077479412">
      <w:bodyDiv w:val="1"/>
      <w:marLeft w:val="0"/>
      <w:marRight w:val="0"/>
      <w:marTop w:val="0"/>
      <w:marBottom w:val="0"/>
      <w:divBdr>
        <w:top w:val="none" w:sz="0" w:space="0" w:color="auto"/>
        <w:left w:val="none" w:sz="0" w:space="0" w:color="auto"/>
        <w:bottom w:val="none" w:sz="0" w:space="0" w:color="auto"/>
        <w:right w:val="none" w:sz="0" w:space="0" w:color="auto"/>
      </w:divBdr>
      <w:divsChild>
        <w:div w:id="617417006">
          <w:marLeft w:val="0"/>
          <w:marRight w:val="0"/>
          <w:marTop w:val="0"/>
          <w:marBottom w:val="0"/>
          <w:divBdr>
            <w:top w:val="none" w:sz="0" w:space="0" w:color="auto"/>
            <w:left w:val="none" w:sz="0" w:space="0" w:color="auto"/>
            <w:bottom w:val="none" w:sz="0" w:space="0" w:color="auto"/>
            <w:right w:val="none" w:sz="0" w:space="0" w:color="auto"/>
          </w:divBdr>
        </w:div>
        <w:div w:id="1251236295">
          <w:marLeft w:val="0"/>
          <w:marRight w:val="0"/>
          <w:marTop w:val="0"/>
          <w:marBottom w:val="0"/>
          <w:divBdr>
            <w:top w:val="none" w:sz="0" w:space="0" w:color="auto"/>
            <w:left w:val="none" w:sz="0" w:space="0" w:color="auto"/>
            <w:bottom w:val="none" w:sz="0" w:space="0" w:color="auto"/>
            <w:right w:val="none" w:sz="0" w:space="0" w:color="auto"/>
          </w:divBdr>
        </w:div>
      </w:divsChild>
    </w:div>
    <w:div w:id="1241331547">
      <w:bodyDiv w:val="1"/>
      <w:marLeft w:val="0"/>
      <w:marRight w:val="0"/>
      <w:marTop w:val="0"/>
      <w:marBottom w:val="0"/>
      <w:divBdr>
        <w:top w:val="none" w:sz="0" w:space="0" w:color="auto"/>
        <w:left w:val="none" w:sz="0" w:space="0" w:color="auto"/>
        <w:bottom w:val="none" w:sz="0" w:space="0" w:color="auto"/>
        <w:right w:val="none" w:sz="0" w:space="0" w:color="auto"/>
      </w:divBdr>
      <w:divsChild>
        <w:div w:id="374815546">
          <w:marLeft w:val="0"/>
          <w:marRight w:val="0"/>
          <w:marTop w:val="0"/>
          <w:marBottom w:val="0"/>
          <w:divBdr>
            <w:top w:val="none" w:sz="0" w:space="0" w:color="auto"/>
            <w:left w:val="none" w:sz="0" w:space="0" w:color="auto"/>
            <w:bottom w:val="none" w:sz="0" w:space="0" w:color="auto"/>
            <w:right w:val="none" w:sz="0" w:space="0" w:color="auto"/>
          </w:divBdr>
        </w:div>
        <w:div w:id="1563248659">
          <w:marLeft w:val="0"/>
          <w:marRight w:val="0"/>
          <w:marTop w:val="0"/>
          <w:marBottom w:val="0"/>
          <w:divBdr>
            <w:top w:val="none" w:sz="0" w:space="0" w:color="auto"/>
            <w:left w:val="none" w:sz="0" w:space="0" w:color="auto"/>
            <w:bottom w:val="none" w:sz="0" w:space="0" w:color="auto"/>
            <w:right w:val="none" w:sz="0" w:space="0" w:color="auto"/>
          </w:divBdr>
        </w:div>
      </w:divsChild>
    </w:div>
    <w:div w:id="1279140246">
      <w:bodyDiv w:val="1"/>
      <w:marLeft w:val="0"/>
      <w:marRight w:val="0"/>
      <w:marTop w:val="0"/>
      <w:marBottom w:val="0"/>
      <w:divBdr>
        <w:top w:val="none" w:sz="0" w:space="0" w:color="auto"/>
        <w:left w:val="none" w:sz="0" w:space="0" w:color="auto"/>
        <w:bottom w:val="none" w:sz="0" w:space="0" w:color="auto"/>
        <w:right w:val="none" w:sz="0" w:space="0" w:color="auto"/>
      </w:divBdr>
    </w:div>
    <w:div w:id="1308978111">
      <w:bodyDiv w:val="1"/>
      <w:marLeft w:val="0"/>
      <w:marRight w:val="0"/>
      <w:marTop w:val="0"/>
      <w:marBottom w:val="0"/>
      <w:divBdr>
        <w:top w:val="none" w:sz="0" w:space="0" w:color="auto"/>
        <w:left w:val="none" w:sz="0" w:space="0" w:color="auto"/>
        <w:bottom w:val="none" w:sz="0" w:space="0" w:color="auto"/>
        <w:right w:val="none" w:sz="0" w:space="0" w:color="auto"/>
      </w:divBdr>
    </w:div>
    <w:div w:id="1526597461">
      <w:bodyDiv w:val="1"/>
      <w:marLeft w:val="0"/>
      <w:marRight w:val="0"/>
      <w:marTop w:val="0"/>
      <w:marBottom w:val="0"/>
      <w:divBdr>
        <w:top w:val="none" w:sz="0" w:space="0" w:color="auto"/>
        <w:left w:val="none" w:sz="0" w:space="0" w:color="auto"/>
        <w:bottom w:val="none" w:sz="0" w:space="0" w:color="auto"/>
        <w:right w:val="none" w:sz="0" w:space="0" w:color="auto"/>
      </w:divBdr>
      <w:divsChild>
        <w:div w:id="756512245">
          <w:marLeft w:val="0"/>
          <w:marRight w:val="0"/>
          <w:marTop w:val="0"/>
          <w:marBottom w:val="0"/>
          <w:divBdr>
            <w:top w:val="none" w:sz="0" w:space="0" w:color="auto"/>
            <w:left w:val="none" w:sz="0" w:space="0" w:color="auto"/>
            <w:bottom w:val="none" w:sz="0" w:space="0" w:color="auto"/>
            <w:right w:val="none" w:sz="0" w:space="0" w:color="auto"/>
          </w:divBdr>
          <w:divsChild>
            <w:div w:id="673342048">
              <w:marLeft w:val="0"/>
              <w:marRight w:val="0"/>
              <w:marTop w:val="0"/>
              <w:marBottom w:val="0"/>
              <w:divBdr>
                <w:top w:val="none" w:sz="0" w:space="0" w:color="auto"/>
                <w:left w:val="none" w:sz="0" w:space="0" w:color="auto"/>
                <w:bottom w:val="none" w:sz="0" w:space="0" w:color="auto"/>
                <w:right w:val="none" w:sz="0" w:space="0" w:color="auto"/>
              </w:divBdr>
            </w:div>
            <w:div w:id="741177591">
              <w:marLeft w:val="0"/>
              <w:marRight w:val="0"/>
              <w:marTop w:val="0"/>
              <w:marBottom w:val="0"/>
              <w:divBdr>
                <w:top w:val="none" w:sz="0" w:space="0" w:color="auto"/>
                <w:left w:val="none" w:sz="0" w:space="0" w:color="auto"/>
                <w:bottom w:val="none" w:sz="0" w:space="0" w:color="auto"/>
                <w:right w:val="none" w:sz="0" w:space="0" w:color="auto"/>
              </w:divBdr>
            </w:div>
            <w:div w:id="780345948">
              <w:marLeft w:val="0"/>
              <w:marRight w:val="0"/>
              <w:marTop w:val="0"/>
              <w:marBottom w:val="0"/>
              <w:divBdr>
                <w:top w:val="none" w:sz="0" w:space="0" w:color="auto"/>
                <w:left w:val="none" w:sz="0" w:space="0" w:color="auto"/>
                <w:bottom w:val="none" w:sz="0" w:space="0" w:color="auto"/>
                <w:right w:val="none" w:sz="0" w:space="0" w:color="auto"/>
              </w:divBdr>
            </w:div>
            <w:div w:id="1111049714">
              <w:marLeft w:val="0"/>
              <w:marRight w:val="0"/>
              <w:marTop w:val="0"/>
              <w:marBottom w:val="0"/>
              <w:divBdr>
                <w:top w:val="none" w:sz="0" w:space="0" w:color="auto"/>
                <w:left w:val="none" w:sz="0" w:space="0" w:color="auto"/>
                <w:bottom w:val="none" w:sz="0" w:space="0" w:color="auto"/>
                <w:right w:val="none" w:sz="0" w:space="0" w:color="auto"/>
              </w:divBdr>
            </w:div>
            <w:div w:id="1208487647">
              <w:marLeft w:val="0"/>
              <w:marRight w:val="0"/>
              <w:marTop w:val="0"/>
              <w:marBottom w:val="0"/>
              <w:divBdr>
                <w:top w:val="none" w:sz="0" w:space="0" w:color="auto"/>
                <w:left w:val="none" w:sz="0" w:space="0" w:color="auto"/>
                <w:bottom w:val="none" w:sz="0" w:space="0" w:color="auto"/>
                <w:right w:val="none" w:sz="0" w:space="0" w:color="auto"/>
              </w:divBdr>
            </w:div>
            <w:div w:id="1764372550">
              <w:marLeft w:val="0"/>
              <w:marRight w:val="0"/>
              <w:marTop w:val="0"/>
              <w:marBottom w:val="0"/>
              <w:divBdr>
                <w:top w:val="none" w:sz="0" w:space="0" w:color="auto"/>
                <w:left w:val="none" w:sz="0" w:space="0" w:color="auto"/>
                <w:bottom w:val="none" w:sz="0" w:space="0" w:color="auto"/>
                <w:right w:val="none" w:sz="0" w:space="0" w:color="auto"/>
              </w:divBdr>
            </w:div>
            <w:div w:id="2053380236">
              <w:marLeft w:val="0"/>
              <w:marRight w:val="0"/>
              <w:marTop w:val="0"/>
              <w:marBottom w:val="0"/>
              <w:divBdr>
                <w:top w:val="none" w:sz="0" w:space="0" w:color="auto"/>
                <w:left w:val="none" w:sz="0" w:space="0" w:color="auto"/>
                <w:bottom w:val="none" w:sz="0" w:space="0" w:color="auto"/>
                <w:right w:val="none" w:sz="0" w:space="0" w:color="auto"/>
              </w:divBdr>
            </w:div>
          </w:divsChild>
        </w:div>
        <w:div w:id="1160073441">
          <w:marLeft w:val="0"/>
          <w:marRight w:val="0"/>
          <w:marTop w:val="0"/>
          <w:marBottom w:val="0"/>
          <w:divBdr>
            <w:top w:val="none" w:sz="0" w:space="0" w:color="auto"/>
            <w:left w:val="none" w:sz="0" w:space="0" w:color="auto"/>
            <w:bottom w:val="none" w:sz="0" w:space="0" w:color="auto"/>
            <w:right w:val="none" w:sz="0" w:space="0" w:color="auto"/>
          </w:divBdr>
          <w:divsChild>
            <w:div w:id="224410741">
              <w:marLeft w:val="0"/>
              <w:marRight w:val="0"/>
              <w:marTop w:val="0"/>
              <w:marBottom w:val="0"/>
              <w:divBdr>
                <w:top w:val="none" w:sz="0" w:space="0" w:color="auto"/>
                <w:left w:val="none" w:sz="0" w:space="0" w:color="auto"/>
                <w:bottom w:val="none" w:sz="0" w:space="0" w:color="auto"/>
                <w:right w:val="none" w:sz="0" w:space="0" w:color="auto"/>
              </w:divBdr>
            </w:div>
            <w:div w:id="231814220">
              <w:marLeft w:val="0"/>
              <w:marRight w:val="0"/>
              <w:marTop w:val="0"/>
              <w:marBottom w:val="0"/>
              <w:divBdr>
                <w:top w:val="none" w:sz="0" w:space="0" w:color="auto"/>
                <w:left w:val="none" w:sz="0" w:space="0" w:color="auto"/>
                <w:bottom w:val="none" w:sz="0" w:space="0" w:color="auto"/>
                <w:right w:val="none" w:sz="0" w:space="0" w:color="auto"/>
              </w:divBdr>
            </w:div>
            <w:div w:id="444354251">
              <w:marLeft w:val="0"/>
              <w:marRight w:val="0"/>
              <w:marTop w:val="0"/>
              <w:marBottom w:val="0"/>
              <w:divBdr>
                <w:top w:val="none" w:sz="0" w:space="0" w:color="auto"/>
                <w:left w:val="none" w:sz="0" w:space="0" w:color="auto"/>
                <w:bottom w:val="none" w:sz="0" w:space="0" w:color="auto"/>
                <w:right w:val="none" w:sz="0" w:space="0" w:color="auto"/>
              </w:divBdr>
            </w:div>
            <w:div w:id="893084203">
              <w:marLeft w:val="0"/>
              <w:marRight w:val="0"/>
              <w:marTop w:val="0"/>
              <w:marBottom w:val="0"/>
              <w:divBdr>
                <w:top w:val="none" w:sz="0" w:space="0" w:color="auto"/>
                <w:left w:val="none" w:sz="0" w:space="0" w:color="auto"/>
                <w:bottom w:val="none" w:sz="0" w:space="0" w:color="auto"/>
                <w:right w:val="none" w:sz="0" w:space="0" w:color="auto"/>
              </w:divBdr>
            </w:div>
            <w:div w:id="973562679">
              <w:marLeft w:val="0"/>
              <w:marRight w:val="0"/>
              <w:marTop w:val="0"/>
              <w:marBottom w:val="0"/>
              <w:divBdr>
                <w:top w:val="none" w:sz="0" w:space="0" w:color="auto"/>
                <w:left w:val="none" w:sz="0" w:space="0" w:color="auto"/>
                <w:bottom w:val="none" w:sz="0" w:space="0" w:color="auto"/>
                <w:right w:val="none" w:sz="0" w:space="0" w:color="auto"/>
              </w:divBdr>
            </w:div>
            <w:div w:id="1359041380">
              <w:marLeft w:val="0"/>
              <w:marRight w:val="0"/>
              <w:marTop w:val="0"/>
              <w:marBottom w:val="0"/>
              <w:divBdr>
                <w:top w:val="none" w:sz="0" w:space="0" w:color="auto"/>
                <w:left w:val="none" w:sz="0" w:space="0" w:color="auto"/>
                <w:bottom w:val="none" w:sz="0" w:space="0" w:color="auto"/>
                <w:right w:val="none" w:sz="0" w:space="0" w:color="auto"/>
              </w:divBdr>
            </w:div>
            <w:div w:id="1557861061">
              <w:marLeft w:val="0"/>
              <w:marRight w:val="0"/>
              <w:marTop w:val="0"/>
              <w:marBottom w:val="0"/>
              <w:divBdr>
                <w:top w:val="none" w:sz="0" w:space="0" w:color="auto"/>
                <w:left w:val="none" w:sz="0" w:space="0" w:color="auto"/>
                <w:bottom w:val="none" w:sz="0" w:space="0" w:color="auto"/>
                <w:right w:val="none" w:sz="0" w:space="0" w:color="auto"/>
              </w:divBdr>
            </w:div>
            <w:div w:id="1627079776">
              <w:marLeft w:val="0"/>
              <w:marRight w:val="0"/>
              <w:marTop w:val="0"/>
              <w:marBottom w:val="0"/>
              <w:divBdr>
                <w:top w:val="none" w:sz="0" w:space="0" w:color="auto"/>
                <w:left w:val="none" w:sz="0" w:space="0" w:color="auto"/>
                <w:bottom w:val="none" w:sz="0" w:space="0" w:color="auto"/>
                <w:right w:val="none" w:sz="0" w:space="0" w:color="auto"/>
              </w:divBdr>
            </w:div>
            <w:div w:id="1991902847">
              <w:marLeft w:val="0"/>
              <w:marRight w:val="0"/>
              <w:marTop w:val="0"/>
              <w:marBottom w:val="0"/>
              <w:divBdr>
                <w:top w:val="none" w:sz="0" w:space="0" w:color="auto"/>
                <w:left w:val="none" w:sz="0" w:space="0" w:color="auto"/>
                <w:bottom w:val="none" w:sz="0" w:space="0" w:color="auto"/>
                <w:right w:val="none" w:sz="0" w:space="0" w:color="auto"/>
              </w:divBdr>
            </w:div>
            <w:div w:id="204023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330442">
      <w:bodyDiv w:val="1"/>
      <w:marLeft w:val="0"/>
      <w:marRight w:val="0"/>
      <w:marTop w:val="0"/>
      <w:marBottom w:val="0"/>
      <w:divBdr>
        <w:top w:val="none" w:sz="0" w:space="0" w:color="auto"/>
        <w:left w:val="none" w:sz="0" w:space="0" w:color="auto"/>
        <w:bottom w:val="none" w:sz="0" w:space="0" w:color="auto"/>
        <w:right w:val="none" w:sz="0" w:space="0" w:color="auto"/>
      </w:divBdr>
    </w:div>
    <w:div w:id="1576432469">
      <w:bodyDiv w:val="1"/>
      <w:marLeft w:val="0"/>
      <w:marRight w:val="0"/>
      <w:marTop w:val="0"/>
      <w:marBottom w:val="0"/>
      <w:divBdr>
        <w:top w:val="none" w:sz="0" w:space="0" w:color="auto"/>
        <w:left w:val="none" w:sz="0" w:space="0" w:color="auto"/>
        <w:bottom w:val="none" w:sz="0" w:space="0" w:color="auto"/>
        <w:right w:val="none" w:sz="0" w:space="0" w:color="auto"/>
      </w:divBdr>
    </w:div>
    <w:div w:id="1594850350">
      <w:bodyDiv w:val="1"/>
      <w:marLeft w:val="0"/>
      <w:marRight w:val="0"/>
      <w:marTop w:val="0"/>
      <w:marBottom w:val="0"/>
      <w:divBdr>
        <w:top w:val="none" w:sz="0" w:space="0" w:color="auto"/>
        <w:left w:val="none" w:sz="0" w:space="0" w:color="auto"/>
        <w:bottom w:val="none" w:sz="0" w:space="0" w:color="auto"/>
        <w:right w:val="none" w:sz="0" w:space="0" w:color="auto"/>
      </w:divBdr>
      <w:divsChild>
        <w:div w:id="1289629565">
          <w:marLeft w:val="0"/>
          <w:marRight w:val="0"/>
          <w:marTop w:val="0"/>
          <w:marBottom w:val="0"/>
          <w:divBdr>
            <w:top w:val="none" w:sz="0" w:space="0" w:color="auto"/>
            <w:left w:val="none" w:sz="0" w:space="0" w:color="auto"/>
            <w:bottom w:val="none" w:sz="0" w:space="0" w:color="auto"/>
            <w:right w:val="none" w:sz="0" w:space="0" w:color="auto"/>
          </w:divBdr>
        </w:div>
        <w:div w:id="2007050879">
          <w:marLeft w:val="0"/>
          <w:marRight w:val="0"/>
          <w:marTop w:val="0"/>
          <w:marBottom w:val="0"/>
          <w:divBdr>
            <w:top w:val="none" w:sz="0" w:space="0" w:color="auto"/>
            <w:left w:val="none" w:sz="0" w:space="0" w:color="auto"/>
            <w:bottom w:val="none" w:sz="0" w:space="0" w:color="auto"/>
            <w:right w:val="none" w:sz="0" w:space="0" w:color="auto"/>
          </w:divBdr>
        </w:div>
      </w:divsChild>
    </w:div>
    <w:div w:id="1599172629">
      <w:bodyDiv w:val="1"/>
      <w:marLeft w:val="0"/>
      <w:marRight w:val="0"/>
      <w:marTop w:val="0"/>
      <w:marBottom w:val="0"/>
      <w:divBdr>
        <w:top w:val="none" w:sz="0" w:space="0" w:color="auto"/>
        <w:left w:val="none" w:sz="0" w:space="0" w:color="auto"/>
        <w:bottom w:val="none" w:sz="0" w:space="0" w:color="auto"/>
        <w:right w:val="none" w:sz="0" w:space="0" w:color="auto"/>
      </w:divBdr>
      <w:divsChild>
        <w:div w:id="112136388">
          <w:marLeft w:val="0"/>
          <w:marRight w:val="0"/>
          <w:marTop w:val="0"/>
          <w:marBottom w:val="0"/>
          <w:divBdr>
            <w:top w:val="none" w:sz="0" w:space="0" w:color="auto"/>
            <w:left w:val="none" w:sz="0" w:space="0" w:color="auto"/>
            <w:bottom w:val="none" w:sz="0" w:space="0" w:color="auto"/>
            <w:right w:val="none" w:sz="0" w:space="0" w:color="auto"/>
          </w:divBdr>
        </w:div>
        <w:div w:id="420881336">
          <w:marLeft w:val="0"/>
          <w:marRight w:val="0"/>
          <w:marTop w:val="0"/>
          <w:marBottom w:val="0"/>
          <w:divBdr>
            <w:top w:val="none" w:sz="0" w:space="0" w:color="auto"/>
            <w:left w:val="none" w:sz="0" w:space="0" w:color="auto"/>
            <w:bottom w:val="none" w:sz="0" w:space="0" w:color="auto"/>
            <w:right w:val="none" w:sz="0" w:space="0" w:color="auto"/>
          </w:divBdr>
        </w:div>
        <w:div w:id="483662923">
          <w:marLeft w:val="0"/>
          <w:marRight w:val="0"/>
          <w:marTop w:val="0"/>
          <w:marBottom w:val="0"/>
          <w:divBdr>
            <w:top w:val="none" w:sz="0" w:space="0" w:color="auto"/>
            <w:left w:val="none" w:sz="0" w:space="0" w:color="auto"/>
            <w:bottom w:val="none" w:sz="0" w:space="0" w:color="auto"/>
            <w:right w:val="none" w:sz="0" w:space="0" w:color="auto"/>
          </w:divBdr>
        </w:div>
        <w:div w:id="625545482">
          <w:marLeft w:val="0"/>
          <w:marRight w:val="0"/>
          <w:marTop w:val="0"/>
          <w:marBottom w:val="0"/>
          <w:divBdr>
            <w:top w:val="none" w:sz="0" w:space="0" w:color="auto"/>
            <w:left w:val="none" w:sz="0" w:space="0" w:color="auto"/>
            <w:bottom w:val="none" w:sz="0" w:space="0" w:color="auto"/>
            <w:right w:val="none" w:sz="0" w:space="0" w:color="auto"/>
          </w:divBdr>
        </w:div>
        <w:div w:id="712390046">
          <w:marLeft w:val="0"/>
          <w:marRight w:val="0"/>
          <w:marTop w:val="0"/>
          <w:marBottom w:val="0"/>
          <w:divBdr>
            <w:top w:val="none" w:sz="0" w:space="0" w:color="auto"/>
            <w:left w:val="none" w:sz="0" w:space="0" w:color="auto"/>
            <w:bottom w:val="none" w:sz="0" w:space="0" w:color="auto"/>
            <w:right w:val="none" w:sz="0" w:space="0" w:color="auto"/>
          </w:divBdr>
        </w:div>
        <w:div w:id="781261999">
          <w:marLeft w:val="0"/>
          <w:marRight w:val="0"/>
          <w:marTop w:val="0"/>
          <w:marBottom w:val="0"/>
          <w:divBdr>
            <w:top w:val="none" w:sz="0" w:space="0" w:color="auto"/>
            <w:left w:val="none" w:sz="0" w:space="0" w:color="auto"/>
            <w:bottom w:val="none" w:sz="0" w:space="0" w:color="auto"/>
            <w:right w:val="none" w:sz="0" w:space="0" w:color="auto"/>
          </w:divBdr>
        </w:div>
        <w:div w:id="975063247">
          <w:marLeft w:val="0"/>
          <w:marRight w:val="0"/>
          <w:marTop w:val="0"/>
          <w:marBottom w:val="0"/>
          <w:divBdr>
            <w:top w:val="none" w:sz="0" w:space="0" w:color="auto"/>
            <w:left w:val="none" w:sz="0" w:space="0" w:color="auto"/>
            <w:bottom w:val="none" w:sz="0" w:space="0" w:color="auto"/>
            <w:right w:val="none" w:sz="0" w:space="0" w:color="auto"/>
          </w:divBdr>
        </w:div>
        <w:div w:id="1242759627">
          <w:marLeft w:val="0"/>
          <w:marRight w:val="0"/>
          <w:marTop w:val="0"/>
          <w:marBottom w:val="0"/>
          <w:divBdr>
            <w:top w:val="none" w:sz="0" w:space="0" w:color="auto"/>
            <w:left w:val="none" w:sz="0" w:space="0" w:color="auto"/>
            <w:bottom w:val="none" w:sz="0" w:space="0" w:color="auto"/>
            <w:right w:val="none" w:sz="0" w:space="0" w:color="auto"/>
          </w:divBdr>
        </w:div>
        <w:div w:id="1383017928">
          <w:marLeft w:val="0"/>
          <w:marRight w:val="0"/>
          <w:marTop w:val="0"/>
          <w:marBottom w:val="0"/>
          <w:divBdr>
            <w:top w:val="none" w:sz="0" w:space="0" w:color="auto"/>
            <w:left w:val="none" w:sz="0" w:space="0" w:color="auto"/>
            <w:bottom w:val="none" w:sz="0" w:space="0" w:color="auto"/>
            <w:right w:val="none" w:sz="0" w:space="0" w:color="auto"/>
          </w:divBdr>
        </w:div>
        <w:div w:id="1482967887">
          <w:marLeft w:val="0"/>
          <w:marRight w:val="0"/>
          <w:marTop w:val="0"/>
          <w:marBottom w:val="0"/>
          <w:divBdr>
            <w:top w:val="none" w:sz="0" w:space="0" w:color="auto"/>
            <w:left w:val="none" w:sz="0" w:space="0" w:color="auto"/>
            <w:bottom w:val="none" w:sz="0" w:space="0" w:color="auto"/>
            <w:right w:val="none" w:sz="0" w:space="0" w:color="auto"/>
          </w:divBdr>
        </w:div>
        <w:div w:id="1536699199">
          <w:marLeft w:val="0"/>
          <w:marRight w:val="0"/>
          <w:marTop w:val="0"/>
          <w:marBottom w:val="0"/>
          <w:divBdr>
            <w:top w:val="none" w:sz="0" w:space="0" w:color="auto"/>
            <w:left w:val="none" w:sz="0" w:space="0" w:color="auto"/>
            <w:bottom w:val="none" w:sz="0" w:space="0" w:color="auto"/>
            <w:right w:val="none" w:sz="0" w:space="0" w:color="auto"/>
          </w:divBdr>
        </w:div>
        <w:div w:id="1567954388">
          <w:marLeft w:val="0"/>
          <w:marRight w:val="0"/>
          <w:marTop w:val="0"/>
          <w:marBottom w:val="0"/>
          <w:divBdr>
            <w:top w:val="none" w:sz="0" w:space="0" w:color="auto"/>
            <w:left w:val="none" w:sz="0" w:space="0" w:color="auto"/>
            <w:bottom w:val="none" w:sz="0" w:space="0" w:color="auto"/>
            <w:right w:val="none" w:sz="0" w:space="0" w:color="auto"/>
          </w:divBdr>
        </w:div>
        <w:div w:id="1640265789">
          <w:marLeft w:val="0"/>
          <w:marRight w:val="0"/>
          <w:marTop w:val="0"/>
          <w:marBottom w:val="0"/>
          <w:divBdr>
            <w:top w:val="none" w:sz="0" w:space="0" w:color="auto"/>
            <w:left w:val="none" w:sz="0" w:space="0" w:color="auto"/>
            <w:bottom w:val="none" w:sz="0" w:space="0" w:color="auto"/>
            <w:right w:val="none" w:sz="0" w:space="0" w:color="auto"/>
          </w:divBdr>
        </w:div>
        <w:div w:id="1691566146">
          <w:marLeft w:val="0"/>
          <w:marRight w:val="0"/>
          <w:marTop w:val="0"/>
          <w:marBottom w:val="0"/>
          <w:divBdr>
            <w:top w:val="none" w:sz="0" w:space="0" w:color="auto"/>
            <w:left w:val="none" w:sz="0" w:space="0" w:color="auto"/>
            <w:bottom w:val="none" w:sz="0" w:space="0" w:color="auto"/>
            <w:right w:val="none" w:sz="0" w:space="0" w:color="auto"/>
          </w:divBdr>
        </w:div>
        <w:div w:id="1793742866">
          <w:marLeft w:val="0"/>
          <w:marRight w:val="0"/>
          <w:marTop w:val="0"/>
          <w:marBottom w:val="0"/>
          <w:divBdr>
            <w:top w:val="none" w:sz="0" w:space="0" w:color="auto"/>
            <w:left w:val="none" w:sz="0" w:space="0" w:color="auto"/>
            <w:bottom w:val="none" w:sz="0" w:space="0" w:color="auto"/>
            <w:right w:val="none" w:sz="0" w:space="0" w:color="auto"/>
          </w:divBdr>
        </w:div>
        <w:div w:id="2042627914">
          <w:marLeft w:val="0"/>
          <w:marRight w:val="0"/>
          <w:marTop w:val="0"/>
          <w:marBottom w:val="0"/>
          <w:divBdr>
            <w:top w:val="none" w:sz="0" w:space="0" w:color="auto"/>
            <w:left w:val="none" w:sz="0" w:space="0" w:color="auto"/>
            <w:bottom w:val="none" w:sz="0" w:space="0" w:color="auto"/>
            <w:right w:val="none" w:sz="0" w:space="0" w:color="auto"/>
          </w:divBdr>
        </w:div>
      </w:divsChild>
    </w:div>
    <w:div w:id="1678146507">
      <w:bodyDiv w:val="1"/>
      <w:marLeft w:val="0"/>
      <w:marRight w:val="0"/>
      <w:marTop w:val="0"/>
      <w:marBottom w:val="0"/>
      <w:divBdr>
        <w:top w:val="none" w:sz="0" w:space="0" w:color="auto"/>
        <w:left w:val="none" w:sz="0" w:space="0" w:color="auto"/>
        <w:bottom w:val="none" w:sz="0" w:space="0" w:color="auto"/>
        <w:right w:val="none" w:sz="0" w:space="0" w:color="auto"/>
      </w:divBdr>
    </w:div>
    <w:div w:id="1683819923">
      <w:bodyDiv w:val="1"/>
      <w:marLeft w:val="0"/>
      <w:marRight w:val="0"/>
      <w:marTop w:val="0"/>
      <w:marBottom w:val="0"/>
      <w:divBdr>
        <w:top w:val="none" w:sz="0" w:space="0" w:color="auto"/>
        <w:left w:val="none" w:sz="0" w:space="0" w:color="auto"/>
        <w:bottom w:val="none" w:sz="0" w:space="0" w:color="auto"/>
        <w:right w:val="none" w:sz="0" w:space="0" w:color="auto"/>
      </w:divBdr>
      <w:divsChild>
        <w:div w:id="751004921">
          <w:marLeft w:val="0"/>
          <w:marRight w:val="0"/>
          <w:marTop w:val="0"/>
          <w:marBottom w:val="0"/>
          <w:divBdr>
            <w:top w:val="none" w:sz="0" w:space="0" w:color="auto"/>
            <w:left w:val="none" w:sz="0" w:space="0" w:color="auto"/>
            <w:bottom w:val="none" w:sz="0" w:space="0" w:color="auto"/>
            <w:right w:val="none" w:sz="0" w:space="0" w:color="auto"/>
          </w:divBdr>
        </w:div>
        <w:div w:id="980770198">
          <w:marLeft w:val="0"/>
          <w:marRight w:val="0"/>
          <w:marTop w:val="0"/>
          <w:marBottom w:val="0"/>
          <w:divBdr>
            <w:top w:val="none" w:sz="0" w:space="0" w:color="auto"/>
            <w:left w:val="none" w:sz="0" w:space="0" w:color="auto"/>
            <w:bottom w:val="none" w:sz="0" w:space="0" w:color="auto"/>
            <w:right w:val="none" w:sz="0" w:space="0" w:color="auto"/>
          </w:divBdr>
        </w:div>
        <w:div w:id="1057630609">
          <w:marLeft w:val="0"/>
          <w:marRight w:val="0"/>
          <w:marTop w:val="0"/>
          <w:marBottom w:val="0"/>
          <w:divBdr>
            <w:top w:val="none" w:sz="0" w:space="0" w:color="auto"/>
            <w:left w:val="none" w:sz="0" w:space="0" w:color="auto"/>
            <w:bottom w:val="none" w:sz="0" w:space="0" w:color="auto"/>
            <w:right w:val="none" w:sz="0" w:space="0" w:color="auto"/>
          </w:divBdr>
        </w:div>
        <w:div w:id="1230923672">
          <w:marLeft w:val="0"/>
          <w:marRight w:val="0"/>
          <w:marTop w:val="0"/>
          <w:marBottom w:val="0"/>
          <w:divBdr>
            <w:top w:val="none" w:sz="0" w:space="0" w:color="auto"/>
            <w:left w:val="none" w:sz="0" w:space="0" w:color="auto"/>
            <w:bottom w:val="none" w:sz="0" w:space="0" w:color="auto"/>
            <w:right w:val="none" w:sz="0" w:space="0" w:color="auto"/>
          </w:divBdr>
        </w:div>
        <w:div w:id="1444881499">
          <w:marLeft w:val="0"/>
          <w:marRight w:val="0"/>
          <w:marTop w:val="0"/>
          <w:marBottom w:val="0"/>
          <w:divBdr>
            <w:top w:val="none" w:sz="0" w:space="0" w:color="auto"/>
            <w:left w:val="none" w:sz="0" w:space="0" w:color="auto"/>
            <w:bottom w:val="none" w:sz="0" w:space="0" w:color="auto"/>
            <w:right w:val="none" w:sz="0" w:space="0" w:color="auto"/>
          </w:divBdr>
        </w:div>
        <w:div w:id="1645812006">
          <w:marLeft w:val="0"/>
          <w:marRight w:val="0"/>
          <w:marTop w:val="0"/>
          <w:marBottom w:val="0"/>
          <w:divBdr>
            <w:top w:val="none" w:sz="0" w:space="0" w:color="auto"/>
            <w:left w:val="none" w:sz="0" w:space="0" w:color="auto"/>
            <w:bottom w:val="none" w:sz="0" w:space="0" w:color="auto"/>
            <w:right w:val="none" w:sz="0" w:space="0" w:color="auto"/>
          </w:divBdr>
        </w:div>
      </w:divsChild>
    </w:div>
    <w:div w:id="1824085630">
      <w:bodyDiv w:val="1"/>
      <w:marLeft w:val="0"/>
      <w:marRight w:val="0"/>
      <w:marTop w:val="0"/>
      <w:marBottom w:val="0"/>
      <w:divBdr>
        <w:top w:val="none" w:sz="0" w:space="0" w:color="auto"/>
        <w:left w:val="none" w:sz="0" w:space="0" w:color="auto"/>
        <w:bottom w:val="none" w:sz="0" w:space="0" w:color="auto"/>
        <w:right w:val="none" w:sz="0" w:space="0" w:color="auto"/>
      </w:divBdr>
      <w:divsChild>
        <w:div w:id="548492519">
          <w:marLeft w:val="0"/>
          <w:marRight w:val="0"/>
          <w:marTop w:val="0"/>
          <w:marBottom w:val="0"/>
          <w:divBdr>
            <w:top w:val="none" w:sz="0" w:space="0" w:color="auto"/>
            <w:left w:val="none" w:sz="0" w:space="0" w:color="auto"/>
            <w:bottom w:val="none" w:sz="0" w:space="0" w:color="auto"/>
            <w:right w:val="none" w:sz="0" w:space="0" w:color="auto"/>
          </w:divBdr>
        </w:div>
        <w:div w:id="968634154">
          <w:marLeft w:val="0"/>
          <w:marRight w:val="0"/>
          <w:marTop w:val="0"/>
          <w:marBottom w:val="0"/>
          <w:divBdr>
            <w:top w:val="none" w:sz="0" w:space="0" w:color="auto"/>
            <w:left w:val="none" w:sz="0" w:space="0" w:color="auto"/>
            <w:bottom w:val="none" w:sz="0" w:space="0" w:color="auto"/>
            <w:right w:val="none" w:sz="0" w:space="0" w:color="auto"/>
          </w:divBdr>
        </w:div>
        <w:div w:id="1161851011">
          <w:marLeft w:val="0"/>
          <w:marRight w:val="0"/>
          <w:marTop w:val="0"/>
          <w:marBottom w:val="0"/>
          <w:divBdr>
            <w:top w:val="none" w:sz="0" w:space="0" w:color="auto"/>
            <w:left w:val="none" w:sz="0" w:space="0" w:color="auto"/>
            <w:bottom w:val="none" w:sz="0" w:space="0" w:color="auto"/>
            <w:right w:val="none" w:sz="0" w:space="0" w:color="auto"/>
          </w:divBdr>
        </w:div>
        <w:div w:id="1170490117">
          <w:marLeft w:val="0"/>
          <w:marRight w:val="0"/>
          <w:marTop w:val="0"/>
          <w:marBottom w:val="0"/>
          <w:divBdr>
            <w:top w:val="none" w:sz="0" w:space="0" w:color="auto"/>
            <w:left w:val="none" w:sz="0" w:space="0" w:color="auto"/>
            <w:bottom w:val="none" w:sz="0" w:space="0" w:color="auto"/>
            <w:right w:val="none" w:sz="0" w:space="0" w:color="auto"/>
          </w:divBdr>
        </w:div>
        <w:div w:id="1762213612">
          <w:marLeft w:val="0"/>
          <w:marRight w:val="0"/>
          <w:marTop w:val="0"/>
          <w:marBottom w:val="0"/>
          <w:divBdr>
            <w:top w:val="none" w:sz="0" w:space="0" w:color="auto"/>
            <w:left w:val="none" w:sz="0" w:space="0" w:color="auto"/>
            <w:bottom w:val="none" w:sz="0" w:space="0" w:color="auto"/>
            <w:right w:val="none" w:sz="0" w:space="0" w:color="auto"/>
          </w:divBdr>
        </w:div>
        <w:div w:id="2136753919">
          <w:marLeft w:val="0"/>
          <w:marRight w:val="0"/>
          <w:marTop w:val="0"/>
          <w:marBottom w:val="0"/>
          <w:divBdr>
            <w:top w:val="none" w:sz="0" w:space="0" w:color="auto"/>
            <w:left w:val="none" w:sz="0" w:space="0" w:color="auto"/>
            <w:bottom w:val="none" w:sz="0" w:space="0" w:color="auto"/>
            <w:right w:val="none" w:sz="0" w:space="0" w:color="auto"/>
          </w:divBdr>
        </w:div>
      </w:divsChild>
    </w:div>
    <w:div w:id="1848861459">
      <w:bodyDiv w:val="1"/>
      <w:marLeft w:val="0"/>
      <w:marRight w:val="0"/>
      <w:marTop w:val="0"/>
      <w:marBottom w:val="0"/>
      <w:divBdr>
        <w:top w:val="none" w:sz="0" w:space="0" w:color="auto"/>
        <w:left w:val="none" w:sz="0" w:space="0" w:color="auto"/>
        <w:bottom w:val="none" w:sz="0" w:space="0" w:color="auto"/>
        <w:right w:val="none" w:sz="0" w:space="0" w:color="auto"/>
      </w:divBdr>
      <w:divsChild>
        <w:div w:id="234358519">
          <w:marLeft w:val="0"/>
          <w:marRight w:val="0"/>
          <w:marTop w:val="0"/>
          <w:marBottom w:val="0"/>
          <w:divBdr>
            <w:top w:val="none" w:sz="0" w:space="0" w:color="auto"/>
            <w:left w:val="none" w:sz="0" w:space="0" w:color="auto"/>
            <w:bottom w:val="none" w:sz="0" w:space="0" w:color="auto"/>
            <w:right w:val="none" w:sz="0" w:space="0" w:color="auto"/>
          </w:divBdr>
        </w:div>
        <w:div w:id="415057854">
          <w:marLeft w:val="0"/>
          <w:marRight w:val="0"/>
          <w:marTop w:val="0"/>
          <w:marBottom w:val="0"/>
          <w:divBdr>
            <w:top w:val="none" w:sz="0" w:space="0" w:color="auto"/>
            <w:left w:val="none" w:sz="0" w:space="0" w:color="auto"/>
            <w:bottom w:val="none" w:sz="0" w:space="0" w:color="auto"/>
            <w:right w:val="none" w:sz="0" w:space="0" w:color="auto"/>
          </w:divBdr>
        </w:div>
        <w:div w:id="771895418">
          <w:marLeft w:val="0"/>
          <w:marRight w:val="0"/>
          <w:marTop w:val="0"/>
          <w:marBottom w:val="0"/>
          <w:divBdr>
            <w:top w:val="none" w:sz="0" w:space="0" w:color="auto"/>
            <w:left w:val="none" w:sz="0" w:space="0" w:color="auto"/>
            <w:bottom w:val="none" w:sz="0" w:space="0" w:color="auto"/>
            <w:right w:val="none" w:sz="0" w:space="0" w:color="auto"/>
          </w:divBdr>
        </w:div>
        <w:div w:id="842401853">
          <w:marLeft w:val="0"/>
          <w:marRight w:val="0"/>
          <w:marTop w:val="0"/>
          <w:marBottom w:val="0"/>
          <w:divBdr>
            <w:top w:val="none" w:sz="0" w:space="0" w:color="auto"/>
            <w:left w:val="none" w:sz="0" w:space="0" w:color="auto"/>
            <w:bottom w:val="none" w:sz="0" w:space="0" w:color="auto"/>
            <w:right w:val="none" w:sz="0" w:space="0" w:color="auto"/>
          </w:divBdr>
        </w:div>
        <w:div w:id="907812170">
          <w:marLeft w:val="0"/>
          <w:marRight w:val="0"/>
          <w:marTop w:val="0"/>
          <w:marBottom w:val="0"/>
          <w:divBdr>
            <w:top w:val="none" w:sz="0" w:space="0" w:color="auto"/>
            <w:left w:val="none" w:sz="0" w:space="0" w:color="auto"/>
            <w:bottom w:val="none" w:sz="0" w:space="0" w:color="auto"/>
            <w:right w:val="none" w:sz="0" w:space="0" w:color="auto"/>
          </w:divBdr>
        </w:div>
        <w:div w:id="1134909033">
          <w:marLeft w:val="0"/>
          <w:marRight w:val="0"/>
          <w:marTop w:val="0"/>
          <w:marBottom w:val="0"/>
          <w:divBdr>
            <w:top w:val="none" w:sz="0" w:space="0" w:color="auto"/>
            <w:left w:val="none" w:sz="0" w:space="0" w:color="auto"/>
            <w:bottom w:val="none" w:sz="0" w:space="0" w:color="auto"/>
            <w:right w:val="none" w:sz="0" w:space="0" w:color="auto"/>
          </w:divBdr>
        </w:div>
        <w:div w:id="1487167426">
          <w:marLeft w:val="0"/>
          <w:marRight w:val="0"/>
          <w:marTop w:val="0"/>
          <w:marBottom w:val="0"/>
          <w:divBdr>
            <w:top w:val="none" w:sz="0" w:space="0" w:color="auto"/>
            <w:left w:val="none" w:sz="0" w:space="0" w:color="auto"/>
            <w:bottom w:val="none" w:sz="0" w:space="0" w:color="auto"/>
            <w:right w:val="none" w:sz="0" w:space="0" w:color="auto"/>
          </w:divBdr>
        </w:div>
      </w:divsChild>
    </w:div>
    <w:div w:id="1895777462">
      <w:bodyDiv w:val="1"/>
      <w:marLeft w:val="0"/>
      <w:marRight w:val="0"/>
      <w:marTop w:val="0"/>
      <w:marBottom w:val="0"/>
      <w:divBdr>
        <w:top w:val="none" w:sz="0" w:space="0" w:color="auto"/>
        <w:left w:val="none" w:sz="0" w:space="0" w:color="auto"/>
        <w:bottom w:val="none" w:sz="0" w:space="0" w:color="auto"/>
        <w:right w:val="none" w:sz="0" w:space="0" w:color="auto"/>
      </w:divBdr>
      <w:divsChild>
        <w:div w:id="42220112">
          <w:marLeft w:val="0"/>
          <w:marRight w:val="0"/>
          <w:marTop w:val="0"/>
          <w:marBottom w:val="0"/>
          <w:divBdr>
            <w:top w:val="none" w:sz="0" w:space="0" w:color="auto"/>
            <w:left w:val="none" w:sz="0" w:space="0" w:color="auto"/>
            <w:bottom w:val="none" w:sz="0" w:space="0" w:color="auto"/>
            <w:right w:val="none" w:sz="0" w:space="0" w:color="auto"/>
          </w:divBdr>
        </w:div>
        <w:div w:id="448858351">
          <w:marLeft w:val="0"/>
          <w:marRight w:val="0"/>
          <w:marTop w:val="0"/>
          <w:marBottom w:val="0"/>
          <w:divBdr>
            <w:top w:val="none" w:sz="0" w:space="0" w:color="auto"/>
            <w:left w:val="none" w:sz="0" w:space="0" w:color="auto"/>
            <w:bottom w:val="none" w:sz="0" w:space="0" w:color="auto"/>
            <w:right w:val="none" w:sz="0" w:space="0" w:color="auto"/>
          </w:divBdr>
        </w:div>
        <w:div w:id="1073702434">
          <w:marLeft w:val="0"/>
          <w:marRight w:val="0"/>
          <w:marTop w:val="0"/>
          <w:marBottom w:val="0"/>
          <w:divBdr>
            <w:top w:val="none" w:sz="0" w:space="0" w:color="auto"/>
            <w:left w:val="none" w:sz="0" w:space="0" w:color="auto"/>
            <w:bottom w:val="none" w:sz="0" w:space="0" w:color="auto"/>
            <w:right w:val="none" w:sz="0" w:space="0" w:color="auto"/>
          </w:divBdr>
        </w:div>
        <w:div w:id="1565988651">
          <w:marLeft w:val="0"/>
          <w:marRight w:val="0"/>
          <w:marTop w:val="0"/>
          <w:marBottom w:val="0"/>
          <w:divBdr>
            <w:top w:val="none" w:sz="0" w:space="0" w:color="auto"/>
            <w:left w:val="none" w:sz="0" w:space="0" w:color="auto"/>
            <w:bottom w:val="none" w:sz="0" w:space="0" w:color="auto"/>
            <w:right w:val="none" w:sz="0" w:space="0" w:color="auto"/>
          </w:divBdr>
        </w:div>
        <w:div w:id="1633055051">
          <w:marLeft w:val="0"/>
          <w:marRight w:val="0"/>
          <w:marTop w:val="0"/>
          <w:marBottom w:val="0"/>
          <w:divBdr>
            <w:top w:val="none" w:sz="0" w:space="0" w:color="auto"/>
            <w:left w:val="none" w:sz="0" w:space="0" w:color="auto"/>
            <w:bottom w:val="none" w:sz="0" w:space="0" w:color="auto"/>
            <w:right w:val="none" w:sz="0" w:space="0" w:color="auto"/>
          </w:divBdr>
        </w:div>
        <w:div w:id="1692074571">
          <w:marLeft w:val="0"/>
          <w:marRight w:val="0"/>
          <w:marTop w:val="0"/>
          <w:marBottom w:val="0"/>
          <w:divBdr>
            <w:top w:val="none" w:sz="0" w:space="0" w:color="auto"/>
            <w:left w:val="none" w:sz="0" w:space="0" w:color="auto"/>
            <w:bottom w:val="none" w:sz="0" w:space="0" w:color="auto"/>
            <w:right w:val="none" w:sz="0" w:space="0" w:color="auto"/>
          </w:divBdr>
        </w:div>
        <w:div w:id="2036341044">
          <w:marLeft w:val="0"/>
          <w:marRight w:val="0"/>
          <w:marTop w:val="0"/>
          <w:marBottom w:val="0"/>
          <w:divBdr>
            <w:top w:val="none" w:sz="0" w:space="0" w:color="auto"/>
            <w:left w:val="none" w:sz="0" w:space="0" w:color="auto"/>
            <w:bottom w:val="none" w:sz="0" w:space="0" w:color="auto"/>
            <w:right w:val="none" w:sz="0" w:space="0" w:color="auto"/>
          </w:divBdr>
        </w:div>
      </w:divsChild>
    </w:div>
    <w:div w:id="1913152049">
      <w:bodyDiv w:val="1"/>
      <w:marLeft w:val="0"/>
      <w:marRight w:val="0"/>
      <w:marTop w:val="0"/>
      <w:marBottom w:val="0"/>
      <w:divBdr>
        <w:top w:val="none" w:sz="0" w:space="0" w:color="auto"/>
        <w:left w:val="none" w:sz="0" w:space="0" w:color="auto"/>
        <w:bottom w:val="none" w:sz="0" w:space="0" w:color="auto"/>
        <w:right w:val="none" w:sz="0" w:space="0" w:color="auto"/>
      </w:divBdr>
      <w:divsChild>
        <w:div w:id="729302725">
          <w:marLeft w:val="0"/>
          <w:marRight w:val="0"/>
          <w:marTop w:val="240"/>
          <w:marBottom w:val="240"/>
          <w:divBdr>
            <w:top w:val="none" w:sz="0" w:space="0" w:color="auto"/>
            <w:left w:val="none" w:sz="0" w:space="0" w:color="auto"/>
            <w:bottom w:val="none" w:sz="0" w:space="0" w:color="auto"/>
            <w:right w:val="none" w:sz="0" w:space="0" w:color="auto"/>
          </w:divBdr>
        </w:div>
        <w:div w:id="1038313604">
          <w:marLeft w:val="0"/>
          <w:marRight w:val="0"/>
          <w:marTop w:val="450"/>
          <w:marBottom w:val="240"/>
          <w:divBdr>
            <w:top w:val="none" w:sz="0" w:space="0" w:color="auto"/>
            <w:left w:val="none" w:sz="0" w:space="0" w:color="auto"/>
            <w:bottom w:val="none" w:sz="0" w:space="0" w:color="auto"/>
            <w:right w:val="none" w:sz="0" w:space="0" w:color="auto"/>
          </w:divBdr>
        </w:div>
        <w:div w:id="1241791837">
          <w:marLeft w:val="0"/>
          <w:marRight w:val="0"/>
          <w:marTop w:val="240"/>
          <w:marBottom w:val="240"/>
          <w:divBdr>
            <w:top w:val="none" w:sz="0" w:space="0" w:color="auto"/>
            <w:left w:val="none" w:sz="0" w:space="0" w:color="auto"/>
            <w:bottom w:val="none" w:sz="0" w:space="0" w:color="auto"/>
            <w:right w:val="none" w:sz="0" w:space="0" w:color="auto"/>
          </w:divBdr>
        </w:div>
        <w:div w:id="129683697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445/oj" TargetMode="External"/><Relationship Id="rId2" Type="http://schemas.openxmlformats.org/officeDocument/2006/relationships/hyperlink" Target="https://commission.europa.eu/topics/preparedness_ro" TargetMode="External"/><Relationship Id="rId1" Type="http://schemas.openxmlformats.org/officeDocument/2006/relationships/hyperlink" Target="https://eur-lex.europa.eu/resource.html?uri=cellar:0c2f33c9-0b29-11f0-b1a3-01aa75ed71a1.0017.02/DOC_1&amp;forma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0DCB9447BD744ABB7779D87DFF2D13" ma:contentTypeVersion="3" ma:contentTypeDescription="Create a new document." ma:contentTypeScope="" ma:versionID="b61b5bd7c20a3ee04a4ca2469216c0a5">
  <xsd:schema xmlns:xsd="http://www.w3.org/2001/XMLSchema" xmlns:xs="http://www.w3.org/2001/XMLSchema" xmlns:p="http://schemas.microsoft.com/office/2006/metadata/properties" xmlns:ns2="2df98db3-3620-4103-92c3-581a907270ee" targetNamespace="http://schemas.microsoft.com/office/2006/metadata/properties" ma:root="true" ma:fieldsID="07b8a53ff171dff69e6ea270d2c1ad34" ns2:_="">
    <xsd:import namespace="2df98db3-3620-4103-92c3-581a907270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98db3-3620-4103-92c3-581a90727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DF444-468B-4D85-BEDD-DE4CFBE43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98db3-3620-4103-92c3-581a90727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79E472-DE3D-4936-8DDC-6A0C192B7A94}">
  <ds:schemaRefs>
    <ds:schemaRef ds:uri="http://purl.org/dc/terms/"/>
    <ds:schemaRef ds:uri="http://schemas.openxmlformats.org/package/2006/metadata/core-properties"/>
    <ds:schemaRef ds:uri="http://schemas.microsoft.com/office/infopath/2007/PartnerControls"/>
    <ds:schemaRef ds:uri="http://purl.org/dc/elements/1.1/"/>
    <ds:schemaRef ds:uri="2df98db3-3620-4103-92c3-581a907270ee"/>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0A1F0712-69B1-4DCF-AE71-BFE37E28FFDD}">
  <ds:schemaRefs>
    <ds:schemaRef ds:uri="http://schemas.microsoft.com/sharepoint/v3/contenttype/forms"/>
  </ds:schemaRefs>
</ds:datastoreItem>
</file>

<file path=customXml/itemProps4.xml><?xml version="1.0" encoding="utf-8"?>
<ds:datastoreItem xmlns:ds="http://schemas.openxmlformats.org/officeDocument/2006/customXml" ds:itemID="{91B57F2C-25F9-4A2D-8791-B958E7BA1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13</Pages>
  <Words>5110</Words>
  <Characters>29127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34169</CharactersWithSpaces>
  <SharedDoc>false</SharedDoc>
  <HLinks>
    <vt:vector size="30" baseType="variant">
      <vt:variant>
        <vt:i4>983067</vt:i4>
      </vt:variant>
      <vt:variant>
        <vt:i4>6</vt:i4>
      </vt:variant>
      <vt:variant>
        <vt:i4>0</vt:i4>
      </vt:variant>
      <vt:variant>
        <vt:i4>5</vt:i4>
      </vt:variant>
      <vt:variant>
        <vt:lpwstr>http://data.europa.eu/eli/C/2025/3445/oj</vt:lpwstr>
      </vt:variant>
      <vt:variant>
        <vt:lpwstr/>
      </vt:variant>
      <vt:variant>
        <vt:i4>7602178</vt:i4>
      </vt:variant>
      <vt:variant>
        <vt:i4>3</vt:i4>
      </vt:variant>
      <vt:variant>
        <vt:i4>0</vt:i4>
      </vt:variant>
      <vt:variant>
        <vt:i4>5</vt:i4>
      </vt:variant>
      <vt:variant>
        <vt:lpwstr>https://commission.europa.eu/topics/preparedness_en</vt:lpwstr>
      </vt:variant>
      <vt:variant>
        <vt:lpwstr/>
      </vt:variant>
      <vt:variant>
        <vt:i4>7077968</vt:i4>
      </vt:variant>
      <vt:variant>
        <vt:i4>0</vt:i4>
      </vt:variant>
      <vt:variant>
        <vt:i4>0</vt:i4>
      </vt:variant>
      <vt:variant>
        <vt:i4>5</vt:i4>
      </vt:variant>
      <vt:variant>
        <vt:lpwstr>https://commission.europa.eu/document/download/526806b6-c4e1-43d1-81b7-947308efbab1_en?filename=Joint%20Communication.pdf</vt:lpwstr>
      </vt:variant>
      <vt:variant>
        <vt:lpwstr/>
      </vt:variant>
      <vt:variant>
        <vt:i4>1507329</vt:i4>
      </vt:variant>
      <vt:variant>
        <vt:i4>3</vt:i4>
      </vt:variant>
      <vt:variant>
        <vt:i4>0</vt:i4>
      </vt:variant>
      <vt:variant>
        <vt:i4>5</vt:i4>
      </vt:variant>
      <vt:variant>
        <vt:lpwstr>https://myintracomm.ec.europa.eu/sg/Documents/commission_style_guide.pdf</vt:lpwstr>
      </vt:variant>
      <vt:variant>
        <vt:lpwstr/>
      </vt:variant>
      <vt:variant>
        <vt:i4>2818133</vt:i4>
      </vt:variant>
      <vt:variant>
        <vt:i4>0</vt:i4>
      </vt:variant>
      <vt:variant>
        <vt:i4>0</vt:i4>
      </vt:variant>
      <vt:variant>
        <vt:i4>5</vt:i4>
      </vt:variant>
      <vt:variant>
        <vt:lpwstr>https://myintracomm-collab.ec.europa.eu/networks/dgtedit/Knowledge_base/clear-writing-tips/Lists/Posts/Post.aspx?ID=421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2026-02-09T12:26:00Z</cp:lastPrinted>
  <dcterms:created xsi:type="dcterms:W3CDTF">2026-02-20T16:17:00Z</dcterms:created>
  <dcterms:modified xsi:type="dcterms:W3CDTF">2026-03-03T09:14:00Z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2026-01-27T10:30:55Z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f33f74b5-39fa-41b5-8647-0281a36c200b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0x0101001D0DCB9447BD744ABB7779D87DFF2D13</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CP-005</vt:lpwstr>
  </property>
</Properties>
</file>