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F6D21" w14:textId="3B5DF979" w:rsidR="00A3053C" w:rsidRDefault="00EF5639" w:rsidP="000033F2">
      <w:pPr>
        <w:pStyle w:val="Pagedecouverture"/>
        <w:rPr>
          <w:noProof/>
        </w:rPr>
      </w:pPr>
      <w:r>
        <w:rPr>
          <w:noProof/>
        </w:rPr>
        <w:pict w14:anchorId="575BB2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A36132A9-B003-4F7B-AE66-CA2E56B46557" style="width:455.4pt;height:403.2pt">
            <v:imagedata r:id="rId8" o:title=""/>
          </v:shape>
        </w:pict>
      </w:r>
    </w:p>
    <w:p w14:paraId="018A4ECD" w14:textId="77777777" w:rsidR="00A3053C" w:rsidRDefault="00A3053C" w:rsidP="00A3053C">
      <w:pPr>
        <w:rPr>
          <w:noProof/>
        </w:rPr>
        <w:sectPr w:rsidR="00A3053C" w:rsidSect="000033F2">
          <w:footerReference w:type="even" r:id="rId9"/>
          <w:footerReference w:type="default" r:id="rId10"/>
          <w:pgSz w:w="11907" w:h="16839"/>
          <w:pgMar w:top="1134" w:right="1417" w:bottom="1134" w:left="1417" w:header="709" w:footer="709" w:gutter="0"/>
          <w:pgNumType w:start="0"/>
          <w:cols w:space="720"/>
          <w:docGrid w:linePitch="360"/>
        </w:sectPr>
      </w:pPr>
    </w:p>
    <w:p w14:paraId="31FDD0B6" w14:textId="77777777" w:rsidR="00A3053C" w:rsidRDefault="00A3053C" w:rsidP="003A2E97">
      <w:pPr>
        <w:pStyle w:val="Exposdesmotifstitre"/>
        <w:rPr>
          <w:noProof/>
        </w:rPr>
      </w:pPr>
      <w:r w:rsidRPr="006F770D">
        <w:rPr>
          <w:noProof/>
        </w:rPr>
        <w:lastRenderedPageBreak/>
        <w:t>EXPLANATORY MEMORANDUM</w:t>
      </w:r>
    </w:p>
    <w:p w14:paraId="713C9F78" w14:textId="77777777" w:rsidR="00A3053C" w:rsidRPr="006F770D" w:rsidRDefault="00A3053C" w:rsidP="003A2E97">
      <w:pPr>
        <w:pStyle w:val="ManualHeading1"/>
        <w:rPr>
          <w:noProof/>
        </w:rPr>
      </w:pPr>
      <w:r w:rsidRPr="00C567EE">
        <w:rPr>
          <w:noProof/>
        </w:rPr>
        <w:t>1.</w:t>
      </w:r>
      <w:r w:rsidRPr="00C567EE">
        <w:rPr>
          <w:noProof/>
        </w:rPr>
        <w:tab/>
      </w:r>
      <w:r w:rsidRPr="006F770D">
        <w:rPr>
          <w:noProof/>
        </w:rPr>
        <w:t>CONTEXT OF THE PROPOSAL</w:t>
      </w:r>
    </w:p>
    <w:p w14:paraId="3DBEC3A1" w14:textId="77777777" w:rsidR="00A3053C" w:rsidRPr="00044058" w:rsidRDefault="00A3053C" w:rsidP="003A2E97">
      <w:pPr>
        <w:pStyle w:val="ManualHeading2"/>
        <w:rPr>
          <w:rFonts w:eastAsia="Arial Unicode MS"/>
          <w:noProof/>
        </w:rPr>
      </w:pPr>
      <w:r w:rsidRPr="0029266A">
        <w:rPr>
          <w:rFonts w:eastAsia="Arial Unicode MS"/>
          <w:noProof/>
          <w:color w:val="000000"/>
          <w:u w:color="000000"/>
          <w:bdr w:val="nil"/>
          <w:lang w:val="en-US" w:eastAsia="en-GB"/>
        </w:rPr>
        <w:t>•</w:t>
      </w:r>
      <w:r w:rsidRPr="0029266A">
        <w:rPr>
          <w:rFonts w:eastAsia="Arial Unicode MS"/>
          <w:noProof/>
          <w:color w:val="000000"/>
          <w:u w:color="000000"/>
          <w:bdr w:val="nil"/>
          <w:lang w:val="en-US" w:eastAsia="en-GB"/>
        </w:rPr>
        <w:tab/>
      </w:r>
      <w:r w:rsidRPr="00044058">
        <w:rPr>
          <w:rFonts w:eastAsia="Arial Unicode MS"/>
          <w:noProof/>
        </w:rPr>
        <w:t>Reasons for and objectives of the proposal</w:t>
      </w:r>
    </w:p>
    <w:p w14:paraId="5A63D17A" w14:textId="77777777" w:rsidR="00A3053C" w:rsidRDefault="00AB7469" w:rsidP="003A2E97">
      <w:pPr>
        <w:pBdr>
          <w:top w:val="nil"/>
          <w:left w:val="nil"/>
          <w:bottom w:val="nil"/>
          <w:right w:val="nil"/>
          <w:between w:val="nil"/>
          <w:bar w:val="nil"/>
        </w:pBdr>
        <w:spacing w:before="0" w:after="240"/>
        <w:rPr>
          <w:noProof/>
        </w:rPr>
      </w:pPr>
      <w:r w:rsidRPr="780270DC">
        <w:rPr>
          <w:noProof/>
          <w:lang w:val="en-IE"/>
        </w:rPr>
        <w:t xml:space="preserve">Since the adoption of the Cybersecurity Act </w:t>
      </w:r>
      <w:r w:rsidR="003B3807">
        <w:rPr>
          <w:noProof/>
          <w:lang w:val="en-IE"/>
        </w:rPr>
        <w:t>(CSA)</w:t>
      </w:r>
      <w:r w:rsidRPr="780270DC">
        <w:rPr>
          <w:noProof/>
          <w:lang w:val="en-IE"/>
        </w:rPr>
        <w:t xml:space="preserve"> in 2019</w:t>
      </w:r>
      <w:r w:rsidRPr="001A462E">
        <w:rPr>
          <w:noProof/>
          <w:lang w:val="en-IE"/>
        </w:rPr>
        <w:t>,</w:t>
      </w:r>
      <w:r w:rsidRPr="00B34DD2">
        <w:rPr>
          <w:noProof/>
          <w:lang w:val="en-IE"/>
        </w:rPr>
        <w:t xml:space="preserve"> the </w:t>
      </w:r>
      <w:r w:rsidRPr="00A75BA6">
        <w:rPr>
          <w:noProof/>
          <w:lang w:val="en-IE"/>
        </w:rPr>
        <w:t>cybersecurity threat landscape has significantly evolved</w:t>
      </w:r>
      <w:r w:rsidRPr="00B34DD2">
        <w:rPr>
          <w:rStyle w:val="FootnoteReference"/>
          <w:noProof/>
          <w:lang w:val="en-IE"/>
        </w:rPr>
        <w:footnoteReference w:id="2"/>
      </w:r>
      <w:r w:rsidRPr="004149B9">
        <w:rPr>
          <w:noProof/>
          <w:lang w:val="en-IE"/>
        </w:rPr>
        <w:t xml:space="preserve"> </w:t>
      </w:r>
      <w:r>
        <w:rPr>
          <w:noProof/>
          <w:lang w:val="en-IE"/>
        </w:rPr>
        <w:t xml:space="preserve">in an increasingly </w:t>
      </w:r>
      <w:r w:rsidRPr="00A75BA6">
        <w:rPr>
          <w:noProof/>
          <w:lang w:val="en-IE"/>
        </w:rPr>
        <w:t>complex geopolitical reality</w:t>
      </w:r>
      <w:r>
        <w:rPr>
          <w:noProof/>
          <w:lang w:val="en-IE"/>
        </w:rPr>
        <w:t xml:space="preserve">. </w:t>
      </w:r>
      <w:r w:rsidRPr="32C4CAA3">
        <w:rPr>
          <w:noProof/>
          <w:lang w:val="en-IE"/>
        </w:rPr>
        <w:t>Cyberattacks have surged and became more sophisticated</w:t>
      </w:r>
      <w:r w:rsidRPr="00B34DD2">
        <w:rPr>
          <w:noProof/>
          <w:lang w:val="en-IE"/>
        </w:rPr>
        <w:t xml:space="preserve">, targeting critical infrastructure, businesses, and </w:t>
      </w:r>
      <w:r w:rsidR="003E2396">
        <w:rPr>
          <w:noProof/>
          <w:lang w:val="en-IE"/>
        </w:rPr>
        <w:t>the general public</w:t>
      </w:r>
      <w:r w:rsidR="00F324E6">
        <w:rPr>
          <w:noProof/>
          <w:lang w:val="en-IE"/>
        </w:rPr>
        <w:t>, with the ransomware activity at its core</w:t>
      </w:r>
      <w:r w:rsidR="002241DB">
        <w:rPr>
          <w:rStyle w:val="FootnoteReference"/>
          <w:noProof/>
          <w:lang w:val="en-IE"/>
        </w:rPr>
        <w:footnoteReference w:id="3"/>
      </w:r>
      <w:r w:rsidRPr="00B34DD2">
        <w:rPr>
          <w:noProof/>
          <w:lang w:val="en-IE"/>
        </w:rPr>
        <w:t xml:space="preserve">. </w:t>
      </w:r>
      <w:r w:rsidRPr="00ED711B">
        <w:rPr>
          <w:noProof/>
          <w:lang w:val="en-IE"/>
        </w:rPr>
        <w:t>Emerging technologies like</w:t>
      </w:r>
      <w:r w:rsidR="000A1BA8">
        <w:rPr>
          <w:noProof/>
          <w:lang w:val="en-IE"/>
        </w:rPr>
        <w:t xml:space="preserve"> </w:t>
      </w:r>
      <w:r w:rsidR="00C32954">
        <w:rPr>
          <w:noProof/>
          <w:lang w:val="en-IE"/>
        </w:rPr>
        <w:t>the artificial intelligence (</w:t>
      </w:r>
      <w:r w:rsidRPr="00FE0BAB">
        <w:rPr>
          <w:noProof/>
          <w:lang w:val="en-IE"/>
        </w:rPr>
        <w:t>AI</w:t>
      </w:r>
      <w:r w:rsidR="00C32954">
        <w:rPr>
          <w:noProof/>
          <w:lang w:val="en-IE"/>
        </w:rPr>
        <w:t>)</w:t>
      </w:r>
      <w:r w:rsidRPr="00FE0BAB">
        <w:rPr>
          <w:noProof/>
          <w:lang w:val="en-IE"/>
        </w:rPr>
        <w:t xml:space="preserve"> and quantum computing</w:t>
      </w:r>
      <w:r w:rsidRPr="00ED711B">
        <w:rPr>
          <w:noProof/>
          <w:lang w:val="en-IE"/>
        </w:rPr>
        <w:t> are reshaping the tools of defence and the tactics of adversaries</w:t>
      </w:r>
      <w:r>
        <w:rPr>
          <w:noProof/>
          <w:lang w:val="en-IE"/>
        </w:rPr>
        <w:t>. I</w:t>
      </w:r>
      <w:r w:rsidRPr="00B04247">
        <w:rPr>
          <w:noProof/>
          <w:lang w:val="en-IE"/>
        </w:rPr>
        <w:t xml:space="preserve">n his 2024 </w:t>
      </w:r>
      <w:r w:rsidRPr="7410CB48">
        <w:rPr>
          <w:b/>
          <w:bCs/>
          <w:noProof/>
          <w:lang w:val="en-IE"/>
        </w:rPr>
        <w:t>report ‘</w:t>
      </w:r>
      <w:r w:rsidRPr="7410CB48">
        <w:rPr>
          <w:b/>
          <w:bCs/>
          <w:noProof/>
        </w:rPr>
        <w:t xml:space="preserve">The </w:t>
      </w:r>
      <w:r w:rsidR="00082E97">
        <w:rPr>
          <w:b/>
          <w:bCs/>
          <w:noProof/>
        </w:rPr>
        <w:t>f</w:t>
      </w:r>
      <w:r w:rsidRPr="7410CB48">
        <w:rPr>
          <w:b/>
          <w:bCs/>
          <w:noProof/>
        </w:rPr>
        <w:t xml:space="preserve">uture of European </w:t>
      </w:r>
      <w:r w:rsidR="000B094B">
        <w:rPr>
          <w:b/>
          <w:bCs/>
          <w:noProof/>
        </w:rPr>
        <w:t>c</w:t>
      </w:r>
      <w:r w:rsidRPr="7410CB48">
        <w:rPr>
          <w:b/>
          <w:bCs/>
          <w:noProof/>
        </w:rPr>
        <w:t>ompetitiveness’</w:t>
      </w:r>
      <w:r w:rsidRPr="00B04247">
        <w:rPr>
          <w:noProof/>
        </w:rPr>
        <w:t xml:space="preserve">, Mario Draghi </w:t>
      </w:r>
      <w:r>
        <w:rPr>
          <w:noProof/>
        </w:rPr>
        <w:t xml:space="preserve">highlighted the need to </w:t>
      </w:r>
      <w:r w:rsidRPr="007A618E">
        <w:rPr>
          <w:noProof/>
        </w:rPr>
        <w:t>increase</w:t>
      </w:r>
      <w:r>
        <w:rPr>
          <w:noProof/>
        </w:rPr>
        <w:t xml:space="preserve"> </w:t>
      </w:r>
      <w:r w:rsidRPr="007A618E">
        <w:rPr>
          <w:noProof/>
        </w:rPr>
        <w:t>security and reduc</w:t>
      </w:r>
      <w:r>
        <w:rPr>
          <w:noProof/>
        </w:rPr>
        <w:t>e</w:t>
      </w:r>
      <w:r w:rsidRPr="007A618E">
        <w:rPr>
          <w:noProof/>
        </w:rPr>
        <w:t xml:space="preserve"> dependencies</w:t>
      </w:r>
      <w:r>
        <w:rPr>
          <w:noProof/>
        </w:rPr>
        <w:t xml:space="preserve"> as one main areas of action needed in </w:t>
      </w:r>
      <w:r w:rsidR="00E11C5A">
        <w:rPr>
          <w:noProof/>
        </w:rPr>
        <w:t>the European Union</w:t>
      </w:r>
      <w:r w:rsidRPr="00B04247">
        <w:rPr>
          <w:rStyle w:val="FootnoteReference"/>
          <w:noProof/>
        </w:rPr>
        <w:footnoteReference w:id="4"/>
      </w:r>
      <w:r w:rsidRPr="00B04247">
        <w:rPr>
          <w:noProof/>
        </w:rPr>
        <w:t>.</w:t>
      </w:r>
      <w:r>
        <w:rPr>
          <w:noProof/>
        </w:rPr>
        <w:t xml:space="preserve"> Both t</w:t>
      </w:r>
      <w:r w:rsidRPr="008E2C74">
        <w:rPr>
          <w:noProof/>
        </w:rPr>
        <w:t xml:space="preserve">he </w:t>
      </w:r>
      <w:r w:rsidR="008F26E7">
        <w:rPr>
          <w:noProof/>
        </w:rPr>
        <w:t>European</w:t>
      </w:r>
      <w:r w:rsidRPr="008E2C74">
        <w:rPr>
          <w:noProof/>
        </w:rPr>
        <w:t xml:space="preserve"> Preparedness Union</w:t>
      </w:r>
      <w:r w:rsidR="00B608BE">
        <w:rPr>
          <w:noProof/>
        </w:rPr>
        <w:t xml:space="preserve"> Strategy</w:t>
      </w:r>
      <w:r>
        <w:rPr>
          <w:rStyle w:val="FootnoteReference"/>
          <w:noProof/>
        </w:rPr>
        <w:footnoteReference w:id="5"/>
      </w:r>
      <w:r>
        <w:rPr>
          <w:noProof/>
        </w:rPr>
        <w:t> and </w:t>
      </w:r>
      <w:r w:rsidR="00846E96">
        <w:rPr>
          <w:noProof/>
        </w:rPr>
        <w:t xml:space="preserve">the European </w:t>
      </w:r>
      <w:r w:rsidR="000A598E">
        <w:rPr>
          <w:noProof/>
        </w:rPr>
        <w:t xml:space="preserve">Internal </w:t>
      </w:r>
      <w:r w:rsidR="00CA2AFF">
        <w:rPr>
          <w:noProof/>
        </w:rPr>
        <w:t>Security Strategy (</w:t>
      </w:r>
      <w:r>
        <w:rPr>
          <w:noProof/>
        </w:rPr>
        <w:t>ProtectEU</w:t>
      </w:r>
      <w:r w:rsidR="00CA2AFF">
        <w:rPr>
          <w:noProof/>
        </w:rPr>
        <w:t>)</w:t>
      </w:r>
      <w:r>
        <w:rPr>
          <w:rStyle w:val="FootnoteReference"/>
          <w:noProof/>
        </w:rPr>
        <w:footnoteReference w:id="6"/>
      </w:r>
      <w:r>
        <w:rPr>
          <w:noProof/>
        </w:rPr>
        <w:t> </w:t>
      </w:r>
      <w:r w:rsidRPr="008E2C74">
        <w:rPr>
          <w:noProof/>
        </w:rPr>
        <w:t xml:space="preserve">have placed cybersecurity at the heart of </w:t>
      </w:r>
      <w:r w:rsidR="0023749B">
        <w:rPr>
          <w:noProof/>
        </w:rPr>
        <w:t>the Union</w:t>
      </w:r>
      <w:r w:rsidRPr="008E2C74">
        <w:rPr>
          <w:noProof/>
        </w:rPr>
        <w:t xml:space="preserve">’s resilience agenda. These strategies recognise that persistent cybersecurity threats are not just technical challenges, </w:t>
      </w:r>
      <w:r>
        <w:rPr>
          <w:noProof/>
        </w:rPr>
        <w:t>but strategic</w:t>
      </w:r>
      <w:r w:rsidRPr="008E2C74">
        <w:rPr>
          <w:noProof/>
        </w:rPr>
        <w:t xml:space="preserve"> risks to our democracy, economy and way of life.</w:t>
      </w:r>
      <w:r w:rsidR="0093122B">
        <w:rPr>
          <w:noProof/>
        </w:rPr>
        <w:t xml:space="preserve"> Similarly, the Communication on Strengthening EU economic security</w:t>
      </w:r>
      <w:r w:rsidR="0093122B" w:rsidRPr="2D707D92">
        <w:rPr>
          <w:rStyle w:val="FootnoteReference"/>
          <w:noProof/>
        </w:rPr>
        <w:footnoteReference w:id="7"/>
      </w:r>
      <w:r w:rsidR="0093122B">
        <w:rPr>
          <w:noProof/>
        </w:rPr>
        <w:t xml:space="preserve"> identifies preventing access to sensitive information and data that could undermine the Union’s economic security and preventing and mitigating disruptions to </w:t>
      </w:r>
      <w:r w:rsidR="00C8492F">
        <w:rPr>
          <w:noProof/>
        </w:rPr>
        <w:t xml:space="preserve">Union’s </w:t>
      </w:r>
      <w:r w:rsidR="0093122B">
        <w:rPr>
          <w:noProof/>
        </w:rPr>
        <w:t xml:space="preserve">critical infrastructure affecting the </w:t>
      </w:r>
      <w:r w:rsidR="00C8492F">
        <w:rPr>
          <w:noProof/>
        </w:rPr>
        <w:t xml:space="preserve">Union </w:t>
      </w:r>
      <w:r w:rsidR="0093122B">
        <w:rPr>
          <w:noProof/>
        </w:rPr>
        <w:t xml:space="preserve">economy as priority objectives, </w:t>
      </w:r>
      <w:r w:rsidR="00F37B85">
        <w:rPr>
          <w:noProof/>
        </w:rPr>
        <w:t xml:space="preserve">in </w:t>
      </w:r>
      <w:r w:rsidR="0093122B">
        <w:rPr>
          <w:noProof/>
        </w:rPr>
        <w:t>which effective cybersecurity measures play a crucial role.</w:t>
      </w:r>
    </w:p>
    <w:p w14:paraId="426814EE" w14:textId="64589A87" w:rsidR="00AB7469" w:rsidRDefault="00F10945" w:rsidP="00AB7469">
      <w:pPr>
        <w:spacing w:after="160" w:line="259" w:lineRule="auto"/>
        <w:rPr>
          <w:rFonts w:eastAsia="Arial Unicode MS"/>
          <w:noProof/>
        </w:rPr>
      </w:pPr>
      <w:r>
        <w:rPr>
          <w:noProof/>
        </w:rPr>
        <w:t>Against this background,</w:t>
      </w:r>
      <w:r w:rsidR="00AB7469">
        <w:rPr>
          <w:noProof/>
        </w:rPr>
        <w:t xml:space="preserve"> </w:t>
      </w:r>
      <w:r w:rsidR="00AB7469" w:rsidRPr="4CEA747B">
        <w:rPr>
          <w:b/>
          <w:noProof/>
        </w:rPr>
        <w:t xml:space="preserve">there are </w:t>
      </w:r>
      <w:r w:rsidR="00F13187">
        <w:rPr>
          <w:b/>
          <w:noProof/>
        </w:rPr>
        <w:t xml:space="preserve">four </w:t>
      </w:r>
      <w:r w:rsidR="00AB7469" w:rsidRPr="4CEA747B">
        <w:rPr>
          <w:b/>
          <w:noProof/>
        </w:rPr>
        <w:t>main problems</w:t>
      </w:r>
      <w:r w:rsidR="00AB7469">
        <w:rPr>
          <w:noProof/>
        </w:rPr>
        <w:t xml:space="preserve"> that th</w:t>
      </w:r>
      <w:r w:rsidR="000B3F3A">
        <w:rPr>
          <w:noProof/>
        </w:rPr>
        <w:t>is proposed revision of the</w:t>
      </w:r>
      <w:r w:rsidR="00AB7469">
        <w:rPr>
          <w:noProof/>
        </w:rPr>
        <w:t xml:space="preserve"> CSA aims to tackle: </w:t>
      </w:r>
      <w:r w:rsidR="004713EB">
        <w:rPr>
          <w:noProof/>
        </w:rPr>
        <w:t>(i)</w:t>
      </w:r>
      <w:r w:rsidR="00AB7469">
        <w:rPr>
          <w:noProof/>
        </w:rPr>
        <w:t xml:space="preserve"> the m</w:t>
      </w:r>
      <w:r w:rsidR="00AB7469" w:rsidRPr="4CEA747B">
        <w:rPr>
          <w:noProof/>
          <w:lang w:eastAsia="en-GB"/>
        </w:rPr>
        <w:t xml:space="preserve">isalignment between </w:t>
      </w:r>
      <w:r w:rsidR="00EA3071">
        <w:rPr>
          <w:noProof/>
          <w:lang w:eastAsia="en-GB"/>
        </w:rPr>
        <w:t>the Union’s</w:t>
      </w:r>
      <w:r w:rsidR="00AB7469" w:rsidRPr="4CEA747B">
        <w:rPr>
          <w:noProof/>
          <w:lang w:eastAsia="en-GB"/>
        </w:rPr>
        <w:t xml:space="preserve"> cybersecurity policy framework and stakeholders</w:t>
      </w:r>
      <w:r w:rsidR="002C4A6B">
        <w:rPr>
          <w:noProof/>
          <w:lang w:eastAsia="en-GB"/>
        </w:rPr>
        <w:t>’</w:t>
      </w:r>
      <w:r w:rsidR="00AB7469" w:rsidRPr="4CEA747B">
        <w:rPr>
          <w:noProof/>
          <w:lang w:eastAsia="en-GB"/>
        </w:rPr>
        <w:t xml:space="preserve"> needs in an increasingly hostile threat landscape</w:t>
      </w:r>
      <w:r w:rsidR="00B57FF7">
        <w:rPr>
          <w:noProof/>
          <w:lang w:eastAsia="en-GB"/>
        </w:rPr>
        <w:t>; (ii)</w:t>
      </w:r>
      <w:r w:rsidR="00AB7469" w:rsidRPr="4CEA747B">
        <w:rPr>
          <w:noProof/>
          <w:lang w:eastAsia="en-GB"/>
        </w:rPr>
        <w:t xml:space="preserve"> the stalled implementation of the </w:t>
      </w:r>
      <w:r w:rsidR="009D5C5C">
        <w:rPr>
          <w:noProof/>
          <w:lang w:eastAsia="en-GB"/>
        </w:rPr>
        <w:t>European cybersecurity certification framework</w:t>
      </w:r>
      <w:r w:rsidR="00AB7469" w:rsidRPr="4CEA747B">
        <w:rPr>
          <w:noProof/>
          <w:lang w:eastAsia="en-GB"/>
        </w:rPr>
        <w:t xml:space="preserve"> </w:t>
      </w:r>
      <w:r w:rsidR="009D5C5C">
        <w:rPr>
          <w:noProof/>
          <w:lang w:eastAsia="en-GB"/>
        </w:rPr>
        <w:t>(</w:t>
      </w:r>
      <w:r w:rsidR="00AB7469" w:rsidRPr="4CEA747B">
        <w:rPr>
          <w:noProof/>
          <w:lang w:eastAsia="en-GB"/>
        </w:rPr>
        <w:t>ECCF</w:t>
      </w:r>
      <w:r w:rsidR="009D5C5C">
        <w:rPr>
          <w:noProof/>
          <w:lang w:eastAsia="en-GB"/>
        </w:rPr>
        <w:t>)</w:t>
      </w:r>
      <w:r w:rsidR="0089321D">
        <w:rPr>
          <w:noProof/>
          <w:lang w:eastAsia="en-GB"/>
        </w:rPr>
        <w:t>; (iii)</w:t>
      </w:r>
      <w:r w:rsidR="00953C64">
        <w:rPr>
          <w:noProof/>
          <w:lang w:eastAsia="en-GB"/>
        </w:rPr>
        <w:t xml:space="preserve"> </w:t>
      </w:r>
      <w:r w:rsidR="00AB7469" w:rsidRPr="4CEA747B">
        <w:rPr>
          <w:noProof/>
          <w:lang w:eastAsia="en-GB"/>
        </w:rPr>
        <w:t>the c</w:t>
      </w:r>
      <w:r w:rsidR="00AB7469" w:rsidRPr="007E24AE">
        <w:rPr>
          <w:noProof/>
        </w:rPr>
        <w:t>omplexity and diversity of the cybersecurity-rel</w:t>
      </w:r>
      <w:r w:rsidR="00451B58">
        <w:rPr>
          <w:noProof/>
        </w:rPr>
        <w:t>ated</w:t>
      </w:r>
      <w:r w:rsidR="00AB7469" w:rsidRPr="007E24AE">
        <w:rPr>
          <w:noProof/>
        </w:rPr>
        <w:t xml:space="preserve"> policies impacting the Union’s cyber posture</w:t>
      </w:r>
      <w:r w:rsidR="00A26F01">
        <w:rPr>
          <w:noProof/>
        </w:rPr>
        <w:t>; and (iv)</w:t>
      </w:r>
      <w:r w:rsidR="00F13187">
        <w:rPr>
          <w:noProof/>
        </w:rPr>
        <w:t xml:space="preserve"> </w:t>
      </w:r>
      <w:r w:rsidR="00931010">
        <w:rPr>
          <w:noProof/>
        </w:rPr>
        <w:t>increasing ICT supply chains security risks</w:t>
      </w:r>
      <w:r w:rsidR="00AB7469" w:rsidRPr="0082513A">
        <w:rPr>
          <w:rFonts w:eastAsia="Arial Unicode MS"/>
          <w:noProof/>
        </w:rPr>
        <w:t>.</w:t>
      </w:r>
    </w:p>
    <w:p w14:paraId="2DF7BF9C" w14:textId="77777777" w:rsidR="00AB7469" w:rsidRPr="00AB7469" w:rsidRDefault="00AB7469" w:rsidP="00AB7469">
      <w:pPr>
        <w:spacing w:after="160" w:line="259" w:lineRule="auto"/>
        <w:rPr>
          <w:rFonts w:eastAsiaTheme="majorEastAsia"/>
          <w:noProof/>
        </w:rPr>
      </w:pPr>
      <w:r w:rsidRPr="344FA351">
        <w:rPr>
          <w:rStyle w:val="normaltextrun"/>
          <w:rFonts w:eastAsiaTheme="majorEastAsia"/>
          <w:noProof/>
        </w:rPr>
        <w:t xml:space="preserve">Based on the main problems identified, the </w:t>
      </w:r>
      <w:r w:rsidRPr="344FA351">
        <w:rPr>
          <w:rStyle w:val="normaltextrun"/>
          <w:rFonts w:eastAsiaTheme="majorEastAsia"/>
          <w:b/>
          <w:bCs/>
          <w:noProof/>
        </w:rPr>
        <w:t>two general objectives</w:t>
      </w:r>
      <w:r w:rsidRPr="344FA351">
        <w:rPr>
          <w:rStyle w:val="normaltextrun"/>
          <w:rFonts w:eastAsiaTheme="majorEastAsia"/>
          <w:noProof/>
        </w:rPr>
        <w:t xml:space="preserve"> of the intervention are to </w:t>
      </w:r>
      <w:r w:rsidR="00E04E6E">
        <w:rPr>
          <w:rFonts w:eastAsiaTheme="majorEastAsia"/>
          <w:noProof/>
        </w:rPr>
        <w:t>increase</w:t>
      </w:r>
      <w:r w:rsidRPr="344FA351">
        <w:rPr>
          <w:rFonts w:eastAsiaTheme="majorEastAsia"/>
          <w:noProof/>
        </w:rPr>
        <w:t xml:space="preserve"> </w:t>
      </w:r>
      <w:r w:rsidRPr="00AB7469">
        <w:rPr>
          <w:rFonts w:eastAsia="Arial Unicode MS"/>
          <w:noProof/>
        </w:rPr>
        <w:t>cybersecurity</w:t>
      </w:r>
      <w:r w:rsidRPr="344FA351">
        <w:rPr>
          <w:rFonts w:eastAsiaTheme="majorEastAsia"/>
          <w:noProof/>
        </w:rPr>
        <w:t xml:space="preserve"> capabilities and resilience </w:t>
      </w:r>
      <w:r w:rsidRPr="344FA351">
        <w:rPr>
          <w:rStyle w:val="normaltextrun"/>
          <w:rFonts w:eastAsiaTheme="majorEastAsia"/>
          <w:noProof/>
        </w:rPr>
        <w:t xml:space="preserve">and prevent fragmentation </w:t>
      </w:r>
      <w:r w:rsidRPr="344FA351">
        <w:rPr>
          <w:rFonts w:eastAsiaTheme="majorEastAsia"/>
          <w:noProof/>
        </w:rPr>
        <w:t xml:space="preserve">across the </w:t>
      </w:r>
      <w:r w:rsidR="007C2B0D">
        <w:rPr>
          <w:rFonts w:eastAsiaTheme="majorEastAsia"/>
          <w:noProof/>
        </w:rPr>
        <w:t>single</w:t>
      </w:r>
      <w:r w:rsidRPr="344FA351">
        <w:rPr>
          <w:rFonts w:eastAsiaTheme="majorEastAsia"/>
          <w:noProof/>
        </w:rPr>
        <w:t xml:space="preserve"> market by:</w:t>
      </w:r>
    </w:p>
    <w:p w14:paraId="147E92A6" w14:textId="77777777" w:rsidR="00AB7469" w:rsidRPr="007E24AE" w:rsidRDefault="002A7D28" w:rsidP="00D06470">
      <w:pPr>
        <w:pStyle w:val="Bullet0"/>
        <w:numPr>
          <w:ilvl w:val="0"/>
          <w:numId w:val="82"/>
        </w:numPr>
        <w:rPr>
          <w:noProof/>
        </w:rPr>
      </w:pPr>
      <w:r>
        <w:rPr>
          <w:noProof/>
        </w:rPr>
        <w:t>c</w:t>
      </w:r>
      <w:r w:rsidR="00AB7469" w:rsidRPr="6A29567D">
        <w:rPr>
          <w:noProof/>
        </w:rPr>
        <w:t>ontribut</w:t>
      </w:r>
      <w:r w:rsidR="00AB7469">
        <w:rPr>
          <w:noProof/>
        </w:rPr>
        <w:t>ing</w:t>
      </w:r>
      <w:r w:rsidR="00AB7469" w:rsidRPr="6A29567D">
        <w:rPr>
          <w:noProof/>
        </w:rPr>
        <w:t xml:space="preserve"> to strengthening</w:t>
      </w:r>
      <w:r w:rsidR="00AB7469" w:rsidRPr="007E24AE">
        <w:rPr>
          <w:noProof/>
        </w:rPr>
        <w:t xml:space="preserve"> the U</w:t>
      </w:r>
      <w:r w:rsidR="003F1942">
        <w:rPr>
          <w:noProof/>
        </w:rPr>
        <w:t>nion</w:t>
      </w:r>
      <w:r w:rsidR="00AB7469" w:rsidRPr="007E24AE">
        <w:rPr>
          <w:noProof/>
        </w:rPr>
        <w:t xml:space="preserve">’s cybersecurity governance and helping to ensure that </w:t>
      </w:r>
      <w:r w:rsidR="00AB7469" w:rsidRPr="00AB7469">
        <w:rPr>
          <w:rFonts w:eastAsia="Yu Gothic Light"/>
          <w:noProof/>
          <w:lang w:eastAsia="en-GB"/>
        </w:rPr>
        <w:t>relevant</w:t>
      </w:r>
      <w:r w:rsidR="00AB7469" w:rsidRPr="007E24AE">
        <w:rPr>
          <w:noProof/>
        </w:rPr>
        <w:t xml:space="preserve"> institutions, authorities and other stakeholders are better prepared to prevent, detect and respond to cybersecurity threats in a coordinated and effective manner</w:t>
      </w:r>
      <w:r w:rsidR="00AB7469">
        <w:rPr>
          <w:noProof/>
        </w:rPr>
        <w:t>; and</w:t>
      </w:r>
    </w:p>
    <w:p w14:paraId="56CCAF03" w14:textId="77777777" w:rsidR="00AB7469" w:rsidRPr="007E24AE" w:rsidRDefault="00F31BC9" w:rsidP="00925B2D">
      <w:pPr>
        <w:pStyle w:val="Bullet0"/>
        <w:rPr>
          <w:rStyle w:val="normaltextrun"/>
          <w:rFonts w:eastAsiaTheme="majorEastAsia"/>
          <w:noProof/>
        </w:rPr>
      </w:pPr>
      <w:r>
        <w:rPr>
          <w:rStyle w:val="normaltextrun"/>
          <w:rFonts w:eastAsiaTheme="majorEastAsia"/>
          <w:noProof/>
        </w:rPr>
        <w:t>s</w:t>
      </w:r>
      <w:r w:rsidR="00AB7469" w:rsidRPr="007E24AE">
        <w:rPr>
          <w:rStyle w:val="normaltextrun"/>
          <w:rFonts w:eastAsiaTheme="majorEastAsia"/>
          <w:noProof/>
        </w:rPr>
        <w:t>upporting the development, implementation and uptake of common U</w:t>
      </w:r>
      <w:r w:rsidR="00D958FE">
        <w:rPr>
          <w:rStyle w:val="normaltextrun"/>
          <w:rFonts w:eastAsiaTheme="majorEastAsia"/>
          <w:noProof/>
        </w:rPr>
        <w:t>nion</w:t>
      </w:r>
      <w:r w:rsidR="00AB7469" w:rsidRPr="007E24AE">
        <w:rPr>
          <w:rStyle w:val="normaltextrun"/>
          <w:rFonts w:eastAsiaTheme="majorEastAsia"/>
          <w:noProof/>
        </w:rPr>
        <w:t xml:space="preserve"> cybersecurity instruments, such as certification schemes</w:t>
      </w:r>
      <w:r w:rsidR="005F6984">
        <w:rPr>
          <w:rStyle w:val="normaltextrun"/>
          <w:rFonts w:eastAsiaTheme="majorEastAsia"/>
          <w:noProof/>
        </w:rPr>
        <w:t>,</w:t>
      </w:r>
      <w:r w:rsidR="00AB7469" w:rsidRPr="007E24AE">
        <w:rPr>
          <w:rStyle w:val="normaltextrun"/>
          <w:rFonts w:eastAsiaTheme="majorEastAsia"/>
          <w:noProof/>
        </w:rPr>
        <w:t xml:space="preserve"> and </w:t>
      </w:r>
      <w:r w:rsidR="00A22696">
        <w:rPr>
          <w:rStyle w:val="normaltextrun"/>
          <w:rFonts w:eastAsiaTheme="majorEastAsia"/>
          <w:noProof/>
        </w:rPr>
        <w:t>providing</w:t>
      </w:r>
      <w:r w:rsidR="00AB7469">
        <w:rPr>
          <w:rStyle w:val="normaltextrun"/>
          <w:rFonts w:eastAsiaTheme="majorEastAsia"/>
          <w:noProof/>
        </w:rPr>
        <w:t xml:space="preserve"> </w:t>
      </w:r>
      <w:r w:rsidR="00AB7469" w:rsidRPr="007E24AE">
        <w:rPr>
          <w:rStyle w:val="normaltextrun"/>
          <w:rFonts w:eastAsiaTheme="majorEastAsia"/>
          <w:noProof/>
        </w:rPr>
        <w:t xml:space="preserve">harmonised frameworks that build trust and interoperability </w:t>
      </w:r>
      <w:r w:rsidR="00AB7469" w:rsidRPr="00AB7469">
        <w:rPr>
          <w:rFonts w:eastAsia="Yu Gothic Light"/>
          <w:noProof/>
          <w:lang w:eastAsia="en-GB"/>
        </w:rPr>
        <w:t>across</w:t>
      </w:r>
      <w:r w:rsidR="00AB7469" w:rsidRPr="007E24AE">
        <w:rPr>
          <w:rStyle w:val="normaltextrun"/>
          <w:rFonts w:eastAsiaTheme="majorEastAsia"/>
          <w:noProof/>
        </w:rPr>
        <w:t xml:space="preserve"> Member States.</w:t>
      </w:r>
    </w:p>
    <w:p w14:paraId="0562F596" w14:textId="77777777" w:rsidR="00AB7469" w:rsidRPr="00AB7469" w:rsidRDefault="00AB7469" w:rsidP="00AB7469">
      <w:pPr>
        <w:spacing w:after="160" w:line="259" w:lineRule="auto"/>
        <w:rPr>
          <w:rFonts w:eastAsia="Arial Unicode MS"/>
          <w:noProof/>
        </w:rPr>
      </w:pPr>
      <w:r w:rsidRPr="00AB7469">
        <w:rPr>
          <w:rFonts w:eastAsia="Arial Unicode MS"/>
          <w:noProof/>
        </w:rPr>
        <w:lastRenderedPageBreak/>
        <w:t>These general objectives respond to the key challenges identified in the problem definition. They reflect the overarching policy aim of strengthening cybersecurity governance in the U</w:t>
      </w:r>
      <w:r w:rsidR="00CF49CB">
        <w:rPr>
          <w:rFonts w:eastAsia="Arial Unicode MS"/>
          <w:noProof/>
        </w:rPr>
        <w:t>nion</w:t>
      </w:r>
      <w:r w:rsidRPr="00AB7469">
        <w:rPr>
          <w:rFonts w:eastAsia="Arial Unicode MS"/>
          <w:noProof/>
        </w:rPr>
        <w:t xml:space="preserve"> and supporting the development of a secure, resilient and competitive </w:t>
      </w:r>
      <w:r w:rsidR="00316930">
        <w:rPr>
          <w:rFonts w:eastAsia="Arial Unicode MS"/>
          <w:noProof/>
        </w:rPr>
        <w:t>d</w:t>
      </w:r>
      <w:r w:rsidRPr="00AB7469">
        <w:rPr>
          <w:rFonts w:eastAsia="Arial Unicode MS"/>
          <w:noProof/>
        </w:rPr>
        <w:t xml:space="preserve">igital </w:t>
      </w:r>
      <w:r w:rsidR="00316930">
        <w:rPr>
          <w:rFonts w:eastAsia="Arial Unicode MS"/>
          <w:noProof/>
        </w:rPr>
        <w:t>s</w:t>
      </w:r>
      <w:r w:rsidRPr="00AB7469">
        <w:rPr>
          <w:rFonts w:eastAsia="Arial Unicode MS"/>
          <w:noProof/>
        </w:rPr>
        <w:t xml:space="preserve">ingle </w:t>
      </w:r>
      <w:r w:rsidR="00316930">
        <w:rPr>
          <w:rFonts w:eastAsia="Arial Unicode MS"/>
          <w:noProof/>
        </w:rPr>
        <w:t>m</w:t>
      </w:r>
      <w:r w:rsidRPr="00AB7469">
        <w:rPr>
          <w:rFonts w:eastAsia="Arial Unicode MS"/>
          <w:noProof/>
        </w:rPr>
        <w:t>arket.</w:t>
      </w:r>
    </w:p>
    <w:p w14:paraId="407439C2" w14:textId="77777777" w:rsidR="00AB7469" w:rsidRPr="007E24AE" w:rsidRDefault="00AB7469" w:rsidP="00AB7469">
      <w:pPr>
        <w:spacing w:after="160" w:line="259" w:lineRule="auto"/>
        <w:rPr>
          <w:rStyle w:val="eop"/>
          <w:rFonts w:eastAsiaTheme="majorEastAsia"/>
          <w:noProof/>
        </w:rPr>
      </w:pPr>
      <w:r w:rsidRPr="007E24AE">
        <w:rPr>
          <w:rStyle w:val="normaltextrun"/>
          <w:rFonts w:eastAsiaTheme="majorEastAsia"/>
          <w:noProof/>
        </w:rPr>
        <w:t xml:space="preserve">To </w:t>
      </w:r>
      <w:r>
        <w:rPr>
          <w:rStyle w:val="normaltextrun"/>
          <w:rFonts w:eastAsiaTheme="majorEastAsia"/>
          <w:noProof/>
        </w:rPr>
        <w:t>help</w:t>
      </w:r>
      <w:r w:rsidRPr="007E24AE">
        <w:rPr>
          <w:rStyle w:val="normaltextrun"/>
          <w:rFonts w:eastAsiaTheme="majorEastAsia"/>
          <w:noProof/>
        </w:rPr>
        <w:t xml:space="preserve"> </w:t>
      </w:r>
      <w:r>
        <w:rPr>
          <w:rStyle w:val="normaltextrun"/>
          <w:rFonts w:eastAsiaTheme="majorEastAsia"/>
          <w:noProof/>
        </w:rPr>
        <w:t>achiev</w:t>
      </w:r>
      <w:r w:rsidR="005C4D7A">
        <w:rPr>
          <w:rStyle w:val="normaltextrun"/>
          <w:rFonts w:eastAsiaTheme="majorEastAsia"/>
          <w:noProof/>
        </w:rPr>
        <w:t>e</w:t>
      </w:r>
      <w:r w:rsidRPr="007E24AE">
        <w:rPr>
          <w:rStyle w:val="normaltextrun"/>
          <w:rFonts w:eastAsiaTheme="majorEastAsia"/>
          <w:noProof/>
        </w:rPr>
        <w:t xml:space="preserve"> the general objectives listed above, this intervention pursues the </w:t>
      </w:r>
      <w:r w:rsidRPr="00AB7469">
        <w:rPr>
          <w:rFonts w:eastAsia="Arial Unicode MS"/>
          <w:noProof/>
        </w:rPr>
        <w:t>following</w:t>
      </w:r>
      <w:r w:rsidRPr="007E24AE">
        <w:rPr>
          <w:rStyle w:val="normaltextrun"/>
          <w:rFonts w:eastAsiaTheme="majorEastAsia"/>
          <w:noProof/>
        </w:rPr>
        <w:t xml:space="preserve"> </w:t>
      </w:r>
      <w:r w:rsidRPr="4CEA747B">
        <w:rPr>
          <w:rStyle w:val="normaltextrun"/>
          <w:rFonts w:eastAsiaTheme="majorEastAsia"/>
          <w:b/>
          <w:noProof/>
        </w:rPr>
        <w:t>specific objectives</w:t>
      </w:r>
      <w:r w:rsidR="005C4D7A">
        <w:rPr>
          <w:rStyle w:val="normaltextrun"/>
          <w:rFonts w:eastAsiaTheme="majorEastAsia"/>
          <w:b/>
          <w:noProof/>
        </w:rPr>
        <w:t xml:space="preserve"> (SPOs)</w:t>
      </w:r>
      <w:r w:rsidRPr="007E24AE">
        <w:rPr>
          <w:rStyle w:val="normaltextrun"/>
          <w:rFonts w:eastAsiaTheme="majorEastAsia"/>
          <w:noProof/>
        </w:rPr>
        <w:t>:</w:t>
      </w:r>
    </w:p>
    <w:p w14:paraId="45D89F25" w14:textId="77777777" w:rsidR="00AB7469" w:rsidRPr="00AB7469" w:rsidRDefault="00D40F04" w:rsidP="001A462E">
      <w:pPr>
        <w:pStyle w:val="Bullet0"/>
        <w:rPr>
          <w:rFonts w:eastAsia="Yu Gothic Light"/>
          <w:noProof/>
          <w:lang w:eastAsia="en-GB"/>
        </w:rPr>
      </w:pPr>
      <w:r>
        <w:rPr>
          <w:rFonts w:eastAsia="Yu Gothic Light"/>
          <w:noProof/>
          <w:lang w:eastAsia="en-GB"/>
        </w:rPr>
        <w:t>t</w:t>
      </w:r>
      <w:r w:rsidR="00AB7469" w:rsidRPr="344FA351">
        <w:rPr>
          <w:rFonts w:eastAsia="Yu Gothic Light"/>
          <w:noProof/>
          <w:lang w:eastAsia="en-GB"/>
        </w:rPr>
        <w:t xml:space="preserve">o </w:t>
      </w:r>
      <w:r w:rsidR="00AB7469" w:rsidRPr="001A462E">
        <w:rPr>
          <w:noProof/>
        </w:rPr>
        <w:t>address</w:t>
      </w:r>
      <w:r w:rsidR="00AB7469" w:rsidRPr="344FA351">
        <w:rPr>
          <w:rFonts w:eastAsia="Yu Gothic Light"/>
          <w:noProof/>
          <w:lang w:eastAsia="en-GB"/>
        </w:rPr>
        <w:t xml:space="preserve"> the misalignment between the </w:t>
      </w:r>
      <w:r w:rsidR="41A3A2B0" w:rsidRPr="03A792BC">
        <w:rPr>
          <w:rFonts w:eastAsia="Yu Gothic Light"/>
          <w:noProof/>
          <w:lang w:eastAsia="en-GB"/>
        </w:rPr>
        <w:t>Union</w:t>
      </w:r>
      <w:r w:rsidR="00AB7469" w:rsidRPr="344FA351">
        <w:rPr>
          <w:rFonts w:eastAsia="Yu Gothic Light"/>
          <w:noProof/>
          <w:lang w:eastAsia="en-GB"/>
        </w:rPr>
        <w:t xml:space="preserve"> cybersecurity policy framework and stakeholders’ needs:</w:t>
      </w:r>
    </w:p>
    <w:p w14:paraId="225E15DA" w14:textId="34F95172" w:rsidR="00AB7469" w:rsidRPr="00AB7469" w:rsidRDefault="00AB7469" w:rsidP="00D06470">
      <w:pPr>
        <w:pStyle w:val="Bullet1"/>
        <w:numPr>
          <w:ilvl w:val="0"/>
          <w:numId w:val="145"/>
        </w:numPr>
        <w:rPr>
          <w:rFonts w:eastAsia="Yu Gothic Light"/>
          <w:noProof/>
          <w:lang w:eastAsia="en-GB"/>
        </w:rPr>
      </w:pPr>
      <w:r w:rsidRPr="344FA351">
        <w:rPr>
          <w:rFonts w:eastAsia="Yu Gothic Light"/>
          <w:noProof/>
          <w:lang w:eastAsia="en-GB"/>
        </w:rPr>
        <w:t xml:space="preserve">SPO1: </w:t>
      </w:r>
      <w:r w:rsidR="001A3415">
        <w:rPr>
          <w:rFonts w:eastAsia="Yu Gothic Light"/>
          <w:noProof/>
          <w:lang w:eastAsia="en-GB"/>
        </w:rPr>
        <w:t>c</w:t>
      </w:r>
      <w:r w:rsidRPr="344FA351">
        <w:rPr>
          <w:rFonts w:eastAsia="Yu Gothic Light"/>
          <w:noProof/>
          <w:lang w:eastAsia="en-GB"/>
        </w:rPr>
        <w:t xml:space="preserve">reate the capacity </w:t>
      </w:r>
      <w:r w:rsidR="006A425B">
        <w:rPr>
          <w:rFonts w:eastAsia="Yu Gothic Light"/>
          <w:noProof/>
          <w:lang w:eastAsia="en-GB"/>
        </w:rPr>
        <w:t>to</w:t>
      </w:r>
      <w:r w:rsidRPr="344FA351">
        <w:rPr>
          <w:rFonts w:eastAsia="Yu Gothic Light"/>
          <w:noProof/>
          <w:lang w:eastAsia="en-GB"/>
        </w:rPr>
        <w:t xml:space="preserve"> effective</w:t>
      </w:r>
      <w:r w:rsidR="00F06D0B">
        <w:rPr>
          <w:rFonts w:eastAsia="Yu Gothic Light"/>
          <w:noProof/>
          <w:lang w:eastAsia="en-GB"/>
        </w:rPr>
        <w:t>ly</w:t>
      </w:r>
      <w:r w:rsidRPr="344FA351">
        <w:rPr>
          <w:rFonts w:eastAsia="Yu Gothic Light"/>
          <w:noProof/>
          <w:lang w:eastAsia="en-GB"/>
        </w:rPr>
        <w:t xml:space="preserve"> implement U</w:t>
      </w:r>
      <w:r w:rsidR="00727E88">
        <w:rPr>
          <w:rFonts w:eastAsia="Yu Gothic Light"/>
          <w:noProof/>
          <w:lang w:eastAsia="en-GB"/>
        </w:rPr>
        <w:t>nion</w:t>
      </w:r>
      <w:r w:rsidRPr="344FA351">
        <w:rPr>
          <w:rFonts w:eastAsia="Yu Gothic Light"/>
          <w:noProof/>
          <w:lang w:eastAsia="en-GB"/>
        </w:rPr>
        <w:t xml:space="preserve"> </w:t>
      </w:r>
      <w:r w:rsidRPr="00925B2D">
        <w:rPr>
          <w:noProof/>
        </w:rPr>
        <w:t>cybersecurity</w:t>
      </w:r>
      <w:r w:rsidRPr="344FA351">
        <w:rPr>
          <w:rFonts w:eastAsia="Yu Gothic Light"/>
          <w:noProof/>
          <w:lang w:eastAsia="en-GB"/>
        </w:rPr>
        <w:t xml:space="preserve"> policies and continuous operational cooperation enabling more structured cooperation between Member States</w:t>
      </w:r>
      <w:r w:rsidR="0070365B">
        <w:rPr>
          <w:rFonts w:eastAsia="Yu Gothic Light"/>
          <w:noProof/>
          <w:lang w:eastAsia="en-GB"/>
        </w:rPr>
        <w:t>;</w:t>
      </w:r>
    </w:p>
    <w:p w14:paraId="0E7903A5" w14:textId="77777777" w:rsidR="00AB7469" w:rsidRPr="00AB7469" w:rsidRDefault="00AB7469" w:rsidP="001A462E">
      <w:pPr>
        <w:pStyle w:val="Bullet1"/>
        <w:rPr>
          <w:rFonts w:eastAsia="Yu Gothic Light"/>
          <w:noProof/>
          <w:lang w:eastAsia="en-GB"/>
        </w:rPr>
      </w:pPr>
      <w:r w:rsidRPr="344FA351">
        <w:rPr>
          <w:rFonts w:eastAsia="Yu Gothic Light"/>
          <w:noProof/>
          <w:lang w:eastAsia="en-GB"/>
        </w:rPr>
        <w:t xml:space="preserve">SPO2: </w:t>
      </w:r>
      <w:r w:rsidR="00FD2A4C">
        <w:rPr>
          <w:rFonts w:eastAsia="Yu Gothic Light"/>
          <w:noProof/>
          <w:lang w:eastAsia="en-GB"/>
        </w:rPr>
        <w:t>d</w:t>
      </w:r>
      <w:r w:rsidRPr="344FA351">
        <w:rPr>
          <w:rFonts w:eastAsia="Yu Gothic Light"/>
          <w:noProof/>
          <w:lang w:eastAsia="en-GB"/>
        </w:rPr>
        <w:t xml:space="preserve">evelop and </w:t>
      </w:r>
      <w:r w:rsidR="00D75F69">
        <w:rPr>
          <w:rFonts w:eastAsia="Yu Gothic Light"/>
          <w:noProof/>
          <w:lang w:eastAsia="en-GB"/>
        </w:rPr>
        <w:t>implement</w:t>
      </w:r>
      <w:r w:rsidRPr="344FA351">
        <w:rPr>
          <w:rFonts w:eastAsia="Yu Gothic Light"/>
          <w:noProof/>
          <w:lang w:eastAsia="en-GB"/>
        </w:rPr>
        <w:t xml:space="preserve"> means and mechanisms to effectively support and address the needs of </w:t>
      </w:r>
      <w:r w:rsidRPr="00925B2D">
        <w:rPr>
          <w:noProof/>
        </w:rPr>
        <w:t>Member</w:t>
      </w:r>
      <w:r w:rsidRPr="344FA351">
        <w:rPr>
          <w:rFonts w:eastAsia="Yu Gothic Light"/>
          <w:noProof/>
          <w:lang w:eastAsia="en-GB"/>
        </w:rPr>
        <w:t xml:space="preserve"> States, industry and other stakeholders</w:t>
      </w:r>
      <w:r w:rsidR="00136073">
        <w:rPr>
          <w:rFonts w:eastAsia="Yu Gothic Light"/>
          <w:noProof/>
          <w:lang w:eastAsia="en-GB"/>
        </w:rPr>
        <w:t>;</w:t>
      </w:r>
    </w:p>
    <w:p w14:paraId="538D944D" w14:textId="77777777" w:rsidR="0080109A" w:rsidRPr="0080109A" w:rsidRDefault="00136073" w:rsidP="001A462E">
      <w:pPr>
        <w:pStyle w:val="Bullet0"/>
        <w:rPr>
          <w:rFonts w:eastAsia="Yu Gothic Light"/>
          <w:noProof/>
          <w:lang w:eastAsia="en-GB"/>
        </w:rPr>
      </w:pPr>
      <w:r>
        <w:rPr>
          <w:rFonts w:eastAsia="Yu Gothic Light"/>
          <w:noProof/>
          <w:lang w:eastAsia="en-GB"/>
        </w:rPr>
        <w:t>t</w:t>
      </w:r>
      <w:r w:rsidR="0080109A" w:rsidRPr="0080109A">
        <w:rPr>
          <w:rFonts w:eastAsia="Yu Gothic Light"/>
          <w:noProof/>
          <w:lang w:eastAsia="en-GB"/>
        </w:rPr>
        <w:t xml:space="preserve">o address the </w:t>
      </w:r>
      <w:r w:rsidR="0080109A" w:rsidRPr="001A462E">
        <w:rPr>
          <w:noProof/>
        </w:rPr>
        <w:t>limited</w:t>
      </w:r>
      <w:r w:rsidR="0080109A" w:rsidRPr="0080109A">
        <w:rPr>
          <w:rFonts w:eastAsia="Yu Gothic Light"/>
          <w:noProof/>
          <w:lang w:eastAsia="en-GB"/>
        </w:rPr>
        <w:t xml:space="preserve"> uptake and </w:t>
      </w:r>
      <w:r w:rsidR="0080109A" w:rsidRPr="0080109A">
        <w:rPr>
          <w:rStyle w:val="normaltextrun"/>
          <w:rFonts w:eastAsiaTheme="majorEastAsia"/>
          <w:noProof/>
        </w:rPr>
        <w:t>effectiveness</w:t>
      </w:r>
      <w:r w:rsidR="0080109A" w:rsidRPr="0080109A">
        <w:rPr>
          <w:rFonts w:eastAsia="Yu Gothic Light"/>
          <w:noProof/>
          <w:lang w:eastAsia="en-GB"/>
        </w:rPr>
        <w:t xml:space="preserve"> of the ECCF:</w:t>
      </w:r>
    </w:p>
    <w:p w14:paraId="797F331F" w14:textId="77777777" w:rsidR="00B86CDC" w:rsidRPr="00B86CDC" w:rsidRDefault="00455D8C" w:rsidP="001A462E">
      <w:pPr>
        <w:pStyle w:val="Bullet1"/>
        <w:rPr>
          <w:rFonts w:eastAsia="Times New Roman"/>
          <w:noProof/>
          <w:sz w:val="20"/>
          <w:szCs w:val="20"/>
          <w:lang w:eastAsia="en-GB"/>
        </w:rPr>
      </w:pPr>
      <w:r w:rsidRPr="344FA351">
        <w:rPr>
          <w:rFonts w:eastAsia="Yu Gothic Light"/>
          <w:noProof/>
          <w:lang w:eastAsia="en-GB"/>
        </w:rPr>
        <w:t xml:space="preserve">SPO3: </w:t>
      </w:r>
      <w:r w:rsidR="00136073">
        <w:rPr>
          <w:noProof/>
          <w:lang w:eastAsia="en-GB"/>
        </w:rPr>
        <w:t>c</w:t>
      </w:r>
      <w:r w:rsidRPr="344FA351">
        <w:rPr>
          <w:noProof/>
          <w:lang w:eastAsia="en-GB"/>
        </w:rPr>
        <w:t>reate</w:t>
      </w:r>
      <w:r w:rsidRPr="344FA351">
        <w:rPr>
          <w:rFonts w:eastAsia="Yu Gothic Light"/>
          <w:noProof/>
          <w:lang w:eastAsia="en-GB"/>
        </w:rPr>
        <w:t xml:space="preserve"> the prerequisites for faster delivery of cybersecurity certification schemes driven by market needs by broadening the scope of the ECCF, ensuring effective maintenance and agile procedures and </w:t>
      </w:r>
      <w:r w:rsidR="00F52836">
        <w:rPr>
          <w:rFonts w:eastAsia="Yu Gothic Light"/>
          <w:noProof/>
          <w:lang w:eastAsia="en-GB"/>
        </w:rPr>
        <w:t>increas</w:t>
      </w:r>
      <w:r w:rsidRPr="344FA351">
        <w:rPr>
          <w:rFonts w:eastAsia="Yu Gothic Light"/>
          <w:noProof/>
          <w:lang w:eastAsia="en-GB"/>
        </w:rPr>
        <w:t>ing transparency</w:t>
      </w:r>
      <w:r w:rsidR="00344DC9">
        <w:rPr>
          <w:rFonts w:eastAsia="Yu Gothic Light"/>
          <w:noProof/>
          <w:lang w:eastAsia="en-GB"/>
        </w:rPr>
        <w:t>;</w:t>
      </w:r>
    </w:p>
    <w:p w14:paraId="1FD934B5" w14:textId="77777777" w:rsidR="00297024" w:rsidRDefault="00D46600" w:rsidP="001A462E">
      <w:pPr>
        <w:pStyle w:val="Bullet0"/>
        <w:rPr>
          <w:rFonts w:eastAsia="Yu Gothic Light"/>
          <w:noProof/>
          <w:lang w:eastAsia="en-GB"/>
        </w:rPr>
      </w:pPr>
      <w:r>
        <w:rPr>
          <w:rFonts w:eastAsia="Yu Gothic Light"/>
          <w:noProof/>
          <w:lang w:eastAsia="en-GB"/>
        </w:rPr>
        <w:t>t</w:t>
      </w:r>
      <w:r w:rsidR="00297024" w:rsidRPr="00297024">
        <w:rPr>
          <w:rFonts w:eastAsia="Yu Gothic Light"/>
          <w:noProof/>
          <w:lang w:eastAsia="en-GB"/>
        </w:rPr>
        <w:t xml:space="preserve">o address the fragmented compliance landscape and complexity of </w:t>
      </w:r>
      <w:r w:rsidR="006F7262">
        <w:rPr>
          <w:rFonts w:eastAsia="Yu Gothic Light"/>
          <w:noProof/>
          <w:lang w:eastAsia="en-GB"/>
        </w:rPr>
        <w:t xml:space="preserve">horizontal </w:t>
      </w:r>
      <w:r w:rsidR="00297024" w:rsidRPr="00297024">
        <w:rPr>
          <w:rFonts w:eastAsia="Yu Gothic Light"/>
          <w:noProof/>
          <w:lang w:eastAsia="en-GB"/>
        </w:rPr>
        <w:t>and sectoral frameworks:</w:t>
      </w:r>
    </w:p>
    <w:p w14:paraId="6AC7D4C0" w14:textId="77777777" w:rsidR="00F165DB" w:rsidRDefault="00F165DB" w:rsidP="001A462E">
      <w:pPr>
        <w:pStyle w:val="Bullet1"/>
        <w:rPr>
          <w:rFonts w:eastAsia="Yu Gothic Light"/>
          <w:noProof/>
          <w:lang w:eastAsia="en-GB"/>
        </w:rPr>
      </w:pPr>
      <w:r w:rsidRPr="344FA351">
        <w:rPr>
          <w:rFonts w:eastAsia="Yu Gothic Light"/>
          <w:noProof/>
          <w:lang w:eastAsia="en-GB"/>
        </w:rPr>
        <w:t xml:space="preserve">SPO4: </w:t>
      </w:r>
      <w:r w:rsidR="00CB66B7">
        <w:rPr>
          <w:rFonts w:eastAsia="Yu Gothic Light"/>
          <w:noProof/>
          <w:lang w:eastAsia="en-GB"/>
        </w:rPr>
        <w:t>create</w:t>
      </w:r>
      <w:r w:rsidRPr="344FA351">
        <w:rPr>
          <w:rFonts w:eastAsia="Yu Gothic Light"/>
          <w:noProof/>
          <w:lang w:eastAsia="en-GB"/>
        </w:rPr>
        <w:t xml:space="preserve"> mechanisms and conditions to facilitate compliance with cybersecurity requirements</w:t>
      </w:r>
      <w:r w:rsidR="00C72170">
        <w:rPr>
          <w:rFonts w:eastAsia="Yu Gothic Light"/>
          <w:noProof/>
          <w:lang w:eastAsia="en-GB"/>
        </w:rPr>
        <w:t xml:space="preserve">, thereby making </w:t>
      </w:r>
      <w:r w:rsidRPr="344FA351">
        <w:rPr>
          <w:rFonts w:eastAsia="Yu Gothic Light"/>
          <w:noProof/>
          <w:lang w:eastAsia="en-GB"/>
        </w:rPr>
        <w:t xml:space="preserve">their implementation more coherent and effective.  </w:t>
      </w:r>
    </w:p>
    <w:p w14:paraId="2DED873D" w14:textId="77777777" w:rsidR="00931010" w:rsidRDefault="00931010" w:rsidP="00931010">
      <w:pPr>
        <w:pStyle w:val="Bullet0"/>
        <w:rPr>
          <w:noProof/>
        </w:rPr>
      </w:pPr>
      <w:r w:rsidRPr="001A462E">
        <w:rPr>
          <w:noProof/>
        </w:rPr>
        <w:t>to address cybersecurity risks in the supply chain:</w:t>
      </w:r>
    </w:p>
    <w:p w14:paraId="0F39B128" w14:textId="3843B675" w:rsidR="4AFD17D9" w:rsidRPr="001A462E" w:rsidRDefault="00931010" w:rsidP="00931010">
      <w:pPr>
        <w:pStyle w:val="Bullet1"/>
        <w:rPr>
          <w:noProof/>
        </w:rPr>
      </w:pPr>
      <w:r w:rsidRPr="001A462E">
        <w:rPr>
          <w:noProof/>
        </w:rPr>
        <w:t xml:space="preserve">SPO5: De-risk critical ICT supply chains from entities </w:t>
      </w:r>
      <w:r>
        <w:rPr>
          <w:noProof/>
        </w:rPr>
        <w:t>established in</w:t>
      </w:r>
      <w:r w:rsidRPr="001A462E">
        <w:rPr>
          <w:noProof/>
        </w:rPr>
        <w:t xml:space="preserve"> or controlled by</w:t>
      </w:r>
      <w:r>
        <w:rPr>
          <w:noProof/>
        </w:rPr>
        <w:t xml:space="preserve"> entities from</w:t>
      </w:r>
      <w:r w:rsidRPr="001A462E">
        <w:rPr>
          <w:noProof/>
        </w:rPr>
        <w:t xml:space="preserve"> third countries posing cybersecurity concerns (high-risk suppliers) and reduce critical dependencies by developing a coherent and effective framework at EU level to address ICT supply chain security risks</w:t>
      </w:r>
      <w:r w:rsidR="4AFD17D9" w:rsidRPr="001A462E">
        <w:rPr>
          <w:noProof/>
        </w:rPr>
        <w:t>.</w:t>
      </w:r>
    </w:p>
    <w:p w14:paraId="334DF21F" w14:textId="77777777" w:rsidR="00F13187" w:rsidRPr="00F165DB" w:rsidRDefault="00F13187" w:rsidP="00F13187">
      <w:pPr>
        <w:spacing w:after="160" w:line="259" w:lineRule="auto"/>
        <w:rPr>
          <w:rFonts w:eastAsia="Yu Gothic Light"/>
          <w:noProof/>
          <w:lang w:eastAsia="en-GB"/>
        </w:rPr>
      </w:pPr>
    </w:p>
    <w:p w14:paraId="504E57A4" w14:textId="77777777" w:rsidR="003C78BD" w:rsidRDefault="00A614C9" w:rsidP="00297024">
      <w:pPr>
        <w:spacing w:after="160" w:line="259" w:lineRule="auto"/>
        <w:rPr>
          <w:noProof/>
        </w:rPr>
      </w:pPr>
      <w:r>
        <w:rPr>
          <w:noProof/>
        </w:rPr>
        <w:t xml:space="preserve">The revision of the CSA falls within the </w:t>
      </w:r>
      <w:r w:rsidR="008A57B2">
        <w:rPr>
          <w:noProof/>
        </w:rPr>
        <w:t>remit of the</w:t>
      </w:r>
      <w:r w:rsidR="004B1AE7">
        <w:rPr>
          <w:noProof/>
        </w:rPr>
        <w:t xml:space="preserve"> </w:t>
      </w:r>
      <w:r w:rsidR="004B1AE7" w:rsidRPr="001A462E">
        <w:rPr>
          <w:b/>
          <w:bCs/>
          <w:noProof/>
        </w:rPr>
        <w:t>r</w:t>
      </w:r>
      <w:r w:rsidRPr="00A076E0">
        <w:rPr>
          <w:b/>
          <w:bCs/>
          <w:noProof/>
        </w:rPr>
        <w:t>eg</w:t>
      </w:r>
      <w:r w:rsidRPr="344FA351">
        <w:rPr>
          <w:b/>
          <w:bCs/>
          <w:noProof/>
        </w:rPr>
        <w:t xml:space="preserve">ulatory </w:t>
      </w:r>
      <w:r w:rsidR="004B1AE7">
        <w:rPr>
          <w:b/>
          <w:bCs/>
          <w:noProof/>
        </w:rPr>
        <w:t>f</w:t>
      </w:r>
      <w:r w:rsidRPr="344FA351">
        <w:rPr>
          <w:b/>
          <w:bCs/>
          <w:noProof/>
        </w:rPr>
        <w:t xml:space="preserve">itness </w:t>
      </w:r>
      <w:r w:rsidR="002F1890">
        <w:rPr>
          <w:b/>
          <w:bCs/>
          <w:noProof/>
        </w:rPr>
        <w:t>and performance p</w:t>
      </w:r>
      <w:r w:rsidRPr="344FA351">
        <w:rPr>
          <w:b/>
          <w:bCs/>
          <w:noProof/>
        </w:rPr>
        <w:t>rogramme (REFIT)</w:t>
      </w:r>
      <w:r>
        <w:rPr>
          <w:noProof/>
        </w:rPr>
        <w:t xml:space="preserve">. It strongly contributes to improving clarity, removing inefficiencies and aligning procedures across legal frameworks. </w:t>
      </w:r>
      <w:r w:rsidR="00CA7B8E">
        <w:rPr>
          <w:noProof/>
        </w:rPr>
        <w:t xml:space="preserve">The revision of the </w:t>
      </w:r>
      <w:r w:rsidR="003C78BD">
        <w:rPr>
          <w:noProof/>
        </w:rPr>
        <w:t>CSA contributes to the proper functioning of the internal market while ensuring the security and strategic autonomy of the Union</w:t>
      </w:r>
      <w:r w:rsidR="00482B2E">
        <w:rPr>
          <w:noProof/>
        </w:rPr>
        <w:t>.</w:t>
      </w:r>
    </w:p>
    <w:p w14:paraId="68851A3F" w14:textId="77777777" w:rsidR="006520D7" w:rsidRDefault="00A614C9" w:rsidP="00297024">
      <w:pPr>
        <w:spacing w:after="160" w:line="259" w:lineRule="auto"/>
        <w:rPr>
          <w:noProof/>
        </w:rPr>
      </w:pPr>
      <w:r>
        <w:rPr>
          <w:noProof/>
        </w:rPr>
        <w:t xml:space="preserve">More concretely, it proposes a full reform of </w:t>
      </w:r>
      <w:r w:rsidR="00433B80">
        <w:rPr>
          <w:noProof/>
        </w:rPr>
        <w:t>the</w:t>
      </w:r>
      <w:r>
        <w:rPr>
          <w:noProof/>
        </w:rPr>
        <w:t xml:space="preserve"> mandate </w:t>
      </w:r>
      <w:r w:rsidR="00433B80">
        <w:rPr>
          <w:noProof/>
        </w:rPr>
        <w:t xml:space="preserve">of the European </w:t>
      </w:r>
      <w:r w:rsidR="00EB2C0C">
        <w:rPr>
          <w:noProof/>
        </w:rPr>
        <w:t>Union Agency for Cybersecurity (ENISA)</w:t>
      </w:r>
      <w:r>
        <w:rPr>
          <w:noProof/>
        </w:rPr>
        <w:t xml:space="preserve"> providing effective support for policy implementation and added value in terms of supporting operational cooperation among Member States.</w:t>
      </w:r>
    </w:p>
    <w:p w14:paraId="554CE3C3" w14:textId="77777777" w:rsidR="00685474" w:rsidRDefault="00685474" w:rsidP="00297024">
      <w:pPr>
        <w:spacing w:after="160" w:line="259" w:lineRule="auto"/>
        <w:rPr>
          <w:noProof/>
        </w:rPr>
      </w:pPr>
      <w:r>
        <w:rPr>
          <w:noProof/>
        </w:rPr>
        <w:t xml:space="preserve">Given the increasing cybersecurity risks and challenges the Union is facing, the </w:t>
      </w:r>
      <w:r w:rsidR="009038DA">
        <w:rPr>
          <w:noProof/>
        </w:rPr>
        <w:t xml:space="preserve">proposal aims to increase ENISA’s </w:t>
      </w:r>
      <w:r>
        <w:rPr>
          <w:noProof/>
        </w:rPr>
        <w:t xml:space="preserve">financial and human resources to reflect its enhanced role, tasks, and its critical position in defending the digital ecosystem of the Union, allowing ENISA to effectively carry out the tasks conferred on it by this </w:t>
      </w:r>
      <w:r w:rsidR="007F2D57">
        <w:rPr>
          <w:noProof/>
        </w:rPr>
        <w:t>proposal.</w:t>
      </w:r>
    </w:p>
    <w:p w14:paraId="01CA99DE" w14:textId="77777777" w:rsidR="000E1E3F" w:rsidRDefault="00A614C9" w:rsidP="00297024">
      <w:pPr>
        <w:spacing w:after="160" w:line="259" w:lineRule="auto"/>
        <w:rPr>
          <w:noProof/>
        </w:rPr>
      </w:pPr>
      <w:r>
        <w:rPr>
          <w:noProof/>
        </w:rPr>
        <w:t>Th</w:t>
      </w:r>
      <w:r w:rsidR="0029308E">
        <w:rPr>
          <w:noProof/>
        </w:rPr>
        <w:t>e revision</w:t>
      </w:r>
      <w:r>
        <w:rPr>
          <w:noProof/>
        </w:rPr>
        <w:t xml:space="preserve"> will also help eliminate fragmented practices, improving coordination while lowering compliance and operational costs in the long term. By repealing the current CSA and introducing a reformed ECCF, the proposal delivers </w:t>
      </w:r>
      <w:r w:rsidR="0078672C">
        <w:rPr>
          <w:noProof/>
        </w:rPr>
        <w:t xml:space="preserve">a </w:t>
      </w:r>
      <w:r>
        <w:rPr>
          <w:noProof/>
        </w:rPr>
        <w:t xml:space="preserve">more effective and efficient tool that both </w:t>
      </w:r>
      <w:r w:rsidR="00D50C0C">
        <w:rPr>
          <w:noProof/>
        </w:rPr>
        <w:t>promotes</w:t>
      </w:r>
      <w:r>
        <w:rPr>
          <w:noProof/>
        </w:rPr>
        <w:t xml:space="preserve"> trust </w:t>
      </w:r>
      <w:r w:rsidR="008E5280">
        <w:rPr>
          <w:noProof/>
        </w:rPr>
        <w:t>among</w:t>
      </w:r>
      <w:r>
        <w:rPr>
          <w:noProof/>
        </w:rPr>
        <w:t xml:space="preserve"> businesses, </w:t>
      </w:r>
      <w:r w:rsidR="00DF67F6">
        <w:rPr>
          <w:noProof/>
        </w:rPr>
        <w:t>the general public</w:t>
      </w:r>
      <w:r>
        <w:rPr>
          <w:noProof/>
        </w:rPr>
        <w:t xml:space="preserve"> and public authorities and eases compliance with relevant U</w:t>
      </w:r>
      <w:r w:rsidR="00492309">
        <w:rPr>
          <w:noProof/>
        </w:rPr>
        <w:t>nion</w:t>
      </w:r>
      <w:r>
        <w:rPr>
          <w:noProof/>
        </w:rPr>
        <w:t xml:space="preserve"> legislation. It </w:t>
      </w:r>
      <w:r w:rsidR="006C3740">
        <w:rPr>
          <w:noProof/>
        </w:rPr>
        <w:t>increases</w:t>
      </w:r>
      <w:r>
        <w:rPr>
          <w:noProof/>
        </w:rPr>
        <w:t xml:space="preserve"> efficiency by revising the governance model and supporting more predictable, coherent and agile certification procedures to </w:t>
      </w:r>
      <w:r w:rsidR="00953964">
        <w:rPr>
          <w:noProof/>
        </w:rPr>
        <w:t>enable</w:t>
      </w:r>
      <w:r>
        <w:rPr>
          <w:noProof/>
        </w:rPr>
        <w:t xml:space="preserve"> faster scheme</w:t>
      </w:r>
      <w:r w:rsidR="00907493">
        <w:rPr>
          <w:noProof/>
        </w:rPr>
        <w:t xml:space="preserve"> development and implementation.</w:t>
      </w:r>
      <w:r>
        <w:rPr>
          <w:noProof/>
        </w:rPr>
        <w:t xml:space="preserve"> </w:t>
      </w:r>
    </w:p>
    <w:p w14:paraId="547D8DF3" w14:textId="266C5820" w:rsidR="00110110" w:rsidRDefault="00A614C9" w:rsidP="00297024">
      <w:pPr>
        <w:spacing w:after="160" w:line="259" w:lineRule="auto"/>
        <w:rPr>
          <w:rFonts w:eastAsia="Times New Roman"/>
          <w:noProof/>
          <w:szCs w:val="24"/>
        </w:rPr>
      </w:pPr>
      <w:r>
        <w:rPr>
          <w:noProof/>
        </w:rPr>
        <w:t xml:space="preserve">Greater synergies with relevant </w:t>
      </w:r>
      <w:r w:rsidR="00BE7A68">
        <w:rPr>
          <w:noProof/>
        </w:rPr>
        <w:t xml:space="preserve">existing </w:t>
      </w:r>
      <w:r>
        <w:rPr>
          <w:noProof/>
        </w:rPr>
        <w:t xml:space="preserve">Union legal frameworks will </w:t>
      </w:r>
      <w:r w:rsidR="002E1C39">
        <w:rPr>
          <w:noProof/>
        </w:rPr>
        <w:t>promote</w:t>
      </w:r>
      <w:r>
        <w:rPr>
          <w:noProof/>
        </w:rPr>
        <w:t xml:space="preserve"> certification as </w:t>
      </w:r>
      <w:r w:rsidR="008167F6">
        <w:rPr>
          <w:noProof/>
        </w:rPr>
        <w:t xml:space="preserve">a </w:t>
      </w:r>
      <w:r>
        <w:rPr>
          <w:noProof/>
        </w:rPr>
        <w:t xml:space="preserve">compliance tool for businesses and reduce </w:t>
      </w:r>
      <w:r w:rsidR="00612E97">
        <w:rPr>
          <w:noProof/>
        </w:rPr>
        <w:t xml:space="preserve">the </w:t>
      </w:r>
      <w:r w:rsidR="000C4132">
        <w:rPr>
          <w:noProof/>
        </w:rPr>
        <w:t xml:space="preserve">administrative </w:t>
      </w:r>
      <w:r>
        <w:rPr>
          <w:noProof/>
        </w:rPr>
        <w:t xml:space="preserve">burden </w:t>
      </w:r>
      <w:r w:rsidR="006F190B">
        <w:rPr>
          <w:noProof/>
        </w:rPr>
        <w:t>on</w:t>
      </w:r>
      <w:r>
        <w:rPr>
          <w:noProof/>
        </w:rPr>
        <w:t xml:space="preserve"> conformity assessment bodies active under </w:t>
      </w:r>
      <w:r w:rsidR="00765F19">
        <w:rPr>
          <w:noProof/>
        </w:rPr>
        <w:t>multiple</w:t>
      </w:r>
      <w:r w:rsidR="00B3182B">
        <w:rPr>
          <w:noProof/>
        </w:rPr>
        <w:t xml:space="preserve"> pieces of</w:t>
      </w:r>
      <w:r>
        <w:rPr>
          <w:noProof/>
        </w:rPr>
        <w:t xml:space="preserve"> cybersecurity legislation. Furthermore, by extending the scope of the ECCF and enabling the development of a scheme on the cyber posture of entities, </w:t>
      </w:r>
      <w:r w:rsidR="0028004C">
        <w:rPr>
          <w:noProof/>
        </w:rPr>
        <w:t>the proposal</w:t>
      </w:r>
      <w:r>
        <w:rPr>
          <w:noProof/>
        </w:rPr>
        <w:t xml:space="preserve"> reduces compliance costs for entities subject to relevant Union cybersecurity legislation, starting with entities in scope of the NIS 2 Directive. This approach will significantly simplify regulatory obligations for entities subject to multiple </w:t>
      </w:r>
      <w:r w:rsidR="00FB35B9">
        <w:rPr>
          <w:noProof/>
        </w:rPr>
        <w:t xml:space="preserve">compliance </w:t>
      </w:r>
      <w:r>
        <w:rPr>
          <w:noProof/>
        </w:rPr>
        <w:t xml:space="preserve">requirements and ensure a more effective use of resources across national authorities. </w:t>
      </w:r>
      <w:r w:rsidR="00DB2840" w:rsidRPr="00E015D2">
        <w:rPr>
          <w:noProof/>
        </w:rPr>
        <w:t>In addition to th</w:t>
      </w:r>
      <w:r w:rsidR="009762B4" w:rsidRPr="00E015D2">
        <w:rPr>
          <w:noProof/>
        </w:rPr>
        <w:t xml:space="preserve">is revision, </w:t>
      </w:r>
      <w:r w:rsidR="008A2496" w:rsidRPr="00E015D2">
        <w:rPr>
          <w:noProof/>
        </w:rPr>
        <w:t xml:space="preserve">a proposal for a directive </w:t>
      </w:r>
      <w:r w:rsidR="004309EC" w:rsidRPr="00E015D2">
        <w:rPr>
          <w:noProof/>
        </w:rPr>
        <w:t xml:space="preserve">introducing </w:t>
      </w:r>
      <w:r w:rsidR="00481CF5" w:rsidRPr="00E015D2">
        <w:rPr>
          <w:noProof/>
        </w:rPr>
        <w:t>t</w:t>
      </w:r>
      <w:r w:rsidRPr="00E015D2">
        <w:rPr>
          <w:noProof/>
        </w:rPr>
        <w:t>argeted amendments to the NIS 2 Directive aim</w:t>
      </w:r>
      <w:r w:rsidR="004309EC" w:rsidRPr="00E015D2">
        <w:rPr>
          <w:noProof/>
        </w:rPr>
        <w:t>s</w:t>
      </w:r>
      <w:r w:rsidRPr="00E015D2">
        <w:rPr>
          <w:noProof/>
        </w:rPr>
        <w:t xml:space="preserve"> at</w:t>
      </w:r>
      <w:r w:rsidR="004309EC" w:rsidRPr="00E015D2">
        <w:rPr>
          <w:noProof/>
        </w:rPr>
        <w:t xml:space="preserve"> </w:t>
      </w:r>
      <w:r w:rsidRPr="00E015D2">
        <w:rPr>
          <w:noProof/>
        </w:rPr>
        <w:t>simplifying compliance with and ensur</w:t>
      </w:r>
      <w:r w:rsidR="009A29E8" w:rsidRPr="00E015D2">
        <w:rPr>
          <w:noProof/>
        </w:rPr>
        <w:t>ing</w:t>
      </w:r>
      <w:r w:rsidRPr="00E015D2">
        <w:rPr>
          <w:noProof/>
        </w:rPr>
        <w:t xml:space="preserve"> streamlined and coherent implementation of specific aspects of the cybersecurity framework, including </w:t>
      </w:r>
      <w:r w:rsidR="00090008">
        <w:rPr>
          <w:noProof/>
        </w:rPr>
        <w:t>with</w:t>
      </w:r>
      <w:r w:rsidRPr="00E015D2">
        <w:rPr>
          <w:noProof/>
        </w:rPr>
        <w:t xml:space="preserve"> regard to scope, definitions, ransomware reporting and supervision of entities</w:t>
      </w:r>
      <w:r w:rsidR="00090008">
        <w:rPr>
          <w:noProof/>
        </w:rPr>
        <w:t xml:space="preserve"> providing cross-border services</w:t>
      </w:r>
      <w:r w:rsidRPr="00E015D2">
        <w:rPr>
          <w:noProof/>
        </w:rPr>
        <w:t xml:space="preserve">. </w:t>
      </w:r>
    </w:p>
    <w:p w14:paraId="6FBB74E0" w14:textId="1D865521" w:rsidR="0003457A" w:rsidRPr="001A462E" w:rsidDel="001A06C1" w:rsidRDefault="00931010" w:rsidP="00297024">
      <w:pPr>
        <w:spacing w:after="160" w:line="259" w:lineRule="auto"/>
        <w:rPr>
          <w:noProof/>
        </w:rPr>
      </w:pPr>
      <w:r w:rsidRPr="269C7185">
        <w:rPr>
          <w:rFonts w:eastAsia="Times New Roman"/>
          <w:noProof/>
        </w:rPr>
        <w:t xml:space="preserve">The new regulation also creates a harmonised framework to tackle non-technical risks affecting ICT supply chains, reducing the current fragmentation of approaches across Member States. </w:t>
      </w:r>
      <w:r w:rsidR="00A614C9" w:rsidRPr="006110E1">
        <w:rPr>
          <w:noProof/>
        </w:rPr>
        <w:t>Together, these aspects represent a substantial simplification and modernisation of the U</w:t>
      </w:r>
      <w:r w:rsidR="00AB127E" w:rsidRPr="006110E1">
        <w:rPr>
          <w:noProof/>
        </w:rPr>
        <w:t>nion</w:t>
      </w:r>
      <w:r w:rsidR="00A614C9" w:rsidRPr="006110E1">
        <w:rPr>
          <w:noProof/>
        </w:rPr>
        <w:t>’s cybersecurity legal framework, fully aligned with the REFIT principles of clarity, efficiency and digital readiness</w:t>
      </w:r>
      <w:r w:rsidR="00D7507E">
        <w:rPr>
          <w:noProof/>
        </w:rPr>
        <w:t xml:space="preserve">. </w:t>
      </w:r>
    </w:p>
    <w:p w14:paraId="057F9ECE" w14:textId="77777777" w:rsidR="00A3053C" w:rsidRPr="002D5EE2" w:rsidRDefault="00A3053C" w:rsidP="003A2E97">
      <w:pPr>
        <w:pStyle w:val="ManualHeading2"/>
        <w:rPr>
          <w:rFonts w:eastAsia="Arial Unicode MS"/>
          <w:noProof/>
          <w:color w:val="000000"/>
          <w:u w:color="000000"/>
          <w:bdr w:val="nil"/>
          <w:lang w:val="en-US" w:eastAsia="en-GB"/>
        </w:rPr>
      </w:pPr>
      <w:r w:rsidRPr="0029266A">
        <w:rPr>
          <w:rFonts w:eastAsia="Arial Unicode MS"/>
          <w:noProof/>
          <w:color w:val="000000"/>
          <w:u w:color="000000"/>
          <w:bdr w:val="nil"/>
          <w:lang w:val="en-US" w:eastAsia="en-GB"/>
        </w:rPr>
        <w:t>•</w:t>
      </w:r>
      <w:r w:rsidRPr="0029266A">
        <w:rPr>
          <w:rFonts w:eastAsia="Arial Unicode MS"/>
          <w:noProof/>
          <w:color w:val="000000"/>
          <w:u w:color="000000"/>
          <w:bdr w:val="nil"/>
          <w:lang w:val="en-US" w:eastAsia="en-GB"/>
        </w:rPr>
        <w:tab/>
      </w:r>
      <w:r w:rsidRPr="00044058">
        <w:rPr>
          <w:rFonts w:eastAsia="Arial Unicode MS"/>
          <w:noProof/>
        </w:rPr>
        <w:t>Consistency with existing policy provisions in the</w:t>
      </w:r>
      <w:r>
        <w:rPr>
          <w:rFonts w:eastAsia="Arial Unicode MS"/>
          <w:noProof/>
        </w:rPr>
        <w:t xml:space="preserve"> </w:t>
      </w:r>
      <w:r w:rsidRPr="002D5EE2">
        <w:rPr>
          <w:rFonts w:eastAsia="Arial Unicode MS"/>
          <w:noProof/>
        </w:rPr>
        <w:t>policy area</w:t>
      </w:r>
    </w:p>
    <w:p w14:paraId="0BFBE7D5" w14:textId="6A19012C" w:rsidR="00021E16" w:rsidRDefault="00021E16" w:rsidP="00021E16">
      <w:pPr>
        <w:spacing w:after="160" w:line="259" w:lineRule="auto"/>
        <w:rPr>
          <w:noProof/>
          <w:lang w:val="en-IE"/>
        </w:rPr>
      </w:pPr>
      <w:r w:rsidRPr="62979ACF">
        <w:rPr>
          <w:noProof/>
          <w:lang w:val="en-IE"/>
        </w:rPr>
        <w:t>Th</w:t>
      </w:r>
      <w:r>
        <w:rPr>
          <w:noProof/>
        </w:rPr>
        <w:t>e</w:t>
      </w:r>
      <w:r w:rsidRPr="007E24AE">
        <w:rPr>
          <w:b/>
          <w:bCs/>
          <w:noProof/>
        </w:rPr>
        <w:t xml:space="preserve"> </w:t>
      </w:r>
      <w:r w:rsidRPr="780270DC">
        <w:rPr>
          <w:noProof/>
          <w:lang w:val="en-IE"/>
        </w:rPr>
        <w:t>U</w:t>
      </w:r>
      <w:r w:rsidR="00AD698B">
        <w:rPr>
          <w:noProof/>
          <w:lang w:val="en-IE"/>
        </w:rPr>
        <w:t>nion</w:t>
      </w:r>
      <w:r w:rsidRPr="780270DC">
        <w:rPr>
          <w:noProof/>
          <w:lang w:val="en-IE"/>
        </w:rPr>
        <w:t xml:space="preserve"> has expanded its legal and policy tools</w:t>
      </w:r>
      <w:r w:rsidRPr="00D42723">
        <w:rPr>
          <w:noProof/>
        </w:rPr>
        <w:t xml:space="preserve"> with</w:t>
      </w:r>
      <w:r w:rsidRPr="007E24AE">
        <w:rPr>
          <w:noProof/>
        </w:rPr>
        <w:t xml:space="preserve"> the adoption of </w:t>
      </w:r>
      <w:r w:rsidR="00BC613C">
        <w:rPr>
          <w:noProof/>
        </w:rPr>
        <w:t>a number of legal instruments</w:t>
      </w:r>
      <w:r w:rsidR="009800A5">
        <w:rPr>
          <w:noProof/>
        </w:rPr>
        <w:t xml:space="preserve"> and policy measures</w:t>
      </w:r>
      <w:r w:rsidR="009901BC">
        <w:rPr>
          <w:noProof/>
        </w:rPr>
        <w:t>:</w:t>
      </w:r>
      <w:r w:rsidR="00BC613C">
        <w:rPr>
          <w:noProof/>
        </w:rPr>
        <w:t xml:space="preserve"> </w:t>
      </w:r>
      <w:r w:rsidR="004611B5">
        <w:rPr>
          <w:noProof/>
        </w:rPr>
        <w:t xml:space="preserve">(i) </w:t>
      </w:r>
      <w:r w:rsidRPr="007E24AE">
        <w:rPr>
          <w:noProof/>
        </w:rPr>
        <w:t>the NIS2 Directive</w:t>
      </w:r>
      <w:r>
        <w:rPr>
          <w:noProof/>
        </w:rPr>
        <w:t xml:space="preserve"> </w:t>
      </w:r>
      <w:r w:rsidR="009800A5">
        <w:rPr>
          <w:noProof/>
        </w:rPr>
        <w:t>serves</w:t>
      </w:r>
      <w:r w:rsidR="00BC613C">
        <w:rPr>
          <w:noProof/>
        </w:rPr>
        <w:t xml:space="preserve"> </w:t>
      </w:r>
      <w:r>
        <w:rPr>
          <w:noProof/>
          <w:lang w:val="en-IE"/>
        </w:rPr>
        <w:t>to strengthen</w:t>
      </w:r>
      <w:r w:rsidRPr="00ED711B">
        <w:rPr>
          <w:noProof/>
          <w:lang w:val="en-IE"/>
        </w:rPr>
        <w:t xml:space="preserve"> cybersecurity for critical infrastructure</w:t>
      </w:r>
      <w:r w:rsidR="00F56381">
        <w:rPr>
          <w:noProof/>
          <w:lang w:val="en-IE"/>
        </w:rPr>
        <w:t>;</w:t>
      </w:r>
      <w:r>
        <w:rPr>
          <w:noProof/>
          <w:lang w:val="en-IE"/>
        </w:rPr>
        <w:t xml:space="preserve"> </w:t>
      </w:r>
      <w:r w:rsidR="00833CCA">
        <w:rPr>
          <w:noProof/>
          <w:lang w:val="en-IE"/>
        </w:rPr>
        <w:t>(ii)</w:t>
      </w:r>
      <w:r>
        <w:rPr>
          <w:noProof/>
          <w:lang w:val="en-IE"/>
        </w:rPr>
        <w:t xml:space="preserve"> physical security </w:t>
      </w:r>
      <w:r w:rsidR="00DF27B7">
        <w:rPr>
          <w:noProof/>
          <w:lang w:val="en-IE"/>
        </w:rPr>
        <w:t xml:space="preserve">measures </w:t>
      </w:r>
      <w:r w:rsidR="00BB212C">
        <w:rPr>
          <w:noProof/>
          <w:lang w:val="en-IE"/>
        </w:rPr>
        <w:t>are</w:t>
      </w:r>
      <w:r w:rsidR="00DF27B7">
        <w:rPr>
          <w:noProof/>
          <w:lang w:val="en-IE"/>
        </w:rPr>
        <w:t xml:space="preserve"> defined in</w:t>
      </w:r>
      <w:r>
        <w:rPr>
          <w:noProof/>
          <w:lang w:val="en-IE"/>
        </w:rPr>
        <w:t xml:space="preserve"> its ‘sister directive’</w:t>
      </w:r>
      <w:r w:rsidR="00E62BCC">
        <w:rPr>
          <w:noProof/>
          <w:lang w:val="en-IE"/>
        </w:rPr>
        <w:t>, the Critical Entities Resilience</w:t>
      </w:r>
      <w:r>
        <w:rPr>
          <w:noProof/>
          <w:lang w:val="en-IE"/>
        </w:rPr>
        <w:t xml:space="preserve"> </w:t>
      </w:r>
      <w:r w:rsidR="00E62BCC">
        <w:rPr>
          <w:noProof/>
          <w:lang w:val="en-IE"/>
        </w:rPr>
        <w:t>(</w:t>
      </w:r>
      <w:r>
        <w:rPr>
          <w:noProof/>
          <w:lang w:val="en-IE"/>
        </w:rPr>
        <w:t>CER</w:t>
      </w:r>
      <w:r w:rsidR="00E62BCC">
        <w:rPr>
          <w:noProof/>
          <w:lang w:val="en-IE"/>
        </w:rPr>
        <w:t>) Directive</w:t>
      </w:r>
      <w:r w:rsidR="00D210E0">
        <w:rPr>
          <w:noProof/>
          <w:lang w:val="en-IE"/>
        </w:rPr>
        <w:t>;</w:t>
      </w:r>
      <w:r>
        <w:rPr>
          <w:noProof/>
          <w:lang w:val="en-IE"/>
        </w:rPr>
        <w:t xml:space="preserve"> </w:t>
      </w:r>
      <w:r w:rsidR="006B39EF">
        <w:rPr>
          <w:noProof/>
          <w:lang w:val="en-IE"/>
        </w:rPr>
        <w:t xml:space="preserve">(iii) </w:t>
      </w:r>
      <w:r>
        <w:rPr>
          <w:noProof/>
        </w:rPr>
        <w:t xml:space="preserve">the </w:t>
      </w:r>
      <w:r w:rsidRPr="007E24AE">
        <w:rPr>
          <w:noProof/>
        </w:rPr>
        <w:t>Cyber Resilience Act (CRA</w:t>
      </w:r>
      <w:r>
        <w:rPr>
          <w:noProof/>
        </w:rPr>
        <w:t>)</w:t>
      </w:r>
      <w:r w:rsidRPr="00107403">
        <w:rPr>
          <w:noProof/>
          <w:lang w:val="en-IE"/>
        </w:rPr>
        <w:t xml:space="preserve"> </w:t>
      </w:r>
      <w:r>
        <w:rPr>
          <w:noProof/>
          <w:lang w:val="en-IE"/>
        </w:rPr>
        <w:t>enhance</w:t>
      </w:r>
      <w:r w:rsidR="009800A5">
        <w:rPr>
          <w:noProof/>
          <w:lang w:val="en-IE"/>
        </w:rPr>
        <w:t>s</w:t>
      </w:r>
      <w:r>
        <w:rPr>
          <w:noProof/>
          <w:lang w:val="en-IE"/>
        </w:rPr>
        <w:t xml:space="preserve"> the</w:t>
      </w:r>
      <w:r w:rsidRPr="00ED711B">
        <w:rPr>
          <w:noProof/>
          <w:lang w:val="en-IE"/>
        </w:rPr>
        <w:t xml:space="preserve"> cybersecurity</w:t>
      </w:r>
      <w:r>
        <w:rPr>
          <w:noProof/>
          <w:lang w:val="en-IE"/>
        </w:rPr>
        <w:t xml:space="preserve"> of products</w:t>
      </w:r>
      <w:r w:rsidR="00BA2DD8">
        <w:rPr>
          <w:noProof/>
        </w:rPr>
        <w:t>;</w:t>
      </w:r>
      <w:r w:rsidR="006B39EF">
        <w:rPr>
          <w:noProof/>
        </w:rPr>
        <w:t xml:space="preserve"> (iv)</w:t>
      </w:r>
      <w:r w:rsidRPr="007E24AE">
        <w:rPr>
          <w:noProof/>
        </w:rPr>
        <w:t xml:space="preserve"> </w:t>
      </w:r>
      <w:r>
        <w:rPr>
          <w:noProof/>
        </w:rPr>
        <w:t>the</w:t>
      </w:r>
      <w:r w:rsidRPr="007E24AE">
        <w:rPr>
          <w:noProof/>
        </w:rPr>
        <w:t xml:space="preserve"> Cyber Solidarity Act (CSoA) </w:t>
      </w:r>
      <w:r w:rsidRPr="00217717">
        <w:rPr>
          <w:noProof/>
          <w:lang w:val="en-IE"/>
        </w:rPr>
        <w:t>build</w:t>
      </w:r>
      <w:r w:rsidR="009800A5">
        <w:rPr>
          <w:noProof/>
          <w:lang w:val="en-IE"/>
        </w:rPr>
        <w:t>s</w:t>
      </w:r>
      <w:r w:rsidRPr="00ED711B">
        <w:rPr>
          <w:noProof/>
          <w:lang w:val="en-IE"/>
        </w:rPr>
        <w:t xml:space="preserve"> EU-wide response capabilities</w:t>
      </w:r>
      <w:r w:rsidR="00113EA9">
        <w:rPr>
          <w:noProof/>
          <w:lang w:val="en-IE"/>
        </w:rPr>
        <w:t>;</w:t>
      </w:r>
      <w:r w:rsidRPr="007E24AE">
        <w:rPr>
          <w:noProof/>
        </w:rPr>
        <w:t xml:space="preserve"> </w:t>
      </w:r>
      <w:r w:rsidR="004A3E4B">
        <w:rPr>
          <w:noProof/>
        </w:rPr>
        <w:t>(v)</w:t>
      </w:r>
      <w:r w:rsidRPr="007E24AE">
        <w:rPr>
          <w:noProof/>
        </w:rPr>
        <w:t xml:space="preserve"> the EU Cyber Blueprint</w:t>
      </w:r>
      <w:r w:rsidRPr="007E24AE">
        <w:rPr>
          <w:rStyle w:val="FootnoteReference"/>
          <w:noProof/>
        </w:rPr>
        <w:footnoteReference w:id="8"/>
      </w:r>
      <w:r w:rsidRPr="007E24AE">
        <w:rPr>
          <w:noProof/>
        </w:rPr>
        <w:t xml:space="preserve"> </w:t>
      </w:r>
      <w:r w:rsidRPr="00217717">
        <w:rPr>
          <w:noProof/>
          <w:lang w:val="en-IE"/>
        </w:rPr>
        <w:t>support</w:t>
      </w:r>
      <w:r w:rsidR="009800A5">
        <w:rPr>
          <w:noProof/>
          <w:lang w:val="en-IE"/>
        </w:rPr>
        <w:t>s</w:t>
      </w:r>
      <w:r w:rsidRPr="00217717">
        <w:rPr>
          <w:noProof/>
          <w:lang w:val="en-IE"/>
        </w:rPr>
        <w:t xml:space="preserve"> </w:t>
      </w:r>
      <w:r>
        <w:rPr>
          <w:noProof/>
          <w:lang w:val="en-IE"/>
        </w:rPr>
        <w:t xml:space="preserve">EU-level </w:t>
      </w:r>
      <w:r w:rsidRPr="00ED711B">
        <w:rPr>
          <w:noProof/>
          <w:lang w:val="en-IE"/>
        </w:rPr>
        <w:t>crisis management</w:t>
      </w:r>
      <w:r>
        <w:rPr>
          <w:noProof/>
          <w:lang w:val="en-IE"/>
        </w:rPr>
        <w:t xml:space="preserve"> cooperation</w:t>
      </w:r>
      <w:r w:rsidR="00501677">
        <w:rPr>
          <w:noProof/>
          <w:lang w:val="en-IE"/>
        </w:rPr>
        <w:t xml:space="preserve"> in which the Commission and High Representative have key roles </w:t>
      </w:r>
      <w:r w:rsidR="00700CA0">
        <w:rPr>
          <w:noProof/>
          <w:lang w:val="en-IE"/>
        </w:rPr>
        <w:t>in preparing for and responding to</w:t>
      </w:r>
      <w:r w:rsidR="00501677">
        <w:rPr>
          <w:noProof/>
          <w:lang w:val="en-IE"/>
        </w:rPr>
        <w:t xml:space="preserve"> </w:t>
      </w:r>
      <w:r w:rsidR="009F362D">
        <w:rPr>
          <w:noProof/>
          <w:lang w:val="en-IE"/>
        </w:rPr>
        <w:t>large-scale cybersecurity incidents</w:t>
      </w:r>
      <w:r w:rsidR="002C28B6">
        <w:rPr>
          <w:noProof/>
          <w:lang w:val="en-IE"/>
        </w:rPr>
        <w:t>;</w:t>
      </w:r>
      <w:r>
        <w:rPr>
          <w:noProof/>
          <w:lang w:val="en-IE"/>
        </w:rPr>
        <w:t xml:space="preserve"> </w:t>
      </w:r>
      <w:r w:rsidR="006B39EF">
        <w:rPr>
          <w:noProof/>
          <w:lang w:val="en-IE"/>
        </w:rPr>
        <w:t>(v</w:t>
      </w:r>
      <w:r w:rsidR="004A3E4B">
        <w:rPr>
          <w:noProof/>
          <w:lang w:val="en-IE"/>
        </w:rPr>
        <w:t>i</w:t>
      </w:r>
      <w:r w:rsidR="006B39EF">
        <w:rPr>
          <w:noProof/>
          <w:lang w:val="en-IE"/>
        </w:rPr>
        <w:t>)</w:t>
      </w:r>
      <w:r>
        <w:rPr>
          <w:noProof/>
          <w:lang w:val="en-IE"/>
        </w:rPr>
        <w:t xml:space="preserve"> </w:t>
      </w:r>
      <w:r w:rsidRPr="007E24AE">
        <w:rPr>
          <w:noProof/>
        </w:rPr>
        <w:t xml:space="preserve">the 5G Cybersecurity Toolbox </w:t>
      </w:r>
      <w:r>
        <w:rPr>
          <w:noProof/>
        </w:rPr>
        <w:t>(5G Toolbox)</w:t>
      </w:r>
      <w:r w:rsidRPr="007E24AE">
        <w:rPr>
          <w:noProof/>
        </w:rPr>
        <w:t xml:space="preserve"> </w:t>
      </w:r>
      <w:r w:rsidR="009800A5">
        <w:rPr>
          <w:noProof/>
        </w:rPr>
        <w:t xml:space="preserve">supports cybersecurity </w:t>
      </w:r>
      <w:r w:rsidR="00231CE3">
        <w:rPr>
          <w:noProof/>
        </w:rPr>
        <w:t>in 5G networks</w:t>
      </w:r>
      <w:r w:rsidR="000D0DF3">
        <w:rPr>
          <w:noProof/>
        </w:rPr>
        <w:t>;</w:t>
      </w:r>
      <w:r w:rsidRPr="007E24AE">
        <w:rPr>
          <w:noProof/>
        </w:rPr>
        <w:t xml:space="preserve"> </w:t>
      </w:r>
      <w:r w:rsidR="00CD0100">
        <w:rPr>
          <w:noProof/>
        </w:rPr>
        <w:t xml:space="preserve">(vii) the </w:t>
      </w:r>
      <w:r w:rsidR="00B948E1" w:rsidRPr="00B948E1">
        <w:rPr>
          <w:noProof/>
        </w:rPr>
        <w:t>European action plan on the cybersecurity of hospitals and healthcare providers</w:t>
      </w:r>
      <w:r w:rsidR="00E706B7">
        <w:rPr>
          <w:rStyle w:val="FootnoteReference"/>
          <w:noProof/>
        </w:rPr>
        <w:footnoteReference w:id="9"/>
      </w:r>
      <w:r w:rsidR="00B948E1">
        <w:rPr>
          <w:noProof/>
        </w:rPr>
        <w:t xml:space="preserve"> </w:t>
      </w:r>
      <w:r w:rsidR="00602498">
        <w:rPr>
          <w:noProof/>
        </w:rPr>
        <w:t>helps improve their cybersecurity;</w:t>
      </w:r>
      <w:r w:rsidR="00B948E1" w:rsidRPr="00B948E1">
        <w:rPr>
          <w:noProof/>
        </w:rPr>
        <w:t xml:space="preserve"> </w:t>
      </w:r>
      <w:r w:rsidRPr="007E24AE">
        <w:rPr>
          <w:noProof/>
        </w:rPr>
        <w:t xml:space="preserve">and </w:t>
      </w:r>
      <w:r w:rsidR="004A3E4B">
        <w:rPr>
          <w:noProof/>
        </w:rPr>
        <w:t>(vii</w:t>
      </w:r>
      <w:r w:rsidR="00602498">
        <w:rPr>
          <w:noProof/>
        </w:rPr>
        <w:t>i</w:t>
      </w:r>
      <w:r w:rsidR="004A3E4B">
        <w:rPr>
          <w:noProof/>
        </w:rPr>
        <w:t>)</w:t>
      </w:r>
      <w:r w:rsidRPr="007E24AE">
        <w:rPr>
          <w:noProof/>
        </w:rPr>
        <w:t xml:space="preserve"> the </w:t>
      </w:r>
      <w:r w:rsidRPr="00021E16">
        <w:rPr>
          <w:rFonts w:eastAsia="Yu Gothic Light"/>
          <w:noProof/>
          <w:lang w:eastAsia="en-GB"/>
        </w:rPr>
        <w:t>Cybersecurity</w:t>
      </w:r>
      <w:r w:rsidRPr="007E24AE">
        <w:rPr>
          <w:noProof/>
        </w:rPr>
        <w:t xml:space="preserve"> Skills Academy</w:t>
      </w:r>
      <w:r w:rsidRPr="007E24AE">
        <w:rPr>
          <w:rStyle w:val="FootnoteReference"/>
          <w:noProof/>
        </w:rPr>
        <w:footnoteReference w:id="10"/>
      </w:r>
      <w:r>
        <w:rPr>
          <w:noProof/>
        </w:rPr>
        <w:t xml:space="preserve"> </w:t>
      </w:r>
      <w:r>
        <w:rPr>
          <w:noProof/>
          <w:lang w:val="en-IE"/>
        </w:rPr>
        <w:t>address</w:t>
      </w:r>
      <w:r w:rsidR="00231CE3">
        <w:rPr>
          <w:noProof/>
          <w:lang w:val="en-IE"/>
        </w:rPr>
        <w:t>es</w:t>
      </w:r>
      <w:r>
        <w:rPr>
          <w:noProof/>
          <w:lang w:val="en-IE"/>
        </w:rPr>
        <w:t xml:space="preserve"> the growing challenge of the cybersecurity </w:t>
      </w:r>
      <w:r w:rsidRPr="00ED711B">
        <w:rPr>
          <w:noProof/>
          <w:lang w:val="en-IE"/>
        </w:rPr>
        <w:t>talent gap.</w:t>
      </w:r>
      <w:r>
        <w:rPr>
          <w:noProof/>
          <w:lang w:val="en-IE"/>
        </w:rPr>
        <w:t xml:space="preserve"> </w:t>
      </w:r>
    </w:p>
    <w:p w14:paraId="0B98DE4B" w14:textId="77777777" w:rsidR="00635DD0" w:rsidRDefault="00635DD0" w:rsidP="00635DD0">
      <w:pPr>
        <w:pBdr>
          <w:top w:val="nil"/>
          <w:left w:val="nil"/>
          <w:bottom w:val="nil"/>
          <w:right w:val="nil"/>
          <w:between w:val="nil"/>
          <w:bar w:val="nil"/>
        </w:pBdr>
        <w:spacing w:before="0" w:after="240"/>
        <w:rPr>
          <w:b/>
          <w:bCs/>
          <w:noProof/>
        </w:rPr>
      </w:pPr>
      <w:r w:rsidRPr="006110E1">
        <w:rPr>
          <w:noProof/>
        </w:rPr>
        <w:t xml:space="preserve">The above-mentioned cybersecurity legal framework was complemented by sector-specific legislation, i.e. the Digital Operational Resilience Act (DORA Regulation) for the </w:t>
      </w:r>
      <w:r w:rsidRPr="006110E1">
        <w:rPr>
          <w:noProof/>
          <w:lang w:val="en-IE"/>
        </w:rPr>
        <w:t>financial</w:t>
      </w:r>
      <w:r w:rsidRPr="006110E1">
        <w:rPr>
          <w:noProof/>
        </w:rPr>
        <w:t xml:space="preserve"> sector, network code on sector-specific rules for cybersecurity aspects of cross-border electricity flows (NCCS) for the electricity sub-sector,</w:t>
      </w:r>
      <w:r>
        <w:rPr>
          <w:noProof/>
        </w:rPr>
        <w:t xml:space="preserve"> or</w:t>
      </w:r>
      <w:r w:rsidRPr="006110E1">
        <w:rPr>
          <w:noProof/>
        </w:rPr>
        <w:t xml:space="preserve"> information security rules (Part-IS</w:t>
      </w:r>
      <w:r w:rsidRPr="006110E1">
        <w:rPr>
          <w:rStyle w:val="FootnoteReference"/>
          <w:noProof/>
        </w:rPr>
        <w:footnoteReference w:id="11"/>
      </w:r>
      <w:r w:rsidRPr="006110E1">
        <w:rPr>
          <w:noProof/>
        </w:rPr>
        <w:t>) for the air transport sub-sector</w:t>
      </w:r>
      <w:r w:rsidRPr="006110E1">
        <w:rPr>
          <w:rFonts w:eastAsiaTheme="minorEastAsia"/>
          <w:i/>
          <w:noProof/>
        </w:rPr>
        <w:t>.</w:t>
      </w:r>
      <w:r w:rsidRPr="62979ACF">
        <w:rPr>
          <w:rStyle w:val="FootnoteReference"/>
          <w:rFonts w:asciiTheme="minorHAnsi" w:eastAsiaTheme="minorEastAsia" w:hAnsiTheme="minorHAnsi" w:cstheme="minorBidi"/>
          <w:noProof/>
        </w:rPr>
        <w:t xml:space="preserve"> </w:t>
      </w:r>
      <w:r w:rsidRPr="007E24AE">
        <w:rPr>
          <w:b/>
          <w:bCs/>
          <w:noProof/>
        </w:rPr>
        <w:t xml:space="preserve"> </w:t>
      </w:r>
    </w:p>
    <w:p w14:paraId="59F9832F" w14:textId="54A5E357" w:rsidR="00021E16" w:rsidRDefault="009A209E" w:rsidP="003A2E97">
      <w:pPr>
        <w:pBdr>
          <w:top w:val="nil"/>
          <w:left w:val="nil"/>
          <w:bottom w:val="nil"/>
          <w:right w:val="nil"/>
          <w:between w:val="nil"/>
          <w:bar w:val="nil"/>
        </w:pBdr>
        <w:spacing w:before="0" w:after="240"/>
        <w:rPr>
          <w:noProof/>
          <w:lang w:val="en-IE"/>
        </w:rPr>
      </w:pPr>
      <w:r w:rsidRPr="006110E1">
        <w:rPr>
          <w:noProof/>
          <w:lang w:val="en-IE"/>
        </w:rPr>
        <w:t xml:space="preserve">The CSA revision is aligned </w:t>
      </w:r>
      <w:r w:rsidR="00BC6961" w:rsidRPr="006110E1">
        <w:rPr>
          <w:noProof/>
          <w:lang w:val="en-IE"/>
        </w:rPr>
        <w:t xml:space="preserve">with </w:t>
      </w:r>
      <w:r w:rsidRPr="006110E1">
        <w:rPr>
          <w:noProof/>
          <w:lang w:val="en-IE"/>
        </w:rPr>
        <w:t xml:space="preserve">and </w:t>
      </w:r>
      <w:r w:rsidR="00BC6961" w:rsidRPr="006110E1">
        <w:rPr>
          <w:noProof/>
          <w:lang w:val="en-IE"/>
        </w:rPr>
        <w:t>strengthens</w:t>
      </w:r>
      <w:r w:rsidRPr="006110E1">
        <w:rPr>
          <w:noProof/>
          <w:lang w:val="en-IE"/>
        </w:rPr>
        <w:t xml:space="preserve"> the NIS2 provisions regarding ENISA’s role in </w:t>
      </w:r>
      <w:r w:rsidR="00485776" w:rsidRPr="006110E1">
        <w:rPr>
          <w:noProof/>
          <w:lang w:val="en-IE"/>
        </w:rPr>
        <w:t>support</w:t>
      </w:r>
      <w:r w:rsidR="00485776">
        <w:rPr>
          <w:noProof/>
          <w:lang w:val="en-IE"/>
        </w:rPr>
        <w:t>ing the NIS2 implementation, including as regards</w:t>
      </w:r>
      <w:r w:rsidR="00485776" w:rsidRPr="006110E1">
        <w:rPr>
          <w:noProof/>
          <w:lang w:val="en-IE"/>
        </w:rPr>
        <w:t xml:space="preserve"> </w:t>
      </w:r>
      <w:r w:rsidRPr="006110E1">
        <w:rPr>
          <w:noProof/>
          <w:lang w:val="en-IE"/>
        </w:rPr>
        <w:t xml:space="preserve">operational cooperation support; </w:t>
      </w:r>
      <w:r w:rsidRPr="344FA351">
        <w:rPr>
          <w:noProof/>
          <w:lang w:val="en-IE"/>
        </w:rPr>
        <w:t>it is also aligned with the CRA</w:t>
      </w:r>
      <w:r w:rsidR="00485776">
        <w:rPr>
          <w:noProof/>
          <w:lang w:val="en-IE"/>
        </w:rPr>
        <w:t>, including as regards the overview and management of</w:t>
      </w:r>
      <w:r w:rsidRPr="344FA351">
        <w:rPr>
          <w:noProof/>
          <w:lang w:val="en-IE"/>
        </w:rPr>
        <w:t xml:space="preserve"> vulnerabilit</w:t>
      </w:r>
      <w:r w:rsidR="00485776">
        <w:rPr>
          <w:noProof/>
          <w:lang w:val="en-IE"/>
        </w:rPr>
        <w:t xml:space="preserve">ies across the internal market </w:t>
      </w:r>
      <w:r w:rsidRPr="344FA351">
        <w:rPr>
          <w:noProof/>
          <w:lang w:val="en-IE"/>
        </w:rPr>
        <w:t xml:space="preserve">and </w:t>
      </w:r>
      <w:r w:rsidR="0069797A">
        <w:rPr>
          <w:noProof/>
          <w:lang w:val="en-IE"/>
        </w:rPr>
        <w:t>increases</w:t>
      </w:r>
      <w:r w:rsidRPr="344FA351">
        <w:rPr>
          <w:noProof/>
          <w:lang w:val="en-IE"/>
        </w:rPr>
        <w:t xml:space="preserve"> added value of shared situational awareness. Regarding the ECCF, the CSA revision is aligned with the CRA on product security </w:t>
      </w:r>
      <w:r w:rsidR="003F6587">
        <w:rPr>
          <w:noProof/>
          <w:lang w:val="en-IE"/>
        </w:rPr>
        <w:t xml:space="preserve">objectives </w:t>
      </w:r>
      <w:r w:rsidRPr="344FA351">
        <w:rPr>
          <w:noProof/>
          <w:lang w:val="en-IE"/>
        </w:rPr>
        <w:t>and vulnerability handling</w:t>
      </w:r>
      <w:r w:rsidR="00F7779C">
        <w:rPr>
          <w:noProof/>
          <w:lang w:val="en-IE"/>
        </w:rPr>
        <w:t>,</w:t>
      </w:r>
      <w:r w:rsidRPr="344FA351">
        <w:rPr>
          <w:noProof/>
          <w:lang w:val="en-IE"/>
        </w:rPr>
        <w:t xml:space="preserve"> and with the New Legislative Framework (NLF) on accreditation. </w:t>
      </w:r>
      <w:r w:rsidRPr="006110E1">
        <w:rPr>
          <w:noProof/>
          <w:lang w:val="en-IE"/>
        </w:rPr>
        <w:t xml:space="preserve">Furthermore, there is </w:t>
      </w:r>
      <w:r w:rsidR="00ED4662" w:rsidRPr="006110E1">
        <w:rPr>
          <w:noProof/>
          <w:lang w:val="en-IE"/>
        </w:rPr>
        <w:t xml:space="preserve">a </w:t>
      </w:r>
      <w:r w:rsidRPr="006110E1">
        <w:rPr>
          <w:noProof/>
          <w:lang w:val="en-IE"/>
        </w:rPr>
        <w:t xml:space="preserve">strong synergy </w:t>
      </w:r>
      <w:r w:rsidR="00503953" w:rsidRPr="006110E1">
        <w:rPr>
          <w:noProof/>
          <w:lang w:val="en-IE"/>
        </w:rPr>
        <w:t>stemming from the</w:t>
      </w:r>
      <w:r w:rsidR="00E51915" w:rsidRPr="006110E1">
        <w:rPr>
          <w:noProof/>
          <w:lang w:val="en-IE"/>
        </w:rPr>
        <w:t xml:space="preserve"> development of</w:t>
      </w:r>
      <w:r w:rsidRPr="006110E1">
        <w:rPr>
          <w:noProof/>
          <w:lang w:val="en-IE"/>
        </w:rPr>
        <w:t xml:space="preserve"> cyber posture certification for the NIS2 Directive as well as potentially </w:t>
      </w:r>
      <w:r w:rsidR="00617B60" w:rsidRPr="006110E1">
        <w:rPr>
          <w:noProof/>
          <w:lang w:val="en-IE"/>
        </w:rPr>
        <w:t xml:space="preserve">for facilitating compliance with other </w:t>
      </w:r>
      <w:r w:rsidRPr="006110E1">
        <w:rPr>
          <w:noProof/>
          <w:lang w:val="en-IE"/>
        </w:rPr>
        <w:t>relevant Union legal acts such as the G</w:t>
      </w:r>
      <w:r w:rsidR="00431734" w:rsidRPr="006110E1">
        <w:rPr>
          <w:noProof/>
          <w:lang w:val="en-IE"/>
        </w:rPr>
        <w:t xml:space="preserve">eneral </w:t>
      </w:r>
      <w:r w:rsidRPr="006110E1">
        <w:rPr>
          <w:noProof/>
          <w:lang w:val="en-IE"/>
        </w:rPr>
        <w:t>D</w:t>
      </w:r>
      <w:r w:rsidR="00431734" w:rsidRPr="006110E1">
        <w:rPr>
          <w:noProof/>
          <w:lang w:val="en-IE"/>
        </w:rPr>
        <w:t xml:space="preserve">ata </w:t>
      </w:r>
      <w:r w:rsidRPr="006110E1">
        <w:rPr>
          <w:noProof/>
          <w:lang w:val="en-IE"/>
        </w:rPr>
        <w:t>P</w:t>
      </w:r>
      <w:r w:rsidR="00431734" w:rsidRPr="006110E1">
        <w:rPr>
          <w:noProof/>
          <w:lang w:val="en-IE"/>
        </w:rPr>
        <w:t xml:space="preserve">rotection </w:t>
      </w:r>
      <w:r w:rsidRPr="006110E1">
        <w:rPr>
          <w:noProof/>
          <w:lang w:val="en-IE"/>
        </w:rPr>
        <w:t>R</w:t>
      </w:r>
      <w:r w:rsidR="00431734" w:rsidRPr="006110E1">
        <w:rPr>
          <w:noProof/>
          <w:lang w:val="en-IE"/>
        </w:rPr>
        <w:t>egulation</w:t>
      </w:r>
      <w:r w:rsidR="00140C71" w:rsidRPr="006110E1">
        <w:rPr>
          <w:noProof/>
          <w:lang w:val="en-IE"/>
        </w:rPr>
        <w:t xml:space="preserve"> (GDPR), </w:t>
      </w:r>
      <w:r w:rsidR="00130EA3" w:rsidRPr="006110E1">
        <w:rPr>
          <w:noProof/>
          <w:lang w:val="en-IE"/>
        </w:rPr>
        <w:t>without prejudice to their specific certification requirements</w:t>
      </w:r>
      <w:r w:rsidRPr="006110E1">
        <w:rPr>
          <w:noProof/>
          <w:lang w:val="en-IE"/>
        </w:rPr>
        <w:t>.</w:t>
      </w:r>
      <w:r w:rsidR="00862BA2" w:rsidRPr="006110E1">
        <w:rPr>
          <w:noProof/>
          <w:lang w:val="en-IE"/>
        </w:rPr>
        <w:t xml:space="preserve"> </w:t>
      </w:r>
      <w:r w:rsidR="00931010" w:rsidRPr="00931010">
        <w:rPr>
          <w:noProof/>
          <w:lang w:val="en-IE"/>
        </w:rPr>
        <w:t>Additionally, the horizontal framework that addresses ICT supply chains cybersecurity risks supports the overall objective of the NIS2 Directive to create a high common level of cybersecurity across the Union and relies on the NIS2 Directive risk-based approach.</w:t>
      </w:r>
    </w:p>
    <w:p w14:paraId="0072A88F" w14:textId="16A47ECC" w:rsidR="00192BCB" w:rsidRDefault="00485776" w:rsidP="009A209E">
      <w:pPr>
        <w:pBdr>
          <w:top w:val="nil"/>
          <w:left w:val="nil"/>
          <w:bottom w:val="nil"/>
          <w:right w:val="nil"/>
          <w:between w:val="nil"/>
          <w:bar w:val="nil"/>
        </w:pBdr>
        <w:spacing w:before="0" w:after="240"/>
        <w:rPr>
          <w:b/>
          <w:bCs/>
          <w:noProof/>
        </w:rPr>
      </w:pPr>
      <w:r>
        <w:rPr>
          <w:rFonts w:eastAsiaTheme="minorEastAsia"/>
          <w:noProof/>
        </w:rPr>
        <w:t xml:space="preserve">Furthermore, </w:t>
      </w:r>
      <w:r w:rsidR="00192BCB" w:rsidRPr="40A11489">
        <w:rPr>
          <w:rFonts w:eastAsiaTheme="minorEastAsia"/>
          <w:noProof/>
        </w:rPr>
        <w:t>the CSA revision</w:t>
      </w:r>
      <w:r w:rsidR="00865384">
        <w:rPr>
          <w:rFonts w:eastAsiaTheme="minorEastAsia"/>
          <w:noProof/>
        </w:rPr>
        <w:t>,</w:t>
      </w:r>
      <w:r w:rsidR="00192BCB" w:rsidRPr="40A11489">
        <w:rPr>
          <w:rFonts w:eastAsiaTheme="minorEastAsia"/>
          <w:noProof/>
        </w:rPr>
        <w:t xml:space="preserve"> </w:t>
      </w:r>
      <w:r w:rsidR="006D12D7" w:rsidRPr="00E015D2">
        <w:rPr>
          <w:rFonts w:eastAsiaTheme="minorEastAsia"/>
          <w:noProof/>
        </w:rPr>
        <w:t>in com</w:t>
      </w:r>
      <w:r w:rsidR="00865384" w:rsidRPr="00E015D2">
        <w:rPr>
          <w:rFonts w:eastAsiaTheme="minorEastAsia"/>
          <w:noProof/>
        </w:rPr>
        <w:t xml:space="preserve">bination with the proposal for a Directive </w:t>
      </w:r>
      <w:r w:rsidR="00A948DF" w:rsidRPr="00E015D2">
        <w:rPr>
          <w:rFonts w:eastAsiaTheme="minorEastAsia"/>
          <w:noProof/>
        </w:rPr>
        <w:t xml:space="preserve">introducing targeted amendments to </w:t>
      </w:r>
      <w:r w:rsidR="00865384" w:rsidRPr="00E015D2">
        <w:rPr>
          <w:rFonts w:eastAsiaTheme="minorEastAsia"/>
          <w:noProof/>
        </w:rPr>
        <w:t>the NIS2 Directive</w:t>
      </w:r>
      <w:r w:rsidR="00A948DF" w:rsidRPr="00E015D2">
        <w:rPr>
          <w:rFonts w:eastAsiaTheme="minorEastAsia"/>
          <w:noProof/>
        </w:rPr>
        <w:t xml:space="preserve"> with the aim of simplification</w:t>
      </w:r>
      <w:r w:rsidR="00865384" w:rsidRPr="00E015D2">
        <w:rPr>
          <w:rFonts w:eastAsiaTheme="minorEastAsia"/>
          <w:noProof/>
        </w:rPr>
        <w:t>,</w:t>
      </w:r>
      <w:r w:rsidR="00865384">
        <w:rPr>
          <w:rFonts w:eastAsiaTheme="minorEastAsia"/>
          <w:noProof/>
        </w:rPr>
        <w:t xml:space="preserve"> </w:t>
      </w:r>
      <w:r w:rsidR="00192BCB" w:rsidRPr="40A11489">
        <w:rPr>
          <w:rFonts w:eastAsiaTheme="minorEastAsia"/>
          <w:noProof/>
        </w:rPr>
        <w:t>provide</w:t>
      </w:r>
      <w:r w:rsidR="008A63FB">
        <w:rPr>
          <w:rFonts w:eastAsiaTheme="minorEastAsia"/>
          <w:noProof/>
        </w:rPr>
        <w:t>s</w:t>
      </w:r>
      <w:r w:rsidR="00192BCB" w:rsidRPr="40A11489">
        <w:rPr>
          <w:rFonts w:eastAsiaTheme="minorEastAsia"/>
          <w:noProof/>
        </w:rPr>
        <w:t xml:space="preserve"> the necessary tools to make </w:t>
      </w:r>
      <w:r w:rsidR="008A63FB">
        <w:rPr>
          <w:rFonts w:eastAsiaTheme="minorEastAsia"/>
          <w:noProof/>
        </w:rPr>
        <w:t>this</w:t>
      </w:r>
      <w:r w:rsidR="008A63FB" w:rsidRPr="40A11489">
        <w:rPr>
          <w:rFonts w:eastAsiaTheme="minorEastAsia"/>
          <w:noProof/>
        </w:rPr>
        <w:t xml:space="preserve"> </w:t>
      </w:r>
      <w:r w:rsidR="00192BCB" w:rsidRPr="40A11489">
        <w:rPr>
          <w:rFonts w:eastAsiaTheme="minorEastAsia"/>
          <w:noProof/>
        </w:rPr>
        <w:t xml:space="preserve">comprehensive framework more effective and efficient in delivering the expected results, provide for a stronger European dimension and fill in the remaining regulatory gaps. </w:t>
      </w:r>
    </w:p>
    <w:p w14:paraId="49B922D5" w14:textId="77777777" w:rsidR="00A3053C" w:rsidRPr="002D5EE2" w:rsidRDefault="00A3053C" w:rsidP="003A2E97">
      <w:pPr>
        <w:pStyle w:val="ManualHeading2"/>
        <w:rPr>
          <w:rFonts w:eastAsia="Arial Unicode MS"/>
          <w:noProof/>
        </w:rPr>
      </w:pPr>
      <w:r w:rsidRPr="002D5EE2">
        <w:rPr>
          <w:rFonts w:eastAsia="Arial Unicode MS"/>
          <w:noProof/>
          <w:color w:val="000000"/>
          <w:u w:color="000000"/>
          <w:bdr w:val="nil"/>
          <w:lang w:val="en-US" w:eastAsia="en-GB"/>
        </w:rPr>
        <w:t>•</w:t>
      </w:r>
      <w:r w:rsidRPr="002D5EE2">
        <w:rPr>
          <w:rFonts w:eastAsia="Arial Unicode MS"/>
          <w:noProof/>
          <w:color w:val="000000"/>
          <w:u w:color="000000"/>
          <w:bdr w:val="nil"/>
          <w:lang w:val="en-US" w:eastAsia="en-GB"/>
        </w:rPr>
        <w:tab/>
      </w:r>
      <w:r w:rsidRPr="002D5EE2">
        <w:rPr>
          <w:rFonts w:eastAsia="Arial Unicode MS"/>
          <w:noProof/>
        </w:rPr>
        <w:t>Consistency with other Union policies</w:t>
      </w:r>
    </w:p>
    <w:p w14:paraId="5E7A17A6" w14:textId="63A3088A" w:rsidR="00A3053C" w:rsidRPr="002D5EE2" w:rsidRDefault="003826A9" w:rsidP="0F6D9264">
      <w:pPr>
        <w:pBdr>
          <w:top w:val="nil"/>
          <w:left w:val="nil"/>
          <w:bottom w:val="nil"/>
          <w:right w:val="nil"/>
          <w:between w:val="nil"/>
          <w:bar w:val="nil"/>
        </w:pBdr>
        <w:spacing w:before="0" w:after="240"/>
        <w:rPr>
          <w:rFonts w:eastAsia="Arial Unicode MS"/>
          <w:noProof/>
        </w:rPr>
      </w:pPr>
      <w:r>
        <w:rPr>
          <w:noProof/>
        </w:rPr>
        <w:t>T</w:t>
      </w:r>
      <w:r w:rsidRPr="00332388">
        <w:rPr>
          <w:noProof/>
        </w:rPr>
        <w:t xml:space="preserve">he </w:t>
      </w:r>
      <w:r>
        <w:rPr>
          <w:noProof/>
        </w:rPr>
        <w:t xml:space="preserve">CSA </w:t>
      </w:r>
      <w:r w:rsidRPr="00332388">
        <w:rPr>
          <w:noProof/>
        </w:rPr>
        <w:t xml:space="preserve">revision would complement the </w:t>
      </w:r>
      <w:r w:rsidRPr="495A0751">
        <w:rPr>
          <w:noProof/>
        </w:rPr>
        <w:t xml:space="preserve">CER Directive which </w:t>
      </w:r>
      <w:r w:rsidR="00196414">
        <w:rPr>
          <w:noProof/>
        </w:rPr>
        <w:t xml:space="preserve">includes </w:t>
      </w:r>
      <w:r>
        <w:rPr>
          <w:noProof/>
        </w:rPr>
        <w:t xml:space="preserve">supply chain </w:t>
      </w:r>
      <w:r w:rsidR="00196414">
        <w:rPr>
          <w:noProof/>
        </w:rPr>
        <w:t xml:space="preserve">considerations </w:t>
      </w:r>
      <w:r>
        <w:rPr>
          <w:noProof/>
        </w:rPr>
        <w:t xml:space="preserve">as part of </w:t>
      </w:r>
      <w:r w:rsidR="00196414">
        <w:rPr>
          <w:noProof/>
        </w:rPr>
        <w:t xml:space="preserve">the </w:t>
      </w:r>
      <w:r w:rsidRPr="495A0751">
        <w:rPr>
          <w:noProof/>
        </w:rPr>
        <w:t>r</w:t>
      </w:r>
      <w:r>
        <w:rPr>
          <w:noProof/>
        </w:rPr>
        <w:t xml:space="preserve">esilience measures of critical entities. Moreover, it would complement upcoming </w:t>
      </w:r>
      <w:r w:rsidRPr="00332388">
        <w:rPr>
          <w:noProof/>
        </w:rPr>
        <w:t>initiatives</w:t>
      </w:r>
      <w:r>
        <w:rPr>
          <w:noProof/>
        </w:rPr>
        <w:t>,</w:t>
      </w:r>
      <w:r w:rsidRPr="00332388">
        <w:rPr>
          <w:noProof/>
        </w:rPr>
        <w:t xml:space="preserve"> such as</w:t>
      </w:r>
      <w:r w:rsidR="00BA1E67">
        <w:rPr>
          <w:noProof/>
        </w:rPr>
        <w:t>: (i)</w:t>
      </w:r>
      <w:r w:rsidRPr="00332388">
        <w:rPr>
          <w:noProof/>
        </w:rPr>
        <w:t xml:space="preserve"> the Cloud and AI Development Act (CAIDA) which aim</w:t>
      </w:r>
      <w:r>
        <w:rPr>
          <w:noProof/>
        </w:rPr>
        <w:t>s,</w:t>
      </w:r>
      <w:r w:rsidRPr="00332388">
        <w:rPr>
          <w:noProof/>
        </w:rPr>
        <w:t xml:space="preserve"> among other</w:t>
      </w:r>
      <w:r w:rsidR="00C94DB7">
        <w:rPr>
          <w:noProof/>
        </w:rPr>
        <w:t>s</w:t>
      </w:r>
      <w:r w:rsidRPr="00332388">
        <w:rPr>
          <w:noProof/>
        </w:rPr>
        <w:t xml:space="preserve">, to tackle the lack of a competitive </w:t>
      </w:r>
      <w:r w:rsidR="00C94DB7">
        <w:rPr>
          <w:noProof/>
        </w:rPr>
        <w:t>Union</w:t>
      </w:r>
      <w:r w:rsidRPr="00332388">
        <w:rPr>
          <w:noProof/>
        </w:rPr>
        <w:t>-based offer of cloud computing services at sufficient scale to serve highly critical use cases or sectors</w:t>
      </w:r>
      <w:r>
        <w:rPr>
          <w:noProof/>
        </w:rPr>
        <w:t>;</w:t>
      </w:r>
      <w:r w:rsidRPr="00332388">
        <w:rPr>
          <w:noProof/>
        </w:rPr>
        <w:t xml:space="preserve"> </w:t>
      </w:r>
      <w:r w:rsidR="00C94DB7">
        <w:rPr>
          <w:noProof/>
        </w:rPr>
        <w:t xml:space="preserve">(ii) </w:t>
      </w:r>
      <w:r w:rsidRPr="00332388">
        <w:rPr>
          <w:noProof/>
        </w:rPr>
        <w:t xml:space="preserve">the </w:t>
      </w:r>
      <w:r w:rsidR="00D75D60">
        <w:rPr>
          <w:noProof/>
        </w:rPr>
        <w:t>proposal for the</w:t>
      </w:r>
      <w:r w:rsidRPr="00332388">
        <w:rPr>
          <w:noProof/>
        </w:rPr>
        <w:t xml:space="preserve"> Digital Networks Act (DNA)</w:t>
      </w:r>
      <w:r>
        <w:rPr>
          <w:noProof/>
        </w:rPr>
        <w:t>;</w:t>
      </w:r>
      <w:r w:rsidRPr="00332388">
        <w:rPr>
          <w:noProof/>
        </w:rPr>
        <w:t xml:space="preserve"> </w:t>
      </w:r>
      <w:r w:rsidR="0BB6C1EA">
        <w:rPr>
          <w:noProof/>
        </w:rPr>
        <w:t xml:space="preserve">(iii) </w:t>
      </w:r>
      <w:r w:rsidR="196148E3">
        <w:rPr>
          <w:noProof/>
        </w:rPr>
        <w:t>the upcoming revision of Regulation (EU) 2023/1781</w:t>
      </w:r>
      <w:r w:rsidRPr="32B9F124">
        <w:rPr>
          <w:rStyle w:val="FootnoteReference"/>
          <w:noProof/>
        </w:rPr>
        <w:footnoteReference w:id="12"/>
      </w:r>
      <w:r w:rsidR="196148E3">
        <w:rPr>
          <w:noProof/>
        </w:rPr>
        <w:t xml:space="preserve">, </w:t>
      </w:r>
      <w:r w:rsidR="00C94DB7">
        <w:rPr>
          <w:noProof/>
        </w:rPr>
        <w:t>(i</w:t>
      </w:r>
      <w:r w:rsidR="327853BC">
        <w:rPr>
          <w:noProof/>
        </w:rPr>
        <w:t>v</w:t>
      </w:r>
      <w:r w:rsidR="00C94DB7">
        <w:rPr>
          <w:noProof/>
        </w:rPr>
        <w:t xml:space="preserve">) </w:t>
      </w:r>
      <w:r w:rsidRPr="00332388">
        <w:rPr>
          <w:noProof/>
        </w:rPr>
        <w:t>the public procurement framework</w:t>
      </w:r>
      <w:r w:rsidRPr="00332388">
        <w:rPr>
          <w:rStyle w:val="FootnoteReference"/>
          <w:noProof/>
        </w:rPr>
        <w:footnoteReference w:id="13"/>
      </w:r>
      <w:r>
        <w:rPr>
          <w:noProof/>
        </w:rPr>
        <w:t xml:space="preserve"> which is </w:t>
      </w:r>
      <w:r w:rsidRPr="00332388">
        <w:rPr>
          <w:noProof/>
        </w:rPr>
        <w:t>currently under evaluation</w:t>
      </w:r>
      <w:r w:rsidRPr="00332388">
        <w:rPr>
          <w:rStyle w:val="FootnoteReference"/>
          <w:noProof/>
        </w:rPr>
        <w:footnoteReference w:id="14"/>
      </w:r>
      <w:r w:rsidR="00997D57">
        <w:rPr>
          <w:noProof/>
        </w:rPr>
        <w:t xml:space="preserve"> and </w:t>
      </w:r>
      <w:r w:rsidR="00990169" w:rsidRPr="00990169">
        <w:rPr>
          <w:noProof/>
        </w:rPr>
        <w:t>the Proposal for Regulation on simplification of the digital legislation (Digital Omnibus)</w:t>
      </w:r>
      <w:r w:rsidR="0032347F">
        <w:rPr>
          <w:rStyle w:val="FootnoteReference"/>
          <w:noProof/>
        </w:rPr>
        <w:footnoteReference w:id="15"/>
      </w:r>
      <w:r w:rsidR="00990169" w:rsidRPr="00990169">
        <w:rPr>
          <w:noProof/>
        </w:rPr>
        <w:t xml:space="preserve"> which </w:t>
      </w:r>
      <w:r w:rsidR="00997D57">
        <w:rPr>
          <w:noProof/>
        </w:rPr>
        <w:t>provides</w:t>
      </w:r>
      <w:r w:rsidR="00997D57" w:rsidRPr="00997D57">
        <w:rPr>
          <w:noProof/>
        </w:rPr>
        <w:t xml:space="preserve"> the obligation on ENISA to develop</w:t>
      </w:r>
      <w:r w:rsidR="00997D57">
        <w:rPr>
          <w:noProof/>
        </w:rPr>
        <w:t xml:space="preserve"> a</w:t>
      </w:r>
      <w:r w:rsidR="00997D57" w:rsidRPr="00997D57">
        <w:rPr>
          <w:noProof/>
        </w:rPr>
        <w:t xml:space="preserve"> single entry-point</w:t>
      </w:r>
      <w:r w:rsidR="00997D57">
        <w:rPr>
          <w:noProof/>
        </w:rPr>
        <w:t xml:space="preserve"> for incident reporting </w:t>
      </w:r>
      <w:r w:rsidR="00990169" w:rsidRPr="00990169">
        <w:rPr>
          <w:noProof/>
        </w:rPr>
        <w:t>through which entities can simultaneously fulfil their incident reporting obligations under multiple legal acts</w:t>
      </w:r>
      <w:r w:rsidR="00990169">
        <w:rPr>
          <w:noProof/>
        </w:rPr>
        <w:t xml:space="preserve">. </w:t>
      </w:r>
      <w:r w:rsidR="00C9175F">
        <w:rPr>
          <w:noProof/>
        </w:rPr>
        <w:t xml:space="preserve">Furthermore, it would </w:t>
      </w:r>
      <w:r w:rsidR="00C9175F" w:rsidRPr="00C9175F">
        <w:rPr>
          <w:noProof/>
        </w:rPr>
        <w:t>reinforce the position of the Union authorities and operators, when engaging with southern Mediterranean partners, notably through fostering interconnection through secure and trusted digital infrastructures across the Mediterranean, which is a fundamental goal of the Pact for the Mediterranean</w:t>
      </w:r>
      <w:r w:rsidR="00543998">
        <w:rPr>
          <w:noProof/>
        </w:rPr>
        <w:t>.</w:t>
      </w:r>
    </w:p>
    <w:p w14:paraId="0CEA318C" w14:textId="6E2E596C" w:rsidR="00A3053C" w:rsidRPr="002D5EE2" w:rsidRDefault="00931010" w:rsidP="0F6D9264">
      <w:pPr>
        <w:pBdr>
          <w:top w:val="nil"/>
          <w:left w:val="nil"/>
          <w:bottom w:val="nil"/>
          <w:right w:val="nil"/>
          <w:between w:val="nil"/>
        </w:pBdr>
        <w:spacing w:before="0" w:after="240"/>
        <w:rPr>
          <w:rFonts w:eastAsia="Arial Unicode MS"/>
          <w:noProof/>
        </w:rPr>
      </w:pPr>
      <w:r w:rsidRPr="0F6D9264">
        <w:rPr>
          <w:rFonts w:eastAsia="Calibri"/>
          <w:noProof/>
          <w:szCs w:val="24"/>
        </w:rPr>
        <w:t>The CSA revision is also in line with the Union’s strategic documents, in particular when it comes to the ICT supply chain security framework. In the ProtectEU Strategy, the Commission further stated that a harmonised approach to the security of the Information and Communication Technology (ICT) supply chain can address the current fragmentation of the internal market caused by different approaches at national level, avoid critical dependencies and de-risk ICT supply chains from high-risk suppliers, in this way securing critical infrastructure. The Economic Security Strategy also highlighted the need to make the EU’s economy and supply chain more resilient in order to promote its own competitiveness</w:t>
      </w:r>
      <w:r>
        <w:rPr>
          <w:rStyle w:val="FootnoteReference"/>
          <w:rFonts w:eastAsia="Calibri"/>
          <w:noProof/>
          <w:szCs w:val="24"/>
        </w:rPr>
        <w:footnoteReference w:id="16"/>
      </w:r>
      <w:r w:rsidRPr="0F6D9264">
        <w:rPr>
          <w:rFonts w:eastAsia="Calibri"/>
          <w:noProof/>
          <w:szCs w:val="24"/>
        </w:rPr>
        <w:t>. The need to address disruptions of supply chains and cyberattacks was also highlighted in the Preparedness Union Strategy and the White Paper for European Defence</w:t>
      </w:r>
      <w:r>
        <w:rPr>
          <w:rStyle w:val="FootnoteReference"/>
          <w:rFonts w:eastAsia="Calibri"/>
          <w:noProof/>
          <w:szCs w:val="24"/>
        </w:rPr>
        <w:footnoteReference w:id="17"/>
      </w:r>
      <w:r w:rsidRPr="0F6D9264">
        <w:rPr>
          <w:rFonts w:eastAsia="Calibri"/>
          <w:noProof/>
          <w:szCs w:val="24"/>
        </w:rPr>
        <w:t xml:space="preserve">. It is also aligned with the Future of European Competitiveness report of Mario Draghi, as highlighted above. What is more, the CSA revision in the area of ICT supply chain security with the recently adopted </w:t>
      </w:r>
      <w:r>
        <w:rPr>
          <w:rFonts w:eastAsia="Calibri"/>
          <w:noProof/>
          <w:szCs w:val="24"/>
        </w:rPr>
        <w:t>Joint Communication to the European Parliament and the Council on strengthening EU economic security</w:t>
      </w:r>
      <w:r>
        <w:rPr>
          <w:rStyle w:val="FootnoteReference"/>
          <w:rFonts w:eastAsia="Calibri"/>
          <w:noProof/>
          <w:szCs w:val="24"/>
        </w:rPr>
        <w:footnoteReference w:id="18"/>
      </w:r>
      <w:r w:rsidRPr="0F6D9264">
        <w:rPr>
          <w:rFonts w:eastAsia="Calibri"/>
          <w:noProof/>
          <w:szCs w:val="24"/>
        </w:rPr>
        <w:t xml:space="preserve">.  </w:t>
      </w:r>
    </w:p>
    <w:p w14:paraId="0F7B6D1A" w14:textId="77777777" w:rsidR="00A3053C" w:rsidRPr="002D5EE2" w:rsidRDefault="00A3053C" w:rsidP="003A2E97">
      <w:pPr>
        <w:pStyle w:val="ManualHeading1"/>
        <w:rPr>
          <w:noProof/>
        </w:rPr>
      </w:pPr>
      <w:r w:rsidRPr="002D5EE2">
        <w:rPr>
          <w:noProof/>
        </w:rPr>
        <w:t>2.</w:t>
      </w:r>
      <w:r w:rsidRPr="002D5EE2">
        <w:rPr>
          <w:noProof/>
        </w:rPr>
        <w:tab/>
        <w:t>LEGAL BASIS, SUBSIDIARITY AND PROPORTIONALITY</w:t>
      </w:r>
    </w:p>
    <w:p w14:paraId="0D153C7D" w14:textId="77777777" w:rsidR="00A3053C" w:rsidRPr="002D5EE2" w:rsidRDefault="00A3053C" w:rsidP="003A2E97">
      <w:pPr>
        <w:pStyle w:val="ManualHeading2"/>
        <w:rPr>
          <w:rFonts w:eastAsia="Arial Unicode MS"/>
          <w:noProof/>
          <w:u w:color="000000"/>
          <w:bdr w:val="nil"/>
          <w:lang w:val="en-US" w:eastAsia="en-GB"/>
        </w:rPr>
      </w:pPr>
      <w:r w:rsidRPr="002D5EE2">
        <w:rPr>
          <w:rFonts w:eastAsia="Arial Unicode MS"/>
          <w:noProof/>
          <w:u w:color="000000"/>
          <w:bdr w:val="nil"/>
          <w:lang w:val="en-US" w:eastAsia="en-GB"/>
        </w:rPr>
        <w:t>•</w:t>
      </w:r>
      <w:r w:rsidRPr="002D5EE2">
        <w:rPr>
          <w:rFonts w:eastAsia="Arial Unicode MS"/>
          <w:noProof/>
          <w:u w:color="000000"/>
          <w:bdr w:val="nil"/>
          <w:lang w:val="en-US" w:eastAsia="en-GB"/>
        </w:rPr>
        <w:tab/>
        <w:t>Legal basis</w:t>
      </w:r>
    </w:p>
    <w:p w14:paraId="02BE4A2D" w14:textId="7510D7B5" w:rsidR="004518F5" w:rsidRDefault="004518F5" w:rsidP="004518F5">
      <w:pPr>
        <w:pBdr>
          <w:top w:val="nil"/>
          <w:left w:val="nil"/>
          <w:bottom w:val="nil"/>
          <w:right w:val="nil"/>
          <w:between w:val="nil"/>
          <w:bar w:val="nil"/>
        </w:pBdr>
        <w:spacing w:before="0" w:after="240"/>
        <w:rPr>
          <w:noProof/>
        </w:rPr>
      </w:pPr>
      <w:r w:rsidRPr="00DA33D2">
        <w:rPr>
          <w:noProof/>
        </w:rPr>
        <w:t xml:space="preserve">The legal basis for </w:t>
      </w:r>
      <w:r>
        <w:rPr>
          <w:noProof/>
        </w:rPr>
        <w:t>this proposal</w:t>
      </w:r>
      <w:r w:rsidRPr="00DA33D2">
        <w:rPr>
          <w:noProof/>
        </w:rPr>
        <w:t> is Article 114 of the Treaty on the Functioning of the European Union (TFEU)</w:t>
      </w:r>
      <w:r>
        <w:rPr>
          <w:noProof/>
        </w:rPr>
        <w:t>. Article 114</w:t>
      </w:r>
      <w:r w:rsidRPr="00DA33D2">
        <w:rPr>
          <w:noProof/>
        </w:rPr>
        <w:t xml:space="preserve"> </w:t>
      </w:r>
      <w:r>
        <w:rPr>
          <w:noProof/>
        </w:rPr>
        <w:t xml:space="preserve">TFEU </w:t>
      </w:r>
      <w:r w:rsidRPr="000745A1">
        <w:rPr>
          <w:noProof/>
        </w:rPr>
        <w:t>provides for the adoption of measures to ensure the establish</w:t>
      </w:r>
      <w:r w:rsidR="00321496">
        <w:rPr>
          <w:noProof/>
        </w:rPr>
        <w:t>ment</w:t>
      </w:r>
      <w:r w:rsidRPr="000745A1">
        <w:rPr>
          <w:noProof/>
        </w:rPr>
        <w:t xml:space="preserve"> and functioning of the internal market. Regulation (EU) 2019/881</w:t>
      </w:r>
      <w:r w:rsidRPr="000745A1">
        <w:rPr>
          <w:rFonts w:ascii="Roboto" w:hAnsi="Roboto"/>
          <w:noProof/>
          <w:color w:val="333333"/>
          <w:sz w:val="21"/>
          <w:szCs w:val="21"/>
          <w:shd w:val="clear" w:color="auto" w:fill="FFFFFF"/>
        </w:rPr>
        <w:t xml:space="preserve"> </w:t>
      </w:r>
      <w:r w:rsidRPr="000745A1">
        <w:rPr>
          <w:noProof/>
        </w:rPr>
        <w:t xml:space="preserve">on ENISA and on information and communications technology cybersecurity certification, commonly known as the </w:t>
      </w:r>
      <w:r w:rsidR="00321496">
        <w:rPr>
          <w:noProof/>
        </w:rPr>
        <w:t>CSA</w:t>
      </w:r>
      <w:r w:rsidRPr="000745A1">
        <w:rPr>
          <w:rStyle w:val="FootnoteReference"/>
          <w:noProof/>
        </w:rPr>
        <w:footnoteReference w:id="19"/>
      </w:r>
      <w:r w:rsidRPr="000745A1">
        <w:rPr>
          <w:noProof/>
        </w:rPr>
        <w:t>, was originally adopted under this provision.</w:t>
      </w:r>
    </w:p>
    <w:p w14:paraId="66F93A67" w14:textId="77777777" w:rsidR="00931010" w:rsidRDefault="00931010" w:rsidP="00931010">
      <w:pPr>
        <w:pBdr>
          <w:top w:val="nil"/>
          <w:left w:val="nil"/>
          <w:bottom w:val="nil"/>
          <w:right w:val="nil"/>
          <w:between w:val="nil"/>
          <w:bar w:val="nil"/>
        </w:pBdr>
        <w:spacing w:before="0" w:after="240"/>
        <w:rPr>
          <w:noProof/>
        </w:rPr>
      </w:pPr>
      <w:r>
        <w:rPr>
          <w:noProof/>
        </w:rPr>
        <w:t>In the area of the cybersecurity of ICT supply chain security, the fragmentation of national frameworks addressing non-technical risk factors brings negative effects to the functioning of the internal market</w:t>
      </w:r>
      <w:r w:rsidRPr="0088089A">
        <w:rPr>
          <w:noProof/>
        </w:rPr>
        <w:t xml:space="preserve"> </w:t>
      </w:r>
      <w:r>
        <w:rPr>
          <w:noProof/>
        </w:rPr>
        <w:t xml:space="preserve">as the </w:t>
      </w:r>
      <w:r w:rsidRPr="0088089A">
        <w:rPr>
          <w:noProof/>
        </w:rPr>
        <w:t>divergence in national approaches</w:t>
      </w:r>
      <w:r>
        <w:rPr>
          <w:noProof/>
        </w:rPr>
        <w:t xml:space="preserve"> might</w:t>
      </w:r>
      <w:r w:rsidRPr="0088089A">
        <w:rPr>
          <w:noProof/>
        </w:rPr>
        <w:t xml:space="preserve"> ultimately</w:t>
      </w:r>
      <w:r>
        <w:rPr>
          <w:noProof/>
        </w:rPr>
        <w:t xml:space="preserve"> lead</w:t>
      </w:r>
      <w:r w:rsidRPr="0088089A">
        <w:rPr>
          <w:noProof/>
        </w:rPr>
        <w:t xml:space="preserve"> to higher vulnerability of some Member States, with potential spill-over effects across the Union</w:t>
      </w:r>
      <w:r>
        <w:rPr>
          <w:noProof/>
        </w:rPr>
        <w:t>, impacting overall resilience and also trustworthiness.</w:t>
      </w:r>
    </w:p>
    <w:p w14:paraId="2D23C1CE" w14:textId="79ED7727" w:rsidR="00A3053C" w:rsidRPr="002D5EE2" w:rsidRDefault="004518F5" w:rsidP="004518F5">
      <w:pPr>
        <w:pBdr>
          <w:top w:val="nil"/>
          <w:left w:val="nil"/>
          <w:bottom w:val="nil"/>
          <w:right w:val="nil"/>
          <w:between w:val="nil"/>
          <w:bar w:val="nil"/>
        </w:pBdr>
        <w:spacing w:before="0" w:after="240"/>
        <w:rPr>
          <w:rFonts w:eastAsia="Arial Unicode MS"/>
          <w:noProof/>
        </w:rPr>
      </w:pPr>
      <w:r>
        <w:rPr>
          <w:noProof/>
        </w:rPr>
        <w:t xml:space="preserve">Given </w:t>
      </w:r>
      <w:r w:rsidRPr="00DA33D2">
        <w:rPr>
          <w:noProof/>
        </w:rPr>
        <w:t xml:space="preserve">the evolving nature of cybersecurity </w:t>
      </w:r>
      <w:r>
        <w:rPr>
          <w:noProof/>
        </w:rPr>
        <w:t>threats</w:t>
      </w:r>
      <w:r w:rsidRPr="00DA33D2">
        <w:rPr>
          <w:noProof/>
        </w:rPr>
        <w:t>,</w:t>
      </w:r>
      <w:r>
        <w:rPr>
          <w:noProof/>
        </w:rPr>
        <w:t xml:space="preserve"> </w:t>
      </w:r>
      <w:r w:rsidRPr="00DA33D2">
        <w:rPr>
          <w:noProof/>
        </w:rPr>
        <w:t>and the increasing interdependence of Member States’ digital systems</w:t>
      </w:r>
      <w:r>
        <w:rPr>
          <w:noProof/>
        </w:rPr>
        <w:t xml:space="preserve">, Article 114 TFEU remains the justified legal basis for the </w:t>
      </w:r>
      <w:r w:rsidR="0079723B">
        <w:rPr>
          <w:noProof/>
        </w:rPr>
        <w:t>revision of the</w:t>
      </w:r>
      <w:r>
        <w:rPr>
          <w:noProof/>
        </w:rPr>
        <w:t xml:space="preserve"> CSA. The proposed regulation</w:t>
      </w:r>
      <w:r w:rsidRPr="00DA33D2" w:rsidDel="00F7252F">
        <w:rPr>
          <w:noProof/>
        </w:rPr>
        <w:t xml:space="preserve"> </w:t>
      </w:r>
      <w:r w:rsidRPr="00DA33D2">
        <w:rPr>
          <w:noProof/>
        </w:rPr>
        <w:t>reflect</w:t>
      </w:r>
      <w:r>
        <w:rPr>
          <w:noProof/>
        </w:rPr>
        <w:t>s</w:t>
      </w:r>
      <w:r w:rsidRPr="00DA33D2">
        <w:rPr>
          <w:noProof/>
        </w:rPr>
        <w:t xml:space="preserve"> the most recent developments in the cybersecurity legislative landscape, especially considering ENISA’s growing responsibilities and the expanding scope of certifications and risk management.</w:t>
      </w:r>
    </w:p>
    <w:p w14:paraId="4FCEBA67" w14:textId="77777777" w:rsidR="00A3053C" w:rsidRPr="002D5EE2" w:rsidRDefault="00A3053C" w:rsidP="003A2E97">
      <w:pPr>
        <w:pStyle w:val="ManualHeading2"/>
        <w:rPr>
          <w:rFonts w:eastAsia="Arial Unicode MS"/>
          <w:noProof/>
          <w:u w:color="000000"/>
          <w:bdr w:val="nil"/>
          <w:lang w:val="en-US" w:eastAsia="en-GB"/>
        </w:rPr>
      </w:pPr>
      <w:r w:rsidRPr="002D5EE2">
        <w:rPr>
          <w:rFonts w:eastAsia="Arial Unicode MS"/>
          <w:noProof/>
          <w:u w:color="000000"/>
          <w:bdr w:val="nil"/>
          <w:lang w:val="en-US" w:eastAsia="en-GB"/>
        </w:rPr>
        <w:t>•</w:t>
      </w:r>
      <w:r w:rsidRPr="002D5EE2">
        <w:rPr>
          <w:rFonts w:eastAsia="Arial Unicode MS"/>
          <w:noProof/>
          <w:u w:color="000000"/>
          <w:bdr w:val="nil"/>
          <w:lang w:val="en-US" w:eastAsia="en-GB"/>
        </w:rPr>
        <w:tab/>
        <w:t xml:space="preserve">Subsidiarity (for non-exclusive competence) </w:t>
      </w:r>
    </w:p>
    <w:p w14:paraId="48D1CE98" w14:textId="77777777" w:rsidR="000C28C5" w:rsidRPr="000745A1" w:rsidRDefault="000C28C5" w:rsidP="000C28C5">
      <w:pPr>
        <w:pBdr>
          <w:top w:val="nil"/>
          <w:left w:val="nil"/>
          <w:bottom w:val="nil"/>
          <w:right w:val="nil"/>
          <w:between w:val="nil"/>
          <w:bar w:val="nil"/>
        </w:pBdr>
        <w:spacing w:before="0" w:after="240"/>
        <w:rPr>
          <w:rFonts w:eastAsia="Arial Unicode MS"/>
          <w:noProof/>
        </w:rPr>
      </w:pPr>
      <w:r w:rsidRPr="005B0BF3">
        <w:rPr>
          <w:rFonts w:eastAsia="Arial Unicode MS"/>
          <w:noProof/>
        </w:rPr>
        <w:t xml:space="preserve">The subsidiarity principle requires the assessment of the necessity and the added value of </w:t>
      </w:r>
      <w:r w:rsidR="007205DF">
        <w:rPr>
          <w:rFonts w:eastAsia="Arial Unicode MS"/>
          <w:noProof/>
        </w:rPr>
        <w:t>Union</w:t>
      </w:r>
      <w:r w:rsidR="007205DF" w:rsidRPr="005B0BF3">
        <w:rPr>
          <w:rFonts w:eastAsia="Arial Unicode MS"/>
          <w:noProof/>
        </w:rPr>
        <w:t xml:space="preserve"> </w:t>
      </w:r>
      <w:r w:rsidRPr="005B0BF3">
        <w:rPr>
          <w:rFonts w:eastAsia="Arial Unicode MS"/>
          <w:noProof/>
        </w:rPr>
        <w:t xml:space="preserve">action. </w:t>
      </w:r>
      <w:r w:rsidR="007205DF">
        <w:rPr>
          <w:rFonts w:eastAsia="Arial Unicode MS"/>
          <w:noProof/>
        </w:rPr>
        <w:t>Compliance with the</w:t>
      </w:r>
      <w:r w:rsidRPr="000745A1">
        <w:rPr>
          <w:rFonts w:eastAsia="Arial Unicode MS"/>
          <w:noProof/>
        </w:rPr>
        <w:t xml:space="preserve"> subsidiarity</w:t>
      </w:r>
      <w:r w:rsidR="007205DF">
        <w:rPr>
          <w:rFonts w:eastAsia="Arial Unicode MS"/>
          <w:noProof/>
        </w:rPr>
        <w:t xml:space="preserve"> principle</w:t>
      </w:r>
      <w:r w:rsidRPr="000745A1">
        <w:rPr>
          <w:rFonts w:eastAsia="Arial Unicode MS"/>
          <w:noProof/>
        </w:rPr>
        <w:t xml:space="preserve"> in this area was already recognised when adopting the current CSA.</w:t>
      </w:r>
    </w:p>
    <w:p w14:paraId="33EF7A81" w14:textId="77777777" w:rsidR="000C28C5" w:rsidRPr="000745A1" w:rsidRDefault="000C28C5" w:rsidP="000C28C5">
      <w:pPr>
        <w:pBdr>
          <w:top w:val="nil"/>
          <w:left w:val="nil"/>
          <w:bottom w:val="nil"/>
          <w:right w:val="nil"/>
          <w:between w:val="nil"/>
          <w:bar w:val="nil"/>
        </w:pBdr>
        <w:spacing w:before="0" w:after="240"/>
        <w:rPr>
          <w:noProof/>
        </w:rPr>
      </w:pPr>
      <w:r w:rsidRPr="000745A1">
        <w:rPr>
          <w:rFonts w:eastAsia="Arial Unicode MS"/>
          <w:noProof/>
        </w:rPr>
        <w:t>As already analysed in</w:t>
      </w:r>
      <w:r>
        <w:rPr>
          <w:rFonts w:eastAsia="Arial Unicode MS"/>
          <w:noProof/>
        </w:rPr>
        <w:t xml:space="preserve"> </w:t>
      </w:r>
      <w:r w:rsidR="00F46EDF">
        <w:rPr>
          <w:rFonts w:eastAsia="Arial Unicode MS"/>
          <w:noProof/>
        </w:rPr>
        <w:t>relation to</w:t>
      </w:r>
      <w:r>
        <w:rPr>
          <w:rFonts w:eastAsia="Arial Unicode MS"/>
          <w:noProof/>
        </w:rPr>
        <w:t xml:space="preserve"> the</w:t>
      </w:r>
      <w:r w:rsidRPr="000745A1">
        <w:rPr>
          <w:rFonts w:eastAsia="Arial Unicode MS"/>
          <w:noProof/>
        </w:rPr>
        <w:t xml:space="preserve"> </w:t>
      </w:r>
      <w:r w:rsidRPr="4CEA747B">
        <w:rPr>
          <w:rFonts w:eastAsia="Arial Unicode MS"/>
          <w:noProof/>
        </w:rPr>
        <w:t>CSA,</w:t>
      </w:r>
      <w:r w:rsidRPr="000745A1" w:rsidDel="006C3E83">
        <w:rPr>
          <w:rFonts w:eastAsia="Arial Unicode MS"/>
          <w:noProof/>
        </w:rPr>
        <w:t xml:space="preserve"> </w:t>
      </w:r>
      <w:r w:rsidR="00F46EDF">
        <w:rPr>
          <w:rFonts w:eastAsia="Arial Unicode MS"/>
          <w:noProof/>
        </w:rPr>
        <w:t>Union</w:t>
      </w:r>
      <w:r w:rsidR="00F46EDF" w:rsidRPr="000745A1">
        <w:rPr>
          <w:rFonts w:eastAsia="Arial Unicode MS"/>
          <w:noProof/>
        </w:rPr>
        <w:t xml:space="preserve"> </w:t>
      </w:r>
      <w:r w:rsidRPr="000745A1">
        <w:rPr>
          <w:rFonts w:eastAsia="Arial Unicode MS"/>
          <w:noProof/>
        </w:rPr>
        <w:t xml:space="preserve">intervention is crucial as cybersecurity threats and related challenges extend beyond individual Member States. Fragmented national solutions have proven insufficient to achieve market-wide trust and coordination. A revised </w:t>
      </w:r>
      <w:r w:rsidR="00F46EDF">
        <w:rPr>
          <w:rFonts w:eastAsia="Arial Unicode MS"/>
          <w:noProof/>
        </w:rPr>
        <w:t>Union</w:t>
      </w:r>
      <w:r w:rsidR="00F46EDF" w:rsidRPr="000745A1">
        <w:rPr>
          <w:rFonts w:eastAsia="Arial Unicode MS"/>
          <w:noProof/>
        </w:rPr>
        <w:t xml:space="preserve"> </w:t>
      </w:r>
      <w:r w:rsidRPr="000745A1">
        <w:rPr>
          <w:rFonts w:eastAsia="Arial Unicode MS"/>
          <w:noProof/>
        </w:rPr>
        <w:t xml:space="preserve">legal framework is required to remove barriers, ensure consistent implementation, and support Member States in an increasingly complex regulatory and threat environment. </w:t>
      </w:r>
      <w:r w:rsidRPr="000745A1">
        <w:rPr>
          <w:noProof/>
        </w:rPr>
        <w:t xml:space="preserve">Cybersecurity is an issue of common interest </w:t>
      </w:r>
      <w:r w:rsidR="004B4FCE">
        <w:rPr>
          <w:noProof/>
        </w:rPr>
        <w:t>for</w:t>
      </w:r>
      <w:r w:rsidRPr="000745A1">
        <w:rPr>
          <w:noProof/>
        </w:rPr>
        <w:t xml:space="preserve"> the Union. </w:t>
      </w:r>
    </w:p>
    <w:p w14:paraId="053B862D" w14:textId="77777777" w:rsidR="000C28C5" w:rsidRPr="000745A1" w:rsidRDefault="000C28C5" w:rsidP="000C28C5">
      <w:pPr>
        <w:rPr>
          <w:noProof/>
        </w:rPr>
      </w:pPr>
      <w:r w:rsidRPr="000745A1">
        <w:rPr>
          <w:noProof/>
        </w:rPr>
        <w:t>The actions covered by th</w:t>
      </w:r>
      <w:r w:rsidR="00F46EDF">
        <w:rPr>
          <w:noProof/>
        </w:rPr>
        <w:t>e proposed</w:t>
      </w:r>
      <w:r w:rsidRPr="000745A1">
        <w:rPr>
          <w:noProof/>
        </w:rPr>
        <w:t xml:space="preserve"> </w:t>
      </w:r>
      <w:r w:rsidR="00F46EDF">
        <w:rPr>
          <w:noProof/>
        </w:rPr>
        <w:t>r</w:t>
      </w:r>
      <w:r w:rsidRPr="000745A1">
        <w:rPr>
          <w:noProof/>
        </w:rPr>
        <w:t xml:space="preserve">egulation offer clear added value by supporting harmonisation, legal clarity and coordinated responses to cybersecurity challenges. </w:t>
      </w:r>
    </w:p>
    <w:p w14:paraId="5797219F" w14:textId="77777777" w:rsidR="000C28C5" w:rsidRDefault="000C28C5" w:rsidP="000C28C5">
      <w:pPr>
        <w:pBdr>
          <w:top w:val="nil"/>
          <w:left w:val="nil"/>
          <w:bottom w:val="nil"/>
          <w:right w:val="nil"/>
          <w:between w:val="nil"/>
          <w:bar w:val="nil"/>
        </w:pBdr>
        <w:spacing w:before="0" w:after="240"/>
        <w:rPr>
          <w:noProof/>
        </w:rPr>
      </w:pPr>
      <w:r w:rsidRPr="000745A1">
        <w:rPr>
          <w:noProof/>
        </w:rPr>
        <w:t xml:space="preserve">ENISA’s current tasks </w:t>
      </w:r>
      <w:r>
        <w:rPr>
          <w:noProof/>
        </w:rPr>
        <w:t>have</w:t>
      </w:r>
      <w:r w:rsidRPr="000745A1">
        <w:rPr>
          <w:noProof/>
        </w:rPr>
        <w:t xml:space="preserve"> expanded through subsequent legislation without a comprehensive revision of its core responsibilities and resourcing. This has created inefficiencies and insufficient prioritisation of core</w:t>
      </w:r>
      <w:r w:rsidR="007436AE">
        <w:rPr>
          <w:noProof/>
        </w:rPr>
        <w:t xml:space="preserve"> tasks in</w:t>
      </w:r>
      <w:r w:rsidRPr="000745A1">
        <w:rPr>
          <w:noProof/>
        </w:rPr>
        <w:t xml:space="preserve"> support</w:t>
      </w:r>
      <w:r w:rsidR="007436AE">
        <w:rPr>
          <w:noProof/>
        </w:rPr>
        <w:t xml:space="preserve"> of</w:t>
      </w:r>
      <w:r w:rsidRPr="000745A1">
        <w:rPr>
          <w:noProof/>
        </w:rPr>
        <w:t xml:space="preserve"> Member States. Therefore, the proposal for intervention </w:t>
      </w:r>
      <w:r>
        <w:rPr>
          <w:noProof/>
        </w:rPr>
        <w:t>aims</w:t>
      </w:r>
      <w:r w:rsidRPr="000745A1">
        <w:rPr>
          <w:noProof/>
        </w:rPr>
        <w:t xml:space="preserve"> </w:t>
      </w:r>
      <w:r>
        <w:rPr>
          <w:noProof/>
        </w:rPr>
        <w:t>to refine</w:t>
      </w:r>
      <w:r w:rsidRPr="000745A1">
        <w:rPr>
          <w:noProof/>
        </w:rPr>
        <w:t xml:space="preserve"> and </w:t>
      </w:r>
      <w:r>
        <w:rPr>
          <w:noProof/>
        </w:rPr>
        <w:t>prioritise</w:t>
      </w:r>
      <w:r w:rsidRPr="000745A1">
        <w:rPr>
          <w:noProof/>
        </w:rPr>
        <w:t xml:space="preserve"> the current tasks in order to </w:t>
      </w:r>
      <w:r w:rsidR="007436AE">
        <w:rPr>
          <w:noProof/>
        </w:rPr>
        <w:t>strengthen</w:t>
      </w:r>
      <w:r w:rsidR="007436AE" w:rsidRPr="000745A1">
        <w:rPr>
          <w:noProof/>
        </w:rPr>
        <w:t xml:space="preserve"> </w:t>
      </w:r>
      <w:r w:rsidRPr="000745A1">
        <w:rPr>
          <w:noProof/>
        </w:rPr>
        <w:t>ENISA’s mandate</w:t>
      </w:r>
      <w:r>
        <w:rPr>
          <w:noProof/>
        </w:rPr>
        <w:t>,</w:t>
      </w:r>
      <w:r w:rsidRPr="000745A1">
        <w:rPr>
          <w:noProof/>
        </w:rPr>
        <w:t xml:space="preserve"> enabling it to act as a single point of expertise for cybersecurity at Union level. </w:t>
      </w:r>
      <w:r>
        <w:rPr>
          <w:noProof/>
        </w:rPr>
        <w:t>On this point, there is no</w:t>
      </w:r>
      <w:r w:rsidRPr="000745A1">
        <w:rPr>
          <w:noProof/>
        </w:rPr>
        <w:t xml:space="preserve"> substantial difference </w:t>
      </w:r>
      <w:r w:rsidR="007436AE">
        <w:rPr>
          <w:noProof/>
        </w:rPr>
        <w:t>in terms</w:t>
      </w:r>
      <w:r w:rsidR="00146587">
        <w:rPr>
          <w:noProof/>
        </w:rPr>
        <w:t xml:space="preserve"> of</w:t>
      </w:r>
      <w:r>
        <w:rPr>
          <w:noProof/>
        </w:rPr>
        <w:t xml:space="preserve"> </w:t>
      </w:r>
      <w:r w:rsidRPr="000745A1">
        <w:rPr>
          <w:noProof/>
        </w:rPr>
        <w:t xml:space="preserve">subsidiarity compared to the </w:t>
      </w:r>
      <w:r>
        <w:rPr>
          <w:noProof/>
        </w:rPr>
        <w:t>CSA.</w:t>
      </w:r>
      <w:r w:rsidRPr="000745A1">
        <w:rPr>
          <w:noProof/>
        </w:rPr>
        <w:t xml:space="preserve"> In addition, diverse national certification schemes and differing regulatory approaches by Member States create a market fragmentation</w:t>
      </w:r>
      <w:r w:rsidRPr="0074318B">
        <w:rPr>
          <w:noProof/>
        </w:rPr>
        <w:t xml:space="preserve"> and </w:t>
      </w:r>
      <w:r>
        <w:rPr>
          <w:noProof/>
        </w:rPr>
        <w:t>additional compliance</w:t>
      </w:r>
      <w:r w:rsidRPr="0074318B">
        <w:rPr>
          <w:noProof/>
        </w:rPr>
        <w:t xml:space="preserve"> burdens</w:t>
      </w:r>
      <w:r>
        <w:rPr>
          <w:noProof/>
        </w:rPr>
        <w:t xml:space="preserve">, </w:t>
      </w:r>
      <w:r w:rsidR="00146587">
        <w:rPr>
          <w:noProof/>
        </w:rPr>
        <w:t>undermining</w:t>
      </w:r>
      <w:r w:rsidRPr="00886519">
        <w:rPr>
          <w:noProof/>
        </w:rPr>
        <w:t xml:space="preserve"> competitiveness</w:t>
      </w:r>
      <w:r>
        <w:rPr>
          <w:noProof/>
        </w:rPr>
        <w:t>.</w:t>
      </w:r>
    </w:p>
    <w:p w14:paraId="5BF1B038" w14:textId="77777777" w:rsidR="00A3053C" w:rsidRDefault="00146587" w:rsidP="000C28C5">
      <w:pPr>
        <w:pBdr>
          <w:top w:val="nil"/>
          <w:left w:val="nil"/>
          <w:bottom w:val="nil"/>
          <w:right w:val="nil"/>
          <w:between w:val="nil"/>
          <w:bar w:val="nil"/>
        </w:pBdr>
        <w:spacing w:before="0" w:after="240"/>
        <w:rPr>
          <w:noProof/>
        </w:rPr>
      </w:pPr>
      <w:r>
        <w:rPr>
          <w:noProof/>
        </w:rPr>
        <w:t>The new proposal also envisages</w:t>
      </w:r>
      <w:r w:rsidR="000C28C5">
        <w:rPr>
          <w:noProof/>
        </w:rPr>
        <w:t xml:space="preserve"> new actions, in relation to supply chain </w:t>
      </w:r>
      <w:r w:rsidR="000C28C5" w:rsidRPr="00E015D2">
        <w:rPr>
          <w:noProof/>
        </w:rPr>
        <w:t xml:space="preserve">policies and simplification efforts at Union level. </w:t>
      </w:r>
      <w:r w:rsidR="00483905" w:rsidRPr="00E015D2">
        <w:rPr>
          <w:noProof/>
        </w:rPr>
        <w:t>It</w:t>
      </w:r>
      <w:r w:rsidR="000C28C5" w:rsidRPr="00E015D2">
        <w:rPr>
          <w:noProof/>
        </w:rPr>
        <w:t xml:space="preserve"> further strengthens supply chain security and the</w:t>
      </w:r>
      <w:r w:rsidR="000C28C5" w:rsidRPr="00E05C98">
        <w:rPr>
          <w:noProof/>
        </w:rPr>
        <w:t xml:space="preserve"> cybersecurity sector within the </w:t>
      </w:r>
      <w:r w:rsidR="00483905">
        <w:rPr>
          <w:noProof/>
        </w:rPr>
        <w:t>Union</w:t>
      </w:r>
      <w:r w:rsidR="004E450D">
        <w:rPr>
          <w:noProof/>
        </w:rPr>
        <w:t>,</w:t>
      </w:r>
      <w:r w:rsidR="000C28C5" w:rsidRPr="00E05C98">
        <w:rPr>
          <w:noProof/>
        </w:rPr>
        <w:t xml:space="preserve"> and </w:t>
      </w:r>
      <w:r w:rsidR="00483905">
        <w:rPr>
          <w:noProof/>
        </w:rPr>
        <w:t>increases</w:t>
      </w:r>
      <w:r w:rsidR="00483905" w:rsidRPr="00E05C98">
        <w:rPr>
          <w:noProof/>
        </w:rPr>
        <w:t xml:space="preserve"> </w:t>
      </w:r>
      <w:r w:rsidR="000C28C5" w:rsidRPr="00E05C98">
        <w:rPr>
          <w:noProof/>
        </w:rPr>
        <w:t>the preparedness and resilience of the Member States and industry. </w:t>
      </w:r>
    </w:p>
    <w:p w14:paraId="29ECCFC7" w14:textId="5D9770F0" w:rsidR="00931010" w:rsidRDefault="00931010" w:rsidP="001A462E">
      <w:pPr>
        <w:pBdr>
          <w:top w:val="nil"/>
          <w:left w:val="nil"/>
          <w:bottom w:val="nil"/>
          <w:right w:val="nil"/>
          <w:between w:val="nil"/>
        </w:pBdr>
        <w:spacing w:before="0" w:after="240"/>
        <w:rPr>
          <w:noProof/>
        </w:rPr>
      </w:pPr>
      <w:r>
        <w:rPr>
          <w:noProof/>
        </w:rPr>
        <w:t xml:space="preserve">Dependencies on entities </w:t>
      </w:r>
      <w:r w:rsidRPr="00F056F0">
        <w:rPr>
          <w:noProof/>
        </w:rPr>
        <w:t>established in a third country posing cybersecurity or controlled by such third country, by an entity</w:t>
      </w:r>
      <w:r w:rsidR="0098384D">
        <w:rPr>
          <w:noProof/>
        </w:rPr>
        <w:t xml:space="preserve"> establish</w:t>
      </w:r>
      <w:r w:rsidR="00CD2C5D">
        <w:rPr>
          <w:noProof/>
        </w:rPr>
        <w:t>ed</w:t>
      </w:r>
      <w:r w:rsidR="0098384D">
        <w:rPr>
          <w:noProof/>
        </w:rPr>
        <w:t xml:space="preserve"> in</w:t>
      </w:r>
      <w:r w:rsidRPr="00F056F0">
        <w:rPr>
          <w:noProof/>
        </w:rPr>
        <w:t xml:space="preserve"> such third country, or by a national of such third country</w:t>
      </w:r>
      <w:r>
        <w:rPr>
          <w:noProof/>
        </w:rPr>
        <w:t xml:space="preserve"> (high-risk suppliers) affect entities across the Union, while significant supply chain cybersecurity incidents often spread across national borders. In addition, given the cross-border nature of ICT supply chains, fragmentation of compliance requirements within the internal market would undermine legal certainty for entities. Furthermore, the proposals for Multiannual Financial Framework (MFF) mandate the exclusion of high-risk suppliers to protect the integrity of the EU budget and security interests. The supply chain framework included in this regulation provides for the mechanism to identify countries posing cybersecurity concerns, an activity that can be carried out effectively only at the EU level. In relation to ICT supply chain security, only intervention at the EU level will ensure the same minimum level of security across the Union and necessary harmonisation of approaches.</w:t>
      </w:r>
    </w:p>
    <w:p w14:paraId="0B0E3797" w14:textId="6E64BE7E" w:rsidR="00C939FC" w:rsidRPr="00550536" w:rsidRDefault="00C939FC" w:rsidP="001A462E">
      <w:pPr>
        <w:pBdr>
          <w:top w:val="nil"/>
          <w:left w:val="nil"/>
          <w:bottom w:val="nil"/>
          <w:right w:val="nil"/>
          <w:between w:val="nil"/>
        </w:pBdr>
        <w:spacing w:before="0" w:after="240"/>
        <w:rPr>
          <w:rFonts w:eastAsia="Arial Unicode MS"/>
          <w:noProof/>
        </w:rPr>
      </w:pPr>
      <w:r w:rsidRPr="4CEA747B">
        <w:rPr>
          <w:rFonts w:eastAsia="Arial Unicode MS"/>
          <w:noProof/>
        </w:rPr>
        <w:t>The purpose of the CSA is maintained and further enhanced in this revision</w:t>
      </w:r>
      <w:r w:rsidR="004B0455">
        <w:rPr>
          <w:rFonts w:eastAsia="Arial Unicode MS"/>
          <w:noProof/>
        </w:rPr>
        <w:t>. This</w:t>
      </w:r>
      <w:r w:rsidRPr="4CEA747B">
        <w:rPr>
          <w:rFonts w:eastAsia="Arial Unicode MS"/>
          <w:noProof/>
        </w:rPr>
        <w:t> cannot be sufficiently achieved by the Member States, but</w:t>
      </w:r>
      <w:r w:rsidR="004B0455">
        <w:rPr>
          <w:rFonts w:eastAsia="Arial Unicode MS"/>
          <w:noProof/>
        </w:rPr>
        <w:t xml:space="preserve"> can be better achieved</w:t>
      </w:r>
      <w:r w:rsidRPr="4CEA747B">
        <w:rPr>
          <w:rFonts w:eastAsia="Arial Unicode MS"/>
          <w:noProof/>
        </w:rPr>
        <w:t xml:space="preserve"> at Union</w:t>
      </w:r>
      <w:r w:rsidRPr="4CEA747B" w:rsidDel="00E704CB">
        <w:rPr>
          <w:rFonts w:eastAsia="Arial Unicode MS"/>
          <w:noProof/>
        </w:rPr>
        <w:t xml:space="preserve"> </w:t>
      </w:r>
      <w:r w:rsidRPr="4CEA747B">
        <w:rPr>
          <w:rFonts w:eastAsia="Arial Unicode MS"/>
          <w:noProof/>
        </w:rPr>
        <w:t>level in accordance with Article 5 of the Treaty on European Union.</w:t>
      </w:r>
    </w:p>
    <w:p w14:paraId="3B775FD1" w14:textId="77777777" w:rsidR="00A3053C" w:rsidRDefault="00A3053C" w:rsidP="003A2E97">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Proportionality</w:t>
      </w:r>
    </w:p>
    <w:p w14:paraId="6DA3A519" w14:textId="77777777" w:rsidR="003277EC" w:rsidRDefault="003277EC" w:rsidP="003277EC">
      <w:pPr>
        <w:pBdr>
          <w:top w:val="nil"/>
          <w:left w:val="nil"/>
          <w:bottom w:val="nil"/>
          <w:right w:val="nil"/>
          <w:between w:val="nil"/>
          <w:bar w:val="nil"/>
        </w:pBdr>
        <w:spacing w:before="0" w:after="240"/>
        <w:rPr>
          <w:rFonts w:eastAsia="Arial Unicode MS"/>
          <w:noProof/>
        </w:rPr>
      </w:pPr>
      <w:r w:rsidRPr="344FA351">
        <w:rPr>
          <w:rFonts w:eastAsia="Arial Unicode MS"/>
          <w:noProof/>
        </w:rPr>
        <w:t xml:space="preserve">The proposed measures do not go beyond what is necessary to achieve </w:t>
      </w:r>
      <w:r w:rsidR="00C27EE1">
        <w:rPr>
          <w:rFonts w:eastAsia="Arial Unicode MS"/>
          <w:noProof/>
        </w:rPr>
        <w:t>the</w:t>
      </w:r>
      <w:r w:rsidR="00C27EE1" w:rsidRPr="344FA351">
        <w:rPr>
          <w:rFonts w:eastAsia="Arial Unicode MS"/>
          <w:noProof/>
        </w:rPr>
        <w:t xml:space="preserve"> </w:t>
      </w:r>
      <w:r w:rsidRPr="344FA351">
        <w:rPr>
          <w:rFonts w:eastAsia="Arial Unicode MS"/>
          <w:noProof/>
        </w:rPr>
        <w:t>policy objectives</w:t>
      </w:r>
      <w:r w:rsidR="004B0455">
        <w:rPr>
          <w:rFonts w:eastAsia="Arial Unicode MS"/>
          <w:noProof/>
        </w:rPr>
        <w:t xml:space="preserve"> of the proposal</w:t>
      </w:r>
      <w:r w:rsidRPr="344FA351">
        <w:rPr>
          <w:rFonts w:eastAsia="Arial Unicode MS"/>
          <w:noProof/>
        </w:rPr>
        <w:t xml:space="preserve">. Furthermore, the scope of </w:t>
      </w:r>
      <w:r w:rsidR="00317138">
        <w:rPr>
          <w:rFonts w:eastAsia="Arial Unicode MS"/>
          <w:noProof/>
        </w:rPr>
        <w:t>Union</w:t>
      </w:r>
      <w:r w:rsidR="00317138" w:rsidRPr="344FA351">
        <w:rPr>
          <w:rFonts w:eastAsia="Arial Unicode MS"/>
          <w:noProof/>
        </w:rPr>
        <w:t xml:space="preserve"> </w:t>
      </w:r>
      <w:r w:rsidRPr="344FA351">
        <w:rPr>
          <w:rFonts w:eastAsia="Arial Unicode MS"/>
          <w:noProof/>
        </w:rPr>
        <w:t>intervention does not impede any further national action</w:t>
      </w:r>
      <w:r w:rsidR="008A7BFE">
        <w:rPr>
          <w:rFonts w:eastAsia="Arial Unicode MS"/>
          <w:noProof/>
        </w:rPr>
        <w:t xml:space="preserve"> on</w:t>
      </w:r>
      <w:r w:rsidRPr="344FA351">
        <w:rPr>
          <w:rFonts w:eastAsia="Arial Unicode MS"/>
          <w:noProof/>
        </w:rPr>
        <w:t xml:space="preserve"> national security matters. </w:t>
      </w:r>
      <w:r w:rsidR="008A7BFE">
        <w:rPr>
          <w:rFonts w:eastAsia="Arial Unicode MS"/>
          <w:noProof/>
        </w:rPr>
        <w:t>Union</w:t>
      </w:r>
      <w:r w:rsidR="008A7BFE" w:rsidRPr="344FA351">
        <w:rPr>
          <w:rFonts w:eastAsia="Arial Unicode MS"/>
          <w:noProof/>
        </w:rPr>
        <w:t xml:space="preserve"> </w:t>
      </w:r>
      <w:r w:rsidRPr="344FA351">
        <w:rPr>
          <w:rFonts w:eastAsia="Arial Unicode MS"/>
          <w:noProof/>
        </w:rPr>
        <w:t>action is therefore justified on grounds of subsidiarity and proportionality.</w:t>
      </w:r>
    </w:p>
    <w:p w14:paraId="3A01978F" w14:textId="77777777" w:rsidR="00B66F5A" w:rsidRPr="00B66F5A" w:rsidRDefault="00390A0E" w:rsidP="00B66F5A">
      <w:pPr>
        <w:pBdr>
          <w:top w:val="nil"/>
          <w:left w:val="nil"/>
          <w:bottom w:val="nil"/>
          <w:right w:val="nil"/>
          <w:between w:val="nil"/>
          <w:bar w:val="nil"/>
        </w:pBdr>
        <w:spacing w:before="0" w:after="240"/>
        <w:rPr>
          <w:rFonts w:eastAsia="Arial Unicode MS"/>
          <w:noProof/>
          <w:lang w:val="en-IE"/>
        </w:rPr>
      </w:pPr>
      <w:r>
        <w:rPr>
          <w:rFonts w:eastAsia="Arial Unicode MS"/>
          <w:noProof/>
          <w:lang w:val="en-IE"/>
        </w:rPr>
        <w:t>T</w:t>
      </w:r>
      <w:r w:rsidRPr="00B66F5A">
        <w:rPr>
          <w:rFonts w:eastAsia="Arial Unicode MS"/>
          <w:noProof/>
          <w:lang w:val="en-IE"/>
        </w:rPr>
        <w:t>he proposal</w:t>
      </w:r>
      <w:r>
        <w:rPr>
          <w:rFonts w:eastAsia="Arial Unicode MS"/>
          <w:noProof/>
          <w:lang w:val="en-IE"/>
        </w:rPr>
        <w:t xml:space="preserve"> </w:t>
      </w:r>
      <w:r w:rsidRPr="00B66F5A">
        <w:rPr>
          <w:rFonts w:eastAsia="Arial Unicode MS"/>
          <w:noProof/>
          <w:lang w:val="en-IE"/>
        </w:rPr>
        <w:t xml:space="preserve">aims to reflect better, in legal terms, </w:t>
      </w:r>
      <w:r>
        <w:rPr>
          <w:rFonts w:eastAsia="Arial Unicode MS"/>
          <w:noProof/>
          <w:lang w:val="en-IE"/>
        </w:rPr>
        <w:t>ENISA’s mandate and the process for the development, adoption and maintenance of European cybersecurity certificates</w:t>
      </w:r>
      <w:r w:rsidRPr="00B66F5A">
        <w:rPr>
          <w:rFonts w:eastAsia="Arial Unicode MS"/>
          <w:noProof/>
          <w:lang w:val="en-IE"/>
        </w:rPr>
        <w:t>.</w:t>
      </w:r>
      <w:r>
        <w:rPr>
          <w:rFonts w:eastAsia="Arial Unicode MS"/>
          <w:noProof/>
          <w:lang w:val="en-IE"/>
        </w:rPr>
        <w:t xml:space="preserve"> </w:t>
      </w:r>
      <w:r w:rsidR="00BC06A6">
        <w:rPr>
          <w:rFonts w:eastAsia="Arial Unicode MS"/>
          <w:noProof/>
        </w:rPr>
        <w:t>W</w:t>
      </w:r>
      <w:r w:rsidR="007D00CC">
        <w:rPr>
          <w:rFonts w:eastAsia="Arial Unicode MS"/>
          <w:noProof/>
        </w:rPr>
        <w:t xml:space="preserve">hile </w:t>
      </w:r>
      <w:r w:rsidR="00B66F5A">
        <w:rPr>
          <w:rFonts w:eastAsia="Arial Unicode MS"/>
          <w:noProof/>
        </w:rPr>
        <w:t>t</w:t>
      </w:r>
      <w:r w:rsidR="00B66F5A" w:rsidRPr="00B66F5A">
        <w:rPr>
          <w:rFonts w:eastAsia="Arial Unicode MS"/>
          <w:noProof/>
          <w:lang w:val="en-IE"/>
        </w:rPr>
        <w:t>he proposal include</w:t>
      </w:r>
      <w:r w:rsidR="00183C31">
        <w:rPr>
          <w:rFonts w:eastAsia="Arial Unicode MS"/>
          <w:noProof/>
          <w:lang w:val="en-IE"/>
        </w:rPr>
        <w:t>s</w:t>
      </w:r>
      <w:r w:rsidR="00B66F5A" w:rsidRPr="00B66F5A">
        <w:rPr>
          <w:rFonts w:eastAsia="Arial Unicode MS"/>
          <w:noProof/>
          <w:lang w:val="en-IE"/>
        </w:rPr>
        <w:t xml:space="preserve"> </w:t>
      </w:r>
      <w:r w:rsidR="007D00CC">
        <w:rPr>
          <w:rFonts w:eastAsia="Arial Unicode MS"/>
          <w:noProof/>
          <w:lang w:val="en-IE"/>
        </w:rPr>
        <w:t xml:space="preserve">certain </w:t>
      </w:r>
      <w:r w:rsidR="00B66F5A" w:rsidRPr="00B66F5A">
        <w:rPr>
          <w:rFonts w:eastAsia="Arial Unicode MS"/>
          <w:noProof/>
          <w:lang w:val="en-IE"/>
        </w:rPr>
        <w:t xml:space="preserve">new tasks for </w:t>
      </w:r>
      <w:r w:rsidR="00BC06A6">
        <w:rPr>
          <w:rFonts w:eastAsia="Arial Unicode MS"/>
          <w:noProof/>
          <w:lang w:val="en-IE"/>
        </w:rPr>
        <w:t xml:space="preserve">ENISA, </w:t>
      </w:r>
      <w:r w:rsidR="00C43E6A">
        <w:rPr>
          <w:rFonts w:eastAsia="Arial Unicode MS"/>
          <w:noProof/>
          <w:lang w:val="en-IE"/>
        </w:rPr>
        <w:t>their</w:t>
      </w:r>
      <w:r w:rsidR="0065379B">
        <w:rPr>
          <w:rFonts w:eastAsia="Arial Unicode MS"/>
          <w:noProof/>
          <w:lang w:val="en-IE"/>
        </w:rPr>
        <w:t xml:space="preserve"> </w:t>
      </w:r>
      <w:r w:rsidR="00F3651B">
        <w:rPr>
          <w:rFonts w:eastAsia="Arial Unicode MS"/>
          <w:noProof/>
          <w:lang w:val="en-IE"/>
        </w:rPr>
        <w:t xml:space="preserve">aim </w:t>
      </w:r>
      <w:r w:rsidR="00C43E6A">
        <w:rPr>
          <w:rFonts w:eastAsia="Arial Unicode MS"/>
          <w:noProof/>
          <w:lang w:val="en-IE"/>
        </w:rPr>
        <w:t xml:space="preserve">is </w:t>
      </w:r>
      <w:r w:rsidR="00F3651B">
        <w:rPr>
          <w:rFonts w:eastAsia="Arial Unicode MS"/>
          <w:noProof/>
          <w:lang w:val="en-IE"/>
        </w:rPr>
        <w:t xml:space="preserve">to </w:t>
      </w:r>
      <w:r w:rsidR="0015155E">
        <w:rPr>
          <w:rFonts w:eastAsia="Arial Unicode MS"/>
          <w:noProof/>
          <w:lang w:val="en-IE"/>
        </w:rPr>
        <w:t>support Member States</w:t>
      </w:r>
      <w:r w:rsidR="00365724">
        <w:rPr>
          <w:rFonts w:eastAsia="Arial Unicode MS"/>
          <w:noProof/>
          <w:lang w:val="en-IE"/>
        </w:rPr>
        <w:t xml:space="preserve"> in the areas </w:t>
      </w:r>
      <w:r w:rsidR="00F3686C">
        <w:rPr>
          <w:rFonts w:eastAsia="Arial Unicode MS"/>
          <w:noProof/>
          <w:lang w:val="en-IE"/>
        </w:rPr>
        <w:t xml:space="preserve">where </w:t>
      </w:r>
      <w:r w:rsidR="006B1B8C">
        <w:rPr>
          <w:rFonts w:eastAsia="Arial Unicode MS"/>
          <w:noProof/>
          <w:lang w:val="en-IE"/>
        </w:rPr>
        <w:t xml:space="preserve">significant </w:t>
      </w:r>
      <w:r w:rsidR="00F3686C">
        <w:rPr>
          <w:rFonts w:eastAsia="Arial Unicode MS"/>
          <w:noProof/>
          <w:lang w:val="en-IE"/>
        </w:rPr>
        <w:t xml:space="preserve">gaps have been </w:t>
      </w:r>
      <w:r w:rsidR="00365724">
        <w:rPr>
          <w:rFonts w:eastAsia="Arial Unicode MS"/>
          <w:noProof/>
          <w:lang w:val="en-IE"/>
        </w:rPr>
        <w:t>identified</w:t>
      </w:r>
      <w:r w:rsidR="004F38AC">
        <w:rPr>
          <w:rFonts w:eastAsia="Arial Unicode MS"/>
          <w:noProof/>
          <w:lang w:val="en-IE"/>
        </w:rPr>
        <w:t>.</w:t>
      </w:r>
      <w:r w:rsidR="0068397D">
        <w:rPr>
          <w:rFonts w:eastAsia="Arial Unicode MS"/>
          <w:noProof/>
          <w:lang w:val="en-IE"/>
        </w:rPr>
        <w:t xml:space="preserve"> </w:t>
      </w:r>
      <w:r w:rsidR="00C43E6A">
        <w:rPr>
          <w:rFonts w:eastAsia="Arial Unicode MS"/>
          <w:noProof/>
          <w:lang w:val="en-IE"/>
        </w:rPr>
        <w:t xml:space="preserve">ENISA will </w:t>
      </w:r>
      <w:r w:rsidR="00995FFC">
        <w:rPr>
          <w:rFonts w:eastAsia="Arial Unicode MS"/>
          <w:noProof/>
          <w:lang w:val="en-IE"/>
        </w:rPr>
        <w:t>not replace Mem</w:t>
      </w:r>
      <w:r w:rsidR="00C43E6A">
        <w:rPr>
          <w:rFonts w:eastAsia="Arial Unicode MS"/>
          <w:noProof/>
          <w:lang w:val="en-IE"/>
        </w:rPr>
        <w:t xml:space="preserve">ber States’ </w:t>
      </w:r>
      <w:r w:rsidR="00C967DA">
        <w:rPr>
          <w:rFonts w:eastAsia="Arial Unicode MS"/>
          <w:noProof/>
          <w:lang w:val="en-IE"/>
        </w:rPr>
        <w:t>CSIRTs</w:t>
      </w:r>
      <w:r w:rsidR="00B66F5A" w:rsidRPr="00B66F5A">
        <w:rPr>
          <w:rFonts w:eastAsia="Arial Unicode MS"/>
          <w:noProof/>
          <w:lang w:val="en-IE"/>
        </w:rPr>
        <w:t xml:space="preserve">. </w:t>
      </w:r>
      <w:r w:rsidR="00D1378C">
        <w:rPr>
          <w:rFonts w:eastAsia="Arial Unicode MS"/>
          <w:noProof/>
          <w:lang w:val="en-IE"/>
        </w:rPr>
        <w:t xml:space="preserve">As regards the </w:t>
      </w:r>
      <w:r w:rsidR="00884C42">
        <w:rPr>
          <w:rFonts w:eastAsia="Arial Unicode MS"/>
          <w:noProof/>
          <w:lang w:val="en-IE"/>
        </w:rPr>
        <w:t xml:space="preserve">ECCF, </w:t>
      </w:r>
      <w:r w:rsidR="00FD48CB">
        <w:rPr>
          <w:rFonts w:eastAsia="Arial Unicode MS"/>
          <w:noProof/>
          <w:lang w:val="en-IE"/>
        </w:rPr>
        <w:t>certification remains voluntary</w:t>
      </w:r>
      <w:r w:rsidR="00A816B1">
        <w:rPr>
          <w:rFonts w:eastAsia="Arial Unicode MS"/>
          <w:noProof/>
          <w:lang w:val="en-IE"/>
        </w:rPr>
        <w:t xml:space="preserve"> and can help entities demonstrate compliance with Union’s cybersecurity requirements.</w:t>
      </w:r>
      <w:r w:rsidR="006B35A6">
        <w:rPr>
          <w:rFonts w:eastAsia="Arial Unicode MS"/>
          <w:noProof/>
          <w:lang w:val="en-IE"/>
        </w:rPr>
        <w:t xml:space="preserve"> </w:t>
      </w:r>
      <w:r>
        <w:rPr>
          <w:rFonts w:eastAsia="Arial Unicode MS"/>
          <w:noProof/>
          <w:lang w:val="en-IE"/>
        </w:rPr>
        <w:t>This approach ensures that the proportionality principle is respected.</w:t>
      </w:r>
    </w:p>
    <w:p w14:paraId="6D033B24" w14:textId="7195B47C" w:rsidR="401A80D5" w:rsidRDefault="00931010" w:rsidP="401A80D5">
      <w:pPr>
        <w:pBdr>
          <w:top w:val="nil"/>
          <w:left w:val="nil"/>
          <w:bottom w:val="nil"/>
          <w:right w:val="nil"/>
          <w:between w:val="nil"/>
          <w:bar w:val="nil"/>
        </w:pBdr>
        <w:spacing w:before="0" w:after="240"/>
        <w:rPr>
          <w:rFonts w:eastAsia="Arial Unicode MS"/>
          <w:noProof/>
        </w:rPr>
      </w:pPr>
      <w:r w:rsidRPr="00931010">
        <w:rPr>
          <w:rFonts w:eastAsia="Arial Unicode MS"/>
          <w:noProof/>
        </w:rPr>
        <w:t>Regarding the solutions proposed in relation to the ICT supply chain security, the framework foresees gathering evidence of what constitutes key assets and what measures would be proportionate and necessary to ensure de-risking of the critical supply chains. Prior to defining these measures, an assessment of economic impacts will be performed, which would look at, among others, economic feasibility, available alternatives in the market, lifecycle of the specific products. This assessment will inform what risk-based measures are needed and most appropriate</w:t>
      </w:r>
      <w:r>
        <w:rPr>
          <w:rFonts w:eastAsia="Arial Unicode MS"/>
          <w:noProof/>
        </w:rPr>
        <w:t>.</w:t>
      </w:r>
    </w:p>
    <w:p w14:paraId="3000BC01" w14:textId="77777777" w:rsidR="00A3053C" w:rsidRDefault="00A3053C" w:rsidP="003A2E97">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r>
      <w:r>
        <w:rPr>
          <w:rFonts w:eastAsia="Arial Unicode MS"/>
          <w:noProof/>
          <w:u w:color="000000"/>
          <w:bdr w:val="nil"/>
          <w:lang w:val="en-US" w:eastAsia="en-GB"/>
        </w:rPr>
        <w:t>Choice of the instrument</w:t>
      </w:r>
    </w:p>
    <w:p w14:paraId="273949CE" w14:textId="271A4656" w:rsidR="00A3053C" w:rsidRPr="00550536" w:rsidRDefault="00F9278F" w:rsidP="003A2E97">
      <w:pPr>
        <w:pBdr>
          <w:top w:val="nil"/>
          <w:left w:val="nil"/>
          <w:bottom w:val="nil"/>
          <w:right w:val="nil"/>
          <w:between w:val="nil"/>
          <w:bar w:val="nil"/>
        </w:pBdr>
        <w:spacing w:before="0" w:after="240"/>
        <w:rPr>
          <w:rFonts w:eastAsia="Arial Unicode MS"/>
          <w:noProof/>
        </w:rPr>
      </w:pPr>
      <w:r w:rsidRPr="344FA351">
        <w:rPr>
          <w:rFonts w:eastAsia="Arial Unicode MS"/>
          <w:noProof/>
        </w:rPr>
        <w:t xml:space="preserve">The present proposal reviews Regulation (EU) 2019/881 which sets out the current mandate and tasks for ENISA and the ECCF. Therefore, ENISA's revised mandate and amendments to the ECCF are best established under the same legal instrument, using the instrument of a </w:t>
      </w:r>
      <w:r w:rsidR="008A7BFE">
        <w:rPr>
          <w:rFonts w:eastAsia="Arial Unicode MS"/>
          <w:noProof/>
        </w:rPr>
        <w:t>r</w:t>
      </w:r>
      <w:r w:rsidRPr="344FA351">
        <w:rPr>
          <w:rFonts w:eastAsia="Arial Unicode MS"/>
          <w:noProof/>
        </w:rPr>
        <w:t>egulation.</w:t>
      </w:r>
      <w:r w:rsidR="002C1523">
        <w:rPr>
          <w:rFonts w:eastAsia="Arial Unicode MS"/>
          <w:noProof/>
        </w:rPr>
        <w:t xml:space="preserve"> </w:t>
      </w:r>
      <w:r w:rsidR="00931010" w:rsidRPr="00931010">
        <w:rPr>
          <w:rFonts w:eastAsia="Arial Unicode MS"/>
          <w:noProof/>
        </w:rPr>
        <w:t>The proposed legislation also entails an effective framework at EU level to address ICT supply chain security risks, for which a regulation would more effectively address the problems identified and meet the objectives formulated, since only intervention at the EU level will ensure the same level of security across the Union and necessary harmonisation of approaches.</w:t>
      </w:r>
      <w:r w:rsidR="00BD62AA">
        <w:rPr>
          <w:rFonts w:eastAsia="Arial Unicode MS"/>
          <w:noProof/>
        </w:rPr>
        <w:t xml:space="preserve"> </w:t>
      </w:r>
      <w:r w:rsidR="002C1523" w:rsidRPr="344FA351">
        <w:rPr>
          <w:rFonts w:eastAsia="Arial Unicode MS"/>
          <w:noProof/>
        </w:rPr>
        <w:t>The transposition process in the case of a directive for such intervention could leave too much room for discretion at national level, potentially leading to lack of uniformity of certain essential cybersecurity requirements, legal uncertainty, further fragmentation or even discriminatory cross-border</w:t>
      </w:r>
      <w:r w:rsidR="00BB2EE3">
        <w:rPr>
          <w:rFonts w:eastAsia="Arial Unicode MS"/>
          <w:noProof/>
        </w:rPr>
        <w:t xml:space="preserve"> situations</w:t>
      </w:r>
      <w:r w:rsidR="002C1523" w:rsidRPr="344FA351">
        <w:rPr>
          <w:rFonts w:eastAsia="Arial Unicode MS"/>
          <w:noProof/>
        </w:rPr>
        <w:t>.</w:t>
      </w:r>
    </w:p>
    <w:p w14:paraId="5BD13CB3" w14:textId="77777777" w:rsidR="00A3053C" w:rsidRPr="00550536" w:rsidRDefault="00A3053C" w:rsidP="003A2E97">
      <w:pPr>
        <w:pStyle w:val="ManualHeading1"/>
        <w:rPr>
          <w:noProof/>
        </w:rPr>
      </w:pPr>
      <w:r w:rsidRPr="00550536">
        <w:rPr>
          <w:noProof/>
        </w:rPr>
        <w:t>3.</w:t>
      </w:r>
      <w:r w:rsidRPr="00550536">
        <w:rPr>
          <w:noProof/>
        </w:rPr>
        <w:tab/>
        <w:t>RESULTS OF EX-POST EVALUATIONS, STAKEHOLDER CONSULTATIONS AND IMPACT ASSESSMENTS</w:t>
      </w:r>
    </w:p>
    <w:p w14:paraId="05128934" w14:textId="77777777" w:rsidR="00A3053C" w:rsidRDefault="00A3053C" w:rsidP="003A2E97">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Ex-post evaluations/fitness checks</w:t>
      </w:r>
      <w:r>
        <w:rPr>
          <w:rFonts w:eastAsia="Arial Unicode MS"/>
          <w:noProof/>
          <w:u w:color="000000"/>
          <w:bdr w:val="nil"/>
          <w:lang w:val="en-US" w:eastAsia="en-GB"/>
        </w:rPr>
        <w:t xml:space="preserve"> of existing legislation</w:t>
      </w:r>
    </w:p>
    <w:p w14:paraId="33265221" w14:textId="0634BA92" w:rsidR="00A3053C" w:rsidRDefault="005257A9" w:rsidP="003A2E97">
      <w:pPr>
        <w:pBdr>
          <w:top w:val="nil"/>
          <w:left w:val="nil"/>
          <w:bottom w:val="nil"/>
          <w:right w:val="nil"/>
          <w:between w:val="nil"/>
          <w:bar w:val="nil"/>
        </w:pBdr>
        <w:spacing w:before="0" w:after="240"/>
        <w:rPr>
          <w:noProof/>
        </w:rPr>
      </w:pPr>
      <w:r w:rsidRPr="00DE1642">
        <w:rPr>
          <w:rFonts w:eastAsia="Arial Unicode MS"/>
          <w:noProof/>
        </w:rPr>
        <w:t xml:space="preserve">The </w:t>
      </w:r>
      <w:r w:rsidR="00E81C9A">
        <w:rPr>
          <w:rFonts w:eastAsia="Arial Unicode MS"/>
          <w:noProof/>
        </w:rPr>
        <w:t>European</w:t>
      </w:r>
      <w:r w:rsidRPr="00DE1642">
        <w:rPr>
          <w:rFonts w:eastAsia="Arial Unicode MS"/>
          <w:noProof/>
        </w:rPr>
        <w:t xml:space="preserve"> Commission, according to </w:t>
      </w:r>
      <w:r w:rsidRPr="000D4D95">
        <w:rPr>
          <w:noProof/>
        </w:rPr>
        <w:t>Article 67 of Regulation (EU) 2019/881</w:t>
      </w:r>
      <w:r w:rsidRPr="00DE1642">
        <w:rPr>
          <w:rFonts w:eastAsia="Arial Unicode MS"/>
          <w:noProof/>
        </w:rPr>
        <w:t>,</w:t>
      </w:r>
      <w:r w:rsidR="00137977">
        <w:rPr>
          <w:rFonts w:eastAsia="Arial Unicode MS"/>
          <w:noProof/>
        </w:rPr>
        <w:t xml:space="preserve"> </w:t>
      </w:r>
      <w:r w:rsidRPr="00DE1642">
        <w:rPr>
          <w:rFonts w:eastAsia="Arial Unicode MS"/>
          <w:noProof/>
        </w:rPr>
        <w:t xml:space="preserve">assessed the relevance, impact, effectiveness, efficiency, coherence and the added value of </w:t>
      </w:r>
      <w:r>
        <w:rPr>
          <w:rFonts w:eastAsia="Arial Unicode MS"/>
          <w:noProof/>
        </w:rPr>
        <w:t xml:space="preserve">ENISA and the </w:t>
      </w:r>
      <w:r w:rsidRPr="4CEA747B">
        <w:rPr>
          <w:rFonts w:eastAsia="Times New Roman"/>
          <w:noProof/>
          <w:lang w:val="en-IE" w:eastAsia="en-IE"/>
        </w:rPr>
        <w:t>ECCF</w:t>
      </w:r>
      <w:r>
        <w:rPr>
          <w:rFonts w:eastAsia="Arial Unicode MS"/>
          <w:noProof/>
        </w:rPr>
        <w:t xml:space="preserve">, </w:t>
      </w:r>
      <w:r w:rsidRPr="000D4D95">
        <w:rPr>
          <w:noProof/>
        </w:rPr>
        <w:t xml:space="preserve">considering the evolving technological and regulatory landscape. </w:t>
      </w:r>
      <w:r w:rsidRPr="007B2E9B">
        <w:rPr>
          <w:noProof/>
          <w:lang w:val="en-IE"/>
        </w:rPr>
        <w:t xml:space="preserve">This evaluation, </w:t>
      </w:r>
      <w:r w:rsidRPr="4CEA747B">
        <w:rPr>
          <w:noProof/>
          <w:lang w:val="en-IE"/>
        </w:rPr>
        <w:t>completed</w:t>
      </w:r>
      <w:r w:rsidRPr="007B2E9B">
        <w:rPr>
          <w:noProof/>
          <w:lang w:val="en-IE"/>
        </w:rPr>
        <w:t xml:space="preserve"> in December 2024</w:t>
      </w:r>
      <w:r>
        <w:rPr>
          <w:noProof/>
          <w:lang w:val="en-IE"/>
        </w:rPr>
        <w:t>,</w:t>
      </w:r>
      <w:r w:rsidRPr="007B2E9B" w:rsidDel="00A83290">
        <w:rPr>
          <w:noProof/>
          <w:lang w:val="en-IE"/>
        </w:rPr>
        <w:t xml:space="preserve"> </w:t>
      </w:r>
      <w:r w:rsidR="00C76F49">
        <w:rPr>
          <w:noProof/>
          <w:lang w:val="en-IE"/>
        </w:rPr>
        <w:t>covered</w:t>
      </w:r>
      <w:r w:rsidRPr="007B2E9B">
        <w:rPr>
          <w:noProof/>
          <w:lang w:val="en-IE"/>
        </w:rPr>
        <w:t xml:space="preserve"> the period from 2017 to 2023</w:t>
      </w:r>
      <w:r>
        <w:rPr>
          <w:noProof/>
          <w:lang w:val="en-IE"/>
        </w:rPr>
        <w:t xml:space="preserve"> and</w:t>
      </w:r>
      <w:r w:rsidRPr="4CEA747B">
        <w:rPr>
          <w:noProof/>
          <w:lang w:val="en-IE"/>
        </w:rPr>
        <w:t xml:space="preserve"> aimed</w:t>
      </w:r>
      <w:r w:rsidRPr="007B2E9B">
        <w:rPr>
          <w:noProof/>
          <w:lang w:val="en-IE"/>
        </w:rPr>
        <w:t xml:space="preserve"> to review ENISA's mandate and activities</w:t>
      </w:r>
      <w:r w:rsidR="007746C7">
        <w:rPr>
          <w:noProof/>
          <w:lang w:val="en-IE"/>
        </w:rPr>
        <w:t>,</w:t>
      </w:r>
      <w:r w:rsidRPr="007B2E9B">
        <w:rPr>
          <w:noProof/>
          <w:lang w:val="en-IE"/>
        </w:rPr>
        <w:t xml:space="preserve"> and </w:t>
      </w:r>
      <w:r>
        <w:rPr>
          <w:noProof/>
          <w:lang w:val="en-IE"/>
        </w:rPr>
        <w:t xml:space="preserve">to </w:t>
      </w:r>
      <w:r w:rsidRPr="007B2E9B">
        <w:rPr>
          <w:noProof/>
          <w:lang w:val="en-IE"/>
        </w:rPr>
        <w:t>assess the ECCF's role in fostering a secure cyber environment across the EU</w:t>
      </w:r>
      <w:r>
        <w:rPr>
          <w:noProof/>
          <w:lang w:val="en-IE"/>
        </w:rPr>
        <w:t xml:space="preserve">. </w:t>
      </w:r>
      <w:r w:rsidRPr="007B2E9B">
        <w:rPr>
          <w:noProof/>
        </w:rPr>
        <w:t>The main findings can be summarised as follows</w:t>
      </w:r>
      <w:r>
        <w:rPr>
          <w:noProof/>
        </w:rPr>
        <w:t>.</w:t>
      </w:r>
    </w:p>
    <w:p w14:paraId="60298557" w14:textId="77777777" w:rsidR="0074565D" w:rsidRDefault="004100E0" w:rsidP="00D06470">
      <w:pPr>
        <w:pStyle w:val="Bullet0"/>
        <w:numPr>
          <w:ilvl w:val="0"/>
          <w:numId w:val="36"/>
        </w:numPr>
        <w:rPr>
          <w:noProof/>
          <w:lang w:val="en-IE"/>
        </w:rPr>
      </w:pPr>
      <w:r w:rsidRPr="00925B2D">
        <w:rPr>
          <w:b/>
          <w:noProof/>
        </w:rPr>
        <w:t xml:space="preserve">Relevance: </w:t>
      </w:r>
      <w:r w:rsidRPr="00925B2D">
        <w:rPr>
          <w:noProof/>
          <w:lang w:val="en-IE"/>
        </w:rPr>
        <w:t xml:space="preserve">ENISA’s relevance in the cybersecurity domain is underscored by its responsiveness to evolving stakeholder needs and adaptability to a changing landscape. </w:t>
      </w:r>
      <w:bookmarkStart w:id="0" w:name="_Hlk212550761"/>
      <w:r>
        <w:rPr>
          <w:noProof/>
        </w:rPr>
        <w:t>Although</w:t>
      </w:r>
      <w:r w:rsidRPr="000D4D95">
        <w:rPr>
          <w:noProof/>
        </w:rPr>
        <w:t xml:space="preserve"> stakeholder </w:t>
      </w:r>
      <w:r w:rsidRPr="00925B2D">
        <w:rPr>
          <w:noProof/>
          <w:lang w:val="en-IE"/>
        </w:rPr>
        <w:t>satisfaction</w:t>
      </w:r>
      <w:r w:rsidRPr="000D4D95">
        <w:rPr>
          <w:noProof/>
        </w:rPr>
        <w:t xml:space="preserve"> is generally positive, </w:t>
      </w:r>
      <w:bookmarkEnd w:id="0"/>
      <w:r>
        <w:rPr>
          <w:noProof/>
        </w:rPr>
        <w:t>t</w:t>
      </w:r>
      <w:r w:rsidRPr="00925B2D">
        <w:rPr>
          <w:noProof/>
          <w:lang w:val="en-IE"/>
        </w:rPr>
        <w:t xml:space="preserve">here are opportunities to </w:t>
      </w:r>
      <w:r w:rsidR="009A731F">
        <w:rPr>
          <w:noProof/>
          <w:lang w:val="en-IE"/>
        </w:rPr>
        <w:t>increase</w:t>
      </w:r>
      <w:r w:rsidR="009A731F" w:rsidRPr="00925B2D">
        <w:rPr>
          <w:noProof/>
          <w:lang w:val="en-IE"/>
        </w:rPr>
        <w:t xml:space="preserve"> </w:t>
      </w:r>
      <w:r w:rsidRPr="00925B2D">
        <w:rPr>
          <w:noProof/>
          <w:lang w:val="en-IE"/>
        </w:rPr>
        <w:t>ENISA</w:t>
      </w:r>
      <w:r w:rsidR="009A731F">
        <w:rPr>
          <w:noProof/>
          <w:lang w:val="en-IE"/>
        </w:rPr>
        <w:t>’</w:t>
      </w:r>
      <w:r w:rsidRPr="00925B2D">
        <w:rPr>
          <w:noProof/>
          <w:lang w:val="en-IE"/>
        </w:rPr>
        <w:t xml:space="preserve">s impact. This can be achieved by improving support and visibility for diverse sectors, particularly </w:t>
      </w:r>
      <w:r w:rsidR="00BF39A4">
        <w:rPr>
          <w:noProof/>
          <w:lang w:val="en-IE"/>
        </w:rPr>
        <w:t>small to medium-sized enterprises (</w:t>
      </w:r>
      <w:r w:rsidRPr="00925B2D">
        <w:rPr>
          <w:noProof/>
          <w:lang w:val="en-IE"/>
        </w:rPr>
        <w:t>SMEs</w:t>
      </w:r>
      <w:r w:rsidR="00BF39A4">
        <w:rPr>
          <w:noProof/>
          <w:lang w:val="en-IE"/>
        </w:rPr>
        <w:t>)</w:t>
      </w:r>
      <w:r w:rsidRPr="00925B2D">
        <w:rPr>
          <w:noProof/>
          <w:lang w:val="en-IE"/>
        </w:rPr>
        <w:t>, which often struggle with cybersecurity requirements. Better resource organi</w:t>
      </w:r>
      <w:r w:rsidR="005701BA">
        <w:rPr>
          <w:noProof/>
          <w:lang w:val="en-IE"/>
        </w:rPr>
        <w:t>s</w:t>
      </w:r>
      <w:r w:rsidRPr="00925B2D">
        <w:rPr>
          <w:noProof/>
          <w:lang w:val="en-IE"/>
        </w:rPr>
        <w:t>ation and clearer coordination with national authorities are essential. Reprioritising activities and optimising existing resources will better align ENISA with the dynamic needs of the European cybersecurity landscape.</w:t>
      </w:r>
    </w:p>
    <w:p w14:paraId="33ED5424" w14:textId="77777777" w:rsidR="00B36BF9" w:rsidRPr="0074565D" w:rsidRDefault="00A614C9" w:rsidP="0074565D">
      <w:pPr>
        <w:pStyle w:val="Text1"/>
        <w:rPr>
          <w:noProof/>
          <w:lang w:val="en-IE"/>
        </w:rPr>
      </w:pPr>
      <w:r>
        <w:rPr>
          <w:noProof/>
        </w:rPr>
        <w:t>Regarding the</w:t>
      </w:r>
      <w:r w:rsidRPr="000D4D95">
        <w:rPr>
          <w:noProof/>
        </w:rPr>
        <w:t xml:space="preserve"> </w:t>
      </w:r>
      <w:r>
        <w:rPr>
          <w:noProof/>
        </w:rPr>
        <w:t>ECCF, despite its</w:t>
      </w:r>
      <w:r w:rsidRPr="000D4D95">
        <w:rPr>
          <w:noProof/>
        </w:rPr>
        <w:t xml:space="preserve"> promising premise, the framework is still considered </w:t>
      </w:r>
      <w:r w:rsidR="00E37D82">
        <w:rPr>
          <w:noProof/>
        </w:rPr>
        <w:t>to have</w:t>
      </w:r>
      <w:r w:rsidRPr="000D4D95">
        <w:rPr>
          <w:noProof/>
        </w:rPr>
        <w:t xml:space="preserve"> more potential than practical</w:t>
      </w:r>
      <w:r w:rsidR="00E37D82">
        <w:rPr>
          <w:noProof/>
        </w:rPr>
        <w:t xml:space="preserve"> impact</w:t>
      </w:r>
      <w:r w:rsidRPr="000D4D95">
        <w:rPr>
          <w:noProof/>
        </w:rPr>
        <w:t xml:space="preserve">, </w:t>
      </w:r>
      <w:r w:rsidR="00E37D82">
        <w:rPr>
          <w:noProof/>
        </w:rPr>
        <w:t>as</w:t>
      </w:r>
      <w:r w:rsidRPr="000D4D95">
        <w:rPr>
          <w:noProof/>
        </w:rPr>
        <w:t xml:space="preserve"> </w:t>
      </w:r>
      <w:r>
        <w:rPr>
          <w:noProof/>
        </w:rPr>
        <w:t xml:space="preserve">only one </w:t>
      </w:r>
      <w:r w:rsidRPr="000D4D95">
        <w:rPr>
          <w:noProof/>
        </w:rPr>
        <w:t xml:space="preserve">certification scheme </w:t>
      </w:r>
      <w:r w:rsidR="001A15D2">
        <w:rPr>
          <w:noProof/>
        </w:rPr>
        <w:t>has recently become operational</w:t>
      </w:r>
      <w:r>
        <w:rPr>
          <w:noProof/>
        </w:rPr>
        <w:t>.</w:t>
      </w:r>
      <w:r w:rsidRPr="0074565D">
        <w:rPr>
          <w:b/>
          <w:i/>
          <w:noProof/>
          <w:lang w:val="en-IE" w:eastAsia="en-IE"/>
        </w:rPr>
        <w:t xml:space="preserve"> </w:t>
      </w:r>
      <w:r w:rsidRPr="0074565D">
        <w:rPr>
          <w:noProof/>
          <w:lang w:val="en-IE" w:eastAsia="en-IE"/>
        </w:rPr>
        <w:t xml:space="preserve">The framework </w:t>
      </w:r>
      <w:r w:rsidR="00D973DD" w:rsidRPr="0074565D">
        <w:rPr>
          <w:noProof/>
          <w:lang w:val="en-IE" w:eastAsia="en-IE"/>
        </w:rPr>
        <w:t>is designed</w:t>
      </w:r>
      <w:r w:rsidRPr="0074565D">
        <w:rPr>
          <w:noProof/>
          <w:lang w:val="en-IE" w:eastAsia="en-IE"/>
        </w:rPr>
        <w:t xml:space="preserve"> to </w:t>
      </w:r>
      <w:r w:rsidR="00A32048" w:rsidRPr="0074565D">
        <w:rPr>
          <w:noProof/>
          <w:lang w:val="en-IE" w:eastAsia="en-IE"/>
        </w:rPr>
        <w:t xml:space="preserve">seamlessly </w:t>
      </w:r>
      <w:r w:rsidRPr="0074565D">
        <w:rPr>
          <w:noProof/>
          <w:lang w:val="en-IE" w:eastAsia="en-IE"/>
        </w:rPr>
        <w:t>integrate with other U</w:t>
      </w:r>
      <w:r w:rsidR="00C60C35" w:rsidRPr="0074565D">
        <w:rPr>
          <w:noProof/>
          <w:lang w:val="en-IE" w:eastAsia="en-IE"/>
        </w:rPr>
        <w:t>nion</w:t>
      </w:r>
      <w:r w:rsidRPr="0074565D">
        <w:rPr>
          <w:noProof/>
          <w:lang w:val="en-IE" w:eastAsia="en-IE"/>
        </w:rPr>
        <w:t xml:space="preserve"> legal acts to streamline procedures and facilitate cross-border trade. Its significance is highlighted in high-assurance areas like cloud services and 5G infrastructures.</w:t>
      </w:r>
    </w:p>
    <w:p w14:paraId="32C1B462" w14:textId="77777777" w:rsidR="00B36BF9" w:rsidRPr="00E2660E" w:rsidRDefault="00B36BF9" w:rsidP="00D06470">
      <w:pPr>
        <w:pStyle w:val="Bullet0"/>
        <w:numPr>
          <w:ilvl w:val="0"/>
          <w:numId w:val="36"/>
        </w:numPr>
        <w:rPr>
          <w:rFonts w:eastAsia="Arial Unicode MS"/>
          <w:noProof/>
          <w:lang w:val="en-IE"/>
        </w:rPr>
      </w:pPr>
      <w:r w:rsidRPr="4CEA747B">
        <w:rPr>
          <w:rFonts w:eastAsia="Arial Unicode MS"/>
          <w:b/>
          <w:noProof/>
        </w:rPr>
        <w:t>Effectiveness:</w:t>
      </w:r>
      <w:r w:rsidRPr="00E2660E">
        <w:rPr>
          <w:rFonts w:eastAsia="Arial Unicode MS"/>
          <w:noProof/>
        </w:rPr>
        <w:t xml:space="preserve"> </w:t>
      </w:r>
      <w:r w:rsidRPr="00E2660E">
        <w:rPr>
          <w:rFonts w:eastAsia="Arial Unicode MS"/>
          <w:noProof/>
          <w:lang w:val="en-IE"/>
        </w:rPr>
        <w:t>ENISA has successfully met its mandate by delivering nearly all planned outputs, showcasing flexibility and resilience during crises like the COVID-19 pandemic and Russia</w:t>
      </w:r>
      <w:r w:rsidR="00C60C35">
        <w:rPr>
          <w:rFonts w:eastAsia="Arial Unicode MS"/>
          <w:noProof/>
          <w:lang w:val="en-IE"/>
        </w:rPr>
        <w:t>’s</w:t>
      </w:r>
      <w:r w:rsidRPr="00E2660E">
        <w:rPr>
          <w:rFonts w:eastAsia="Arial Unicode MS"/>
          <w:noProof/>
          <w:lang w:val="en-IE"/>
        </w:rPr>
        <w:t xml:space="preserve"> war </w:t>
      </w:r>
      <w:r w:rsidR="00C60C35">
        <w:rPr>
          <w:rFonts w:eastAsia="Arial Unicode MS"/>
          <w:noProof/>
          <w:lang w:val="en-IE"/>
        </w:rPr>
        <w:t>of aggression against</w:t>
      </w:r>
      <w:r w:rsidRPr="00E2660E">
        <w:rPr>
          <w:rFonts w:eastAsia="Arial Unicode MS"/>
          <w:noProof/>
          <w:lang w:val="en-IE"/>
        </w:rPr>
        <w:t xml:space="preserve"> Ukraine. </w:t>
      </w:r>
      <w:r w:rsidRPr="00E2660E">
        <w:rPr>
          <w:noProof/>
          <w:lang w:val="en-IE"/>
        </w:rPr>
        <w:t xml:space="preserve">However, improved </w:t>
      </w:r>
      <w:r w:rsidRPr="4CEA747B">
        <w:rPr>
          <w:noProof/>
          <w:lang w:val="en-IE"/>
        </w:rPr>
        <w:t>prioritisation</w:t>
      </w:r>
      <w:r w:rsidRPr="00E2660E">
        <w:rPr>
          <w:noProof/>
          <w:lang w:val="en-IE"/>
        </w:rPr>
        <w:t xml:space="preserve">, clear focus, and strategic resource allocation are needed to </w:t>
      </w:r>
      <w:r w:rsidR="00F1043B">
        <w:rPr>
          <w:noProof/>
          <w:lang w:val="en-IE"/>
        </w:rPr>
        <w:t>increase</w:t>
      </w:r>
      <w:r w:rsidR="00F1043B" w:rsidRPr="00E2660E">
        <w:rPr>
          <w:noProof/>
          <w:lang w:val="en-IE"/>
        </w:rPr>
        <w:t xml:space="preserve"> </w:t>
      </w:r>
      <w:r w:rsidRPr="00E2660E">
        <w:rPr>
          <w:noProof/>
          <w:lang w:val="en-IE"/>
        </w:rPr>
        <w:t xml:space="preserve">efficiency. A more agile approach to internal governance is essential to adapt to evolving cybersecurity demands and </w:t>
      </w:r>
      <w:r w:rsidRPr="4CEA747B">
        <w:rPr>
          <w:noProof/>
          <w:lang w:val="en-IE"/>
        </w:rPr>
        <w:t>minimise</w:t>
      </w:r>
      <w:r w:rsidRPr="00E2660E">
        <w:rPr>
          <w:noProof/>
          <w:lang w:val="en-IE"/>
        </w:rPr>
        <w:t xml:space="preserve"> delays.</w:t>
      </w:r>
    </w:p>
    <w:p w14:paraId="4C31DC22" w14:textId="77777777" w:rsidR="00B36BF9" w:rsidRPr="00C979BA" w:rsidRDefault="00B36BF9" w:rsidP="00643D1E">
      <w:pPr>
        <w:pStyle w:val="Text1"/>
        <w:rPr>
          <w:noProof/>
          <w:lang w:val="en-IE" w:eastAsia="en-IE"/>
        </w:rPr>
      </w:pPr>
      <w:r w:rsidRPr="00E2660E">
        <w:rPr>
          <w:noProof/>
          <w:lang w:val="en-IE"/>
        </w:rPr>
        <w:t xml:space="preserve">The ECCF aimed to </w:t>
      </w:r>
      <w:r w:rsidRPr="4CEA747B">
        <w:rPr>
          <w:noProof/>
          <w:lang w:val="en-IE"/>
        </w:rPr>
        <w:t>harmonise</w:t>
      </w:r>
      <w:r w:rsidRPr="00E2660E">
        <w:rPr>
          <w:noProof/>
          <w:lang w:val="en-IE"/>
        </w:rPr>
        <w:t xml:space="preserve"> cybersecurity certification across the U</w:t>
      </w:r>
      <w:r w:rsidR="00B75AF5">
        <w:rPr>
          <w:noProof/>
          <w:lang w:val="en-IE"/>
        </w:rPr>
        <w:t>nion</w:t>
      </w:r>
      <w:r w:rsidRPr="00E2660E">
        <w:rPr>
          <w:noProof/>
          <w:lang w:val="en-IE"/>
        </w:rPr>
        <w:t xml:space="preserve"> but encountered significant </w:t>
      </w:r>
      <w:r w:rsidRPr="006827F2">
        <w:rPr>
          <w:noProof/>
          <w:lang w:val="en-IE"/>
        </w:rPr>
        <w:t>challenges</w:t>
      </w:r>
      <w:r w:rsidRPr="00E2660E">
        <w:rPr>
          <w:noProof/>
          <w:lang w:val="en-IE"/>
        </w:rPr>
        <w:t>, including procedural limitations and fragmentation, which led to delays</w:t>
      </w:r>
      <w:r>
        <w:rPr>
          <w:noProof/>
          <w:lang w:val="en-IE"/>
        </w:rPr>
        <w:t xml:space="preserve"> </w:t>
      </w:r>
      <w:r w:rsidRPr="4CEA747B">
        <w:rPr>
          <w:noProof/>
          <w:lang w:val="en-IE" w:eastAsia="en-IE"/>
        </w:rPr>
        <w:t>and inefficiencies, such as the delay in adopting the E</w:t>
      </w:r>
      <w:r w:rsidR="00851B6F">
        <w:rPr>
          <w:noProof/>
          <w:lang w:val="en-IE" w:eastAsia="en-IE"/>
        </w:rPr>
        <w:t>uropean</w:t>
      </w:r>
      <w:r w:rsidRPr="4CEA747B">
        <w:rPr>
          <w:noProof/>
          <w:lang w:val="en-IE" w:eastAsia="en-IE"/>
        </w:rPr>
        <w:t xml:space="preserve"> Common Criteria</w:t>
      </w:r>
      <w:r w:rsidR="00851B6F">
        <w:rPr>
          <w:noProof/>
          <w:lang w:val="en-IE" w:eastAsia="en-IE"/>
        </w:rPr>
        <w:t xml:space="preserve">-based </w:t>
      </w:r>
      <w:r w:rsidR="007641F7">
        <w:rPr>
          <w:noProof/>
          <w:lang w:val="en-IE" w:eastAsia="en-IE"/>
        </w:rPr>
        <w:t>cybersecurity certification scheme</w:t>
      </w:r>
      <w:r w:rsidRPr="4CEA747B">
        <w:rPr>
          <w:noProof/>
          <w:lang w:val="en-IE" w:eastAsia="en-IE"/>
        </w:rPr>
        <w:t xml:space="preserve"> (EUCC)</w:t>
      </w:r>
      <w:r w:rsidRPr="4CEA747B">
        <w:rPr>
          <w:noProof/>
          <w:lang w:val="en-IE"/>
        </w:rPr>
        <w:t xml:space="preserve">. </w:t>
      </w:r>
      <w:r w:rsidRPr="4CEA747B">
        <w:rPr>
          <w:noProof/>
          <w:lang w:val="en-IE" w:eastAsia="en-IE"/>
        </w:rPr>
        <w:t xml:space="preserve">External factors, like geopolitical tensions and the COVID-19 pandemic, further complicated the </w:t>
      </w:r>
      <w:r w:rsidR="008E7880">
        <w:rPr>
          <w:noProof/>
          <w:lang w:val="en-IE" w:eastAsia="en-IE"/>
        </w:rPr>
        <w:t>achiev</w:t>
      </w:r>
      <w:r w:rsidR="00B75AF5">
        <w:rPr>
          <w:noProof/>
          <w:lang w:val="en-IE" w:eastAsia="en-IE"/>
        </w:rPr>
        <w:t>ement of</w:t>
      </w:r>
      <w:r w:rsidR="008E7880">
        <w:rPr>
          <w:noProof/>
          <w:lang w:val="en-IE" w:eastAsia="en-IE"/>
        </w:rPr>
        <w:t xml:space="preserve"> </w:t>
      </w:r>
      <w:r w:rsidRPr="4CEA747B">
        <w:rPr>
          <w:noProof/>
          <w:lang w:val="en-IE" w:eastAsia="en-IE"/>
        </w:rPr>
        <w:t>the ECCF</w:t>
      </w:r>
      <w:r w:rsidR="00B75AF5">
        <w:rPr>
          <w:noProof/>
          <w:lang w:val="en-IE" w:eastAsia="en-IE"/>
        </w:rPr>
        <w:t>’</w:t>
      </w:r>
      <w:r w:rsidRPr="4CEA747B">
        <w:rPr>
          <w:noProof/>
          <w:lang w:val="en-IE" w:eastAsia="en-IE"/>
        </w:rPr>
        <w:t xml:space="preserve">s objectives, highlighting the need for adaptable measures and consistent resource allocation among stakeholders to achieve uniformity and effectiveness in cybersecurity certification. </w:t>
      </w:r>
      <w:r w:rsidRPr="000D4D95">
        <w:rPr>
          <w:noProof/>
        </w:rPr>
        <w:t>Despite these hurdles, there have been positive outcomes</w:t>
      </w:r>
      <w:r w:rsidR="00335465">
        <w:rPr>
          <w:noProof/>
        </w:rPr>
        <w:t xml:space="preserve"> - </w:t>
      </w:r>
      <w:r w:rsidRPr="000D4D95">
        <w:rPr>
          <w:noProof/>
        </w:rPr>
        <w:t xml:space="preserve">particularly in raising awareness </w:t>
      </w:r>
      <w:r w:rsidR="00335465">
        <w:rPr>
          <w:noProof/>
        </w:rPr>
        <w:t>among</w:t>
      </w:r>
      <w:r w:rsidR="00335465" w:rsidRPr="000D4D95">
        <w:rPr>
          <w:noProof/>
        </w:rPr>
        <w:t xml:space="preserve"> </w:t>
      </w:r>
      <w:r w:rsidRPr="000D4D95">
        <w:rPr>
          <w:noProof/>
        </w:rPr>
        <w:t xml:space="preserve">Member States </w:t>
      </w:r>
      <w:r w:rsidR="00563863">
        <w:rPr>
          <w:noProof/>
        </w:rPr>
        <w:t>of</w:t>
      </w:r>
      <w:r w:rsidR="00563863" w:rsidRPr="000D4D95">
        <w:rPr>
          <w:noProof/>
        </w:rPr>
        <w:t xml:space="preserve"> </w:t>
      </w:r>
      <w:r w:rsidRPr="000D4D95">
        <w:rPr>
          <w:noProof/>
        </w:rPr>
        <w:t>the importance and intricacies of cybersecurity certification</w:t>
      </w:r>
      <w:r>
        <w:rPr>
          <w:noProof/>
        </w:rPr>
        <w:t>.</w:t>
      </w:r>
    </w:p>
    <w:p w14:paraId="2FD6D799" w14:textId="77777777" w:rsidR="00EF1F43" w:rsidRPr="000217DB" w:rsidRDefault="00EF1F43" w:rsidP="00D06470">
      <w:pPr>
        <w:pStyle w:val="Bullet0"/>
        <w:numPr>
          <w:ilvl w:val="0"/>
          <w:numId w:val="36"/>
        </w:numPr>
        <w:rPr>
          <w:noProof/>
          <w:lang w:val="en-IE" w:eastAsia="en-IE"/>
        </w:rPr>
      </w:pPr>
      <w:r w:rsidRPr="40A11489">
        <w:rPr>
          <w:b/>
          <w:bCs/>
          <w:noProof/>
          <w:lang w:val="en-IE" w:eastAsia="en-IE"/>
        </w:rPr>
        <w:t>Efficiency:</w:t>
      </w:r>
      <w:r w:rsidRPr="40A11489">
        <w:rPr>
          <w:noProof/>
          <w:lang w:val="en-IE" w:eastAsia="en-IE"/>
        </w:rPr>
        <w:t xml:space="preserve"> ENISA operated efficiently under its matrix-based organisational framework, </w:t>
      </w:r>
      <w:r w:rsidR="00B64C15">
        <w:rPr>
          <w:noProof/>
          <w:lang w:val="en-IE" w:eastAsia="en-IE"/>
        </w:rPr>
        <w:t>promoting</w:t>
      </w:r>
      <w:r w:rsidR="00B64C15" w:rsidRPr="40A11489">
        <w:rPr>
          <w:noProof/>
          <w:lang w:val="en-IE" w:eastAsia="en-IE"/>
        </w:rPr>
        <w:t xml:space="preserve"> </w:t>
      </w:r>
      <w:r w:rsidRPr="40A11489">
        <w:rPr>
          <w:noProof/>
          <w:lang w:val="en-IE" w:eastAsia="en-IE"/>
        </w:rPr>
        <w:t>cooperation and task prioritisation. However, ENISA faced challenges in meeting increasing demands and filling speciali</w:t>
      </w:r>
      <w:r w:rsidR="00937565">
        <w:rPr>
          <w:noProof/>
          <w:lang w:val="en-IE" w:eastAsia="en-IE"/>
        </w:rPr>
        <w:t>s</w:t>
      </w:r>
      <w:r w:rsidRPr="40A11489">
        <w:rPr>
          <w:noProof/>
          <w:lang w:val="en-IE" w:eastAsia="en-IE"/>
        </w:rPr>
        <w:t xml:space="preserve">ed positions, exacerbated by a global shortage of IT specialists, leading to delays and </w:t>
      </w:r>
      <w:r w:rsidR="003E0566">
        <w:rPr>
          <w:noProof/>
          <w:lang w:val="en-IE" w:eastAsia="en-IE"/>
        </w:rPr>
        <w:t>heavy</w:t>
      </w:r>
      <w:r w:rsidR="003E0566" w:rsidRPr="40A11489">
        <w:rPr>
          <w:noProof/>
          <w:lang w:val="en-IE" w:eastAsia="en-IE"/>
        </w:rPr>
        <w:t xml:space="preserve"> </w:t>
      </w:r>
      <w:r w:rsidRPr="40A11489">
        <w:rPr>
          <w:noProof/>
          <w:lang w:val="en-IE" w:eastAsia="en-IE"/>
        </w:rPr>
        <w:t xml:space="preserve">workload. To address these issues, ENISA could optimise its internal workforce and reallocate resources effectively, as demonstrated by strategic adjustments like the 2022 shift in resources </w:t>
      </w:r>
      <w:r w:rsidR="004628E3">
        <w:rPr>
          <w:noProof/>
          <w:lang w:val="en-IE" w:eastAsia="en-IE"/>
        </w:rPr>
        <w:t>towards</w:t>
      </w:r>
      <w:r w:rsidR="004628E3" w:rsidRPr="40A11489">
        <w:rPr>
          <w:noProof/>
          <w:lang w:val="en-IE" w:eastAsia="en-IE"/>
        </w:rPr>
        <w:t xml:space="preserve"> </w:t>
      </w:r>
      <w:r w:rsidRPr="40A11489">
        <w:rPr>
          <w:noProof/>
          <w:lang w:val="en-IE" w:eastAsia="en-IE"/>
        </w:rPr>
        <w:t xml:space="preserve">the Cybersecurity Support Action. Additionally, improving budget management and </w:t>
      </w:r>
      <w:r w:rsidR="00907493">
        <w:rPr>
          <w:noProof/>
          <w:lang w:val="en-IE" w:eastAsia="en-IE"/>
        </w:rPr>
        <w:t>reducing</w:t>
      </w:r>
      <w:r w:rsidRPr="40A11489">
        <w:rPr>
          <w:noProof/>
          <w:lang w:val="en-IE" w:eastAsia="en-IE"/>
        </w:rPr>
        <w:t xml:space="preserve"> administrative expenditure would further </w:t>
      </w:r>
      <w:r w:rsidR="00AF7FC6">
        <w:rPr>
          <w:noProof/>
          <w:lang w:val="en-IE" w:eastAsia="en-IE"/>
        </w:rPr>
        <w:t>improve</w:t>
      </w:r>
      <w:r w:rsidR="00AF7FC6" w:rsidRPr="40A11489">
        <w:rPr>
          <w:noProof/>
          <w:lang w:val="en-IE" w:eastAsia="en-IE"/>
        </w:rPr>
        <w:t xml:space="preserve"> </w:t>
      </w:r>
      <w:r w:rsidRPr="40A11489">
        <w:rPr>
          <w:noProof/>
          <w:lang w:val="en-IE" w:eastAsia="en-IE"/>
        </w:rPr>
        <w:t xml:space="preserve">the </w:t>
      </w:r>
      <w:r w:rsidR="00AF7FC6">
        <w:rPr>
          <w:noProof/>
          <w:lang w:val="en-IE" w:eastAsia="en-IE"/>
        </w:rPr>
        <w:t>A</w:t>
      </w:r>
      <w:r w:rsidRPr="40A11489">
        <w:rPr>
          <w:noProof/>
          <w:lang w:val="en-IE" w:eastAsia="en-IE"/>
        </w:rPr>
        <w:t>gency</w:t>
      </w:r>
      <w:r w:rsidR="00AF7FC6">
        <w:rPr>
          <w:noProof/>
          <w:lang w:val="en-IE" w:eastAsia="en-IE"/>
        </w:rPr>
        <w:t>’</w:t>
      </w:r>
      <w:r w:rsidRPr="40A11489">
        <w:rPr>
          <w:noProof/>
          <w:lang w:val="en-IE" w:eastAsia="en-IE"/>
        </w:rPr>
        <w:t>s operational efficiency.</w:t>
      </w:r>
    </w:p>
    <w:p w14:paraId="6019DADA" w14:textId="77777777" w:rsidR="00EF1F43" w:rsidRDefault="00EF1F43" w:rsidP="00643D1E">
      <w:pPr>
        <w:pStyle w:val="Text1"/>
        <w:rPr>
          <w:noProof/>
          <w:lang w:val="en-IE" w:eastAsia="en-IE"/>
        </w:rPr>
      </w:pPr>
      <w:r w:rsidRPr="4CEA747B">
        <w:rPr>
          <w:noProof/>
          <w:lang w:val="en-IE" w:eastAsia="en-IE"/>
        </w:rPr>
        <w:t>The efficiency of the ECCF has been critici</w:t>
      </w:r>
      <w:r w:rsidR="00722CC2">
        <w:rPr>
          <w:noProof/>
          <w:lang w:val="en-IE" w:eastAsia="en-IE"/>
        </w:rPr>
        <w:t>s</w:t>
      </w:r>
      <w:r w:rsidRPr="4CEA747B">
        <w:rPr>
          <w:noProof/>
          <w:lang w:val="en-IE" w:eastAsia="en-IE"/>
        </w:rPr>
        <w:t xml:space="preserve">ed due to extended timelines for adopting cybersecurity certification schemes and the complexities involved, with the first scheme only adopted in early 2024 nearly five years </w:t>
      </w:r>
      <w:r w:rsidR="002D2598">
        <w:rPr>
          <w:noProof/>
          <w:lang w:val="en-IE" w:eastAsia="en-IE"/>
        </w:rPr>
        <w:t>after the adoption of the CSA</w:t>
      </w:r>
      <w:r w:rsidRPr="4CEA747B">
        <w:rPr>
          <w:noProof/>
          <w:lang w:val="en-IE" w:eastAsia="en-IE"/>
        </w:rPr>
        <w:t xml:space="preserve">. Political and technical challenges, such as debates </w:t>
      </w:r>
      <w:r w:rsidR="00C87252">
        <w:rPr>
          <w:noProof/>
          <w:lang w:val="en-IE" w:eastAsia="en-IE"/>
        </w:rPr>
        <w:t>about</w:t>
      </w:r>
      <w:r w:rsidR="00C87252" w:rsidRPr="4CEA747B">
        <w:rPr>
          <w:noProof/>
          <w:lang w:val="en-IE" w:eastAsia="en-IE"/>
        </w:rPr>
        <w:t xml:space="preserve"> </w:t>
      </w:r>
      <w:r w:rsidRPr="4CEA747B">
        <w:rPr>
          <w:noProof/>
          <w:lang w:val="en-IE" w:eastAsia="en-IE"/>
        </w:rPr>
        <w:t>data sovereignty and difficulties in translating drafts into legal acts, contributed to delays. Political challenges and technical demands</w:t>
      </w:r>
      <w:r>
        <w:rPr>
          <w:noProof/>
          <w:lang w:val="en-IE" w:eastAsia="en-IE"/>
        </w:rPr>
        <w:t xml:space="preserve"> </w:t>
      </w:r>
      <w:r w:rsidRPr="4CEA747B">
        <w:rPr>
          <w:noProof/>
          <w:lang w:val="en-IE" w:eastAsia="en-IE"/>
        </w:rPr>
        <w:t xml:space="preserve">have impeded progress, as seen with the EU Cloud Certification Scheme (EUCS) and </w:t>
      </w:r>
      <w:r w:rsidR="00D06F1D">
        <w:rPr>
          <w:noProof/>
          <w:lang w:val="en-IE" w:eastAsia="en-IE"/>
        </w:rPr>
        <w:t xml:space="preserve">the </w:t>
      </w:r>
      <w:r w:rsidRPr="4CEA747B">
        <w:rPr>
          <w:noProof/>
          <w:lang w:val="en-IE" w:eastAsia="en-IE"/>
        </w:rPr>
        <w:t xml:space="preserve">EU5G Scheme. </w:t>
      </w:r>
      <w:r w:rsidRPr="000D4D95">
        <w:rPr>
          <w:noProof/>
        </w:rPr>
        <w:t xml:space="preserve">Despite these inefficiencies, </w:t>
      </w:r>
      <w:r w:rsidR="0084413A">
        <w:rPr>
          <w:noProof/>
        </w:rPr>
        <w:t xml:space="preserve">the framework gave rise to </w:t>
      </w:r>
      <w:r w:rsidRPr="000D4D95">
        <w:rPr>
          <w:noProof/>
        </w:rPr>
        <w:t xml:space="preserve">several positive </w:t>
      </w:r>
      <w:r w:rsidR="0084413A">
        <w:rPr>
          <w:noProof/>
        </w:rPr>
        <w:t>aspects</w:t>
      </w:r>
      <w:r w:rsidRPr="000D4D95">
        <w:rPr>
          <w:noProof/>
        </w:rPr>
        <w:t xml:space="preserve">. </w:t>
      </w:r>
      <w:r w:rsidRPr="4CEA747B">
        <w:rPr>
          <w:noProof/>
          <w:lang w:val="en-IE" w:eastAsia="en-IE"/>
        </w:rPr>
        <w:t>However, there remains a need for improvements in stakeholder engagement and internal governance to ensure optimal functioning and strategic input.</w:t>
      </w:r>
    </w:p>
    <w:p w14:paraId="5AEDC7F8" w14:textId="77777777" w:rsidR="00A614C9" w:rsidRPr="00A614C9" w:rsidRDefault="00A614C9" w:rsidP="00D06470">
      <w:pPr>
        <w:pStyle w:val="Bullet0"/>
        <w:numPr>
          <w:ilvl w:val="0"/>
          <w:numId w:val="36"/>
        </w:numPr>
        <w:rPr>
          <w:noProof/>
          <w:lang w:val="en-IE" w:eastAsia="en-IE"/>
        </w:rPr>
      </w:pPr>
      <w:r w:rsidRPr="00A614C9">
        <w:rPr>
          <w:b/>
          <w:bCs/>
          <w:noProof/>
          <w:lang w:val="en-IE" w:eastAsia="en-IE"/>
        </w:rPr>
        <w:t>Coherence:</w:t>
      </w:r>
      <w:r>
        <w:rPr>
          <w:noProof/>
          <w:lang w:val="en-IE" w:eastAsia="en-IE"/>
        </w:rPr>
        <w:t xml:space="preserve"> </w:t>
      </w:r>
      <w:r w:rsidRPr="00A614C9">
        <w:rPr>
          <w:noProof/>
          <w:lang w:val="en-IE" w:eastAsia="en-IE"/>
        </w:rPr>
        <w:t>ENISA's coherence is supported by significant stakeholder engagement and alignment with recent legislative frameworks. However</w:t>
      </w:r>
      <w:r w:rsidRPr="4CEA747B">
        <w:rPr>
          <w:noProof/>
          <w:lang w:eastAsia="en-IE"/>
        </w:rPr>
        <w:t xml:space="preserve">, to enhance coherence and resource allocation, </w:t>
      </w:r>
      <w:r w:rsidR="0084413A">
        <w:rPr>
          <w:noProof/>
          <w:lang w:eastAsia="en-IE"/>
        </w:rPr>
        <w:t>it is essential to</w:t>
      </w:r>
      <w:r w:rsidRPr="4CEA747B">
        <w:rPr>
          <w:noProof/>
          <w:lang w:eastAsia="en-IE"/>
        </w:rPr>
        <w:t xml:space="preserve"> improve synergies with other U</w:t>
      </w:r>
      <w:r w:rsidR="00DB16C0">
        <w:rPr>
          <w:noProof/>
          <w:lang w:eastAsia="en-IE"/>
        </w:rPr>
        <w:t>nion</w:t>
      </w:r>
      <w:r w:rsidRPr="4CEA747B">
        <w:rPr>
          <w:noProof/>
          <w:lang w:eastAsia="en-IE"/>
        </w:rPr>
        <w:t xml:space="preserve"> bodies</w:t>
      </w:r>
      <w:r w:rsidR="00DB16C0">
        <w:rPr>
          <w:noProof/>
          <w:lang w:eastAsia="en-IE"/>
        </w:rPr>
        <w:t>, such as</w:t>
      </w:r>
      <w:r w:rsidRPr="4CEA747B">
        <w:rPr>
          <w:noProof/>
          <w:lang w:eastAsia="en-IE"/>
        </w:rPr>
        <w:t xml:space="preserve"> the European Cybersecurity </w:t>
      </w:r>
      <w:r w:rsidR="00E77895" w:rsidRPr="00E77895">
        <w:rPr>
          <w:noProof/>
          <w:lang w:eastAsia="en-IE"/>
        </w:rPr>
        <w:t>Industrial, Technology and Research</w:t>
      </w:r>
      <w:r w:rsidRPr="4CEA747B">
        <w:rPr>
          <w:noProof/>
          <w:lang w:eastAsia="en-IE"/>
        </w:rPr>
        <w:t xml:space="preserve"> Competence Centre (ECCC)</w:t>
      </w:r>
      <w:r w:rsidR="00183091">
        <w:rPr>
          <w:noProof/>
          <w:lang w:eastAsia="en-IE"/>
        </w:rPr>
        <w:t>,</w:t>
      </w:r>
      <w:r w:rsidRPr="4CEA747B">
        <w:rPr>
          <w:noProof/>
          <w:lang w:eastAsia="en-IE"/>
        </w:rPr>
        <w:t xml:space="preserve"> and national authorities.</w:t>
      </w:r>
      <w:r w:rsidRPr="00A614C9">
        <w:rPr>
          <w:noProof/>
          <w:lang w:val="en-IE" w:eastAsia="en-IE"/>
        </w:rPr>
        <w:t xml:space="preserve"> Moreover, internal communication and resource management within ENISA, along with transparent interaction with private stakeholders, must be refined. Clear delineation of ENISA’s tasks, consistent with the CRA and the NIS2 Directive, will </w:t>
      </w:r>
      <w:r w:rsidR="00183091">
        <w:rPr>
          <w:noProof/>
          <w:lang w:val="en-IE" w:eastAsia="en-IE"/>
        </w:rPr>
        <w:t>improve</w:t>
      </w:r>
      <w:r w:rsidR="00183091" w:rsidRPr="00A614C9">
        <w:rPr>
          <w:noProof/>
          <w:lang w:val="en-IE" w:eastAsia="en-IE"/>
        </w:rPr>
        <w:t xml:space="preserve"> </w:t>
      </w:r>
      <w:r w:rsidRPr="00A614C9">
        <w:rPr>
          <w:noProof/>
          <w:lang w:val="en-IE" w:eastAsia="en-IE"/>
        </w:rPr>
        <w:t>both efficiency and regulatory consistency.</w:t>
      </w:r>
    </w:p>
    <w:p w14:paraId="6F1D48B6" w14:textId="77777777" w:rsidR="00A614C9" w:rsidRDefault="00A614C9" w:rsidP="00643D1E">
      <w:pPr>
        <w:pStyle w:val="Text1"/>
        <w:rPr>
          <w:noProof/>
          <w:lang w:val="en-IE" w:eastAsia="en-IE"/>
        </w:rPr>
      </w:pPr>
      <w:r w:rsidRPr="00A614C9">
        <w:rPr>
          <w:noProof/>
          <w:lang w:val="en-IE" w:eastAsia="en-IE"/>
        </w:rPr>
        <w:t xml:space="preserve">Regarding the ECCF, full </w:t>
      </w:r>
      <w:r w:rsidR="00183091">
        <w:rPr>
          <w:noProof/>
          <w:lang w:val="en-IE" w:eastAsia="en-IE"/>
        </w:rPr>
        <w:t>consistency</w:t>
      </w:r>
      <w:r w:rsidR="00183091" w:rsidRPr="00A614C9">
        <w:rPr>
          <w:noProof/>
          <w:lang w:val="en-IE" w:eastAsia="en-IE"/>
        </w:rPr>
        <w:t xml:space="preserve"> </w:t>
      </w:r>
      <w:r w:rsidRPr="00A614C9">
        <w:rPr>
          <w:noProof/>
          <w:lang w:val="en-IE" w:eastAsia="en-IE"/>
        </w:rPr>
        <w:t>with other U</w:t>
      </w:r>
      <w:r w:rsidR="00183091">
        <w:rPr>
          <w:noProof/>
          <w:lang w:val="en-IE" w:eastAsia="en-IE"/>
        </w:rPr>
        <w:t>nion</w:t>
      </w:r>
      <w:r w:rsidRPr="00A614C9">
        <w:rPr>
          <w:noProof/>
          <w:lang w:val="en-IE" w:eastAsia="en-IE"/>
        </w:rPr>
        <w:t xml:space="preserve"> legislative instruments, including the NIS2 Directive and the CRA, is crucial for ensuring a unified cybersecurity approach. While the ECCF shows theoretical alignment with these legislative measures, real-world integration remains complex and requires diligent oversight. The implementation of the adopted EUCC scheme </w:t>
      </w:r>
      <w:r w:rsidR="007562D5">
        <w:rPr>
          <w:noProof/>
          <w:lang w:val="en-IE" w:eastAsia="en-IE"/>
        </w:rPr>
        <w:t>within</w:t>
      </w:r>
      <w:r w:rsidRPr="00A614C9">
        <w:rPr>
          <w:noProof/>
          <w:lang w:val="en-IE" w:eastAsia="en-IE"/>
        </w:rPr>
        <w:t xml:space="preserve"> the CRA </w:t>
      </w:r>
      <w:r w:rsidR="007562D5">
        <w:rPr>
          <w:noProof/>
          <w:lang w:val="en-IE" w:eastAsia="en-IE"/>
        </w:rPr>
        <w:t xml:space="preserve">framework </w:t>
      </w:r>
      <w:r w:rsidRPr="00A614C9">
        <w:rPr>
          <w:noProof/>
          <w:lang w:val="en-IE" w:eastAsia="en-IE"/>
        </w:rPr>
        <w:t>will be a significant test in this regard</w:t>
      </w:r>
      <w:r>
        <w:rPr>
          <w:noProof/>
          <w:lang w:val="en-IE" w:eastAsia="en-IE"/>
        </w:rPr>
        <w:t>.</w:t>
      </w:r>
    </w:p>
    <w:p w14:paraId="517B633B" w14:textId="77777777" w:rsidR="00A614C9" w:rsidRPr="00A614C9" w:rsidRDefault="00A614C9" w:rsidP="00D06470">
      <w:pPr>
        <w:pStyle w:val="Bullet0"/>
        <w:numPr>
          <w:ilvl w:val="0"/>
          <w:numId w:val="36"/>
        </w:numPr>
        <w:rPr>
          <w:noProof/>
          <w:lang w:val="en-IE" w:eastAsia="en-IE"/>
        </w:rPr>
      </w:pPr>
      <w:r w:rsidRPr="4CEA747B">
        <w:rPr>
          <w:b/>
          <w:noProof/>
          <w:lang w:val="en-IE" w:eastAsia="en-IE"/>
        </w:rPr>
        <w:t>EU</w:t>
      </w:r>
      <w:r w:rsidR="001A3D42">
        <w:rPr>
          <w:b/>
          <w:noProof/>
          <w:lang w:val="en-IE" w:eastAsia="en-IE"/>
        </w:rPr>
        <w:t xml:space="preserve"> </w:t>
      </w:r>
      <w:r w:rsidRPr="4CEA747B">
        <w:rPr>
          <w:b/>
          <w:noProof/>
          <w:lang w:val="en-IE" w:eastAsia="en-IE"/>
        </w:rPr>
        <w:t>added value:</w:t>
      </w:r>
      <w:r w:rsidRPr="4CEA747B">
        <w:rPr>
          <w:noProof/>
          <w:lang w:val="en-IE" w:eastAsia="en-IE"/>
        </w:rPr>
        <w:t xml:space="preserve"> </w:t>
      </w:r>
      <w:r w:rsidRPr="4CEA747B">
        <w:rPr>
          <w:noProof/>
          <w:lang w:eastAsia="en-IE"/>
        </w:rPr>
        <w:t>ENISA has made substantial contributions to the U</w:t>
      </w:r>
      <w:r w:rsidR="001A3D42">
        <w:rPr>
          <w:noProof/>
          <w:lang w:eastAsia="en-IE"/>
        </w:rPr>
        <w:t>nion</w:t>
      </w:r>
      <w:r w:rsidRPr="4CEA747B">
        <w:rPr>
          <w:noProof/>
          <w:lang w:eastAsia="en-IE"/>
        </w:rPr>
        <w:t>’s cybersecurity ecosystem by promoting cooperation and aligning practices. Its role in facilitating national efforts and providing insights into emerging threats has been vital. However, criticism from private</w:t>
      </w:r>
      <w:r w:rsidR="00C72429">
        <w:rPr>
          <w:noProof/>
          <w:lang w:eastAsia="en-IE"/>
        </w:rPr>
        <w:t>-</w:t>
      </w:r>
      <w:r w:rsidRPr="4CEA747B">
        <w:rPr>
          <w:noProof/>
          <w:lang w:eastAsia="en-IE"/>
        </w:rPr>
        <w:t xml:space="preserve">sector stakeholders about the need for more tailored support indicates a </w:t>
      </w:r>
      <w:r w:rsidR="00FB2D56">
        <w:rPr>
          <w:noProof/>
          <w:lang w:eastAsia="en-IE"/>
        </w:rPr>
        <w:t>need</w:t>
      </w:r>
      <w:r w:rsidR="00FB2D56" w:rsidRPr="4CEA747B">
        <w:rPr>
          <w:noProof/>
          <w:lang w:eastAsia="en-IE"/>
        </w:rPr>
        <w:t xml:space="preserve"> </w:t>
      </w:r>
      <w:r w:rsidRPr="4CEA747B">
        <w:rPr>
          <w:noProof/>
          <w:lang w:eastAsia="en-IE"/>
        </w:rPr>
        <w:t xml:space="preserve">for </w:t>
      </w:r>
      <w:r w:rsidR="00FB2D56">
        <w:rPr>
          <w:noProof/>
          <w:lang w:eastAsia="en-IE"/>
        </w:rPr>
        <w:t>improved</w:t>
      </w:r>
      <w:r w:rsidRPr="4CEA747B">
        <w:rPr>
          <w:noProof/>
          <w:lang w:eastAsia="en-IE"/>
        </w:rPr>
        <w:t xml:space="preserve"> stakeholder engagement and industry collaboration. Strategically reassessing resource management would enable ENISA to better adapt to evolving cybersecurity challenges and serve diverse stakeholders more effectively. The ECCF aimed to introduce harmoni</w:t>
      </w:r>
      <w:r w:rsidR="00C62B2B">
        <w:rPr>
          <w:noProof/>
          <w:lang w:eastAsia="en-IE"/>
        </w:rPr>
        <w:t>s</w:t>
      </w:r>
      <w:r w:rsidRPr="4CEA747B">
        <w:rPr>
          <w:noProof/>
          <w:lang w:eastAsia="en-IE"/>
        </w:rPr>
        <w:t xml:space="preserve">ed certification processes but faced implementation challenges due to prolonged timelines and fragmentation. </w:t>
      </w:r>
      <w:r w:rsidR="00FD630F">
        <w:rPr>
          <w:noProof/>
          <w:lang w:eastAsia="en-IE"/>
        </w:rPr>
        <w:t>T</w:t>
      </w:r>
      <w:r w:rsidRPr="00A534E8">
        <w:rPr>
          <w:noProof/>
          <w:lang w:eastAsia="en-IE"/>
        </w:rPr>
        <w:t>he added value of the ECCF has been limited due to its shortcomings in reaching its objectives and its lack of efficiency</w:t>
      </w:r>
      <w:r>
        <w:rPr>
          <w:noProof/>
          <w:lang w:eastAsia="en-IE"/>
        </w:rPr>
        <w:t xml:space="preserve">. Despite </w:t>
      </w:r>
      <w:r w:rsidR="00FD630F">
        <w:rPr>
          <w:noProof/>
          <w:lang w:eastAsia="en-IE"/>
        </w:rPr>
        <w:t>those</w:t>
      </w:r>
      <w:r>
        <w:rPr>
          <w:noProof/>
          <w:lang w:eastAsia="en-IE"/>
        </w:rPr>
        <w:t xml:space="preserve"> challenges, </w:t>
      </w:r>
      <w:r>
        <w:rPr>
          <w:noProof/>
        </w:rPr>
        <w:t xml:space="preserve">the ECCF did improve harmonisation among Member States and established better cooperation opportunities, particularly </w:t>
      </w:r>
      <w:r w:rsidR="00E77263">
        <w:rPr>
          <w:noProof/>
        </w:rPr>
        <w:t>by</w:t>
      </w:r>
      <w:r>
        <w:rPr>
          <w:noProof/>
        </w:rPr>
        <w:t xml:space="preserve"> creati</w:t>
      </w:r>
      <w:r w:rsidR="00E77263">
        <w:rPr>
          <w:noProof/>
        </w:rPr>
        <w:t>ng</w:t>
      </w:r>
      <w:r>
        <w:rPr>
          <w:noProof/>
        </w:rPr>
        <w:t xml:space="preserve"> stakeholder cooperation fora such as the </w:t>
      </w:r>
      <w:r w:rsidR="00CE408A">
        <w:rPr>
          <w:noProof/>
        </w:rPr>
        <w:t>European Cybersecurity Certification Group</w:t>
      </w:r>
      <w:r>
        <w:rPr>
          <w:noProof/>
        </w:rPr>
        <w:t xml:space="preserve"> </w:t>
      </w:r>
      <w:r w:rsidR="00CE408A">
        <w:rPr>
          <w:noProof/>
        </w:rPr>
        <w:t>(</w:t>
      </w:r>
      <w:r>
        <w:rPr>
          <w:noProof/>
        </w:rPr>
        <w:t>ECCG</w:t>
      </w:r>
      <w:r w:rsidR="00CE408A">
        <w:rPr>
          <w:noProof/>
        </w:rPr>
        <w:t>)</w:t>
      </w:r>
      <w:r>
        <w:rPr>
          <w:noProof/>
        </w:rPr>
        <w:t>.</w:t>
      </w:r>
    </w:p>
    <w:p w14:paraId="059AA4AE" w14:textId="77777777" w:rsidR="00A3053C" w:rsidRDefault="00A3053C" w:rsidP="003A2E97">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Stakeholder consultations</w:t>
      </w:r>
    </w:p>
    <w:p w14:paraId="18AC5D50" w14:textId="77777777" w:rsidR="00D0706B" w:rsidRPr="005B66EE" w:rsidRDefault="005530A0" w:rsidP="0074565D">
      <w:pPr>
        <w:rPr>
          <w:noProof/>
        </w:rPr>
      </w:pPr>
      <w:r>
        <w:rPr>
          <w:noProof/>
        </w:rPr>
        <w:t>Between 2023 and 2025, s</w:t>
      </w:r>
      <w:r w:rsidR="00D0706B">
        <w:rPr>
          <w:noProof/>
        </w:rPr>
        <w:t xml:space="preserve">everal stakeholder consultations were carried out </w:t>
      </w:r>
      <w:r>
        <w:rPr>
          <w:noProof/>
        </w:rPr>
        <w:t>both in the context of the evaluation of the CSA and the revision of the CSA as follows below.</w:t>
      </w:r>
    </w:p>
    <w:p w14:paraId="27847F16" w14:textId="77777777" w:rsidR="00A614C9" w:rsidRDefault="00A614C9" w:rsidP="005255D0">
      <w:pPr>
        <w:pStyle w:val="ListDash"/>
        <w:rPr>
          <w:noProof/>
          <w:lang w:val="en-IE"/>
        </w:rPr>
      </w:pPr>
      <w:r w:rsidRPr="3991162D">
        <w:rPr>
          <w:rFonts w:eastAsia="Arial Unicode MS"/>
          <w:b/>
          <w:noProof/>
          <w:lang w:val="en-IE"/>
        </w:rPr>
        <w:t>In 2023</w:t>
      </w:r>
      <w:r w:rsidR="00455E5B">
        <w:rPr>
          <w:rFonts w:eastAsia="Arial Unicode MS"/>
          <w:b/>
          <w:noProof/>
          <w:lang w:val="en-IE"/>
        </w:rPr>
        <w:t>,</w:t>
      </w:r>
      <w:r w:rsidRPr="1DA9DFC5">
        <w:rPr>
          <w:rFonts w:eastAsia="Arial Unicode MS"/>
          <w:noProof/>
          <w:lang w:val="en-IE"/>
        </w:rPr>
        <w:t xml:space="preserve"> </w:t>
      </w:r>
      <w:r w:rsidRPr="4CEA747B">
        <w:rPr>
          <w:noProof/>
        </w:rPr>
        <w:t xml:space="preserve">65 interviews </w:t>
      </w:r>
      <w:r w:rsidRPr="1DA9DFC5">
        <w:rPr>
          <w:rFonts w:eastAsia="Arial Unicode MS"/>
          <w:noProof/>
          <w:lang w:val="en-IE"/>
        </w:rPr>
        <w:t>were conducted</w:t>
      </w:r>
      <w:r w:rsidRPr="4CEA747B">
        <w:rPr>
          <w:noProof/>
        </w:rPr>
        <w:t xml:space="preserve"> </w:t>
      </w:r>
      <w:r w:rsidR="00BB38FC">
        <w:rPr>
          <w:noProof/>
        </w:rPr>
        <w:t>(</w:t>
      </w:r>
      <w:r w:rsidRPr="4CEA747B">
        <w:rPr>
          <w:noProof/>
        </w:rPr>
        <w:t xml:space="preserve">52 of </w:t>
      </w:r>
      <w:r w:rsidR="0049748D">
        <w:rPr>
          <w:noProof/>
        </w:rPr>
        <w:t>which</w:t>
      </w:r>
      <w:r w:rsidR="0049748D" w:rsidRPr="4CEA747B">
        <w:rPr>
          <w:noProof/>
        </w:rPr>
        <w:t xml:space="preserve"> </w:t>
      </w:r>
      <w:r w:rsidRPr="4CEA747B">
        <w:rPr>
          <w:noProof/>
        </w:rPr>
        <w:t>focused more on ENISA and 13 mainly on the ECCF</w:t>
      </w:r>
      <w:r w:rsidR="00BB38FC">
        <w:rPr>
          <w:noProof/>
        </w:rPr>
        <w:t xml:space="preserve">), </w:t>
      </w:r>
      <w:r w:rsidRPr="4CEA747B">
        <w:rPr>
          <w:noProof/>
        </w:rPr>
        <w:t xml:space="preserve">a survey programme </w:t>
      </w:r>
      <w:r w:rsidR="00BB38FC">
        <w:rPr>
          <w:noProof/>
        </w:rPr>
        <w:t>was carried out</w:t>
      </w:r>
      <w:r w:rsidR="00121156">
        <w:rPr>
          <w:noProof/>
        </w:rPr>
        <w:t>, which received</w:t>
      </w:r>
      <w:r w:rsidRPr="4CEA747B">
        <w:rPr>
          <w:noProof/>
        </w:rPr>
        <w:t xml:space="preserve"> 209 responses (of which 70 were on the ECCF), </w:t>
      </w:r>
      <w:r w:rsidR="00794DAB">
        <w:rPr>
          <w:noProof/>
        </w:rPr>
        <w:t>a</w:t>
      </w:r>
      <w:r w:rsidRPr="4CEA747B">
        <w:rPr>
          <w:noProof/>
        </w:rPr>
        <w:t xml:space="preserve"> public consultation</w:t>
      </w:r>
      <w:r w:rsidR="00794DAB">
        <w:rPr>
          <w:noProof/>
        </w:rPr>
        <w:t xml:space="preserve"> was concluded</w:t>
      </w:r>
      <w:r w:rsidRPr="4CEA747B">
        <w:rPr>
          <w:noProof/>
        </w:rPr>
        <w:t xml:space="preserve">, and two workshops </w:t>
      </w:r>
      <w:r w:rsidR="00AC52C4">
        <w:rPr>
          <w:noProof/>
        </w:rPr>
        <w:t>were organised</w:t>
      </w:r>
      <w:r w:rsidRPr="4CEA747B">
        <w:rPr>
          <w:noProof/>
        </w:rPr>
        <w:t xml:space="preserve"> on SWOT </w:t>
      </w:r>
      <w:r w:rsidR="00AC52C4">
        <w:rPr>
          <w:noProof/>
        </w:rPr>
        <w:t xml:space="preserve">(strengths, weaknesses, opportunities and threats) </w:t>
      </w:r>
      <w:r w:rsidRPr="4CEA747B">
        <w:rPr>
          <w:noProof/>
        </w:rPr>
        <w:t xml:space="preserve">analysis and recommendations with 26 and 70 participants respectively. </w:t>
      </w:r>
      <w:r w:rsidRPr="4CEA747B">
        <w:rPr>
          <w:noProof/>
          <w:lang w:val="en-IE"/>
        </w:rPr>
        <w:t>Th</w:t>
      </w:r>
      <w:r w:rsidR="0026783D">
        <w:rPr>
          <w:noProof/>
          <w:lang w:val="en-IE"/>
        </w:rPr>
        <w:t>e</w:t>
      </w:r>
      <w:r w:rsidRPr="4CEA747B">
        <w:rPr>
          <w:noProof/>
          <w:lang w:val="en-IE"/>
        </w:rPr>
        <w:t>s</w:t>
      </w:r>
      <w:r w:rsidR="0026783D">
        <w:rPr>
          <w:noProof/>
          <w:lang w:val="en-IE"/>
        </w:rPr>
        <w:t>e</w:t>
      </w:r>
      <w:r w:rsidRPr="4CEA747B">
        <w:rPr>
          <w:noProof/>
          <w:lang w:val="en-IE"/>
        </w:rPr>
        <w:t xml:space="preserve"> activit</w:t>
      </w:r>
      <w:r w:rsidR="0026783D">
        <w:rPr>
          <w:noProof/>
          <w:lang w:val="en-IE"/>
        </w:rPr>
        <w:t>ies</w:t>
      </w:r>
      <w:r w:rsidRPr="4CEA747B">
        <w:rPr>
          <w:noProof/>
          <w:lang w:val="en-IE"/>
        </w:rPr>
        <w:t xml:space="preserve"> </w:t>
      </w:r>
      <w:r w:rsidR="00B5656A">
        <w:rPr>
          <w:noProof/>
          <w:lang w:val="en-IE"/>
        </w:rPr>
        <w:t>specifically aimed</w:t>
      </w:r>
      <w:r w:rsidRPr="4CEA747B">
        <w:rPr>
          <w:noProof/>
          <w:lang w:val="en-IE"/>
        </w:rPr>
        <w:t xml:space="preserve"> to gather stakeholders</w:t>
      </w:r>
      <w:r w:rsidR="0073086C">
        <w:rPr>
          <w:noProof/>
          <w:lang w:val="en-IE"/>
        </w:rPr>
        <w:t>’</w:t>
      </w:r>
      <w:r w:rsidRPr="4CEA747B">
        <w:rPr>
          <w:noProof/>
          <w:lang w:val="en-IE"/>
        </w:rPr>
        <w:t xml:space="preserve"> views </w:t>
      </w:r>
      <w:r w:rsidR="00116EA7">
        <w:rPr>
          <w:noProof/>
          <w:lang w:val="en-IE"/>
        </w:rPr>
        <w:t>to</w:t>
      </w:r>
      <w:r w:rsidRPr="4CEA747B">
        <w:rPr>
          <w:noProof/>
          <w:lang w:val="en-IE"/>
        </w:rPr>
        <w:t xml:space="preserve"> evaluat</w:t>
      </w:r>
      <w:r w:rsidR="00116EA7">
        <w:rPr>
          <w:noProof/>
          <w:lang w:val="en-IE"/>
        </w:rPr>
        <w:t>e</w:t>
      </w:r>
      <w:r w:rsidRPr="4CEA747B">
        <w:rPr>
          <w:noProof/>
          <w:lang w:val="en-IE"/>
        </w:rPr>
        <w:t xml:space="preserve"> the </w:t>
      </w:r>
      <w:r w:rsidRPr="4CEA747B">
        <w:rPr>
          <w:noProof/>
        </w:rPr>
        <w:t>impact, effectiveness and efficiency of ENISA. The final report of the </w:t>
      </w:r>
      <w:r w:rsidRPr="4CEA747B">
        <w:rPr>
          <w:i/>
          <w:noProof/>
        </w:rPr>
        <w:t xml:space="preserve">Study to Support the Evaluation of the European Union Agency for Cybersecurity (ENISA) and the European Cybersecurity Certification Framework carried out for the Commission by PwC, Intellera Consulting </w:t>
      </w:r>
      <w:r w:rsidR="00196DA1">
        <w:rPr>
          <w:i/>
          <w:noProof/>
        </w:rPr>
        <w:t>and</w:t>
      </w:r>
      <w:r w:rsidRPr="4CEA747B">
        <w:rPr>
          <w:i/>
          <w:noProof/>
        </w:rPr>
        <w:t xml:space="preserve"> PPMI (2024) </w:t>
      </w:r>
      <w:r w:rsidRPr="001A462E">
        <w:rPr>
          <w:noProof/>
        </w:rPr>
        <w:t>was</w:t>
      </w:r>
      <w:r w:rsidRPr="4CEA747B">
        <w:rPr>
          <w:i/>
          <w:noProof/>
        </w:rPr>
        <w:t> </w:t>
      </w:r>
      <w:r w:rsidRPr="4CEA747B">
        <w:rPr>
          <w:noProof/>
        </w:rPr>
        <w:t>completed in December 2024</w:t>
      </w:r>
      <w:r w:rsidRPr="4CEA747B">
        <w:rPr>
          <w:i/>
          <w:noProof/>
        </w:rPr>
        <w:t>.</w:t>
      </w:r>
      <w:r w:rsidRPr="4CEA747B">
        <w:rPr>
          <w:noProof/>
          <w:lang w:val="en-IE"/>
        </w:rPr>
        <w:t> </w:t>
      </w:r>
    </w:p>
    <w:p w14:paraId="210C2B3D" w14:textId="77777777" w:rsidR="00A614C9" w:rsidRPr="00A614C9" w:rsidRDefault="00A614C9" w:rsidP="005255D0">
      <w:pPr>
        <w:pStyle w:val="ListDash"/>
        <w:rPr>
          <w:rFonts w:eastAsia="Arial Unicode MS"/>
          <w:noProof/>
          <w:lang w:val="en-IE"/>
        </w:rPr>
      </w:pPr>
      <w:r w:rsidRPr="002865D9">
        <w:rPr>
          <w:rFonts w:eastAsia="Arial Unicode MS"/>
          <w:b/>
          <w:bCs/>
          <w:noProof/>
          <w:lang w:val="en-IE"/>
        </w:rPr>
        <w:t>In 2025</w:t>
      </w:r>
      <w:r w:rsidR="005A5D51">
        <w:rPr>
          <w:rFonts w:eastAsia="Arial Unicode MS"/>
          <w:b/>
          <w:bCs/>
          <w:noProof/>
          <w:lang w:val="en-IE"/>
        </w:rPr>
        <w:t xml:space="preserve">, </w:t>
      </w:r>
      <w:r w:rsidR="005A5D51" w:rsidRPr="001A462E">
        <w:rPr>
          <w:rFonts w:eastAsia="Arial Unicode MS"/>
          <w:noProof/>
          <w:lang w:val="en-IE"/>
        </w:rPr>
        <w:t>the Commiss</w:t>
      </w:r>
      <w:r w:rsidR="00196DA1" w:rsidRPr="001A462E">
        <w:rPr>
          <w:rFonts w:eastAsia="Arial Unicode MS"/>
          <w:noProof/>
          <w:lang w:val="en-IE"/>
        </w:rPr>
        <w:t>i</w:t>
      </w:r>
      <w:r w:rsidR="005A5D51" w:rsidRPr="001A462E">
        <w:rPr>
          <w:rFonts w:eastAsia="Arial Unicode MS"/>
          <w:noProof/>
          <w:lang w:val="en-IE"/>
        </w:rPr>
        <w:t>on</w:t>
      </w:r>
      <w:r w:rsidR="005A5D51">
        <w:rPr>
          <w:rFonts w:eastAsia="Arial Unicode MS"/>
          <w:b/>
          <w:bCs/>
          <w:noProof/>
          <w:lang w:val="en-IE"/>
        </w:rPr>
        <w:t xml:space="preserve"> </w:t>
      </w:r>
      <w:r w:rsidR="00196DA1">
        <w:rPr>
          <w:rFonts w:eastAsia="Arial Unicode MS"/>
          <w:noProof/>
          <w:lang w:val="en-IE"/>
        </w:rPr>
        <w:t>launched</w:t>
      </w:r>
      <w:r w:rsidRPr="5431D796">
        <w:rPr>
          <w:rFonts w:eastAsia="Arial Unicode MS"/>
          <w:noProof/>
          <w:lang w:val="en-IE"/>
        </w:rPr>
        <w:t xml:space="preserve"> </w:t>
      </w:r>
      <w:r w:rsidRPr="0730A33F">
        <w:rPr>
          <w:rFonts w:eastAsia="Arial Unicode MS"/>
          <w:noProof/>
          <w:lang w:val="en-IE"/>
        </w:rPr>
        <w:t xml:space="preserve">a call for </w:t>
      </w:r>
      <w:r w:rsidRPr="6B76147A">
        <w:rPr>
          <w:rFonts w:eastAsia="Arial Unicode MS"/>
          <w:noProof/>
          <w:lang w:val="en-IE"/>
        </w:rPr>
        <w:t>evidence</w:t>
      </w:r>
      <w:r>
        <w:rPr>
          <w:rFonts w:eastAsia="Arial Unicode MS"/>
          <w:noProof/>
          <w:lang w:val="en-IE"/>
        </w:rPr>
        <w:t>. In particular, s</w:t>
      </w:r>
      <w:r w:rsidRPr="000B428A">
        <w:rPr>
          <w:noProof/>
        </w:rPr>
        <w:t>takeholders were invited to submit written contributions, including position papers, technical reports, or comments on specific reform proposals.</w:t>
      </w:r>
      <w:r>
        <w:rPr>
          <w:noProof/>
        </w:rPr>
        <w:t xml:space="preserve"> </w:t>
      </w:r>
      <w:r w:rsidRPr="00DA57DF">
        <w:rPr>
          <w:noProof/>
        </w:rPr>
        <w:t> A total of 184 individual contributions were received from a broad range of stakeholder categories, including industry associations, cybersecurity firms, SMEs, academic institutions, and public interest organisations</w:t>
      </w:r>
      <w:r>
        <w:rPr>
          <w:noProof/>
        </w:rPr>
        <w:t>.</w:t>
      </w:r>
    </w:p>
    <w:p w14:paraId="6AE37822" w14:textId="77777777" w:rsidR="00A614C9" w:rsidRPr="00A614C9" w:rsidRDefault="00A614C9" w:rsidP="005255D0">
      <w:pPr>
        <w:pStyle w:val="ListDash"/>
        <w:rPr>
          <w:rFonts w:eastAsia="Arial Unicode MS"/>
          <w:noProof/>
          <w:lang w:val="en-IE"/>
        </w:rPr>
      </w:pPr>
      <w:r w:rsidRPr="00A614C9">
        <w:rPr>
          <w:rFonts w:eastAsia="Arial Unicode MS"/>
          <w:b/>
          <w:bCs/>
          <w:noProof/>
          <w:lang w:val="en-IE"/>
        </w:rPr>
        <w:t>Between</w:t>
      </w:r>
      <w:r w:rsidRPr="00A614C9" w:rsidDel="002B2867">
        <w:rPr>
          <w:rFonts w:eastAsia="Arial Unicode MS"/>
          <w:b/>
          <w:bCs/>
          <w:noProof/>
          <w:lang w:val="en-IE"/>
        </w:rPr>
        <w:t xml:space="preserve"> </w:t>
      </w:r>
      <w:r w:rsidRPr="00A614C9">
        <w:rPr>
          <w:rFonts w:eastAsia="Arial Unicode MS"/>
          <w:b/>
          <w:bCs/>
          <w:noProof/>
          <w:lang w:val="en-IE"/>
        </w:rPr>
        <w:t>April</w:t>
      </w:r>
      <w:r w:rsidR="00196DA1">
        <w:rPr>
          <w:rFonts w:eastAsia="Arial Unicode MS"/>
          <w:b/>
          <w:bCs/>
          <w:noProof/>
          <w:lang w:val="en-IE"/>
        </w:rPr>
        <w:t xml:space="preserve"> and </w:t>
      </w:r>
      <w:r w:rsidRPr="00A614C9">
        <w:rPr>
          <w:rFonts w:eastAsia="Arial Unicode MS"/>
          <w:b/>
          <w:bCs/>
          <w:noProof/>
          <w:lang w:val="en-IE"/>
        </w:rPr>
        <w:t>June 2025</w:t>
      </w:r>
      <w:r w:rsidRPr="00A614C9">
        <w:rPr>
          <w:rFonts w:eastAsia="Arial Unicode MS"/>
          <w:noProof/>
          <w:lang w:val="en-IE"/>
        </w:rPr>
        <w:t xml:space="preserve">, </w:t>
      </w:r>
      <w:r>
        <w:rPr>
          <w:rFonts w:eastAsia="Arial Unicode MS"/>
          <w:noProof/>
          <w:lang w:val="en-IE"/>
        </w:rPr>
        <w:t>t</w:t>
      </w:r>
      <w:r w:rsidRPr="00A614C9">
        <w:rPr>
          <w:rFonts w:eastAsia="Arial Unicode MS"/>
          <w:noProof/>
          <w:lang w:val="en-IE"/>
        </w:rPr>
        <w:t xml:space="preserve">he Commission organised a public consultation </w:t>
      </w:r>
      <w:r w:rsidR="00C1571F">
        <w:rPr>
          <w:rFonts w:eastAsia="Arial Unicode MS"/>
          <w:noProof/>
          <w:lang w:val="en-IE"/>
        </w:rPr>
        <w:t>as part</w:t>
      </w:r>
      <w:r w:rsidRPr="00A614C9">
        <w:rPr>
          <w:rFonts w:eastAsia="Arial Unicode MS"/>
          <w:noProof/>
          <w:lang w:val="en-IE"/>
        </w:rPr>
        <w:t xml:space="preserve"> of the revision of the </w:t>
      </w:r>
      <w:r w:rsidR="00C1571F">
        <w:rPr>
          <w:rFonts w:eastAsia="Arial Unicode MS"/>
          <w:noProof/>
          <w:lang w:val="en-IE"/>
        </w:rPr>
        <w:t>CSA</w:t>
      </w:r>
      <w:r w:rsidRPr="00A614C9">
        <w:rPr>
          <w:rFonts w:eastAsia="Arial Unicode MS"/>
          <w:noProof/>
          <w:lang w:val="en-IE"/>
        </w:rPr>
        <w:t xml:space="preserve"> and received 193 replies. </w:t>
      </w:r>
      <w:r w:rsidRPr="000B428A">
        <w:rPr>
          <w:noProof/>
        </w:rPr>
        <w:t xml:space="preserve">The consultation consisted of 38 questions, both closed and open-ended, covering </w:t>
      </w:r>
      <w:r>
        <w:rPr>
          <w:noProof/>
        </w:rPr>
        <w:t xml:space="preserve">ENISA’s mandate, </w:t>
      </w:r>
      <w:r w:rsidR="009439D6">
        <w:rPr>
          <w:noProof/>
        </w:rPr>
        <w:t>the ECCF</w:t>
      </w:r>
      <w:r w:rsidRPr="000B428A" w:rsidDel="001C2A3A">
        <w:rPr>
          <w:noProof/>
        </w:rPr>
        <w:t xml:space="preserve">, </w:t>
      </w:r>
      <w:r>
        <w:rPr>
          <w:noProof/>
        </w:rPr>
        <w:t xml:space="preserve">ICT </w:t>
      </w:r>
      <w:r w:rsidRPr="000B428A">
        <w:rPr>
          <w:noProof/>
        </w:rPr>
        <w:t xml:space="preserve">supply chain </w:t>
      </w:r>
      <w:r>
        <w:rPr>
          <w:noProof/>
        </w:rPr>
        <w:t xml:space="preserve">security and </w:t>
      </w:r>
      <w:r w:rsidRPr="4CEA747B">
        <w:rPr>
          <w:noProof/>
        </w:rPr>
        <w:t>simplification</w:t>
      </w:r>
      <w:r>
        <w:rPr>
          <w:noProof/>
        </w:rPr>
        <w:t>.</w:t>
      </w:r>
    </w:p>
    <w:p w14:paraId="33849A4D" w14:textId="77777777" w:rsidR="00A614C9" w:rsidRPr="00A614C9" w:rsidRDefault="00A614C9" w:rsidP="005255D0">
      <w:pPr>
        <w:pStyle w:val="ListDash"/>
        <w:rPr>
          <w:rFonts w:eastAsia="Arial Unicode MS"/>
          <w:noProof/>
          <w:lang w:val="en-IE"/>
        </w:rPr>
      </w:pPr>
      <w:r w:rsidRPr="4CEA747B">
        <w:rPr>
          <w:rFonts w:eastAsia="Arial Unicode MS"/>
          <w:b/>
          <w:bCs/>
          <w:noProof/>
        </w:rPr>
        <w:t>Targeted consultation (interviews): </w:t>
      </w:r>
      <w:r w:rsidRPr="4CEA747B">
        <w:rPr>
          <w:rFonts w:eastAsia="Arial Unicode MS"/>
          <w:noProof/>
        </w:rPr>
        <w:t xml:space="preserve">A series of semi-structured interviews were conducted with selected stakeholders. These included ENISA’s representatives as well as national public authorities that </w:t>
      </w:r>
      <w:r w:rsidR="00A826CC">
        <w:rPr>
          <w:rFonts w:eastAsia="Arial Unicode MS"/>
          <w:noProof/>
        </w:rPr>
        <w:t>have</w:t>
      </w:r>
      <w:r w:rsidRPr="4CEA747B">
        <w:rPr>
          <w:rFonts w:eastAsia="Arial Unicode MS"/>
          <w:noProof/>
        </w:rPr>
        <w:t xml:space="preserve"> developed or manage national reporting platforms. Interviews focused on ENISA’s role and capacity, the operational functioning of the ECCF, practical challenges in aligning national and U</w:t>
      </w:r>
      <w:r w:rsidR="00A826CC">
        <w:rPr>
          <w:rFonts w:eastAsia="Arial Unicode MS"/>
          <w:noProof/>
        </w:rPr>
        <w:t>nion</w:t>
      </w:r>
      <w:r w:rsidRPr="4CEA747B">
        <w:rPr>
          <w:rFonts w:eastAsia="Arial Unicode MS"/>
          <w:noProof/>
        </w:rPr>
        <w:t xml:space="preserve">-level certification processes, reporting burdens, and implementation obstacles. These discussions provided qualitative insights that enriched the interpretation of  </w:t>
      </w:r>
      <w:r w:rsidR="00F524A4">
        <w:rPr>
          <w:rFonts w:eastAsia="Arial Unicode MS"/>
          <w:noProof/>
        </w:rPr>
        <w:t xml:space="preserve">the </w:t>
      </w:r>
      <w:r w:rsidRPr="4CEA747B">
        <w:rPr>
          <w:rFonts w:eastAsia="Arial Unicode MS"/>
          <w:noProof/>
        </w:rPr>
        <w:t>results</w:t>
      </w:r>
      <w:r w:rsidR="00F524A4">
        <w:rPr>
          <w:rFonts w:eastAsia="Arial Unicode MS"/>
          <w:noProof/>
        </w:rPr>
        <w:t xml:space="preserve"> of the public consultation</w:t>
      </w:r>
      <w:r w:rsidRPr="4CEA747B">
        <w:rPr>
          <w:rFonts w:eastAsia="Arial Unicode MS"/>
          <w:noProof/>
        </w:rPr>
        <w:t xml:space="preserve"> and supported the refinement of policy options</w:t>
      </w:r>
      <w:r>
        <w:rPr>
          <w:rFonts w:eastAsia="Arial Unicode MS"/>
          <w:noProof/>
        </w:rPr>
        <w:t>.</w:t>
      </w:r>
    </w:p>
    <w:p w14:paraId="01204FD2" w14:textId="77777777" w:rsidR="00A614C9" w:rsidRPr="00501126" w:rsidRDefault="00A614C9" w:rsidP="005255D0">
      <w:pPr>
        <w:pStyle w:val="ListDash"/>
        <w:rPr>
          <w:rFonts w:eastAsia="Arial Unicode MS"/>
          <w:noProof/>
          <w:lang w:val="en-IE"/>
        </w:rPr>
      </w:pPr>
      <w:r w:rsidRPr="4CEA747B">
        <w:rPr>
          <w:rFonts w:eastAsia="Arial Unicode MS"/>
          <w:b/>
          <w:bCs/>
          <w:noProof/>
        </w:rPr>
        <w:t xml:space="preserve">Consultation of Member State representatives within the framework </w:t>
      </w:r>
      <w:r w:rsidR="0075265C">
        <w:rPr>
          <w:rFonts w:eastAsia="Arial Unicode MS"/>
          <w:b/>
          <w:bCs/>
          <w:noProof/>
        </w:rPr>
        <w:t xml:space="preserve">of </w:t>
      </w:r>
      <w:r w:rsidRPr="4CEA747B">
        <w:rPr>
          <w:rFonts w:eastAsia="Arial Unicode MS"/>
          <w:b/>
          <w:bCs/>
          <w:noProof/>
        </w:rPr>
        <w:t>the Council working party</w:t>
      </w:r>
      <w:r w:rsidR="0075265C">
        <w:rPr>
          <w:rStyle w:val="FootnoteReference"/>
          <w:rFonts w:eastAsia="Arial Unicode MS"/>
          <w:b/>
          <w:bCs/>
          <w:noProof/>
        </w:rPr>
        <w:footnoteReference w:id="20"/>
      </w:r>
      <w:r w:rsidRPr="4CEA747B">
        <w:rPr>
          <w:rFonts w:eastAsia="Arial Unicode MS"/>
          <w:b/>
          <w:bCs/>
          <w:noProof/>
        </w:rPr>
        <w:t xml:space="preserve"> and in bilateral discussions, </w:t>
      </w:r>
      <w:r w:rsidRPr="4CEA747B">
        <w:rPr>
          <w:rFonts w:eastAsia="Arial Unicode MS"/>
          <w:noProof/>
        </w:rPr>
        <w:t xml:space="preserve">where Member States could express their views on the review of the </w:t>
      </w:r>
      <w:r w:rsidR="007800EF">
        <w:rPr>
          <w:rFonts w:eastAsia="Arial Unicode MS"/>
          <w:noProof/>
        </w:rPr>
        <w:t>CSA</w:t>
      </w:r>
      <w:r w:rsidRPr="4CEA747B">
        <w:rPr>
          <w:rFonts w:eastAsia="Arial Unicode MS"/>
          <w:noProof/>
        </w:rPr>
        <w:t>.</w:t>
      </w:r>
      <w:r w:rsidRPr="4CEA747B">
        <w:rPr>
          <w:rFonts w:eastAsia="Arial Unicode MS"/>
          <w:noProof/>
          <w:lang w:val="en-IE"/>
        </w:rPr>
        <w:t>   </w:t>
      </w:r>
    </w:p>
    <w:p w14:paraId="4FA2E894" w14:textId="77777777" w:rsidR="00A614C9" w:rsidRPr="00A614C9" w:rsidRDefault="00A614C9" w:rsidP="005255D0">
      <w:pPr>
        <w:pStyle w:val="ListDash"/>
        <w:rPr>
          <w:rFonts w:eastAsia="Arial Unicode MS"/>
          <w:noProof/>
          <w:lang w:val="en-IE"/>
        </w:rPr>
      </w:pPr>
      <w:r w:rsidRPr="4CEA747B">
        <w:rPr>
          <w:rFonts w:eastAsia="Arial Unicode MS"/>
          <w:b/>
          <w:bCs/>
          <w:noProof/>
        </w:rPr>
        <w:t xml:space="preserve">Targeted consultation (ECCF groups – ECCG, </w:t>
      </w:r>
      <w:r w:rsidR="007800EF">
        <w:rPr>
          <w:rFonts w:eastAsia="Arial Unicode MS"/>
          <w:b/>
          <w:bCs/>
          <w:noProof/>
        </w:rPr>
        <w:t>Stakeholder Cybersecurity Certification Group (</w:t>
      </w:r>
      <w:r w:rsidRPr="4CEA747B">
        <w:rPr>
          <w:rFonts w:eastAsia="Arial Unicode MS"/>
          <w:b/>
          <w:bCs/>
          <w:noProof/>
        </w:rPr>
        <w:t>SCCG</w:t>
      </w:r>
      <w:r w:rsidR="007800EF">
        <w:rPr>
          <w:rFonts w:eastAsia="Arial Unicode MS"/>
          <w:b/>
          <w:bCs/>
          <w:noProof/>
        </w:rPr>
        <w:t>)</w:t>
      </w:r>
      <w:r w:rsidRPr="4CEA747B">
        <w:rPr>
          <w:rFonts w:eastAsia="Arial Unicode MS"/>
          <w:b/>
          <w:bCs/>
          <w:noProof/>
        </w:rPr>
        <w:t>)</w:t>
      </w:r>
      <w:r w:rsidRPr="4CEA747B">
        <w:rPr>
          <w:rFonts w:eastAsia="Arial Unicode MS"/>
          <w:b/>
          <w:bCs/>
          <w:noProof/>
          <w:lang w:val="en-IE"/>
        </w:rPr>
        <w:t>:</w:t>
      </w:r>
      <w:r w:rsidRPr="4CEA747B">
        <w:rPr>
          <w:rFonts w:eastAsia="Arial Unicode MS"/>
          <w:noProof/>
        </w:rPr>
        <w:t> The Commission in its capacity as the chair of both groups</w:t>
      </w:r>
      <w:r w:rsidR="00BE7D84">
        <w:rPr>
          <w:rFonts w:eastAsia="Arial Unicode MS"/>
          <w:noProof/>
        </w:rPr>
        <w:t xml:space="preserve">, </w:t>
      </w:r>
      <w:r w:rsidRPr="4CEA747B">
        <w:rPr>
          <w:rFonts w:eastAsia="Arial Unicode MS"/>
          <w:noProof/>
        </w:rPr>
        <w:t>presented the state</w:t>
      </w:r>
      <w:r w:rsidR="00D917C4">
        <w:rPr>
          <w:rFonts w:eastAsia="Arial Unicode MS"/>
          <w:noProof/>
        </w:rPr>
        <w:t xml:space="preserve"> </w:t>
      </w:r>
      <w:r w:rsidRPr="4CEA747B">
        <w:rPr>
          <w:rFonts w:eastAsia="Arial Unicode MS"/>
          <w:noProof/>
        </w:rPr>
        <w:t>of</w:t>
      </w:r>
      <w:r w:rsidR="00D917C4">
        <w:rPr>
          <w:rFonts w:eastAsia="Arial Unicode MS"/>
          <w:noProof/>
        </w:rPr>
        <w:t xml:space="preserve"> </w:t>
      </w:r>
      <w:r w:rsidRPr="4CEA747B">
        <w:rPr>
          <w:rFonts w:eastAsia="Arial Unicode MS"/>
          <w:noProof/>
        </w:rPr>
        <w:t xml:space="preserve">play on the </w:t>
      </w:r>
      <w:r w:rsidR="00152533">
        <w:rPr>
          <w:rFonts w:eastAsia="Arial Unicode MS"/>
          <w:noProof/>
        </w:rPr>
        <w:t xml:space="preserve">CSA </w:t>
      </w:r>
      <w:r w:rsidRPr="4CEA747B">
        <w:rPr>
          <w:rFonts w:eastAsia="Arial Unicode MS"/>
          <w:noProof/>
        </w:rPr>
        <w:t>revision at the ECCG meetings on 12</w:t>
      </w:r>
      <w:r w:rsidR="00E3131A">
        <w:rPr>
          <w:rFonts w:eastAsia="Arial Unicode MS"/>
          <w:noProof/>
        </w:rPr>
        <w:t> </w:t>
      </w:r>
      <w:r w:rsidRPr="4CEA747B">
        <w:rPr>
          <w:rFonts w:eastAsia="Arial Unicode MS"/>
          <w:noProof/>
        </w:rPr>
        <w:t xml:space="preserve">March and 3 July 2025, and </w:t>
      </w:r>
      <w:r w:rsidR="009C18CF">
        <w:rPr>
          <w:rFonts w:eastAsia="Arial Unicode MS"/>
          <w:noProof/>
        </w:rPr>
        <w:t xml:space="preserve">the </w:t>
      </w:r>
      <w:r w:rsidRPr="4CEA747B">
        <w:rPr>
          <w:rFonts w:eastAsia="Arial Unicode MS"/>
          <w:noProof/>
        </w:rPr>
        <w:t>SCCG meeting on 17</w:t>
      </w:r>
      <w:r w:rsidR="009C18CF">
        <w:rPr>
          <w:rFonts w:eastAsia="Arial Unicode MS"/>
          <w:noProof/>
        </w:rPr>
        <w:t> </w:t>
      </w:r>
      <w:r w:rsidRPr="4CEA747B">
        <w:rPr>
          <w:rFonts w:eastAsia="Arial Unicode MS"/>
          <w:noProof/>
        </w:rPr>
        <w:t>March</w:t>
      </w:r>
      <w:r w:rsidR="009C18CF">
        <w:rPr>
          <w:rFonts w:eastAsia="Arial Unicode MS"/>
          <w:noProof/>
        </w:rPr>
        <w:t> 2025</w:t>
      </w:r>
      <w:r w:rsidRPr="4CEA747B">
        <w:rPr>
          <w:rFonts w:eastAsia="Arial Unicode MS"/>
          <w:noProof/>
        </w:rPr>
        <w:t>. In addition, supplementary expert opinions from ECCG members were collected through questionnaire</w:t>
      </w:r>
      <w:r>
        <w:rPr>
          <w:rFonts w:eastAsia="Arial Unicode MS"/>
          <w:noProof/>
        </w:rPr>
        <w:t>s.</w:t>
      </w:r>
    </w:p>
    <w:p w14:paraId="37C165EF" w14:textId="77777777" w:rsidR="00A614C9" w:rsidRDefault="00A614C9" w:rsidP="00A614C9">
      <w:pPr>
        <w:pBdr>
          <w:top w:val="nil"/>
          <w:left w:val="nil"/>
          <w:bottom w:val="nil"/>
          <w:right w:val="nil"/>
          <w:between w:val="nil"/>
          <w:bar w:val="nil"/>
        </w:pBdr>
        <w:spacing w:before="0" w:after="240"/>
        <w:rPr>
          <w:noProof/>
        </w:rPr>
      </w:pPr>
      <w:r w:rsidRPr="005F36F5">
        <w:rPr>
          <w:noProof/>
        </w:rPr>
        <w:t>The consultation focused on five core areas identified as central to the future functioning and coherence of the U</w:t>
      </w:r>
      <w:r w:rsidR="009C18CF">
        <w:rPr>
          <w:noProof/>
        </w:rPr>
        <w:t>nion’s</w:t>
      </w:r>
      <w:r w:rsidRPr="005F36F5">
        <w:rPr>
          <w:noProof/>
        </w:rPr>
        <w:t xml:space="preserve"> cybersecurity framework</w:t>
      </w:r>
      <w:r>
        <w:rPr>
          <w:noProof/>
        </w:rPr>
        <w:t>:</w:t>
      </w:r>
    </w:p>
    <w:p w14:paraId="117063E9" w14:textId="77777777" w:rsidR="00A614C9" w:rsidRPr="005F36F5" w:rsidRDefault="00A614C9" w:rsidP="00D06470">
      <w:pPr>
        <w:pStyle w:val="Bullet0"/>
        <w:numPr>
          <w:ilvl w:val="0"/>
          <w:numId w:val="141"/>
        </w:numPr>
        <w:rPr>
          <w:noProof/>
          <w:lang w:val="en-IE"/>
        </w:rPr>
      </w:pPr>
      <w:r w:rsidRPr="005F36F5">
        <w:rPr>
          <w:b/>
          <w:bCs/>
          <w:noProof/>
          <w:lang w:val="en-IE"/>
        </w:rPr>
        <w:t>ENISA’s mandate and operational role</w:t>
      </w:r>
      <w:r w:rsidRPr="005F36F5">
        <w:rPr>
          <w:noProof/>
          <w:lang w:val="en-IE"/>
        </w:rPr>
        <w:t>, including support for Member States and expertise in emerging technologies</w:t>
      </w:r>
      <w:r w:rsidR="009C18CF">
        <w:rPr>
          <w:noProof/>
          <w:lang w:val="en-IE"/>
        </w:rPr>
        <w:t>;</w:t>
      </w:r>
      <w:r w:rsidRPr="005F36F5">
        <w:rPr>
          <w:noProof/>
          <w:lang w:val="en-IE"/>
        </w:rPr>
        <w:t> </w:t>
      </w:r>
    </w:p>
    <w:p w14:paraId="1FB58C35" w14:textId="77777777" w:rsidR="00A614C9" w:rsidRPr="005F36F5" w:rsidRDefault="009C18CF" w:rsidP="00D06470">
      <w:pPr>
        <w:pStyle w:val="Bullet0"/>
        <w:numPr>
          <w:ilvl w:val="0"/>
          <w:numId w:val="141"/>
        </w:numPr>
        <w:rPr>
          <w:noProof/>
          <w:lang w:val="en-IE"/>
        </w:rPr>
      </w:pPr>
      <w:r>
        <w:rPr>
          <w:b/>
          <w:bCs/>
          <w:noProof/>
          <w:lang w:val="en-IE"/>
        </w:rPr>
        <w:t>e</w:t>
      </w:r>
      <w:r w:rsidR="00A614C9" w:rsidRPr="005F36F5">
        <w:rPr>
          <w:b/>
          <w:bCs/>
          <w:noProof/>
          <w:lang w:val="en-IE"/>
        </w:rPr>
        <w:t>ffectiveness of the European Cybersecurity Certification Framework</w:t>
      </w:r>
      <w:r w:rsidR="00A614C9" w:rsidRPr="005F36F5">
        <w:rPr>
          <w:noProof/>
          <w:lang w:val="en-IE"/>
        </w:rPr>
        <w:t>, including governance and development processes</w:t>
      </w:r>
      <w:r>
        <w:rPr>
          <w:noProof/>
          <w:lang w:val="en-IE"/>
        </w:rPr>
        <w:t>;</w:t>
      </w:r>
      <w:r w:rsidR="00A614C9" w:rsidRPr="005F36F5">
        <w:rPr>
          <w:noProof/>
          <w:lang w:val="en-IE"/>
        </w:rPr>
        <w:t> </w:t>
      </w:r>
    </w:p>
    <w:p w14:paraId="12D08754" w14:textId="77777777" w:rsidR="00A614C9" w:rsidRPr="005F36F5" w:rsidRDefault="009C18CF" w:rsidP="00D06470">
      <w:pPr>
        <w:pStyle w:val="Bullet0"/>
        <w:numPr>
          <w:ilvl w:val="0"/>
          <w:numId w:val="141"/>
        </w:numPr>
        <w:rPr>
          <w:noProof/>
          <w:lang w:val="en-IE"/>
        </w:rPr>
      </w:pPr>
      <w:r>
        <w:rPr>
          <w:b/>
          <w:bCs/>
          <w:noProof/>
          <w:lang w:val="en-IE"/>
        </w:rPr>
        <w:t>c</w:t>
      </w:r>
      <w:r w:rsidR="00A614C9" w:rsidRPr="005F36F5">
        <w:rPr>
          <w:b/>
          <w:bCs/>
          <w:noProof/>
          <w:lang w:val="en-IE"/>
        </w:rPr>
        <w:t>omplexity and fragmentation of cybersecurity obligations</w:t>
      </w:r>
      <w:r w:rsidR="00A614C9" w:rsidRPr="005F36F5">
        <w:rPr>
          <w:noProof/>
          <w:lang w:val="en-IE"/>
        </w:rPr>
        <w:t>, with attention to reporting burdens and potential simplification</w:t>
      </w:r>
      <w:r>
        <w:rPr>
          <w:noProof/>
          <w:lang w:val="en-IE"/>
        </w:rPr>
        <w:t>;</w:t>
      </w:r>
      <w:r w:rsidR="00A614C9" w:rsidRPr="005F36F5">
        <w:rPr>
          <w:noProof/>
          <w:lang w:val="en-IE"/>
        </w:rPr>
        <w:t> </w:t>
      </w:r>
    </w:p>
    <w:p w14:paraId="64E44C39" w14:textId="77777777" w:rsidR="00A614C9" w:rsidRPr="005F36F5" w:rsidRDefault="009C18CF" w:rsidP="00D06470">
      <w:pPr>
        <w:pStyle w:val="Bullet0"/>
        <w:numPr>
          <w:ilvl w:val="0"/>
          <w:numId w:val="141"/>
        </w:numPr>
        <w:rPr>
          <w:noProof/>
          <w:lang w:val="en-IE"/>
        </w:rPr>
      </w:pPr>
      <w:r>
        <w:rPr>
          <w:b/>
          <w:bCs/>
          <w:noProof/>
          <w:lang w:val="en-IE"/>
        </w:rPr>
        <w:t>p</w:t>
      </w:r>
      <w:r w:rsidR="00A614C9" w:rsidRPr="005F36F5">
        <w:rPr>
          <w:b/>
          <w:bCs/>
          <w:noProof/>
          <w:lang w:val="en-IE"/>
        </w:rPr>
        <w:t>roportionality of requirements for SMEs</w:t>
      </w:r>
      <w:r w:rsidR="00A614C9" w:rsidRPr="005F36F5">
        <w:rPr>
          <w:noProof/>
          <w:lang w:val="en-IE"/>
        </w:rPr>
        <w:t xml:space="preserve"> and the potential for differentiated compliance paths</w:t>
      </w:r>
      <w:r w:rsidR="00AE0F11">
        <w:rPr>
          <w:noProof/>
          <w:lang w:val="en-IE"/>
        </w:rPr>
        <w:t>;</w:t>
      </w:r>
      <w:r w:rsidR="00A614C9" w:rsidRPr="005F36F5">
        <w:rPr>
          <w:noProof/>
          <w:lang w:val="en-IE"/>
        </w:rPr>
        <w:t> </w:t>
      </w:r>
      <w:r w:rsidR="00AE0F11">
        <w:rPr>
          <w:noProof/>
          <w:lang w:val="en-IE"/>
        </w:rPr>
        <w:t>and</w:t>
      </w:r>
    </w:p>
    <w:p w14:paraId="254D1514" w14:textId="77777777" w:rsidR="001A462E" w:rsidRPr="001A462E" w:rsidRDefault="00AE0F11" w:rsidP="00D06470">
      <w:pPr>
        <w:pStyle w:val="Bullet0"/>
        <w:numPr>
          <w:ilvl w:val="0"/>
          <w:numId w:val="141"/>
        </w:numPr>
        <w:rPr>
          <w:rFonts w:eastAsia="Arial Unicode MS"/>
          <w:noProof/>
          <w:lang w:val="en-IE"/>
        </w:rPr>
      </w:pPr>
      <w:r>
        <w:rPr>
          <w:b/>
          <w:bCs/>
          <w:noProof/>
          <w:lang w:val="en-IE"/>
        </w:rPr>
        <w:t>s</w:t>
      </w:r>
      <w:r w:rsidR="00A614C9" w:rsidRPr="780270DC">
        <w:rPr>
          <w:b/>
          <w:bCs/>
          <w:noProof/>
          <w:lang w:val="en-IE"/>
        </w:rPr>
        <w:t>ocietal and economic impacts</w:t>
      </w:r>
      <w:r w:rsidR="00A614C9" w:rsidRPr="780270DC">
        <w:rPr>
          <w:noProof/>
          <w:lang w:val="en-IE"/>
        </w:rPr>
        <w:t xml:space="preserve"> of harmonised cybersecurity rules, including effects on consumers, rights, innovation, and competitiveness</w:t>
      </w:r>
      <w:r w:rsidR="00A614C9">
        <w:rPr>
          <w:noProof/>
          <w:lang w:val="en-IE"/>
        </w:rPr>
        <w:t>.</w:t>
      </w:r>
    </w:p>
    <w:p w14:paraId="192E6919" w14:textId="77777777" w:rsidR="00A3053C" w:rsidRDefault="00A3053C" w:rsidP="003A2E97">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Impact assessment</w:t>
      </w:r>
    </w:p>
    <w:p w14:paraId="2482ACD7" w14:textId="77777777" w:rsidR="00A3053C" w:rsidRDefault="00AF37CA" w:rsidP="003A2E97">
      <w:pPr>
        <w:pBdr>
          <w:top w:val="nil"/>
          <w:left w:val="nil"/>
          <w:bottom w:val="nil"/>
          <w:right w:val="nil"/>
          <w:between w:val="nil"/>
          <w:bar w:val="nil"/>
        </w:pBdr>
        <w:spacing w:before="0" w:after="240"/>
        <w:rPr>
          <w:noProof/>
        </w:rPr>
      </w:pPr>
      <w:r w:rsidRPr="780270DC">
        <w:rPr>
          <w:noProof/>
        </w:rPr>
        <w:t xml:space="preserve">The revision of the </w:t>
      </w:r>
      <w:r w:rsidR="00825C05">
        <w:rPr>
          <w:noProof/>
        </w:rPr>
        <w:t>CSA</w:t>
      </w:r>
      <w:r w:rsidR="00C85103">
        <w:rPr>
          <w:noProof/>
        </w:rPr>
        <w:t xml:space="preserve">, </w:t>
      </w:r>
      <w:r w:rsidR="00850DEA" w:rsidRPr="00E015D2">
        <w:rPr>
          <w:noProof/>
        </w:rPr>
        <w:t xml:space="preserve">together with </w:t>
      </w:r>
      <w:r w:rsidR="00A02198" w:rsidRPr="00E015D2">
        <w:rPr>
          <w:noProof/>
        </w:rPr>
        <w:t>the proposal for a Directive introducing targeted ame</w:t>
      </w:r>
      <w:r w:rsidR="00C06F5F" w:rsidRPr="00E015D2">
        <w:rPr>
          <w:noProof/>
        </w:rPr>
        <w:t>n</w:t>
      </w:r>
      <w:r w:rsidR="00A02198" w:rsidRPr="00E015D2">
        <w:rPr>
          <w:noProof/>
        </w:rPr>
        <w:t xml:space="preserve">dments of the NIS2 Directive, </w:t>
      </w:r>
      <w:r w:rsidRPr="00E015D2">
        <w:rPr>
          <w:noProof/>
        </w:rPr>
        <w:t>w</w:t>
      </w:r>
      <w:r w:rsidR="00850DEA" w:rsidRPr="00E015D2">
        <w:rPr>
          <w:noProof/>
        </w:rPr>
        <w:t>ere</w:t>
      </w:r>
      <w:r w:rsidRPr="780270DC">
        <w:rPr>
          <w:noProof/>
        </w:rPr>
        <w:t xml:space="preserve"> supported by an </w:t>
      </w:r>
      <w:r w:rsidR="00825C05">
        <w:rPr>
          <w:noProof/>
        </w:rPr>
        <w:t>i</w:t>
      </w:r>
      <w:r w:rsidRPr="780270DC">
        <w:rPr>
          <w:noProof/>
        </w:rPr>
        <w:t xml:space="preserve">mpact </w:t>
      </w:r>
      <w:r w:rsidR="00825C05">
        <w:rPr>
          <w:noProof/>
        </w:rPr>
        <w:t>a</w:t>
      </w:r>
      <w:r w:rsidRPr="780270DC">
        <w:rPr>
          <w:noProof/>
        </w:rPr>
        <w:t>ssessment, see the summary below.</w:t>
      </w:r>
      <w:r>
        <w:rPr>
          <w:noProof/>
          <w:szCs w:val="24"/>
        </w:rPr>
        <w:t xml:space="preserve"> </w:t>
      </w:r>
      <w:r w:rsidR="00825C05">
        <w:rPr>
          <w:noProof/>
        </w:rPr>
        <w:t xml:space="preserve">The </w:t>
      </w:r>
      <w:r w:rsidR="00825C05" w:rsidRPr="780270DC">
        <w:rPr>
          <w:noProof/>
        </w:rPr>
        <w:t xml:space="preserve">Regulatory Scrutiny Board </w:t>
      </w:r>
      <w:r w:rsidR="00825C05">
        <w:rPr>
          <w:noProof/>
        </w:rPr>
        <w:t>(RSB)</w:t>
      </w:r>
      <w:r w:rsidR="00825C05" w:rsidRPr="780270DC">
        <w:rPr>
          <w:noProof/>
        </w:rPr>
        <w:t xml:space="preserve"> issued </w:t>
      </w:r>
      <w:r w:rsidR="00825C05">
        <w:rPr>
          <w:noProof/>
        </w:rPr>
        <w:t>a</w:t>
      </w:r>
      <w:r w:rsidRPr="780270DC">
        <w:rPr>
          <w:noProof/>
        </w:rPr>
        <w:t xml:space="preserve"> 'positive opinion with reservations' of on the resubmitted draft impact assessment report related to the revision of the </w:t>
      </w:r>
      <w:r w:rsidR="006A148B">
        <w:rPr>
          <w:noProof/>
        </w:rPr>
        <w:t>CSA</w:t>
      </w:r>
      <w:r w:rsidRPr="45509FC8">
        <w:rPr>
          <w:rStyle w:val="FootnoteReference"/>
          <w:noProof/>
        </w:rPr>
        <w:footnoteReference w:id="21"/>
      </w:r>
      <w:r w:rsidRPr="00480BE2">
        <w:rPr>
          <w:noProof/>
          <w:szCs w:val="24"/>
        </w:rPr>
        <w:t>.</w:t>
      </w:r>
      <w:r>
        <w:rPr>
          <w:noProof/>
          <w:szCs w:val="24"/>
        </w:rPr>
        <w:t xml:space="preserve"> </w:t>
      </w:r>
      <w:r>
        <w:rPr>
          <w:noProof/>
        </w:rPr>
        <w:t xml:space="preserve">The </w:t>
      </w:r>
      <w:r w:rsidR="00A96CD5">
        <w:rPr>
          <w:noProof/>
        </w:rPr>
        <w:t>i</w:t>
      </w:r>
      <w:r>
        <w:rPr>
          <w:noProof/>
        </w:rPr>
        <w:t xml:space="preserve">mpact </w:t>
      </w:r>
      <w:r w:rsidR="00A96CD5">
        <w:rPr>
          <w:noProof/>
        </w:rPr>
        <w:t>a</w:t>
      </w:r>
      <w:r>
        <w:rPr>
          <w:noProof/>
        </w:rPr>
        <w:t xml:space="preserve">ssessment was adjusted to address the </w:t>
      </w:r>
      <w:r w:rsidR="00A96CD5">
        <w:rPr>
          <w:noProof/>
        </w:rPr>
        <w:t>RSB’s</w:t>
      </w:r>
      <w:r>
        <w:rPr>
          <w:noProof/>
        </w:rPr>
        <w:t xml:space="preserve"> recommendations and comments.</w:t>
      </w:r>
    </w:p>
    <w:p w14:paraId="442D75E5" w14:textId="77777777" w:rsidR="00AF37CA" w:rsidRDefault="00AF37CA" w:rsidP="00AF37CA">
      <w:pPr>
        <w:rPr>
          <w:noProof/>
        </w:rPr>
      </w:pPr>
      <w:r>
        <w:rPr>
          <w:noProof/>
        </w:rPr>
        <w:t xml:space="preserve">The final policy proposal does not deviate from the options assessed in the impact assessment. </w:t>
      </w:r>
    </w:p>
    <w:p w14:paraId="1F10981A" w14:textId="5BF2E467" w:rsidR="00AF37CA" w:rsidRDefault="00AF37CA" w:rsidP="00AF37CA">
      <w:pPr>
        <w:pBdr>
          <w:top w:val="nil"/>
          <w:left w:val="nil"/>
          <w:bottom w:val="nil"/>
          <w:right w:val="nil"/>
          <w:between w:val="nil"/>
          <w:bar w:val="nil"/>
        </w:pBdr>
        <w:spacing w:before="0" w:after="240"/>
        <w:rPr>
          <w:noProof/>
        </w:rPr>
      </w:pPr>
      <w:r>
        <w:rPr>
          <w:noProof/>
        </w:rPr>
        <w:t xml:space="preserve">The Commission examined options in </w:t>
      </w:r>
      <w:r w:rsidR="00BD62AA">
        <w:rPr>
          <w:noProof/>
        </w:rPr>
        <w:t xml:space="preserve">four </w:t>
      </w:r>
      <w:r>
        <w:rPr>
          <w:noProof/>
        </w:rPr>
        <w:t>areas of intervention, in view of the specific objectives to be achieved: (1) ENISA</w:t>
      </w:r>
      <w:r w:rsidR="009D5F04">
        <w:rPr>
          <w:noProof/>
        </w:rPr>
        <w:t>’s</w:t>
      </w:r>
      <w:r>
        <w:rPr>
          <w:noProof/>
        </w:rPr>
        <w:t xml:space="preserve"> mandate (also part of the current CSA); (2) </w:t>
      </w:r>
      <w:r w:rsidR="009D5F04">
        <w:rPr>
          <w:noProof/>
        </w:rPr>
        <w:t xml:space="preserve">the </w:t>
      </w:r>
      <w:r>
        <w:rPr>
          <w:noProof/>
        </w:rPr>
        <w:t>ECCF (also part of the current CSA); (3) targeted amendments to the NIS</w:t>
      </w:r>
      <w:r w:rsidR="00841742">
        <w:rPr>
          <w:noProof/>
          <w:lang w:val="ro-RO"/>
        </w:rPr>
        <w:t> </w:t>
      </w:r>
      <w:r>
        <w:rPr>
          <w:noProof/>
        </w:rPr>
        <w:t>2 Directive</w:t>
      </w:r>
      <w:r w:rsidR="00290066">
        <w:rPr>
          <w:noProof/>
        </w:rPr>
        <w:t>, with an aim to simplify</w:t>
      </w:r>
      <w:r>
        <w:rPr>
          <w:noProof/>
        </w:rPr>
        <w:t>, but also interlinked with ENISA</w:t>
      </w:r>
      <w:r w:rsidR="008850D7">
        <w:rPr>
          <w:noProof/>
        </w:rPr>
        <w:t>’s</w:t>
      </w:r>
      <w:r>
        <w:rPr>
          <w:noProof/>
        </w:rPr>
        <w:t xml:space="preserve"> mandate and </w:t>
      </w:r>
      <w:r w:rsidR="00C21E1D">
        <w:rPr>
          <w:noProof/>
        </w:rPr>
        <w:t xml:space="preserve">the </w:t>
      </w:r>
      <w:r>
        <w:rPr>
          <w:noProof/>
        </w:rPr>
        <w:t>ECCF</w:t>
      </w:r>
      <w:r w:rsidR="00BD62AA">
        <w:rPr>
          <w:noProof/>
        </w:rPr>
        <w:t xml:space="preserve">; and (4) </w:t>
      </w:r>
      <w:r w:rsidR="001D2FAA" w:rsidRPr="001D2FAA">
        <w:rPr>
          <w:noProof/>
        </w:rPr>
        <w:t>ICT supply chain security, which is also relevant both for NIS2 ecosystem and for ECCF</w:t>
      </w:r>
      <w:r>
        <w:rPr>
          <w:noProof/>
        </w:rPr>
        <w:t xml:space="preserve">. Each set of options </w:t>
      </w:r>
      <w:r w:rsidR="00E00DB8">
        <w:rPr>
          <w:noProof/>
        </w:rPr>
        <w:t>represents an</w:t>
      </w:r>
      <w:r>
        <w:rPr>
          <w:noProof/>
        </w:rPr>
        <w:t xml:space="preserve"> intervention area on </w:t>
      </w:r>
      <w:r w:rsidR="00EF4D3D">
        <w:rPr>
          <w:noProof/>
        </w:rPr>
        <w:t>its</w:t>
      </w:r>
      <w:r>
        <w:rPr>
          <w:noProof/>
        </w:rPr>
        <w:t xml:space="preserve"> own, while </w:t>
      </w:r>
      <w:r w:rsidR="00EA2665">
        <w:rPr>
          <w:noProof/>
        </w:rPr>
        <w:t>simultaneously being</w:t>
      </w:r>
      <w:r>
        <w:rPr>
          <w:noProof/>
        </w:rPr>
        <w:t xml:space="preserve"> interlinked </w:t>
      </w:r>
      <w:r w:rsidR="009152F0">
        <w:rPr>
          <w:noProof/>
        </w:rPr>
        <w:t xml:space="preserve">with </w:t>
      </w:r>
      <w:r>
        <w:rPr>
          <w:noProof/>
        </w:rPr>
        <w:t>and relevant to each other.</w:t>
      </w:r>
    </w:p>
    <w:p w14:paraId="5AA7E2FA" w14:textId="77777777" w:rsidR="00A94720" w:rsidRPr="002473F7" w:rsidRDefault="00A94720" w:rsidP="00A94720">
      <w:pPr>
        <w:rPr>
          <w:b/>
          <w:bCs/>
          <w:i/>
          <w:iCs/>
          <w:noProof/>
          <w:szCs w:val="24"/>
        </w:rPr>
      </w:pPr>
      <w:r w:rsidRPr="002473F7">
        <w:rPr>
          <w:b/>
          <w:bCs/>
          <w:i/>
          <w:iCs/>
          <w:noProof/>
          <w:szCs w:val="24"/>
        </w:rPr>
        <w:t>Options to address the misalignment of the U</w:t>
      </w:r>
      <w:r w:rsidR="00D33259">
        <w:rPr>
          <w:b/>
          <w:bCs/>
          <w:i/>
          <w:iCs/>
          <w:noProof/>
          <w:szCs w:val="24"/>
        </w:rPr>
        <w:t>nion’s</w:t>
      </w:r>
      <w:r w:rsidRPr="002473F7">
        <w:rPr>
          <w:b/>
          <w:bCs/>
          <w:i/>
          <w:iCs/>
          <w:noProof/>
          <w:szCs w:val="24"/>
        </w:rPr>
        <w:t xml:space="preserve"> cybersecurity policy framework and stakeholders’ needs in an increasingly hostile environment</w:t>
      </w:r>
    </w:p>
    <w:p w14:paraId="75BB803C" w14:textId="77777777" w:rsidR="00A94720" w:rsidRPr="002473F7" w:rsidRDefault="00A94720" w:rsidP="00A94720">
      <w:pPr>
        <w:pBdr>
          <w:top w:val="nil"/>
          <w:left w:val="nil"/>
          <w:bottom w:val="nil"/>
          <w:right w:val="nil"/>
          <w:between w:val="nil"/>
          <w:bar w:val="nil"/>
        </w:pBdr>
        <w:spacing w:before="0" w:after="240"/>
        <w:rPr>
          <w:noProof/>
          <w:szCs w:val="24"/>
        </w:rPr>
      </w:pPr>
      <w:r w:rsidRPr="002473F7">
        <w:rPr>
          <w:noProof/>
          <w:szCs w:val="24"/>
        </w:rPr>
        <w:t xml:space="preserve">Option A.1: </w:t>
      </w:r>
      <w:r w:rsidRPr="002473F7">
        <w:rPr>
          <w:i/>
          <w:iCs/>
          <w:noProof/>
          <w:szCs w:val="24"/>
        </w:rPr>
        <w:t xml:space="preserve">Clarifying ENISA’s mandate and providing for prioritisation </w:t>
      </w:r>
      <w:r w:rsidR="004F33E9">
        <w:rPr>
          <w:i/>
          <w:iCs/>
          <w:noProof/>
          <w:szCs w:val="24"/>
        </w:rPr>
        <w:t>–</w:t>
      </w:r>
      <w:r w:rsidRPr="002473F7">
        <w:rPr>
          <w:i/>
          <w:iCs/>
          <w:noProof/>
          <w:szCs w:val="24"/>
        </w:rPr>
        <w:t xml:space="preserve"> </w:t>
      </w:r>
      <w:r w:rsidRPr="002473F7">
        <w:rPr>
          <w:noProof/>
          <w:szCs w:val="24"/>
        </w:rPr>
        <w:t xml:space="preserve">This option would </w:t>
      </w:r>
      <w:r w:rsidR="002D474E">
        <w:rPr>
          <w:noProof/>
          <w:szCs w:val="24"/>
        </w:rPr>
        <w:t>provide</w:t>
      </w:r>
      <w:r w:rsidRPr="002473F7">
        <w:rPr>
          <w:noProof/>
          <w:szCs w:val="24"/>
        </w:rPr>
        <w:t xml:space="preserve"> a clear and stable framework for </w:t>
      </w:r>
      <w:r w:rsidR="00852942">
        <w:rPr>
          <w:noProof/>
          <w:szCs w:val="24"/>
        </w:rPr>
        <w:t>ENISA’s</w:t>
      </w:r>
      <w:r w:rsidRPr="002473F7">
        <w:rPr>
          <w:noProof/>
          <w:szCs w:val="24"/>
        </w:rPr>
        <w:t xml:space="preserve"> tasks by incorporating the tasks set out by other </w:t>
      </w:r>
      <w:r w:rsidRPr="00A94720">
        <w:rPr>
          <w:noProof/>
        </w:rPr>
        <w:t>pieces</w:t>
      </w:r>
      <w:r w:rsidRPr="002473F7">
        <w:rPr>
          <w:noProof/>
          <w:szCs w:val="24"/>
        </w:rPr>
        <w:t xml:space="preserve"> of legislation.</w:t>
      </w:r>
    </w:p>
    <w:p w14:paraId="353381D2" w14:textId="77777777" w:rsidR="00A94720" w:rsidRPr="002473F7" w:rsidRDefault="00A94720" w:rsidP="00A94720">
      <w:pPr>
        <w:pBdr>
          <w:top w:val="nil"/>
          <w:left w:val="nil"/>
          <w:bottom w:val="nil"/>
          <w:right w:val="nil"/>
          <w:between w:val="nil"/>
          <w:bar w:val="nil"/>
        </w:pBdr>
        <w:spacing w:before="0" w:after="240"/>
        <w:rPr>
          <w:noProof/>
          <w:szCs w:val="24"/>
        </w:rPr>
      </w:pPr>
      <w:r w:rsidRPr="002473F7">
        <w:rPr>
          <w:noProof/>
          <w:szCs w:val="24"/>
        </w:rPr>
        <w:t xml:space="preserve">Option A.2: </w:t>
      </w:r>
      <w:r w:rsidRPr="002473F7">
        <w:rPr>
          <w:i/>
          <w:iCs/>
          <w:noProof/>
          <w:color w:val="000000" w:themeColor="text1"/>
          <w:szCs w:val="24"/>
        </w:rPr>
        <w:t>Reform</w:t>
      </w:r>
      <w:r w:rsidR="002F2A2D">
        <w:rPr>
          <w:i/>
          <w:iCs/>
          <w:noProof/>
          <w:color w:val="000000" w:themeColor="text1"/>
          <w:szCs w:val="24"/>
        </w:rPr>
        <w:t>ing</w:t>
      </w:r>
      <w:r w:rsidRPr="002473F7">
        <w:rPr>
          <w:i/>
          <w:iCs/>
          <w:noProof/>
          <w:color w:val="000000" w:themeColor="text1"/>
          <w:szCs w:val="24"/>
        </w:rPr>
        <w:t xml:space="preserve"> ENISA’s mandate </w:t>
      </w:r>
      <w:r w:rsidR="004F33E9">
        <w:rPr>
          <w:i/>
          <w:iCs/>
          <w:noProof/>
          <w:szCs w:val="24"/>
        </w:rPr>
        <w:t>–</w:t>
      </w:r>
      <w:r w:rsidRPr="002473F7">
        <w:rPr>
          <w:i/>
          <w:iCs/>
          <w:noProof/>
          <w:color w:val="000000" w:themeColor="text1"/>
          <w:szCs w:val="24"/>
        </w:rPr>
        <w:t xml:space="preserve"> </w:t>
      </w:r>
      <w:r w:rsidRPr="002473F7">
        <w:rPr>
          <w:noProof/>
          <w:color w:val="000000" w:themeColor="text1"/>
          <w:szCs w:val="24"/>
        </w:rPr>
        <w:t>This option would repeal and replace the CSA, overhaul</w:t>
      </w:r>
      <w:r w:rsidR="00930115">
        <w:rPr>
          <w:noProof/>
          <w:color w:val="000000" w:themeColor="text1"/>
          <w:szCs w:val="24"/>
        </w:rPr>
        <w:t>ing</w:t>
      </w:r>
      <w:r w:rsidRPr="002473F7">
        <w:rPr>
          <w:noProof/>
          <w:color w:val="000000" w:themeColor="text1"/>
          <w:szCs w:val="24"/>
        </w:rPr>
        <w:t xml:space="preserve"> the Agency</w:t>
      </w:r>
      <w:r w:rsidR="00493CDB">
        <w:rPr>
          <w:noProof/>
          <w:color w:val="000000" w:themeColor="text1"/>
          <w:szCs w:val="24"/>
        </w:rPr>
        <w:t>’s</w:t>
      </w:r>
      <w:r w:rsidRPr="002473F7">
        <w:rPr>
          <w:noProof/>
          <w:color w:val="000000" w:themeColor="text1"/>
          <w:szCs w:val="24"/>
        </w:rPr>
        <w:t xml:space="preserve"> mandate.   </w:t>
      </w:r>
    </w:p>
    <w:p w14:paraId="1408313B" w14:textId="77777777" w:rsidR="00A94720" w:rsidRDefault="00A94720" w:rsidP="00A94720">
      <w:pPr>
        <w:pBdr>
          <w:top w:val="nil"/>
          <w:left w:val="nil"/>
          <w:bottom w:val="nil"/>
          <w:right w:val="nil"/>
          <w:between w:val="nil"/>
          <w:bar w:val="nil"/>
        </w:pBdr>
        <w:spacing w:before="0" w:after="240"/>
        <w:rPr>
          <w:rFonts w:eastAsia="Times New Roman"/>
          <w:noProof/>
          <w:color w:val="000000" w:themeColor="text1"/>
          <w:szCs w:val="24"/>
        </w:rPr>
      </w:pPr>
      <w:r w:rsidRPr="002473F7">
        <w:rPr>
          <w:noProof/>
          <w:szCs w:val="24"/>
        </w:rPr>
        <w:t xml:space="preserve">Option A.3: </w:t>
      </w:r>
      <w:r w:rsidRPr="002473F7">
        <w:rPr>
          <w:rFonts w:eastAsia="Times New Roman"/>
          <w:i/>
          <w:iCs/>
          <w:noProof/>
          <w:color w:val="000000" w:themeColor="text1"/>
          <w:szCs w:val="24"/>
        </w:rPr>
        <w:t>Reform</w:t>
      </w:r>
      <w:r w:rsidR="00D82BA5">
        <w:rPr>
          <w:rFonts w:eastAsia="Times New Roman"/>
          <w:i/>
          <w:iCs/>
          <w:noProof/>
          <w:color w:val="000000" w:themeColor="text1"/>
          <w:szCs w:val="24"/>
        </w:rPr>
        <w:t>ing</w:t>
      </w:r>
      <w:r w:rsidRPr="002473F7">
        <w:rPr>
          <w:rFonts w:eastAsia="Times New Roman"/>
          <w:i/>
          <w:iCs/>
          <w:noProof/>
          <w:color w:val="000000" w:themeColor="text1"/>
          <w:szCs w:val="24"/>
        </w:rPr>
        <w:t xml:space="preserve"> ENISA’s mandate with a strong operational support focus </w:t>
      </w:r>
      <w:r w:rsidR="004F33E9">
        <w:rPr>
          <w:i/>
          <w:iCs/>
          <w:noProof/>
          <w:szCs w:val="24"/>
        </w:rPr>
        <w:t>–</w:t>
      </w:r>
      <w:r w:rsidRPr="002473F7">
        <w:rPr>
          <w:rFonts w:eastAsia="Times New Roman"/>
          <w:i/>
          <w:iCs/>
          <w:noProof/>
          <w:color w:val="000000" w:themeColor="text1"/>
          <w:szCs w:val="24"/>
        </w:rPr>
        <w:t xml:space="preserve"> </w:t>
      </w:r>
      <w:r w:rsidRPr="002473F7">
        <w:rPr>
          <w:rFonts w:eastAsia="Times New Roman"/>
          <w:noProof/>
          <w:color w:val="000000" w:themeColor="text1"/>
          <w:szCs w:val="24"/>
        </w:rPr>
        <w:t xml:space="preserve">This option would </w:t>
      </w:r>
      <w:r w:rsidRPr="00A94720">
        <w:rPr>
          <w:noProof/>
        </w:rPr>
        <w:t>build</w:t>
      </w:r>
      <w:r w:rsidRPr="002473F7">
        <w:rPr>
          <w:rFonts w:eastAsia="Times New Roman"/>
          <w:noProof/>
          <w:color w:val="000000" w:themeColor="text1"/>
          <w:szCs w:val="24"/>
        </w:rPr>
        <w:t xml:space="preserve"> upon option A.2. In addition, ENISA would develop capabilities to support NIS 2 Directive entities directly in responding to and recovering from cybersecurity incident</w:t>
      </w:r>
      <w:r w:rsidR="00E0609A">
        <w:rPr>
          <w:rFonts w:eastAsia="Times New Roman"/>
          <w:noProof/>
          <w:color w:val="000000" w:themeColor="text1"/>
          <w:szCs w:val="24"/>
        </w:rPr>
        <w:t>s</w:t>
      </w:r>
      <w:r w:rsidRPr="002473F7">
        <w:rPr>
          <w:rFonts w:eastAsia="Times New Roman"/>
          <w:noProof/>
          <w:color w:val="000000" w:themeColor="text1"/>
          <w:szCs w:val="24"/>
        </w:rPr>
        <w:t xml:space="preserve"> upon </w:t>
      </w:r>
      <w:r w:rsidR="004A30BD">
        <w:rPr>
          <w:rFonts w:eastAsia="Times New Roman"/>
          <w:noProof/>
          <w:color w:val="000000" w:themeColor="text1"/>
          <w:szCs w:val="24"/>
        </w:rPr>
        <w:t xml:space="preserve">a </w:t>
      </w:r>
      <w:r w:rsidRPr="002473F7">
        <w:rPr>
          <w:rFonts w:eastAsia="Times New Roman"/>
          <w:noProof/>
          <w:color w:val="000000" w:themeColor="text1"/>
          <w:szCs w:val="24"/>
        </w:rPr>
        <w:t>Member State’s request.</w:t>
      </w:r>
    </w:p>
    <w:p w14:paraId="1955530B" w14:textId="77777777" w:rsidR="00A94720" w:rsidRPr="002473F7" w:rsidRDefault="00A94720" w:rsidP="00A94720">
      <w:pPr>
        <w:rPr>
          <w:b/>
          <w:bCs/>
          <w:i/>
          <w:iCs/>
          <w:noProof/>
          <w:szCs w:val="24"/>
        </w:rPr>
      </w:pPr>
      <w:r w:rsidRPr="002473F7">
        <w:rPr>
          <w:b/>
          <w:bCs/>
          <w:i/>
          <w:iCs/>
          <w:noProof/>
          <w:szCs w:val="24"/>
        </w:rPr>
        <w:t>Options for the E</w:t>
      </w:r>
      <w:r w:rsidR="002D2FAA">
        <w:rPr>
          <w:b/>
          <w:bCs/>
          <w:i/>
          <w:iCs/>
          <w:noProof/>
          <w:szCs w:val="24"/>
        </w:rPr>
        <w:t>CCF</w:t>
      </w:r>
    </w:p>
    <w:p w14:paraId="795F7FB8" w14:textId="77777777" w:rsidR="00A94720" w:rsidRPr="002473F7" w:rsidRDefault="00A94720" w:rsidP="00A94720">
      <w:pPr>
        <w:rPr>
          <w:noProof/>
          <w:szCs w:val="24"/>
        </w:rPr>
      </w:pPr>
      <w:r w:rsidRPr="002473F7">
        <w:rPr>
          <w:noProof/>
          <w:szCs w:val="24"/>
        </w:rPr>
        <w:t xml:space="preserve">Option B.1: </w:t>
      </w:r>
      <w:r w:rsidRPr="002473F7">
        <w:rPr>
          <w:rFonts w:eastAsia="Times New Roman"/>
          <w:i/>
          <w:iCs/>
          <w:noProof/>
          <w:color w:val="000000" w:themeColor="text1"/>
          <w:szCs w:val="24"/>
        </w:rPr>
        <w:t>Clarif</w:t>
      </w:r>
      <w:r w:rsidR="00E25A7C">
        <w:rPr>
          <w:rFonts w:eastAsia="Times New Roman"/>
          <w:i/>
          <w:iCs/>
          <w:noProof/>
          <w:color w:val="000000" w:themeColor="text1"/>
          <w:szCs w:val="24"/>
        </w:rPr>
        <w:t xml:space="preserve">ying </w:t>
      </w:r>
      <w:r w:rsidRPr="002473F7">
        <w:rPr>
          <w:rFonts w:eastAsia="Times New Roman"/>
          <w:i/>
          <w:iCs/>
          <w:noProof/>
          <w:color w:val="000000" w:themeColor="text1"/>
          <w:szCs w:val="24"/>
        </w:rPr>
        <w:t>the ECCF</w:t>
      </w:r>
      <w:r w:rsidR="00E67585">
        <w:rPr>
          <w:rFonts w:eastAsia="Times New Roman"/>
          <w:i/>
          <w:iCs/>
          <w:noProof/>
          <w:color w:val="000000" w:themeColor="text1"/>
          <w:szCs w:val="24"/>
        </w:rPr>
        <w:t>’s</w:t>
      </w:r>
      <w:r w:rsidRPr="002473F7">
        <w:rPr>
          <w:rFonts w:eastAsia="Times New Roman"/>
          <w:i/>
          <w:iCs/>
          <w:noProof/>
          <w:color w:val="000000" w:themeColor="text1"/>
          <w:szCs w:val="24"/>
        </w:rPr>
        <w:t xml:space="preserve"> scope, elements and objectives and introduc</w:t>
      </w:r>
      <w:r w:rsidR="0016438C">
        <w:rPr>
          <w:rFonts w:eastAsia="Times New Roman"/>
          <w:i/>
          <w:iCs/>
          <w:noProof/>
          <w:color w:val="000000" w:themeColor="text1"/>
          <w:szCs w:val="24"/>
        </w:rPr>
        <w:t>ing</w:t>
      </w:r>
      <w:r w:rsidRPr="002473F7">
        <w:rPr>
          <w:rFonts w:eastAsia="Times New Roman"/>
          <w:i/>
          <w:iCs/>
          <w:noProof/>
          <w:color w:val="000000" w:themeColor="text1"/>
          <w:szCs w:val="24"/>
        </w:rPr>
        <w:t xml:space="preserve"> </w:t>
      </w:r>
      <w:r w:rsidR="00461124">
        <w:rPr>
          <w:rFonts w:eastAsia="Times New Roman"/>
          <w:i/>
          <w:iCs/>
          <w:noProof/>
          <w:color w:val="000000" w:themeColor="text1"/>
          <w:szCs w:val="24"/>
        </w:rPr>
        <w:t>a</w:t>
      </w:r>
      <w:r w:rsidRPr="002473F7">
        <w:rPr>
          <w:rFonts w:eastAsia="Times New Roman"/>
          <w:i/>
          <w:iCs/>
          <w:noProof/>
          <w:color w:val="000000" w:themeColor="text1"/>
          <w:szCs w:val="24"/>
        </w:rPr>
        <w:t xml:space="preserve"> maintenance mechanism </w:t>
      </w:r>
      <w:r w:rsidR="009C3C40">
        <w:rPr>
          <w:rFonts w:eastAsia="Times New Roman"/>
          <w:i/>
          <w:iCs/>
          <w:noProof/>
          <w:color w:val="000000" w:themeColor="text1"/>
          <w:szCs w:val="24"/>
        </w:rPr>
        <w:t>–</w:t>
      </w:r>
      <w:r w:rsidRPr="002473F7">
        <w:rPr>
          <w:rFonts w:eastAsia="Times New Roman"/>
          <w:i/>
          <w:iCs/>
          <w:noProof/>
          <w:color w:val="000000" w:themeColor="text1"/>
          <w:szCs w:val="24"/>
        </w:rPr>
        <w:t xml:space="preserve"> </w:t>
      </w:r>
      <w:r w:rsidRPr="002473F7">
        <w:rPr>
          <w:rFonts w:eastAsia="Times New Roman"/>
          <w:noProof/>
          <w:color w:val="000000" w:themeColor="text1"/>
          <w:szCs w:val="24"/>
        </w:rPr>
        <w:t xml:space="preserve">This option </w:t>
      </w:r>
      <w:r w:rsidR="003C7311">
        <w:rPr>
          <w:rFonts w:eastAsia="Times New Roman"/>
          <w:noProof/>
          <w:color w:val="000000" w:themeColor="text1"/>
          <w:szCs w:val="24"/>
        </w:rPr>
        <w:t>would</w:t>
      </w:r>
      <w:r w:rsidRPr="002473F7">
        <w:rPr>
          <w:rFonts w:eastAsia="Times New Roman"/>
          <w:noProof/>
          <w:color w:val="000000" w:themeColor="text1"/>
          <w:szCs w:val="24"/>
        </w:rPr>
        <w:t xml:space="preserve"> provide for a new maintenance mechanism </w:t>
      </w:r>
      <w:r w:rsidR="004D6026">
        <w:rPr>
          <w:rFonts w:eastAsia="Times New Roman"/>
          <w:noProof/>
          <w:color w:val="000000" w:themeColor="text1"/>
          <w:szCs w:val="24"/>
        </w:rPr>
        <w:t>for</w:t>
      </w:r>
      <w:r w:rsidR="004D6026" w:rsidRPr="005B66EE">
        <w:rPr>
          <w:rFonts w:eastAsia="Times New Roman"/>
          <w:noProof/>
          <w:color w:val="000000" w:themeColor="text1"/>
          <w:szCs w:val="24"/>
        </w:rPr>
        <w:t xml:space="preserve"> </w:t>
      </w:r>
      <w:r w:rsidRPr="002473F7">
        <w:rPr>
          <w:rFonts w:eastAsia="Times New Roman"/>
          <w:noProof/>
          <w:color w:val="000000" w:themeColor="text1"/>
          <w:szCs w:val="24"/>
        </w:rPr>
        <w:t xml:space="preserve">the schemes, after their adoption, to be </w:t>
      </w:r>
      <w:r w:rsidR="004B2E43">
        <w:rPr>
          <w:rFonts w:eastAsia="Times New Roman"/>
          <w:noProof/>
          <w:color w:val="000000" w:themeColor="text1"/>
          <w:szCs w:val="24"/>
        </w:rPr>
        <w:t>implemented</w:t>
      </w:r>
      <w:r w:rsidRPr="002473F7">
        <w:rPr>
          <w:rFonts w:eastAsia="Times New Roman"/>
          <w:noProof/>
          <w:color w:val="000000" w:themeColor="text1"/>
          <w:szCs w:val="24"/>
        </w:rPr>
        <w:t xml:space="preserve"> by ENISA.</w:t>
      </w:r>
    </w:p>
    <w:p w14:paraId="5FB3B4EC" w14:textId="77777777" w:rsidR="00A94720" w:rsidRPr="002473F7" w:rsidRDefault="00A94720" w:rsidP="00A94720">
      <w:pPr>
        <w:rPr>
          <w:noProof/>
          <w:szCs w:val="24"/>
        </w:rPr>
      </w:pPr>
      <w:r w:rsidRPr="002473F7">
        <w:rPr>
          <w:noProof/>
          <w:szCs w:val="24"/>
        </w:rPr>
        <w:t xml:space="preserve">Option B.2: </w:t>
      </w:r>
      <w:r w:rsidRPr="002473F7">
        <w:rPr>
          <w:rFonts w:eastAsia="Times New Roman"/>
          <w:i/>
          <w:iCs/>
          <w:noProof/>
          <w:color w:val="000000" w:themeColor="text1"/>
          <w:szCs w:val="24"/>
        </w:rPr>
        <w:t>Reform</w:t>
      </w:r>
      <w:r w:rsidR="00F802D8">
        <w:rPr>
          <w:rFonts w:eastAsia="Times New Roman"/>
          <w:i/>
          <w:iCs/>
          <w:noProof/>
          <w:color w:val="000000" w:themeColor="text1"/>
          <w:szCs w:val="24"/>
        </w:rPr>
        <w:t>ing</w:t>
      </w:r>
      <w:r w:rsidRPr="002473F7">
        <w:rPr>
          <w:rFonts w:eastAsia="Times New Roman"/>
          <w:i/>
          <w:iCs/>
          <w:noProof/>
          <w:color w:val="000000" w:themeColor="text1"/>
          <w:szCs w:val="24"/>
        </w:rPr>
        <w:t xml:space="preserve"> the ECCF by revising </w:t>
      </w:r>
      <w:r w:rsidR="00F802D8">
        <w:rPr>
          <w:rFonts w:eastAsia="Times New Roman"/>
          <w:i/>
          <w:iCs/>
          <w:noProof/>
          <w:color w:val="000000" w:themeColor="text1"/>
          <w:szCs w:val="24"/>
        </w:rPr>
        <w:t>its</w:t>
      </w:r>
      <w:r w:rsidR="00F802D8" w:rsidRPr="002473F7">
        <w:rPr>
          <w:rFonts w:eastAsia="Times New Roman"/>
          <w:i/>
          <w:iCs/>
          <w:noProof/>
          <w:color w:val="000000" w:themeColor="text1"/>
          <w:szCs w:val="24"/>
        </w:rPr>
        <w:t xml:space="preserve"> </w:t>
      </w:r>
      <w:r w:rsidRPr="002473F7">
        <w:rPr>
          <w:rFonts w:eastAsia="Times New Roman"/>
          <w:i/>
          <w:iCs/>
          <w:noProof/>
          <w:color w:val="000000" w:themeColor="text1"/>
          <w:szCs w:val="24"/>
        </w:rPr>
        <w:t>procedure</w:t>
      </w:r>
      <w:r w:rsidR="0019774E">
        <w:rPr>
          <w:rFonts w:eastAsia="Times New Roman"/>
          <w:i/>
          <w:iCs/>
          <w:noProof/>
          <w:color w:val="000000" w:themeColor="text1"/>
          <w:szCs w:val="24"/>
        </w:rPr>
        <w:t>s</w:t>
      </w:r>
      <w:r w:rsidRPr="002473F7">
        <w:rPr>
          <w:rFonts w:eastAsia="Times New Roman"/>
          <w:i/>
          <w:iCs/>
          <w:noProof/>
          <w:color w:val="000000" w:themeColor="text1"/>
          <w:szCs w:val="24"/>
        </w:rPr>
        <w:t xml:space="preserve"> and extending the scope to facilitate simplification of regulatory compliance </w:t>
      </w:r>
      <w:r w:rsidR="00E20A2F">
        <w:rPr>
          <w:rFonts w:eastAsia="Times New Roman"/>
          <w:i/>
          <w:iCs/>
          <w:noProof/>
          <w:color w:val="000000" w:themeColor="text1"/>
          <w:szCs w:val="24"/>
        </w:rPr>
        <w:t>–</w:t>
      </w:r>
      <w:r w:rsidRPr="002473F7">
        <w:rPr>
          <w:rFonts w:eastAsia="Times New Roman"/>
          <w:noProof/>
          <w:color w:val="000000" w:themeColor="text1"/>
          <w:szCs w:val="24"/>
        </w:rPr>
        <w:t xml:space="preserve"> </w:t>
      </w:r>
      <w:r w:rsidR="00C91E05">
        <w:rPr>
          <w:rFonts w:eastAsia="Times New Roman"/>
          <w:noProof/>
          <w:color w:val="000000" w:themeColor="text1"/>
          <w:szCs w:val="24"/>
        </w:rPr>
        <w:t>T</w:t>
      </w:r>
      <w:r w:rsidR="00C91E05" w:rsidRPr="005B66EE">
        <w:rPr>
          <w:rFonts w:eastAsia="Times New Roman"/>
          <w:noProof/>
          <w:color w:val="000000" w:themeColor="text1"/>
          <w:szCs w:val="24"/>
        </w:rPr>
        <w:t>his</w:t>
      </w:r>
      <w:r w:rsidRPr="002473F7">
        <w:rPr>
          <w:rFonts w:eastAsia="Times New Roman"/>
          <w:noProof/>
          <w:color w:val="000000" w:themeColor="text1"/>
          <w:szCs w:val="24"/>
        </w:rPr>
        <w:t xml:space="preserve"> option</w:t>
      </w:r>
      <w:r w:rsidR="00C91E05">
        <w:rPr>
          <w:rFonts w:eastAsia="Times New Roman"/>
          <w:noProof/>
          <w:color w:val="000000" w:themeColor="text1"/>
          <w:szCs w:val="24"/>
        </w:rPr>
        <w:t xml:space="preserve"> would repeal</w:t>
      </w:r>
      <w:r w:rsidRPr="002473F7">
        <w:rPr>
          <w:rFonts w:eastAsia="Times New Roman"/>
          <w:noProof/>
          <w:color w:val="000000" w:themeColor="text1"/>
          <w:szCs w:val="24"/>
        </w:rPr>
        <w:t xml:space="preserve"> the CSA and replace </w:t>
      </w:r>
      <w:r w:rsidR="00C91E05">
        <w:rPr>
          <w:rFonts w:eastAsia="Times New Roman"/>
          <w:noProof/>
          <w:color w:val="000000" w:themeColor="text1"/>
          <w:szCs w:val="24"/>
        </w:rPr>
        <w:t xml:space="preserve">it </w:t>
      </w:r>
      <w:r w:rsidRPr="002473F7">
        <w:rPr>
          <w:rFonts w:eastAsia="Times New Roman"/>
          <w:noProof/>
          <w:color w:val="000000" w:themeColor="text1"/>
          <w:szCs w:val="24"/>
        </w:rPr>
        <w:t xml:space="preserve">by a new regulation. In addition to option B.1, the </w:t>
      </w:r>
      <w:r w:rsidR="00C91E05" w:rsidRPr="005B66EE">
        <w:rPr>
          <w:rFonts w:eastAsia="Times New Roman"/>
          <w:noProof/>
          <w:color w:val="000000" w:themeColor="text1"/>
          <w:szCs w:val="24"/>
        </w:rPr>
        <w:t>procedure</w:t>
      </w:r>
      <w:r w:rsidR="00C91E05">
        <w:rPr>
          <w:rFonts w:eastAsia="Times New Roman"/>
          <w:noProof/>
          <w:color w:val="000000" w:themeColor="text1"/>
          <w:szCs w:val="24"/>
        </w:rPr>
        <w:t>s</w:t>
      </w:r>
      <w:r w:rsidRPr="002473F7">
        <w:rPr>
          <w:rFonts w:eastAsia="Times New Roman"/>
          <w:noProof/>
          <w:color w:val="000000" w:themeColor="text1"/>
          <w:szCs w:val="24"/>
        </w:rPr>
        <w:t xml:space="preserve"> related to </w:t>
      </w:r>
      <w:r w:rsidR="00C91E05">
        <w:rPr>
          <w:rFonts w:eastAsia="Times New Roman"/>
          <w:noProof/>
          <w:color w:val="000000" w:themeColor="text1"/>
          <w:szCs w:val="24"/>
        </w:rPr>
        <w:t>the</w:t>
      </w:r>
      <w:r w:rsidR="00C91E05" w:rsidRPr="005B66EE">
        <w:rPr>
          <w:rFonts w:eastAsia="Times New Roman"/>
          <w:noProof/>
          <w:color w:val="000000" w:themeColor="text1"/>
          <w:szCs w:val="24"/>
        </w:rPr>
        <w:t xml:space="preserve"> </w:t>
      </w:r>
      <w:r w:rsidRPr="002473F7">
        <w:rPr>
          <w:rFonts w:eastAsia="Times New Roman"/>
          <w:noProof/>
          <w:color w:val="000000" w:themeColor="text1"/>
          <w:szCs w:val="24"/>
        </w:rPr>
        <w:t>request, development and adoption of schemes would be revised to improve accountability and efficiency.</w:t>
      </w:r>
    </w:p>
    <w:p w14:paraId="0C309DF9" w14:textId="77777777" w:rsidR="00F0039E" w:rsidRDefault="00F62893" w:rsidP="00A94720">
      <w:pPr>
        <w:rPr>
          <w:rFonts w:eastAsia="Times New Roman"/>
          <w:noProof/>
          <w:color w:val="000000" w:themeColor="text1"/>
        </w:rPr>
      </w:pPr>
      <w:r>
        <w:rPr>
          <w:noProof/>
        </w:rPr>
        <w:t xml:space="preserve">Option B.3: </w:t>
      </w:r>
      <w:r w:rsidRPr="001A462E">
        <w:rPr>
          <w:i/>
          <w:noProof/>
          <w:color w:val="000000" w:themeColor="text1"/>
        </w:rPr>
        <w:t>Reform</w:t>
      </w:r>
      <w:r w:rsidRPr="03A792BC">
        <w:rPr>
          <w:i/>
          <w:noProof/>
          <w:color w:val="000000" w:themeColor="text1"/>
        </w:rPr>
        <w:t>ing</w:t>
      </w:r>
      <w:r w:rsidRPr="001A462E">
        <w:rPr>
          <w:i/>
          <w:noProof/>
          <w:color w:val="000000" w:themeColor="text1"/>
        </w:rPr>
        <w:t xml:space="preserve"> the ECCF as envisaged under option B.2 and introduc</w:t>
      </w:r>
      <w:r w:rsidRPr="03A792BC">
        <w:rPr>
          <w:i/>
          <w:noProof/>
          <w:color w:val="000000" w:themeColor="text1"/>
        </w:rPr>
        <w:t>ing</w:t>
      </w:r>
      <w:r w:rsidRPr="001A462E">
        <w:rPr>
          <w:i/>
          <w:noProof/>
          <w:color w:val="000000" w:themeColor="text1"/>
        </w:rPr>
        <w:t xml:space="preserve"> mandatory certification for cyber posture</w:t>
      </w:r>
      <w:r w:rsidRPr="001A462E">
        <w:rPr>
          <w:b/>
          <w:noProof/>
          <w:color w:val="000000" w:themeColor="text1"/>
        </w:rPr>
        <w:t xml:space="preserve"> </w:t>
      </w:r>
      <w:r w:rsidRPr="03A792BC">
        <w:rPr>
          <w:rFonts w:eastAsia="Times New Roman"/>
          <w:noProof/>
          <w:color w:val="000000" w:themeColor="text1"/>
        </w:rPr>
        <w:t>– This option would build on option B.2, but aims to further increase the impact of the framework by introducing mandatory certification of essential entities considering specific risk scenarios, instead of relying solely on voluntary certification of entities.</w:t>
      </w:r>
    </w:p>
    <w:p w14:paraId="402923F0" w14:textId="77777777" w:rsidR="00945597" w:rsidRPr="004D2E3E" w:rsidRDefault="00945597" w:rsidP="00945597">
      <w:pPr>
        <w:rPr>
          <w:b/>
          <w:i/>
          <w:noProof/>
        </w:rPr>
      </w:pPr>
      <w:r w:rsidRPr="004D2E3E">
        <w:rPr>
          <w:b/>
          <w:i/>
          <w:noProof/>
        </w:rPr>
        <w:t>Options for simplification</w:t>
      </w:r>
    </w:p>
    <w:p w14:paraId="055476CC" w14:textId="77777777" w:rsidR="00945597" w:rsidRPr="001A462E" w:rsidRDefault="00945597" w:rsidP="00945597">
      <w:pPr>
        <w:rPr>
          <w:rFonts w:eastAsia="Times New Roman"/>
          <w:noProof/>
          <w:color w:val="000000" w:themeColor="text1"/>
        </w:rPr>
      </w:pPr>
      <w:r w:rsidRPr="004D2E3E">
        <w:rPr>
          <w:noProof/>
        </w:rPr>
        <w:t xml:space="preserve">Option C.1: </w:t>
      </w:r>
      <w:r w:rsidRPr="03A792BC">
        <w:rPr>
          <w:i/>
          <w:noProof/>
        </w:rPr>
        <w:t>Taking</w:t>
      </w:r>
      <w:r w:rsidRPr="001A462E">
        <w:rPr>
          <w:i/>
          <w:noProof/>
        </w:rPr>
        <w:t xml:space="preserve"> a</w:t>
      </w:r>
      <w:r w:rsidRPr="03A792BC">
        <w:rPr>
          <w:i/>
          <w:noProof/>
        </w:rPr>
        <w:t xml:space="preserve"> </w:t>
      </w:r>
      <w:r w:rsidRPr="03A792BC">
        <w:rPr>
          <w:i/>
          <w:noProof/>
          <w:color w:val="000000" w:themeColor="text1"/>
        </w:rPr>
        <w:t>s</w:t>
      </w:r>
      <w:r w:rsidRPr="001A462E">
        <w:rPr>
          <w:i/>
          <w:noProof/>
          <w:color w:val="000000" w:themeColor="text1"/>
        </w:rPr>
        <w:t>oft law and non-legislative instruments approach</w:t>
      </w:r>
      <w:r w:rsidRPr="03A792BC">
        <w:rPr>
          <w:i/>
          <w:noProof/>
          <w:color w:val="000000" w:themeColor="text1"/>
        </w:rPr>
        <w:t>,</w:t>
      </w:r>
      <w:r w:rsidRPr="001A462E">
        <w:rPr>
          <w:i/>
          <w:noProof/>
          <w:color w:val="000000" w:themeColor="text1"/>
        </w:rPr>
        <w:t xml:space="preserve"> </w:t>
      </w:r>
      <w:r w:rsidRPr="03A792BC">
        <w:rPr>
          <w:i/>
          <w:noProof/>
          <w:color w:val="000000" w:themeColor="text1"/>
        </w:rPr>
        <w:t xml:space="preserve">including the </w:t>
      </w:r>
      <w:r w:rsidRPr="03A792BC">
        <w:rPr>
          <w:rFonts w:eastAsia="Times New Roman"/>
          <w:i/>
          <w:noProof/>
          <w:color w:val="000000" w:themeColor="text1"/>
        </w:rPr>
        <w:t>use of existin</w:t>
      </w:r>
      <w:r w:rsidRPr="001A462E">
        <w:rPr>
          <w:i/>
          <w:noProof/>
          <w:color w:val="000000" w:themeColor="text1"/>
        </w:rPr>
        <w:t xml:space="preserve">g empowerments (adoption of implementing acts under Article 21(5) and </w:t>
      </w:r>
      <w:r w:rsidRPr="03A792BC">
        <w:rPr>
          <w:i/>
          <w:noProof/>
          <w:color w:val="000000" w:themeColor="text1"/>
        </w:rPr>
        <w:t xml:space="preserve">Article </w:t>
      </w:r>
      <w:r w:rsidRPr="001A462E">
        <w:rPr>
          <w:i/>
          <w:noProof/>
          <w:color w:val="000000" w:themeColor="text1"/>
        </w:rPr>
        <w:t>23(11) of the NIS 2 Directive)</w:t>
      </w:r>
      <w:r w:rsidRPr="004D2E3E">
        <w:rPr>
          <w:rFonts w:eastAsia="Times New Roman"/>
          <w:i/>
          <w:noProof/>
          <w:color w:val="000000" w:themeColor="text1"/>
        </w:rPr>
        <w:t xml:space="preserve"> – </w:t>
      </w:r>
      <w:r w:rsidRPr="004D2E3E">
        <w:rPr>
          <w:rFonts w:eastAsia="Times New Roman"/>
          <w:noProof/>
          <w:color w:val="000000" w:themeColor="text1"/>
        </w:rPr>
        <w:t xml:space="preserve">This option envisages the adoption of implementing acts using the existing empowerments under the NIS 2 Directive to ensure a higher degree of harmonisation of cybersecurity risk-management measures, incident reporting thresholds, as well as </w:t>
      </w:r>
      <w:r w:rsidR="004838E0" w:rsidRPr="004D2E3E">
        <w:rPr>
          <w:rFonts w:eastAsia="Times New Roman"/>
          <w:noProof/>
          <w:color w:val="000000" w:themeColor="text1"/>
        </w:rPr>
        <w:t xml:space="preserve">type of </w:t>
      </w:r>
      <w:r w:rsidRPr="004D2E3E">
        <w:rPr>
          <w:rFonts w:eastAsia="Times New Roman"/>
          <w:noProof/>
          <w:color w:val="000000" w:themeColor="text1"/>
        </w:rPr>
        <w:t xml:space="preserve">information, </w:t>
      </w:r>
      <w:r w:rsidR="006462F0" w:rsidRPr="004D2E3E">
        <w:rPr>
          <w:rFonts w:eastAsia="Times New Roman"/>
          <w:noProof/>
          <w:color w:val="000000" w:themeColor="text1"/>
        </w:rPr>
        <w:t xml:space="preserve">the </w:t>
      </w:r>
      <w:r w:rsidRPr="004D2E3E">
        <w:rPr>
          <w:rFonts w:eastAsia="Times New Roman"/>
          <w:noProof/>
          <w:color w:val="000000" w:themeColor="text1"/>
        </w:rPr>
        <w:t xml:space="preserve">formats and </w:t>
      </w:r>
      <w:r w:rsidR="00247DA5" w:rsidRPr="004D2E3E">
        <w:rPr>
          <w:rFonts w:eastAsia="Times New Roman"/>
          <w:noProof/>
          <w:color w:val="000000" w:themeColor="text1"/>
        </w:rPr>
        <w:t xml:space="preserve">the </w:t>
      </w:r>
      <w:r w:rsidRPr="004D2E3E">
        <w:rPr>
          <w:rFonts w:eastAsia="Times New Roman"/>
          <w:noProof/>
          <w:color w:val="000000" w:themeColor="text1"/>
        </w:rPr>
        <w:t>procedure of notifications. It also envisages the adoption of a set of guidelines to enhance legal certainty and harmonised implementation.</w:t>
      </w:r>
    </w:p>
    <w:p w14:paraId="145E23F6" w14:textId="77777777" w:rsidR="00945597" w:rsidRPr="001A462E" w:rsidRDefault="00945597" w:rsidP="00945597">
      <w:pPr>
        <w:rPr>
          <w:rFonts w:eastAsia="Times New Roman"/>
          <w:noProof/>
          <w:color w:val="000000" w:themeColor="text1"/>
        </w:rPr>
      </w:pPr>
      <w:r w:rsidRPr="004D2E3E">
        <w:rPr>
          <w:noProof/>
        </w:rPr>
        <w:t xml:space="preserve">Option C.2: </w:t>
      </w:r>
      <w:r w:rsidRPr="001A462E">
        <w:rPr>
          <w:i/>
          <w:noProof/>
          <w:color w:val="000000" w:themeColor="text1"/>
        </w:rPr>
        <w:t xml:space="preserve">Targeted intervention – further simplification of compliance with </w:t>
      </w:r>
      <w:r w:rsidRPr="03A792BC">
        <w:rPr>
          <w:i/>
          <w:noProof/>
          <w:color w:val="000000" w:themeColor="text1"/>
        </w:rPr>
        <w:t xml:space="preserve">the </w:t>
      </w:r>
      <w:r w:rsidRPr="001A462E">
        <w:rPr>
          <w:i/>
          <w:noProof/>
          <w:color w:val="000000" w:themeColor="text1"/>
        </w:rPr>
        <w:t>relevant Union cybersecurity legislative framework</w:t>
      </w:r>
      <w:r w:rsidRPr="004D2E3E">
        <w:rPr>
          <w:rFonts w:eastAsia="Times New Roman"/>
          <w:i/>
          <w:noProof/>
          <w:color w:val="000000" w:themeColor="text1"/>
        </w:rPr>
        <w:t xml:space="preserve"> </w:t>
      </w:r>
      <w:r w:rsidRPr="004D2E3E">
        <w:rPr>
          <w:rFonts w:eastAsia="Times New Roman"/>
          <w:noProof/>
          <w:color w:val="000000" w:themeColor="text1"/>
        </w:rPr>
        <w:t>– This option involves limited intervention through changes to the CSA and the NIS 2 Directive with an aim to simplify specific aspects of the cybersecurity framework, including scope adaptations, maximum harmonisation for implementing acts, compliance proof through certification, and adoption of the set of guidelines as envisaged under option C.1.  </w:t>
      </w:r>
    </w:p>
    <w:p w14:paraId="7A966284" w14:textId="77777777" w:rsidR="00A94720" w:rsidRPr="001A462E" w:rsidRDefault="00945597" w:rsidP="00A94720">
      <w:pPr>
        <w:pBdr>
          <w:top w:val="nil"/>
          <w:left w:val="nil"/>
          <w:bottom w:val="nil"/>
          <w:right w:val="nil"/>
          <w:between w:val="nil"/>
          <w:bar w:val="nil"/>
        </w:pBdr>
        <w:spacing w:before="0" w:after="240"/>
        <w:rPr>
          <w:rFonts w:eastAsia="Times New Roman"/>
          <w:noProof/>
          <w:color w:val="000000" w:themeColor="text1"/>
          <w:highlight w:val="yellow"/>
        </w:rPr>
      </w:pPr>
      <w:r w:rsidRPr="004D2E3E">
        <w:rPr>
          <w:noProof/>
        </w:rPr>
        <w:t xml:space="preserve">Option C.3: </w:t>
      </w:r>
      <w:r w:rsidRPr="001A462E">
        <w:rPr>
          <w:i/>
          <w:noProof/>
          <w:color w:val="000000" w:themeColor="text1"/>
        </w:rPr>
        <w:t>Harmonis</w:t>
      </w:r>
      <w:r w:rsidRPr="03A792BC">
        <w:rPr>
          <w:i/>
          <w:noProof/>
          <w:color w:val="000000" w:themeColor="text1"/>
        </w:rPr>
        <w:t>ing</w:t>
      </w:r>
      <w:r w:rsidR="00A94720" w:rsidRPr="001A462E">
        <w:rPr>
          <w:i/>
          <w:noProof/>
          <w:color w:val="000000" w:themeColor="text1"/>
        </w:rPr>
        <w:t xml:space="preserve"> cybersecurity-related measures set out in Union legislation</w:t>
      </w:r>
      <w:r w:rsidR="00A94720" w:rsidRPr="001A462E">
        <w:rPr>
          <w:b/>
          <w:noProof/>
          <w:color w:val="000000" w:themeColor="text1"/>
        </w:rPr>
        <w:t xml:space="preserve"> </w:t>
      </w:r>
      <w:r w:rsidRPr="004D2E3E">
        <w:rPr>
          <w:rFonts w:eastAsia="Times New Roman"/>
          <w:i/>
          <w:noProof/>
          <w:color w:val="000000" w:themeColor="text1"/>
        </w:rPr>
        <w:t>–</w:t>
      </w:r>
      <w:r w:rsidR="00A94720" w:rsidRPr="004D2E3E">
        <w:rPr>
          <w:rFonts w:eastAsia="Times New Roman"/>
          <w:i/>
          <w:noProof/>
          <w:color w:val="000000" w:themeColor="text1"/>
        </w:rPr>
        <w:t xml:space="preserve"> </w:t>
      </w:r>
      <w:r w:rsidR="00A94720" w:rsidRPr="004D2E3E">
        <w:rPr>
          <w:rFonts w:eastAsia="Times New Roman"/>
          <w:noProof/>
          <w:color w:val="000000" w:themeColor="text1"/>
        </w:rPr>
        <w:t xml:space="preserve">This option would build on option C.2 and would remove all cybersecurity risk-management measures included in </w:t>
      </w:r>
      <w:r w:rsidRPr="004D2E3E">
        <w:rPr>
          <w:rFonts w:eastAsia="Times New Roman"/>
          <w:noProof/>
          <w:color w:val="000000" w:themeColor="text1"/>
        </w:rPr>
        <w:t>sectoral</w:t>
      </w:r>
      <w:r w:rsidR="00A94720" w:rsidRPr="004D2E3E">
        <w:rPr>
          <w:rFonts w:eastAsia="Times New Roman"/>
          <w:noProof/>
          <w:color w:val="000000" w:themeColor="text1"/>
        </w:rPr>
        <w:t xml:space="preserve"> legislation</w:t>
      </w:r>
      <w:r w:rsidRPr="004D2E3E">
        <w:rPr>
          <w:rFonts w:eastAsia="Times New Roman"/>
          <w:noProof/>
          <w:color w:val="000000" w:themeColor="text1"/>
        </w:rPr>
        <w:t xml:space="preserve"> and empowerments in relation to such measures. </w:t>
      </w:r>
      <w:r w:rsidR="00A94720" w:rsidRPr="004D2E3E">
        <w:rPr>
          <w:rFonts w:eastAsia="Times New Roman"/>
          <w:noProof/>
          <w:color w:val="000000" w:themeColor="text1"/>
        </w:rPr>
        <w:t xml:space="preserve">Instead, the </w:t>
      </w:r>
      <w:r w:rsidRPr="004D2E3E">
        <w:rPr>
          <w:rFonts w:eastAsia="Times New Roman"/>
          <w:noProof/>
          <w:color w:val="000000" w:themeColor="text1"/>
        </w:rPr>
        <w:t>NIS 2</w:t>
      </w:r>
      <w:r w:rsidR="00A94720" w:rsidRPr="004D2E3E">
        <w:rPr>
          <w:rFonts w:eastAsia="Times New Roman"/>
          <w:noProof/>
          <w:color w:val="000000" w:themeColor="text1"/>
        </w:rPr>
        <w:t xml:space="preserve"> Directive ecosystem would be amended to provide for streamlined requirements for all types of entities, </w:t>
      </w:r>
      <w:r w:rsidRPr="004D2E3E">
        <w:rPr>
          <w:rFonts w:eastAsia="Times New Roman"/>
          <w:noProof/>
          <w:color w:val="000000" w:themeColor="text1"/>
        </w:rPr>
        <w:t xml:space="preserve">with an aim to promote </w:t>
      </w:r>
      <w:r w:rsidR="00A94720" w:rsidRPr="004D2E3E">
        <w:rPr>
          <w:rFonts w:eastAsia="Times New Roman"/>
          <w:noProof/>
          <w:color w:val="000000" w:themeColor="text1"/>
        </w:rPr>
        <w:t>harmonisation.</w:t>
      </w:r>
    </w:p>
    <w:p w14:paraId="3C0B5134" w14:textId="77777777" w:rsidR="00CE11BB" w:rsidRDefault="00CE11BB" w:rsidP="00CE11BB">
      <w:pPr>
        <w:pBdr>
          <w:bar w:val="nil"/>
        </w:pBdr>
        <w:spacing w:before="0" w:after="240"/>
        <w:rPr>
          <w:rFonts w:eastAsia="Times New Roman"/>
          <w:noProof/>
          <w:color w:val="000000" w:themeColor="text1"/>
          <w:szCs w:val="24"/>
        </w:rPr>
      </w:pPr>
      <w:r w:rsidRPr="27B027D2">
        <w:rPr>
          <w:rFonts w:eastAsia="Times New Roman"/>
          <w:b/>
          <w:bCs/>
          <w:i/>
          <w:iCs/>
          <w:noProof/>
          <w:color w:val="000000" w:themeColor="text1"/>
          <w:szCs w:val="24"/>
        </w:rPr>
        <w:t>Options for ICT Supply Chain Security</w:t>
      </w:r>
      <w:r w:rsidRPr="27B027D2">
        <w:rPr>
          <w:rFonts w:eastAsia="Times New Roman"/>
          <w:noProof/>
          <w:color w:val="000000" w:themeColor="text1"/>
          <w:szCs w:val="24"/>
        </w:rPr>
        <w:t xml:space="preserve"> </w:t>
      </w:r>
    </w:p>
    <w:p w14:paraId="193710FC" w14:textId="77777777" w:rsidR="00CE11BB" w:rsidRDefault="00CE11BB" w:rsidP="00CE11BB">
      <w:pPr>
        <w:spacing w:before="0" w:after="240"/>
        <w:rPr>
          <w:rFonts w:eastAsia="Times New Roman"/>
          <w:noProof/>
          <w:color w:val="000000" w:themeColor="text1"/>
        </w:rPr>
      </w:pPr>
      <w:r w:rsidRPr="03A792BC">
        <w:rPr>
          <w:rFonts w:eastAsia="Times New Roman"/>
          <w:noProof/>
          <w:color w:val="000000" w:themeColor="text1"/>
        </w:rPr>
        <w:t>Option D.1: Taking a s</w:t>
      </w:r>
      <w:r w:rsidRPr="03A792BC">
        <w:rPr>
          <w:rFonts w:eastAsia="Times New Roman"/>
          <w:i/>
          <w:iCs/>
          <w:noProof/>
          <w:color w:val="000000" w:themeColor="text1"/>
        </w:rPr>
        <w:t>oft</w:t>
      </w:r>
      <w:r w:rsidRPr="03A792BC">
        <w:rPr>
          <w:rFonts w:eastAsia="Times New Roman"/>
          <w:i/>
          <w:noProof/>
          <w:color w:val="000000" w:themeColor="text1"/>
        </w:rPr>
        <w:t xml:space="preserve"> law approach to address cybersecurity risks for ICT supply chains</w:t>
      </w:r>
      <w:r w:rsidRPr="03A792BC">
        <w:rPr>
          <w:rFonts w:eastAsia="Times New Roman"/>
          <w:noProof/>
          <w:color w:val="000000" w:themeColor="text1"/>
        </w:rPr>
        <w:t xml:space="preserve"> - This option would not provide for regulatory intervention at EU level. Instead, the Commission would increase the number of coordinated risk assessments and voluntary toolboxes. </w:t>
      </w:r>
    </w:p>
    <w:p w14:paraId="709345E5" w14:textId="77777777" w:rsidR="00CE11BB" w:rsidRDefault="00CE11BB" w:rsidP="00CE11BB">
      <w:pPr>
        <w:spacing w:before="0" w:after="240"/>
        <w:rPr>
          <w:rFonts w:eastAsia="Times New Roman"/>
          <w:noProof/>
          <w:color w:val="000000" w:themeColor="text1"/>
          <w:szCs w:val="24"/>
        </w:rPr>
      </w:pPr>
      <w:r w:rsidRPr="27B027D2">
        <w:rPr>
          <w:rFonts w:eastAsia="Times New Roman"/>
          <w:noProof/>
          <w:color w:val="000000" w:themeColor="text1"/>
          <w:szCs w:val="24"/>
        </w:rPr>
        <w:t xml:space="preserve">Option D.2: </w:t>
      </w:r>
      <w:r w:rsidRPr="27B027D2">
        <w:rPr>
          <w:rFonts w:eastAsia="Times New Roman"/>
          <w:i/>
          <w:iCs/>
          <w:noProof/>
          <w:color w:val="000000" w:themeColor="text1"/>
          <w:szCs w:val="24"/>
        </w:rPr>
        <w:t xml:space="preserve">Ad hoc regulatory intervention codifying the 5G Toolbox - </w:t>
      </w:r>
      <w:r w:rsidRPr="27B027D2">
        <w:rPr>
          <w:rFonts w:eastAsia="Times New Roman"/>
          <w:noProof/>
          <w:color w:val="000000" w:themeColor="text1"/>
          <w:szCs w:val="24"/>
        </w:rPr>
        <w:t xml:space="preserve">This option would codify the 5G Toolbox measures. It would introduce an obligation for Member States to ensure that components from high-risk suppliers are not used in key assets of the network. </w:t>
      </w:r>
    </w:p>
    <w:p w14:paraId="5A164FDA" w14:textId="77777777" w:rsidR="00CE11BB" w:rsidRDefault="00CE11BB" w:rsidP="00CE11BB">
      <w:pPr>
        <w:pBdr>
          <w:top w:val="nil"/>
          <w:left w:val="nil"/>
          <w:bottom w:val="nil"/>
          <w:right w:val="nil"/>
          <w:between w:val="nil"/>
          <w:bar w:val="nil"/>
        </w:pBdr>
        <w:spacing w:before="0" w:after="240"/>
        <w:rPr>
          <w:rFonts w:eastAsia="Times New Roman"/>
          <w:noProof/>
          <w:color w:val="000000" w:themeColor="text1"/>
          <w:szCs w:val="24"/>
        </w:rPr>
      </w:pPr>
      <w:r w:rsidRPr="27B027D2">
        <w:rPr>
          <w:rFonts w:eastAsia="Times New Roman"/>
          <w:noProof/>
          <w:color w:val="000000" w:themeColor="text1"/>
          <w:szCs w:val="24"/>
        </w:rPr>
        <w:t xml:space="preserve">Option D.3: </w:t>
      </w:r>
      <w:r w:rsidRPr="27B027D2">
        <w:rPr>
          <w:rFonts w:eastAsia="Times New Roman"/>
          <w:i/>
          <w:iCs/>
          <w:noProof/>
          <w:color w:val="000000" w:themeColor="text1"/>
          <w:szCs w:val="24"/>
        </w:rPr>
        <w:t xml:space="preserve">Comprehensive and horizontal framework to address ICT supply chains cybersecurity risks - </w:t>
      </w:r>
      <w:r w:rsidRPr="27B027D2">
        <w:rPr>
          <w:rFonts w:eastAsia="Times New Roman"/>
          <w:noProof/>
          <w:color w:val="000000" w:themeColor="text1"/>
          <w:szCs w:val="24"/>
        </w:rPr>
        <w:t>This option would establish a horizontal, technology and sector-neutral regulatory framework to address non-technical cybersecurity risks in ICT supply chains</w:t>
      </w:r>
      <w:r>
        <w:rPr>
          <w:rFonts w:eastAsia="Times New Roman"/>
          <w:noProof/>
          <w:color w:val="000000" w:themeColor="text1"/>
          <w:szCs w:val="24"/>
        </w:rPr>
        <w:t>.</w:t>
      </w:r>
    </w:p>
    <w:p w14:paraId="34F0AEB2" w14:textId="7C9C66B5" w:rsidR="00A94720" w:rsidRDefault="0050798F" w:rsidP="00CE11BB">
      <w:pPr>
        <w:pBdr>
          <w:top w:val="nil"/>
          <w:left w:val="nil"/>
          <w:bottom w:val="nil"/>
          <w:right w:val="nil"/>
          <w:between w:val="nil"/>
          <w:bar w:val="nil"/>
        </w:pBdr>
        <w:spacing w:before="0" w:after="240"/>
        <w:rPr>
          <w:noProof/>
        </w:rPr>
      </w:pPr>
      <w:r w:rsidRPr="001A462E">
        <w:rPr>
          <w:b/>
          <w:noProof/>
        </w:rPr>
        <w:t xml:space="preserve">After extensive </w:t>
      </w:r>
      <w:r w:rsidR="00521165" w:rsidRPr="001A462E">
        <w:rPr>
          <w:b/>
          <w:bCs/>
          <w:noProof/>
        </w:rPr>
        <w:t>analys</w:t>
      </w:r>
      <w:r w:rsidR="00521165">
        <w:rPr>
          <w:b/>
          <w:bCs/>
          <w:noProof/>
        </w:rPr>
        <w:t>i</w:t>
      </w:r>
      <w:r w:rsidR="00521165" w:rsidRPr="001A462E">
        <w:rPr>
          <w:b/>
          <w:bCs/>
          <w:noProof/>
        </w:rPr>
        <w:t>s</w:t>
      </w:r>
      <w:r w:rsidRPr="001A462E">
        <w:rPr>
          <w:b/>
          <w:noProof/>
        </w:rPr>
        <w:t xml:space="preserve">, the following combination of options </w:t>
      </w:r>
      <w:r w:rsidR="00521165">
        <w:rPr>
          <w:b/>
          <w:bCs/>
          <w:noProof/>
        </w:rPr>
        <w:t xml:space="preserve">emerged </w:t>
      </w:r>
      <w:r w:rsidR="00521165" w:rsidRPr="001A462E">
        <w:rPr>
          <w:b/>
          <w:bCs/>
          <w:noProof/>
        </w:rPr>
        <w:t xml:space="preserve">as </w:t>
      </w:r>
      <w:r w:rsidR="00521165">
        <w:rPr>
          <w:b/>
          <w:bCs/>
          <w:noProof/>
        </w:rPr>
        <w:t xml:space="preserve">the </w:t>
      </w:r>
      <w:r w:rsidRPr="001A462E">
        <w:rPr>
          <w:b/>
          <w:noProof/>
        </w:rPr>
        <w:t>preferred policy package</w:t>
      </w:r>
      <w:r w:rsidRPr="344FA351">
        <w:rPr>
          <w:b/>
          <w:bCs/>
          <w:i/>
          <w:iCs/>
          <w:noProof/>
        </w:rPr>
        <w:t xml:space="preserve">: </w:t>
      </w:r>
      <w:r w:rsidR="00521165">
        <w:rPr>
          <w:noProof/>
        </w:rPr>
        <w:t>o</w:t>
      </w:r>
      <w:r w:rsidR="00521165" w:rsidRPr="005B66EE">
        <w:rPr>
          <w:noProof/>
        </w:rPr>
        <w:t>ption</w:t>
      </w:r>
      <w:r>
        <w:rPr>
          <w:noProof/>
        </w:rPr>
        <w:t xml:space="preserve"> A.2 </w:t>
      </w:r>
      <w:r w:rsidR="00521165">
        <w:rPr>
          <w:noProof/>
        </w:rPr>
        <w:t>(r</w:t>
      </w:r>
      <w:r w:rsidR="00521165" w:rsidRPr="005B66EE">
        <w:rPr>
          <w:noProof/>
        </w:rPr>
        <w:t>eform</w:t>
      </w:r>
      <w:r w:rsidR="00521165">
        <w:rPr>
          <w:noProof/>
        </w:rPr>
        <w:t>ing</w:t>
      </w:r>
      <w:r>
        <w:rPr>
          <w:noProof/>
        </w:rPr>
        <w:t xml:space="preserve"> ENISA’s mandate</w:t>
      </w:r>
      <w:r w:rsidR="00521165">
        <w:rPr>
          <w:noProof/>
        </w:rPr>
        <w:t>)</w:t>
      </w:r>
      <w:r w:rsidR="00521165" w:rsidRPr="005B66EE">
        <w:rPr>
          <w:noProof/>
        </w:rPr>
        <w:t xml:space="preserve">; </w:t>
      </w:r>
      <w:r w:rsidR="00521165">
        <w:rPr>
          <w:noProof/>
        </w:rPr>
        <w:t>o</w:t>
      </w:r>
      <w:r w:rsidR="00521165" w:rsidRPr="005B66EE">
        <w:rPr>
          <w:noProof/>
        </w:rPr>
        <w:t>ption</w:t>
      </w:r>
      <w:r>
        <w:rPr>
          <w:noProof/>
        </w:rPr>
        <w:t xml:space="preserve"> B.2 </w:t>
      </w:r>
      <w:r w:rsidR="00521165">
        <w:rPr>
          <w:noProof/>
        </w:rPr>
        <w:t>(r</w:t>
      </w:r>
      <w:r w:rsidR="00521165" w:rsidRPr="005B66EE">
        <w:rPr>
          <w:noProof/>
        </w:rPr>
        <w:t>eform</w:t>
      </w:r>
      <w:r w:rsidR="00521165">
        <w:rPr>
          <w:noProof/>
        </w:rPr>
        <w:t>ing</w:t>
      </w:r>
      <w:r>
        <w:rPr>
          <w:noProof/>
        </w:rPr>
        <w:t xml:space="preserve"> the ECCF by revising </w:t>
      </w:r>
      <w:r w:rsidR="00521165">
        <w:rPr>
          <w:noProof/>
        </w:rPr>
        <w:t xml:space="preserve">its </w:t>
      </w:r>
      <w:r w:rsidR="00521165" w:rsidRPr="005B66EE">
        <w:rPr>
          <w:noProof/>
        </w:rPr>
        <w:t>procedure</w:t>
      </w:r>
      <w:r w:rsidR="00521165">
        <w:rPr>
          <w:noProof/>
        </w:rPr>
        <w:t>s</w:t>
      </w:r>
      <w:r>
        <w:rPr>
          <w:noProof/>
        </w:rPr>
        <w:t xml:space="preserve"> </w:t>
      </w:r>
      <w:r w:rsidRPr="004D2E3E">
        <w:rPr>
          <w:noProof/>
        </w:rPr>
        <w:t>and extending the scope to facilitate simplification of regulatory compliance</w:t>
      </w:r>
      <w:r w:rsidR="00521165" w:rsidRPr="004D2E3E">
        <w:rPr>
          <w:noProof/>
        </w:rPr>
        <w:t>);</w:t>
      </w:r>
      <w:r w:rsidRPr="004D2E3E">
        <w:rPr>
          <w:noProof/>
        </w:rPr>
        <w:t xml:space="preserve"> and </w:t>
      </w:r>
      <w:r w:rsidR="00521165" w:rsidRPr="004D2E3E">
        <w:rPr>
          <w:noProof/>
        </w:rPr>
        <w:t>option</w:t>
      </w:r>
      <w:r w:rsidRPr="004D2E3E">
        <w:rPr>
          <w:noProof/>
        </w:rPr>
        <w:t xml:space="preserve"> C.2 </w:t>
      </w:r>
      <w:r w:rsidR="00521165" w:rsidRPr="004D2E3E">
        <w:rPr>
          <w:noProof/>
        </w:rPr>
        <w:t>(targeted</w:t>
      </w:r>
      <w:r w:rsidRPr="004D2E3E">
        <w:rPr>
          <w:noProof/>
        </w:rPr>
        <w:t xml:space="preserve"> intervention – further simplification of compliance with </w:t>
      </w:r>
      <w:r w:rsidR="00521165" w:rsidRPr="004D2E3E">
        <w:rPr>
          <w:noProof/>
        </w:rPr>
        <w:t xml:space="preserve">the </w:t>
      </w:r>
      <w:r w:rsidRPr="004D2E3E">
        <w:rPr>
          <w:noProof/>
        </w:rPr>
        <w:t>relevant Union cybersecurity legislative framework</w:t>
      </w:r>
      <w:r w:rsidR="00521165" w:rsidRPr="004D2E3E">
        <w:rPr>
          <w:noProof/>
        </w:rPr>
        <w:t>)</w:t>
      </w:r>
      <w:r w:rsidR="000B07BA" w:rsidRPr="004D2E3E">
        <w:rPr>
          <w:noProof/>
        </w:rPr>
        <w:t xml:space="preserve"> and</w:t>
      </w:r>
      <w:r w:rsidR="000B07BA">
        <w:rPr>
          <w:noProof/>
        </w:rPr>
        <w:t xml:space="preserve"> </w:t>
      </w:r>
      <w:r w:rsidR="00CE11BB">
        <w:rPr>
          <w:noProof/>
        </w:rPr>
        <w:t>Option D.3 - Comprehensive and horizontal framework to address ICT supply chains cybersecurity risks</w:t>
      </w:r>
      <w:r>
        <w:rPr>
          <w:noProof/>
        </w:rPr>
        <w:t>.</w:t>
      </w:r>
    </w:p>
    <w:p w14:paraId="106AAAD3" w14:textId="77777777" w:rsidR="0073796F" w:rsidRPr="005B66EE" w:rsidRDefault="0073796F" w:rsidP="0073796F">
      <w:pPr>
        <w:rPr>
          <w:noProof/>
          <w:szCs w:val="24"/>
        </w:rPr>
      </w:pPr>
      <w:r w:rsidRPr="005B66EE">
        <w:rPr>
          <w:noProof/>
          <w:szCs w:val="24"/>
        </w:rPr>
        <w:t>This combination offers a well-balanced response to identified policy challenges, significantly enhancing effectiveness, efficiency and coherence across the U</w:t>
      </w:r>
      <w:r>
        <w:rPr>
          <w:noProof/>
          <w:szCs w:val="24"/>
        </w:rPr>
        <w:t>nion</w:t>
      </w:r>
      <w:r w:rsidRPr="005B66EE">
        <w:rPr>
          <w:noProof/>
          <w:szCs w:val="24"/>
        </w:rPr>
        <w:t>.</w:t>
      </w:r>
    </w:p>
    <w:p w14:paraId="6728110E" w14:textId="2425B21F" w:rsidR="0050798F" w:rsidRDefault="0050798F" w:rsidP="27B027D2">
      <w:pPr>
        <w:pBdr>
          <w:top w:val="nil"/>
          <w:left w:val="nil"/>
          <w:bottom w:val="nil"/>
          <w:right w:val="nil"/>
          <w:between w:val="nil"/>
          <w:bar w:val="nil"/>
        </w:pBdr>
        <w:spacing w:before="0" w:after="240"/>
        <w:rPr>
          <w:noProof/>
        </w:rPr>
      </w:pPr>
      <w:r>
        <w:rPr>
          <w:noProof/>
        </w:rPr>
        <w:t xml:space="preserve">The transition to the proposed preferred option for the regulatory framework will incur costs, both for ENISA </w:t>
      </w:r>
      <w:r w:rsidR="0073796F">
        <w:rPr>
          <w:noProof/>
        </w:rPr>
        <w:t>to meet its new tasks (</w:t>
      </w:r>
      <w:r>
        <w:rPr>
          <w:noProof/>
        </w:rPr>
        <w:t xml:space="preserve">estimated </w:t>
      </w:r>
      <w:r w:rsidR="0073796F">
        <w:rPr>
          <w:noProof/>
        </w:rPr>
        <w:t xml:space="preserve">at </w:t>
      </w:r>
      <w:r>
        <w:rPr>
          <w:noProof/>
        </w:rPr>
        <w:t>up to EUR</w:t>
      </w:r>
      <w:r w:rsidR="0073796F">
        <w:rPr>
          <w:noProof/>
        </w:rPr>
        <w:t> </w:t>
      </w:r>
      <w:r>
        <w:rPr>
          <w:noProof/>
        </w:rPr>
        <w:t>161</w:t>
      </w:r>
      <w:r w:rsidR="0073796F">
        <w:rPr>
          <w:noProof/>
        </w:rPr>
        <w:t>.</w:t>
      </w:r>
      <w:r>
        <w:rPr>
          <w:noProof/>
        </w:rPr>
        <w:t>3</w:t>
      </w:r>
      <w:r w:rsidR="0073796F">
        <w:rPr>
          <w:noProof/>
        </w:rPr>
        <w:t> </w:t>
      </w:r>
      <w:r>
        <w:rPr>
          <w:noProof/>
        </w:rPr>
        <w:t xml:space="preserve">million over </w:t>
      </w:r>
      <w:r w:rsidR="0073796F">
        <w:rPr>
          <w:noProof/>
        </w:rPr>
        <w:t>five</w:t>
      </w:r>
      <w:r>
        <w:rPr>
          <w:noProof/>
        </w:rPr>
        <w:t xml:space="preserve"> years</w:t>
      </w:r>
      <w:r w:rsidR="0073796F">
        <w:rPr>
          <w:noProof/>
        </w:rPr>
        <w:t>)</w:t>
      </w:r>
      <w:r>
        <w:rPr>
          <w:noProof/>
        </w:rPr>
        <w:t xml:space="preserve"> and for public authorities across the </w:t>
      </w:r>
      <w:r w:rsidR="0073796F">
        <w:rPr>
          <w:noProof/>
        </w:rPr>
        <w:t>Union</w:t>
      </w:r>
      <w:r>
        <w:rPr>
          <w:noProof/>
        </w:rPr>
        <w:t xml:space="preserve"> for </w:t>
      </w:r>
      <w:r w:rsidR="0073796F">
        <w:rPr>
          <w:noProof/>
        </w:rPr>
        <w:t>supervising</w:t>
      </w:r>
      <w:r>
        <w:rPr>
          <w:noProof/>
        </w:rPr>
        <w:t xml:space="preserve"> </w:t>
      </w:r>
      <w:r w:rsidR="0073796F">
        <w:rPr>
          <w:noProof/>
        </w:rPr>
        <w:t>(estimated at up to EUR 80 million over five years, considering relevant cost savings).</w:t>
      </w:r>
      <w:r w:rsidR="000B07BA">
        <w:rPr>
          <w:noProof/>
        </w:rPr>
        <w:t xml:space="preserve"> </w:t>
      </w:r>
      <w:r w:rsidR="00CE11BB">
        <w:rPr>
          <w:noProof/>
        </w:rPr>
        <w:t>Regarding businesses, over five years, phasing out specific high-risk equipment could lead to annual costs of EUR 3.4 to 4.3 billion for mobile network operators, while investments in trusted suppliers could grow up to 2 billion per year.</w:t>
      </w:r>
    </w:p>
    <w:p w14:paraId="07232CF7" w14:textId="77777777" w:rsidR="0050798F" w:rsidRPr="002473F7" w:rsidRDefault="00DE2F07" w:rsidP="0050798F">
      <w:pPr>
        <w:rPr>
          <w:b/>
          <w:bCs/>
          <w:noProof/>
        </w:rPr>
      </w:pPr>
      <w:r>
        <w:rPr>
          <w:noProof/>
        </w:rPr>
        <w:t>At the same time</w:t>
      </w:r>
      <w:r w:rsidR="0050798F">
        <w:rPr>
          <w:noProof/>
        </w:rPr>
        <w:t xml:space="preserve">, streamlined and reduced compliance obligations are expected to </w:t>
      </w:r>
      <w:r w:rsidR="00C76CF0">
        <w:rPr>
          <w:noProof/>
        </w:rPr>
        <w:t>generate</w:t>
      </w:r>
      <w:r w:rsidR="00C76CF0" w:rsidRPr="005B66EE">
        <w:rPr>
          <w:noProof/>
        </w:rPr>
        <w:t xml:space="preserve"> </w:t>
      </w:r>
      <w:r w:rsidR="0050798F">
        <w:rPr>
          <w:noProof/>
        </w:rPr>
        <w:t>cost savings of up to EUR</w:t>
      </w:r>
      <w:r w:rsidR="00C76CF0">
        <w:rPr>
          <w:noProof/>
        </w:rPr>
        <w:t> </w:t>
      </w:r>
      <w:r w:rsidR="0050798F">
        <w:rPr>
          <w:noProof/>
        </w:rPr>
        <w:t>15</w:t>
      </w:r>
      <w:r w:rsidR="00C76CF0">
        <w:rPr>
          <w:noProof/>
        </w:rPr>
        <w:t>.</w:t>
      </w:r>
      <w:r w:rsidR="0050798F">
        <w:rPr>
          <w:noProof/>
        </w:rPr>
        <w:t>3</w:t>
      </w:r>
      <w:r w:rsidR="00C76CF0">
        <w:rPr>
          <w:noProof/>
        </w:rPr>
        <w:t> </w:t>
      </w:r>
      <w:r w:rsidR="0050798F">
        <w:rPr>
          <w:noProof/>
        </w:rPr>
        <w:t>billion for businesses</w:t>
      </w:r>
      <w:r w:rsidR="00002270">
        <w:rPr>
          <w:noProof/>
        </w:rPr>
        <w:t xml:space="preserve"> over five years</w:t>
      </w:r>
      <w:r w:rsidR="00C76CF0" w:rsidRPr="005B66EE">
        <w:rPr>
          <w:noProof/>
        </w:rPr>
        <w:t>.</w:t>
      </w:r>
      <w:r w:rsidR="0050798F">
        <w:rPr>
          <w:noProof/>
        </w:rPr>
        <w:t xml:space="preserve"> Furthermore, improving the </w:t>
      </w:r>
      <w:r w:rsidR="00C76CF0" w:rsidRPr="005B66EE">
        <w:rPr>
          <w:noProof/>
        </w:rPr>
        <w:t>U</w:t>
      </w:r>
      <w:r w:rsidR="00C76CF0">
        <w:rPr>
          <w:noProof/>
        </w:rPr>
        <w:t>nion</w:t>
      </w:r>
      <w:r w:rsidR="00C76CF0" w:rsidRPr="005B66EE">
        <w:rPr>
          <w:noProof/>
        </w:rPr>
        <w:t>’s</w:t>
      </w:r>
      <w:r w:rsidR="0050798F">
        <w:rPr>
          <w:noProof/>
        </w:rPr>
        <w:t xml:space="preserve"> overall cyber posture and technological sovereignty and stimulating innovation and competitiveness </w:t>
      </w:r>
      <w:r w:rsidR="00C76CF0">
        <w:rPr>
          <w:noProof/>
        </w:rPr>
        <w:t xml:space="preserve">would yield </w:t>
      </w:r>
      <w:r w:rsidR="00C76CF0" w:rsidRPr="005B66EE">
        <w:rPr>
          <w:noProof/>
        </w:rPr>
        <w:t xml:space="preserve">significant benefits for </w:t>
      </w:r>
      <w:r w:rsidR="00C76CF0">
        <w:rPr>
          <w:noProof/>
        </w:rPr>
        <w:t>the general public</w:t>
      </w:r>
      <w:r w:rsidR="00C76CF0" w:rsidRPr="005B66EE">
        <w:rPr>
          <w:noProof/>
        </w:rPr>
        <w:t>, public authorities and business</w:t>
      </w:r>
      <w:r w:rsidR="00C76CF0">
        <w:rPr>
          <w:noProof/>
        </w:rPr>
        <w:t>es. This is</w:t>
      </w:r>
      <w:r w:rsidR="00C76CF0" w:rsidRPr="005B66EE">
        <w:rPr>
          <w:noProof/>
        </w:rPr>
        <w:t xml:space="preserve"> </w:t>
      </w:r>
      <w:r w:rsidR="0050798F">
        <w:rPr>
          <w:noProof/>
        </w:rPr>
        <w:t>expected to largely offset initial expenditures in the long term.</w:t>
      </w:r>
    </w:p>
    <w:p w14:paraId="6B80C244" w14:textId="77777777" w:rsidR="0050798F" w:rsidRPr="002473F7" w:rsidRDefault="0050798F" w:rsidP="0050798F">
      <w:pPr>
        <w:rPr>
          <w:noProof/>
        </w:rPr>
      </w:pPr>
      <w:r>
        <w:rPr>
          <w:noProof/>
        </w:rPr>
        <w:t>By reducing market fragmentation and harmoni</w:t>
      </w:r>
      <w:r w:rsidR="00006BD9">
        <w:rPr>
          <w:noProof/>
        </w:rPr>
        <w:t>s</w:t>
      </w:r>
      <w:r>
        <w:rPr>
          <w:noProof/>
        </w:rPr>
        <w:t xml:space="preserve">ing </w:t>
      </w:r>
      <w:r w:rsidR="00006BD9">
        <w:rPr>
          <w:noProof/>
        </w:rPr>
        <w:t>regulatory requirements</w:t>
      </w:r>
      <w:r>
        <w:rPr>
          <w:noProof/>
        </w:rPr>
        <w:t>, the preferred options enhance competitive equality across the U</w:t>
      </w:r>
      <w:r w:rsidR="00D73DA3">
        <w:rPr>
          <w:noProof/>
        </w:rPr>
        <w:t>nion</w:t>
      </w:r>
      <w:r>
        <w:rPr>
          <w:noProof/>
        </w:rPr>
        <w:t>, providing businesses with clearer paths to compliance and innovation.</w:t>
      </w:r>
    </w:p>
    <w:p w14:paraId="45A98FEE" w14:textId="77777777" w:rsidR="0050798F" w:rsidRPr="00550536" w:rsidRDefault="0050798F" w:rsidP="0050798F">
      <w:pPr>
        <w:pBdr>
          <w:top w:val="nil"/>
          <w:left w:val="nil"/>
          <w:bottom w:val="nil"/>
          <w:right w:val="nil"/>
          <w:between w:val="nil"/>
          <w:bar w:val="nil"/>
        </w:pBdr>
        <w:spacing w:before="0" w:after="240"/>
        <w:rPr>
          <w:rFonts w:eastAsia="Arial Unicode MS"/>
          <w:noProof/>
        </w:rPr>
      </w:pPr>
      <w:r>
        <w:rPr>
          <w:noProof/>
        </w:rPr>
        <w:t>The preferred options would also contribute to simplification through clear guidance and integrated systems, decreasing administrative burdens. The</w:t>
      </w:r>
      <w:r w:rsidR="00E95A7E">
        <w:rPr>
          <w:noProof/>
        </w:rPr>
        <w:t xml:space="preserve"> options comply with the</w:t>
      </w:r>
      <w:r>
        <w:rPr>
          <w:noProof/>
        </w:rPr>
        <w:t xml:space="preserve"> </w:t>
      </w:r>
      <w:r w:rsidR="001066B5">
        <w:rPr>
          <w:noProof/>
        </w:rPr>
        <w:t>’</w:t>
      </w:r>
      <w:r>
        <w:rPr>
          <w:noProof/>
        </w:rPr>
        <w:t>one-in, one-out</w:t>
      </w:r>
      <w:r w:rsidR="001066B5">
        <w:rPr>
          <w:noProof/>
        </w:rPr>
        <w:t>’</w:t>
      </w:r>
      <w:r>
        <w:rPr>
          <w:noProof/>
        </w:rPr>
        <w:t xml:space="preserve"> principle by ensuring that new obligations are counterbalanced by reductions elsewhere.</w:t>
      </w:r>
    </w:p>
    <w:p w14:paraId="15038697" w14:textId="77777777" w:rsidR="00A3053C" w:rsidRDefault="00A3053C" w:rsidP="003A2E97">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Regulatory fitness and simplification</w:t>
      </w:r>
    </w:p>
    <w:p w14:paraId="434EFC43" w14:textId="25F458D2" w:rsidR="00D56480" w:rsidRPr="00044058" w:rsidRDefault="00D56480" w:rsidP="00D56480">
      <w:pPr>
        <w:pBdr>
          <w:top w:val="nil"/>
          <w:left w:val="nil"/>
          <w:bottom w:val="nil"/>
          <w:right w:val="nil"/>
          <w:between w:val="nil"/>
          <w:bar w:val="nil"/>
        </w:pBdr>
        <w:spacing w:before="0" w:after="240"/>
        <w:rPr>
          <w:rFonts w:eastAsia="Arial Unicode MS"/>
          <w:noProof/>
        </w:rPr>
      </w:pPr>
      <w:r>
        <w:rPr>
          <w:noProof/>
        </w:rPr>
        <w:t xml:space="preserve">The </w:t>
      </w:r>
      <w:r w:rsidR="001066B5">
        <w:rPr>
          <w:noProof/>
        </w:rPr>
        <w:t>CSA</w:t>
      </w:r>
      <w:r>
        <w:rPr>
          <w:noProof/>
        </w:rPr>
        <w:t xml:space="preserve"> revision, through the selected policy options A.2, B.2</w:t>
      </w:r>
      <w:r w:rsidR="48888C0C">
        <w:rPr>
          <w:noProof/>
        </w:rPr>
        <w:t>,</w:t>
      </w:r>
      <w:r>
        <w:rPr>
          <w:noProof/>
        </w:rPr>
        <w:t xml:space="preserve"> C.2</w:t>
      </w:r>
      <w:r w:rsidR="3B6AB2FD">
        <w:rPr>
          <w:noProof/>
        </w:rPr>
        <w:t xml:space="preserve"> and </w:t>
      </w:r>
      <w:r w:rsidR="00CE11BB">
        <w:rPr>
          <w:noProof/>
        </w:rPr>
        <w:t>D.3</w:t>
      </w:r>
      <w:r w:rsidR="00EF1A9E">
        <w:rPr>
          <w:noProof/>
        </w:rPr>
        <w:t>,</w:t>
      </w:r>
      <w:r w:rsidR="000B07BA">
        <w:rPr>
          <w:noProof/>
        </w:rPr>
        <w:t xml:space="preserve"> </w:t>
      </w:r>
      <w:r>
        <w:rPr>
          <w:noProof/>
        </w:rPr>
        <w:t xml:space="preserve">strongly contributes to improving clarity, removing inefficiencies and aligning procedures across legal frameworks. More concretely, </w:t>
      </w:r>
      <w:r w:rsidR="00187C27">
        <w:rPr>
          <w:noProof/>
        </w:rPr>
        <w:t>o</w:t>
      </w:r>
      <w:r w:rsidR="00187C27" w:rsidRPr="005B66EE">
        <w:rPr>
          <w:noProof/>
        </w:rPr>
        <w:t>ption</w:t>
      </w:r>
      <w:r>
        <w:rPr>
          <w:noProof/>
        </w:rPr>
        <w:t xml:space="preserve"> A.2 proposes a full reform of ENISA’s mandate</w:t>
      </w:r>
      <w:r w:rsidR="00187C27">
        <w:rPr>
          <w:noProof/>
        </w:rPr>
        <w:t>,</w:t>
      </w:r>
      <w:r>
        <w:rPr>
          <w:noProof/>
        </w:rPr>
        <w:t xml:space="preserve"> </w:t>
      </w:r>
      <w:r w:rsidR="00187C27" w:rsidRPr="005B66EE">
        <w:rPr>
          <w:noProof/>
        </w:rPr>
        <w:t>effective</w:t>
      </w:r>
      <w:r w:rsidR="00187C27">
        <w:rPr>
          <w:noProof/>
        </w:rPr>
        <w:t>ly</w:t>
      </w:r>
      <w:r w:rsidR="00187C27" w:rsidRPr="005B66EE">
        <w:rPr>
          <w:noProof/>
        </w:rPr>
        <w:t xml:space="preserve"> support</w:t>
      </w:r>
      <w:r w:rsidR="00187C27">
        <w:rPr>
          <w:noProof/>
        </w:rPr>
        <w:t>ing</w:t>
      </w:r>
      <w:r>
        <w:rPr>
          <w:noProof/>
        </w:rPr>
        <w:t xml:space="preserve"> policy implementation and operational cooperation among Member States. This consolidation will also help eliminate fragmented practices, improving coordination while lowering compliance and operational costs in the long term. Option B.2, which involves repealing the current CSA and introducing a reformed ECCF, </w:t>
      </w:r>
      <w:r w:rsidR="00187C27">
        <w:rPr>
          <w:noProof/>
        </w:rPr>
        <w:t xml:space="preserve">increases </w:t>
      </w:r>
      <w:r>
        <w:rPr>
          <w:noProof/>
        </w:rPr>
        <w:t xml:space="preserve">efficiency by revising the governance model and supporting more predictable, coherent and agile certification procedures. This will </w:t>
      </w:r>
      <w:r w:rsidR="00187C27">
        <w:rPr>
          <w:noProof/>
        </w:rPr>
        <w:t xml:space="preserve">enable </w:t>
      </w:r>
      <w:r>
        <w:rPr>
          <w:noProof/>
        </w:rPr>
        <w:t xml:space="preserve">faster scheme adoption and better alignment with </w:t>
      </w:r>
      <w:r w:rsidR="00187C27">
        <w:rPr>
          <w:noProof/>
        </w:rPr>
        <w:t xml:space="preserve">cross-cutting </w:t>
      </w:r>
      <w:r>
        <w:rPr>
          <w:noProof/>
        </w:rPr>
        <w:t xml:space="preserve">legislation, reducing regulatory fragmentation and easing the burden on both public and private </w:t>
      </w:r>
      <w:r w:rsidRPr="00930D73">
        <w:rPr>
          <w:noProof/>
        </w:rPr>
        <w:t xml:space="preserve">stakeholders. Option C.2 reduces compliance costs for entities subject to relevant Union cybersecurity legislation through scope changes and by enabling organisational cybersecurity certification schemes for entities in scope of the NIS 2 Directive and other legal acts. This approach will significantly simplify regulatory obligations for entities subject to multiple requirements and ensure a more effective use of resources across national authorities. </w:t>
      </w:r>
      <w:r w:rsidR="009F7EA2" w:rsidRPr="009F7EA2">
        <w:rPr>
          <w:noProof/>
        </w:rPr>
        <w:t xml:space="preserve">Option D.3 creates a harmonised framework to tackle non-technical risks affecting ICT supply chains, reducing the current fragmentation of approaches across Member States.  </w:t>
      </w:r>
      <w:r>
        <w:rPr>
          <w:noProof/>
        </w:rPr>
        <w:t xml:space="preserve">Together, these options represent a substantial simplification and modernisation of the </w:t>
      </w:r>
      <w:r w:rsidR="00AE10AB" w:rsidRPr="005B66EE">
        <w:rPr>
          <w:noProof/>
        </w:rPr>
        <w:t>U</w:t>
      </w:r>
      <w:r w:rsidR="00AE10AB">
        <w:rPr>
          <w:noProof/>
        </w:rPr>
        <w:t>nion</w:t>
      </w:r>
      <w:r w:rsidR="00AE10AB" w:rsidRPr="005B66EE">
        <w:rPr>
          <w:noProof/>
        </w:rPr>
        <w:t>’s</w:t>
      </w:r>
      <w:r>
        <w:rPr>
          <w:noProof/>
        </w:rPr>
        <w:t xml:space="preserve"> cybersecurity legal framework, fully aligned with the REFIT principles of clarity, efficiency and digital readiness.</w:t>
      </w:r>
    </w:p>
    <w:p w14:paraId="48307307" w14:textId="13D7A29F" w:rsidR="00A3053C" w:rsidRPr="00550536" w:rsidRDefault="00D56480" w:rsidP="00D56480">
      <w:pPr>
        <w:pBdr>
          <w:top w:val="nil"/>
          <w:left w:val="nil"/>
          <w:bottom w:val="nil"/>
          <w:right w:val="nil"/>
          <w:between w:val="nil"/>
          <w:bar w:val="nil"/>
        </w:pBdr>
        <w:spacing w:before="0" w:after="240"/>
        <w:rPr>
          <w:rFonts w:eastAsia="Arial Unicode MS"/>
          <w:noProof/>
        </w:rPr>
      </w:pPr>
      <w:r>
        <w:rPr>
          <w:noProof/>
        </w:rPr>
        <w:t xml:space="preserve">The proposal is consistent with the </w:t>
      </w:r>
      <w:r w:rsidR="00D77CBC">
        <w:rPr>
          <w:noProof/>
        </w:rPr>
        <w:t>‘</w:t>
      </w:r>
      <w:r>
        <w:rPr>
          <w:noProof/>
        </w:rPr>
        <w:t>Digital Check</w:t>
      </w:r>
      <w:r w:rsidR="00D77CBC">
        <w:rPr>
          <w:noProof/>
        </w:rPr>
        <w:t>’</w:t>
      </w:r>
      <w:r w:rsidR="00D77CBC" w:rsidRPr="005B66EE">
        <w:rPr>
          <w:noProof/>
        </w:rPr>
        <w:t>,</w:t>
      </w:r>
      <w:r>
        <w:rPr>
          <w:noProof/>
        </w:rPr>
        <w:t xml:space="preserve"> as </w:t>
      </w:r>
      <w:r w:rsidR="00D77CBC">
        <w:rPr>
          <w:noProof/>
        </w:rPr>
        <w:t>its</w:t>
      </w:r>
      <w:r w:rsidR="00D77CBC" w:rsidRPr="005B66EE">
        <w:rPr>
          <w:noProof/>
        </w:rPr>
        <w:t xml:space="preserve"> </w:t>
      </w:r>
      <w:r>
        <w:rPr>
          <w:noProof/>
        </w:rPr>
        <w:t xml:space="preserve">emphasis on streamlined digital processes demonstrates the </w:t>
      </w:r>
      <w:r w:rsidR="00D77CBC" w:rsidRPr="005B66EE">
        <w:rPr>
          <w:noProof/>
        </w:rPr>
        <w:t>U</w:t>
      </w:r>
      <w:r w:rsidR="00D77CBC">
        <w:rPr>
          <w:noProof/>
        </w:rPr>
        <w:t>nion’</w:t>
      </w:r>
      <w:r w:rsidR="00D77CBC" w:rsidRPr="005B66EE">
        <w:rPr>
          <w:noProof/>
        </w:rPr>
        <w:t>s</w:t>
      </w:r>
      <w:r>
        <w:rPr>
          <w:noProof/>
        </w:rPr>
        <w:t xml:space="preserve"> commitment to a digital-first approach, ensuring faster, more reliable data exchange and decision-making.</w:t>
      </w:r>
      <w:r w:rsidR="00F748C0">
        <w:rPr>
          <w:noProof/>
        </w:rPr>
        <w:t xml:space="preserve"> </w:t>
      </w:r>
      <w:r w:rsidR="00CE11BB" w:rsidRPr="00F748C0">
        <w:rPr>
          <w:noProof/>
        </w:rPr>
        <w:t>Option D.3 could also have a high impact on digitalisation as it would entail the replacement of components from entities </w:t>
      </w:r>
      <w:r w:rsidR="00CE11BB">
        <w:rPr>
          <w:noProof/>
        </w:rPr>
        <w:t>established in</w:t>
      </w:r>
      <w:r w:rsidR="00CE11BB" w:rsidRPr="00F748C0">
        <w:rPr>
          <w:noProof/>
        </w:rPr>
        <w:t xml:space="preserve"> or controlled by </w:t>
      </w:r>
      <w:r w:rsidR="00CE11BB">
        <w:rPr>
          <w:noProof/>
        </w:rPr>
        <w:t xml:space="preserve">entities from third </w:t>
      </w:r>
      <w:r w:rsidR="00CE11BB" w:rsidRPr="00F748C0">
        <w:rPr>
          <w:noProof/>
        </w:rPr>
        <w:t>countries posing cybersecurity concerns</w:t>
      </w:r>
      <w:r w:rsidR="00CE11BB">
        <w:rPr>
          <w:noProof/>
        </w:rPr>
        <w:t xml:space="preserve"> (high-risk suppliers).</w:t>
      </w:r>
    </w:p>
    <w:p w14:paraId="05B9A179" w14:textId="77777777" w:rsidR="00A3053C" w:rsidRDefault="00A3053C" w:rsidP="003A2E97">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Fundamental rights</w:t>
      </w:r>
    </w:p>
    <w:p w14:paraId="3D744ED6" w14:textId="77777777" w:rsidR="00D56480" w:rsidRDefault="00D56480" w:rsidP="00D56480">
      <w:pPr>
        <w:rPr>
          <w:noProof/>
        </w:rPr>
      </w:pPr>
      <w:r w:rsidRPr="007E24AE">
        <w:rPr>
          <w:noProof/>
        </w:rPr>
        <w:t xml:space="preserve">The </w:t>
      </w:r>
      <w:r>
        <w:rPr>
          <w:noProof/>
        </w:rPr>
        <w:t>legislative proposal was</w:t>
      </w:r>
      <w:r w:rsidRPr="007E24AE">
        <w:rPr>
          <w:noProof/>
        </w:rPr>
        <w:t xml:space="preserve"> assessed </w:t>
      </w:r>
      <w:r>
        <w:rPr>
          <w:noProof/>
        </w:rPr>
        <w:t>b</w:t>
      </w:r>
      <w:r w:rsidRPr="007E24AE">
        <w:rPr>
          <w:noProof/>
        </w:rPr>
        <w:t xml:space="preserve">ased on </w:t>
      </w:r>
      <w:r>
        <w:rPr>
          <w:noProof/>
        </w:rPr>
        <w:t>its</w:t>
      </w:r>
      <w:r w:rsidRPr="007E24AE">
        <w:rPr>
          <w:noProof/>
        </w:rPr>
        <w:t xml:space="preserve"> potential to enhance or </w:t>
      </w:r>
      <w:r w:rsidR="00841A88">
        <w:rPr>
          <w:noProof/>
        </w:rPr>
        <w:t xml:space="preserve">put at </w:t>
      </w:r>
      <w:r w:rsidRPr="007E24AE">
        <w:rPr>
          <w:noProof/>
        </w:rPr>
        <w:t>risk fundamental rights and promote equality and trust, with a particular focus on societal impacts and rights, including privacy, data protection and the ability of individuals to understand, exercise and enforce their rights.</w:t>
      </w:r>
      <w:r>
        <w:rPr>
          <w:noProof/>
        </w:rPr>
        <w:t xml:space="preserve"> </w:t>
      </w:r>
    </w:p>
    <w:p w14:paraId="32014434" w14:textId="77777777" w:rsidR="00F81077" w:rsidRPr="005B66EE" w:rsidRDefault="00F81077" w:rsidP="00F81077">
      <w:pPr>
        <w:rPr>
          <w:noProof/>
        </w:rPr>
      </w:pPr>
      <w:r>
        <w:rPr>
          <w:noProof/>
        </w:rPr>
        <w:t>Extending</w:t>
      </w:r>
      <w:r w:rsidRPr="005B66EE">
        <w:rPr>
          <w:noProof/>
        </w:rPr>
        <w:t xml:space="preserve"> ENISA</w:t>
      </w:r>
      <w:r>
        <w:rPr>
          <w:noProof/>
        </w:rPr>
        <w:t>’s</w:t>
      </w:r>
      <w:r w:rsidRPr="005B66EE">
        <w:rPr>
          <w:noProof/>
        </w:rPr>
        <w:t xml:space="preserve"> mandate will contribute to more cyber resilience </w:t>
      </w:r>
      <w:r>
        <w:rPr>
          <w:noProof/>
        </w:rPr>
        <w:t xml:space="preserve">across </w:t>
      </w:r>
      <w:r w:rsidRPr="005B66EE">
        <w:rPr>
          <w:noProof/>
        </w:rPr>
        <w:t>the economy and society in general</w:t>
      </w:r>
      <w:r>
        <w:rPr>
          <w:noProof/>
        </w:rPr>
        <w:t xml:space="preserve">, leading to </w:t>
      </w:r>
      <w:r w:rsidRPr="005B66EE">
        <w:rPr>
          <w:noProof/>
        </w:rPr>
        <w:t xml:space="preserve">better protection of </w:t>
      </w:r>
      <w:r>
        <w:rPr>
          <w:noProof/>
        </w:rPr>
        <w:t>people</w:t>
      </w:r>
      <w:r w:rsidRPr="005B66EE">
        <w:rPr>
          <w:noProof/>
        </w:rPr>
        <w:t>’s privacy and personal data.</w:t>
      </w:r>
      <w:r>
        <w:rPr>
          <w:noProof/>
        </w:rPr>
        <w:t xml:space="preserve"> The proposal</w:t>
      </w:r>
      <w:r w:rsidRPr="005B66EE">
        <w:rPr>
          <w:noProof/>
        </w:rPr>
        <w:t xml:space="preserve"> </w:t>
      </w:r>
      <w:r w:rsidRPr="005B66EE">
        <w:rPr>
          <w:rFonts w:eastAsia="Times New Roman"/>
          <w:noProof/>
          <w:color w:val="000000" w:themeColor="text1"/>
        </w:rPr>
        <w:t xml:space="preserve">will also </w:t>
      </w:r>
      <w:r>
        <w:rPr>
          <w:rFonts w:eastAsia="Times New Roman"/>
          <w:noProof/>
          <w:color w:val="000000" w:themeColor="text1"/>
        </w:rPr>
        <w:t xml:space="preserve">support </w:t>
      </w:r>
      <w:r w:rsidRPr="005B66EE">
        <w:rPr>
          <w:rFonts w:eastAsia="Times New Roman"/>
          <w:noProof/>
          <w:color w:val="000000" w:themeColor="text1"/>
        </w:rPr>
        <w:t xml:space="preserve">education and training </w:t>
      </w:r>
      <w:r>
        <w:rPr>
          <w:rFonts w:eastAsia="Times New Roman"/>
          <w:noProof/>
          <w:color w:val="000000" w:themeColor="text1"/>
        </w:rPr>
        <w:t>o</w:t>
      </w:r>
      <w:r w:rsidRPr="005B66EE">
        <w:rPr>
          <w:rFonts w:eastAsia="Times New Roman"/>
          <w:noProof/>
          <w:color w:val="000000" w:themeColor="text1"/>
        </w:rPr>
        <w:t xml:space="preserve">n cybersecurity as </w:t>
      </w:r>
      <w:r>
        <w:rPr>
          <w:rFonts w:eastAsia="Times New Roman"/>
          <w:noProof/>
          <w:color w:val="000000" w:themeColor="text1"/>
        </w:rPr>
        <w:t xml:space="preserve">it </w:t>
      </w:r>
      <w:r w:rsidRPr="005B66EE">
        <w:rPr>
          <w:rFonts w:eastAsia="Times New Roman"/>
          <w:noProof/>
          <w:color w:val="000000" w:themeColor="text1"/>
        </w:rPr>
        <w:t xml:space="preserve">clarifies ENISA’s role in the development of skills for the cybersecurity workforce. </w:t>
      </w:r>
    </w:p>
    <w:p w14:paraId="75A25E45" w14:textId="77777777" w:rsidR="00F81077" w:rsidRPr="005B66EE" w:rsidRDefault="00F81077" w:rsidP="00F81077">
      <w:pPr>
        <w:rPr>
          <w:noProof/>
        </w:rPr>
      </w:pPr>
      <w:r w:rsidRPr="005B66EE">
        <w:rPr>
          <w:noProof/>
        </w:rPr>
        <w:t xml:space="preserve">Furthermore, the ECCF will improve trust </w:t>
      </w:r>
      <w:r>
        <w:rPr>
          <w:noProof/>
        </w:rPr>
        <w:t>among the general public</w:t>
      </w:r>
      <w:r w:rsidRPr="005B66EE" w:rsidDel="007566FE">
        <w:rPr>
          <w:noProof/>
        </w:rPr>
        <w:t xml:space="preserve"> </w:t>
      </w:r>
      <w:r w:rsidRPr="005B66EE">
        <w:rPr>
          <w:noProof/>
        </w:rPr>
        <w:t xml:space="preserve">and businesses </w:t>
      </w:r>
      <w:r>
        <w:rPr>
          <w:noProof/>
        </w:rPr>
        <w:t xml:space="preserve">in the Union </w:t>
      </w:r>
      <w:r w:rsidRPr="005B66EE">
        <w:rPr>
          <w:noProof/>
        </w:rPr>
        <w:t xml:space="preserve">in certified ICT solutions that support everyday life. </w:t>
      </w:r>
      <w:r>
        <w:rPr>
          <w:noProof/>
        </w:rPr>
        <w:t>Putting in place additional schemes would increase t</w:t>
      </w:r>
      <w:r w:rsidRPr="005B66EE">
        <w:rPr>
          <w:noProof/>
        </w:rPr>
        <w:t xml:space="preserve">his impact. </w:t>
      </w:r>
    </w:p>
    <w:p w14:paraId="71078608" w14:textId="77777777" w:rsidR="00A3053C" w:rsidRPr="00930D73" w:rsidRDefault="00D56480" w:rsidP="00D56480">
      <w:pPr>
        <w:pBdr>
          <w:top w:val="nil"/>
          <w:left w:val="nil"/>
          <w:bottom w:val="nil"/>
          <w:right w:val="nil"/>
          <w:between w:val="nil"/>
          <w:bar w:val="nil"/>
        </w:pBdr>
        <w:spacing w:before="0" w:after="240"/>
        <w:rPr>
          <w:noProof/>
        </w:rPr>
      </w:pPr>
      <w:r w:rsidRPr="00930D73">
        <w:rPr>
          <w:noProof/>
        </w:rPr>
        <w:t xml:space="preserve">The proposal contributes to </w:t>
      </w:r>
      <w:r w:rsidR="00F81077" w:rsidRPr="00930D73">
        <w:rPr>
          <w:noProof/>
        </w:rPr>
        <w:t xml:space="preserve">people’s </w:t>
      </w:r>
      <w:r w:rsidRPr="00930D73">
        <w:rPr>
          <w:noProof/>
        </w:rPr>
        <w:t xml:space="preserve">trust by incentivising entities in critical sectors to obtain cybersecurity certification, thereby publicly demonstrating their high level of cybersecurity. Moreover, by ensuring harmonised reporting </w:t>
      </w:r>
      <w:r w:rsidR="00F81077" w:rsidRPr="00930D73">
        <w:rPr>
          <w:noProof/>
        </w:rPr>
        <w:t xml:space="preserve">on </w:t>
      </w:r>
      <w:r w:rsidRPr="00930D73">
        <w:rPr>
          <w:noProof/>
        </w:rPr>
        <w:t xml:space="preserve">ransomware incidents and taking measures for transition to </w:t>
      </w:r>
      <w:r w:rsidR="00F81077" w:rsidRPr="00930D73">
        <w:rPr>
          <w:noProof/>
        </w:rPr>
        <w:t>post-quantum cryptography</w:t>
      </w:r>
      <w:r w:rsidRPr="00930D73">
        <w:rPr>
          <w:noProof/>
        </w:rPr>
        <w:t>, it would increase public trust in the protection of sensitive data in critical sectors.</w:t>
      </w:r>
    </w:p>
    <w:p w14:paraId="48ADE29B" w14:textId="11BEEC7F" w:rsidR="0E741116" w:rsidRPr="001A462E" w:rsidRDefault="00CE11BB" w:rsidP="0E741116">
      <w:pPr>
        <w:pBdr>
          <w:top w:val="nil"/>
          <w:left w:val="nil"/>
          <w:bottom w:val="nil"/>
          <w:right w:val="nil"/>
          <w:between w:val="nil"/>
          <w:bar w:val="nil"/>
        </w:pBdr>
        <w:spacing w:before="0" w:after="240"/>
        <w:rPr>
          <w:rFonts w:eastAsia="Arial Unicode MS"/>
          <w:noProof/>
        </w:rPr>
      </w:pPr>
      <w:r>
        <w:rPr>
          <w:noProof/>
        </w:rPr>
        <w:t>The provisions regarding supply chain security will have some impact on the protection of fundamental rights by limiting the foreign interference. Activities such as espionage and surveillance heavily undermine citizens’ fundamental rights. This horizontal framework would have the potential to improve the trust, security and privacy in various technologies and digital solutions.</w:t>
      </w:r>
    </w:p>
    <w:p w14:paraId="51DB3E55" w14:textId="77777777" w:rsidR="00A3053C" w:rsidRDefault="00A3053C" w:rsidP="003A2E97">
      <w:pPr>
        <w:pStyle w:val="ManualHeading1"/>
        <w:rPr>
          <w:noProof/>
        </w:rPr>
      </w:pPr>
      <w:r w:rsidRPr="00550536">
        <w:rPr>
          <w:noProof/>
        </w:rPr>
        <w:t>4.</w:t>
      </w:r>
      <w:r w:rsidRPr="00550536">
        <w:rPr>
          <w:noProof/>
        </w:rPr>
        <w:tab/>
        <w:t>BUDGETARY IMPLICATIONS</w:t>
      </w:r>
    </w:p>
    <w:p w14:paraId="412C46DB" w14:textId="15D47D95" w:rsidR="00F72208" w:rsidRDefault="00F72208" w:rsidP="7307BDF0">
      <w:pPr>
        <w:pBdr>
          <w:bar w:val="nil"/>
        </w:pBdr>
        <w:spacing w:before="0" w:after="0"/>
        <w:rPr>
          <w:rFonts w:ascii="Calibri" w:eastAsia="Calibri" w:hAnsi="Calibri" w:cs="Calibri"/>
          <w:noProof/>
          <w:sz w:val="22"/>
        </w:rPr>
      </w:pPr>
      <w:r w:rsidRPr="7307BDF0">
        <w:rPr>
          <w:rFonts w:eastAsia="Arial Unicode MS"/>
          <w:noProof/>
          <w:lang w:val="en-IE"/>
        </w:rPr>
        <w:t>The estimated budget of the EU Cybersecurity Agency (ENISA), which will contribute to a significant boost for the EU’s security, was estimated at EUR 34</w:t>
      </w:r>
      <w:r w:rsidR="0024423A" w:rsidRPr="7307BDF0">
        <w:rPr>
          <w:rFonts w:eastAsia="Arial Unicode MS"/>
          <w:noProof/>
          <w:lang w:val="en-IE"/>
        </w:rPr>
        <w:t>1</w:t>
      </w:r>
      <w:r w:rsidRPr="7307BDF0">
        <w:rPr>
          <w:rFonts w:eastAsia="Arial Unicode MS"/>
          <w:noProof/>
          <w:lang w:val="en-IE"/>
        </w:rPr>
        <w:t xml:space="preserve"> million for 7 years or yearly average budget of EUR 49 million (projection for 2028 to 2034). This represents 81.5% increase to the budget of the Agency in 2025. The generated benefits of the proposed initiative, as analysed in the Impact Assessment will be significant with up to EUR 14.</w:t>
      </w:r>
      <w:r w:rsidR="16F7FC76" w:rsidRPr="7C8BE394">
        <w:rPr>
          <w:rFonts w:eastAsia="Arial Unicode MS"/>
          <w:noProof/>
          <w:lang w:val="en-IE"/>
        </w:rPr>
        <w:t>6</w:t>
      </w:r>
      <w:r w:rsidRPr="7307BDF0">
        <w:rPr>
          <w:rFonts w:eastAsia="Arial Unicode MS"/>
          <w:noProof/>
          <w:lang w:val="en-IE"/>
        </w:rPr>
        <w:t xml:space="preserve"> billion of cost savings for businesses. Furthermore, while the magnitude of the potential cost savings linked to the overall improvement of the preparedness of the Union against cybersecurity incidents is by nature difficult to quantify, it is estimated that costs savings linked to </w:t>
      </w:r>
      <w:r w:rsidRPr="7307BDF0">
        <w:rPr>
          <w:noProof/>
          <w:lang w:val="en-IE"/>
        </w:rPr>
        <w:t>faster response and slowing down proliferation of cybersecurity incidents could range from ranging from EUR 3.7 to 4.4 bn over five years.</w:t>
      </w:r>
      <w:r w:rsidRPr="7307BDF0">
        <w:rPr>
          <w:rFonts w:eastAsia="Arial Unicode MS"/>
          <w:noProof/>
          <w:lang w:val="en-IE"/>
        </w:rPr>
        <w:t xml:space="preserve"> </w:t>
      </w:r>
      <w:r w:rsidR="00C337B9">
        <w:rPr>
          <w:noProof/>
        </w:rPr>
        <w:t>I</w:t>
      </w:r>
      <w:r w:rsidR="00A9113A">
        <w:rPr>
          <w:noProof/>
        </w:rPr>
        <w:t xml:space="preserve">n the context of upcoming policy initiatives, the Commission will look at the overall distributions of resources for </w:t>
      </w:r>
      <w:r w:rsidR="4A709045">
        <w:rPr>
          <w:noProof/>
        </w:rPr>
        <w:t xml:space="preserve">and within </w:t>
      </w:r>
      <w:r w:rsidR="00A9113A">
        <w:rPr>
          <w:noProof/>
        </w:rPr>
        <w:t xml:space="preserve">European institutions, bodies, agencies and offices in the area of cybersecurity to </w:t>
      </w:r>
      <w:r w:rsidR="0EC67918">
        <w:rPr>
          <w:noProof/>
        </w:rPr>
        <w:t>leverage knowledge and expertise</w:t>
      </w:r>
      <w:r w:rsidR="00FC3850">
        <w:rPr>
          <w:noProof/>
        </w:rPr>
        <w:t>,</w:t>
      </w:r>
      <w:r w:rsidR="0EC67918">
        <w:rPr>
          <w:noProof/>
        </w:rPr>
        <w:t xml:space="preserve"> and</w:t>
      </w:r>
      <w:r w:rsidR="00FC3850">
        <w:rPr>
          <w:noProof/>
        </w:rPr>
        <w:t xml:space="preserve"> to</w:t>
      </w:r>
      <w:r w:rsidR="0EC67918">
        <w:rPr>
          <w:noProof/>
        </w:rPr>
        <w:t xml:space="preserve"> </w:t>
      </w:r>
      <w:r w:rsidR="00A9113A">
        <w:rPr>
          <w:noProof/>
        </w:rPr>
        <w:t>identify and develop synergies.</w:t>
      </w:r>
    </w:p>
    <w:p w14:paraId="23C12F18" w14:textId="77777777" w:rsidR="00F72208" w:rsidRPr="00C025DB" w:rsidRDefault="00F72208" w:rsidP="00F72208">
      <w:pPr>
        <w:pBdr>
          <w:top w:val="nil"/>
          <w:left w:val="nil"/>
          <w:bottom w:val="nil"/>
          <w:right w:val="nil"/>
          <w:between w:val="nil"/>
          <w:bar w:val="nil"/>
        </w:pBdr>
        <w:spacing w:before="0" w:after="240"/>
        <w:rPr>
          <w:rFonts w:eastAsia="Arial Unicode MS"/>
          <w:noProof/>
          <w:lang w:val="en-IE"/>
        </w:rPr>
      </w:pPr>
      <w:r w:rsidRPr="00C025DB">
        <w:rPr>
          <w:rFonts w:eastAsia="Arial Unicode MS"/>
          <w:noProof/>
          <w:lang w:val="en-IE"/>
        </w:rPr>
        <w:t>The additional resources proposed to reinforce the Agency are translated into 118 FTEs and additional operational costs that will cover for current contribution agreements between the ENISA and the Commission such as the maintenance of the Single Reporting Platform; for the FTEs working on the operation and administration of the EU Cybersecurity Reserve, as well as for important Commission initiatives like the development of the Single Entry Point under the Digital Omnibus Proposal. Other operational costs are related to the coordinated vulnerability disclosure programme, gathering and analysis of cybersecurity threat intelligence, secure communications and building cybersecurity maturity for ENISA. The operational costs for the maintenance of the European Cybersecurity Certification schemes, the cybersecurity skills authorisations and the testing tools service are also added in this budged, however these costs also include self-funding mechanisms through fees.</w:t>
      </w:r>
    </w:p>
    <w:p w14:paraId="45387E24" w14:textId="77777777" w:rsidR="00F72208" w:rsidRDefault="00F72208" w:rsidP="00F72208">
      <w:pPr>
        <w:pBdr>
          <w:top w:val="nil"/>
          <w:left w:val="nil"/>
          <w:bottom w:val="nil"/>
          <w:right w:val="nil"/>
          <w:between w:val="nil"/>
          <w:bar w:val="nil"/>
        </w:pBdr>
        <w:spacing w:before="0" w:after="240"/>
        <w:rPr>
          <w:rFonts w:eastAsia="Arial Unicode MS"/>
          <w:noProof/>
          <w:lang w:val="en-IE"/>
        </w:rPr>
      </w:pPr>
      <w:r w:rsidRPr="00C025DB">
        <w:rPr>
          <w:rFonts w:eastAsia="Arial Unicode MS"/>
          <w:noProof/>
          <w:lang w:val="en-IE"/>
        </w:rPr>
        <w:t xml:space="preserve">Important aspect of the proposal is the introduction of fee mechanisms that among other policy objectives will also contribute to a sustainable financial circuit within the Agency. The revised CSA presents three types of fees that will contribute to the ENISA’s budget, namely, fees from issuing authorisations for skills attestations, fees from testing tools service and fees from supporting the maintenance of the European Cybersecurity Certification schemes. The expected generated benefit for the EU budget is estimated at approximately, EUR 18.5 million over </w:t>
      </w:r>
      <w:r w:rsidRPr="00C025DB">
        <w:rPr>
          <w:rFonts w:eastAsia="Arial Unicode MS"/>
          <w:noProof/>
        </w:rPr>
        <w:t>7-year</w:t>
      </w:r>
      <w:r w:rsidRPr="00C025DB">
        <w:rPr>
          <w:rFonts w:eastAsia="Arial Unicode MS"/>
          <w:noProof/>
          <w:lang w:val="en-IE"/>
        </w:rPr>
        <w:t xml:space="preserve"> period from 2028 to 2034. </w:t>
      </w:r>
    </w:p>
    <w:p w14:paraId="5C15922C" w14:textId="13E2812B" w:rsidR="000054F4" w:rsidRPr="00C025DB" w:rsidRDefault="00CE11BB" w:rsidP="00F72208">
      <w:pPr>
        <w:pBdr>
          <w:top w:val="nil"/>
          <w:left w:val="nil"/>
          <w:bottom w:val="nil"/>
          <w:right w:val="nil"/>
          <w:between w:val="nil"/>
          <w:bar w:val="nil"/>
        </w:pBdr>
        <w:spacing w:before="0" w:after="240"/>
        <w:rPr>
          <w:rFonts w:eastAsia="Arial Unicode MS"/>
          <w:noProof/>
          <w:lang w:val="en-IE"/>
        </w:rPr>
      </w:pPr>
      <w:r w:rsidRPr="00CA0E3F">
        <w:rPr>
          <w:noProof/>
        </w:rPr>
        <w:t>The budgetary request of the Commission translates into 50 additional FTE posts, which will be implementing the supply</w:t>
      </w:r>
      <w:r w:rsidR="001A5712">
        <w:rPr>
          <w:noProof/>
        </w:rPr>
        <w:t xml:space="preserve"> </w:t>
      </w:r>
      <w:r w:rsidRPr="00CA0E3F">
        <w:rPr>
          <w:noProof/>
        </w:rPr>
        <w:t>chain fram</w:t>
      </w:r>
      <w:r>
        <w:rPr>
          <w:noProof/>
        </w:rPr>
        <w:t>e</w:t>
      </w:r>
      <w:r w:rsidRPr="00CA0E3F">
        <w:rPr>
          <w:noProof/>
        </w:rPr>
        <w:t>work, as well as tasks related to drafting implementing acts for the fee mechanisms, maintenance of certification schemes, standardisation and support to operational cooperation among others. The cost for the Commission of implementing the supply chain framework is expected to be specifically impacted by the number of ownership and control assessments (OCA) the Commission will be performing. The results of this task, however, will contribute greatly to savings for the Member States when supervising the implementation of mitigating measures and obligations imposed on the NIS2 entities by the framework. Member States will be able to leverage the results of the OCA assessments directly, rather each one individually to spend resources on the same assessments needs</w:t>
      </w:r>
      <w:r>
        <w:rPr>
          <w:noProof/>
        </w:rPr>
        <w:t>.</w:t>
      </w:r>
    </w:p>
    <w:p w14:paraId="354609FA" w14:textId="08CF185F" w:rsidR="00D56480" w:rsidRPr="00044058" w:rsidRDefault="00D56480" w:rsidP="00D56480">
      <w:pPr>
        <w:pBdr>
          <w:top w:val="nil"/>
          <w:left w:val="nil"/>
          <w:bottom w:val="nil"/>
          <w:right w:val="nil"/>
          <w:between w:val="nil"/>
          <w:bar w:val="nil"/>
        </w:pBdr>
        <w:spacing w:before="0" w:after="240"/>
        <w:rPr>
          <w:rFonts w:eastAsia="Arial Unicode MS"/>
          <w:noProof/>
        </w:rPr>
      </w:pPr>
      <w:r w:rsidRPr="00EB2615">
        <w:rPr>
          <w:rFonts w:eastAsia="Arial Unicode MS"/>
          <w:noProof/>
        </w:rPr>
        <w:t xml:space="preserve">See </w:t>
      </w:r>
      <w:r w:rsidR="00287E0B">
        <w:rPr>
          <w:rFonts w:eastAsia="Arial Unicode MS"/>
          <w:noProof/>
        </w:rPr>
        <w:t>the</w:t>
      </w:r>
      <w:r w:rsidRPr="00EB2615">
        <w:rPr>
          <w:rFonts w:eastAsia="Arial Unicode MS"/>
          <w:noProof/>
        </w:rPr>
        <w:t xml:space="preserve"> financial fiche</w:t>
      </w:r>
      <w:r w:rsidR="00A33596">
        <w:rPr>
          <w:rFonts w:eastAsia="Arial Unicode MS"/>
          <w:noProof/>
        </w:rPr>
        <w:t xml:space="preserve"> accompanying the cyber package for more detailed information</w:t>
      </w:r>
      <w:r>
        <w:rPr>
          <w:rFonts w:eastAsia="Arial Unicode MS"/>
          <w:noProof/>
        </w:rPr>
        <w:t>.</w:t>
      </w:r>
    </w:p>
    <w:p w14:paraId="5AF98B51" w14:textId="77777777" w:rsidR="00A3053C" w:rsidRPr="00550536" w:rsidRDefault="00A3053C" w:rsidP="003A2E97">
      <w:pPr>
        <w:pStyle w:val="ManualHeading1"/>
        <w:rPr>
          <w:noProof/>
        </w:rPr>
      </w:pPr>
      <w:r w:rsidRPr="00550536">
        <w:rPr>
          <w:noProof/>
        </w:rPr>
        <w:t>5.</w:t>
      </w:r>
      <w:r w:rsidRPr="00550536">
        <w:rPr>
          <w:noProof/>
        </w:rPr>
        <w:tab/>
        <w:t>OTHER ELEMENTS</w:t>
      </w:r>
    </w:p>
    <w:p w14:paraId="326297EA" w14:textId="77777777" w:rsidR="00A3053C" w:rsidRDefault="00A3053C" w:rsidP="003A2E97">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 xml:space="preserve">Implementation plans and </w:t>
      </w:r>
      <w:r w:rsidRPr="007718A8">
        <w:rPr>
          <w:rFonts w:eastAsia="Arial Unicode MS"/>
          <w:noProof/>
          <w:u w:color="000000"/>
          <w:bdr w:val="nil"/>
          <w:lang w:val="en-US" w:eastAsia="en-GB"/>
        </w:rPr>
        <w:t>monitoring, evaluation and reporting arrangements</w:t>
      </w:r>
    </w:p>
    <w:p w14:paraId="0B6ABEA8" w14:textId="77777777" w:rsidR="00D56480" w:rsidRPr="00044058" w:rsidRDefault="00D56480" w:rsidP="00D56480">
      <w:pPr>
        <w:pBdr>
          <w:top w:val="nil"/>
          <w:left w:val="nil"/>
          <w:bottom w:val="nil"/>
          <w:right w:val="nil"/>
          <w:between w:val="nil"/>
          <w:bar w:val="nil"/>
        </w:pBdr>
        <w:spacing w:before="0" w:after="240"/>
        <w:rPr>
          <w:rFonts w:eastAsia="Arial Unicode MS"/>
          <w:noProof/>
        </w:rPr>
      </w:pPr>
      <w:r w:rsidRPr="003800D8">
        <w:rPr>
          <w:rFonts w:eastAsia="Arial Unicode MS"/>
          <w:noProof/>
        </w:rPr>
        <w:t xml:space="preserve">The Commission will monitor the application of the </w:t>
      </w:r>
      <w:r w:rsidR="00D22BE9">
        <w:rPr>
          <w:rFonts w:eastAsia="Arial Unicode MS"/>
          <w:noProof/>
        </w:rPr>
        <w:t>proposed r</w:t>
      </w:r>
      <w:r w:rsidRPr="003800D8">
        <w:rPr>
          <w:rFonts w:eastAsia="Arial Unicode MS"/>
          <w:noProof/>
        </w:rPr>
        <w:t>egulation and submit a report on its evaluation to the European Parliament and to the Council every five years. These reports will be public and detail the effective application and enforcement of th</w:t>
      </w:r>
      <w:r w:rsidR="00F02592">
        <w:rPr>
          <w:rFonts w:eastAsia="Arial Unicode MS"/>
          <w:noProof/>
        </w:rPr>
        <w:t>e proposed</w:t>
      </w:r>
      <w:r w:rsidRPr="003800D8">
        <w:rPr>
          <w:rFonts w:eastAsia="Arial Unicode MS"/>
          <w:noProof/>
        </w:rPr>
        <w:t xml:space="preserve"> </w:t>
      </w:r>
      <w:r w:rsidR="00F02592">
        <w:rPr>
          <w:rFonts w:eastAsia="Arial Unicode MS"/>
          <w:noProof/>
        </w:rPr>
        <w:t>r</w:t>
      </w:r>
      <w:r w:rsidRPr="003800D8">
        <w:rPr>
          <w:rFonts w:eastAsia="Arial Unicode MS"/>
          <w:noProof/>
        </w:rPr>
        <w:t>egulation.</w:t>
      </w:r>
    </w:p>
    <w:p w14:paraId="1920F3EC" w14:textId="77777777" w:rsidR="00A3053C" w:rsidRDefault="00A3053C" w:rsidP="003A2E97">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Explanatory documents (for directives)</w:t>
      </w:r>
    </w:p>
    <w:p w14:paraId="203A63C0" w14:textId="77777777" w:rsidR="00D56480" w:rsidRPr="005F00EB" w:rsidRDefault="00D56480" w:rsidP="00D56480">
      <w:pPr>
        <w:pBdr>
          <w:top w:val="nil"/>
          <w:left w:val="nil"/>
          <w:bottom w:val="nil"/>
          <w:right w:val="nil"/>
          <w:between w:val="nil"/>
          <w:bar w:val="nil"/>
        </w:pBdr>
        <w:spacing w:before="0" w:after="240"/>
        <w:rPr>
          <w:rFonts w:eastAsia="Arial Unicode MS"/>
          <w:noProof/>
        </w:rPr>
      </w:pPr>
      <w:r w:rsidRPr="00D56480">
        <w:rPr>
          <w:noProof/>
        </w:rPr>
        <w:t xml:space="preserve">Not applicable as the proposal is a regulation. </w:t>
      </w:r>
    </w:p>
    <w:p w14:paraId="7B118D5F" w14:textId="77777777" w:rsidR="00A3053C" w:rsidRDefault="00A3053C" w:rsidP="003A2E97">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 xml:space="preserve">Detailed explanation of </w:t>
      </w:r>
      <w:r>
        <w:rPr>
          <w:rFonts w:eastAsia="Arial Unicode MS"/>
          <w:noProof/>
          <w:u w:color="000000"/>
          <w:bdr w:val="nil"/>
          <w:lang w:val="en-US" w:eastAsia="en-GB"/>
        </w:rPr>
        <w:t xml:space="preserve">the </w:t>
      </w:r>
      <w:r w:rsidRPr="007718A8">
        <w:rPr>
          <w:rFonts w:eastAsia="Arial Unicode MS"/>
          <w:noProof/>
          <w:u w:color="000000"/>
          <w:bdr w:val="nil"/>
          <w:lang w:val="en-US" w:eastAsia="en-GB"/>
        </w:rPr>
        <w:t>specific provisions of the proposal</w:t>
      </w:r>
    </w:p>
    <w:p w14:paraId="6B69606F" w14:textId="77777777" w:rsidR="00CE3221" w:rsidRPr="001A462E" w:rsidRDefault="00746F02" w:rsidP="001A462E">
      <w:pPr>
        <w:pBdr>
          <w:top w:val="nil"/>
          <w:left w:val="nil"/>
          <w:bottom w:val="nil"/>
          <w:right w:val="nil"/>
          <w:between w:val="nil"/>
          <w:bar w:val="nil"/>
        </w:pBdr>
        <w:spacing w:before="0" w:after="240"/>
        <w:rPr>
          <w:noProof/>
          <w:lang w:val="en-US" w:eastAsia="en-GB"/>
        </w:rPr>
      </w:pPr>
      <w:r>
        <w:rPr>
          <w:noProof/>
          <w:lang w:val="en-US" w:eastAsia="en-GB"/>
        </w:rPr>
        <w:t>T</w:t>
      </w:r>
      <w:r w:rsidR="00CE3221">
        <w:rPr>
          <w:noProof/>
        </w:rPr>
        <w:t xml:space="preserve">he proposal clarifies the role of ENISA and entrusts it with concrete tasks to support its stakeholders, at the forefront of which are the Member States, in particular as regards support in implementing Union policy and legislation, operational cooperation, capacity-building, cybersecurity certification and standardisation and the improvement of the cybersecurity workforce and its mobility across the Union. </w:t>
      </w:r>
      <w:r w:rsidR="00821A77">
        <w:rPr>
          <w:noProof/>
        </w:rPr>
        <w:t>The proposal</w:t>
      </w:r>
      <w:r w:rsidR="00CE3221">
        <w:rPr>
          <w:noProof/>
        </w:rPr>
        <w:t xml:space="preserve"> further aims at making the European Cybersecurity Certification Framework</w:t>
      </w:r>
      <w:r w:rsidR="00EC37C5">
        <w:rPr>
          <w:noProof/>
        </w:rPr>
        <w:t xml:space="preserve"> </w:t>
      </w:r>
      <w:r w:rsidR="00CE3221">
        <w:rPr>
          <w:noProof/>
        </w:rPr>
        <w:t xml:space="preserve">(ECCF) more effective and efficient to improve the level of cybersecurity within the Union and empower customers to make informed choices when procuring ICT products, services, processes and managed security services across the internal market. </w:t>
      </w:r>
      <w:r w:rsidR="00CE3221" w:rsidRPr="00E015D2">
        <w:rPr>
          <w:noProof/>
        </w:rPr>
        <w:t>Moreover,</w:t>
      </w:r>
      <w:r w:rsidR="00F9367F" w:rsidRPr="00E015D2">
        <w:rPr>
          <w:noProof/>
        </w:rPr>
        <w:t xml:space="preserve"> </w:t>
      </w:r>
      <w:r w:rsidR="001C58AC" w:rsidRPr="00E015D2">
        <w:rPr>
          <w:noProof/>
        </w:rPr>
        <w:t xml:space="preserve">in combination with </w:t>
      </w:r>
      <w:r w:rsidR="00F9367F" w:rsidRPr="00E015D2">
        <w:rPr>
          <w:noProof/>
        </w:rPr>
        <w:t xml:space="preserve">the proposal </w:t>
      </w:r>
      <w:r w:rsidR="005C3F52" w:rsidRPr="00E015D2">
        <w:rPr>
          <w:noProof/>
        </w:rPr>
        <w:t xml:space="preserve">for a Directive </w:t>
      </w:r>
      <w:r w:rsidR="003D71A6" w:rsidRPr="00E015D2">
        <w:rPr>
          <w:noProof/>
        </w:rPr>
        <w:t>introducing targeted amendments to the NIS 2 Direc</w:t>
      </w:r>
      <w:r w:rsidR="00874FAF" w:rsidRPr="00E015D2">
        <w:rPr>
          <w:noProof/>
        </w:rPr>
        <w:t xml:space="preserve">tive, </w:t>
      </w:r>
      <w:r w:rsidR="004A4BBA" w:rsidRPr="00E015D2">
        <w:rPr>
          <w:noProof/>
        </w:rPr>
        <w:t>th</w:t>
      </w:r>
      <w:r w:rsidR="00874FAF" w:rsidRPr="00E015D2">
        <w:rPr>
          <w:noProof/>
        </w:rPr>
        <w:t>is</w:t>
      </w:r>
      <w:r w:rsidR="004A4BBA" w:rsidRPr="00E015D2">
        <w:rPr>
          <w:noProof/>
        </w:rPr>
        <w:t xml:space="preserve"> proposal</w:t>
      </w:r>
      <w:r w:rsidR="00CE3221" w:rsidRPr="00E015D2">
        <w:rPr>
          <w:noProof/>
        </w:rPr>
        <w:t xml:space="preserve"> aims to facilitate compliance with cybersecurity obligations and unlock resources to strengthen the operational cybersecurity preparedness of entities in the Union’s critical sectors.</w:t>
      </w:r>
      <w:r w:rsidR="00CE3221">
        <w:rPr>
          <w:noProof/>
        </w:rPr>
        <w:t xml:space="preserve"> Last, </w:t>
      </w:r>
      <w:r w:rsidR="00821A77">
        <w:rPr>
          <w:noProof/>
        </w:rPr>
        <w:t>the proposal</w:t>
      </w:r>
      <w:r w:rsidR="00CE3221">
        <w:rPr>
          <w:noProof/>
        </w:rPr>
        <w:t xml:space="preserve"> addresses the need to make the Union’s economy and ICT supply chain more resilient to promote its own security and competitiveness.</w:t>
      </w:r>
      <w:r w:rsidR="00B83D75">
        <w:rPr>
          <w:noProof/>
        </w:rPr>
        <w:t xml:space="preserve"> The details are provided below.</w:t>
      </w:r>
    </w:p>
    <w:p w14:paraId="44A563F5" w14:textId="77777777" w:rsidR="00D56480" w:rsidRDefault="00D56480" w:rsidP="00D56480">
      <w:pPr>
        <w:pBdr>
          <w:top w:val="nil"/>
          <w:left w:val="nil"/>
          <w:bottom w:val="nil"/>
          <w:right w:val="nil"/>
          <w:between w:val="nil"/>
          <w:bar w:val="nil"/>
        </w:pBdr>
        <w:spacing w:before="0" w:after="240"/>
        <w:rPr>
          <w:rFonts w:eastAsiaTheme="majorEastAsia"/>
          <w:b/>
          <w:smallCaps/>
          <w:noProof/>
        </w:rPr>
      </w:pPr>
      <w:r w:rsidRPr="4CEA747B">
        <w:rPr>
          <w:rFonts w:eastAsiaTheme="majorEastAsia"/>
          <w:b/>
          <w:smallCaps/>
          <w:noProof/>
        </w:rPr>
        <w:t>Title I: General Provisions</w:t>
      </w:r>
    </w:p>
    <w:p w14:paraId="17F87B8F" w14:textId="77777777" w:rsidR="00D56480" w:rsidRPr="00997287" w:rsidRDefault="00D56480" w:rsidP="00D56480">
      <w:pPr>
        <w:pBdr>
          <w:top w:val="nil"/>
          <w:left w:val="nil"/>
          <w:bottom w:val="nil"/>
          <w:right w:val="nil"/>
          <w:between w:val="nil"/>
          <w:bar w:val="nil"/>
        </w:pBdr>
        <w:spacing w:before="0" w:after="240"/>
        <w:rPr>
          <w:rFonts w:eastAsiaTheme="majorEastAsia"/>
          <w:noProof/>
        </w:rPr>
      </w:pPr>
      <w:r w:rsidRPr="344FA351">
        <w:rPr>
          <w:rFonts w:eastAsiaTheme="majorEastAsia"/>
          <w:noProof/>
        </w:rPr>
        <w:t xml:space="preserve">Title I of the </w:t>
      </w:r>
      <w:r w:rsidR="008E7309">
        <w:rPr>
          <w:rFonts w:eastAsiaTheme="majorEastAsia"/>
          <w:noProof/>
        </w:rPr>
        <w:t>proposed</w:t>
      </w:r>
      <w:r w:rsidRPr="344FA351">
        <w:rPr>
          <w:rFonts w:eastAsiaTheme="majorEastAsia"/>
          <w:noProof/>
        </w:rPr>
        <w:t xml:space="preserve"> </w:t>
      </w:r>
      <w:r w:rsidR="00EE04E5">
        <w:rPr>
          <w:rFonts w:eastAsiaTheme="majorEastAsia"/>
          <w:noProof/>
        </w:rPr>
        <w:t>r</w:t>
      </w:r>
      <w:r w:rsidRPr="344FA351">
        <w:rPr>
          <w:rFonts w:eastAsiaTheme="majorEastAsia"/>
          <w:noProof/>
        </w:rPr>
        <w:t>egulation contains the general provisions: the subject matter (Article</w:t>
      </w:r>
      <w:r w:rsidR="00287F05">
        <w:rPr>
          <w:rFonts w:eastAsiaTheme="majorEastAsia"/>
          <w:noProof/>
        </w:rPr>
        <w:t> </w:t>
      </w:r>
      <w:r w:rsidRPr="344FA351">
        <w:rPr>
          <w:rFonts w:eastAsiaTheme="majorEastAsia"/>
          <w:noProof/>
        </w:rPr>
        <w:t>1)</w:t>
      </w:r>
      <w:r w:rsidR="00BF3F2D">
        <w:rPr>
          <w:rFonts w:eastAsiaTheme="majorEastAsia"/>
          <w:noProof/>
        </w:rPr>
        <w:t xml:space="preserve"> and</w:t>
      </w:r>
      <w:r w:rsidRPr="344FA351">
        <w:rPr>
          <w:rFonts w:eastAsiaTheme="majorEastAsia"/>
          <w:noProof/>
        </w:rPr>
        <w:t xml:space="preserve"> the definitions (Article 2), including references to relevant definitions from other U</w:t>
      </w:r>
      <w:r w:rsidR="003E682E">
        <w:rPr>
          <w:rFonts w:eastAsiaTheme="majorEastAsia"/>
          <w:noProof/>
        </w:rPr>
        <w:t>nion</w:t>
      </w:r>
      <w:r w:rsidRPr="344FA351">
        <w:rPr>
          <w:rFonts w:eastAsiaTheme="majorEastAsia"/>
          <w:noProof/>
        </w:rPr>
        <w:t xml:space="preserve"> instruments, such as </w:t>
      </w:r>
      <w:r w:rsidRPr="780270DC">
        <w:rPr>
          <w:noProof/>
          <w:color w:val="000000" w:themeColor="text1"/>
        </w:rPr>
        <w:t>Directive (EU) 2022/</w:t>
      </w:r>
      <w:r w:rsidRPr="344FA351">
        <w:rPr>
          <w:rFonts w:eastAsiaTheme="majorEastAsia"/>
          <w:noProof/>
        </w:rPr>
        <w:t>2555</w:t>
      </w:r>
      <w:r w:rsidRPr="32B9F124">
        <w:rPr>
          <w:rStyle w:val="FootnoteReference"/>
          <w:rFonts w:eastAsiaTheme="majorEastAsia"/>
          <w:noProof/>
        </w:rPr>
        <w:footnoteReference w:id="22"/>
      </w:r>
      <w:r w:rsidRPr="344FA351">
        <w:rPr>
          <w:rFonts w:eastAsiaTheme="majorEastAsia"/>
          <w:noProof/>
        </w:rPr>
        <w:t xml:space="preserve"> (NIS 2 Directive),</w:t>
      </w:r>
      <w:r w:rsidRPr="780270DC">
        <w:rPr>
          <w:noProof/>
          <w:color w:val="000000" w:themeColor="text1"/>
        </w:rPr>
        <w:t xml:space="preserve"> Regulation (EC) No 765/2008</w:t>
      </w:r>
      <w:r>
        <w:rPr>
          <w:rStyle w:val="FootnoteReference"/>
          <w:noProof/>
          <w:color w:val="000000"/>
        </w:rPr>
        <w:footnoteReference w:id="23"/>
      </w:r>
      <w:r w:rsidRPr="780270DC">
        <w:rPr>
          <w:noProof/>
          <w:color w:val="000000" w:themeColor="text1"/>
        </w:rPr>
        <w:t xml:space="preserve"> and Regulation (EU) No 1025/2012</w:t>
      </w:r>
      <w:r>
        <w:rPr>
          <w:rStyle w:val="FootnoteReference"/>
          <w:noProof/>
          <w:color w:val="000000"/>
        </w:rPr>
        <w:footnoteReference w:id="24"/>
      </w:r>
      <w:r w:rsidRPr="344FA351">
        <w:rPr>
          <w:rFonts w:eastAsiaTheme="majorEastAsia"/>
          <w:noProof/>
        </w:rPr>
        <w:t>.</w:t>
      </w:r>
    </w:p>
    <w:p w14:paraId="32A8D05A" w14:textId="77777777" w:rsidR="00D56480" w:rsidRPr="009F4E27" w:rsidRDefault="00D56480" w:rsidP="00D56480">
      <w:pPr>
        <w:rPr>
          <w:rFonts w:eastAsiaTheme="majorEastAsia"/>
          <w:b/>
          <w:smallCaps/>
          <w:noProof/>
        </w:rPr>
      </w:pPr>
      <w:r w:rsidRPr="780270DC">
        <w:rPr>
          <w:rFonts w:eastAsiaTheme="majorEastAsia"/>
          <w:b/>
          <w:smallCaps/>
          <w:noProof/>
        </w:rPr>
        <w:t>Title II: ENISA (THE EUROPEAN UNION AGENCY FOR CYBERSECURITY)</w:t>
      </w:r>
    </w:p>
    <w:p w14:paraId="114DD767" w14:textId="77777777" w:rsidR="00D56480" w:rsidRPr="00B61111" w:rsidRDefault="00D56480" w:rsidP="00D56480">
      <w:pPr>
        <w:pBdr>
          <w:top w:val="nil"/>
          <w:left w:val="nil"/>
          <w:bottom w:val="nil"/>
          <w:right w:val="nil"/>
          <w:between w:val="nil"/>
          <w:bar w:val="nil"/>
        </w:pBdr>
        <w:spacing w:before="0" w:after="240"/>
        <w:rPr>
          <w:noProof/>
        </w:rPr>
      </w:pPr>
      <w:r w:rsidRPr="00B61111">
        <w:rPr>
          <w:noProof/>
        </w:rPr>
        <w:t xml:space="preserve">Title II of the </w:t>
      </w:r>
      <w:r w:rsidR="00153269">
        <w:rPr>
          <w:noProof/>
        </w:rPr>
        <w:t>proposed r</w:t>
      </w:r>
      <w:r w:rsidRPr="00B61111">
        <w:rPr>
          <w:noProof/>
        </w:rPr>
        <w:t>egulation contains the key provisions related to ENISA.</w:t>
      </w:r>
    </w:p>
    <w:p w14:paraId="724D4190" w14:textId="77777777" w:rsidR="00D56480" w:rsidRPr="00B61111" w:rsidRDefault="00D56480" w:rsidP="00D56480">
      <w:pPr>
        <w:pBdr>
          <w:top w:val="nil"/>
          <w:left w:val="nil"/>
          <w:bottom w:val="nil"/>
          <w:right w:val="nil"/>
          <w:between w:val="nil"/>
          <w:bar w:val="nil"/>
        </w:pBdr>
        <w:spacing w:before="0" w:after="240"/>
        <w:rPr>
          <w:noProof/>
        </w:rPr>
      </w:pPr>
      <w:r w:rsidRPr="00B61111">
        <w:rPr>
          <w:noProof/>
        </w:rPr>
        <w:t xml:space="preserve">Chapter I outlines the </w:t>
      </w:r>
      <w:r>
        <w:rPr>
          <w:noProof/>
        </w:rPr>
        <w:t>mission</w:t>
      </w:r>
      <w:r w:rsidRPr="00B61111">
        <w:rPr>
          <w:noProof/>
        </w:rPr>
        <w:t xml:space="preserve"> (Article 3)</w:t>
      </w:r>
      <w:r>
        <w:rPr>
          <w:noProof/>
        </w:rPr>
        <w:t xml:space="preserve"> and</w:t>
      </w:r>
      <w:r w:rsidRPr="00B61111">
        <w:rPr>
          <w:noProof/>
        </w:rPr>
        <w:t xml:space="preserve"> objectives </w:t>
      </w:r>
      <w:r>
        <w:rPr>
          <w:noProof/>
        </w:rPr>
        <w:t xml:space="preserve">of ENISA </w:t>
      </w:r>
      <w:r w:rsidRPr="00B61111">
        <w:rPr>
          <w:noProof/>
        </w:rPr>
        <w:t>(Article 4).</w:t>
      </w:r>
    </w:p>
    <w:p w14:paraId="18D92587" w14:textId="77777777" w:rsidR="00D56480" w:rsidRDefault="00D56480" w:rsidP="00D56480">
      <w:pPr>
        <w:pBdr>
          <w:top w:val="nil"/>
          <w:left w:val="nil"/>
          <w:bottom w:val="nil"/>
          <w:right w:val="nil"/>
          <w:between w:val="nil"/>
          <w:bar w:val="nil"/>
        </w:pBdr>
        <w:spacing w:before="0" w:after="240"/>
        <w:rPr>
          <w:noProof/>
        </w:rPr>
      </w:pPr>
      <w:r w:rsidRPr="00B61111">
        <w:rPr>
          <w:noProof/>
        </w:rPr>
        <w:t>Chapter II outlines</w:t>
      </w:r>
      <w:r>
        <w:rPr>
          <w:noProof/>
        </w:rPr>
        <w:t xml:space="preserve"> the </w:t>
      </w:r>
      <w:r w:rsidRPr="00B61111">
        <w:rPr>
          <w:noProof/>
        </w:rPr>
        <w:t>tasks of the Agency</w:t>
      </w:r>
      <w:r>
        <w:rPr>
          <w:noProof/>
        </w:rPr>
        <w:t xml:space="preserve"> in three sections. </w:t>
      </w:r>
    </w:p>
    <w:p w14:paraId="5D817B64" w14:textId="77777777" w:rsidR="00D56480" w:rsidRDefault="00D56480" w:rsidP="00D56480">
      <w:pPr>
        <w:pBdr>
          <w:top w:val="nil"/>
          <w:left w:val="nil"/>
          <w:bottom w:val="nil"/>
          <w:right w:val="nil"/>
          <w:between w:val="nil"/>
          <w:bar w:val="nil"/>
        </w:pBdr>
        <w:spacing w:before="0" w:after="240"/>
        <w:rPr>
          <w:noProof/>
        </w:rPr>
      </w:pPr>
      <w:r>
        <w:rPr>
          <w:noProof/>
        </w:rPr>
        <w:t>Section 1 includes provisions concerning the tasks related to supporting the implementation of Union policy and law. It specifies which entities</w:t>
      </w:r>
      <w:r w:rsidR="00EA01E3">
        <w:rPr>
          <w:noProof/>
        </w:rPr>
        <w:t xml:space="preserve"> and </w:t>
      </w:r>
      <w:r>
        <w:rPr>
          <w:noProof/>
        </w:rPr>
        <w:t>organisations are to receive support and the manner in which this should be done (Article 5). Article 6 delineates the Agency’s capacity-building responsibilities, including offering knowledge and expertise to Member States on preventing and addressing cyber threats, updating cybersecurity strategies and expanding the cybersecurity workforce. ENISA will also assist Member States in their awareness-raising activities (Article 7) and will perform analysis of the main market trends in cybersecurity and disseminate technical advice and analyses (Article 8). ENISA will also contribute to and promote international cooperation on cybersecurity matters as described in Article 9.</w:t>
      </w:r>
    </w:p>
    <w:p w14:paraId="4B6792E1" w14:textId="77777777" w:rsidR="00A360BD" w:rsidRPr="005B66EE" w:rsidRDefault="00A360BD" w:rsidP="00A360BD">
      <w:pPr>
        <w:pBdr>
          <w:top w:val="nil"/>
          <w:left w:val="nil"/>
          <w:bottom w:val="nil"/>
          <w:right w:val="nil"/>
          <w:between w:val="nil"/>
          <w:bar w:val="nil"/>
        </w:pBdr>
        <w:spacing w:before="0" w:after="240"/>
        <w:rPr>
          <w:noProof/>
        </w:rPr>
      </w:pPr>
      <w:r w:rsidRPr="005B66EE">
        <w:rPr>
          <w:noProof/>
        </w:rPr>
        <w:t xml:space="preserve">Section 2 sets out ENISA’s tasks </w:t>
      </w:r>
      <w:r>
        <w:rPr>
          <w:noProof/>
        </w:rPr>
        <w:t>regarding</w:t>
      </w:r>
      <w:r w:rsidRPr="005B66EE">
        <w:rPr>
          <w:noProof/>
        </w:rPr>
        <w:t xml:space="preserve"> operational cooperation in relation to Member States, Union entities and CERT-EU, </w:t>
      </w:r>
      <w:r>
        <w:rPr>
          <w:noProof/>
        </w:rPr>
        <w:t>the computer security incident response teams</w:t>
      </w:r>
      <w:r w:rsidRPr="005B66EE">
        <w:rPr>
          <w:noProof/>
        </w:rPr>
        <w:t xml:space="preserve"> </w:t>
      </w:r>
      <w:r>
        <w:rPr>
          <w:noProof/>
        </w:rPr>
        <w:t>(</w:t>
      </w:r>
      <w:r w:rsidRPr="005B66EE">
        <w:rPr>
          <w:noProof/>
        </w:rPr>
        <w:t>CSIRTs</w:t>
      </w:r>
      <w:r>
        <w:rPr>
          <w:noProof/>
        </w:rPr>
        <w:t>)</w:t>
      </w:r>
      <w:r w:rsidRPr="005B66EE">
        <w:rPr>
          <w:noProof/>
        </w:rPr>
        <w:t xml:space="preserve"> network, EU-CyCLONe and other stakeholders, including the issuance of guidelines and </w:t>
      </w:r>
      <w:r>
        <w:rPr>
          <w:noProof/>
        </w:rPr>
        <w:t>implementation</w:t>
      </w:r>
      <w:r w:rsidRPr="005B66EE">
        <w:rPr>
          <w:noProof/>
        </w:rPr>
        <w:t xml:space="preserve"> of secure communications tools (Article 10). ENISA will also </w:t>
      </w:r>
      <w:r>
        <w:rPr>
          <w:noProof/>
        </w:rPr>
        <w:t>help improve</w:t>
      </w:r>
      <w:r w:rsidRPr="005B66EE">
        <w:rPr>
          <w:noProof/>
        </w:rPr>
        <w:t xml:space="preserve"> situational awareness of cyber threats and incident</w:t>
      </w:r>
      <w:r>
        <w:rPr>
          <w:noProof/>
        </w:rPr>
        <w:t>s</w:t>
      </w:r>
      <w:r w:rsidRPr="005B66EE">
        <w:rPr>
          <w:noProof/>
        </w:rPr>
        <w:t xml:space="preserve"> by (among others) developing </w:t>
      </w:r>
      <w:r>
        <w:rPr>
          <w:noProof/>
        </w:rPr>
        <w:t xml:space="preserve">one or more </w:t>
      </w:r>
      <w:r w:rsidRPr="005B66EE">
        <w:rPr>
          <w:noProof/>
        </w:rPr>
        <w:t>repositories of cyber threat intelligence, performing analysis and issuing early alerts</w:t>
      </w:r>
      <w:r>
        <w:rPr>
          <w:noProof/>
        </w:rPr>
        <w:t xml:space="preserve"> </w:t>
      </w:r>
      <w:r w:rsidRPr="005B66EE">
        <w:rPr>
          <w:noProof/>
        </w:rPr>
        <w:t>(Article 11)</w:t>
      </w:r>
      <w:r>
        <w:rPr>
          <w:noProof/>
        </w:rPr>
        <w:t>.</w:t>
      </w:r>
      <w:r w:rsidRPr="005B66EE">
        <w:rPr>
          <w:noProof/>
        </w:rPr>
        <w:t xml:space="preserve"> </w:t>
      </w:r>
      <w:r>
        <w:rPr>
          <w:noProof/>
        </w:rPr>
        <w:t>T</w:t>
      </w:r>
      <w:r w:rsidRPr="005B66EE">
        <w:rPr>
          <w:noProof/>
        </w:rPr>
        <w:t xml:space="preserve">he rules on such early alerts (content, timing, service) are </w:t>
      </w:r>
      <w:r>
        <w:rPr>
          <w:noProof/>
        </w:rPr>
        <w:t xml:space="preserve">set out </w:t>
      </w:r>
      <w:r w:rsidRPr="005B66EE">
        <w:rPr>
          <w:noProof/>
        </w:rPr>
        <w:t xml:space="preserve">in Article 12. </w:t>
      </w:r>
      <w:r>
        <w:rPr>
          <w:noProof/>
        </w:rPr>
        <w:t xml:space="preserve">To </w:t>
      </w:r>
      <w:r w:rsidRPr="005B66EE">
        <w:rPr>
          <w:noProof/>
        </w:rPr>
        <w:t>assist essential and important entities in preparing</w:t>
      </w:r>
      <w:r>
        <w:rPr>
          <w:noProof/>
        </w:rPr>
        <w:t xml:space="preserve"> for</w:t>
      </w:r>
      <w:r w:rsidRPr="005B66EE">
        <w:rPr>
          <w:noProof/>
        </w:rPr>
        <w:t>, responding to and recover</w:t>
      </w:r>
      <w:r>
        <w:rPr>
          <w:noProof/>
        </w:rPr>
        <w:t>ing</w:t>
      </w:r>
      <w:r w:rsidRPr="005B66EE">
        <w:rPr>
          <w:noProof/>
        </w:rPr>
        <w:t xml:space="preserve"> from ransomware incident</w:t>
      </w:r>
      <w:r>
        <w:rPr>
          <w:noProof/>
        </w:rPr>
        <w:t>s,</w:t>
      </w:r>
      <w:r w:rsidRPr="005B66EE" w:rsidDel="00C03F9D">
        <w:rPr>
          <w:noProof/>
        </w:rPr>
        <w:t xml:space="preserve"> </w:t>
      </w:r>
      <w:r w:rsidRPr="005B66EE">
        <w:rPr>
          <w:noProof/>
        </w:rPr>
        <w:t xml:space="preserve">ENISA </w:t>
      </w:r>
      <w:r w:rsidR="6F6C1DF1">
        <w:rPr>
          <w:noProof/>
        </w:rPr>
        <w:t>shall</w:t>
      </w:r>
      <w:r>
        <w:rPr>
          <w:noProof/>
        </w:rPr>
        <w:t xml:space="preserve"> </w:t>
      </w:r>
      <w:r w:rsidRPr="005B66EE">
        <w:rPr>
          <w:noProof/>
        </w:rPr>
        <w:t xml:space="preserve">operate the EU Cybersecurity Reserve as explained in Article 13 and in cooperation with Europol and CSIRTs or other competent authorities as applicable. Article 14 includes provisions on ENISA’s role in cybersecurity exercises at Union level, including the compilation of an annual rolling programme of Union-level cybersecurity exercises. In addition to these tasks, ENISA should provide tools and platforms, in particular the single reporting platform established pursuant to Article 16(1) of Regulation (EU) 2024/2847 (Article 15). </w:t>
      </w:r>
      <w:r>
        <w:rPr>
          <w:noProof/>
        </w:rPr>
        <w:t>L</w:t>
      </w:r>
      <w:r w:rsidRPr="005B66EE">
        <w:rPr>
          <w:noProof/>
        </w:rPr>
        <w:t>ast</w:t>
      </w:r>
      <w:r>
        <w:rPr>
          <w:noProof/>
        </w:rPr>
        <w:t>ly,</w:t>
      </w:r>
      <w:r w:rsidRPr="005B66EE">
        <w:rPr>
          <w:noProof/>
        </w:rPr>
        <w:t xml:space="preserve"> the Agency </w:t>
      </w:r>
      <w:r>
        <w:rPr>
          <w:noProof/>
        </w:rPr>
        <w:t>must</w:t>
      </w:r>
      <w:r w:rsidRPr="005B66EE">
        <w:rPr>
          <w:noProof/>
        </w:rPr>
        <w:t xml:space="preserve"> develop a common Union vulnerability management service capacity and provide vulnerability management services (Article 16).</w:t>
      </w:r>
    </w:p>
    <w:p w14:paraId="5F7A9CA0" w14:textId="77777777" w:rsidR="00D56480" w:rsidRDefault="00D56480" w:rsidP="00D56480">
      <w:pPr>
        <w:pBdr>
          <w:top w:val="nil"/>
          <w:left w:val="nil"/>
          <w:bottom w:val="nil"/>
          <w:right w:val="nil"/>
          <w:between w:val="nil"/>
          <w:bar w:val="nil"/>
        </w:pBdr>
        <w:spacing w:before="0" w:after="240"/>
        <w:rPr>
          <w:noProof/>
        </w:rPr>
      </w:pPr>
      <w:r>
        <w:rPr>
          <w:noProof/>
        </w:rPr>
        <w:t>Section 3 on cybersecurity certification and standardisation sets out the Agency’s tasks in this regard. Article</w:t>
      </w:r>
      <w:r w:rsidDel="00B26D81">
        <w:rPr>
          <w:noProof/>
        </w:rPr>
        <w:t xml:space="preserve"> </w:t>
      </w:r>
      <w:r>
        <w:rPr>
          <w:noProof/>
        </w:rPr>
        <w:t xml:space="preserve">17 describes ENISA’s role in the development and implementation of </w:t>
      </w:r>
      <w:r w:rsidR="008F1AB9">
        <w:rPr>
          <w:noProof/>
        </w:rPr>
        <w:t xml:space="preserve">the </w:t>
      </w:r>
      <w:r w:rsidR="006675D8">
        <w:rPr>
          <w:noProof/>
        </w:rPr>
        <w:t>ECCF</w:t>
      </w:r>
      <w:r>
        <w:rPr>
          <w:noProof/>
        </w:rPr>
        <w:t>, including its leading role in preparing schemes and ensuring their maintenance and capacity-building, while Article 18 sets out how ENISA should engage in drafting technical specifications and contribute to standardisation activities at European and international level, including in the area of cryptographic algorithms.</w:t>
      </w:r>
    </w:p>
    <w:p w14:paraId="7DD78CA0" w14:textId="77777777" w:rsidR="00A53F1C" w:rsidRPr="005B66EE" w:rsidRDefault="00A53F1C" w:rsidP="00A53F1C">
      <w:pPr>
        <w:pBdr>
          <w:top w:val="nil"/>
          <w:left w:val="nil"/>
          <w:bottom w:val="nil"/>
          <w:right w:val="nil"/>
          <w:between w:val="nil"/>
          <w:bar w:val="nil"/>
        </w:pBdr>
        <w:spacing w:before="0" w:after="240"/>
        <w:rPr>
          <w:noProof/>
        </w:rPr>
      </w:pPr>
      <w:r w:rsidRPr="005B66EE">
        <w:rPr>
          <w:noProof/>
        </w:rPr>
        <w:t xml:space="preserve">Section 4 details the Agency’s tasks </w:t>
      </w:r>
      <w:r>
        <w:rPr>
          <w:noProof/>
        </w:rPr>
        <w:t xml:space="preserve">regarding </w:t>
      </w:r>
      <w:r w:rsidRPr="005B66EE">
        <w:rPr>
          <w:noProof/>
        </w:rPr>
        <w:t xml:space="preserve">the implementation of the Cybersecurity Skills Academy. Article 19 includes provisions related to ENISA’s role regarding the European </w:t>
      </w:r>
      <w:r>
        <w:rPr>
          <w:noProof/>
        </w:rPr>
        <w:t>c</w:t>
      </w:r>
      <w:r w:rsidRPr="005B66EE">
        <w:rPr>
          <w:noProof/>
        </w:rPr>
        <w:t xml:space="preserve">ybersecurity </w:t>
      </w:r>
      <w:r>
        <w:rPr>
          <w:noProof/>
        </w:rPr>
        <w:t>s</w:t>
      </w:r>
      <w:r w:rsidRPr="005B66EE">
        <w:rPr>
          <w:noProof/>
        </w:rPr>
        <w:t xml:space="preserve">kills </w:t>
      </w:r>
      <w:r>
        <w:rPr>
          <w:noProof/>
        </w:rPr>
        <w:t>f</w:t>
      </w:r>
      <w:r w:rsidRPr="005B66EE">
        <w:rPr>
          <w:noProof/>
        </w:rPr>
        <w:t>ramework</w:t>
      </w:r>
      <w:r>
        <w:rPr>
          <w:noProof/>
        </w:rPr>
        <w:t xml:space="preserve"> (ECSF)</w:t>
      </w:r>
      <w:r w:rsidRPr="005B66EE">
        <w:rPr>
          <w:noProof/>
        </w:rPr>
        <w:t xml:space="preserve">, while its tasks </w:t>
      </w:r>
      <w:r>
        <w:rPr>
          <w:noProof/>
        </w:rPr>
        <w:t>regarding</w:t>
      </w:r>
      <w:r w:rsidRPr="005B66EE">
        <w:rPr>
          <w:noProof/>
        </w:rPr>
        <w:t xml:space="preserve"> the development and maintenance of European individual cybersecurity skills attestation schemes are set out in Article 20. Requirements to become </w:t>
      </w:r>
      <w:r>
        <w:rPr>
          <w:noProof/>
        </w:rPr>
        <w:t xml:space="preserve">an </w:t>
      </w:r>
      <w:r w:rsidRPr="005B66EE">
        <w:rPr>
          <w:noProof/>
        </w:rPr>
        <w:t xml:space="preserve">authorised attestation provider are stipulated in Article 21 and those related to the processing of applications in Article 22. ENISA </w:t>
      </w:r>
      <w:r>
        <w:rPr>
          <w:noProof/>
        </w:rPr>
        <w:t>must</w:t>
      </w:r>
      <w:r w:rsidRPr="005B66EE">
        <w:rPr>
          <w:noProof/>
        </w:rPr>
        <w:t xml:space="preserve"> provide public information related to the ECSF and individual cybersecurity skills attestations (Article</w:t>
      </w:r>
      <w:r>
        <w:rPr>
          <w:noProof/>
        </w:rPr>
        <w:t> </w:t>
      </w:r>
      <w:r w:rsidRPr="005B66EE">
        <w:rPr>
          <w:noProof/>
        </w:rPr>
        <w:t>23).</w:t>
      </w:r>
    </w:p>
    <w:p w14:paraId="513AC28C" w14:textId="77777777" w:rsidR="00D56480" w:rsidRDefault="00D56480" w:rsidP="00D56480">
      <w:pPr>
        <w:pBdr>
          <w:top w:val="nil"/>
          <w:left w:val="nil"/>
          <w:bottom w:val="nil"/>
          <w:right w:val="nil"/>
          <w:between w:val="nil"/>
          <w:bar w:val="nil"/>
        </w:pBdr>
        <w:spacing w:before="0" w:after="240"/>
        <w:rPr>
          <w:noProof/>
        </w:rPr>
      </w:pPr>
      <w:r>
        <w:rPr>
          <w:noProof/>
        </w:rPr>
        <w:t xml:space="preserve">Chapter III concerns the organisation of ENISA. The administrative and management structure of the Agency also </w:t>
      </w:r>
      <w:r w:rsidR="005757C1">
        <w:rPr>
          <w:noProof/>
        </w:rPr>
        <w:t xml:space="preserve">includes </w:t>
      </w:r>
      <w:r>
        <w:rPr>
          <w:noProof/>
        </w:rPr>
        <w:t xml:space="preserve">a Deputy Executive Director (Article 24). Provisions related to the Management Board, its composition, </w:t>
      </w:r>
      <w:r w:rsidR="005757C1">
        <w:rPr>
          <w:noProof/>
        </w:rPr>
        <w:t xml:space="preserve">its </w:t>
      </w:r>
      <w:r>
        <w:rPr>
          <w:noProof/>
        </w:rPr>
        <w:t xml:space="preserve">chairperson, meetings, functions and voting rules are included in Section 1 (Article 25 to 29). The Executive Board </w:t>
      </w:r>
      <w:r w:rsidR="00135E86">
        <w:rPr>
          <w:noProof/>
        </w:rPr>
        <w:t>must</w:t>
      </w:r>
      <w:r w:rsidR="00135E86" w:rsidRPr="005B66EE">
        <w:rPr>
          <w:noProof/>
        </w:rPr>
        <w:t xml:space="preserve"> </w:t>
      </w:r>
      <w:r>
        <w:rPr>
          <w:noProof/>
        </w:rPr>
        <w:t>assist the Management Board as set out in Article 30 under Section 2. Section 3 includes rules on the appointment, dismissal and extension of the term of office of the Executive Director (Article</w:t>
      </w:r>
      <w:r w:rsidR="00135E86">
        <w:rPr>
          <w:noProof/>
        </w:rPr>
        <w:t> </w:t>
      </w:r>
      <w:r>
        <w:rPr>
          <w:noProof/>
        </w:rPr>
        <w:t xml:space="preserve">31) and </w:t>
      </w:r>
      <w:r w:rsidR="00135E86">
        <w:rPr>
          <w:noProof/>
        </w:rPr>
        <w:t xml:space="preserve">rules on the </w:t>
      </w:r>
      <w:r w:rsidR="00135E86" w:rsidRPr="005B66EE">
        <w:rPr>
          <w:noProof/>
        </w:rPr>
        <w:t>Executive Director</w:t>
      </w:r>
      <w:r w:rsidR="00135E86">
        <w:rPr>
          <w:noProof/>
        </w:rPr>
        <w:t>’s</w:t>
      </w:r>
      <w:r>
        <w:rPr>
          <w:noProof/>
        </w:rPr>
        <w:t xml:space="preserve"> tasks and responsibilities (Article 32). The Management Board may decide to create a Deputy Executive Director </w:t>
      </w:r>
      <w:r w:rsidR="00135E86">
        <w:rPr>
          <w:noProof/>
        </w:rPr>
        <w:t xml:space="preserve">role </w:t>
      </w:r>
      <w:r>
        <w:rPr>
          <w:noProof/>
        </w:rPr>
        <w:t xml:space="preserve">to assist the Executive Director (Section 4, </w:t>
      </w:r>
      <w:r w:rsidR="00135E86" w:rsidRPr="005B66EE">
        <w:rPr>
          <w:noProof/>
        </w:rPr>
        <w:t>Article</w:t>
      </w:r>
      <w:r w:rsidR="00135E86">
        <w:rPr>
          <w:noProof/>
        </w:rPr>
        <w:t>s</w:t>
      </w:r>
      <w:r w:rsidR="00135E86" w:rsidRPr="005B66EE">
        <w:rPr>
          <w:noProof/>
        </w:rPr>
        <w:t xml:space="preserve"> </w:t>
      </w:r>
      <w:r>
        <w:rPr>
          <w:noProof/>
        </w:rPr>
        <w:t xml:space="preserve">33 and 34). The Management Board </w:t>
      </w:r>
      <w:r w:rsidR="00135E86">
        <w:rPr>
          <w:noProof/>
        </w:rPr>
        <w:t>must</w:t>
      </w:r>
      <w:r w:rsidR="00135E86" w:rsidRPr="005B66EE">
        <w:rPr>
          <w:noProof/>
        </w:rPr>
        <w:t xml:space="preserve"> </w:t>
      </w:r>
      <w:r w:rsidR="00135E86">
        <w:rPr>
          <w:noProof/>
        </w:rPr>
        <w:t>set up</w:t>
      </w:r>
      <w:r w:rsidR="00135E86" w:rsidRPr="005B66EE">
        <w:rPr>
          <w:noProof/>
        </w:rPr>
        <w:t xml:space="preserve"> </w:t>
      </w:r>
      <w:r>
        <w:rPr>
          <w:noProof/>
        </w:rPr>
        <w:t>the ENISA Advisory Group</w:t>
      </w:r>
      <w:r w:rsidR="00135E86">
        <w:rPr>
          <w:noProof/>
        </w:rPr>
        <w:t>, which</w:t>
      </w:r>
      <w:r w:rsidR="00135E86" w:rsidRPr="005B66EE">
        <w:rPr>
          <w:noProof/>
        </w:rPr>
        <w:t xml:space="preserve"> </w:t>
      </w:r>
      <w:r w:rsidR="00135E86">
        <w:rPr>
          <w:noProof/>
        </w:rPr>
        <w:t>must</w:t>
      </w:r>
      <w:r w:rsidR="00135E86" w:rsidRPr="005B66EE">
        <w:rPr>
          <w:noProof/>
        </w:rPr>
        <w:t xml:space="preserve"> </w:t>
      </w:r>
      <w:r>
        <w:rPr>
          <w:noProof/>
        </w:rPr>
        <w:t xml:space="preserve">advise ENISA according to the rules in Article 35. Section 6 sets out rules on the creation and composition of the Board of Appeal (Article 36) and its members (Article 37). Article 38 </w:t>
      </w:r>
      <w:r w:rsidR="00135E86">
        <w:rPr>
          <w:noProof/>
        </w:rPr>
        <w:t xml:space="preserve">specifies the circumstances under </w:t>
      </w:r>
      <w:r>
        <w:rPr>
          <w:noProof/>
        </w:rPr>
        <w:t xml:space="preserve">which </w:t>
      </w:r>
      <w:r w:rsidRPr="00AD5C67">
        <w:rPr>
          <w:noProof/>
        </w:rPr>
        <w:t xml:space="preserve">members of the Board of Appeal </w:t>
      </w:r>
      <w:r w:rsidR="00135E86">
        <w:rPr>
          <w:noProof/>
        </w:rPr>
        <w:t>must</w:t>
      </w:r>
      <w:r w:rsidR="00135E86" w:rsidRPr="005B66EE">
        <w:rPr>
          <w:noProof/>
        </w:rPr>
        <w:t xml:space="preserve"> </w:t>
      </w:r>
      <w:r w:rsidR="00135E86">
        <w:rPr>
          <w:noProof/>
        </w:rPr>
        <w:t xml:space="preserve">abstain from </w:t>
      </w:r>
      <w:r w:rsidRPr="00AD5C67">
        <w:rPr>
          <w:noProof/>
        </w:rPr>
        <w:t>appeal proceedings</w:t>
      </w:r>
      <w:r>
        <w:rPr>
          <w:noProof/>
        </w:rPr>
        <w:t xml:space="preserve"> </w:t>
      </w:r>
      <w:r w:rsidR="00135E86">
        <w:rPr>
          <w:noProof/>
        </w:rPr>
        <w:t xml:space="preserve">and outlines </w:t>
      </w:r>
      <w:r>
        <w:rPr>
          <w:noProof/>
        </w:rPr>
        <w:t xml:space="preserve">the grounds </w:t>
      </w:r>
      <w:r w:rsidR="00135E86">
        <w:rPr>
          <w:noProof/>
        </w:rPr>
        <w:t xml:space="preserve">for </w:t>
      </w:r>
      <w:r w:rsidR="00135E86" w:rsidRPr="005B66EE">
        <w:rPr>
          <w:noProof/>
        </w:rPr>
        <w:t>object</w:t>
      </w:r>
      <w:r w:rsidR="00135E86">
        <w:rPr>
          <w:noProof/>
        </w:rPr>
        <w:t>ing</w:t>
      </w:r>
      <w:r>
        <w:rPr>
          <w:noProof/>
        </w:rPr>
        <w:t xml:space="preserve"> to any member of the Board. </w:t>
      </w:r>
      <w:r w:rsidR="00135E86">
        <w:rPr>
          <w:noProof/>
        </w:rPr>
        <w:t>A</w:t>
      </w:r>
      <w:r w:rsidR="00135E86" w:rsidRPr="005B66EE">
        <w:rPr>
          <w:noProof/>
        </w:rPr>
        <w:t>ppeal</w:t>
      </w:r>
      <w:r w:rsidR="00135E86">
        <w:rPr>
          <w:noProof/>
        </w:rPr>
        <w:t>s</w:t>
      </w:r>
      <w:r w:rsidRPr="00FA5393">
        <w:rPr>
          <w:noProof/>
        </w:rPr>
        <w:t xml:space="preserve"> may be brought before the Board of Appeal against decisions taken by </w:t>
      </w:r>
      <w:r>
        <w:rPr>
          <w:noProof/>
        </w:rPr>
        <w:t xml:space="preserve">ENISA or if ENISA fails to act (Article 39). Article 40 includes provisions on the </w:t>
      </w:r>
      <w:r w:rsidR="00135E86">
        <w:rPr>
          <w:noProof/>
        </w:rPr>
        <w:t>people</w:t>
      </w:r>
      <w:r w:rsidR="00135E86" w:rsidRPr="005B66EE">
        <w:rPr>
          <w:noProof/>
        </w:rPr>
        <w:t xml:space="preserve"> </w:t>
      </w:r>
      <w:r>
        <w:rPr>
          <w:noProof/>
        </w:rPr>
        <w:t xml:space="preserve">entitled to appeal, the time limit and the form of the appeal. </w:t>
      </w:r>
      <w:r w:rsidR="00135E86" w:rsidRPr="005B66EE">
        <w:rPr>
          <w:noProof/>
        </w:rPr>
        <w:t>Articles 41 to 43</w:t>
      </w:r>
      <w:r w:rsidR="00135E86">
        <w:rPr>
          <w:noProof/>
        </w:rPr>
        <w:t xml:space="preserve"> set out r</w:t>
      </w:r>
      <w:r w:rsidR="00135E86" w:rsidRPr="005B66EE">
        <w:rPr>
          <w:noProof/>
        </w:rPr>
        <w:t>ules</w:t>
      </w:r>
      <w:r>
        <w:rPr>
          <w:noProof/>
        </w:rPr>
        <w:t xml:space="preserve"> on interlocutory revision, the examination of </w:t>
      </w:r>
      <w:r w:rsidR="00135E86" w:rsidRPr="005B66EE">
        <w:rPr>
          <w:noProof/>
        </w:rPr>
        <w:t>decision</w:t>
      </w:r>
      <w:r w:rsidR="00135E86">
        <w:rPr>
          <w:noProof/>
        </w:rPr>
        <w:t>s</w:t>
      </w:r>
      <w:r>
        <w:rPr>
          <w:noProof/>
        </w:rPr>
        <w:t xml:space="preserve"> on appeals</w:t>
      </w:r>
      <w:r w:rsidR="00135E86">
        <w:rPr>
          <w:noProof/>
        </w:rPr>
        <w:t>,</w:t>
      </w:r>
      <w:r>
        <w:rPr>
          <w:noProof/>
        </w:rPr>
        <w:t xml:space="preserve"> and actions before the Court of Justice</w:t>
      </w:r>
      <w:r w:rsidR="00CB52A6">
        <w:rPr>
          <w:noProof/>
        </w:rPr>
        <w:t>.</w:t>
      </w:r>
      <w:r>
        <w:rPr>
          <w:noProof/>
        </w:rPr>
        <w:t xml:space="preserve"> Finally, Article 44 provides for the process related to the </w:t>
      </w:r>
      <w:r w:rsidR="00135E86">
        <w:rPr>
          <w:noProof/>
        </w:rPr>
        <w:t>s</w:t>
      </w:r>
      <w:r w:rsidR="00135E86" w:rsidRPr="005B66EE">
        <w:rPr>
          <w:noProof/>
        </w:rPr>
        <w:t xml:space="preserve">ingle </w:t>
      </w:r>
      <w:r w:rsidR="00135E86">
        <w:rPr>
          <w:noProof/>
        </w:rPr>
        <w:t>p</w:t>
      </w:r>
      <w:r w:rsidR="00135E86" w:rsidRPr="005B66EE">
        <w:rPr>
          <w:noProof/>
        </w:rPr>
        <w:t xml:space="preserve">rogramming </w:t>
      </w:r>
      <w:r w:rsidR="00135E86">
        <w:rPr>
          <w:noProof/>
        </w:rPr>
        <w:t>d</w:t>
      </w:r>
      <w:r w:rsidR="00135E86" w:rsidRPr="005B66EE">
        <w:rPr>
          <w:noProof/>
        </w:rPr>
        <w:t>ocument</w:t>
      </w:r>
      <w:r>
        <w:rPr>
          <w:noProof/>
        </w:rPr>
        <w:t>.</w:t>
      </w:r>
    </w:p>
    <w:p w14:paraId="56464867" w14:textId="77777777" w:rsidR="00D56480" w:rsidRPr="00B61111" w:rsidRDefault="00D56480" w:rsidP="00D56480">
      <w:pPr>
        <w:pBdr>
          <w:top w:val="nil"/>
          <w:left w:val="nil"/>
          <w:bottom w:val="nil"/>
          <w:right w:val="nil"/>
          <w:between w:val="nil"/>
          <w:bar w:val="nil"/>
        </w:pBdr>
        <w:spacing w:before="0" w:after="240"/>
        <w:rPr>
          <w:noProof/>
        </w:rPr>
      </w:pPr>
      <w:r w:rsidRPr="00B61111">
        <w:rPr>
          <w:noProof/>
        </w:rPr>
        <w:t>Chapter I</w:t>
      </w:r>
      <w:r>
        <w:rPr>
          <w:noProof/>
        </w:rPr>
        <w:t>V</w:t>
      </w:r>
      <w:r w:rsidRPr="00B61111">
        <w:rPr>
          <w:noProof/>
        </w:rPr>
        <w:t xml:space="preserve"> concerns the establishment and structure of the Agency</w:t>
      </w:r>
      <w:r w:rsidR="00501DCA">
        <w:rPr>
          <w:noProof/>
        </w:rPr>
        <w:t>’</w:t>
      </w:r>
      <w:r w:rsidRPr="00B61111">
        <w:rPr>
          <w:noProof/>
        </w:rPr>
        <w:t>s budget</w:t>
      </w:r>
      <w:r>
        <w:rPr>
          <w:noProof/>
        </w:rPr>
        <w:t xml:space="preserve">, </w:t>
      </w:r>
      <w:r w:rsidRPr="00B61111">
        <w:rPr>
          <w:noProof/>
        </w:rPr>
        <w:t xml:space="preserve">as well as rules guiding its </w:t>
      </w:r>
      <w:r>
        <w:rPr>
          <w:noProof/>
        </w:rPr>
        <w:t xml:space="preserve">presentation and </w:t>
      </w:r>
      <w:r w:rsidRPr="00B61111">
        <w:rPr>
          <w:noProof/>
        </w:rPr>
        <w:t xml:space="preserve">implementation (Articles </w:t>
      </w:r>
      <w:r>
        <w:rPr>
          <w:noProof/>
        </w:rPr>
        <w:t>45 to 55</w:t>
      </w:r>
      <w:r w:rsidRPr="00B61111">
        <w:rPr>
          <w:noProof/>
        </w:rPr>
        <w:t xml:space="preserve">). It also includes the provisions facilitating the combating of fraud, corruption and other unlawful activities (Article </w:t>
      </w:r>
      <w:r>
        <w:rPr>
          <w:noProof/>
        </w:rPr>
        <w:t>51</w:t>
      </w:r>
      <w:r w:rsidRPr="00B61111">
        <w:rPr>
          <w:noProof/>
        </w:rPr>
        <w:t>).</w:t>
      </w:r>
    </w:p>
    <w:p w14:paraId="61548590" w14:textId="77777777" w:rsidR="006B7547" w:rsidRPr="005B66EE" w:rsidRDefault="006B7547" w:rsidP="006B7547">
      <w:pPr>
        <w:pBdr>
          <w:top w:val="nil"/>
          <w:left w:val="nil"/>
          <w:bottom w:val="nil"/>
          <w:right w:val="nil"/>
          <w:between w:val="nil"/>
          <w:bar w:val="nil"/>
        </w:pBdr>
        <w:spacing w:before="0" w:after="240"/>
        <w:rPr>
          <w:noProof/>
        </w:rPr>
      </w:pPr>
      <w:r w:rsidRPr="005B66EE">
        <w:rPr>
          <w:noProof/>
        </w:rPr>
        <w:t xml:space="preserve">Chapter V relates to the staffing of the Agency. It includes general provisions on the </w:t>
      </w:r>
      <w:r>
        <w:rPr>
          <w:noProof/>
        </w:rPr>
        <w:t>s</w:t>
      </w:r>
      <w:r w:rsidRPr="005B66EE">
        <w:rPr>
          <w:noProof/>
        </w:rPr>
        <w:t xml:space="preserve">taff </w:t>
      </w:r>
      <w:r>
        <w:rPr>
          <w:noProof/>
        </w:rPr>
        <w:t>r</w:t>
      </w:r>
      <w:r w:rsidRPr="005B66EE">
        <w:rPr>
          <w:noProof/>
        </w:rPr>
        <w:t xml:space="preserve">egulations and the </w:t>
      </w:r>
      <w:r>
        <w:rPr>
          <w:noProof/>
        </w:rPr>
        <w:t>c</w:t>
      </w:r>
      <w:r w:rsidRPr="005B66EE">
        <w:rPr>
          <w:noProof/>
        </w:rPr>
        <w:t xml:space="preserve">onditions of </w:t>
      </w:r>
      <w:r>
        <w:rPr>
          <w:noProof/>
        </w:rPr>
        <w:t>e</w:t>
      </w:r>
      <w:r w:rsidRPr="005B66EE">
        <w:rPr>
          <w:noProof/>
        </w:rPr>
        <w:t xml:space="preserve">mployment of </w:t>
      </w:r>
      <w:r>
        <w:rPr>
          <w:noProof/>
        </w:rPr>
        <w:t>o</w:t>
      </w:r>
      <w:r w:rsidRPr="005B66EE">
        <w:rPr>
          <w:noProof/>
        </w:rPr>
        <w:t xml:space="preserve">ther </w:t>
      </w:r>
      <w:r>
        <w:rPr>
          <w:noProof/>
        </w:rPr>
        <w:t>s</w:t>
      </w:r>
      <w:r w:rsidRPr="005B66EE">
        <w:rPr>
          <w:noProof/>
        </w:rPr>
        <w:t>ervants and rules guiding privileges and immunity (Article</w:t>
      </w:r>
      <w:r>
        <w:rPr>
          <w:noProof/>
        </w:rPr>
        <w:t>s</w:t>
      </w:r>
      <w:r w:rsidRPr="005B66EE">
        <w:rPr>
          <w:noProof/>
        </w:rPr>
        <w:t xml:space="preserve"> 56 and 57). It introduces provisions requiring Member States to designate liaison officers as seconded national experts to ENISA and their role in the Agency (Article 58). </w:t>
      </w:r>
      <w:r>
        <w:rPr>
          <w:noProof/>
        </w:rPr>
        <w:t>I</w:t>
      </w:r>
      <w:r w:rsidRPr="005B66EE">
        <w:rPr>
          <w:noProof/>
        </w:rPr>
        <w:t xml:space="preserve">t </w:t>
      </w:r>
      <w:r>
        <w:rPr>
          <w:noProof/>
        </w:rPr>
        <w:t xml:space="preserve">also </w:t>
      </w:r>
      <w:r w:rsidRPr="005B66EE">
        <w:rPr>
          <w:noProof/>
        </w:rPr>
        <w:t>includes provisions guiding the use of seconded national experts and other staff not employed by the Agency (Article 59).</w:t>
      </w:r>
    </w:p>
    <w:p w14:paraId="0294BF9B" w14:textId="77777777" w:rsidR="00D56480" w:rsidRPr="0049422E" w:rsidRDefault="0049422E" w:rsidP="00D56480">
      <w:pPr>
        <w:pBdr>
          <w:top w:val="nil"/>
          <w:left w:val="nil"/>
          <w:bottom w:val="nil"/>
          <w:right w:val="nil"/>
          <w:between w:val="nil"/>
          <w:bar w:val="nil"/>
        </w:pBdr>
        <w:spacing w:before="0" w:after="240"/>
        <w:rPr>
          <w:noProof/>
        </w:rPr>
      </w:pPr>
      <w:r w:rsidRPr="005B66EE">
        <w:rPr>
          <w:noProof/>
        </w:rPr>
        <w:t xml:space="preserve">Finally, Chapter VI contains the general provisions related to the Agency. It outlines </w:t>
      </w:r>
      <w:r>
        <w:rPr>
          <w:noProof/>
        </w:rPr>
        <w:t>its</w:t>
      </w:r>
      <w:r w:rsidR="00D56480" w:rsidRPr="00B61111">
        <w:rPr>
          <w:noProof/>
        </w:rPr>
        <w:t xml:space="preserve"> legal status (Article </w:t>
      </w:r>
      <w:r w:rsidR="00D56480">
        <w:rPr>
          <w:noProof/>
        </w:rPr>
        <w:t>60</w:t>
      </w:r>
      <w:r w:rsidR="00D56480" w:rsidRPr="00B61111">
        <w:rPr>
          <w:noProof/>
        </w:rPr>
        <w:t>)</w:t>
      </w:r>
      <w:r w:rsidR="00D56480">
        <w:rPr>
          <w:noProof/>
        </w:rPr>
        <w:t xml:space="preserve">, </w:t>
      </w:r>
      <w:r>
        <w:rPr>
          <w:noProof/>
        </w:rPr>
        <w:t>establishes</w:t>
      </w:r>
      <w:r w:rsidRPr="005B66EE">
        <w:rPr>
          <w:noProof/>
        </w:rPr>
        <w:t xml:space="preserve"> </w:t>
      </w:r>
      <w:r>
        <w:rPr>
          <w:noProof/>
        </w:rPr>
        <w:t>its</w:t>
      </w:r>
      <w:r w:rsidR="00D56480">
        <w:rPr>
          <w:noProof/>
        </w:rPr>
        <w:t xml:space="preserve"> seat (Article 61) and</w:t>
      </w:r>
      <w:r w:rsidR="00D56480" w:rsidRPr="00B61111">
        <w:rPr>
          <w:noProof/>
        </w:rPr>
        <w:t xml:space="preserve"> contains provisions </w:t>
      </w:r>
      <w:r w:rsidR="00510AB7">
        <w:rPr>
          <w:noProof/>
        </w:rPr>
        <w:t xml:space="preserve">on </w:t>
      </w:r>
      <w:r w:rsidR="00D56480" w:rsidRPr="00B61111">
        <w:rPr>
          <w:noProof/>
        </w:rPr>
        <w:t xml:space="preserve">the </w:t>
      </w:r>
      <w:r w:rsidRPr="005B66EE">
        <w:rPr>
          <w:noProof/>
        </w:rPr>
        <w:t>Agency</w:t>
      </w:r>
      <w:r>
        <w:rPr>
          <w:noProof/>
        </w:rPr>
        <w:t>’</w:t>
      </w:r>
      <w:r w:rsidRPr="005B66EE">
        <w:rPr>
          <w:noProof/>
        </w:rPr>
        <w:t>s</w:t>
      </w:r>
      <w:r w:rsidR="00D56480" w:rsidRPr="00B61111">
        <w:rPr>
          <w:noProof/>
        </w:rPr>
        <w:t xml:space="preserve"> headquarters </w:t>
      </w:r>
      <w:r w:rsidR="00D56480">
        <w:rPr>
          <w:noProof/>
        </w:rPr>
        <w:t xml:space="preserve">agreement </w:t>
      </w:r>
      <w:r w:rsidR="00D56480" w:rsidRPr="00B61111">
        <w:rPr>
          <w:noProof/>
        </w:rPr>
        <w:t xml:space="preserve">and operating conditions, </w:t>
      </w:r>
      <w:r>
        <w:rPr>
          <w:noProof/>
        </w:rPr>
        <w:t xml:space="preserve">and on </w:t>
      </w:r>
      <w:r w:rsidR="00D56480" w:rsidRPr="00B61111">
        <w:rPr>
          <w:noProof/>
        </w:rPr>
        <w:t xml:space="preserve">administrative control by the Ombudsman (Articles </w:t>
      </w:r>
      <w:r w:rsidR="00D56480">
        <w:rPr>
          <w:noProof/>
        </w:rPr>
        <w:t>62</w:t>
      </w:r>
      <w:r w:rsidR="00D56480" w:rsidRPr="00B61111">
        <w:rPr>
          <w:noProof/>
        </w:rPr>
        <w:t xml:space="preserve"> and </w:t>
      </w:r>
      <w:r w:rsidR="00D56480">
        <w:rPr>
          <w:noProof/>
        </w:rPr>
        <w:t>63</w:t>
      </w:r>
      <w:r w:rsidR="00D56480" w:rsidRPr="00B61111">
        <w:rPr>
          <w:noProof/>
        </w:rPr>
        <w:t>).</w:t>
      </w:r>
      <w:r w:rsidR="00D56480">
        <w:rPr>
          <w:noProof/>
        </w:rPr>
        <w:t xml:space="preserve"> It</w:t>
      </w:r>
      <w:r w:rsidR="00D56480" w:rsidRPr="00B61111">
        <w:rPr>
          <w:noProof/>
        </w:rPr>
        <w:t xml:space="preserve"> includes provisions regulating the issues of liability, language arrangements, </w:t>
      </w:r>
      <w:r>
        <w:rPr>
          <w:noProof/>
        </w:rPr>
        <w:t>and</w:t>
      </w:r>
      <w:r w:rsidRPr="005B66EE">
        <w:rPr>
          <w:noProof/>
        </w:rPr>
        <w:t xml:space="preserve"> </w:t>
      </w:r>
      <w:r w:rsidR="00D56480" w:rsidRPr="00B61111">
        <w:rPr>
          <w:noProof/>
        </w:rPr>
        <w:t xml:space="preserve">protection of personal data (Article </w:t>
      </w:r>
      <w:r w:rsidR="00D56480">
        <w:rPr>
          <w:noProof/>
        </w:rPr>
        <w:t>64</w:t>
      </w:r>
      <w:r w:rsidR="007D6E50">
        <w:rPr>
          <w:noProof/>
        </w:rPr>
        <w:t xml:space="preserve"> to</w:t>
      </w:r>
      <w:r>
        <w:rPr>
          <w:noProof/>
        </w:rPr>
        <w:t xml:space="preserve"> </w:t>
      </w:r>
      <w:r w:rsidR="00D56480">
        <w:rPr>
          <w:noProof/>
        </w:rPr>
        <w:t>66</w:t>
      </w:r>
      <w:r w:rsidR="00D56480" w:rsidRPr="00B61111">
        <w:rPr>
          <w:noProof/>
        </w:rPr>
        <w:t>), as well as security rules on the protection of sensitive non-classified</w:t>
      </w:r>
      <w:r w:rsidR="00D56480">
        <w:rPr>
          <w:noProof/>
        </w:rPr>
        <w:t xml:space="preserve"> and </w:t>
      </w:r>
      <w:r w:rsidR="00D56480" w:rsidRPr="00B61111">
        <w:rPr>
          <w:noProof/>
        </w:rPr>
        <w:t xml:space="preserve">classified information (Article </w:t>
      </w:r>
      <w:r w:rsidR="00D56480">
        <w:rPr>
          <w:noProof/>
        </w:rPr>
        <w:t>67</w:t>
      </w:r>
      <w:r w:rsidR="00D56480" w:rsidRPr="00B61111">
        <w:rPr>
          <w:noProof/>
        </w:rPr>
        <w:t xml:space="preserve">). </w:t>
      </w:r>
      <w:r w:rsidR="00D56480">
        <w:rPr>
          <w:noProof/>
        </w:rPr>
        <w:t xml:space="preserve">It provides rules for the cooperation with Union entities and national authorities (Article 68) and other stakeholders (Article 69). </w:t>
      </w:r>
      <w:r w:rsidR="00D56480" w:rsidRPr="00B61111">
        <w:rPr>
          <w:noProof/>
        </w:rPr>
        <w:t xml:space="preserve">It describes the rules guiding the </w:t>
      </w:r>
      <w:r w:rsidRPr="005B66EE">
        <w:rPr>
          <w:noProof/>
        </w:rPr>
        <w:t>Agency</w:t>
      </w:r>
      <w:r>
        <w:rPr>
          <w:noProof/>
        </w:rPr>
        <w:t>’</w:t>
      </w:r>
      <w:r w:rsidRPr="005B66EE">
        <w:rPr>
          <w:noProof/>
        </w:rPr>
        <w:t>s</w:t>
      </w:r>
      <w:r w:rsidR="00D56480" w:rsidRPr="00B61111">
        <w:rPr>
          <w:noProof/>
        </w:rPr>
        <w:t xml:space="preserve"> cooperation with third countries and international organisations (Article </w:t>
      </w:r>
      <w:r w:rsidR="00D56480">
        <w:rPr>
          <w:noProof/>
        </w:rPr>
        <w:t>70</w:t>
      </w:r>
      <w:r w:rsidR="00D56480" w:rsidRPr="00B61111">
        <w:rPr>
          <w:noProof/>
        </w:rPr>
        <w:t xml:space="preserve">).  </w:t>
      </w:r>
    </w:p>
    <w:p w14:paraId="1F874C11" w14:textId="77777777" w:rsidR="000E081B" w:rsidRPr="000E081B" w:rsidRDefault="000E081B" w:rsidP="000E081B">
      <w:pPr>
        <w:pBdr>
          <w:top w:val="nil"/>
          <w:left w:val="nil"/>
          <w:bottom w:val="nil"/>
          <w:right w:val="nil"/>
          <w:between w:val="nil"/>
          <w:bar w:val="nil"/>
        </w:pBdr>
        <w:spacing w:before="0" w:after="240"/>
        <w:rPr>
          <w:b/>
          <w:bCs/>
          <w:noProof/>
        </w:rPr>
      </w:pPr>
      <w:r w:rsidRPr="000E081B">
        <w:rPr>
          <w:b/>
          <w:bCs/>
          <w:noProof/>
        </w:rPr>
        <w:t>TITLE III: EUROPEAN CYBERSECURITY CERTIFICATION FRAMEWORK</w:t>
      </w:r>
    </w:p>
    <w:p w14:paraId="247DE8D8" w14:textId="77777777" w:rsidR="007014E6" w:rsidRPr="005B66EE" w:rsidRDefault="007014E6" w:rsidP="007014E6">
      <w:pPr>
        <w:pBdr>
          <w:top w:val="nil"/>
          <w:left w:val="nil"/>
          <w:bottom w:val="nil"/>
          <w:right w:val="nil"/>
          <w:between w:val="nil"/>
          <w:bar w:val="nil"/>
        </w:pBdr>
        <w:spacing w:before="0" w:after="240"/>
        <w:rPr>
          <w:noProof/>
        </w:rPr>
      </w:pPr>
      <w:r w:rsidRPr="005B66EE">
        <w:rPr>
          <w:noProof/>
        </w:rPr>
        <w:t xml:space="preserve">Title III of the </w:t>
      </w:r>
      <w:r>
        <w:rPr>
          <w:noProof/>
        </w:rPr>
        <w:t>proposed r</w:t>
      </w:r>
      <w:r w:rsidRPr="005B66EE">
        <w:rPr>
          <w:noProof/>
        </w:rPr>
        <w:t>egulation establishes the E</w:t>
      </w:r>
      <w:r>
        <w:rPr>
          <w:noProof/>
        </w:rPr>
        <w:t>CCF</w:t>
      </w:r>
      <w:r w:rsidRPr="005B66EE">
        <w:rPr>
          <w:noProof/>
        </w:rPr>
        <w:t>.</w:t>
      </w:r>
    </w:p>
    <w:p w14:paraId="0D5A6796" w14:textId="77777777" w:rsidR="000E081B" w:rsidRDefault="000E081B" w:rsidP="000E081B">
      <w:pPr>
        <w:pBdr>
          <w:top w:val="nil"/>
          <w:left w:val="nil"/>
          <w:bottom w:val="nil"/>
          <w:right w:val="nil"/>
          <w:between w:val="nil"/>
          <w:bar w:val="nil"/>
        </w:pBdr>
        <w:spacing w:before="0" w:after="240"/>
        <w:rPr>
          <w:rFonts w:eastAsia="Times New Roman"/>
          <w:noProof/>
          <w:color w:val="333333"/>
          <w:lang w:eastAsia="en-IE"/>
        </w:rPr>
      </w:pPr>
      <w:r>
        <w:rPr>
          <w:noProof/>
        </w:rPr>
        <w:t xml:space="preserve">Chapter I introduces the objectives, scope and procedures of the framework. The objectives (Article 71) include to </w:t>
      </w:r>
      <w:r w:rsidR="007014E6">
        <w:rPr>
          <w:noProof/>
        </w:rPr>
        <w:t>strengthen</w:t>
      </w:r>
      <w:r w:rsidR="007014E6" w:rsidRPr="005B66EE">
        <w:rPr>
          <w:noProof/>
        </w:rPr>
        <w:t xml:space="preserve"> </w:t>
      </w:r>
      <w:r>
        <w:rPr>
          <w:noProof/>
        </w:rPr>
        <w:t xml:space="preserve">cybersecurity across the </w:t>
      </w:r>
      <w:r w:rsidR="007014E6" w:rsidRPr="005B66EE">
        <w:rPr>
          <w:noProof/>
        </w:rPr>
        <w:t>U</w:t>
      </w:r>
      <w:r w:rsidR="007014E6">
        <w:rPr>
          <w:noProof/>
        </w:rPr>
        <w:t>nion</w:t>
      </w:r>
      <w:r>
        <w:rPr>
          <w:noProof/>
        </w:rPr>
        <w:t xml:space="preserve"> and facilitate a harmoni</w:t>
      </w:r>
      <w:r w:rsidR="00113D71">
        <w:rPr>
          <w:noProof/>
        </w:rPr>
        <w:t>s</w:t>
      </w:r>
      <w:r>
        <w:rPr>
          <w:noProof/>
        </w:rPr>
        <w:t xml:space="preserve">ed approach to the certification of </w:t>
      </w:r>
      <w:r w:rsidRPr="344FA351">
        <w:rPr>
          <w:rFonts w:eastAsia="Times New Roman"/>
          <w:noProof/>
          <w:color w:val="000000" w:themeColor="text1"/>
          <w:lang w:eastAsia="en-IE"/>
        </w:rPr>
        <w:t>ICT products, ICT services, ICT processes, managed security services or cyber posture of entities</w:t>
      </w:r>
      <w:r>
        <w:rPr>
          <w:rFonts w:eastAsia="Times New Roman"/>
          <w:noProof/>
          <w:color w:val="000000" w:themeColor="text1"/>
          <w:lang w:eastAsia="en-IE"/>
        </w:rPr>
        <w:t xml:space="preserve">. The framework should also </w:t>
      </w:r>
      <w:r w:rsidRPr="344FA351">
        <w:rPr>
          <w:rFonts w:eastAsia="Times New Roman"/>
          <w:noProof/>
          <w:color w:val="000000" w:themeColor="text1"/>
          <w:lang w:eastAsia="en-IE"/>
        </w:rPr>
        <w:t>leverag</w:t>
      </w:r>
      <w:r>
        <w:rPr>
          <w:rFonts w:eastAsia="Times New Roman"/>
          <w:noProof/>
          <w:color w:val="000000" w:themeColor="text1"/>
          <w:lang w:eastAsia="en-IE"/>
        </w:rPr>
        <w:t>e</w:t>
      </w:r>
      <w:r w:rsidRPr="344FA351">
        <w:rPr>
          <w:rFonts w:eastAsia="Times New Roman"/>
          <w:noProof/>
          <w:color w:val="000000" w:themeColor="text1"/>
          <w:lang w:eastAsia="en-IE"/>
        </w:rPr>
        <w:t xml:space="preserve"> certification to </w:t>
      </w:r>
      <w:r>
        <w:rPr>
          <w:rFonts w:eastAsia="Times New Roman"/>
          <w:noProof/>
          <w:color w:val="000000" w:themeColor="text1"/>
          <w:lang w:eastAsia="en-IE"/>
        </w:rPr>
        <w:t>simplify</w:t>
      </w:r>
      <w:r w:rsidRPr="344FA351">
        <w:rPr>
          <w:rFonts w:eastAsia="Times New Roman"/>
          <w:noProof/>
          <w:color w:val="000000" w:themeColor="text1"/>
          <w:lang w:eastAsia="en-IE"/>
        </w:rPr>
        <w:t xml:space="preserve"> compliance with applicable Union legislation through presumption of conformity</w:t>
      </w:r>
      <w:r w:rsidR="00CA0D2E">
        <w:rPr>
          <w:rFonts w:eastAsia="Times New Roman"/>
          <w:noProof/>
          <w:color w:val="000000" w:themeColor="text1"/>
          <w:lang w:eastAsia="en-IE"/>
        </w:rPr>
        <w:t>,</w:t>
      </w:r>
      <w:r w:rsidRPr="344FA351">
        <w:rPr>
          <w:rFonts w:eastAsia="Times New Roman"/>
          <w:noProof/>
          <w:color w:val="000000" w:themeColor="text1"/>
          <w:lang w:eastAsia="en-IE"/>
        </w:rPr>
        <w:t xml:space="preserve"> </w:t>
      </w:r>
      <w:r w:rsidR="007014E6">
        <w:rPr>
          <w:rFonts w:eastAsia="Times New Roman"/>
          <w:noProof/>
          <w:color w:val="000000" w:themeColor="text1"/>
          <w:lang w:eastAsia="en-IE"/>
        </w:rPr>
        <w:t>thereby</w:t>
      </w:r>
      <w:r w:rsidR="007014E6" w:rsidRPr="005B66EE">
        <w:rPr>
          <w:rFonts w:eastAsia="Times New Roman"/>
          <w:noProof/>
          <w:color w:val="000000" w:themeColor="text1"/>
          <w:lang w:eastAsia="en-IE"/>
        </w:rPr>
        <w:t xml:space="preserve"> </w:t>
      </w:r>
      <w:r>
        <w:rPr>
          <w:rFonts w:eastAsia="Times New Roman"/>
          <w:noProof/>
          <w:color w:val="000000" w:themeColor="text1"/>
          <w:lang w:eastAsia="en-IE"/>
        </w:rPr>
        <w:t xml:space="preserve">reducing the burden for businesses </w:t>
      </w:r>
      <w:r w:rsidRPr="344FA351">
        <w:rPr>
          <w:rFonts w:eastAsia="Times New Roman"/>
          <w:noProof/>
          <w:color w:val="000000" w:themeColor="text1"/>
          <w:lang w:eastAsia="en-IE"/>
        </w:rPr>
        <w:t>(Article 78)</w:t>
      </w:r>
      <w:r>
        <w:rPr>
          <w:noProof/>
        </w:rPr>
        <w:t>. Chapter</w:t>
      </w:r>
      <w:r w:rsidR="007014E6">
        <w:rPr>
          <w:noProof/>
        </w:rPr>
        <w:t> I</w:t>
      </w:r>
      <w:r>
        <w:rPr>
          <w:noProof/>
        </w:rPr>
        <w:t xml:space="preserve"> then details procedural aspects, starting with consultations on</w:t>
      </w:r>
      <w:r w:rsidDel="00EA27D1">
        <w:rPr>
          <w:noProof/>
        </w:rPr>
        <w:t xml:space="preserve"> </w:t>
      </w:r>
      <w:r>
        <w:rPr>
          <w:rFonts w:eastAsia="Times New Roman"/>
          <w:noProof/>
          <w:color w:val="333333"/>
          <w:lang w:eastAsia="en-IE"/>
        </w:rPr>
        <w:t>strategic</w:t>
      </w:r>
      <w:r w:rsidRPr="344FA351">
        <w:rPr>
          <w:rFonts w:eastAsia="Times New Roman"/>
          <w:noProof/>
          <w:color w:val="333333"/>
          <w:lang w:eastAsia="en-IE"/>
        </w:rPr>
        <w:t xml:space="preserve"> European cybersecurity certification priorities and public information related to scheme development</w:t>
      </w:r>
      <w:r>
        <w:rPr>
          <w:rFonts w:eastAsia="Times New Roman"/>
          <w:noProof/>
          <w:color w:val="333333"/>
          <w:lang w:eastAsia="en-IE"/>
        </w:rPr>
        <w:t xml:space="preserve"> by the Commission and the creation of a new European Cybersecurity Certification Assembly</w:t>
      </w:r>
      <w:r w:rsidRPr="344FA351">
        <w:rPr>
          <w:rFonts w:eastAsia="Times New Roman"/>
          <w:noProof/>
          <w:color w:val="333333"/>
          <w:lang w:eastAsia="en-IE"/>
        </w:rPr>
        <w:t xml:space="preserve"> (Article 7</w:t>
      </w:r>
      <w:r>
        <w:rPr>
          <w:rFonts w:eastAsia="Times New Roman"/>
          <w:noProof/>
          <w:color w:val="333333"/>
          <w:lang w:eastAsia="en-IE"/>
        </w:rPr>
        <w:t>2</w:t>
      </w:r>
      <w:r w:rsidRPr="344FA351">
        <w:rPr>
          <w:rFonts w:eastAsia="Times New Roman"/>
          <w:noProof/>
          <w:color w:val="333333"/>
          <w:lang w:eastAsia="en-IE"/>
        </w:rPr>
        <w:t>)</w:t>
      </w:r>
      <w:r>
        <w:rPr>
          <w:rFonts w:eastAsia="Times New Roman"/>
          <w:noProof/>
          <w:color w:val="333333"/>
          <w:lang w:eastAsia="en-IE"/>
        </w:rPr>
        <w:t>.</w:t>
      </w:r>
      <w:r w:rsidRPr="344FA351">
        <w:rPr>
          <w:rFonts w:eastAsia="Times New Roman"/>
          <w:noProof/>
          <w:color w:val="333333"/>
          <w:lang w:eastAsia="en-IE"/>
        </w:rPr>
        <w:t xml:space="preserve"> </w:t>
      </w:r>
      <w:r>
        <w:rPr>
          <w:rFonts w:eastAsia="Times New Roman"/>
          <w:noProof/>
          <w:color w:val="333333"/>
          <w:lang w:eastAsia="en-IE"/>
        </w:rPr>
        <w:t xml:space="preserve">Following a detailed </w:t>
      </w:r>
      <w:r w:rsidRPr="344FA351">
        <w:rPr>
          <w:rFonts w:eastAsia="Times New Roman"/>
          <w:noProof/>
          <w:color w:val="333333"/>
          <w:lang w:eastAsia="en-IE"/>
        </w:rPr>
        <w:t xml:space="preserve">request </w:t>
      </w:r>
      <w:r>
        <w:rPr>
          <w:rFonts w:eastAsia="Times New Roman"/>
          <w:noProof/>
          <w:color w:val="333333"/>
          <w:lang w:eastAsia="en-IE"/>
        </w:rPr>
        <w:t>by the Commission</w:t>
      </w:r>
      <w:r w:rsidRPr="344FA351">
        <w:rPr>
          <w:rFonts w:eastAsia="Times New Roman"/>
          <w:noProof/>
          <w:color w:val="333333"/>
          <w:lang w:eastAsia="en-IE"/>
        </w:rPr>
        <w:t xml:space="preserve"> (Article 7</w:t>
      </w:r>
      <w:r>
        <w:rPr>
          <w:rFonts w:eastAsia="Times New Roman"/>
          <w:noProof/>
          <w:color w:val="333333"/>
          <w:lang w:eastAsia="en-IE"/>
        </w:rPr>
        <w:t>3</w:t>
      </w:r>
      <w:r w:rsidRPr="344FA351">
        <w:rPr>
          <w:rFonts w:eastAsia="Times New Roman"/>
          <w:noProof/>
          <w:color w:val="333333"/>
          <w:lang w:eastAsia="en-IE"/>
        </w:rPr>
        <w:t>)</w:t>
      </w:r>
      <w:r>
        <w:rPr>
          <w:rFonts w:eastAsia="Times New Roman"/>
          <w:noProof/>
          <w:color w:val="333333"/>
          <w:lang w:eastAsia="en-IE"/>
        </w:rPr>
        <w:t xml:space="preserve">, ENISA is expected to deliver a candidate scheme within 12 months. </w:t>
      </w:r>
      <w:r w:rsidR="007014E6" w:rsidRPr="005B66EE">
        <w:rPr>
          <w:rFonts w:eastAsia="Times New Roman"/>
          <w:noProof/>
          <w:color w:val="333333"/>
          <w:lang w:eastAsia="en-IE"/>
        </w:rPr>
        <w:t>Article 74</w:t>
      </w:r>
      <w:r>
        <w:rPr>
          <w:rFonts w:eastAsia="Times New Roman"/>
          <w:noProof/>
          <w:color w:val="333333"/>
          <w:lang w:eastAsia="en-IE"/>
        </w:rPr>
        <w:t xml:space="preserve"> </w:t>
      </w:r>
      <w:r w:rsidR="007014E6">
        <w:rPr>
          <w:rFonts w:eastAsia="Times New Roman"/>
          <w:noProof/>
          <w:color w:val="333333"/>
          <w:lang w:eastAsia="en-IE"/>
        </w:rPr>
        <w:t>provides for</w:t>
      </w:r>
      <w:r w:rsidR="007014E6" w:rsidRPr="005B66EE">
        <w:rPr>
          <w:rFonts w:eastAsia="Times New Roman"/>
          <w:noProof/>
          <w:color w:val="333333"/>
          <w:lang w:eastAsia="en-IE"/>
        </w:rPr>
        <w:t xml:space="preserve"> </w:t>
      </w:r>
      <w:r>
        <w:rPr>
          <w:rFonts w:eastAsia="Times New Roman"/>
          <w:noProof/>
          <w:color w:val="333333"/>
          <w:lang w:eastAsia="en-IE"/>
        </w:rPr>
        <w:t xml:space="preserve">additional timelines related to the submission of the </w:t>
      </w:r>
      <w:r w:rsidR="007014E6" w:rsidRPr="005B66EE">
        <w:rPr>
          <w:rFonts w:eastAsia="Times New Roman"/>
          <w:noProof/>
          <w:color w:val="333333"/>
          <w:lang w:eastAsia="en-IE"/>
        </w:rPr>
        <w:t>ECCG</w:t>
      </w:r>
      <w:r w:rsidR="007014E6">
        <w:rPr>
          <w:rFonts w:eastAsia="Times New Roman"/>
          <w:noProof/>
          <w:color w:val="333333"/>
          <w:lang w:eastAsia="en-IE"/>
        </w:rPr>
        <w:t>’s</w:t>
      </w:r>
      <w:r>
        <w:rPr>
          <w:rFonts w:eastAsia="Times New Roman"/>
          <w:noProof/>
          <w:color w:val="333333"/>
          <w:lang w:eastAsia="en-IE"/>
        </w:rPr>
        <w:t xml:space="preserve"> opinion and the submission of the scheme in view of </w:t>
      </w:r>
      <w:r w:rsidR="007014E6">
        <w:rPr>
          <w:rFonts w:eastAsia="Times New Roman"/>
          <w:noProof/>
          <w:color w:val="333333"/>
          <w:lang w:eastAsia="en-IE"/>
        </w:rPr>
        <w:t xml:space="preserve">its </w:t>
      </w:r>
      <w:r w:rsidRPr="344FA351">
        <w:rPr>
          <w:rFonts w:eastAsia="Times New Roman"/>
          <w:noProof/>
          <w:color w:val="333333"/>
          <w:lang w:eastAsia="en-IE"/>
        </w:rPr>
        <w:t xml:space="preserve">adoption </w:t>
      </w:r>
      <w:r>
        <w:rPr>
          <w:rFonts w:eastAsia="Times New Roman"/>
          <w:noProof/>
          <w:color w:val="333333"/>
          <w:lang w:eastAsia="en-IE"/>
        </w:rPr>
        <w:t>by the Commission</w:t>
      </w:r>
      <w:r w:rsidRPr="344FA351">
        <w:rPr>
          <w:rFonts w:eastAsia="Times New Roman"/>
          <w:noProof/>
          <w:color w:val="333333"/>
          <w:lang w:eastAsia="en-IE"/>
        </w:rPr>
        <w:t xml:space="preserve">. </w:t>
      </w:r>
      <w:r w:rsidR="007014E6" w:rsidRPr="005B66EE">
        <w:rPr>
          <w:rFonts w:eastAsia="Times New Roman"/>
          <w:noProof/>
          <w:color w:val="333333"/>
          <w:lang w:eastAsia="en-IE"/>
        </w:rPr>
        <w:t>Article 75</w:t>
      </w:r>
      <w:r w:rsidR="007014E6">
        <w:rPr>
          <w:rFonts w:eastAsia="Times New Roman"/>
          <w:noProof/>
          <w:color w:val="333333"/>
          <w:lang w:eastAsia="en-IE"/>
        </w:rPr>
        <w:t xml:space="preserve"> </w:t>
      </w:r>
      <w:r w:rsidRPr="344FA351">
        <w:rPr>
          <w:rFonts w:eastAsia="Times New Roman"/>
          <w:noProof/>
          <w:color w:val="333333"/>
          <w:lang w:eastAsia="en-IE"/>
        </w:rPr>
        <w:t xml:space="preserve">introduces a </w:t>
      </w:r>
      <w:r>
        <w:rPr>
          <w:rFonts w:eastAsia="Times New Roman"/>
          <w:noProof/>
          <w:color w:val="333333"/>
          <w:lang w:eastAsia="en-IE"/>
        </w:rPr>
        <w:t>clear</w:t>
      </w:r>
      <w:r w:rsidRPr="344FA351">
        <w:rPr>
          <w:rFonts w:eastAsia="Times New Roman"/>
          <w:noProof/>
          <w:color w:val="333333"/>
          <w:lang w:eastAsia="en-IE"/>
        </w:rPr>
        <w:t xml:space="preserve"> maintenance </w:t>
      </w:r>
      <w:r>
        <w:rPr>
          <w:rFonts w:eastAsia="Times New Roman"/>
          <w:noProof/>
          <w:color w:val="333333"/>
          <w:lang w:eastAsia="en-IE"/>
        </w:rPr>
        <w:t>mechanism</w:t>
      </w:r>
      <w:r w:rsidRPr="344FA351">
        <w:rPr>
          <w:rFonts w:eastAsia="Times New Roman"/>
          <w:noProof/>
          <w:color w:val="333333"/>
          <w:lang w:eastAsia="en-IE"/>
        </w:rPr>
        <w:t xml:space="preserve"> </w:t>
      </w:r>
      <w:r>
        <w:rPr>
          <w:rFonts w:eastAsia="Times New Roman"/>
          <w:noProof/>
          <w:color w:val="333333"/>
          <w:lang w:eastAsia="en-IE"/>
        </w:rPr>
        <w:t>for existing schemes</w:t>
      </w:r>
      <w:r w:rsidR="007014E6">
        <w:rPr>
          <w:rFonts w:eastAsia="Times New Roman"/>
          <w:noProof/>
          <w:color w:val="333333"/>
          <w:lang w:eastAsia="en-IE"/>
        </w:rPr>
        <w:t>, which</w:t>
      </w:r>
      <w:r>
        <w:rPr>
          <w:rFonts w:eastAsia="Times New Roman"/>
          <w:noProof/>
          <w:color w:val="333333"/>
          <w:lang w:eastAsia="en-IE"/>
        </w:rPr>
        <w:t xml:space="preserve"> might lead to the review of such schemes (Article 76</w:t>
      </w:r>
      <w:r w:rsidRPr="344FA351">
        <w:rPr>
          <w:rFonts w:eastAsia="Times New Roman"/>
          <w:noProof/>
          <w:color w:val="333333"/>
          <w:lang w:eastAsia="en-IE"/>
        </w:rPr>
        <w:t>)</w:t>
      </w:r>
      <w:r>
        <w:rPr>
          <w:rFonts w:eastAsia="Times New Roman"/>
          <w:noProof/>
          <w:color w:val="333333"/>
          <w:lang w:eastAsia="en-IE"/>
        </w:rPr>
        <w:t>. The review of a scheme might be further informed by</w:t>
      </w:r>
      <w:r w:rsidRPr="344FA351" w:rsidDel="00297A37">
        <w:rPr>
          <w:rFonts w:eastAsia="Times New Roman"/>
          <w:noProof/>
          <w:color w:val="333333"/>
          <w:lang w:eastAsia="en-IE"/>
        </w:rPr>
        <w:t xml:space="preserve"> </w:t>
      </w:r>
      <w:r w:rsidRPr="344FA351">
        <w:rPr>
          <w:rFonts w:eastAsia="Times New Roman"/>
          <w:noProof/>
          <w:color w:val="333333"/>
          <w:lang w:eastAsia="en-IE"/>
        </w:rPr>
        <w:t xml:space="preserve">a periodical evaluation of </w:t>
      </w:r>
      <w:r w:rsidR="007014E6">
        <w:rPr>
          <w:rFonts w:eastAsia="Times New Roman"/>
          <w:noProof/>
          <w:color w:val="333333"/>
          <w:lang w:eastAsia="en-IE"/>
        </w:rPr>
        <w:t xml:space="preserve">the scheme’s </w:t>
      </w:r>
      <w:r w:rsidR="00435B66">
        <w:rPr>
          <w:rFonts w:eastAsia="Times New Roman"/>
          <w:noProof/>
          <w:color w:val="333333"/>
          <w:lang w:eastAsia="en-IE"/>
        </w:rPr>
        <w:t xml:space="preserve">effectiveness and </w:t>
      </w:r>
      <w:r w:rsidRPr="344FA351">
        <w:rPr>
          <w:rFonts w:eastAsia="Times New Roman"/>
          <w:noProof/>
          <w:color w:val="333333"/>
          <w:lang w:eastAsia="en-IE"/>
        </w:rPr>
        <w:t xml:space="preserve">impact </w:t>
      </w:r>
      <w:r w:rsidR="007014E6">
        <w:rPr>
          <w:rFonts w:eastAsia="Times New Roman"/>
          <w:noProof/>
          <w:color w:val="333333"/>
          <w:lang w:eastAsia="en-IE"/>
        </w:rPr>
        <w:t xml:space="preserve">on </w:t>
      </w:r>
      <w:r w:rsidR="00435B66">
        <w:rPr>
          <w:rFonts w:eastAsia="Times New Roman"/>
          <w:noProof/>
          <w:color w:val="333333"/>
          <w:lang w:eastAsia="en-IE"/>
        </w:rPr>
        <w:t>the Single Market.</w:t>
      </w:r>
      <w:r w:rsidR="007014E6">
        <w:rPr>
          <w:rFonts w:eastAsia="Times New Roman"/>
          <w:noProof/>
          <w:color w:val="333333"/>
          <w:lang w:eastAsia="en-IE"/>
        </w:rPr>
        <w:t xml:space="preserve"> </w:t>
      </w:r>
      <w:r w:rsidRPr="344FA351">
        <w:rPr>
          <w:rFonts w:eastAsia="Times New Roman"/>
          <w:noProof/>
          <w:color w:val="333333"/>
          <w:lang w:eastAsia="en-IE"/>
        </w:rPr>
        <w:t>Article 7</w:t>
      </w:r>
      <w:r>
        <w:rPr>
          <w:rFonts w:eastAsia="Times New Roman"/>
          <w:noProof/>
          <w:color w:val="333333"/>
          <w:lang w:eastAsia="en-IE"/>
        </w:rPr>
        <w:t>7</w:t>
      </w:r>
      <w:r w:rsidRPr="344FA351">
        <w:rPr>
          <w:rFonts w:eastAsia="Times New Roman"/>
          <w:noProof/>
          <w:color w:val="333333"/>
          <w:lang w:eastAsia="en-IE"/>
        </w:rPr>
        <w:t xml:space="preserve"> provides a basis for ENISA to </w:t>
      </w:r>
      <w:r w:rsidRPr="344FA351">
        <w:rPr>
          <w:rFonts w:eastAsia="Times New Roman"/>
          <w:noProof/>
          <w:color w:val="000000" w:themeColor="text1"/>
          <w:lang w:eastAsia="en-IE"/>
        </w:rPr>
        <w:t xml:space="preserve">draw </w:t>
      </w:r>
      <w:r w:rsidR="007014E6">
        <w:rPr>
          <w:rFonts w:eastAsia="Times New Roman"/>
          <w:noProof/>
          <w:color w:val="000000" w:themeColor="text1"/>
          <w:lang w:eastAsia="en-IE"/>
        </w:rPr>
        <w:t xml:space="preserve">up </w:t>
      </w:r>
      <w:r w:rsidRPr="344FA351">
        <w:rPr>
          <w:rFonts w:eastAsia="Times New Roman"/>
          <w:noProof/>
          <w:color w:val="000000" w:themeColor="text1"/>
          <w:lang w:eastAsia="en-IE"/>
        </w:rPr>
        <w:t xml:space="preserve">technical specifications in support of the development and maintenance of European cybersecurity </w:t>
      </w:r>
      <w:r w:rsidRPr="344FA351">
        <w:rPr>
          <w:rFonts w:eastAsia="Times New Roman"/>
          <w:noProof/>
          <w:color w:val="333333"/>
          <w:lang w:eastAsia="en-IE"/>
        </w:rPr>
        <w:t xml:space="preserve">certification schemes. </w:t>
      </w:r>
      <w:r>
        <w:rPr>
          <w:rFonts w:eastAsia="Times New Roman"/>
          <w:noProof/>
          <w:color w:val="333333"/>
          <w:lang w:eastAsia="en-IE"/>
        </w:rPr>
        <w:t xml:space="preserve">When adopting or reviewing a scheme, the Commission may include </w:t>
      </w:r>
      <w:r w:rsidR="007014E6" w:rsidRPr="005B66EE">
        <w:rPr>
          <w:rFonts w:eastAsia="Times New Roman"/>
          <w:noProof/>
          <w:color w:val="333333"/>
          <w:lang w:eastAsia="en-IE"/>
        </w:rPr>
        <w:t>reference</w:t>
      </w:r>
      <w:r w:rsidR="007014E6">
        <w:rPr>
          <w:rFonts w:eastAsia="Times New Roman"/>
          <w:noProof/>
          <w:color w:val="333333"/>
          <w:lang w:eastAsia="en-IE"/>
        </w:rPr>
        <w:t>s</w:t>
      </w:r>
      <w:r>
        <w:rPr>
          <w:rFonts w:eastAsia="Times New Roman"/>
          <w:noProof/>
          <w:color w:val="333333"/>
          <w:lang w:eastAsia="en-IE"/>
        </w:rPr>
        <w:t xml:space="preserve"> </w:t>
      </w:r>
      <w:r w:rsidR="003D23D8">
        <w:rPr>
          <w:rFonts w:eastAsia="Times New Roman"/>
          <w:noProof/>
          <w:color w:val="333333"/>
          <w:lang w:eastAsia="en-IE"/>
        </w:rPr>
        <w:t xml:space="preserve">to </w:t>
      </w:r>
      <w:r>
        <w:rPr>
          <w:rFonts w:eastAsia="Times New Roman"/>
          <w:noProof/>
          <w:color w:val="333333"/>
          <w:lang w:eastAsia="en-IE"/>
        </w:rPr>
        <w:t>such technical specifications (Article 74).</w:t>
      </w:r>
      <w:r w:rsidRPr="344FA351">
        <w:rPr>
          <w:rFonts w:eastAsia="Times New Roman"/>
          <w:noProof/>
          <w:color w:val="333333"/>
          <w:lang w:eastAsia="en-IE"/>
        </w:rPr>
        <w:t xml:space="preserve"> The </w:t>
      </w:r>
      <w:r>
        <w:rPr>
          <w:rFonts w:eastAsia="Times New Roman"/>
          <w:noProof/>
          <w:color w:val="333333"/>
          <w:lang w:eastAsia="en-IE"/>
        </w:rPr>
        <w:t xml:space="preserve">various </w:t>
      </w:r>
      <w:r w:rsidRPr="344FA351">
        <w:rPr>
          <w:rFonts w:eastAsia="Times New Roman"/>
          <w:noProof/>
          <w:color w:val="333333"/>
          <w:lang w:eastAsia="en-IE"/>
        </w:rPr>
        <w:t xml:space="preserve">procedures ensure transparency and quality of delivery by engaging expert and general stakeholders at various stages of </w:t>
      </w:r>
      <w:r w:rsidR="007014E6">
        <w:rPr>
          <w:rFonts w:eastAsia="Times New Roman"/>
          <w:noProof/>
          <w:color w:val="333333"/>
          <w:lang w:eastAsia="en-IE"/>
        </w:rPr>
        <w:t xml:space="preserve">the </w:t>
      </w:r>
      <w:r w:rsidRPr="344FA351">
        <w:rPr>
          <w:rFonts w:eastAsia="Times New Roman"/>
          <w:noProof/>
          <w:color w:val="333333"/>
          <w:lang w:eastAsia="en-IE"/>
        </w:rPr>
        <w:t xml:space="preserve">planning, development, adoption and maintenance of certification schemes. Article </w:t>
      </w:r>
      <w:r w:rsidRPr="344FA351" w:rsidDel="00510AA7">
        <w:rPr>
          <w:rFonts w:eastAsia="Times New Roman"/>
          <w:noProof/>
          <w:color w:val="333333"/>
          <w:lang w:eastAsia="en-IE"/>
        </w:rPr>
        <w:t>79</w:t>
      </w:r>
      <w:r w:rsidRPr="344FA351">
        <w:rPr>
          <w:rFonts w:eastAsia="Times New Roman"/>
          <w:noProof/>
          <w:color w:val="333333"/>
          <w:lang w:eastAsia="en-IE"/>
        </w:rPr>
        <w:t xml:space="preserve"> </w:t>
      </w:r>
      <w:r w:rsidR="002003CF">
        <w:rPr>
          <w:rFonts w:eastAsia="Times New Roman"/>
          <w:noProof/>
          <w:color w:val="333333"/>
          <w:lang w:eastAsia="en-IE"/>
        </w:rPr>
        <w:t>provides for</w:t>
      </w:r>
      <w:r>
        <w:rPr>
          <w:rFonts w:eastAsia="Times New Roman"/>
          <w:noProof/>
          <w:color w:val="333333"/>
          <w:lang w:eastAsia="en-IE"/>
        </w:rPr>
        <w:t xml:space="preserve"> a</w:t>
      </w:r>
      <w:r w:rsidRPr="344FA351" w:rsidDel="005E667C">
        <w:rPr>
          <w:rFonts w:eastAsia="Times New Roman"/>
          <w:noProof/>
          <w:color w:val="333333"/>
          <w:lang w:eastAsia="en-IE"/>
        </w:rPr>
        <w:t xml:space="preserve"> </w:t>
      </w:r>
      <w:r w:rsidRPr="344FA351">
        <w:rPr>
          <w:rFonts w:eastAsia="Times New Roman"/>
          <w:noProof/>
          <w:color w:val="333333"/>
          <w:lang w:eastAsia="en-IE"/>
        </w:rPr>
        <w:t>dedicated ENISA website on European cybersecurity certification schemes, which ought to provide information on adopted schemes as well as European cybersecurity certificates and EU statements of conformity issued under those schemes.</w:t>
      </w:r>
    </w:p>
    <w:p w14:paraId="6044930C" w14:textId="77777777" w:rsidR="000E081B" w:rsidRDefault="000E081B" w:rsidP="000E081B">
      <w:pPr>
        <w:pBdr>
          <w:top w:val="nil"/>
          <w:left w:val="nil"/>
          <w:bottom w:val="nil"/>
          <w:right w:val="nil"/>
          <w:between w:val="nil"/>
          <w:bar w:val="nil"/>
        </w:pBdr>
        <w:spacing w:before="0" w:after="240"/>
        <w:rPr>
          <w:noProof/>
        </w:rPr>
      </w:pPr>
      <w:r w:rsidRPr="00606F2A">
        <w:rPr>
          <w:noProof/>
        </w:rPr>
        <w:t>Chapter I</w:t>
      </w:r>
      <w:r w:rsidRPr="000E47C0">
        <w:rPr>
          <w:noProof/>
        </w:rPr>
        <w:t>I</w:t>
      </w:r>
      <w:r w:rsidRPr="00606F2A">
        <w:rPr>
          <w:noProof/>
        </w:rPr>
        <w:t xml:space="preserve"> </w:t>
      </w:r>
      <w:r w:rsidRPr="000E47C0">
        <w:rPr>
          <w:noProof/>
        </w:rPr>
        <w:t xml:space="preserve">provides general rules for the content of European cybersecurity certification schemes. </w:t>
      </w:r>
    </w:p>
    <w:p w14:paraId="41CA1DFC" w14:textId="77777777" w:rsidR="00152F8F" w:rsidRPr="005B66EE" w:rsidRDefault="00152F8F" w:rsidP="00152F8F">
      <w:pPr>
        <w:pBdr>
          <w:top w:val="nil"/>
          <w:left w:val="nil"/>
          <w:bottom w:val="nil"/>
          <w:right w:val="nil"/>
          <w:between w:val="nil"/>
          <w:bar w:val="nil"/>
        </w:pBdr>
        <w:spacing w:before="0" w:after="240"/>
        <w:rPr>
          <w:rFonts w:eastAsia="Times New Roman"/>
          <w:noProof/>
          <w:color w:val="000000"/>
          <w:lang w:eastAsia="en-IE"/>
        </w:rPr>
      </w:pPr>
      <w:r w:rsidRPr="005B66EE">
        <w:rPr>
          <w:noProof/>
        </w:rPr>
        <w:t>Article 80 sets out a list of security objectives against which a scheme is to be designed by ENISA and ensures alignment with relevant cybersecurity legislation. Each European cybersecurity certification scheme may provide for elements specified in Article 81</w:t>
      </w:r>
      <w:r>
        <w:rPr>
          <w:noProof/>
        </w:rPr>
        <w:t>. These elements</w:t>
      </w:r>
      <w:r w:rsidRPr="005B66EE">
        <w:rPr>
          <w:noProof/>
        </w:rPr>
        <w:t xml:space="preserve"> </w:t>
      </w:r>
      <w:r>
        <w:rPr>
          <w:noProof/>
        </w:rPr>
        <w:t>must</w:t>
      </w:r>
      <w:r w:rsidRPr="005B66EE">
        <w:rPr>
          <w:noProof/>
        </w:rPr>
        <w:t xml:space="preserve"> be compatible with Union legislation and may be </w:t>
      </w:r>
      <w:r w:rsidR="00435B66">
        <w:rPr>
          <w:noProof/>
        </w:rPr>
        <w:t>harmonised</w:t>
      </w:r>
      <w:r w:rsidRPr="005B66EE">
        <w:rPr>
          <w:noProof/>
        </w:rPr>
        <w:t xml:space="preserve"> across schemes </w:t>
      </w:r>
      <w:r>
        <w:rPr>
          <w:noProof/>
        </w:rPr>
        <w:t xml:space="preserve">using </w:t>
      </w:r>
      <w:r w:rsidRPr="005B66EE">
        <w:rPr>
          <w:noProof/>
        </w:rPr>
        <w:t xml:space="preserve">model provisions. Both provisions </w:t>
      </w:r>
      <w:r>
        <w:rPr>
          <w:noProof/>
        </w:rPr>
        <w:t>provide the</w:t>
      </w:r>
      <w:r w:rsidRPr="005B66EE">
        <w:rPr>
          <w:noProof/>
        </w:rPr>
        <w:t xml:space="preserve"> </w:t>
      </w:r>
      <w:r>
        <w:rPr>
          <w:noProof/>
        </w:rPr>
        <w:t xml:space="preserve">necessary </w:t>
      </w:r>
      <w:r w:rsidRPr="005B66EE">
        <w:rPr>
          <w:noProof/>
        </w:rPr>
        <w:t xml:space="preserve">flexibility to adapt to different types of schemes. Additional provisions </w:t>
      </w:r>
      <w:r>
        <w:rPr>
          <w:noProof/>
        </w:rPr>
        <w:t xml:space="preserve">specify </w:t>
      </w:r>
      <w:r w:rsidRPr="005B66EE">
        <w:rPr>
          <w:noProof/>
        </w:rPr>
        <w:t>the rules related to assurance levels (Article 82) and conformity self-assessment (Article 83).</w:t>
      </w:r>
      <w:r w:rsidRPr="005B66EE" w:rsidDel="0000399B">
        <w:rPr>
          <w:noProof/>
        </w:rPr>
        <w:t xml:space="preserve"> </w:t>
      </w:r>
      <w:r w:rsidRPr="005B66EE">
        <w:rPr>
          <w:noProof/>
        </w:rPr>
        <w:t xml:space="preserve">The chapter further sets out a list of supplementary information (Article 84) </w:t>
      </w:r>
      <w:r w:rsidRPr="005B66EE">
        <w:rPr>
          <w:rFonts w:eastAsia="Times New Roman"/>
          <w:noProof/>
          <w:color w:val="000000"/>
          <w:lang w:eastAsia="en-IE"/>
        </w:rPr>
        <w:t xml:space="preserve">that the </w:t>
      </w:r>
      <w:r w:rsidRPr="005B66EE">
        <w:rPr>
          <w:rFonts w:eastAsia="Times New Roman"/>
          <w:noProof/>
          <w:color w:val="000000" w:themeColor="text1"/>
        </w:rPr>
        <w:t xml:space="preserve">manufacturer or provider of ICT products, ICT services or ICT processes </w:t>
      </w:r>
      <w:r>
        <w:rPr>
          <w:rFonts w:eastAsia="Times New Roman"/>
          <w:noProof/>
          <w:color w:val="000000"/>
          <w:lang w:eastAsia="en-IE"/>
        </w:rPr>
        <w:t>must</w:t>
      </w:r>
      <w:r w:rsidRPr="005B66EE">
        <w:rPr>
          <w:rFonts w:eastAsia="Times New Roman"/>
          <w:noProof/>
          <w:color w:val="000000"/>
          <w:lang w:eastAsia="en-IE"/>
        </w:rPr>
        <w:t xml:space="preserve"> make available.</w:t>
      </w:r>
    </w:p>
    <w:p w14:paraId="01ED123C" w14:textId="77777777" w:rsidR="000E081B" w:rsidRPr="00E908D6" w:rsidRDefault="000E081B" w:rsidP="000E081B">
      <w:pPr>
        <w:pBdr>
          <w:top w:val="nil"/>
          <w:left w:val="nil"/>
          <w:bottom w:val="nil"/>
          <w:right w:val="nil"/>
          <w:between w:val="nil"/>
          <w:bar w:val="nil"/>
        </w:pBdr>
        <w:spacing w:before="0" w:after="240"/>
        <w:rPr>
          <w:noProof/>
        </w:rPr>
      </w:pPr>
      <w:r>
        <w:rPr>
          <w:rFonts w:eastAsia="Times New Roman"/>
          <w:noProof/>
          <w:color w:val="000000"/>
          <w:lang w:eastAsia="en-IE"/>
        </w:rPr>
        <w:t xml:space="preserve">Finally, Chapter </w:t>
      </w:r>
      <w:r w:rsidRPr="000E081B">
        <w:rPr>
          <w:noProof/>
        </w:rPr>
        <w:t>III</w:t>
      </w:r>
      <w:r>
        <w:rPr>
          <w:rFonts w:eastAsia="Times New Roman"/>
          <w:noProof/>
          <w:color w:val="000000"/>
          <w:lang w:eastAsia="en-IE"/>
        </w:rPr>
        <w:t xml:space="preserve"> establishes the rules of governance for </w:t>
      </w:r>
      <w:r w:rsidRPr="00F64347">
        <w:rPr>
          <w:rFonts w:eastAsia="Times New Roman"/>
          <w:noProof/>
          <w:color w:val="000000"/>
          <w:lang w:eastAsia="en-IE"/>
        </w:rPr>
        <w:t xml:space="preserve">the </w:t>
      </w:r>
      <w:r w:rsidR="00072F43" w:rsidRPr="005B66EE">
        <w:rPr>
          <w:rFonts w:eastAsia="Times New Roman"/>
          <w:noProof/>
          <w:color w:val="000000"/>
          <w:lang w:eastAsia="en-IE"/>
        </w:rPr>
        <w:t>E</w:t>
      </w:r>
      <w:r w:rsidR="00072F43">
        <w:rPr>
          <w:rFonts w:eastAsia="Times New Roman"/>
          <w:noProof/>
          <w:color w:val="000000"/>
          <w:lang w:eastAsia="en-IE"/>
        </w:rPr>
        <w:t>CCF, divided</w:t>
      </w:r>
      <w:r>
        <w:rPr>
          <w:rFonts w:eastAsia="Times New Roman"/>
          <w:noProof/>
          <w:color w:val="000000"/>
          <w:lang w:eastAsia="en-IE"/>
        </w:rPr>
        <w:t xml:space="preserve"> </w:t>
      </w:r>
      <w:r w:rsidR="00072F43" w:rsidRPr="005B66EE">
        <w:rPr>
          <w:noProof/>
        </w:rPr>
        <w:t>in</w:t>
      </w:r>
      <w:r w:rsidR="00072F43">
        <w:rPr>
          <w:noProof/>
        </w:rPr>
        <w:t>to</w:t>
      </w:r>
      <w:r>
        <w:rPr>
          <w:noProof/>
        </w:rPr>
        <w:t xml:space="preserve"> three sections. </w:t>
      </w:r>
    </w:p>
    <w:p w14:paraId="7EE1386C" w14:textId="7381FF66" w:rsidR="000E081B" w:rsidRPr="00606F2A" w:rsidRDefault="000E081B" w:rsidP="000E081B">
      <w:pPr>
        <w:pBdr>
          <w:top w:val="nil"/>
          <w:left w:val="nil"/>
          <w:bottom w:val="nil"/>
          <w:right w:val="nil"/>
          <w:between w:val="nil"/>
          <w:bar w:val="nil"/>
        </w:pBdr>
        <w:spacing w:before="0" w:after="240"/>
        <w:rPr>
          <w:noProof/>
        </w:rPr>
      </w:pPr>
      <w:r w:rsidRPr="00B86888">
        <w:rPr>
          <w:rFonts w:eastAsia="Times New Roman"/>
          <w:noProof/>
          <w:color w:val="000000"/>
          <w:lang w:eastAsia="en-IE"/>
        </w:rPr>
        <w:t xml:space="preserve">Section 1 relates to </w:t>
      </w:r>
      <w:r>
        <w:rPr>
          <w:rFonts w:eastAsia="Times New Roman"/>
          <w:noProof/>
          <w:color w:val="000000"/>
          <w:lang w:eastAsia="en-IE"/>
        </w:rPr>
        <w:t xml:space="preserve">rules on the </w:t>
      </w:r>
      <w:r w:rsidRPr="00B86888">
        <w:rPr>
          <w:rFonts w:eastAsia="Times New Roman"/>
          <w:noProof/>
          <w:color w:val="000000"/>
          <w:lang w:eastAsia="en-IE"/>
        </w:rPr>
        <w:t>issuance of European cybersecurity certificates</w:t>
      </w:r>
      <w:r>
        <w:rPr>
          <w:rFonts w:eastAsia="Times New Roman"/>
          <w:noProof/>
          <w:color w:val="000000"/>
          <w:lang w:eastAsia="en-IE"/>
        </w:rPr>
        <w:t xml:space="preserve"> including </w:t>
      </w:r>
      <w:r w:rsidR="001D58BE">
        <w:rPr>
          <w:rFonts w:eastAsia="Times New Roman"/>
          <w:noProof/>
          <w:color w:val="000000"/>
          <w:lang w:eastAsia="en-IE"/>
        </w:rPr>
        <w:t xml:space="preserve">those </w:t>
      </w:r>
      <w:r>
        <w:rPr>
          <w:rFonts w:eastAsia="Times New Roman"/>
          <w:noProof/>
          <w:color w:val="000000"/>
          <w:lang w:eastAsia="en-IE"/>
        </w:rPr>
        <w:t xml:space="preserve">at </w:t>
      </w:r>
      <w:r w:rsidR="001D58BE">
        <w:rPr>
          <w:rFonts w:eastAsia="Times New Roman"/>
          <w:noProof/>
          <w:color w:val="000000"/>
          <w:lang w:eastAsia="en-IE"/>
        </w:rPr>
        <w:t>the</w:t>
      </w:r>
      <w:r>
        <w:rPr>
          <w:rFonts w:eastAsia="Times New Roman"/>
          <w:noProof/>
          <w:color w:val="000000"/>
          <w:lang w:eastAsia="en-IE"/>
        </w:rPr>
        <w:t xml:space="preserve"> assurance level ‘high’</w:t>
      </w:r>
      <w:r w:rsidRPr="00B86888">
        <w:rPr>
          <w:rFonts w:eastAsia="Times New Roman"/>
          <w:noProof/>
          <w:color w:val="000000"/>
          <w:lang w:eastAsia="en-IE"/>
        </w:rPr>
        <w:t xml:space="preserve"> (Article 8</w:t>
      </w:r>
      <w:r>
        <w:rPr>
          <w:rFonts w:eastAsia="Times New Roman"/>
          <w:noProof/>
          <w:color w:val="000000"/>
          <w:lang w:eastAsia="en-IE"/>
        </w:rPr>
        <w:t>5</w:t>
      </w:r>
      <w:r w:rsidRPr="00B86888">
        <w:rPr>
          <w:rFonts w:eastAsia="Times New Roman"/>
          <w:noProof/>
          <w:color w:val="000000"/>
          <w:lang w:eastAsia="en-IE"/>
        </w:rPr>
        <w:t xml:space="preserve">). </w:t>
      </w:r>
      <w:r>
        <w:rPr>
          <w:rFonts w:eastAsia="Times New Roman"/>
          <w:noProof/>
          <w:color w:val="000000"/>
          <w:lang w:eastAsia="en-IE"/>
        </w:rPr>
        <w:t xml:space="preserve">Furthermore, it </w:t>
      </w:r>
      <w:r w:rsidR="003E07AB">
        <w:rPr>
          <w:rFonts w:eastAsia="Times New Roman"/>
          <w:noProof/>
          <w:color w:val="000000"/>
          <w:lang w:eastAsia="en-IE"/>
        </w:rPr>
        <w:t>lays down rules</w:t>
      </w:r>
      <w:r>
        <w:rPr>
          <w:rFonts w:eastAsia="Times New Roman"/>
          <w:noProof/>
          <w:color w:val="000000"/>
          <w:lang w:eastAsia="en-IE"/>
        </w:rPr>
        <w:t xml:space="preserve"> </w:t>
      </w:r>
      <w:r w:rsidR="00410D64">
        <w:rPr>
          <w:rFonts w:eastAsia="Times New Roman"/>
          <w:noProof/>
          <w:color w:val="000000"/>
          <w:lang w:eastAsia="en-IE"/>
        </w:rPr>
        <w:t>for</w:t>
      </w:r>
      <w:r>
        <w:rPr>
          <w:rFonts w:eastAsia="Times New Roman"/>
          <w:noProof/>
          <w:color w:val="000000"/>
          <w:lang w:eastAsia="en-IE"/>
        </w:rPr>
        <w:t xml:space="preserve"> </w:t>
      </w:r>
      <w:r w:rsidRPr="00B86888">
        <w:rPr>
          <w:rFonts w:eastAsia="Times New Roman"/>
          <w:noProof/>
          <w:color w:val="000000"/>
          <w:lang w:eastAsia="en-IE"/>
        </w:rPr>
        <w:t>harmonis</w:t>
      </w:r>
      <w:r w:rsidR="00410D64">
        <w:rPr>
          <w:rFonts w:eastAsia="Times New Roman"/>
          <w:noProof/>
          <w:color w:val="000000"/>
          <w:lang w:eastAsia="en-IE"/>
        </w:rPr>
        <w:t>ing</w:t>
      </w:r>
      <w:r w:rsidRPr="00B86888">
        <w:rPr>
          <w:rFonts w:eastAsia="Times New Roman"/>
          <w:noProof/>
          <w:color w:val="000000"/>
          <w:lang w:eastAsia="en-IE"/>
        </w:rPr>
        <w:t xml:space="preserve"> European cybersecurity certification scheme</w:t>
      </w:r>
      <w:r>
        <w:rPr>
          <w:rFonts w:eastAsia="Times New Roman"/>
          <w:noProof/>
          <w:color w:val="000000"/>
          <w:lang w:eastAsia="en-IE"/>
        </w:rPr>
        <w:t>s</w:t>
      </w:r>
      <w:r w:rsidRPr="00B86888">
        <w:rPr>
          <w:rFonts w:eastAsia="Times New Roman"/>
          <w:noProof/>
          <w:color w:val="000000"/>
          <w:lang w:eastAsia="en-IE"/>
        </w:rPr>
        <w:t xml:space="preserve"> </w:t>
      </w:r>
      <w:r w:rsidR="006B29D2">
        <w:rPr>
          <w:rFonts w:eastAsia="Times New Roman"/>
          <w:noProof/>
          <w:color w:val="000000"/>
          <w:lang w:eastAsia="en-IE"/>
        </w:rPr>
        <w:t>with</w:t>
      </w:r>
      <w:r w:rsidRPr="00B86888">
        <w:rPr>
          <w:rFonts w:eastAsia="Times New Roman"/>
          <w:noProof/>
          <w:color w:val="000000"/>
          <w:lang w:eastAsia="en-IE"/>
        </w:rPr>
        <w:t xml:space="preserve"> national cybersecurity certification schemes and cybersecurity certificates</w:t>
      </w:r>
      <w:r>
        <w:rPr>
          <w:rFonts w:eastAsia="Times New Roman"/>
          <w:noProof/>
          <w:color w:val="000000"/>
          <w:lang w:eastAsia="en-IE"/>
        </w:rPr>
        <w:t xml:space="preserve"> (Article </w:t>
      </w:r>
      <w:r w:rsidR="00D54D98">
        <w:rPr>
          <w:rFonts w:eastAsia="Times New Roman"/>
          <w:noProof/>
          <w:color w:val="000000"/>
          <w:lang w:eastAsia="en-IE"/>
        </w:rPr>
        <w:t>86)</w:t>
      </w:r>
      <w:r>
        <w:rPr>
          <w:rFonts w:eastAsia="Times New Roman"/>
          <w:noProof/>
          <w:color w:val="000000"/>
          <w:lang w:eastAsia="en-IE"/>
        </w:rPr>
        <w:t xml:space="preserve"> and </w:t>
      </w:r>
      <w:r w:rsidR="006B29D2">
        <w:rPr>
          <w:rFonts w:eastAsia="Times New Roman"/>
          <w:noProof/>
          <w:color w:val="000000"/>
          <w:lang w:eastAsia="en-IE"/>
        </w:rPr>
        <w:t>provides for</w:t>
      </w:r>
      <w:r>
        <w:rPr>
          <w:rFonts w:eastAsia="Times New Roman"/>
          <w:noProof/>
          <w:color w:val="000000"/>
          <w:lang w:eastAsia="en-IE"/>
        </w:rPr>
        <w:t xml:space="preserve"> the possibility </w:t>
      </w:r>
      <w:r w:rsidR="006B29D2">
        <w:rPr>
          <w:rFonts w:eastAsia="Times New Roman"/>
          <w:noProof/>
          <w:color w:val="000000"/>
          <w:lang w:eastAsia="en-IE"/>
        </w:rPr>
        <w:t>of</w:t>
      </w:r>
      <w:r>
        <w:rPr>
          <w:rFonts w:eastAsia="Times New Roman"/>
          <w:noProof/>
          <w:color w:val="000000"/>
          <w:lang w:eastAsia="en-IE"/>
        </w:rPr>
        <w:t xml:space="preserve"> international recognition of </w:t>
      </w:r>
      <w:r w:rsidRPr="009F6171">
        <w:rPr>
          <w:rFonts w:eastAsia="Times New Roman"/>
          <w:noProof/>
          <w:color w:val="000000"/>
          <w:lang w:eastAsia="en-IE"/>
        </w:rPr>
        <w:t>European cybersecurity certificat</w:t>
      </w:r>
      <w:r w:rsidR="00333CB7">
        <w:rPr>
          <w:rFonts w:eastAsia="Times New Roman"/>
          <w:noProof/>
          <w:color w:val="000000"/>
          <w:lang w:eastAsia="en-IE"/>
        </w:rPr>
        <w:t>es</w:t>
      </w:r>
      <w:r>
        <w:rPr>
          <w:rFonts w:eastAsia="Times New Roman"/>
          <w:noProof/>
          <w:color w:val="000000"/>
          <w:lang w:eastAsia="en-IE"/>
        </w:rPr>
        <w:t>, based on the equivalence principle</w:t>
      </w:r>
      <w:r w:rsidR="000911A4">
        <w:rPr>
          <w:rFonts w:eastAsia="Times New Roman"/>
          <w:noProof/>
          <w:color w:val="000000"/>
          <w:lang w:eastAsia="en-IE"/>
        </w:rPr>
        <w:t xml:space="preserve"> (Article 87)</w:t>
      </w:r>
      <w:r>
        <w:rPr>
          <w:rFonts w:eastAsia="Times New Roman"/>
          <w:noProof/>
          <w:color w:val="000000"/>
          <w:lang w:eastAsia="en-IE"/>
        </w:rPr>
        <w:t xml:space="preserve">. The section also </w:t>
      </w:r>
      <w:r w:rsidR="002F0317">
        <w:rPr>
          <w:rFonts w:eastAsia="Times New Roman"/>
          <w:noProof/>
          <w:color w:val="000000"/>
          <w:lang w:eastAsia="en-IE"/>
        </w:rPr>
        <w:t xml:space="preserve">outlines </w:t>
      </w:r>
      <w:r>
        <w:rPr>
          <w:rFonts w:eastAsia="Times New Roman"/>
          <w:noProof/>
          <w:color w:val="000000"/>
          <w:lang w:eastAsia="en-IE"/>
        </w:rPr>
        <w:t xml:space="preserve">the role </w:t>
      </w:r>
      <w:r w:rsidR="002F0317">
        <w:rPr>
          <w:rFonts w:eastAsia="Times New Roman"/>
          <w:noProof/>
          <w:color w:val="000000"/>
          <w:lang w:eastAsia="en-IE"/>
        </w:rPr>
        <w:t xml:space="preserve">of </w:t>
      </w:r>
      <w:r>
        <w:rPr>
          <w:rFonts w:eastAsia="Times New Roman"/>
          <w:noProof/>
          <w:color w:val="000000"/>
          <w:lang w:eastAsia="en-IE"/>
        </w:rPr>
        <w:t>and rules</w:t>
      </w:r>
      <w:r w:rsidDel="00000727">
        <w:rPr>
          <w:rFonts w:eastAsia="Times New Roman"/>
          <w:noProof/>
          <w:color w:val="000000"/>
          <w:lang w:eastAsia="en-IE"/>
        </w:rPr>
        <w:t xml:space="preserve"> </w:t>
      </w:r>
      <w:r>
        <w:rPr>
          <w:rFonts w:eastAsia="Times New Roman"/>
          <w:noProof/>
          <w:color w:val="000000"/>
          <w:lang w:eastAsia="en-IE"/>
        </w:rPr>
        <w:t xml:space="preserve">applicable to </w:t>
      </w:r>
      <w:r w:rsidRPr="004E4012">
        <w:rPr>
          <w:rFonts w:eastAsia="Times New Roman"/>
          <w:noProof/>
          <w:color w:val="000000"/>
          <w:lang w:eastAsia="en-IE"/>
        </w:rPr>
        <w:t xml:space="preserve">national cybersecurity certification authorities (Article </w:t>
      </w:r>
      <w:r>
        <w:rPr>
          <w:rFonts w:eastAsia="Times New Roman"/>
          <w:noProof/>
          <w:color w:val="000000"/>
          <w:lang w:eastAsia="en-IE"/>
        </w:rPr>
        <w:t>88</w:t>
      </w:r>
      <w:r w:rsidRPr="004E4012">
        <w:rPr>
          <w:rFonts w:eastAsia="Times New Roman"/>
          <w:noProof/>
          <w:color w:val="000000"/>
          <w:lang w:eastAsia="en-IE"/>
        </w:rPr>
        <w:t xml:space="preserve">) </w:t>
      </w:r>
      <w:r w:rsidR="002F0317">
        <w:rPr>
          <w:rFonts w:eastAsia="Times New Roman"/>
          <w:noProof/>
          <w:color w:val="000000"/>
          <w:lang w:eastAsia="en-IE"/>
        </w:rPr>
        <w:t xml:space="preserve">and lays down rules for </w:t>
      </w:r>
      <w:r>
        <w:rPr>
          <w:rFonts w:eastAsia="Times New Roman"/>
          <w:noProof/>
          <w:color w:val="000000"/>
          <w:lang w:eastAsia="en-IE"/>
        </w:rPr>
        <w:t xml:space="preserve">a </w:t>
      </w:r>
      <w:r w:rsidRPr="004E4012">
        <w:rPr>
          <w:rFonts w:eastAsia="Times New Roman"/>
          <w:noProof/>
          <w:color w:val="000000"/>
          <w:lang w:eastAsia="en-IE"/>
        </w:rPr>
        <w:t>peer review mechanism</w:t>
      </w:r>
      <w:r>
        <w:rPr>
          <w:rFonts w:eastAsia="Times New Roman"/>
          <w:noProof/>
          <w:color w:val="000000"/>
          <w:lang w:eastAsia="en-IE"/>
        </w:rPr>
        <w:t xml:space="preserve"> between those authorities</w:t>
      </w:r>
      <w:r w:rsidRPr="004E4012">
        <w:rPr>
          <w:rFonts w:eastAsia="Times New Roman"/>
          <w:noProof/>
          <w:color w:val="000000"/>
          <w:lang w:eastAsia="en-IE"/>
        </w:rPr>
        <w:t xml:space="preserve">, ensuring equivalent </w:t>
      </w:r>
      <w:r w:rsidR="002F0317" w:rsidRPr="005B66EE">
        <w:rPr>
          <w:rFonts w:eastAsia="Times New Roman"/>
          <w:noProof/>
          <w:color w:val="000000"/>
          <w:lang w:eastAsia="en-IE"/>
        </w:rPr>
        <w:t>standard</w:t>
      </w:r>
      <w:r w:rsidR="002F0317">
        <w:rPr>
          <w:rFonts w:eastAsia="Times New Roman"/>
          <w:noProof/>
          <w:color w:val="000000"/>
          <w:lang w:eastAsia="en-IE"/>
        </w:rPr>
        <w:t>s</w:t>
      </w:r>
      <w:r w:rsidRPr="004E4012">
        <w:rPr>
          <w:rFonts w:eastAsia="Times New Roman"/>
          <w:noProof/>
          <w:color w:val="000000"/>
          <w:lang w:eastAsia="en-IE"/>
        </w:rPr>
        <w:t xml:space="preserve"> across the Union (Article </w:t>
      </w:r>
      <w:r>
        <w:rPr>
          <w:rFonts w:eastAsia="Times New Roman"/>
          <w:noProof/>
          <w:color w:val="000000"/>
          <w:lang w:eastAsia="en-IE"/>
        </w:rPr>
        <w:t>89</w:t>
      </w:r>
      <w:r w:rsidR="002F0317" w:rsidRPr="005B66EE">
        <w:rPr>
          <w:rFonts w:eastAsia="Times New Roman"/>
          <w:noProof/>
          <w:color w:val="000000"/>
          <w:lang w:eastAsia="en-IE"/>
        </w:rPr>
        <w:t>)</w:t>
      </w:r>
      <w:r w:rsidR="002F0317">
        <w:rPr>
          <w:rFonts w:eastAsia="Times New Roman"/>
          <w:noProof/>
          <w:color w:val="000000"/>
          <w:lang w:eastAsia="en-IE"/>
        </w:rPr>
        <w:t>,</w:t>
      </w:r>
      <w:r>
        <w:rPr>
          <w:rFonts w:eastAsia="Times New Roman"/>
          <w:noProof/>
          <w:color w:val="000000"/>
          <w:lang w:eastAsia="en-IE"/>
        </w:rPr>
        <w:t xml:space="preserve"> and</w:t>
      </w:r>
      <w:r w:rsidR="002F0317" w:rsidRPr="005B66EE">
        <w:rPr>
          <w:rFonts w:eastAsia="Times New Roman"/>
          <w:noProof/>
          <w:color w:val="000000"/>
          <w:lang w:eastAsia="en-IE"/>
        </w:rPr>
        <w:t xml:space="preserve"> </w:t>
      </w:r>
      <w:r w:rsidR="002F0317">
        <w:rPr>
          <w:rFonts w:eastAsia="Times New Roman"/>
          <w:noProof/>
          <w:color w:val="000000"/>
          <w:lang w:eastAsia="en-IE"/>
        </w:rPr>
        <w:t>for</w:t>
      </w:r>
      <w:r>
        <w:rPr>
          <w:rFonts w:eastAsia="Times New Roman"/>
          <w:noProof/>
          <w:color w:val="000000"/>
          <w:lang w:eastAsia="en-IE"/>
        </w:rPr>
        <w:t xml:space="preserve"> cooperation </w:t>
      </w:r>
      <w:r w:rsidR="002F0317">
        <w:rPr>
          <w:rFonts w:eastAsia="Times New Roman"/>
          <w:noProof/>
          <w:color w:val="000000"/>
          <w:lang w:eastAsia="en-IE"/>
        </w:rPr>
        <w:t xml:space="preserve">between those authorities </w:t>
      </w:r>
      <w:r>
        <w:rPr>
          <w:rFonts w:eastAsia="Times New Roman"/>
          <w:noProof/>
          <w:color w:val="000000"/>
          <w:lang w:eastAsia="en-IE"/>
        </w:rPr>
        <w:t>in the</w:t>
      </w:r>
      <w:r w:rsidRPr="004E4012">
        <w:rPr>
          <w:rFonts w:eastAsia="Times New Roman"/>
          <w:noProof/>
          <w:color w:val="000000"/>
          <w:lang w:eastAsia="en-IE"/>
        </w:rPr>
        <w:t xml:space="preserve"> ECCG</w:t>
      </w:r>
      <w:r>
        <w:rPr>
          <w:rFonts w:eastAsia="Times New Roman"/>
          <w:noProof/>
          <w:color w:val="000000"/>
          <w:lang w:eastAsia="en-IE"/>
        </w:rPr>
        <w:t xml:space="preserve"> </w:t>
      </w:r>
      <w:r w:rsidRPr="004E4012">
        <w:rPr>
          <w:rFonts w:eastAsia="Times New Roman"/>
          <w:noProof/>
          <w:color w:val="000000"/>
          <w:lang w:eastAsia="en-IE"/>
        </w:rPr>
        <w:t xml:space="preserve">(Article </w:t>
      </w:r>
      <w:r>
        <w:rPr>
          <w:rFonts w:eastAsia="Times New Roman"/>
          <w:noProof/>
          <w:color w:val="000000"/>
          <w:lang w:eastAsia="en-IE"/>
        </w:rPr>
        <w:t>90</w:t>
      </w:r>
      <w:r w:rsidRPr="004E4012">
        <w:rPr>
          <w:rFonts w:eastAsia="Times New Roman"/>
          <w:noProof/>
          <w:color w:val="000000"/>
          <w:lang w:eastAsia="en-IE"/>
        </w:rPr>
        <w:t>).</w:t>
      </w:r>
    </w:p>
    <w:p w14:paraId="213E8305" w14:textId="77777777" w:rsidR="00CE5074" w:rsidRPr="005B66EE" w:rsidRDefault="00CE5074" w:rsidP="00CE5074">
      <w:pPr>
        <w:pBdr>
          <w:top w:val="nil"/>
          <w:left w:val="nil"/>
          <w:bottom w:val="nil"/>
          <w:right w:val="nil"/>
          <w:between w:val="nil"/>
          <w:bar w:val="nil"/>
        </w:pBdr>
        <w:spacing w:before="0" w:after="240"/>
        <w:rPr>
          <w:noProof/>
        </w:rPr>
      </w:pPr>
      <w:r w:rsidRPr="005B66EE">
        <w:rPr>
          <w:noProof/>
        </w:rPr>
        <w:t>Section 2 provides for</w:t>
      </w:r>
      <w:r>
        <w:rPr>
          <w:noProof/>
        </w:rPr>
        <w:t>: (i)</w:t>
      </w:r>
      <w:r w:rsidRPr="005B66EE">
        <w:rPr>
          <w:noProof/>
        </w:rPr>
        <w:t xml:space="preserve"> harmonised rules on the accreditation and authori</w:t>
      </w:r>
      <w:r>
        <w:rPr>
          <w:noProof/>
        </w:rPr>
        <w:t>s</w:t>
      </w:r>
      <w:r w:rsidRPr="005B66EE">
        <w:rPr>
          <w:noProof/>
        </w:rPr>
        <w:t>ation of conformity assessment bodies (Articles 91-9</w:t>
      </w:r>
      <w:r>
        <w:rPr>
          <w:noProof/>
        </w:rPr>
        <w:t>2</w:t>
      </w:r>
      <w:r w:rsidRPr="005B66EE">
        <w:rPr>
          <w:noProof/>
        </w:rPr>
        <w:t>)</w:t>
      </w:r>
      <w:r>
        <w:rPr>
          <w:noProof/>
        </w:rPr>
        <w:t>; (ii)</w:t>
      </w:r>
      <w:r w:rsidRPr="005B66EE">
        <w:rPr>
          <w:noProof/>
        </w:rPr>
        <w:t xml:space="preserve"> notification rules, including an empowerment to </w:t>
      </w:r>
      <w:r w:rsidRPr="005B66EE" w:rsidDel="00BE0A3C">
        <w:rPr>
          <w:noProof/>
        </w:rPr>
        <w:t xml:space="preserve">ensure </w:t>
      </w:r>
      <w:r w:rsidRPr="005B66EE">
        <w:rPr>
          <w:noProof/>
        </w:rPr>
        <w:t>further alignment with relevant U</w:t>
      </w:r>
      <w:r>
        <w:rPr>
          <w:noProof/>
        </w:rPr>
        <w:t>nion</w:t>
      </w:r>
      <w:r w:rsidRPr="005B66EE">
        <w:rPr>
          <w:noProof/>
        </w:rPr>
        <w:t xml:space="preserve"> law and the N</w:t>
      </w:r>
      <w:r>
        <w:rPr>
          <w:noProof/>
        </w:rPr>
        <w:t>LF</w:t>
      </w:r>
      <w:r w:rsidRPr="005B66EE">
        <w:rPr>
          <w:noProof/>
        </w:rPr>
        <w:t xml:space="preserve"> (Article 9</w:t>
      </w:r>
      <w:r>
        <w:rPr>
          <w:noProof/>
        </w:rPr>
        <w:t>3</w:t>
      </w:r>
      <w:r w:rsidRPr="005B66EE">
        <w:rPr>
          <w:noProof/>
        </w:rPr>
        <w:t>)</w:t>
      </w:r>
      <w:r>
        <w:rPr>
          <w:noProof/>
        </w:rPr>
        <w:t>; and (iii)</w:t>
      </w:r>
      <w:r w:rsidRPr="005B66EE">
        <w:rPr>
          <w:noProof/>
        </w:rPr>
        <w:t xml:space="preserve"> a challenge procedure (Article 94) ensuring that the requirements </w:t>
      </w:r>
      <w:r>
        <w:rPr>
          <w:noProof/>
        </w:rPr>
        <w:t>for</w:t>
      </w:r>
      <w:r w:rsidRPr="005B66EE">
        <w:rPr>
          <w:noProof/>
        </w:rPr>
        <w:t xml:space="preserve"> conformity assessment bodies are upheld. </w:t>
      </w:r>
    </w:p>
    <w:p w14:paraId="76352411" w14:textId="77777777" w:rsidR="00E36768" w:rsidRPr="005B66EE" w:rsidRDefault="00E36768" w:rsidP="00E36768">
      <w:pPr>
        <w:pBdr>
          <w:top w:val="nil"/>
          <w:left w:val="nil"/>
          <w:bottom w:val="nil"/>
          <w:right w:val="nil"/>
          <w:between w:val="nil"/>
          <w:bar w:val="nil"/>
        </w:pBdr>
        <w:spacing w:before="0" w:after="240"/>
        <w:rPr>
          <w:noProof/>
        </w:rPr>
      </w:pPr>
      <w:r w:rsidRPr="005B66EE">
        <w:rPr>
          <w:noProof/>
        </w:rPr>
        <w:t xml:space="preserve">Finally, Section 3 </w:t>
      </w:r>
      <w:r>
        <w:rPr>
          <w:noProof/>
        </w:rPr>
        <w:t xml:space="preserve">provides for </w:t>
      </w:r>
      <w:r w:rsidRPr="005B66EE">
        <w:rPr>
          <w:noProof/>
        </w:rPr>
        <w:t xml:space="preserve">rights and judicial remedies against certification-related decisions (Article 96) </w:t>
      </w:r>
      <w:r>
        <w:rPr>
          <w:noProof/>
        </w:rPr>
        <w:t>and</w:t>
      </w:r>
      <w:r w:rsidRPr="005B66EE">
        <w:rPr>
          <w:noProof/>
        </w:rPr>
        <w:t xml:space="preserve"> </w:t>
      </w:r>
      <w:r>
        <w:rPr>
          <w:noProof/>
        </w:rPr>
        <w:t>requires</w:t>
      </w:r>
      <w:r w:rsidRPr="005B66EE">
        <w:rPr>
          <w:noProof/>
        </w:rPr>
        <w:t xml:space="preserve"> Member States </w:t>
      </w:r>
      <w:r>
        <w:rPr>
          <w:noProof/>
        </w:rPr>
        <w:t xml:space="preserve">to </w:t>
      </w:r>
      <w:r w:rsidRPr="005B66EE">
        <w:rPr>
          <w:noProof/>
        </w:rPr>
        <w:t>lay down and enforce proportionate penalties for regulatory infringements.</w:t>
      </w:r>
    </w:p>
    <w:p w14:paraId="6FB5846D" w14:textId="77777777" w:rsidR="000E081B" w:rsidRPr="000E081B" w:rsidRDefault="000E081B" w:rsidP="000E081B">
      <w:pPr>
        <w:pBdr>
          <w:top w:val="nil"/>
          <w:left w:val="nil"/>
          <w:bottom w:val="nil"/>
          <w:right w:val="nil"/>
          <w:between w:val="nil"/>
          <w:bar w:val="nil"/>
        </w:pBdr>
        <w:spacing w:before="0" w:after="240"/>
        <w:rPr>
          <w:rFonts w:eastAsia="Arial Unicode MS"/>
          <w:b/>
          <w:bCs/>
          <w:noProof/>
          <w:lang w:val="en-IE"/>
        </w:rPr>
      </w:pPr>
      <w:r w:rsidRPr="000E081B">
        <w:rPr>
          <w:rFonts w:eastAsia="Arial Unicode MS"/>
          <w:b/>
          <w:bCs/>
          <w:noProof/>
          <w:lang w:val="en-IE"/>
        </w:rPr>
        <w:t>TITLE IV</w:t>
      </w:r>
    </w:p>
    <w:p w14:paraId="0995930F" w14:textId="51DE9E9B" w:rsidR="00CE11BB" w:rsidRPr="00C16679" w:rsidRDefault="00CE11BB" w:rsidP="00CE11BB">
      <w:pPr>
        <w:pBdr>
          <w:bar w:val="nil"/>
        </w:pBdr>
        <w:spacing w:before="0" w:after="240"/>
        <w:rPr>
          <w:rFonts w:eastAsia="Times New Roman"/>
          <w:noProof/>
          <w:szCs w:val="24"/>
          <w:highlight w:val="yellow"/>
        </w:rPr>
      </w:pPr>
      <w:r w:rsidRPr="00C16679">
        <w:rPr>
          <w:rFonts w:eastAsia="Times New Roman"/>
          <w:noProof/>
          <w:szCs w:val="24"/>
        </w:rPr>
        <w:t xml:space="preserve">Chapter I, Article </w:t>
      </w:r>
      <w:r>
        <w:rPr>
          <w:rFonts w:eastAsia="Times New Roman"/>
          <w:noProof/>
          <w:szCs w:val="24"/>
        </w:rPr>
        <w:t>98</w:t>
      </w:r>
      <w:r w:rsidRPr="00C16679">
        <w:rPr>
          <w:rFonts w:eastAsia="Times New Roman"/>
          <w:noProof/>
          <w:szCs w:val="24"/>
        </w:rPr>
        <w:t xml:space="preserve"> sets out the scope of the trusted ICT supply chain framework. The framework will address non-technical risks </w:t>
      </w:r>
      <w:r w:rsidRPr="00C16679">
        <w:rPr>
          <w:rFonts w:eastAsia="Times New Roman"/>
          <w:noProof/>
          <w:szCs w:val="24"/>
          <w:lang w:val="en-IE"/>
        </w:rPr>
        <w:t xml:space="preserve">in sectors of high criticality and other critical sectors as referred in Directive (EU) 2022/2555. The mechanism shall identify key ICT assets in critical ICT supply chains and set out appropriate and proportionate mitigation measures on type of entities referred to in Annex I and Annex II </w:t>
      </w:r>
      <w:r w:rsidR="002316BF">
        <w:rPr>
          <w:rFonts w:eastAsia="Times New Roman"/>
          <w:noProof/>
          <w:szCs w:val="24"/>
          <w:lang w:val="en-IE"/>
        </w:rPr>
        <w:t>to</w:t>
      </w:r>
      <w:r w:rsidRPr="00C16679">
        <w:rPr>
          <w:rFonts w:eastAsia="Times New Roman"/>
          <w:noProof/>
          <w:szCs w:val="24"/>
          <w:lang w:val="en-IE"/>
        </w:rPr>
        <w:t xml:space="preserve"> Directive (EU) 2022/2555. </w:t>
      </w:r>
      <w:r w:rsidRPr="00C16679">
        <w:rPr>
          <w:rFonts w:eastAsia="Times New Roman"/>
          <w:noProof/>
          <w:szCs w:val="24"/>
        </w:rPr>
        <w:t>The framework will be based on Union-level coordinated security risk assessments, requested by the Commission or at least three Member States</w:t>
      </w:r>
      <w:r>
        <w:rPr>
          <w:rFonts w:eastAsia="Times New Roman"/>
          <w:noProof/>
          <w:szCs w:val="24"/>
        </w:rPr>
        <w:t xml:space="preserve">. Article 99 </w:t>
      </w:r>
      <w:r w:rsidRPr="00C16679">
        <w:rPr>
          <w:rFonts w:eastAsia="Times New Roman"/>
          <w:noProof/>
          <w:szCs w:val="24"/>
        </w:rPr>
        <w:t xml:space="preserve">details how these risk assessments will be carried out and that they should also establish mitigating measures. These risk assessments should be finalised within six months from the request. Upon request from the Commission, the NIS Cooperation Group may agree to a shorter period. The framework foresees a possibility of an emergency procedure if an immediate intervention is justified to preserve the proper functioning of the internal market and where the Commission has sufficient reason to consider that there is a significant cyber threat for the security of the Union in relation to critical ICT supply chains. In such case, the Commission shall consult Member States on the need to take one or several mitigation measures and shall conduct a risk assessment. </w:t>
      </w:r>
      <w:r w:rsidRPr="00BA2C6F">
        <w:rPr>
          <w:rFonts w:eastAsia="Times New Roman"/>
          <w:noProof/>
          <w:szCs w:val="24"/>
        </w:rPr>
        <w:t xml:space="preserve">Article </w:t>
      </w:r>
      <w:r>
        <w:rPr>
          <w:rFonts w:eastAsia="Times New Roman"/>
          <w:noProof/>
          <w:szCs w:val="24"/>
        </w:rPr>
        <w:t>100</w:t>
      </w:r>
      <w:r w:rsidRPr="00BA2C6F">
        <w:rPr>
          <w:rFonts w:eastAsia="Times New Roman"/>
          <w:noProof/>
          <w:szCs w:val="24"/>
        </w:rPr>
        <w:t xml:space="preserve"> provides that where, as a result of the risk assessment referred to in Article </w:t>
      </w:r>
      <w:r>
        <w:rPr>
          <w:rFonts w:eastAsia="Times New Roman"/>
          <w:noProof/>
          <w:szCs w:val="24"/>
        </w:rPr>
        <w:t>99</w:t>
      </w:r>
      <w:r w:rsidRPr="00BA2C6F">
        <w:rPr>
          <w:rFonts w:eastAsia="Times New Roman"/>
          <w:noProof/>
          <w:szCs w:val="24"/>
        </w:rPr>
        <w:t>, or based on other sources, such as a public statement on behalf of the Union or a Member State, it appears that a third country poses serious and structural non-technical risks to ICT supply chains, the Commission shall verify the threat posed by that country, taking into account of the elements listed in Article</w:t>
      </w:r>
      <w:r>
        <w:rPr>
          <w:rFonts w:eastAsia="Times New Roman"/>
          <w:noProof/>
          <w:szCs w:val="24"/>
        </w:rPr>
        <w:t xml:space="preserve"> 100</w:t>
      </w:r>
      <w:r w:rsidRPr="00BA2C6F">
        <w:rPr>
          <w:rFonts w:eastAsia="Times New Roman"/>
          <w:noProof/>
          <w:szCs w:val="24"/>
        </w:rPr>
        <w:t xml:space="preserve">. Where the Commission concludes that a third country poses serious and structural non-technical risks to ICT supply chains, Article </w:t>
      </w:r>
      <w:r>
        <w:rPr>
          <w:rFonts w:eastAsia="Times New Roman"/>
          <w:noProof/>
          <w:szCs w:val="24"/>
        </w:rPr>
        <w:t>100</w:t>
      </w:r>
      <w:r w:rsidRPr="00BA2C6F">
        <w:rPr>
          <w:rFonts w:eastAsia="Times New Roman"/>
          <w:noProof/>
          <w:szCs w:val="24"/>
        </w:rPr>
        <w:t xml:space="preserve"> provides for a procedure for the Commission to designate such a third country as a country posing cybersecurity concerns to ICT supply chains. </w:t>
      </w:r>
      <w:r w:rsidRPr="00DF6FD0">
        <w:rPr>
          <w:rFonts w:eastAsia="Times New Roman"/>
          <w:noProof/>
          <w:szCs w:val="24"/>
        </w:rPr>
        <w:t xml:space="preserve">Entities established in a third country posing cybersecurity concerns designated in accordance with this Article, or controlled by such third country, by an entity </w:t>
      </w:r>
      <w:r w:rsidR="0098384D">
        <w:rPr>
          <w:rFonts w:eastAsia="Times New Roman"/>
          <w:noProof/>
          <w:szCs w:val="24"/>
        </w:rPr>
        <w:t xml:space="preserve">established in </w:t>
      </w:r>
      <w:r w:rsidRPr="00DF6FD0">
        <w:rPr>
          <w:rFonts w:eastAsia="Times New Roman"/>
          <w:noProof/>
          <w:szCs w:val="24"/>
        </w:rPr>
        <w:t xml:space="preserve">such third country, or by a national of such third country </w:t>
      </w:r>
      <w:r w:rsidRPr="00BA2C6F">
        <w:rPr>
          <w:rFonts w:eastAsia="Times New Roman"/>
          <w:noProof/>
          <w:szCs w:val="24"/>
        </w:rPr>
        <w:t xml:space="preserve">will not be allowed to carry out a number of activities specified in this Article. </w:t>
      </w:r>
      <w:r w:rsidRPr="00C16679">
        <w:rPr>
          <w:rFonts w:eastAsia="Times New Roman"/>
          <w:noProof/>
          <w:szCs w:val="24"/>
        </w:rPr>
        <w:t xml:space="preserve">Article </w:t>
      </w:r>
      <w:r>
        <w:rPr>
          <w:rFonts w:eastAsia="Times New Roman"/>
          <w:noProof/>
          <w:szCs w:val="24"/>
        </w:rPr>
        <w:t>101</w:t>
      </w:r>
      <w:r w:rsidRPr="00C16679">
        <w:rPr>
          <w:rFonts w:eastAsia="Times New Roman"/>
          <w:noProof/>
          <w:szCs w:val="24"/>
        </w:rPr>
        <w:t xml:space="preserve"> provides for a general ICT supply chain mechanism where upon completion of the </w:t>
      </w:r>
      <w:r w:rsidR="00277EE6">
        <w:rPr>
          <w:rFonts w:eastAsia="Times New Roman"/>
          <w:noProof/>
          <w:szCs w:val="24"/>
        </w:rPr>
        <w:t>security</w:t>
      </w:r>
      <w:r w:rsidRPr="00C16679">
        <w:rPr>
          <w:rFonts w:eastAsia="Times New Roman"/>
          <w:noProof/>
          <w:szCs w:val="24"/>
        </w:rPr>
        <w:t xml:space="preserve"> risk assessment by the NIS Cooperation Group or by the Commission in </w:t>
      </w:r>
      <w:r w:rsidRPr="00BA2C6F">
        <w:rPr>
          <w:rFonts w:eastAsia="Times New Roman"/>
          <w:noProof/>
          <w:szCs w:val="24"/>
        </w:rPr>
        <w:t>accordance with Article 99, the Commission may take measures provided in Articles 102 and 103.</w:t>
      </w:r>
    </w:p>
    <w:p w14:paraId="4A375834" w14:textId="647779EC" w:rsidR="00CE11BB" w:rsidRPr="00BA2C6F" w:rsidRDefault="00CE11BB" w:rsidP="00CE11BB">
      <w:pPr>
        <w:spacing w:before="0" w:after="240"/>
        <w:rPr>
          <w:rFonts w:eastAsia="Times New Roman"/>
          <w:noProof/>
          <w:szCs w:val="24"/>
          <w:lang w:val="en-IE"/>
        </w:rPr>
      </w:pPr>
      <w:r w:rsidRPr="00C16679">
        <w:rPr>
          <w:rFonts w:eastAsia="Times New Roman"/>
          <w:noProof/>
          <w:szCs w:val="24"/>
        </w:rPr>
        <w:t xml:space="preserve">The Commission can identify, through implementing acts, key ICT assets </w:t>
      </w:r>
      <w:r w:rsidRPr="00C16679">
        <w:rPr>
          <w:rFonts w:eastAsia="Times New Roman"/>
          <w:noProof/>
          <w:szCs w:val="24"/>
          <w:lang w:val="en-IE"/>
        </w:rPr>
        <w:t xml:space="preserve">used for the manufacturing of products, provision of services by the types of entity referred to Annex I and Annex II </w:t>
      </w:r>
      <w:r w:rsidR="002316BF">
        <w:rPr>
          <w:rFonts w:eastAsia="Times New Roman"/>
          <w:noProof/>
          <w:szCs w:val="24"/>
          <w:lang w:val="en-IE"/>
        </w:rPr>
        <w:t>to</w:t>
      </w:r>
      <w:r w:rsidRPr="00C16679">
        <w:rPr>
          <w:rFonts w:eastAsia="Times New Roman"/>
          <w:noProof/>
          <w:szCs w:val="24"/>
          <w:lang w:val="en-IE"/>
        </w:rPr>
        <w:t xml:space="preserve"> Directive (EU) 2022/2555. Article </w:t>
      </w:r>
      <w:r>
        <w:rPr>
          <w:rFonts w:eastAsia="Times New Roman"/>
          <w:noProof/>
          <w:szCs w:val="24"/>
          <w:lang w:val="en-IE"/>
        </w:rPr>
        <w:t>102</w:t>
      </w:r>
      <w:r w:rsidRPr="00C16679">
        <w:rPr>
          <w:rFonts w:eastAsia="Times New Roman"/>
          <w:noProof/>
          <w:szCs w:val="24"/>
          <w:lang w:val="en-IE"/>
        </w:rPr>
        <w:t xml:space="preserve"> further details the elements to be taken account for the identification of key ICT assets. </w:t>
      </w:r>
      <w:r w:rsidRPr="00C16679">
        <w:rPr>
          <w:rFonts w:eastAsia="Times New Roman"/>
          <w:noProof/>
          <w:szCs w:val="24"/>
        </w:rPr>
        <w:t xml:space="preserve">Article </w:t>
      </w:r>
      <w:r>
        <w:rPr>
          <w:rFonts w:eastAsia="Times New Roman"/>
          <w:noProof/>
          <w:szCs w:val="24"/>
        </w:rPr>
        <w:t>103</w:t>
      </w:r>
      <w:r w:rsidRPr="00C16679">
        <w:rPr>
          <w:rFonts w:eastAsia="Times New Roman"/>
          <w:noProof/>
          <w:szCs w:val="24"/>
        </w:rPr>
        <w:t xml:space="preserve"> establishes potential mitigation measures in the ICT supply chain. The Commission, through implementing acts, </w:t>
      </w:r>
      <w:r w:rsidRPr="00BA2C6F">
        <w:rPr>
          <w:rFonts w:eastAsia="Times New Roman"/>
          <w:noProof/>
          <w:szCs w:val="24"/>
        </w:rPr>
        <w:t xml:space="preserve">can decide that </w:t>
      </w:r>
      <w:r w:rsidRPr="72E46104">
        <w:rPr>
          <w:rFonts w:eastAsia="Times New Roman"/>
          <w:noProof/>
          <w:szCs w:val="24"/>
          <w:lang w:val="en-IE"/>
        </w:rPr>
        <w:t xml:space="preserve">entities operating in sectors of high criticality and other critical sectors have to </w:t>
      </w:r>
      <w:r w:rsidRPr="00BA2C6F">
        <w:rPr>
          <w:rFonts w:eastAsia="Times New Roman"/>
          <w:noProof/>
          <w:szCs w:val="24"/>
          <w:lang w:val="en-IE"/>
        </w:rPr>
        <w:t>be subject to specific mitigating measures, further detailed in the Article.</w:t>
      </w:r>
    </w:p>
    <w:p w14:paraId="483F8DBE" w14:textId="77777777" w:rsidR="00CE11BB" w:rsidRDefault="00CE11BB" w:rsidP="00CE11BB">
      <w:pPr>
        <w:spacing w:before="0" w:after="240"/>
        <w:rPr>
          <w:rFonts w:eastAsia="Times New Roman"/>
          <w:noProof/>
          <w:szCs w:val="24"/>
          <w:lang w:val="en-IE"/>
        </w:rPr>
      </w:pPr>
      <w:r w:rsidRPr="00DF6FD0">
        <w:rPr>
          <w:rFonts w:eastAsia="Times New Roman"/>
          <w:noProof/>
          <w:szCs w:val="24"/>
          <w:lang w:val="en-IE"/>
        </w:rPr>
        <w:t>The Commission, by way of implementing acts, shall establish lists of high-risk suppliers relevant for the prohibitions laid down in the implementing acts adopted in accordance with Article 103(1), Article 103(7) or the prohibition referred to in Article 110(1), after conducting an assessment of establishment and ownership and control. It should consult suppliers concerned and competent authorities (Article 104</w:t>
      </w:r>
      <w:r w:rsidRPr="00B10943">
        <w:rPr>
          <w:rFonts w:eastAsia="Times New Roman"/>
          <w:noProof/>
          <w:szCs w:val="24"/>
          <w:lang w:val="en-IE"/>
        </w:rPr>
        <w:t xml:space="preserve">). </w:t>
      </w:r>
    </w:p>
    <w:p w14:paraId="492D9D78" w14:textId="38033F20" w:rsidR="00CE11BB" w:rsidRDefault="00CE11BB" w:rsidP="00CE11BB">
      <w:pPr>
        <w:spacing w:before="0" w:after="240"/>
        <w:rPr>
          <w:rFonts w:eastAsia="Times New Roman"/>
          <w:noProof/>
          <w:szCs w:val="24"/>
          <w:lang w:val="en-IE"/>
        </w:rPr>
      </w:pPr>
      <w:r w:rsidRPr="00BA2C6F">
        <w:rPr>
          <w:rFonts w:eastAsia="Times New Roman"/>
          <w:noProof/>
          <w:szCs w:val="24"/>
          <w:lang w:val="en-IE"/>
        </w:rPr>
        <w:t xml:space="preserve">An entity </w:t>
      </w:r>
      <w:r w:rsidRPr="00DF6FD0">
        <w:rPr>
          <w:rFonts w:eastAsia="Times New Roman"/>
          <w:noProof/>
          <w:szCs w:val="24"/>
          <w:lang w:val="en-IE"/>
        </w:rPr>
        <w:t>established in or controlled by entities from a third country posing cybersecurity concerns designated in accordance with Article 100</w:t>
      </w:r>
      <w:r w:rsidRPr="00BA2C6F">
        <w:rPr>
          <w:rFonts w:eastAsia="Times New Roman"/>
          <w:noProof/>
          <w:szCs w:val="24"/>
          <w:lang w:val="en-IE"/>
        </w:rPr>
        <w:t xml:space="preserve">, may request to be allowed to provide ICT components in key </w:t>
      </w:r>
      <w:r w:rsidR="00733F47">
        <w:rPr>
          <w:rFonts w:eastAsia="Times New Roman"/>
          <w:noProof/>
          <w:szCs w:val="24"/>
          <w:lang w:val="en-IE"/>
        </w:rPr>
        <w:t xml:space="preserve">ICT </w:t>
      </w:r>
      <w:r w:rsidRPr="00BA2C6F">
        <w:rPr>
          <w:rFonts w:eastAsia="Times New Roman"/>
          <w:noProof/>
          <w:szCs w:val="24"/>
          <w:lang w:val="en-IE"/>
        </w:rPr>
        <w:t>assets of entities of the type referred in Annexes I and II to Directive (EU) 2022/2555 and to participate in public procurement in relation to the provision of such ICT components. Article 10</w:t>
      </w:r>
      <w:r>
        <w:rPr>
          <w:rFonts w:eastAsia="Times New Roman"/>
          <w:noProof/>
          <w:szCs w:val="24"/>
          <w:lang w:val="en-IE"/>
        </w:rPr>
        <w:t>5</w:t>
      </w:r>
      <w:r w:rsidRPr="00BA2C6F">
        <w:rPr>
          <w:rFonts w:eastAsia="Times New Roman"/>
          <w:noProof/>
          <w:szCs w:val="24"/>
          <w:lang w:val="en-IE"/>
        </w:rPr>
        <w:t xml:space="preserve"> specifies what the request should contain and what is the procedure for such an exemption. Article 10</w:t>
      </w:r>
      <w:r>
        <w:rPr>
          <w:rFonts w:eastAsia="Times New Roman"/>
          <w:noProof/>
          <w:szCs w:val="24"/>
          <w:lang w:val="en-IE"/>
        </w:rPr>
        <w:t>6</w:t>
      </w:r>
      <w:r w:rsidRPr="00BA2C6F">
        <w:rPr>
          <w:rFonts w:eastAsia="Times New Roman"/>
          <w:noProof/>
          <w:szCs w:val="24"/>
          <w:lang w:val="en-IE"/>
        </w:rPr>
        <w:t xml:space="preserve"> specifies the rights of defence for an entity in question. The Commission shall maintain a publicly accessible register of the decisions regarding exemptions (Article 10</w:t>
      </w:r>
      <w:r>
        <w:rPr>
          <w:rFonts w:eastAsia="Times New Roman"/>
          <w:noProof/>
          <w:szCs w:val="24"/>
          <w:lang w:val="en-IE"/>
        </w:rPr>
        <w:t>7</w:t>
      </w:r>
      <w:r w:rsidRPr="00BA2C6F">
        <w:rPr>
          <w:rFonts w:eastAsia="Times New Roman"/>
          <w:noProof/>
          <w:szCs w:val="24"/>
          <w:lang w:val="en-IE"/>
        </w:rPr>
        <w:t>). Articles 10</w:t>
      </w:r>
      <w:r>
        <w:rPr>
          <w:rFonts w:eastAsia="Times New Roman"/>
          <w:noProof/>
          <w:szCs w:val="24"/>
          <w:lang w:val="en-IE"/>
        </w:rPr>
        <w:t>8</w:t>
      </w:r>
      <w:r w:rsidRPr="00BA2C6F">
        <w:rPr>
          <w:rFonts w:eastAsia="Times New Roman"/>
          <w:noProof/>
          <w:szCs w:val="24"/>
          <w:lang w:val="en-IE"/>
        </w:rPr>
        <w:t xml:space="preserve"> and 10</w:t>
      </w:r>
      <w:r>
        <w:rPr>
          <w:rFonts w:eastAsia="Times New Roman"/>
          <w:noProof/>
          <w:szCs w:val="24"/>
          <w:lang w:val="en-IE"/>
        </w:rPr>
        <w:t>9</w:t>
      </w:r>
      <w:r w:rsidRPr="00BA2C6F">
        <w:rPr>
          <w:rFonts w:eastAsia="Times New Roman"/>
          <w:noProof/>
          <w:szCs w:val="24"/>
          <w:lang w:val="en-IE"/>
        </w:rPr>
        <w:t xml:space="preserve"> specifies confidentiality rules and fees related to the exemption procedure.</w:t>
      </w:r>
    </w:p>
    <w:p w14:paraId="75FEF090" w14:textId="0258450B" w:rsidR="00CE11BB" w:rsidRDefault="00CE11BB" w:rsidP="00CE11BB">
      <w:pPr>
        <w:rPr>
          <w:rFonts w:eastAsia="Times New Roman"/>
          <w:noProof/>
          <w:szCs w:val="24"/>
        </w:rPr>
      </w:pPr>
      <w:r w:rsidRPr="72E46104">
        <w:rPr>
          <w:rFonts w:eastAsia="Times New Roman"/>
          <w:noProof/>
          <w:szCs w:val="24"/>
        </w:rPr>
        <w:t>Chapter II provides for an application of the trusted ICT supply chain framework to mobile</w:t>
      </w:r>
      <w:r w:rsidR="00D202DE">
        <w:rPr>
          <w:rFonts w:eastAsia="Times New Roman"/>
          <w:noProof/>
          <w:szCs w:val="24"/>
        </w:rPr>
        <w:t>,</w:t>
      </w:r>
      <w:r w:rsidRPr="72E46104">
        <w:rPr>
          <w:rFonts w:eastAsia="Times New Roman"/>
          <w:noProof/>
          <w:szCs w:val="24"/>
        </w:rPr>
        <w:t xml:space="preserve"> fixed </w:t>
      </w:r>
      <w:r w:rsidR="00D202DE">
        <w:rPr>
          <w:rFonts w:eastAsia="Times New Roman"/>
          <w:noProof/>
          <w:szCs w:val="24"/>
        </w:rPr>
        <w:t xml:space="preserve">and satellite </w:t>
      </w:r>
      <w:r w:rsidRPr="72E46104">
        <w:rPr>
          <w:rFonts w:eastAsia="Times New Roman"/>
          <w:noProof/>
          <w:szCs w:val="24"/>
        </w:rPr>
        <w:t xml:space="preserve">electronic communications networks, ensuring alignment with the proposed Digital Networks Act. </w:t>
      </w:r>
    </w:p>
    <w:p w14:paraId="505FBAB3" w14:textId="5EAF0DCA" w:rsidR="00CE11BB" w:rsidRDefault="00CE11BB" w:rsidP="00CE11BB">
      <w:pPr>
        <w:rPr>
          <w:rFonts w:eastAsia="Times New Roman"/>
          <w:noProof/>
          <w:szCs w:val="24"/>
        </w:rPr>
      </w:pPr>
      <w:r w:rsidRPr="00BA2C6F">
        <w:rPr>
          <w:rFonts w:eastAsia="Times New Roman"/>
          <w:noProof/>
          <w:szCs w:val="24"/>
        </w:rPr>
        <w:t xml:space="preserve">The key </w:t>
      </w:r>
      <w:r w:rsidR="00104AE9">
        <w:rPr>
          <w:rFonts w:eastAsia="Times New Roman"/>
          <w:noProof/>
          <w:szCs w:val="24"/>
        </w:rPr>
        <w:t>ICT</w:t>
      </w:r>
      <w:r w:rsidRPr="00BA2C6F">
        <w:rPr>
          <w:rFonts w:eastAsia="Times New Roman"/>
          <w:noProof/>
          <w:szCs w:val="24"/>
        </w:rPr>
        <w:t xml:space="preserve"> assets for mobile</w:t>
      </w:r>
      <w:r w:rsidR="00D202DE">
        <w:rPr>
          <w:rFonts w:eastAsia="Times New Roman"/>
          <w:noProof/>
          <w:szCs w:val="24"/>
        </w:rPr>
        <w:t xml:space="preserve">, </w:t>
      </w:r>
      <w:r w:rsidRPr="00BA2C6F">
        <w:rPr>
          <w:rFonts w:eastAsia="Times New Roman"/>
          <w:noProof/>
          <w:szCs w:val="24"/>
        </w:rPr>
        <w:t>fixed</w:t>
      </w:r>
      <w:r w:rsidR="00D202DE">
        <w:rPr>
          <w:rFonts w:eastAsia="Times New Roman"/>
          <w:noProof/>
          <w:szCs w:val="24"/>
        </w:rPr>
        <w:t xml:space="preserve"> and satellite</w:t>
      </w:r>
      <w:r w:rsidRPr="00BA2C6F">
        <w:rPr>
          <w:rFonts w:eastAsia="Times New Roman"/>
          <w:noProof/>
          <w:szCs w:val="24"/>
        </w:rPr>
        <w:t xml:space="preserve"> electronic communications networks are set out in Annex II. The transition period of phasing out ICT components from high-risk suppliers for the key ICT assets of the mobile electronic communications network shall not exceed 36 months from the entry into force of this Regulation. Transition periods for fixed </w:t>
      </w:r>
      <w:r w:rsidR="00790038">
        <w:rPr>
          <w:rFonts w:eastAsia="Times New Roman"/>
          <w:noProof/>
          <w:szCs w:val="24"/>
        </w:rPr>
        <w:t>and satellite</w:t>
      </w:r>
      <w:r w:rsidRPr="00BA2C6F">
        <w:rPr>
          <w:rFonts w:eastAsia="Times New Roman"/>
          <w:noProof/>
          <w:szCs w:val="24"/>
        </w:rPr>
        <w:t xml:space="preserve"> electronic communications networks shall be specif</w:t>
      </w:r>
      <w:r w:rsidR="00104AE9">
        <w:rPr>
          <w:rFonts w:eastAsia="Times New Roman"/>
          <w:noProof/>
          <w:szCs w:val="24"/>
        </w:rPr>
        <w:t>ied</w:t>
      </w:r>
      <w:r w:rsidRPr="00BA2C6F">
        <w:rPr>
          <w:rFonts w:eastAsia="Times New Roman"/>
          <w:noProof/>
          <w:szCs w:val="24"/>
        </w:rPr>
        <w:t xml:space="preserve"> by the Commission by virtue of implementing acts. The Commission is empowered to adopt delegated act to amend designated key ICT assets and transition period</w:t>
      </w:r>
      <w:r w:rsidR="00104AE9">
        <w:rPr>
          <w:rFonts w:eastAsia="Times New Roman"/>
          <w:noProof/>
          <w:szCs w:val="24"/>
        </w:rPr>
        <w:t>s</w:t>
      </w:r>
      <w:r w:rsidRPr="00BA2C6F">
        <w:rPr>
          <w:rFonts w:eastAsia="Times New Roman"/>
          <w:noProof/>
          <w:szCs w:val="24"/>
        </w:rPr>
        <w:t>, including for the future mobile generations (Article 1</w:t>
      </w:r>
      <w:r>
        <w:rPr>
          <w:rFonts w:eastAsia="Times New Roman"/>
          <w:noProof/>
          <w:szCs w:val="24"/>
        </w:rPr>
        <w:t>1</w:t>
      </w:r>
      <w:r w:rsidRPr="00BA2C6F">
        <w:rPr>
          <w:rFonts w:eastAsia="Times New Roman"/>
          <w:noProof/>
          <w:szCs w:val="24"/>
        </w:rPr>
        <w:t>0). Article 11</w:t>
      </w:r>
      <w:r>
        <w:rPr>
          <w:rFonts w:eastAsia="Times New Roman"/>
          <w:noProof/>
          <w:szCs w:val="24"/>
        </w:rPr>
        <w:t>1</w:t>
      </w:r>
      <w:r w:rsidRPr="00BA2C6F">
        <w:rPr>
          <w:rFonts w:eastAsia="Times New Roman"/>
          <w:noProof/>
          <w:szCs w:val="24"/>
        </w:rPr>
        <w:t xml:space="preserve"> stipulates that providers of mobile</w:t>
      </w:r>
      <w:r w:rsidR="00D202DE">
        <w:rPr>
          <w:rFonts w:eastAsia="Times New Roman"/>
          <w:noProof/>
          <w:szCs w:val="24"/>
        </w:rPr>
        <w:t xml:space="preserve">, </w:t>
      </w:r>
      <w:r w:rsidRPr="00BA2C6F">
        <w:rPr>
          <w:rFonts w:eastAsia="Times New Roman"/>
          <w:noProof/>
          <w:szCs w:val="24"/>
        </w:rPr>
        <w:t>fixed</w:t>
      </w:r>
      <w:r w:rsidR="00D202DE">
        <w:rPr>
          <w:rFonts w:eastAsia="Times New Roman"/>
          <w:noProof/>
          <w:szCs w:val="24"/>
        </w:rPr>
        <w:t xml:space="preserve"> and satellite</w:t>
      </w:r>
      <w:r w:rsidRPr="00BA2C6F">
        <w:rPr>
          <w:rFonts w:eastAsia="Times New Roman"/>
          <w:noProof/>
          <w:szCs w:val="24"/>
        </w:rPr>
        <w:t xml:space="preserve"> electronic communications networks cannot not use, install or integrate, in any form, ICT components from high-risk suppliers and cannot be granted general or individual authorisation.</w:t>
      </w:r>
    </w:p>
    <w:p w14:paraId="038A3E92" w14:textId="77777777" w:rsidR="00CE11BB" w:rsidRDefault="00CE11BB" w:rsidP="00CE11BB">
      <w:pPr>
        <w:rPr>
          <w:rFonts w:eastAsia="Times New Roman"/>
          <w:b/>
          <w:bCs/>
          <w:noProof/>
          <w:szCs w:val="24"/>
        </w:rPr>
      </w:pPr>
      <w:r w:rsidRPr="72E46104">
        <w:rPr>
          <w:rFonts w:eastAsia="Times New Roman"/>
          <w:b/>
          <w:bCs/>
          <w:noProof/>
          <w:szCs w:val="24"/>
        </w:rPr>
        <w:t>Competent authorities, supervision and enforcement, jurisdiction, rights of defence (Chapter III)</w:t>
      </w:r>
    </w:p>
    <w:p w14:paraId="698F1CD6" w14:textId="77777777" w:rsidR="00CE11BB" w:rsidRPr="00AE107D" w:rsidRDefault="00CE11BB" w:rsidP="00CE11BB">
      <w:pPr>
        <w:rPr>
          <w:rFonts w:eastAsia="Times New Roman"/>
          <w:strike/>
          <w:noProof/>
          <w:color w:val="FF0000"/>
          <w:szCs w:val="24"/>
          <w:lang w:val="en-IE"/>
        </w:rPr>
      </w:pPr>
      <w:r w:rsidRPr="72E46104">
        <w:rPr>
          <w:rFonts w:eastAsia="Times New Roman"/>
          <w:noProof/>
          <w:szCs w:val="24"/>
          <w:lang w:val="en-IE"/>
        </w:rPr>
        <w:t xml:space="preserve">Chapter III further lays down the rules on competent authorities, supervision and </w:t>
      </w:r>
      <w:r w:rsidRPr="00AE107D">
        <w:rPr>
          <w:rFonts w:eastAsia="Times New Roman"/>
          <w:noProof/>
          <w:szCs w:val="24"/>
          <w:lang w:val="en-IE"/>
        </w:rPr>
        <w:t>enforcement and jurisdiction.</w:t>
      </w:r>
      <w:r w:rsidRPr="00AE107D">
        <w:rPr>
          <w:rFonts w:eastAsia="Times New Roman"/>
          <w:strike/>
          <w:noProof/>
          <w:color w:val="FF0000"/>
          <w:szCs w:val="24"/>
          <w:lang w:val="en-IE"/>
        </w:rPr>
        <w:t xml:space="preserve"> </w:t>
      </w:r>
    </w:p>
    <w:p w14:paraId="21A64B4D" w14:textId="759A6B38" w:rsidR="404DE4D0" w:rsidRPr="00E015D2" w:rsidRDefault="00CE11BB">
      <w:pPr>
        <w:rPr>
          <w:rFonts w:eastAsia="Times New Roman"/>
          <w:noProof/>
          <w:szCs w:val="24"/>
        </w:rPr>
      </w:pPr>
      <w:r w:rsidRPr="00AE107D">
        <w:rPr>
          <w:rFonts w:eastAsia="Times New Roman"/>
          <w:noProof/>
          <w:szCs w:val="24"/>
          <w:lang w:val="en-IE"/>
        </w:rPr>
        <w:t>Articles 11</w:t>
      </w:r>
      <w:r>
        <w:rPr>
          <w:rFonts w:eastAsia="Times New Roman"/>
          <w:noProof/>
          <w:szCs w:val="24"/>
          <w:lang w:val="en-IE"/>
        </w:rPr>
        <w:t>2</w:t>
      </w:r>
      <w:r w:rsidRPr="00AE107D">
        <w:rPr>
          <w:rFonts w:eastAsia="Times New Roman"/>
          <w:noProof/>
          <w:szCs w:val="24"/>
          <w:lang w:val="en-IE"/>
        </w:rPr>
        <w:t>-11</w:t>
      </w:r>
      <w:r>
        <w:rPr>
          <w:rFonts w:eastAsia="Times New Roman"/>
          <w:noProof/>
          <w:szCs w:val="24"/>
          <w:lang w:val="en-IE"/>
        </w:rPr>
        <w:t>4</w:t>
      </w:r>
      <w:r w:rsidRPr="00AE107D">
        <w:rPr>
          <w:rFonts w:eastAsia="Times New Roman"/>
          <w:noProof/>
          <w:szCs w:val="24"/>
          <w:lang w:val="en-IE"/>
        </w:rPr>
        <w:t xml:space="preserve"> specify the powers, means and responsibilities of Member States in ensuring the implementation and enforcement of the provisions in Title IV. Member States have to designate one or more competent authorities, to be notified to the Commission. Article 11</w:t>
      </w:r>
      <w:r>
        <w:rPr>
          <w:rFonts w:eastAsia="Times New Roman"/>
          <w:noProof/>
          <w:szCs w:val="24"/>
          <w:lang w:val="en-IE"/>
        </w:rPr>
        <w:t>3</w:t>
      </w:r>
      <w:r w:rsidRPr="00AE107D">
        <w:rPr>
          <w:rFonts w:eastAsia="Times New Roman"/>
          <w:noProof/>
          <w:szCs w:val="24"/>
          <w:lang w:val="en-IE"/>
        </w:rPr>
        <w:t xml:space="preserve"> provides for the Commission to set up a network for cooperation of competent authorities of Member States and the Commission to facilitate compliance, while Article 11</w:t>
      </w:r>
      <w:r>
        <w:rPr>
          <w:rFonts w:eastAsia="Times New Roman"/>
          <w:noProof/>
          <w:szCs w:val="24"/>
          <w:lang w:val="en-IE"/>
        </w:rPr>
        <w:t>4</w:t>
      </w:r>
      <w:r w:rsidRPr="00AE107D">
        <w:rPr>
          <w:rFonts w:eastAsia="Times New Roman"/>
          <w:noProof/>
          <w:szCs w:val="24"/>
          <w:lang w:val="en-IE"/>
        </w:rPr>
        <w:t xml:space="preserve"> specifies the supervisory and enforcement measures that competent authorities are entitled to take. Penalties in case of infringement of the provisions of Title IV are specified in Article 11</w:t>
      </w:r>
      <w:r>
        <w:rPr>
          <w:rFonts w:eastAsia="Times New Roman"/>
          <w:noProof/>
          <w:szCs w:val="24"/>
          <w:lang w:val="en-IE"/>
        </w:rPr>
        <w:t>5</w:t>
      </w:r>
      <w:r w:rsidRPr="00AE107D">
        <w:rPr>
          <w:rFonts w:eastAsia="Times New Roman"/>
          <w:noProof/>
          <w:szCs w:val="24"/>
          <w:lang w:val="en-IE"/>
        </w:rPr>
        <w:t>. Article 11</w:t>
      </w:r>
      <w:r>
        <w:rPr>
          <w:rFonts w:eastAsia="Times New Roman"/>
          <w:noProof/>
          <w:szCs w:val="24"/>
          <w:lang w:val="en-IE"/>
        </w:rPr>
        <w:t>6</w:t>
      </w:r>
      <w:r w:rsidRPr="00AE107D">
        <w:rPr>
          <w:rFonts w:eastAsia="Times New Roman"/>
          <w:noProof/>
          <w:szCs w:val="24"/>
          <w:lang w:val="en-IE"/>
        </w:rPr>
        <w:t xml:space="preserve"> details the possibility for Member States to mutually assist each other when entities are having cross-border activities or when their key ICT assets are located in several Member States. </w:t>
      </w:r>
      <w:r w:rsidRPr="00AE107D">
        <w:rPr>
          <w:rFonts w:eastAsia="Times New Roman"/>
          <w:noProof/>
          <w:szCs w:val="24"/>
        </w:rPr>
        <w:t>Article 11</w:t>
      </w:r>
      <w:r>
        <w:rPr>
          <w:rFonts w:eastAsia="Times New Roman"/>
          <w:noProof/>
          <w:szCs w:val="24"/>
        </w:rPr>
        <w:t>7</w:t>
      </w:r>
      <w:r w:rsidRPr="00AE107D">
        <w:rPr>
          <w:rFonts w:eastAsia="Times New Roman"/>
          <w:noProof/>
          <w:szCs w:val="24"/>
        </w:rPr>
        <w:t xml:space="preserve"> provides for the rules on jurisdiction and territoriality.</w:t>
      </w:r>
      <w:r w:rsidRPr="72E46104">
        <w:rPr>
          <w:rFonts w:eastAsia="Times New Roman"/>
          <w:noProof/>
          <w:szCs w:val="24"/>
        </w:rPr>
        <w:t xml:space="preserve">  </w:t>
      </w:r>
    </w:p>
    <w:p w14:paraId="03A38CA3" w14:textId="77777777" w:rsidR="000E081B" w:rsidRPr="001A462E" w:rsidRDefault="000E081B" w:rsidP="000E081B">
      <w:pPr>
        <w:rPr>
          <w:noProof/>
          <w:highlight w:val="yellow"/>
        </w:rPr>
      </w:pPr>
    </w:p>
    <w:p w14:paraId="3456FD84" w14:textId="77777777" w:rsidR="000E081B" w:rsidRPr="005255D0" w:rsidRDefault="000E081B" w:rsidP="005255D0">
      <w:pPr>
        <w:pBdr>
          <w:top w:val="nil"/>
          <w:left w:val="nil"/>
          <w:bottom w:val="nil"/>
          <w:right w:val="nil"/>
          <w:between w:val="nil"/>
          <w:bar w:val="nil"/>
        </w:pBdr>
        <w:spacing w:before="0" w:after="240"/>
        <w:rPr>
          <w:rFonts w:eastAsia="Arial Unicode MS"/>
          <w:b/>
          <w:bCs/>
          <w:noProof/>
          <w:lang w:val="en-IE"/>
        </w:rPr>
      </w:pPr>
      <w:r w:rsidRPr="005255D0">
        <w:rPr>
          <w:rFonts w:eastAsia="Arial Unicode MS"/>
          <w:b/>
          <w:bCs/>
          <w:noProof/>
          <w:lang w:val="en-IE"/>
        </w:rPr>
        <w:t>TITLE VI: FINAL PROVISIONS</w:t>
      </w:r>
    </w:p>
    <w:p w14:paraId="0848828E" w14:textId="77777777" w:rsidR="00A3053C" w:rsidRPr="009E3037" w:rsidRDefault="000E081B" w:rsidP="009E3037">
      <w:pPr>
        <w:pBdr>
          <w:top w:val="nil"/>
          <w:left w:val="nil"/>
          <w:bottom w:val="nil"/>
          <w:right w:val="nil"/>
          <w:between w:val="nil"/>
          <w:bar w:val="nil"/>
        </w:pBdr>
        <w:spacing w:before="0" w:after="240"/>
        <w:jc w:val="left"/>
        <w:rPr>
          <w:rFonts w:eastAsia="Arial Unicode MS"/>
          <w:b/>
          <w:bCs/>
          <w:noProof/>
          <w:lang w:val="en-IE"/>
        </w:rPr>
        <w:sectPr w:rsidR="00A3053C" w:rsidRPr="009E3037" w:rsidSect="000033F2">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r w:rsidRPr="00B43934">
        <w:rPr>
          <w:noProof/>
        </w:rPr>
        <w:t>Title V</w:t>
      </w:r>
      <w:r>
        <w:rPr>
          <w:noProof/>
        </w:rPr>
        <w:t>I</w:t>
      </w:r>
      <w:r w:rsidRPr="00B43934">
        <w:rPr>
          <w:noProof/>
        </w:rPr>
        <w:t xml:space="preserve"> of the </w:t>
      </w:r>
      <w:r w:rsidR="00027803">
        <w:rPr>
          <w:noProof/>
        </w:rPr>
        <w:t>proposed r</w:t>
      </w:r>
      <w:r w:rsidRPr="00B43934">
        <w:rPr>
          <w:noProof/>
        </w:rPr>
        <w:t>egulation includes the final provisions</w:t>
      </w:r>
      <w:r w:rsidR="00027803">
        <w:rPr>
          <w:noProof/>
        </w:rPr>
        <w:t xml:space="preserve">, </w:t>
      </w:r>
      <w:r w:rsidR="00656C51">
        <w:rPr>
          <w:noProof/>
        </w:rPr>
        <w:t>outlining rules for</w:t>
      </w:r>
      <w:r>
        <w:rPr>
          <w:noProof/>
        </w:rPr>
        <w:t xml:space="preserve"> adopti</w:t>
      </w:r>
      <w:r w:rsidR="00656C51">
        <w:rPr>
          <w:noProof/>
        </w:rPr>
        <w:t>ng</w:t>
      </w:r>
      <w:r>
        <w:rPr>
          <w:noProof/>
        </w:rPr>
        <w:t xml:space="preserve"> implementing and delegated </w:t>
      </w:r>
      <w:r w:rsidDel="00DA5752">
        <w:rPr>
          <w:noProof/>
        </w:rPr>
        <w:t>acts</w:t>
      </w:r>
      <w:r w:rsidRPr="00B43934">
        <w:rPr>
          <w:noProof/>
        </w:rPr>
        <w:t>,</w:t>
      </w:r>
      <w:r>
        <w:rPr>
          <w:noProof/>
        </w:rPr>
        <w:t xml:space="preserve"> the </w:t>
      </w:r>
      <w:r w:rsidRPr="00B43934">
        <w:rPr>
          <w:noProof/>
        </w:rPr>
        <w:t xml:space="preserve">evaluation </w:t>
      </w:r>
      <w:r>
        <w:rPr>
          <w:noProof/>
        </w:rPr>
        <w:t>process of th</w:t>
      </w:r>
      <w:r w:rsidR="00A229AE">
        <w:rPr>
          <w:noProof/>
        </w:rPr>
        <w:t>e proposed</w:t>
      </w:r>
      <w:r>
        <w:rPr>
          <w:noProof/>
        </w:rPr>
        <w:t xml:space="preserve"> </w:t>
      </w:r>
      <w:r w:rsidR="00645838">
        <w:rPr>
          <w:noProof/>
        </w:rPr>
        <w:t>r</w:t>
      </w:r>
      <w:r>
        <w:rPr>
          <w:noProof/>
        </w:rPr>
        <w:t xml:space="preserve">egulation, </w:t>
      </w:r>
      <w:r w:rsidR="003D5108">
        <w:rPr>
          <w:noProof/>
        </w:rPr>
        <w:t>and the</w:t>
      </w:r>
      <w:r>
        <w:rPr>
          <w:noProof/>
        </w:rPr>
        <w:t xml:space="preserve"> repeal and succession of Regulation </w:t>
      </w:r>
      <w:r w:rsidRPr="000745A1">
        <w:rPr>
          <w:noProof/>
        </w:rPr>
        <w:t>(EU) 2019/881</w:t>
      </w:r>
      <w:r w:rsidR="009233A5">
        <w:rPr>
          <w:noProof/>
        </w:rPr>
        <w:t>.</w:t>
      </w:r>
      <w:r w:rsidRPr="00B43934">
        <w:rPr>
          <w:noProof/>
        </w:rPr>
        <w:t xml:space="preserve"> </w:t>
      </w:r>
      <w:r w:rsidR="003D1A86">
        <w:rPr>
          <w:noProof/>
        </w:rPr>
        <w:t>It also specifies</w:t>
      </w:r>
      <w:r w:rsidRPr="00B43934">
        <w:rPr>
          <w:noProof/>
        </w:rPr>
        <w:t xml:space="preserve"> the</w:t>
      </w:r>
      <w:r>
        <w:rPr>
          <w:noProof/>
        </w:rPr>
        <w:t xml:space="preserve"> date of</w:t>
      </w:r>
      <w:r w:rsidRPr="00B43934">
        <w:rPr>
          <w:noProof/>
        </w:rPr>
        <w:t xml:space="preserve"> entry into force</w:t>
      </w:r>
      <w:r>
        <w:rPr>
          <w:noProof/>
        </w:rPr>
        <w:t xml:space="preserve"> of th</w:t>
      </w:r>
      <w:r w:rsidR="005D09E5">
        <w:rPr>
          <w:noProof/>
        </w:rPr>
        <w:t>e proposed</w:t>
      </w:r>
      <w:r>
        <w:rPr>
          <w:noProof/>
        </w:rPr>
        <w:t xml:space="preserve"> Regulation.</w:t>
      </w:r>
    </w:p>
    <w:p w14:paraId="6EB0BBC2" w14:textId="711972D3" w:rsidR="00D74FC9" w:rsidRDefault="00436204" w:rsidP="00436204">
      <w:pPr>
        <w:pStyle w:val="Rfrenceinterinstitutionnelle"/>
        <w:rPr>
          <w:noProof/>
        </w:rPr>
      </w:pPr>
      <w:r>
        <w:rPr>
          <w:noProof/>
        </w:rPr>
        <w:t>2026/0011 (COD)</w:t>
      </w:r>
    </w:p>
    <w:p w14:paraId="60C52DA4" w14:textId="3E8E24C9" w:rsidR="001A462E" w:rsidRPr="00F96E01" w:rsidRDefault="00436204" w:rsidP="00436204">
      <w:pPr>
        <w:pStyle w:val="Statut"/>
        <w:rPr>
          <w:noProof/>
        </w:rPr>
      </w:pPr>
      <w:r w:rsidRPr="00436204">
        <w:rPr>
          <w:noProof/>
        </w:rPr>
        <w:t>Proposal for a</w:t>
      </w:r>
    </w:p>
    <w:p w14:paraId="0774E54B" w14:textId="44102DDF" w:rsidR="001A462E" w:rsidRPr="00F96E01" w:rsidRDefault="00436204" w:rsidP="00436204">
      <w:pPr>
        <w:pStyle w:val="Typedudocument"/>
        <w:rPr>
          <w:noProof/>
        </w:rPr>
      </w:pPr>
      <w:r w:rsidRPr="00436204">
        <w:rPr>
          <w:noProof/>
        </w:rPr>
        <w:t>REGULATION OF THE EUROPEAN PARLIAMENT AND OF THE COUNCIL</w:t>
      </w:r>
    </w:p>
    <w:p w14:paraId="2A8D1343" w14:textId="4D3D0EA9" w:rsidR="001A462E" w:rsidRPr="00F96E01" w:rsidRDefault="00436204" w:rsidP="00436204">
      <w:pPr>
        <w:pStyle w:val="Titreobjet"/>
        <w:rPr>
          <w:noProof/>
        </w:rPr>
      </w:pPr>
      <w:r w:rsidRPr="00436204">
        <w:rPr>
          <w:noProof/>
        </w:rPr>
        <w:t>on the European Union Agency for Cybersecurity (ENISA), the European cybersecurity certification framework, and ICT supply chain security and repealing Regulation (EU) 2019/881 (The Cybersecurity Act 2)</w:t>
      </w:r>
    </w:p>
    <w:p w14:paraId="0128C0D8" w14:textId="4E975312" w:rsidR="001A462E" w:rsidRDefault="00436204" w:rsidP="00436204">
      <w:pPr>
        <w:pStyle w:val="IntrtEEE"/>
        <w:rPr>
          <w:noProof/>
        </w:rPr>
      </w:pPr>
      <w:r w:rsidRPr="00436204">
        <w:rPr>
          <w:noProof/>
        </w:rPr>
        <w:t>(Text with EEA relevance)</w:t>
      </w:r>
    </w:p>
    <w:p w14:paraId="137AC73C" w14:textId="77777777" w:rsidR="001A462E" w:rsidRPr="00F96E01" w:rsidRDefault="001A462E" w:rsidP="001A462E">
      <w:pPr>
        <w:pStyle w:val="Institutionquiagit"/>
        <w:rPr>
          <w:noProof/>
        </w:rPr>
      </w:pPr>
      <w:r w:rsidRPr="00F96E01">
        <w:rPr>
          <w:noProof/>
        </w:rPr>
        <w:t xml:space="preserve">THE EUROPEAN PARLIAMENT AND THE COUNCIL OF THE EUROPEAN </w:t>
      </w:r>
      <w:smartTag w:uri="urn:schemas-microsoft-com:office:smarttags" w:element="place">
        <w:r w:rsidRPr="00F96E01">
          <w:rPr>
            <w:noProof/>
          </w:rPr>
          <w:t>UNION</w:t>
        </w:r>
      </w:smartTag>
      <w:r w:rsidRPr="00F96E01">
        <w:rPr>
          <w:noProof/>
        </w:rPr>
        <w:t>,</w:t>
      </w:r>
    </w:p>
    <w:p w14:paraId="6839F514" w14:textId="77777777" w:rsidR="001A462E" w:rsidRPr="00F96E01" w:rsidRDefault="001A462E" w:rsidP="001A462E">
      <w:pPr>
        <w:rPr>
          <w:noProof/>
        </w:rPr>
      </w:pPr>
      <w:r w:rsidRPr="00F96E01">
        <w:rPr>
          <w:noProof/>
        </w:rPr>
        <w:t xml:space="preserve">Having regard to the Treaty on the Functioning of the European Union, and in particular Article </w:t>
      </w:r>
      <w:r>
        <w:rPr>
          <w:noProof/>
        </w:rPr>
        <w:t>114</w:t>
      </w:r>
      <w:r w:rsidR="00A10BD0">
        <w:rPr>
          <w:noProof/>
        </w:rPr>
        <w:t xml:space="preserve"> </w:t>
      </w:r>
      <w:r w:rsidRPr="00F96E01">
        <w:rPr>
          <w:noProof/>
        </w:rPr>
        <w:t>thereof,</w:t>
      </w:r>
    </w:p>
    <w:p w14:paraId="127BF305" w14:textId="77777777" w:rsidR="001A462E" w:rsidRPr="00F96E01" w:rsidRDefault="001A462E" w:rsidP="001A462E">
      <w:pPr>
        <w:rPr>
          <w:noProof/>
        </w:rPr>
      </w:pPr>
      <w:r w:rsidRPr="00F96E01">
        <w:rPr>
          <w:noProof/>
        </w:rPr>
        <w:t>Having regard to the proposal from the European Commission,</w:t>
      </w:r>
    </w:p>
    <w:p w14:paraId="3826D471" w14:textId="77777777" w:rsidR="001A462E" w:rsidRPr="00F96E01" w:rsidRDefault="001A462E" w:rsidP="001A462E">
      <w:pPr>
        <w:rPr>
          <w:noProof/>
        </w:rPr>
      </w:pPr>
      <w:r w:rsidRPr="00F96E01">
        <w:rPr>
          <w:noProof/>
        </w:rPr>
        <w:t xml:space="preserve">After transmission of the draft legislative act to the national </w:t>
      </w:r>
      <w:r>
        <w:rPr>
          <w:noProof/>
        </w:rPr>
        <w:t>p</w:t>
      </w:r>
      <w:r w:rsidRPr="00F96E01">
        <w:rPr>
          <w:noProof/>
        </w:rPr>
        <w:t>arliaments,</w:t>
      </w:r>
    </w:p>
    <w:p w14:paraId="44B0D3C9" w14:textId="77777777" w:rsidR="00A10BD0" w:rsidRDefault="001A462E" w:rsidP="001A462E">
      <w:pPr>
        <w:rPr>
          <w:noProof/>
        </w:rPr>
      </w:pPr>
      <w:r w:rsidRPr="00F96E01">
        <w:rPr>
          <w:noProof/>
        </w:rPr>
        <w:t>Having regard to the opinion of the European Economic and Social Committee</w:t>
      </w:r>
      <w:r w:rsidRPr="00F96E01">
        <w:rPr>
          <w:rStyle w:val="FootnoteReference"/>
          <w:noProof/>
        </w:rPr>
        <w:footnoteReference w:id="25"/>
      </w:r>
      <w:r w:rsidRPr="00F96E01">
        <w:rPr>
          <w:noProof/>
        </w:rPr>
        <w:t>,</w:t>
      </w:r>
    </w:p>
    <w:p w14:paraId="4EB98C9A" w14:textId="77777777" w:rsidR="001A462E" w:rsidRPr="00F96E01" w:rsidRDefault="001A462E" w:rsidP="001A462E">
      <w:pPr>
        <w:rPr>
          <w:noProof/>
        </w:rPr>
      </w:pPr>
      <w:r w:rsidRPr="00F96E01">
        <w:rPr>
          <w:noProof/>
        </w:rPr>
        <w:t>Having regard to the opinion of the Committee of the Regions</w:t>
      </w:r>
      <w:r w:rsidRPr="00F96E01">
        <w:rPr>
          <w:rStyle w:val="FootnoteReference"/>
          <w:noProof/>
        </w:rPr>
        <w:footnoteReference w:id="26"/>
      </w:r>
      <w:r w:rsidRPr="00F96E01">
        <w:rPr>
          <w:noProof/>
        </w:rPr>
        <w:t xml:space="preserve">, </w:t>
      </w:r>
    </w:p>
    <w:p w14:paraId="3F53CDD5" w14:textId="77777777" w:rsidR="001A462E" w:rsidRPr="00F96E01" w:rsidRDefault="001A462E" w:rsidP="001A462E">
      <w:pPr>
        <w:rPr>
          <w:noProof/>
        </w:rPr>
      </w:pPr>
      <w:r w:rsidRPr="00F96E01">
        <w:rPr>
          <w:noProof/>
        </w:rPr>
        <w:t>Acting in accordance with the ordinary legislative procedure,</w:t>
      </w:r>
    </w:p>
    <w:p w14:paraId="0D0C2EB6" w14:textId="77777777" w:rsidR="001A462E" w:rsidRPr="00F96E01" w:rsidRDefault="001A462E" w:rsidP="001A462E">
      <w:pPr>
        <w:rPr>
          <w:noProof/>
        </w:rPr>
      </w:pPr>
      <w:r w:rsidRPr="00F96E01">
        <w:rPr>
          <w:noProof/>
        </w:rPr>
        <w:t>Whereas:</w:t>
      </w:r>
    </w:p>
    <w:p w14:paraId="2768B6CA" w14:textId="5DA5D40A" w:rsidR="001A462E" w:rsidRPr="00501BEC" w:rsidRDefault="006D01CD" w:rsidP="006D01CD">
      <w:pPr>
        <w:pStyle w:val="ManualConsidrant"/>
        <w:rPr>
          <w:rFonts w:eastAsia="Times New Roman"/>
          <w:noProof/>
        </w:rPr>
      </w:pPr>
      <w:bookmarkStart w:id="1" w:name="DQCErrorScope0B95A844369B3DAD0E1DCDE9397"/>
      <w:r w:rsidRPr="006D01CD">
        <w:rPr>
          <w:noProof/>
        </w:rPr>
        <w:t>(1)</w:t>
      </w:r>
      <w:r w:rsidRPr="006D01CD">
        <w:rPr>
          <w:noProof/>
        </w:rPr>
        <w:tab/>
      </w:r>
      <w:r w:rsidR="001A462E" w:rsidRPr="008D1BE2">
        <w:rPr>
          <w:b/>
          <w:bCs/>
          <w:noProof/>
        </w:rPr>
        <w:t xml:space="preserve"> </w:t>
      </w:r>
      <w:r w:rsidR="001A462E">
        <w:rPr>
          <w:noProof/>
        </w:rPr>
        <w:t>Since the adoption of Regulation (EU) 2019/881 of the European Parliament and of the Council</w:t>
      </w:r>
      <w:r w:rsidR="001A462E">
        <w:rPr>
          <w:rStyle w:val="FootnoteReference"/>
          <w:noProof/>
        </w:rPr>
        <w:footnoteReference w:id="27"/>
      </w:r>
      <w:r w:rsidR="001A462E">
        <w:rPr>
          <w:noProof/>
        </w:rPr>
        <w:t>, t</w:t>
      </w:r>
      <w:r w:rsidR="001A462E" w:rsidRPr="00B34DD2">
        <w:rPr>
          <w:noProof/>
        </w:rPr>
        <w:t xml:space="preserve">he </w:t>
      </w:r>
      <w:r w:rsidR="001A462E">
        <w:rPr>
          <w:noProof/>
        </w:rPr>
        <w:t xml:space="preserve">geopolitical, technological and policy landscapes have undergone significant transformations. </w:t>
      </w:r>
      <w:r w:rsidR="001A462E" w:rsidRPr="32C4CAA3">
        <w:rPr>
          <w:noProof/>
        </w:rPr>
        <w:t>Cyber</w:t>
      </w:r>
      <w:r w:rsidR="001A462E">
        <w:rPr>
          <w:noProof/>
        </w:rPr>
        <w:t xml:space="preserve">security incidents, whether caused by </w:t>
      </w:r>
      <w:r w:rsidR="001A462E" w:rsidRPr="00B12331">
        <w:rPr>
          <w:noProof/>
        </w:rPr>
        <w:t>system failures, human error, malicious acts or natural phenomen</w:t>
      </w:r>
      <w:r w:rsidR="001A462E">
        <w:rPr>
          <w:noProof/>
        </w:rPr>
        <w:t>a,</w:t>
      </w:r>
      <w:r w:rsidR="001A462E" w:rsidRPr="32C4CAA3">
        <w:rPr>
          <w:noProof/>
        </w:rPr>
        <w:t xml:space="preserve"> have surged and </w:t>
      </w:r>
      <w:r w:rsidR="001A462E">
        <w:rPr>
          <w:noProof/>
        </w:rPr>
        <w:t>cyber</w:t>
      </w:r>
      <w:r w:rsidR="001A462E" w:rsidRPr="32C4CAA3">
        <w:rPr>
          <w:noProof/>
        </w:rPr>
        <w:t xml:space="preserve">attacks have </w:t>
      </w:r>
      <w:r w:rsidR="001A462E">
        <w:rPr>
          <w:noProof/>
        </w:rPr>
        <w:t>become</w:t>
      </w:r>
      <w:r w:rsidR="001A462E" w:rsidRPr="32C4CAA3">
        <w:rPr>
          <w:noProof/>
        </w:rPr>
        <w:t xml:space="preserve"> more sophisticated</w:t>
      </w:r>
      <w:r w:rsidR="001A462E" w:rsidRPr="00B34DD2">
        <w:rPr>
          <w:noProof/>
        </w:rPr>
        <w:t xml:space="preserve">, </w:t>
      </w:r>
      <w:r w:rsidR="001A462E">
        <w:rPr>
          <w:noProof/>
        </w:rPr>
        <w:t>affecting</w:t>
      </w:r>
      <w:r w:rsidR="001A462E" w:rsidRPr="00B34DD2">
        <w:rPr>
          <w:noProof/>
        </w:rPr>
        <w:t xml:space="preserve"> </w:t>
      </w:r>
      <w:r w:rsidR="001A462E">
        <w:rPr>
          <w:noProof/>
        </w:rPr>
        <w:t>essential entities</w:t>
      </w:r>
      <w:r w:rsidR="001A462E" w:rsidRPr="00B34DD2">
        <w:rPr>
          <w:noProof/>
        </w:rPr>
        <w:t xml:space="preserve">, businesses, and </w:t>
      </w:r>
      <w:r w:rsidR="001A462E">
        <w:rPr>
          <w:noProof/>
        </w:rPr>
        <w:t>the general public.</w:t>
      </w:r>
      <w:r w:rsidR="001A462E" w:rsidRPr="00B34DD2">
        <w:rPr>
          <w:noProof/>
        </w:rPr>
        <w:t xml:space="preserve"> </w:t>
      </w:r>
      <w:r w:rsidR="001A462E">
        <w:rPr>
          <w:noProof/>
        </w:rPr>
        <w:t xml:space="preserve">The cybercrime ecosystem has proliferated, with ransomware activity at its core. </w:t>
      </w:r>
      <w:r w:rsidR="001A462E" w:rsidRPr="0212A138">
        <w:rPr>
          <w:rFonts w:eastAsia="Times New Roman"/>
          <w:noProof/>
        </w:rPr>
        <w:t>Supply chain incidents, whether caused by criminals for financial gain or</w:t>
      </w:r>
      <w:r w:rsidR="001A462E">
        <w:rPr>
          <w:rFonts w:eastAsia="Times New Roman"/>
          <w:noProof/>
        </w:rPr>
        <w:t xml:space="preserve"> by</w:t>
      </w:r>
      <w:r w:rsidR="001A462E" w:rsidRPr="0212A138">
        <w:rPr>
          <w:rFonts w:eastAsia="Times New Roman"/>
          <w:noProof/>
        </w:rPr>
        <w:t xml:space="preserve"> </w:t>
      </w:r>
      <w:r w:rsidR="001A462E">
        <w:rPr>
          <w:rFonts w:eastAsia="Times New Roman"/>
          <w:noProof/>
        </w:rPr>
        <w:t>S</w:t>
      </w:r>
      <w:r w:rsidR="001A462E" w:rsidRPr="0212A138">
        <w:rPr>
          <w:rFonts w:eastAsia="Times New Roman"/>
          <w:noProof/>
        </w:rPr>
        <w:t>tate actors for disruption, espionage, disinformation or warfare</w:t>
      </w:r>
      <w:r w:rsidR="001A462E" w:rsidRPr="0212A138">
        <w:rPr>
          <w:rFonts w:eastAsia="Times New Roman"/>
          <w:b/>
          <w:bCs/>
          <w:noProof/>
        </w:rPr>
        <w:t xml:space="preserve"> </w:t>
      </w:r>
      <w:r w:rsidR="001A462E" w:rsidRPr="0212A138">
        <w:rPr>
          <w:rFonts w:eastAsia="Times New Roman"/>
          <w:noProof/>
        </w:rPr>
        <w:t xml:space="preserve">have intensified. As part of a wider hybrid strategy, </w:t>
      </w:r>
      <w:r w:rsidR="001A462E" w:rsidRPr="00342F3B">
        <w:rPr>
          <w:rFonts w:eastAsia="Times New Roman"/>
          <w:noProof/>
        </w:rPr>
        <w:t>incidents</w:t>
      </w:r>
      <w:r w:rsidR="001A462E" w:rsidRPr="0212A138">
        <w:rPr>
          <w:rFonts w:eastAsia="Times New Roman"/>
          <w:noProof/>
        </w:rPr>
        <w:t xml:space="preserve"> </w:t>
      </w:r>
      <w:r w:rsidR="001A462E">
        <w:rPr>
          <w:rFonts w:eastAsia="Times New Roman"/>
          <w:noProof/>
        </w:rPr>
        <w:t xml:space="preserve">resulting from malicious cyber activities </w:t>
      </w:r>
      <w:r w:rsidR="001A462E" w:rsidRPr="0212A138">
        <w:rPr>
          <w:rFonts w:eastAsia="Times New Roman"/>
          <w:noProof/>
        </w:rPr>
        <w:t>and system failures ripple outward, disrupting essential services, undermining trust in institutions, and affecting the Union’s societal and defence readines</w:t>
      </w:r>
      <w:r w:rsidR="001A462E">
        <w:rPr>
          <w:rFonts w:eastAsia="Times New Roman"/>
          <w:noProof/>
        </w:rPr>
        <w:t>s</w:t>
      </w:r>
      <w:r w:rsidR="001A462E" w:rsidRPr="0212A138">
        <w:rPr>
          <w:rFonts w:eastAsia="Times New Roman"/>
          <w:noProof/>
        </w:rPr>
        <w:t xml:space="preserve">. </w:t>
      </w:r>
      <w:r w:rsidR="001A462E">
        <w:rPr>
          <w:rFonts w:eastAsia="Times New Roman"/>
          <w:noProof/>
        </w:rPr>
        <w:t>S</w:t>
      </w:r>
      <w:r w:rsidR="001A462E" w:rsidRPr="0212A138">
        <w:rPr>
          <w:rFonts w:eastAsia="Times New Roman"/>
          <w:noProof/>
        </w:rPr>
        <w:t xml:space="preserve">uch incidents have </w:t>
      </w:r>
      <w:r w:rsidR="001A462E">
        <w:rPr>
          <w:rFonts w:eastAsia="Times New Roman"/>
          <w:noProof/>
        </w:rPr>
        <w:t xml:space="preserve">proved their potential to impact </w:t>
      </w:r>
      <w:r w:rsidR="001A462E" w:rsidRPr="0212A138">
        <w:rPr>
          <w:rFonts w:eastAsia="Times New Roman"/>
          <w:noProof/>
        </w:rPr>
        <w:t xml:space="preserve">economic activity, financial stability </w:t>
      </w:r>
      <w:r w:rsidR="001A462E">
        <w:rPr>
          <w:rFonts w:eastAsia="Times New Roman"/>
          <w:noProof/>
        </w:rPr>
        <w:t>and</w:t>
      </w:r>
      <w:r w:rsidR="001A462E" w:rsidRPr="0212A138">
        <w:rPr>
          <w:rFonts w:eastAsia="Times New Roman"/>
          <w:b/>
          <w:bCs/>
          <w:noProof/>
        </w:rPr>
        <w:t xml:space="preserve"> </w:t>
      </w:r>
      <w:r w:rsidR="001A462E">
        <w:rPr>
          <w:rFonts w:eastAsia="Times New Roman"/>
          <w:noProof/>
        </w:rPr>
        <w:t>people</w:t>
      </w:r>
      <w:r w:rsidR="001A462E" w:rsidRPr="0212A138">
        <w:rPr>
          <w:rFonts w:eastAsia="Times New Roman"/>
          <w:noProof/>
        </w:rPr>
        <w:t>’</w:t>
      </w:r>
      <w:r w:rsidR="001A462E">
        <w:rPr>
          <w:rFonts w:eastAsia="Times New Roman"/>
          <w:noProof/>
        </w:rPr>
        <w:t>s</w:t>
      </w:r>
      <w:r w:rsidR="001A462E" w:rsidRPr="0212A138">
        <w:rPr>
          <w:rFonts w:eastAsia="Times New Roman"/>
          <w:noProof/>
        </w:rPr>
        <w:t xml:space="preserve"> lives. At the same time, </w:t>
      </w:r>
      <w:r w:rsidR="001A462E">
        <w:rPr>
          <w:rFonts w:eastAsia="Times New Roman"/>
          <w:noProof/>
        </w:rPr>
        <w:t>vulnerability of</w:t>
      </w:r>
      <w:r w:rsidR="001A462E" w:rsidRPr="0212A138">
        <w:rPr>
          <w:rFonts w:eastAsia="Times New Roman"/>
          <w:noProof/>
        </w:rPr>
        <w:t xml:space="preserve"> critical civilian infrastructure </w:t>
      </w:r>
      <w:r w:rsidR="001A462E">
        <w:rPr>
          <w:rFonts w:eastAsia="Times New Roman"/>
          <w:noProof/>
        </w:rPr>
        <w:t>and systems pose a risk to</w:t>
      </w:r>
      <w:r w:rsidR="001A462E" w:rsidRPr="0212A138">
        <w:rPr>
          <w:rFonts w:eastAsia="Times New Roman"/>
          <w:noProof/>
        </w:rPr>
        <w:t xml:space="preserve"> defence </w:t>
      </w:r>
      <w:r w:rsidR="001A462E">
        <w:rPr>
          <w:rFonts w:eastAsia="Times New Roman"/>
          <w:noProof/>
        </w:rPr>
        <w:t xml:space="preserve">capabilities </w:t>
      </w:r>
      <w:r w:rsidR="001A462E" w:rsidRPr="0212A138">
        <w:rPr>
          <w:rFonts w:eastAsia="Times New Roman"/>
          <w:noProof/>
        </w:rPr>
        <w:t xml:space="preserve">where they rely </w:t>
      </w:r>
      <w:r w:rsidR="001A462E">
        <w:rPr>
          <w:rFonts w:eastAsia="Times New Roman"/>
          <w:noProof/>
        </w:rPr>
        <w:t>on them.</w:t>
      </w:r>
    </w:p>
    <w:bookmarkEnd w:id="1"/>
    <w:p w14:paraId="77391F79" w14:textId="145A0CB2" w:rsidR="001A462E" w:rsidRDefault="006D01CD" w:rsidP="006D01CD">
      <w:pPr>
        <w:pStyle w:val="ManualConsidrant"/>
        <w:rPr>
          <w:noProof/>
        </w:rPr>
      </w:pPr>
      <w:r w:rsidRPr="006D01CD">
        <w:rPr>
          <w:noProof/>
        </w:rPr>
        <w:t>(2)</w:t>
      </w:r>
      <w:r w:rsidRPr="006D01CD">
        <w:rPr>
          <w:noProof/>
        </w:rPr>
        <w:tab/>
      </w:r>
      <w:r w:rsidR="001A462E">
        <w:rPr>
          <w:noProof/>
        </w:rPr>
        <w:t xml:space="preserve">In parallel, emerging technologies such as artificial intelligence and quantum computing have a disruptive effect on cybersecurity and cyber defence. They are reshaping the tools of defence and the tactics of adversaries, posing threats to cybersecurity and cyber defence while also offering avenues for technological advancements. Although they may contribute to cybersecurity through enhanced threat detection or automated incident response, they are also increasing the overall attack surface for organisations, are potential targets for manipulation, and can undermine the long-term viability of security measures such as encryption. </w:t>
      </w:r>
    </w:p>
    <w:p w14:paraId="657958B8" w14:textId="6580AC2C" w:rsidR="001A462E" w:rsidRDefault="006D01CD" w:rsidP="006D01CD">
      <w:pPr>
        <w:pStyle w:val="ManualConsidrant"/>
        <w:rPr>
          <w:noProof/>
        </w:rPr>
      </w:pPr>
      <w:r w:rsidRPr="006D01CD">
        <w:rPr>
          <w:noProof/>
        </w:rPr>
        <w:t>(3)</w:t>
      </w:r>
      <w:r w:rsidRPr="006D01CD">
        <w:rPr>
          <w:noProof/>
        </w:rPr>
        <w:tab/>
      </w:r>
      <w:r w:rsidR="001A462E">
        <w:rPr>
          <w:noProof/>
        </w:rPr>
        <w:t xml:space="preserve">To address those developments, the Union has enhanced its legal and policy tools. Directive (EU) 2022/2555 of the </w:t>
      </w:r>
      <w:r w:rsidR="001A462E" w:rsidRPr="00D9299D">
        <w:rPr>
          <w:noProof/>
        </w:rPr>
        <w:t>European Parliament and of the Council</w:t>
      </w:r>
      <w:r w:rsidR="001A462E">
        <w:rPr>
          <w:rStyle w:val="FootnoteReference"/>
          <w:noProof/>
        </w:rPr>
        <w:footnoteReference w:id="28"/>
      </w:r>
      <w:r w:rsidR="001A462E">
        <w:rPr>
          <w:noProof/>
        </w:rPr>
        <w:t xml:space="preserve"> strengthens cybersecurity for critical infrastructure, complemented by Directive (EU) 2022/2557 </w:t>
      </w:r>
      <w:r w:rsidR="001A462E" w:rsidRPr="00ED6B05">
        <w:rPr>
          <w:noProof/>
        </w:rPr>
        <w:t>of the European Parliament and of the Council</w:t>
      </w:r>
      <w:r w:rsidR="001A462E">
        <w:rPr>
          <w:rStyle w:val="FootnoteReference"/>
          <w:noProof/>
        </w:rPr>
        <w:footnoteReference w:id="29"/>
      </w:r>
      <w:r w:rsidR="001A462E">
        <w:rPr>
          <w:noProof/>
        </w:rPr>
        <w:t xml:space="preserve"> for physical security. Regulation (EU) 2024/2847 </w:t>
      </w:r>
      <w:r w:rsidR="001A462E" w:rsidRPr="00ED6B05">
        <w:rPr>
          <w:noProof/>
        </w:rPr>
        <w:t>of the European Parliament and of the Council</w:t>
      </w:r>
      <w:r w:rsidR="001A462E">
        <w:rPr>
          <w:rStyle w:val="FootnoteReference"/>
          <w:noProof/>
        </w:rPr>
        <w:footnoteReference w:id="30"/>
      </w:r>
      <w:r w:rsidR="001A462E">
        <w:rPr>
          <w:noProof/>
        </w:rPr>
        <w:t xml:space="preserve"> enhances the cybersecurity of products with digital elements. Regulation (EU) 2025/38 </w:t>
      </w:r>
      <w:r w:rsidR="001A462E" w:rsidRPr="00ED6B05">
        <w:rPr>
          <w:noProof/>
        </w:rPr>
        <w:t>of the European Parliament and of the Council</w:t>
      </w:r>
      <w:r w:rsidR="001A462E">
        <w:rPr>
          <w:rStyle w:val="FootnoteReference"/>
          <w:noProof/>
        </w:rPr>
        <w:footnoteReference w:id="31"/>
      </w:r>
      <w:r w:rsidR="001A462E">
        <w:rPr>
          <w:noProof/>
        </w:rPr>
        <w:t xml:space="preserve"> builds Union-wide response capabilities, and the Council Recommendation of 6 June 2025 on an EU blueprint for cyber crisis management</w:t>
      </w:r>
      <w:r w:rsidR="001A462E">
        <w:rPr>
          <w:rStyle w:val="FootnoteReference"/>
          <w:noProof/>
        </w:rPr>
        <w:footnoteReference w:id="32"/>
      </w:r>
      <w:r w:rsidR="001A462E">
        <w:rPr>
          <w:noProof/>
        </w:rPr>
        <w:t xml:space="preserve"> (‘Recommendation on the Cyber Blueprint’) supports Union-level crisis management cooperation. The 5G Cybersecurity Toolbox</w:t>
      </w:r>
      <w:r w:rsidR="001A462E">
        <w:rPr>
          <w:rStyle w:val="FootnoteReference"/>
          <w:noProof/>
        </w:rPr>
        <w:footnoteReference w:id="33"/>
      </w:r>
      <w:r w:rsidR="001A462E">
        <w:rPr>
          <w:noProof/>
        </w:rPr>
        <w:t xml:space="preserve"> </w:t>
      </w:r>
      <w:r w:rsidR="001A462E" w:rsidRPr="00901D26">
        <w:rPr>
          <w:noProof/>
        </w:rPr>
        <w:t>constitute</w:t>
      </w:r>
      <w:r w:rsidR="001A462E">
        <w:rPr>
          <w:noProof/>
        </w:rPr>
        <w:t>s a first step towards a coordinated approach at Union level to secure 5G networks. The Commission communication on the Cybersecurity Skills Academy</w:t>
      </w:r>
      <w:r w:rsidR="001A462E">
        <w:rPr>
          <w:rStyle w:val="FootnoteReference"/>
          <w:noProof/>
        </w:rPr>
        <w:footnoteReference w:id="34"/>
      </w:r>
      <w:r w:rsidR="001A462E">
        <w:rPr>
          <w:noProof/>
        </w:rPr>
        <w:t xml:space="preserve"> addresses the growing challenge of the cybersecurity talent gap. Additionally, t</w:t>
      </w:r>
      <w:r w:rsidR="001A462E" w:rsidRPr="00901D26">
        <w:rPr>
          <w:noProof/>
        </w:rPr>
        <w:t>he</w:t>
      </w:r>
      <w:r w:rsidR="001A462E">
        <w:rPr>
          <w:noProof/>
        </w:rPr>
        <w:t xml:space="preserve"> cybersecurity framework has been enhanced by sector-specific legislation, in particular Regulation (EU) 2022/2554 </w:t>
      </w:r>
      <w:r w:rsidR="001A462E" w:rsidRPr="00D37932">
        <w:rPr>
          <w:noProof/>
        </w:rPr>
        <w:t>of the European Parliament and of the Council</w:t>
      </w:r>
      <w:r w:rsidR="001A462E">
        <w:rPr>
          <w:rStyle w:val="FootnoteReference"/>
          <w:noProof/>
        </w:rPr>
        <w:footnoteReference w:id="35"/>
      </w:r>
      <w:r w:rsidR="001A462E">
        <w:rPr>
          <w:noProof/>
        </w:rPr>
        <w:t xml:space="preserve">  for the financial sector, Commission Delegated Regulation (EU) 2024/1366</w:t>
      </w:r>
      <w:r w:rsidR="001A462E">
        <w:rPr>
          <w:rStyle w:val="FootnoteReference"/>
          <w:noProof/>
        </w:rPr>
        <w:footnoteReference w:id="36"/>
      </w:r>
      <w:r w:rsidR="001A462E">
        <w:rPr>
          <w:noProof/>
        </w:rPr>
        <w:t xml:space="preserve"> for the electricity subsector, </w:t>
      </w:r>
      <w:r w:rsidR="001A462E" w:rsidRPr="00805183">
        <w:rPr>
          <w:noProof/>
        </w:rPr>
        <w:t>Commission Delegated Regulation (EU) 2022/1645</w:t>
      </w:r>
      <w:r w:rsidR="001A462E">
        <w:rPr>
          <w:rStyle w:val="FootnoteReference"/>
          <w:noProof/>
        </w:rPr>
        <w:footnoteReference w:id="37"/>
      </w:r>
      <w:r w:rsidR="001A462E" w:rsidRPr="00805183">
        <w:rPr>
          <w:noProof/>
        </w:rPr>
        <w:t xml:space="preserve"> </w:t>
      </w:r>
      <w:r w:rsidR="001A462E">
        <w:rPr>
          <w:noProof/>
        </w:rPr>
        <w:t>and Commission Implementing Regulation (EU) 2023/203</w:t>
      </w:r>
      <w:r w:rsidR="001A462E">
        <w:rPr>
          <w:rStyle w:val="FootnoteReference"/>
          <w:noProof/>
        </w:rPr>
        <w:footnoteReference w:id="38"/>
      </w:r>
      <w:r w:rsidR="001A462E">
        <w:rPr>
          <w:noProof/>
        </w:rPr>
        <w:t xml:space="preserve">(PART-IS) as well as relevant aviation security rules set out in </w:t>
      </w:r>
      <w:r w:rsidR="001A462E" w:rsidRPr="00AB502D">
        <w:rPr>
          <w:noProof/>
        </w:rPr>
        <w:t>Commission Regulation (EU) 2019/1583</w:t>
      </w:r>
      <w:r w:rsidR="001A462E">
        <w:rPr>
          <w:rStyle w:val="FootnoteReference"/>
          <w:noProof/>
        </w:rPr>
        <w:footnoteReference w:id="39"/>
      </w:r>
      <w:r w:rsidR="001A462E">
        <w:rPr>
          <w:noProof/>
        </w:rPr>
        <w:t xml:space="preserve"> for the air transport sub-sector, and other policy documents such as the Commission communication on an EU action plan on the cybersecurity of hospitals and healthcare providers</w:t>
      </w:r>
      <w:r w:rsidR="001A462E">
        <w:rPr>
          <w:rStyle w:val="FootnoteReference"/>
          <w:noProof/>
        </w:rPr>
        <w:footnoteReference w:id="40"/>
      </w:r>
      <w:r w:rsidR="001A462E">
        <w:rPr>
          <w:noProof/>
        </w:rPr>
        <w:t xml:space="preserve">. Union entities are also strengthened with Regulation (EU, Euratom) 2023/2841 </w:t>
      </w:r>
      <w:r w:rsidR="001A462E" w:rsidRPr="009D33CC">
        <w:rPr>
          <w:noProof/>
        </w:rPr>
        <w:t>of the European Parliament and of the Council</w:t>
      </w:r>
      <w:r w:rsidR="001A462E">
        <w:rPr>
          <w:rStyle w:val="FootnoteReference"/>
          <w:noProof/>
        </w:rPr>
        <w:footnoteReference w:id="41"/>
      </w:r>
      <w:r w:rsidR="001A462E">
        <w:rPr>
          <w:noProof/>
        </w:rPr>
        <w:t xml:space="preserve">, which lays down measures that aim to achieve a high common level of cybersecurity within </w:t>
      </w:r>
      <w:r w:rsidR="001A462E" w:rsidRPr="00E11EEA">
        <w:rPr>
          <w:noProof/>
        </w:rPr>
        <w:t>Union institutions, bodies, offices and agencies</w:t>
      </w:r>
      <w:r w:rsidR="001A462E">
        <w:rPr>
          <w:noProof/>
        </w:rPr>
        <w:t>. This enhanced legal framework for cybersecurity has further specified  ENISA’s tasks.</w:t>
      </w:r>
    </w:p>
    <w:p w14:paraId="7B4D7D1B" w14:textId="732820D6" w:rsidR="001A462E" w:rsidRDefault="006D01CD" w:rsidP="006D01CD">
      <w:pPr>
        <w:pStyle w:val="ManualConsidrant"/>
        <w:rPr>
          <w:noProof/>
        </w:rPr>
      </w:pPr>
      <w:r w:rsidRPr="006D01CD">
        <w:rPr>
          <w:noProof/>
        </w:rPr>
        <w:t>(4)</w:t>
      </w:r>
      <w:r w:rsidRPr="006D01CD">
        <w:rPr>
          <w:noProof/>
        </w:rPr>
        <w:tab/>
      </w:r>
      <w:r w:rsidR="001A462E">
        <w:rPr>
          <w:noProof/>
        </w:rPr>
        <w:t>In this context, and as stated in the ProtectEU: European Internal Security Strategy</w:t>
      </w:r>
      <w:r w:rsidR="001A462E">
        <w:rPr>
          <w:rStyle w:val="FootnoteReference"/>
          <w:noProof/>
        </w:rPr>
        <w:footnoteReference w:id="42"/>
      </w:r>
      <w:r w:rsidR="001A462E">
        <w:rPr>
          <w:noProof/>
        </w:rPr>
        <w:t>, Preparedness Union Strategy</w:t>
      </w:r>
      <w:r w:rsidR="001A462E">
        <w:rPr>
          <w:rStyle w:val="FootnoteReference"/>
          <w:noProof/>
        </w:rPr>
        <w:footnoteReference w:id="43"/>
      </w:r>
      <w:r w:rsidR="001A462E">
        <w:rPr>
          <w:noProof/>
        </w:rPr>
        <w:t xml:space="preserve">, ensuring the preparedness, security and resilience of the Union’s society and economy requires strong European coordination, trust and information sharing between stakeholders, robust frameworks to ensure the security of ICT products, services, processes </w:t>
      </w:r>
      <w:r w:rsidR="001A462E" w:rsidRPr="00051159">
        <w:rPr>
          <w:noProof/>
        </w:rPr>
        <w:t>and managed security services, as well as growing and strengthening the cybersecurity workforce. It further calls for bolstering ICT supply chains by ensuring European technological sovereignty over key assets, which would increase the Union’s resilience and could benefit cyber defence efforts. In addition, the Communication on Strengthening EU economic security</w:t>
      </w:r>
      <w:r w:rsidR="001A462E" w:rsidRPr="00051159">
        <w:rPr>
          <w:rStyle w:val="FootnoteReference"/>
          <w:noProof/>
        </w:rPr>
        <w:footnoteReference w:id="44"/>
      </w:r>
      <w:r w:rsidR="001A462E" w:rsidRPr="00051159">
        <w:rPr>
          <w:noProof/>
        </w:rPr>
        <w:t xml:space="preserve"> identifies as priority objectives the needs to prevent access to sensitive information and data that could undermine the EU’s economic security and to prevent and mitigate disruptions to EU critical infrastructure affecting the EU economy. It acknowledges the essential role effective cybersecurity measures play in this regard.</w:t>
      </w:r>
    </w:p>
    <w:p w14:paraId="7CDDDB3C" w14:textId="2AA410E0" w:rsidR="002A41F3" w:rsidRPr="00901D26" w:rsidRDefault="006D01CD" w:rsidP="006D01CD">
      <w:pPr>
        <w:pStyle w:val="ManualConsidrant"/>
        <w:rPr>
          <w:noProof/>
        </w:rPr>
      </w:pPr>
      <w:r w:rsidRPr="006D01CD">
        <w:rPr>
          <w:noProof/>
        </w:rPr>
        <w:t>(5)</w:t>
      </w:r>
      <w:r w:rsidRPr="006D01CD">
        <w:rPr>
          <w:noProof/>
        </w:rPr>
        <w:tab/>
      </w:r>
      <w:r w:rsidR="002A41F3" w:rsidRPr="002A41F3">
        <w:rPr>
          <w:noProof/>
        </w:rPr>
        <w:t>Large-scale cybersecurity incidents affecting critical infrastructure, digital services or essential societal functions may have impacts on the population requiring coordinated civil protection and crisis management action at Union level. In line with the</w:t>
      </w:r>
      <w:r w:rsidR="006E55ED">
        <w:rPr>
          <w:noProof/>
        </w:rPr>
        <w:t xml:space="preserve"> </w:t>
      </w:r>
      <w:r w:rsidR="006E55ED" w:rsidRPr="002A41F3">
        <w:rPr>
          <w:noProof/>
        </w:rPr>
        <w:t xml:space="preserve"> all-hazards approach </w:t>
      </w:r>
      <w:r w:rsidR="006E55ED">
        <w:rPr>
          <w:noProof/>
        </w:rPr>
        <w:t xml:space="preserve">of the </w:t>
      </w:r>
      <w:r w:rsidR="002A41F3" w:rsidRPr="002A41F3">
        <w:rPr>
          <w:noProof/>
        </w:rPr>
        <w:t>European Preparedness Union Strategy and Decision No 1313/2013/EU on the Union Civil Protection Mechanism, arrangements for situational awareness, incident response and exercises under this Regulation should feed in Union crisis management, notably though the Emergency Response Coordination Centre (ERCC</w:t>
      </w:r>
      <w:r w:rsidR="002A41F3">
        <w:rPr>
          <w:noProof/>
        </w:rPr>
        <w:t>)</w:t>
      </w:r>
      <w:r w:rsidR="002A41F3" w:rsidRPr="002A41F3">
        <w:rPr>
          <w:noProof/>
        </w:rPr>
        <w:t>.</w:t>
      </w:r>
    </w:p>
    <w:p w14:paraId="66C57515" w14:textId="5F53BDC5" w:rsidR="001A462E" w:rsidRPr="00901D26" w:rsidRDefault="006D01CD" w:rsidP="006D01CD">
      <w:pPr>
        <w:pStyle w:val="ManualConsidrant"/>
        <w:rPr>
          <w:noProof/>
        </w:rPr>
      </w:pPr>
      <w:r w:rsidRPr="006D01CD">
        <w:rPr>
          <w:noProof/>
        </w:rPr>
        <w:t>(6)</w:t>
      </w:r>
      <w:r w:rsidRPr="006D01CD">
        <w:rPr>
          <w:noProof/>
        </w:rPr>
        <w:tab/>
      </w:r>
      <w:r w:rsidR="001A462E">
        <w:rPr>
          <w:noProof/>
        </w:rPr>
        <w:t>This proposal is consistent with and complemented by the [</w:t>
      </w:r>
      <w:r w:rsidR="001A462E" w:rsidRPr="5B043637">
        <w:rPr>
          <w:noProof/>
        </w:rPr>
        <w:t>Proposal for a Directive complementing [the revision of Regulation (EU) 2019/881] and amending Directive (EU) 2022/2555 as regards the simplification of the implementation of measures for a high common level of cybersecurity across the Union</w:t>
      </w:r>
      <w:r w:rsidR="001A462E">
        <w:rPr>
          <w:noProof/>
        </w:rPr>
        <w:t xml:space="preserve">], as well as with </w:t>
      </w:r>
      <w:r w:rsidR="001A462E" w:rsidRPr="00BD0E95">
        <w:rPr>
          <w:rFonts w:eastAsia="Times New Roman"/>
          <w:noProof/>
        </w:rPr>
        <w:t>the [Proposal for Regulation on simplification of the digital legislation (Digital Omnibus</w:t>
      </w:r>
      <w:r w:rsidR="001A462E" w:rsidRPr="00BD0E95">
        <w:rPr>
          <w:noProof/>
        </w:rPr>
        <w:t>)</w:t>
      </w:r>
      <w:r w:rsidR="001A462E" w:rsidRPr="00BD0E95">
        <w:rPr>
          <w:rStyle w:val="FootnoteReference"/>
          <w:noProof/>
        </w:rPr>
        <w:footnoteReference w:id="45"/>
      </w:r>
      <w:r w:rsidR="001A462E" w:rsidRPr="00BD0E95">
        <w:rPr>
          <w:noProof/>
        </w:rPr>
        <w:t xml:space="preserve"> which provides the obligation on ENISA to develop a single entry-point for incident reporting through which entities can simultaneously fulfil their incident reporting obligations under multiple legal acts.</w:t>
      </w:r>
      <w:r w:rsidR="001A462E">
        <w:rPr>
          <w:noProof/>
        </w:rPr>
        <w:t xml:space="preserve"> </w:t>
      </w:r>
    </w:p>
    <w:p w14:paraId="4029A5A2" w14:textId="07298804" w:rsidR="001A462E" w:rsidRDefault="006D01CD" w:rsidP="006D01CD">
      <w:pPr>
        <w:pStyle w:val="ManualConsidrant"/>
        <w:rPr>
          <w:noProof/>
        </w:rPr>
      </w:pPr>
      <w:r w:rsidRPr="006D01CD">
        <w:rPr>
          <w:noProof/>
        </w:rPr>
        <w:t>(7)</w:t>
      </w:r>
      <w:r w:rsidRPr="006D01CD">
        <w:rPr>
          <w:noProof/>
        </w:rPr>
        <w:tab/>
      </w:r>
      <w:r w:rsidR="001A462E">
        <w:rPr>
          <w:noProof/>
        </w:rPr>
        <w:t>Regulation (EC) No 460/2004 of the European Parliament and of the Council</w:t>
      </w:r>
      <w:r w:rsidR="001A462E">
        <w:rPr>
          <w:rStyle w:val="FootnoteReference"/>
          <w:noProof/>
        </w:rPr>
        <w:footnoteReference w:id="46"/>
      </w:r>
      <w:r w:rsidR="001A462E">
        <w:rPr>
          <w:noProof/>
        </w:rPr>
        <w:t xml:space="preserve"> established ENISA with the aim of contributing to ensuring a high and effective level of network and information security within the Union, and developing a culture of network and information security for the benefit of citizens, consumers, enterprises and public administrations. ENISA’s mandate was extended three times before Regulation (EU) 2019/881 granted it a permanent mandate. In order to better address the needs created by the evolving threat and technological</w:t>
      </w:r>
      <w:r w:rsidR="001A462E" w:rsidRPr="00901D26">
        <w:rPr>
          <w:noProof/>
        </w:rPr>
        <w:t xml:space="preserve"> landscape</w:t>
      </w:r>
      <w:r w:rsidR="001A462E">
        <w:rPr>
          <w:noProof/>
        </w:rPr>
        <w:t xml:space="preserve">s, in particular with regards to operational cooperation and the increased need for cybersecurity professionals, </w:t>
      </w:r>
      <w:r w:rsidR="001A462E" w:rsidRPr="00901D26">
        <w:rPr>
          <w:noProof/>
        </w:rPr>
        <w:t>ENISA’s mandate should be further reinforced.</w:t>
      </w:r>
      <w:r w:rsidR="001A462E">
        <w:rPr>
          <w:noProof/>
        </w:rPr>
        <w:t xml:space="preserve"> In the interest of legal certainty, Regulation (EU) 2019/</w:t>
      </w:r>
      <w:r w:rsidR="001A462E" w:rsidRPr="00901D26">
        <w:rPr>
          <w:noProof/>
        </w:rPr>
        <w:t>881</w:t>
      </w:r>
      <w:r w:rsidR="001A462E">
        <w:rPr>
          <w:noProof/>
        </w:rPr>
        <w:t xml:space="preserve"> </w:t>
      </w:r>
      <w:r w:rsidR="001A462E" w:rsidRPr="00901D26">
        <w:rPr>
          <w:noProof/>
        </w:rPr>
        <w:t>should</w:t>
      </w:r>
      <w:r w:rsidR="001A462E">
        <w:rPr>
          <w:noProof/>
        </w:rPr>
        <w:t xml:space="preserve"> be replaced. </w:t>
      </w:r>
    </w:p>
    <w:p w14:paraId="18C40D1F" w14:textId="40AB5004" w:rsidR="001A462E" w:rsidRDefault="006D01CD" w:rsidP="006D01CD">
      <w:pPr>
        <w:pStyle w:val="ManualConsidrant"/>
        <w:rPr>
          <w:noProof/>
        </w:rPr>
      </w:pPr>
      <w:r w:rsidRPr="006D01CD">
        <w:rPr>
          <w:noProof/>
        </w:rPr>
        <w:t>(8)</w:t>
      </w:r>
      <w:r w:rsidRPr="006D01CD">
        <w:rPr>
          <w:noProof/>
        </w:rPr>
        <w:tab/>
      </w:r>
      <w:r w:rsidR="001A462E" w:rsidRPr="00901D26">
        <w:rPr>
          <w:noProof/>
        </w:rPr>
        <w:t xml:space="preserve">In an evolving </w:t>
      </w:r>
      <w:r w:rsidR="001A462E">
        <w:rPr>
          <w:noProof/>
        </w:rPr>
        <w:t xml:space="preserve">threat landscape where cybersecurity incidents become increasingly more significant, delivering trust for individuals, public authorities and businesses in their daily use of technologies is even more important than ever. </w:t>
      </w:r>
      <w:r w:rsidR="001A462E" w:rsidRPr="00A83D87">
        <w:rPr>
          <w:noProof/>
        </w:rPr>
        <w:t xml:space="preserve">An increase in trust can be facilitated by </w:t>
      </w:r>
      <w:r w:rsidR="001A462E">
        <w:rPr>
          <w:noProof/>
        </w:rPr>
        <w:t xml:space="preserve">a reinforced </w:t>
      </w:r>
      <w:r w:rsidR="001A462E" w:rsidRPr="00A83D87">
        <w:rPr>
          <w:noProof/>
        </w:rPr>
        <w:t>Union-wide certification</w:t>
      </w:r>
      <w:r w:rsidR="001A462E">
        <w:rPr>
          <w:noProof/>
        </w:rPr>
        <w:t xml:space="preserve"> of the ECCF</w:t>
      </w:r>
      <w:r w:rsidR="001A462E" w:rsidRPr="00A83D87">
        <w:rPr>
          <w:noProof/>
        </w:rPr>
        <w:t xml:space="preserve"> providing for common cybersecurity requirements and evaluation criteria across national markets and sectors.</w:t>
      </w:r>
      <w:r w:rsidR="001A462E">
        <w:rPr>
          <w:noProof/>
        </w:rPr>
        <w:t xml:space="preserve"> The new framework should lay down the main horizontal requirements for European cybersecurity certification schemes and allow for European cybersecurity certificates and EU statements of conformity to be recognised and used in all Member States. In doing so, it should establish a procedure and governance framework that allows for the timely and predictable development and maintenance of European cybersecurity certification schemes. The European cybersecurity certification schemes should be applied uniformly in all Member States to</w:t>
      </w:r>
      <w:r w:rsidR="00855EFD">
        <w:rPr>
          <w:noProof/>
        </w:rPr>
        <w:t xml:space="preserve"> </w:t>
      </w:r>
      <w:r w:rsidR="00855EFD" w:rsidRPr="00855EFD">
        <w:rPr>
          <w:noProof/>
        </w:rPr>
        <w:t>ensure a harmonised implementation of cybersecurity requirements, level the playing field</w:t>
      </w:r>
      <w:r w:rsidR="001A462E">
        <w:rPr>
          <w:noProof/>
        </w:rPr>
        <w:t xml:space="preserve"> </w:t>
      </w:r>
      <w:r w:rsidR="00855EFD">
        <w:rPr>
          <w:noProof/>
        </w:rPr>
        <w:t xml:space="preserve">and </w:t>
      </w:r>
      <w:r w:rsidR="001A462E">
        <w:rPr>
          <w:noProof/>
        </w:rPr>
        <w:t xml:space="preserve">prevent ‘certification shopping’ based on different levels of stringency in different Member States. ENISA should have a key role in providing for the development of the schemes through technical specifications and ensuring that such schemes remain technically up to date. Furthermore, to meet the market needs effectively, the framework should provide for the possibility for certification of cybersecurity risk management measures addressed to entities and facilitate compliance with other applicable Union legislation in the field of cybersecurity. Alignment with existing Union law, such as </w:t>
      </w:r>
      <w:r w:rsidR="001A462E" w:rsidRPr="000565F1">
        <w:rPr>
          <w:noProof/>
        </w:rPr>
        <w:t>Regulation (EU) 2024/2847 and Directive (EU) 2022/2555</w:t>
      </w:r>
      <w:r w:rsidR="001A462E">
        <w:rPr>
          <w:noProof/>
        </w:rPr>
        <w:t xml:space="preserve">, is essential for European cybersecurity certification schemes to contribute to reducing compliance burden on businesses, increase their attractiveness and strengthen the cyber resilience of the Union. </w:t>
      </w:r>
    </w:p>
    <w:p w14:paraId="34382CDD" w14:textId="6166D2A1" w:rsidR="001A462E" w:rsidRDefault="006D01CD" w:rsidP="006D01CD">
      <w:pPr>
        <w:pStyle w:val="ManualConsidrant"/>
        <w:rPr>
          <w:noProof/>
        </w:rPr>
      </w:pPr>
      <w:r w:rsidRPr="006D01CD">
        <w:rPr>
          <w:noProof/>
        </w:rPr>
        <w:t>(9)</w:t>
      </w:r>
      <w:r w:rsidRPr="006D01CD">
        <w:rPr>
          <w:noProof/>
        </w:rPr>
        <w:tab/>
      </w:r>
      <w:r w:rsidR="001A462E">
        <w:rPr>
          <w:noProof/>
        </w:rPr>
        <w:t>The mission of ENISA should be to support Member States and Union entities to achieve a high level of cybersecurity, resilience and trust in the Union. To that end, ENISA should act as a reference point for advice and expertise on cybersecurity, and its work should primarily revolve around four key areas of cybersecurity at Union level. First, ENISA should support Member States in the consistent implementation of Union policy and legislation regarding cybersecurity and assist Member States through capacity-building activities to continuously improve their capacities in terms of preparedness, resilience and response. Second, ENISA should contribute to operational cooperation at Union level, amongst Member States, and to enhanced shared situational awareness of cyber threats and incidents among Member States and Union entities. The third key area should be cybersecurity certification and standardisation</w:t>
      </w:r>
      <w:r w:rsidR="001A462E" w:rsidDel="00F509C0">
        <w:rPr>
          <w:noProof/>
        </w:rPr>
        <w:t xml:space="preserve">, while </w:t>
      </w:r>
      <w:r w:rsidR="001A462E">
        <w:rPr>
          <w:noProof/>
        </w:rPr>
        <w:t>the fourth should be the implementation of the Cybersecurity Skills Academy, which should contribute to the development of a thriving European cybersecurity workforce with skills that should be portable across Member States.</w:t>
      </w:r>
    </w:p>
    <w:p w14:paraId="6A1DE284" w14:textId="0DD5E2B4" w:rsidR="001A462E" w:rsidRPr="00901D26" w:rsidRDefault="006D01CD" w:rsidP="006D01CD">
      <w:pPr>
        <w:pStyle w:val="ManualConsidrant"/>
        <w:rPr>
          <w:noProof/>
        </w:rPr>
      </w:pPr>
      <w:r w:rsidRPr="006D01CD">
        <w:rPr>
          <w:noProof/>
        </w:rPr>
        <w:t>(10)</w:t>
      </w:r>
      <w:r w:rsidRPr="006D01CD">
        <w:rPr>
          <w:noProof/>
        </w:rPr>
        <w:tab/>
      </w:r>
      <w:r w:rsidR="001A462E" w:rsidRPr="00901D26">
        <w:rPr>
          <w:noProof/>
        </w:rPr>
        <w:t>Regulation (EU, Euratom) 2023/2841 laying down measures for a high common level of cybersecurity at the institutions, bodies, offices and agencies of the Union and provides for the mandate of CERT-EU, establishing it as the Cybersecurity Service for Union institutions, bodies, offices and agencies to contribute to the security of the unclassified ICT environment of Union entities by advising them on cybersecurity, supporting them to prevent, detect, handle, mitigate, respond to and recover from incidents and acting as their cybersecurity information exchange and incident response coordination hub. Furthermore, CERT-EU is tasked with offering relevant cybersecurity services to Union entities. As part of its mission, ENISA should support also Union entities. I</w:t>
      </w:r>
      <w:r w:rsidR="00465DE9">
        <w:rPr>
          <w:noProof/>
        </w:rPr>
        <w:t>n particular, i</w:t>
      </w:r>
      <w:r w:rsidR="001A462E" w:rsidRPr="00901D26">
        <w:rPr>
          <w:noProof/>
        </w:rPr>
        <w:t>t should</w:t>
      </w:r>
      <w:r w:rsidR="001A462E">
        <w:rPr>
          <w:noProof/>
        </w:rPr>
        <w:t xml:space="preserve"> </w:t>
      </w:r>
      <w:r w:rsidR="00134180">
        <w:rPr>
          <w:noProof/>
        </w:rPr>
        <w:t>do so</w:t>
      </w:r>
      <w:r w:rsidR="001A462E">
        <w:rPr>
          <w:noProof/>
        </w:rPr>
        <w:t xml:space="preserve"> </w:t>
      </w:r>
      <w:r w:rsidR="001A462E" w:rsidRPr="00901D26">
        <w:rPr>
          <w:noProof/>
        </w:rPr>
        <w:t>by engaging through struct</w:t>
      </w:r>
      <w:r w:rsidR="00134180">
        <w:rPr>
          <w:noProof/>
        </w:rPr>
        <w:t>ur</w:t>
      </w:r>
      <w:r w:rsidR="001A462E" w:rsidRPr="00901D26">
        <w:rPr>
          <w:noProof/>
        </w:rPr>
        <w:t xml:space="preserve">ed cooperation with CERT-EU on capacity building, operational cooperation and long-term strategic analyses of cyber threats. When relevant, ENISA may leverage the structured cooperation with CERT-EU for ENISA cybersecurity services or support that can be of added value to Union entities, in a coordinated manner to ensure synergies  of efforts of CERT-EU. </w:t>
      </w:r>
    </w:p>
    <w:p w14:paraId="1787BFB1" w14:textId="0DFBBEDD" w:rsidR="001A462E" w:rsidRDefault="006D01CD" w:rsidP="006D01CD">
      <w:pPr>
        <w:pStyle w:val="ManualConsidrant"/>
        <w:rPr>
          <w:noProof/>
        </w:rPr>
      </w:pPr>
      <w:r w:rsidRPr="006D01CD">
        <w:rPr>
          <w:noProof/>
        </w:rPr>
        <w:t>(11)</w:t>
      </w:r>
      <w:r w:rsidRPr="006D01CD">
        <w:rPr>
          <w:noProof/>
        </w:rPr>
        <w:tab/>
      </w:r>
      <w:r w:rsidR="001A462E">
        <w:rPr>
          <w:noProof/>
        </w:rPr>
        <w:t>One of the core tasks of ENISA should be to support Member States in implementing Union policy and law regarding cybersecurity consistently, in particular as regards Directive (EU) 2022/2555, Regulation (EU) 2024/2847, and Regulation (EU) 2025/38. To help achieve consistent and effective implementation of the Union cybersecurity acquis, ENISA should issue technical guidance and reports, provide advice and best practices, and facilitate the exchange of best practices between competent authorities to this end. Furthermore, ENISA is assessing the state of cybersecurity in the Union and adopts a report to that end in accordance with Article 18 of Directive (EU) 2022/2555. ENISA should also be able to respond to requests for advice and assistance by Member States and, where applicable, Union entities, on matters falling within ENISA’s mandate.</w:t>
      </w:r>
    </w:p>
    <w:p w14:paraId="4DD1A5B1" w14:textId="29827CD5" w:rsidR="001A462E" w:rsidRDefault="006D01CD" w:rsidP="006D01CD">
      <w:pPr>
        <w:pStyle w:val="ManualConsidrant"/>
        <w:rPr>
          <w:noProof/>
        </w:rPr>
      </w:pPr>
      <w:r w:rsidRPr="006D01CD">
        <w:rPr>
          <w:noProof/>
        </w:rPr>
        <w:t>(12)</w:t>
      </w:r>
      <w:r w:rsidRPr="006D01CD">
        <w:rPr>
          <w:noProof/>
        </w:rPr>
        <w:tab/>
      </w:r>
      <w:r w:rsidR="001A462E">
        <w:rPr>
          <w:noProof/>
        </w:rPr>
        <w:t>With a view to stimulating cooperation between the public and private sectors and within the private sector, in particular to support the protection of critical infrastructure, ENISA should support information sharing within and among sectors, in particular the sectors listed in Annexes I and II to Directive (EU) 2022/2555, and information regarding products with digital elements falling within the scope of Regulation (EU) 2024/2847. Such support may take the form of providing best practices and guidance on available tools and procedures, as well as providing guidance on how to address regulatory issues related to information sharing, for example through facilitating the establishment of sectoral Information Sharing and Analysis Centres (ISACs).</w:t>
      </w:r>
    </w:p>
    <w:p w14:paraId="7ECE6092" w14:textId="51404421" w:rsidR="001A462E" w:rsidRDefault="006D01CD" w:rsidP="006D01CD">
      <w:pPr>
        <w:pStyle w:val="ManualConsidrant"/>
        <w:rPr>
          <w:noProof/>
        </w:rPr>
      </w:pPr>
      <w:r w:rsidRPr="006D01CD">
        <w:rPr>
          <w:noProof/>
        </w:rPr>
        <w:t>(13)</w:t>
      </w:r>
      <w:r w:rsidRPr="006D01CD">
        <w:rPr>
          <w:noProof/>
        </w:rPr>
        <w:tab/>
      </w:r>
      <w:r w:rsidR="001A462E">
        <w:rPr>
          <w:noProof/>
        </w:rPr>
        <w:t xml:space="preserve">In view of supporting and facilitating the </w:t>
      </w:r>
      <w:r w:rsidR="001A462E" w:rsidRPr="00E73F65">
        <w:rPr>
          <w:noProof/>
        </w:rPr>
        <w:t>strategic cooperation and the exchange of information</w:t>
      </w:r>
      <w:r w:rsidR="001A462E">
        <w:rPr>
          <w:noProof/>
        </w:rPr>
        <w:t>, ENISA should contribute to the work of the Cooperation Group established by Directive (EU) 2022/2555 (‘NIS Cooperation Group’), in particular by providing expertise, advice and by facilitating the exchange of best practices, among other</w:t>
      </w:r>
      <w:r w:rsidR="00F86EB5">
        <w:rPr>
          <w:noProof/>
        </w:rPr>
        <w:t>s</w:t>
      </w:r>
      <w:r w:rsidR="001A462E">
        <w:rPr>
          <w:noProof/>
        </w:rPr>
        <w:t>, in relation to cross-border dependencies, regarding risks and incidents. ENISA should also contribute to the work of the European Digital Identity Cooperation Group established by Regulation (EU) No 910/2014</w:t>
      </w:r>
      <w:r w:rsidR="001A462E" w:rsidRPr="00D00B1F">
        <w:rPr>
          <w:noProof/>
        </w:rPr>
        <w:t xml:space="preserve"> of the European Parliament and of the Council</w:t>
      </w:r>
      <w:r w:rsidR="001A462E">
        <w:rPr>
          <w:rStyle w:val="FootnoteReference"/>
          <w:noProof/>
        </w:rPr>
        <w:footnoteReference w:id="47"/>
      </w:r>
      <w:r w:rsidR="001A462E">
        <w:rPr>
          <w:noProof/>
        </w:rPr>
        <w:t>, the European Cybersecurity Certification Group, and the administrative cooperation group (ADCO) established by Regulation (EU) 2024/2847.</w:t>
      </w:r>
    </w:p>
    <w:p w14:paraId="4E5BC91C" w14:textId="254E8B3C" w:rsidR="001A462E" w:rsidRDefault="006D01CD" w:rsidP="006D01CD">
      <w:pPr>
        <w:pStyle w:val="ManualConsidrant"/>
        <w:rPr>
          <w:noProof/>
        </w:rPr>
      </w:pPr>
      <w:r w:rsidRPr="006D01CD">
        <w:rPr>
          <w:noProof/>
        </w:rPr>
        <w:t>(14)</w:t>
      </w:r>
      <w:r w:rsidRPr="006D01CD">
        <w:rPr>
          <w:noProof/>
        </w:rPr>
        <w:tab/>
      </w:r>
      <w:r w:rsidR="001A462E">
        <w:rPr>
          <w:noProof/>
        </w:rPr>
        <w:t xml:space="preserve">The public core of the open internet, namely its main protocols and infrastructure, which are a global public good, provides the essential functionality of the internet as a whole and underpins its normal operation. Within its mandate, ENISA should support the security and resilience of the public core of the open internet and the stability of its functioning, including, but not limited to, the secure deployment and operation of key protocols (in particular </w:t>
      </w:r>
      <w:r w:rsidR="001A462E" w:rsidRPr="00A85E1E">
        <w:rPr>
          <w:noProof/>
        </w:rPr>
        <w:t>Domain Name System</w:t>
      </w:r>
      <w:r w:rsidR="001A462E" w:rsidRPr="00901D26">
        <w:rPr>
          <w:noProof/>
        </w:rPr>
        <w:t xml:space="preserve">, </w:t>
      </w:r>
      <w:r w:rsidR="001A462E" w:rsidRPr="00A85E1E">
        <w:rPr>
          <w:noProof/>
        </w:rPr>
        <w:t>Border Gateway Protocol</w:t>
      </w:r>
      <w:r w:rsidR="001A462E">
        <w:rPr>
          <w:noProof/>
        </w:rPr>
        <w:t xml:space="preserve">, and </w:t>
      </w:r>
      <w:r w:rsidR="001A462E" w:rsidRPr="00A85E1E">
        <w:rPr>
          <w:noProof/>
        </w:rPr>
        <w:t>Internet Protocol version 6</w:t>
      </w:r>
      <w:r w:rsidR="001A462E">
        <w:rPr>
          <w:noProof/>
        </w:rPr>
        <w:t>) and the operation of the domain name system (such as the operation of all top-level domains), by promoting best practices, guidance, and cooperation, in accordance with established global, multistakeholder Internet governance arrangements and the respective roles and responsibilities of relevant international technical and operational bodies.</w:t>
      </w:r>
    </w:p>
    <w:p w14:paraId="323F0B9E" w14:textId="3B2C15D6" w:rsidR="001A462E" w:rsidRDefault="006D01CD" w:rsidP="006D01CD">
      <w:pPr>
        <w:pStyle w:val="ManualConsidrant"/>
        <w:rPr>
          <w:noProof/>
        </w:rPr>
      </w:pPr>
      <w:r w:rsidRPr="006D01CD">
        <w:rPr>
          <w:noProof/>
        </w:rPr>
        <w:t>(15)</w:t>
      </w:r>
      <w:r w:rsidRPr="006D01CD">
        <w:rPr>
          <w:noProof/>
        </w:rPr>
        <w:tab/>
      </w:r>
      <w:r w:rsidR="001A462E">
        <w:rPr>
          <w:noProof/>
        </w:rPr>
        <w:t xml:space="preserve">ENISA acts as a reference point for advice and expertise on cybersecurity. Therefore, at the Commission’s request, ENISA should assist it by means of expertise, technical advice, information, analyses, including feasibility studies, opinions and preparatory work regarding any specific matter in the field of cybersecurity with a view to informing the Commission’s policymaking and facilitating the Commission’s monitoring of the implementation of Union legislation regarding cybersecurity. </w:t>
      </w:r>
    </w:p>
    <w:p w14:paraId="37AD7B13" w14:textId="1CB732FF" w:rsidR="001A462E" w:rsidRDefault="006D01CD" w:rsidP="006D01CD">
      <w:pPr>
        <w:pStyle w:val="ManualConsidrant"/>
        <w:rPr>
          <w:noProof/>
        </w:rPr>
      </w:pPr>
      <w:r w:rsidRPr="006D01CD">
        <w:rPr>
          <w:noProof/>
        </w:rPr>
        <w:t>(16)</w:t>
      </w:r>
      <w:r w:rsidRPr="006D01CD">
        <w:rPr>
          <w:noProof/>
        </w:rPr>
        <w:tab/>
      </w:r>
      <w:r w:rsidR="001A462E">
        <w:rPr>
          <w:noProof/>
        </w:rPr>
        <w:t xml:space="preserve">Similarly, taking into account its expertise, ENISA should assist Member States in their efforts to build and enhance capabilities and preparedness to prevent, detect and respond to cyber threats and incidents and in relation to the security of network and information systems. In particular, ENISA should support the development and enhancement of computer security incident response teams (‘CSIRTs’) provided for in Directive (EU) 2022/2555, with a view to achieving a high common level of maturity of CSIRTs in the Union. </w:t>
      </w:r>
    </w:p>
    <w:p w14:paraId="1557571B" w14:textId="48E5388C" w:rsidR="001A462E" w:rsidRDefault="006D01CD" w:rsidP="006D01CD">
      <w:pPr>
        <w:pStyle w:val="ManualConsidrant"/>
        <w:rPr>
          <w:noProof/>
        </w:rPr>
      </w:pPr>
      <w:r w:rsidRPr="006D01CD">
        <w:rPr>
          <w:noProof/>
        </w:rPr>
        <w:t>(17)</w:t>
      </w:r>
      <w:r w:rsidRPr="006D01CD">
        <w:rPr>
          <w:noProof/>
        </w:rPr>
        <w:tab/>
      </w:r>
      <w:r w:rsidR="001A462E">
        <w:rPr>
          <w:noProof/>
        </w:rPr>
        <w:t xml:space="preserve">ENISA has supported and should continue supporting Member States in developing and implementing guidelines for their national cybersecurity strategies contributing to the adoption and implementation of cybersecurity strategies by all Member States ENISA should promote the dissemination of such strategies through the National Cybersecurity Strategies (NCSS) Interactive Map and should further follow the progress of their implementation, including by providing support in the development of key performance indicators in this context. </w:t>
      </w:r>
    </w:p>
    <w:p w14:paraId="52B55A0F" w14:textId="18888865" w:rsidR="001A462E" w:rsidRDefault="006D01CD" w:rsidP="006D01CD">
      <w:pPr>
        <w:pStyle w:val="ManualConsidrant"/>
        <w:rPr>
          <w:noProof/>
        </w:rPr>
      </w:pPr>
      <w:r w:rsidRPr="006D01CD">
        <w:rPr>
          <w:noProof/>
        </w:rPr>
        <w:t>(18)</w:t>
      </w:r>
      <w:r w:rsidRPr="006D01CD">
        <w:rPr>
          <w:noProof/>
        </w:rPr>
        <w:tab/>
      </w:r>
      <w:r w:rsidR="001A462E">
        <w:rPr>
          <w:noProof/>
        </w:rPr>
        <w:t>Regulation (EU, Euratom) 2023/2841 has tasked the Interinstitutional Cybersecurity Board with supporting Union entities in elevating their respective cybersecurity postures, and CERT-EU with contributing to the security of the unclassified ICT environment of all Union entities. ENISA, based on its experience in cybersecurity, should support the Interinstitutional Cybersecurity Board and CERT-EU in their tasks in accordance with Regulation (EU, Euratom) 2023/2841, including by contributing to cyber threat analysis, situational awareness, cybersecurity exercises, coordination on incident response and the exchange of know-how and best practices.</w:t>
      </w:r>
    </w:p>
    <w:p w14:paraId="124CD495" w14:textId="298CC5AF" w:rsidR="001A462E" w:rsidRDefault="006D01CD" w:rsidP="006D01CD">
      <w:pPr>
        <w:pStyle w:val="ManualConsidrant"/>
        <w:rPr>
          <w:noProof/>
        </w:rPr>
      </w:pPr>
      <w:r w:rsidRPr="006D01CD">
        <w:rPr>
          <w:noProof/>
        </w:rPr>
        <w:t>(19)</w:t>
      </w:r>
      <w:r w:rsidRPr="006D01CD">
        <w:rPr>
          <w:noProof/>
        </w:rPr>
        <w:tab/>
      </w:r>
      <w:r w:rsidR="001A462E">
        <w:rPr>
          <w:noProof/>
        </w:rPr>
        <w:t xml:space="preserve">Based on ENISA’s expertise and to complement the capabilities of national and Union public authorities, ENISA should deliver training using the European Cybersecurity Skills Framework (ECSF) as a basis, in particular to support effective policy implementation, operational cooperation, and awareness-raising. </w:t>
      </w:r>
    </w:p>
    <w:p w14:paraId="28841785" w14:textId="3973C657" w:rsidR="001A462E" w:rsidRDefault="006D01CD" w:rsidP="006D01CD">
      <w:pPr>
        <w:pStyle w:val="ManualConsidrant"/>
        <w:rPr>
          <w:noProof/>
        </w:rPr>
      </w:pPr>
      <w:r w:rsidRPr="006D01CD">
        <w:rPr>
          <w:noProof/>
        </w:rPr>
        <w:t>(20)</w:t>
      </w:r>
      <w:r w:rsidRPr="006D01CD">
        <w:rPr>
          <w:noProof/>
        </w:rPr>
        <w:tab/>
      </w:r>
      <w:r w:rsidR="001A462E">
        <w:rPr>
          <w:noProof/>
        </w:rPr>
        <w:t xml:space="preserve">To ensure synergies with the European Cybersecurity Industrial, Technology and Research Competence Centre (ECCC) and the Network of National Coordination Centres established pursuant to Regulation (EU) 2021/887 </w:t>
      </w:r>
      <w:r w:rsidR="001A462E" w:rsidRPr="00C365DE">
        <w:rPr>
          <w:noProof/>
        </w:rPr>
        <w:t>of the European Parliament and of the Council</w:t>
      </w:r>
      <w:r w:rsidR="001A462E">
        <w:rPr>
          <w:rStyle w:val="FootnoteReference"/>
          <w:noProof/>
        </w:rPr>
        <w:footnoteReference w:id="48"/>
      </w:r>
      <w:r w:rsidR="001A462E">
        <w:rPr>
          <w:noProof/>
        </w:rPr>
        <w:t>, ENISA should support them by sharing information about current and emerging risks and cyber threats, including risks and threats regarding information and communications technologies.</w:t>
      </w:r>
    </w:p>
    <w:p w14:paraId="6E87166A" w14:textId="374DA9B1" w:rsidR="001A462E" w:rsidRDefault="006D01CD" w:rsidP="006D01CD">
      <w:pPr>
        <w:pStyle w:val="ManualConsidrant"/>
        <w:rPr>
          <w:noProof/>
        </w:rPr>
      </w:pPr>
      <w:r w:rsidRPr="006D01CD">
        <w:rPr>
          <w:noProof/>
        </w:rPr>
        <w:t>(21)</w:t>
      </w:r>
      <w:r w:rsidRPr="006D01CD">
        <w:rPr>
          <w:noProof/>
        </w:rPr>
        <w:tab/>
      </w:r>
      <w:r w:rsidR="00863DBF">
        <w:rPr>
          <w:noProof/>
        </w:rPr>
        <w:t xml:space="preserve">The Preparedness Strategy highlights </w:t>
      </w:r>
      <w:r w:rsidR="002033A8">
        <w:rPr>
          <w:noProof/>
        </w:rPr>
        <w:t xml:space="preserve">that </w:t>
      </w:r>
      <w:r w:rsidR="0076766B">
        <w:rPr>
          <w:noProof/>
        </w:rPr>
        <w:t xml:space="preserve">digital </w:t>
      </w:r>
      <w:r w:rsidR="000A05CB">
        <w:rPr>
          <w:noProof/>
        </w:rPr>
        <w:t>literacy</w:t>
      </w:r>
      <w:r w:rsidR="0076766B">
        <w:rPr>
          <w:noProof/>
        </w:rPr>
        <w:t xml:space="preserve">, </w:t>
      </w:r>
      <w:r w:rsidR="002033A8">
        <w:rPr>
          <w:noProof/>
        </w:rPr>
        <w:t xml:space="preserve">which </w:t>
      </w:r>
      <w:r w:rsidR="00591E20">
        <w:rPr>
          <w:noProof/>
        </w:rPr>
        <w:t>relies on acquiring</w:t>
      </w:r>
      <w:r w:rsidR="0076766B">
        <w:rPr>
          <w:noProof/>
        </w:rPr>
        <w:t xml:space="preserve"> </w:t>
      </w:r>
      <w:r w:rsidR="00B06865">
        <w:rPr>
          <w:noProof/>
        </w:rPr>
        <w:t xml:space="preserve">basic </w:t>
      </w:r>
      <w:r w:rsidR="00F00210">
        <w:rPr>
          <w:noProof/>
        </w:rPr>
        <w:t>digital</w:t>
      </w:r>
      <w:r w:rsidR="0076766B">
        <w:rPr>
          <w:noProof/>
        </w:rPr>
        <w:t xml:space="preserve"> skills</w:t>
      </w:r>
      <w:r w:rsidR="00B06865">
        <w:rPr>
          <w:noProof/>
        </w:rPr>
        <w:t xml:space="preserve">, </w:t>
      </w:r>
      <w:r w:rsidR="000A05CB">
        <w:rPr>
          <w:noProof/>
        </w:rPr>
        <w:t>is</w:t>
      </w:r>
      <w:r w:rsidR="00B06865">
        <w:rPr>
          <w:noProof/>
        </w:rPr>
        <w:t xml:space="preserve"> essential to e</w:t>
      </w:r>
      <w:r w:rsidR="00D10720" w:rsidRPr="00D10720">
        <w:rPr>
          <w:noProof/>
        </w:rPr>
        <w:t>mpower more resilient citizen</w:t>
      </w:r>
      <w:r w:rsidR="002033A8">
        <w:rPr>
          <w:noProof/>
        </w:rPr>
        <w:t>s</w:t>
      </w:r>
      <w:r w:rsidR="00394751">
        <w:rPr>
          <w:noProof/>
        </w:rPr>
        <w:t xml:space="preserve"> in the face </w:t>
      </w:r>
      <w:r w:rsidR="00C07451">
        <w:rPr>
          <w:noProof/>
        </w:rPr>
        <w:t>of potential crises</w:t>
      </w:r>
      <w:r w:rsidR="000A05CB">
        <w:rPr>
          <w:noProof/>
        </w:rPr>
        <w:t>.</w:t>
      </w:r>
      <w:r w:rsidR="0076766B">
        <w:rPr>
          <w:noProof/>
        </w:rPr>
        <w:t xml:space="preserve"> </w:t>
      </w:r>
      <w:r w:rsidR="00C07451">
        <w:rPr>
          <w:noProof/>
        </w:rPr>
        <w:t>However, as</w:t>
      </w:r>
      <w:r w:rsidR="00641300">
        <w:rPr>
          <w:noProof/>
        </w:rPr>
        <w:t xml:space="preserve"> highlighted in the </w:t>
      </w:r>
      <w:r w:rsidR="00163B25">
        <w:rPr>
          <w:noProof/>
        </w:rPr>
        <w:t xml:space="preserve">Commission </w:t>
      </w:r>
      <w:r w:rsidR="001B61FE">
        <w:rPr>
          <w:noProof/>
        </w:rPr>
        <w:t>C</w:t>
      </w:r>
      <w:r w:rsidR="00641300">
        <w:rPr>
          <w:noProof/>
        </w:rPr>
        <w:t>ommunication on the Union of Skills</w:t>
      </w:r>
      <w:r w:rsidR="0063108B">
        <w:rPr>
          <w:rStyle w:val="FootnoteReference"/>
          <w:noProof/>
        </w:rPr>
        <w:footnoteReference w:id="49"/>
      </w:r>
      <w:r w:rsidR="00641300">
        <w:rPr>
          <w:noProof/>
        </w:rPr>
        <w:t>, a</w:t>
      </w:r>
      <w:r w:rsidR="00886C14" w:rsidRPr="006879B9">
        <w:rPr>
          <w:noProof/>
        </w:rPr>
        <w:t>lmost half the adult population does not have basic digital skills despite more than 90% of jobs requiring them</w:t>
      </w:r>
      <w:r w:rsidR="00641300">
        <w:rPr>
          <w:noProof/>
        </w:rPr>
        <w:t>.</w:t>
      </w:r>
      <w:r w:rsidR="001A462E">
        <w:rPr>
          <w:noProof/>
        </w:rPr>
        <w:t xml:space="preserve"> In order to ensure that the current and potential future workforce have the required skills in</w:t>
      </w:r>
      <w:r w:rsidR="001A462E" w:rsidRPr="00901D26">
        <w:rPr>
          <w:noProof/>
        </w:rPr>
        <w:t xml:space="preserve"> </w:t>
      </w:r>
      <w:r w:rsidR="001A462E">
        <w:rPr>
          <w:noProof/>
        </w:rPr>
        <w:t>a rapidly evolving digital environment, and to contribute to the development of the European cybersecurity talent pipeline, ENISA should support cybersecurity awareness-raising activities that aim to attract talent and help informing about the education and skills needed in the area of cybersecurity, such as the European Cybersecurity Challenge. In this regard, ENISA should coordinate cybersecurity competitions, capture-the-flag events and similar practical exercises, as a means of developing cybersecurity skills and fostering capacity building across the Union. When carrying out awareness-raising activities, ENISA should ensure that these address the needs of national public authorities and Union entities, as well as the needs of businesses, in particular SMEs, and education and training institutions, by maintaining practical frameworks and trainings such as awareness-raising-in-a-box. ENISA should further develop practical and actionable guidance to support the implementation of Union cybersecurity policy and legislation. ENISA should also strive to provide relevant information on applicable certification schemes, for example by providing guidelines and recommendations.</w:t>
      </w:r>
    </w:p>
    <w:p w14:paraId="4F73DD30" w14:textId="058AC253" w:rsidR="001A462E" w:rsidRDefault="006D01CD" w:rsidP="006D01CD">
      <w:pPr>
        <w:pStyle w:val="ManualConsidrant"/>
        <w:rPr>
          <w:noProof/>
        </w:rPr>
      </w:pPr>
      <w:r w:rsidRPr="006D01CD">
        <w:rPr>
          <w:noProof/>
        </w:rPr>
        <w:t>(22)</w:t>
      </w:r>
      <w:r w:rsidRPr="006D01CD">
        <w:rPr>
          <w:noProof/>
        </w:rPr>
        <w:tab/>
      </w:r>
      <w:r w:rsidR="001A462E" w:rsidRPr="00AD42B5">
        <w:rPr>
          <w:noProof/>
        </w:rPr>
        <w:t xml:space="preserve">To support businesses operating in the cybersecurity sector, users of cybersecurity solutions, </w:t>
      </w:r>
      <w:r w:rsidR="001A462E">
        <w:rPr>
          <w:noProof/>
        </w:rPr>
        <w:t>and to ensure effective</w:t>
      </w:r>
      <w:r w:rsidR="001A462E" w:rsidRPr="00AD42B5">
        <w:rPr>
          <w:noProof/>
        </w:rPr>
        <w:t xml:space="preserve"> the implementation of Title III of this Regulation, ENISA should develop and maintain a ‘market observatory’ by performing regular analyses and disseminating information on the main trends in the cybersecurity market, on both the demand and supply sides. Furthermore, to support the users of the EU Cybersecurity Reserve established pursuant to Regulation (EU) 2025/38, ENISA should prepare the mapping of the services needed by such users, and of availability of such services, pursuant to </w:t>
      </w:r>
      <w:r w:rsidR="001A462E">
        <w:rPr>
          <w:noProof/>
        </w:rPr>
        <w:t>that</w:t>
      </w:r>
      <w:r w:rsidR="001A462E" w:rsidRPr="00AD42B5">
        <w:rPr>
          <w:noProof/>
        </w:rPr>
        <w:t xml:space="preserve"> Regulation</w:t>
      </w:r>
      <w:r w:rsidR="001A462E">
        <w:rPr>
          <w:noProof/>
        </w:rPr>
        <w:t>.</w:t>
      </w:r>
    </w:p>
    <w:p w14:paraId="2AF95DDE" w14:textId="6788C8C3" w:rsidR="001A462E" w:rsidRDefault="006D01CD" w:rsidP="006D01CD">
      <w:pPr>
        <w:pStyle w:val="ManualConsidrant"/>
        <w:rPr>
          <w:noProof/>
        </w:rPr>
      </w:pPr>
      <w:r w:rsidRPr="006D01CD">
        <w:rPr>
          <w:noProof/>
        </w:rPr>
        <w:t>(23)</w:t>
      </w:r>
      <w:r w:rsidRPr="006D01CD">
        <w:rPr>
          <w:noProof/>
        </w:rPr>
        <w:tab/>
      </w:r>
      <w:r w:rsidR="001A462E" w:rsidRPr="00933E8C">
        <w:rPr>
          <w:noProof/>
        </w:rPr>
        <w:t xml:space="preserve">Cyber threats are a global issue. </w:t>
      </w:r>
      <w:r w:rsidR="001A462E">
        <w:rPr>
          <w:noProof/>
        </w:rPr>
        <w:t>C</w:t>
      </w:r>
      <w:r w:rsidR="001A462E" w:rsidRPr="00933E8C">
        <w:rPr>
          <w:noProof/>
        </w:rPr>
        <w:t xml:space="preserve">loser international cooperation </w:t>
      </w:r>
      <w:r w:rsidR="001A462E">
        <w:rPr>
          <w:noProof/>
        </w:rPr>
        <w:t>is necessary</w:t>
      </w:r>
      <w:r w:rsidR="001A462E" w:rsidRPr="00933E8C">
        <w:rPr>
          <w:noProof/>
        </w:rPr>
        <w:t xml:space="preserve"> to improve cybersecurity, including </w:t>
      </w:r>
      <w:r w:rsidR="001A462E">
        <w:rPr>
          <w:noProof/>
        </w:rPr>
        <w:t>to define</w:t>
      </w:r>
      <w:r w:rsidR="001A462E" w:rsidRPr="00933E8C">
        <w:rPr>
          <w:noProof/>
        </w:rPr>
        <w:t xml:space="preserve"> common norms of behaviour and common approaches. To that end, ENISA should support Union</w:t>
      </w:r>
      <w:r w:rsidR="001A462E">
        <w:rPr>
          <w:noProof/>
        </w:rPr>
        <w:t>’s</w:t>
      </w:r>
      <w:r w:rsidR="001A462E" w:rsidRPr="00933E8C">
        <w:rPr>
          <w:noProof/>
        </w:rPr>
        <w:t xml:space="preserve"> cooperation with third countries, with a focus on countries that are candidates for accession to the Union, and international organisations, </w:t>
      </w:r>
      <w:r w:rsidR="001A462E">
        <w:rPr>
          <w:noProof/>
        </w:rPr>
        <w:t>such as NATO</w:t>
      </w:r>
      <w:r w:rsidR="001A462E" w:rsidRPr="00933E8C">
        <w:rPr>
          <w:noProof/>
        </w:rPr>
        <w:t xml:space="preserve">, by providing the necessary expertise and analysis to the Commission and relevant Union entities, where appropriate. ENISA’s activities in the international area should always be in line with </w:t>
      </w:r>
      <w:r w:rsidR="001A462E">
        <w:rPr>
          <w:noProof/>
        </w:rPr>
        <w:t xml:space="preserve">the </w:t>
      </w:r>
      <w:r w:rsidR="001A462E" w:rsidRPr="00933E8C">
        <w:rPr>
          <w:noProof/>
        </w:rPr>
        <w:t>priorities of the Union</w:t>
      </w:r>
      <w:r w:rsidR="001A462E">
        <w:rPr>
          <w:noProof/>
        </w:rPr>
        <w:t>.</w:t>
      </w:r>
    </w:p>
    <w:p w14:paraId="3B92E8E9" w14:textId="2CDAF8D5" w:rsidR="001A462E" w:rsidRDefault="006D01CD" w:rsidP="006D01CD">
      <w:pPr>
        <w:pStyle w:val="ManualConsidrant"/>
        <w:rPr>
          <w:noProof/>
        </w:rPr>
      </w:pPr>
      <w:r w:rsidRPr="006D01CD">
        <w:rPr>
          <w:noProof/>
        </w:rPr>
        <w:t>(24)</w:t>
      </w:r>
      <w:r w:rsidRPr="006D01CD">
        <w:rPr>
          <w:noProof/>
        </w:rPr>
        <w:tab/>
      </w:r>
      <w:r w:rsidR="001A462E">
        <w:rPr>
          <w:noProof/>
        </w:rPr>
        <w:t xml:space="preserve">To help achieve a high level of cybersecurity in the Union, ENISA should support operational cooperation among Member States, in cooperation with CERT-EU, among Union entities, and between stakeholders. To that end, ENISA’s role should be strengthened. ENISA should become a member of the CSIRTs network, contributing to the network information exchange and analysis. ENISA should further promote and support cooperation between the relevant CSIRTs in the event of incidents, attacks or disruptions of networks or infrastructure managed or protected by the CSIRTs. ENISA’s active support for the work of the CSIRTs network and the </w:t>
      </w:r>
      <w:r w:rsidR="001A462E" w:rsidRPr="007F6165">
        <w:rPr>
          <w:noProof/>
        </w:rPr>
        <w:t xml:space="preserve">European cyber crisis liaison organisation network </w:t>
      </w:r>
      <w:r w:rsidR="001A462E">
        <w:rPr>
          <w:noProof/>
        </w:rPr>
        <w:t>(EU-CyCLONe) should enable those networks to continue strengthening their maturity level.</w:t>
      </w:r>
      <w:r w:rsidR="006A2C05">
        <w:rPr>
          <w:noProof/>
        </w:rPr>
        <w:t xml:space="preserve"> ENISA’s role in supporting such cooperation includes </w:t>
      </w:r>
      <w:r w:rsidR="0089106F">
        <w:rPr>
          <w:noProof/>
        </w:rPr>
        <w:t>combating</w:t>
      </w:r>
      <w:r w:rsidR="006A2C05">
        <w:rPr>
          <w:noProof/>
        </w:rPr>
        <w:t xml:space="preserve"> threats to </w:t>
      </w:r>
      <w:r w:rsidR="00C328F1">
        <w:rPr>
          <w:noProof/>
        </w:rPr>
        <w:t>the security and integrity of democratic institutions</w:t>
      </w:r>
      <w:r w:rsidR="00EC3856">
        <w:rPr>
          <w:noProof/>
        </w:rPr>
        <w:t>, elections and other processes</w:t>
      </w:r>
      <w:r w:rsidR="0089106F">
        <w:rPr>
          <w:noProof/>
        </w:rPr>
        <w:t>, and the critical infrastructure on which they depend,</w:t>
      </w:r>
      <w:r w:rsidR="00EC3856">
        <w:rPr>
          <w:noProof/>
        </w:rPr>
        <w:t xml:space="preserve"> in line with the </w:t>
      </w:r>
      <w:r w:rsidR="00D15472" w:rsidRPr="00D15472">
        <w:rPr>
          <w:noProof/>
        </w:rPr>
        <w:t>European Democracy Shield: Empowering Strong and Resilient Democracies</w:t>
      </w:r>
      <w:r w:rsidR="00D642C5">
        <w:rPr>
          <w:rStyle w:val="FootnoteReference"/>
          <w:noProof/>
        </w:rPr>
        <w:footnoteReference w:id="50"/>
      </w:r>
      <w:r w:rsidR="00D642C5">
        <w:rPr>
          <w:noProof/>
        </w:rPr>
        <w:t>.</w:t>
      </w:r>
      <w:r w:rsidR="006A2C05">
        <w:rPr>
          <w:noProof/>
        </w:rPr>
        <w:t xml:space="preserve"> </w:t>
      </w:r>
    </w:p>
    <w:p w14:paraId="0DFE15A1" w14:textId="0B6495FE" w:rsidR="001A462E" w:rsidRDefault="006D01CD" w:rsidP="006D01CD">
      <w:pPr>
        <w:pStyle w:val="ManualConsidrant"/>
        <w:rPr>
          <w:noProof/>
        </w:rPr>
      </w:pPr>
      <w:r w:rsidRPr="006D01CD">
        <w:rPr>
          <w:noProof/>
        </w:rPr>
        <w:t>(25)</w:t>
      </w:r>
      <w:r w:rsidRPr="006D01CD">
        <w:rPr>
          <w:noProof/>
        </w:rPr>
        <w:tab/>
      </w:r>
      <w:r w:rsidR="001A462E">
        <w:rPr>
          <w:noProof/>
        </w:rPr>
        <w:t>To support capacity-building, operational cooperation, and long-term strategic analyses of cyber threats, ENISA should make use of the available technical and operational expertise of CERT-EU through structured cooperation, for example through dedicated arrangements.</w:t>
      </w:r>
    </w:p>
    <w:p w14:paraId="679072F0" w14:textId="398DAE4D" w:rsidR="001A462E" w:rsidRDefault="006D01CD" w:rsidP="006D01CD">
      <w:pPr>
        <w:pStyle w:val="ManualConsidrant"/>
        <w:rPr>
          <w:noProof/>
        </w:rPr>
      </w:pPr>
      <w:r w:rsidRPr="006D01CD">
        <w:rPr>
          <w:noProof/>
        </w:rPr>
        <w:t>(26)</w:t>
      </w:r>
      <w:r w:rsidRPr="006D01CD">
        <w:rPr>
          <w:noProof/>
        </w:rPr>
        <w:tab/>
      </w:r>
      <w:r w:rsidR="001A462E">
        <w:rPr>
          <w:noProof/>
        </w:rPr>
        <w:t xml:space="preserve">In order to </w:t>
      </w:r>
      <w:r w:rsidR="001A462E" w:rsidRPr="007727B9">
        <w:rPr>
          <w:noProof/>
        </w:rPr>
        <w:t xml:space="preserve"> </w:t>
      </w:r>
      <w:r w:rsidR="001A462E">
        <w:rPr>
          <w:noProof/>
        </w:rPr>
        <w:t>strengthen cybersecurity  across the Union and ensure a rapid and effective response to cyber threats, ENISA should support Member States at their request, including by providing advice on the improvement of their capabilities to prevent, detect, respond to and recover from incidents, by facilitating the technical handling of significant incidents within the meaning of Directive (EU) 2022/2555, in particular through supporting the voluntary sharing of technical solutions between Member States, or by ensuring that cyber threats and incidents are analysed. ENISA should also assist EU-CyCLONe in preparing reports to the Union’s and Member States’ political level.</w:t>
      </w:r>
    </w:p>
    <w:p w14:paraId="2B965CE5" w14:textId="5DEBC912" w:rsidR="001A462E" w:rsidRDefault="006D01CD" w:rsidP="006D01CD">
      <w:pPr>
        <w:pStyle w:val="ManualConsidrant"/>
        <w:rPr>
          <w:noProof/>
        </w:rPr>
      </w:pPr>
      <w:r w:rsidRPr="006D01CD">
        <w:rPr>
          <w:noProof/>
        </w:rPr>
        <w:t>(27)</w:t>
      </w:r>
      <w:r w:rsidRPr="006D01CD">
        <w:rPr>
          <w:noProof/>
        </w:rPr>
        <w:tab/>
      </w:r>
      <w:r w:rsidR="001A462E">
        <w:rPr>
          <w:noProof/>
        </w:rPr>
        <w:t xml:space="preserve">To reduce exposure to foreign interference, supply-chain manipulation, and strategic data exfiltration, ENISA should use within the CSIRTs network and EU-CyCLONe secure communications tools. Building on the Recommendation on the Cyber Blueprint, such tools should be provided by legal entities </w:t>
      </w:r>
      <w:r w:rsidR="001B2849" w:rsidRPr="001B2849">
        <w:rPr>
          <w:noProof/>
        </w:rPr>
        <w:t>established or deemed to be established in the Union and controlled by Member States or by nationals of Member States</w:t>
      </w:r>
      <w:r w:rsidR="001A462E">
        <w:rPr>
          <w:noProof/>
        </w:rPr>
        <w:t>.</w:t>
      </w:r>
    </w:p>
    <w:p w14:paraId="427692C2" w14:textId="55D4C08D" w:rsidR="001A462E" w:rsidRDefault="006D01CD" w:rsidP="006D01CD">
      <w:pPr>
        <w:pStyle w:val="ManualConsidrant"/>
        <w:rPr>
          <w:noProof/>
        </w:rPr>
      </w:pPr>
      <w:r w:rsidRPr="006D01CD">
        <w:rPr>
          <w:noProof/>
        </w:rPr>
        <w:t>(28)</w:t>
      </w:r>
      <w:r w:rsidRPr="006D01CD">
        <w:rPr>
          <w:noProof/>
        </w:rPr>
        <w:tab/>
      </w:r>
      <w:r w:rsidR="001A462E">
        <w:rPr>
          <w:noProof/>
        </w:rPr>
        <w:t xml:space="preserve">To contribute to Union-level preparedness and response in the case of large-scale cybersecurity incidents and crises, ENISA should carry out cybersecurity situational awareness activities. </w:t>
      </w:r>
    </w:p>
    <w:p w14:paraId="59E906F3" w14:textId="43EF7E80" w:rsidR="001A462E" w:rsidRDefault="006D01CD" w:rsidP="006D01CD">
      <w:pPr>
        <w:pStyle w:val="ManualConsidrant"/>
        <w:rPr>
          <w:noProof/>
        </w:rPr>
      </w:pPr>
      <w:r w:rsidRPr="006D01CD">
        <w:rPr>
          <w:noProof/>
        </w:rPr>
        <w:t>(29)</w:t>
      </w:r>
      <w:r w:rsidRPr="006D01CD">
        <w:rPr>
          <w:noProof/>
        </w:rPr>
        <w:tab/>
      </w:r>
      <w:r w:rsidR="001A462E">
        <w:rPr>
          <w:noProof/>
        </w:rPr>
        <w:t xml:space="preserve"> Access to real-time, verified, reliable cyber threat intelligence (CTI) is crucial for building shared situational awareness in the Union. ENISA, the Commission, CERT-EU and the European Cybercrime Centre (EC3) at Europol have already developed repositories of cyber threat intelligence that are tailored to their specific needs. </w:t>
      </w:r>
      <w:r w:rsidR="001A462E" w:rsidRPr="005645FA">
        <w:rPr>
          <w:noProof/>
        </w:rPr>
        <w:t xml:space="preserve">ENISA and other relevant Union entities should cooperate, voluntarily, to develop repositories of </w:t>
      </w:r>
      <w:r w:rsidR="001A462E">
        <w:rPr>
          <w:noProof/>
        </w:rPr>
        <w:t>real-time,</w:t>
      </w:r>
      <w:r w:rsidR="001A462E" w:rsidRPr="005645FA">
        <w:rPr>
          <w:noProof/>
        </w:rPr>
        <w:t xml:space="preserve"> verified, reliable </w:t>
      </w:r>
      <w:r w:rsidR="001A462E">
        <w:rPr>
          <w:noProof/>
        </w:rPr>
        <w:t>CTI</w:t>
      </w:r>
      <w:r w:rsidR="001A462E" w:rsidRPr="005645FA">
        <w:rPr>
          <w:noProof/>
        </w:rPr>
        <w:t>,</w:t>
      </w:r>
      <w:r w:rsidR="001A462E">
        <w:rPr>
          <w:noProof/>
        </w:rPr>
        <w:t xml:space="preserve"> and seek synergies to ensure economies of scale and reinforce sound financial management. </w:t>
      </w:r>
      <w:r w:rsidR="00B16454">
        <w:rPr>
          <w:noProof/>
        </w:rPr>
        <w:t xml:space="preserve">This work should also include sectoral Union entities such as the EU agency for the Space Programme. </w:t>
      </w:r>
      <w:r w:rsidR="001A462E">
        <w:rPr>
          <w:noProof/>
        </w:rPr>
        <w:t>They</w:t>
      </w:r>
      <w:r w:rsidR="001A462E" w:rsidRPr="005645FA">
        <w:rPr>
          <w:noProof/>
        </w:rPr>
        <w:t xml:space="preserve"> should share only derived analysis, trends</w:t>
      </w:r>
      <w:r w:rsidR="001A462E">
        <w:rPr>
          <w:noProof/>
        </w:rPr>
        <w:t>,</w:t>
      </w:r>
      <w:r w:rsidR="001A462E" w:rsidRPr="005645FA">
        <w:rPr>
          <w:noProof/>
        </w:rPr>
        <w:t xml:space="preserve"> and </w:t>
      </w:r>
      <w:r w:rsidR="001A462E">
        <w:rPr>
          <w:noProof/>
        </w:rPr>
        <w:t>tactics, techniques and procedures (</w:t>
      </w:r>
      <w:r w:rsidR="001A462E" w:rsidRPr="005645FA">
        <w:rPr>
          <w:noProof/>
        </w:rPr>
        <w:t>TTPs</w:t>
      </w:r>
      <w:r w:rsidR="001A462E">
        <w:rPr>
          <w:noProof/>
        </w:rPr>
        <w:t>)</w:t>
      </w:r>
      <w:r w:rsidR="001A462E" w:rsidRPr="005645FA">
        <w:rPr>
          <w:noProof/>
        </w:rPr>
        <w:t xml:space="preserve">, not raw sources, and </w:t>
      </w:r>
      <w:r w:rsidR="001A462E">
        <w:rPr>
          <w:noProof/>
        </w:rPr>
        <w:t>should</w:t>
      </w:r>
      <w:r w:rsidR="001A462E" w:rsidRPr="005645FA">
        <w:rPr>
          <w:noProof/>
        </w:rPr>
        <w:t xml:space="preserve"> respect the independence of entities to manage their own CTI lifecycle in line with their mandates and need-to-know rules.</w:t>
      </w:r>
    </w:p>
    <w:p w14:paraId="5BBC7663" w14:textId="7F4CE4B9" w:rsidR="001A462E" w:rsidRDefault="006D01CD" w:rsidP="006D01CD">
      <w:pPr>
        <w:pStyle w:val="ManualConsidrant"/>
        <w:rPr>
          <w:noProof/>
        </w:rPr>
      </w:pPr>
      <w:r w:rsidRPr="006D01CD">
        <w:rPr>
          <w:noProof/>
        </w:rPr>
        <w:t>(30)</w:t>
      </w:r>
      <w:r w:rsidRPr="006D01CD">
        <w:rPr>
          <w:noProof/>
        </w:rPr>
        <w:tab/>
      </w:r>
      <w:r w:rsidR="001A462E">
        <w:rPr>
          <w:noProof/>
        </w:rPr>
        <w:t>In order to contribute to a timely and coordinated response, ENISA should be able to issue early alerts of a potential or ongoing significant or large-scale incident, or a cyber threat of a potential cross-border nature to the CSIRT or CSIRTs concerned, and, where appropriate, to the CSIRTs network and EU-CyCLONe, in particular in relation to entities listed in Annexes I and II to Directive (EU) 2022/2555. Information in such early alerts may include publicly known vulnerabilities and whether they affect products with digital elements covered by Regulation (EU) 2024/2847, as well as techniques and procedures, indicators of compromise, adversarial tactics, threat-actor-specific information and recommendations on mitigation measures.</w:t>
      </w:r>
    </w:p>
    <w:p w14:paraId="68169332" w14:textId="0874AE3C" w:rsidR="001A462E" w:rsidRDefault="006D01CD" w:rsidP="006D01CD">
      <w:pPr>
        <w:pStyle w:val="ManualConsidrant"/>
        <w:rPr>
          <w:noProof/>
        </w:rPr>
      </w:pPr>
      <w:r w:rsidRPr="006D01CD">
        <w:rPr>
          <w:noProof/>
        </w:rPr>
        <w:t>(31)</w:t>
      </w:r>
      <w:r w:rsidRPr="006D01CD">
        <w:rPr>
          <w:noProof/>
        </w:rPr>
        <w:tab/>
      </w:r>
      <w:r w:rsidR="001A462E" w:rsidRPr="7D0FD129">
        <w:rPr>
          <w:b/>
          <w:bCs/>
          <w:noProof/>
        </w:rPr>
        <w:t xml:space="preserve"> </w:t>
      </w:r>
      <w:r w:rsidR="001A462E" w:rsidRPr="00BD0E95">
        <w:rPr>
          <w:noProof/>
        </w:rPr>
        <w:t>In o</w:t>
      </w:r>
      <w:r w:rsidR="001A462E">
        <w:rPr>
          <w:noProof/>
        </w:rPr>
        <w:t>rder to maintain trust and not jeopardise information-sharing, it is important for ENISA to apply visible markings indicating the extent to which a document or information it has produced or received may be shared further. Similarly, ENISA should use documents or information it receives for the purposes of carrying out its activities, subject to any limitations by means of a visible marking on further distribution of that information.</w:t>
      </w:r>
    </w:p>
    <w:p w14:paraId="4519E032" w14:textId="3BE62DB8" w:rsidR="001A462E" w:rsidRDefault="006D01CD" w:rsidP="006D01CD">
      <w:pPr>
        <w:pStyle w:val="ManualConsidrant"/>
        <w:rPr>
          <w:noProof/>
        </w:rPr>
      </w:pPr>
      <w:r w:rsidRPr="006D01CD">
        <w:rPr>
          <w:noProof/>
        </w:rPr>
        <w:t>(32)</w:t>
      </w:r>
      <w:r w:rsidRPr="006D01CD">
        <w:rPr>
          <w:noProof/>
        </w:rPr>
        <w:tab/>
      </w:r>
      <w:r w:rsidR="001A462E">
        <w:rPr>
          <w:noProof/>
        </w:rPr>
        <w:t xml:space="preserve">To help increase awareness of cyber threat indicators and recommendations on mitigation measures, ENISA should make an early alert service available to entities operating in sectors listed in Annexes I and II to Directive (EU) 2022/2555. Such generic, voluntary early alerts should benefit in particular SMEs, and should be provided in a machine-readable format made publicly available. In any case, such voluntary service is separate from and not related to any public-private partnerships that ENISA may establish or has already established. </w:t>
      </w:r>
    </w:p>
    <w:p w14:paraId="0CBAC1BF" w14:textId="52D0CB7A" w:rsidR="001A462E" w:rsidRDefault="006D01CD" w:rsidP="006D01CD">
      <w:pPr>
        <w:pStyle w:val="ManualConsidrant"/>
        <w:rPr>
          <w:noProof/>
        </w:rPr>
      </w:pPr>
      <w:r w:rsidRPr="006D01CD">
        <w:rPr>
          <w:noProof/>
        </w:rPr>
        <w:t>(33)</w:t>
      </w:r>
      <w:r w:rsidRPr="006D01CD">
        <w:rPr>
          <w:noProof/>
        </w:rPr>
        <w:tab/>
      </w:r>
      <w:r w:rsidR="00E24B7F" w:rsidRPr="00337B3E">
        <w:rPr>
          <w:noProof/>
        </w:rPr>
        <w:t>To support Union shared cybersecurity situational awareness, ENISA, in close cooperation with the Member States, should prepare a regular in-depth EU Cybersecurity Technical Situation Report on incidents and cyber threats, based on publicly available information, its own analysis and reports shared with it by Member States’ CSIRTs or the national single points of contact on the security of network and information systems (‘single points of contact’) provided for in Directive (EU) 2022/2555, both on a voluntary basis, Europol</w:t>
      </w:r>
      <w:r w:rsidR="00E24B7F">
        <w:rPr>
          <w:noProof/>
        </w:rPr>
        <w:t xml:space="preserve"> and </w:t>
      </w:r>
      <w:r w:rsidR="00E24B7F" w:rsidRPr="00337B3E">
        <w:rPr>
          <w:noProof/>
        </w:rPr>
        <w:t>CERT-EU</w:t>
      </w:r>
      <w:r w:rsidR="00E24B7F">
        <w:rPr>
          <w:noProof/>
        </w:rPr>
        <w:t xml:space="preserve">. </w:t>
      </w:r>
      <w:r w:rsidR="00E24B7F" w:rsidRPr="00825090">
        <w:rPr>
          <w:noProof/>
        </w:rPr>
        <w:t xml:space="preserve">That report should be made available to the Council, </w:t>
      </w:r>
      <w:r w:rsidR="00E10FDD">
        <w:rPr>
          <w:noProof/>
        </w:rPr>
        <w:t xml:space="preserve">the </w:t>
      </w:r>
      <w:r w:rsidR="00E35151">
        <w:rPr>
          <w:noProof/>
        </w:rPr>
        <w:t>European External Action Service</w:t>
      </w:r>
      <w:r w:rsidR="00E10FDD">
        <w:rPr>
          <w:noProof/>
        </w:rPr>
        <w:t xml:space="preserve">, </w:t>
      </w:r>
      <w:r w:rsidR="00E24B7F" w:rsidRPr="00825090">
        <w:rPr>
          <w:noProof/>
        </w:rPr>
        <w:t>EU-CyCLONe, the CSIRTs network, the Commission</w:t>
      </w:r>
      <w:r w:rsidR="00E24B7F">
        <w:rPr>
          <w:noProof/>
        </w:rPr>
        <w:t xml:space="preserve"> and </w:t>
      </w:r>
      <w:r w:rsidR="00E24B7F" w:rsidRPr="00825090">
        <w:rPr>
          <w:noProof/>
        </w:rPr>
        <w:t>Europol.</w:t>
      </w:r>
      <w:r w:rsidR="00E24B7F" w:rsidRPr="00337B3E">
        <w:rPr>
          <w:noProof/>
        </w:rPr>
        <w:t xml:space="preserve"> </w:t>
      </w:r>
    </w:p>
    <w:p w14:paraId="1F230ED6" w14:textId="504A70A8" w:rsidR="00CE11BB" w:rsidRDefault="006D01CD" w:rsidP="006D01CD">
      <w:pPr>
        <w:pStyle w:val="ManualConsidrant"/>
        <w:rPr>
          <w:noProof/>
        </w:rPr>
      </w:pPr>
      <w:r w:rsidRPr="006D01CD">
        <w:rPr>
          <w:noProof/>
        </w:rPr>
        <w:t>(34)</w:t>
      </w:r>
      <w:r w:rsidRPr="006D01CD">
        <w:rPr>
          <w:noProof/>
        </w:rPr>
        <w:tab/>
      </w:r>
      <w:r w:rsidR="001A462E">
        <w:rPr>
          <w:noProof/>
        </w:rPr>
        <w:t xml:space="preserve">In order to enhance the shared situational awareness of the cyber threat and incident landscape among stakeholders, ENISA should analyse trends in cyber threats and incidents. This should include a regular analysis addressing the sectors of high criticality and other critical sectors listed in Annexes I and II to Directive (EU) 2022/2555, including the healthcare, energy and transport sectors. Such analysis should include maturity levels of sectors and identify, among others, possible challenges specific to a given sector. Where relevant, and in order to identify supply chain effects, the analysis should evidence cyber threats and trends related to product categories covered by Regulation (EU) 2024/2847. ENISA should develop expertise in the field of cybersecurity of infrastructures and their critical supply chain dependencies, in particular to support the sectors listed in Annexes I and II to Directive (EU) 2022/2555 and the implementation of Regulation (EU) 2024/2847. To this end, ENISA should also cooperate, where appropriate, with other relevant Union entities. </w:t>
      </w:r>
    </w:p>
    <w:p w14:paraId="73A77F38" w14:textId="2EBE297D" w:rsidR="001A462E" w:rsidRDefault="006D01CD" w:rsidP="006D01CD">
      <w:pPr>
        <w:pStyle w:val="ManualConsidrant"/>
        <w:rPr>
          <w:noProof/>
        </w:rPr>
      </w:pPr>
      <w:r w:rsidRPr="006D01CD">
        <w:rPr>
          <w:noProof/>
        </w:rPr>
        <w:t>(35)</w:t>
      </w:r>
      <w:r w:rsidRPr="006D01CD">
        <w:rPr>
          <w:noProof/>
        </w:rPr>
        <w:tab/>
      </w:r>
      <w:r w:rsidR="001A462E">
        <w:rPr>
          <w:noProof/>
        </w:rPr>
        <w:t xml:space="preserve">Further, </w:t>
      </w:r>
      <w:r w:rsidR="001A462E" w:rsidRPr="004F6D59">
        <w:rPr>
          <w:noProof/>
        </w:rPr>
        <w:t>to understand better the challenges in the area of cybersecurity, ENISA needs to analyse current and emerging technologies and provide topic-specific assessments on the expected societal, legal, economic and regulatory impact of technological innovations on cybersecurity.</w:t>
      </w:r>
      <w:r w:rsidR="001A462E">
        <w:rPr>
          <w:noProof/>
        </w:rPr>
        <w:t xml:space="preserve"> In order to ensure easier access of the public to information on cybersecurity risks and possible remedies, ENISA may provide relevant information on its website, in a user-friendly and well-structured manner.</w:t>
      </w:r>
    </w:p>
    <w:p w14:paraId="7BC88871" w14:textId="213CA622" w:rsidR="001A462E" w:rsidRPr="00095640" w:rsidRDefault="006D01CD" w:rsidP="006D01CD">
      <w:pPr>
        <w:pStyle w:val="ManualConsidrant"/>
        <w:rPr>
          <w:noProof/>
        </w:rPr>
      </w:pPr>
      <w:r w:rsidRPr="006D01CD">
        <w:rPr>
          <w:noProof/>
        </w:rPr>
        <w:t>(36)</w:t>
      </w:r>
      <w:r w:rsidRPr="006D01CD">
        <w:rPr>
          <w:noProof/>
        </w:rPr>
        <w:tab/>
      </w:r>
      <w:r w:rsidR="001A462E" w:rsidRPr="00BD0E95">
        <w:rPr>
          <w:noProof/>
        </w:rPr>
        <w:t>ENISA</w:t>
      </w:r>
      <w:r w:rsidR="001A462E">
        <w:rPr>
          <w:noProof/>
        </w:rPr>
        <w:t>’s</w:t>
      </w:r>
      <w:r w:rsidR="001A462E" w:rsidRPr="00BD0E95">
        <w:rPr>
          <w:noProof/>
        </w:rPr>
        <w:t xml:space="preserve"> </w:t>
      </w:r>
      <w:r w:rsidR="001A462E" w:rsidRPr="004E2AD0">
        <w:rPr>
          <w:noProof/>
        </w:rPr>
        <w:t>strengthened</w:t>
      </w:r>
      <w:r w:rsidR="001A462E" w:rsidRPr="00BD0E95">
        <w:rPr>
          <w:noProof/>
        </w:rPr>
        <w:t xml:space="preserve"> role in fostering situational awareness, analysing threats and providing technical advice will contribute to enhance </w:t>
      </w:r>
      <w:r w:rsidR="001A462E">
        <w:rPr>
          <w:noProof/>
        </w:rPr>
        <w:t>collective cybersecurity efforts concerning products with digital elements and support the implementation of Regulation (EU) 2024/2847. In accordance with Regulation (EU) 2024/2847, ENISA may propose joint activities to market surveillance authorities for checking compliance of products with digital elements and identify categories of products with digital elements for which sweeps may be organised. Information stemming from cyber threat analysis and early alerts should strengthen the support that ENISA provides to those authorities and contribute to an effective enforcement of Regulation (EU) 2024/2847 to prevent supply chain effects of cyber attacks across the internal market and enhance the overall Union’s preparedness.</w:t>
      </w:r>
    </w:p>
    <w:p w14:paraId="5727560E" w14:textId="683DADAD" w:rsidR="001A462E" w:rsidRDefault="006D01CD" w:rsidP="006D01CD">
      <w:pPr>
        <w:pStyle w:val="ManualConsidrant"/>
        <w:rPr>
          <w:noProof/>
        </w:rPr>
      </w:pPr>
      <w:r w:rsidRPr="006D01CD">
        <w:rPr>
          <w:noProof/>
        </w:rPr>
        <w:t>(37)</w:t>
      </w:r>
      <w:r w:rsidRPr="006D01CD">
        <w:rPr>
          <w:noProof/>
        </w:rPr>
        <w:tab/>
      </w:r>
      <w:r w:rsidR="001A462E" w:rsidRPr="00057826">
        <w:rPr>
          <w:noProof/>
        </w:rPr>
        <w:t xml:space="preserve">Ransomware attacks are a prominent cybersecurity threat to the Union. To boost </w:t>
      </w:r>
      <w:r w:rsidR="001A462E">
        <w:rPr>
          <w:noProof/>
        </w:rPr>
        <w:t>the Union</w:t>
      </w:r>
      <w:r w:rsidR="001A462E" w:rsidRPr="00057826">
        <w:rPr>
          <w:noProof/>
        </w:rPr>
        <w:t>’s cybersecurity</w:t>
      </w:r>
      <w:r w:rsidR="001A462E" w:rsidRPr="004759AF">
        <w:rPr>
          <w:noProof/>
        </w:rPr>
        <w:t xml:space="preserve"> </w:t>
      </w:r>
      <w:r w:rsidR="001A462E">
        <w:rPr>
          <w:noProof/>
        </w:rPr>
        <w:t xml:space="preserve">and </w:t>
      </w:r>
      <w:r w:rsidR="001A462E" w:rsidRPr="00057826">
        <w:rPr>
          <w:noProof/>
        </w:rPr>
        <w:t>combat ransomware, ENISA should develop capabilities for situational awareness</w:t>
      </w:r>
      <w:r w:rsidR="001A462E">
        <w:rPr>
          <w:noProof/>
        </w:rPr>
        <w:t xml:space="preserve"> and </w:t>
      </w:r>
      <w:r w:rsidR="001A462E" w:rsidRPr="00057826">
        <w:rPr>
          <w:noProof/>
        </w:rPr>
        <w:t xml:space="preserve">support for incident response and recovery. When assisting </w:t>
      </w:r>
      <w:r w:rsidR="001A462E">
        <w:rPr>
          <w:noProof/>
        </w:rPr>
        <w:t>individual</w:t>
      </w:r>
      <w:r w:rsidR="001A462E" w:rsidRPr="00057826">
        <w:rPr>
          <w:noProof/>
        </w:rPr>
        <w:t xml:space="preserve"> essential and important entities in responding to and recover</w:t>
      </w:r>
      <w:r w:rsidR="001A462E">
        <w:rPr>
          <w:noProof/>
        </w:rPr>
        <w:t>ing</w:t>
      </w:r>
      <w:r w:rsidR="001A462E" w:rsidRPr="00057826">
        <w:rPr>
          <w:noProof/>
        </w:rPr>
        <w:t xml:space="preserve"> from a ransomware attack, ENISA should closely cooperate with Europol and with CSIRTs or competent authorities as applicable, thereby drawing from Europol’s established experience in fighting ransomware crime.</w:t>
      </w:r>
      <w:r w:rsidR="001A462E" w:rsidRPr="00BC215C">
        <w:rPr>
          <w:noProof/>
        </w:rPr>
        <w:t xml:space="preserve"> </w:t>
      </w:r>
      <w:r w:rsidR="001A462E" w:rsidRPr="00057826">
        <w:rPr>
          <w:noProof/>
        </w:rPr>
        <w:t>Such assistance should complement CSIRTs’ activities supporting incident response.  To achieve synergies in its work against ransomware, ENISA</w:t>
      </w:r>
      <w:r w:rsidR="001A462E" w:rsidRPr="00DE6AF3">
        <w:rPr>
          <w:noProof/>
        </w:rPr>
        <w:t xml:space="preserve"> should establish a helpdesk and</w:t>
      </w:r>
      <w:r w:rsidR="001A462E">
        <w:rPr>
          <w:noProof/>
        </w:rPr>
        <w:t>,</w:t>
      </w:r>
      <w:r w:rsidR="001A462E" w:rsidRPr="00DE6AF3">
        <w:rPr>
          <w:noProof/>
        </w:rPr>
        <w:t xml:space="preserve"> for that purpose</w:t>
      </w:r>
      <w:r w:rsidR="001A462E">
        <w:rPr>
          <w:noProof/>
        </w:rPr>
        <w:t>,</w:t>
      </w:r>
      <w:r w:rsidR="001A462E" w:rsidRPr="00057826">
        <w:rPr>
          <w:noProof/>
        </w:rPr>
        <w:t xml:space="preserve"> </w:t>
      </w:r>
      <w:r w:rsidR="001A462E">
        <w:rPr>
          <w:noProof/>
        </w:rPr>
        <w:t>it</w:t>
      </w:r>
      <w:r w:rsidR="001A462E" w:rsidRPr="00057826">
        <w:rPr>
          <w:noProof/>
        </w:rPr>
        <w:t xml:space="preserve"> could pool relevant capabilities and counter-ransomware services and make easily available information, guidance, and tools that can help essential and important</w:t>
      </w:r>
      <w:r w:rsidR="001A462E">
        <w:rPr>
          <w:noProof/>
        </w:rPr>
        <w:t xml:space="preserve"> </w:t>
      </w:r>
      <w:r w:rsidR="001A462E" w:rsidRPr="00057826">
        <w:rPr>
          <w:noProof/>
        </w:rPr>
        <w:t>entities respond to and recover from a ransomware incident</w:t>
      </w:r>
      <w:r w:rsidR="001A462E">
        <w:rPr>
          <w:noProof/>
        </w:rPr>
        <w:t>.</w:t>
      </w:r>
    </w:p>
    <w:p w14:paraId="1B1D2C6F" w14:textId="60A2FFD6" w:rsidR="001A462E" w:rsidRDefault="006D01CD" w:rsidP="006D01CD">
      <w:pPr>
        <w:pStyle w:val="ManualConsidrant"/>
        <w:rPr>
          <w:noProof/>
        </w:rPr>
      </w:pPr>
      <w:r w:rsidRPr="006D01CD">
        <w:rPr>
          <w:noProof/>
        </w:rPr>
        <w:t>(38)</w:t>
      </w:r>
      <w:r w:rsidRPr="006D01CD">
        <w:rPr>
          <w:noProof/>
        </w:rPr>
        <w:tab/>
      </w:r>
      <w:r w:rsidR="001A462E">
        <w:rPr>
          <w:noProof/>
        </w:rPr>
        <w:t>ENISA should provide technical expertise and support to the Commission in preparing an annual rolling programme of Union-level cybersecurity exercises</w:t>
      </w:r>
      <w:r w:rsidR="001A462E" w:rsidDel="006628D4">
        <w:rPr>
          <w:noProof/>
        </w:rPr>
        <w:t xml:space="preserve"> </w:t>
      </w:r>
      <w:r w:rsidR="001A462E">
        <w:rPr>
          <w:noProof/>
        </w:rPr>
        <w:t>in accordance with the Recommendation on the Cyber Blueprint</w:t>
      </w:r>
      <w:r w:rsidR="009D7A59">
        <w:rPr>
          <w:noProof/>
        </w:rPr>
        <w:t xml:space="preserve"> to prepare for cyber crises, to test the level of cybersecurity of entities participating in such exercises, and to minimise duplication of effort</w:t>
      </w:r>
      <w:r w:rsidR="001A462E">
        <w:rPr>
          <w:noProof/>
        </w:rPr>
        <w:t>. ENISA should, for example, advise on the appropriate types of exercise, such as tabletop, hybrid or full live, as well as objectives, scenarios and participation.</w:t>
      </w:r>
    </w:p>
    <w:p w14:paraId="493E4D87" w14:textId="4377A934" w:rsidR="001A462E" w:rsidRDefault="006D01CD" w:rsidP="006D01CD">
      <w:pPr>
        <w:pStyle w:val="ManualConsidrant"/>
        <w:rPr>
          <w:noProof/>
        </w:rPr>
      </w:pPr>
      <w:r w:rsidRPr="006D01CD">
        <w:rPr>
          <w:noProof/>
        </w:rPr>
        <w:t>(39)</w:t>
      </w:r>
      <w:r w:rsidRPr="006D01CD">
        <w:rPr>
          <w:noProof/>
        </w:rPr>
        <w:tab/>
      </w:r>
      <w:r w:rsidR="001A462E">
        <w:rPr>
          <w:noProof/>
        </w:rPr>
        <w:t>Access to correct and timely information about vulnerabilities and a robust vulnerability management are imperative for ensuring a high level of cybersecurity in the internal market. For that reason,</w:t>
      </w:r>
      <w:r w:rsidR="001A462E" w:rsidRPr="00F1711D">
        <w:rPr>
          <w:noProof/>
        </w:rPr>
        <w:t xml:space="preserve"> </w:t>
      </w:r>
      <w:r w:rsidR="001A462E">
        <w:rPr>
          <w:noProof/>
        </w:rPr>
        <w:t>ENISA should maintain a European vulnerability database pursuant to Directive (EU) 2022/2555</w:t>
      </w:r>
      <w:r w:rsidR="001A462E" w:rsidRPr="00E758A3">
        <w:rPr>
          <w:noProof/>
        </w:rPr>
        <w:t xml:space="preserve"> </w:t>
      </w:r>
      <w:r w:rsidR="001A462E">
        <w:rPr>
          <w:noProof/>
        </w:rPr>
        <w:t xml:space="preserve">and create a common Union vulnerability management service capacity, ensuring a resilient and sustainable service level and reducing the risk of </w:t>
      </w:r>
      <w:r w:rsidR="001A462E" w:rsidRPr="005D4193">
        <w:rPr>
          <w:noProof/>
        </w:rPr>
        <w:t>disruptions.</w:t>
      </w:r>
      <w:r w:rsidR="001A462E">
        <w:rPr>
          <w:noProof/>
        </w:rPr>
        <w:t xml:space="preserve"> To that end, ENISA should</w:t>
      </w:r>
      <w:r w:rsidR="001A462E" w:rsidDel="00F03457">
        <w:rPr>
          <w:noProof/>
        </w:rPr>
        <w:t xml:space="preserve"> </w:t>
      </w:r>
      <w:r w:rsidR="001A462E">
        <w:rPr>
          <w:noProof/>
        </w:rPr>
        <w:t>explore possibilities to deepen structured cooperation with programmes, registries or databases similar to the European vulnerability database, in order to avoid a duplication of efforts and to seek complementarity on an international level, where appropriate. Furthermore, ENISA should support multi-party coordinated vulnerability disclosure at Union level and provide value added services, such as vulnerability advisories, severity scoring and product lists, as well as providing an enhanced European known exploited vulnerabilities catalogue to help entities in their vulnerability management.</w:t>
      </w:r>
    </w:p>
    <w:p w14:paraId="76311E83" w14:textId="7F0A2699" w:rsidR="001A462E" w:rsidRDefault="006D01CD" w:rsidP="006D01CD">
      <w:pPr>
        <w:pStyle w:val="ManualConsidrant"/>
        <w:rPr>
          <w:noProof/>
        </w:rPr>
      </w:pPr>
      <w:r w:rsidRPr="006D01CD">
        <w:rPr>
          <w:noProof/>
        </w:rPr>
        <w:t>(40)</w:t>
      </w:r>
      <w:r w:rsidRPr="006D01CD">
        <w:rPr>
          <w:noProof/>
        </w:rPr>
        <w:tab/>
      </w:r>
      <w:r w:rsidR="001A462E">
        <w:rPr>
          <w:noProof/>
        </w:rPr>
        <w:t>The role of ENISA in the development of the ECCF should be a key aspect of its mandate. ENISA should provide its technical expertise throughout the lifecycle of European cybersecurity certification schemes. In view of a future scheme, ENISA should identify existing standards or technical specifications that can underlie such as a scheme and, where relevant, draft technical specifications itself that can be referenced in a scheme. ENISA should be in charge of preparing candidate scheme following a Commission request. For schemes already in place, ENISA should be responsible for their maintenance. In doing so, ENISA should contribute to building and developing a certification ecosystem where the feedback of Member States and private stakeholders is sought and their certification capacities are reinforced. This should also include operating a dedicated certification website where relevant information related to adopted schemes, including certificates and statements of conformity, is freely and publicly accessible.</w:t>
      </w:r>
    </w:p>
    <w:p w14:paraId="556C8C10" w14:textId="754BFBDC" w:rsidR="001A462E" w:rsidRDefault="006D01CD" w:rsidP="006D01CD">
      <w:pPr>
        <w:pStyle w:val="ManualConsidrant"/>
        <w:rPr>
          <w:noProof/>
        </w:rPr>
      </w:pPr>
      <w:r w:rsidRPr="006D01CD">
        <w:rPr>
          <w:noProof/>
        </w:rPr>
        <w:t>(41)</w:t>
      </w:r>
      <w:r w:rsidRPr="006D01CD">
        <w:rPr>
          <w:noProof/>
        </w:rPr>
        <w:tab/>
      </w:r>
      <w:r w:rsidR="001A462E">
        <w:rPr>
          <w:noProof/>
        </w:rPr>
        <w:t xml:space="preserve">To support the implementation of relevant Union legislation, ENISA should shape the state of the art in cybersecurity by delivering technical specifications to support the implementation of relevant Union legislation, including in view of their potential referencing in European cybersecurity certification schemes. ENISA should also monitor the creation </w:t>
      </w:r>
      <w:r w:rsidR="001A462E" w:rsidRPr="00696C35">
        <w:rPr>
          <w:noProof/>
        </w:rPr>
        <w:t xml:space="preserve">and evolution of standards </w:t>
      </w:r>
      <w:r w:rsidR="001A462E">
        <w:rPr>
          <w:noProof/>
        </w:rPr>
        <w:t>by relevant standardisation bodies with a view to following standardisation trends at European and global level, and whenever needed, shape such standards by participating to, including through drafting contributions, and leading in the activities of standardisation organisations. In doing so, ENISA should remain impartial. For instance</w:t>
      </w:r>
      <w:r w:rsidR="0099115B">
        <w:rPr>
          <w:noProof/>
        </w:rPr>
        <w:t>,</w:t>
      </w:r>
      <w:r w:rsidR="001A462E">
        <w:rPr>
          <w:noProof/>
        </w:rPr>
        <w:t xml:space="preserve"> there might be situations, where ENISA should withdraw from relevant activities in standardisation bodies if ENISA is asked to assess European standards that were requested by the Commission in support of Union legislation. ENISA should not contribute to the drafting of the standards that it is in charge of assessing.</w:t>
      </w:r>
    </w:p>
    <w:p w14:paraId="4046210C" w14:textId="3AC6BCF6" w:rsidR="001A462E" w:rsidRDefault="006D01CD" w:rsidP="006D01CD">
      <w:pPr>
        <w:pStyle w:val="ManualConsidrant"/>
        <w:rPr>
          <w:noProof/>
        </w:rPr>
      </w:pPr>
      <w:r w:rsidRPr="006D01CD">
        <w:rPr>
          <w:noProof/>
        </w:rPr>
        <w:t>(42)</w:t>
      </w:r>
      <w:r w:rsidRPr="006D01CD">
        <w:rPr>
          <w:noProof/>
        </w:rPr>
        <w:tab/>
      </w:r>
      <w:r w:rsidR="001A462E">
        <w:rPr>
          <w:noProof/>
        </w:rPr>
        <w:t xml:space="preserve">To support the implementation of Union policies and preparation of potential standardisation activities, ENISA should contribute to the development and evaluation of cryptographic algorithms, in particular in the area of post-quantum cryptography. In that context, upon request by the Commission and subject to a contribution agreement as defined in </w:t>
      </w:r>
      <w:r w:rsidR="001A462E" w:rsidRPr="00187190">
        <w:rPr>
          <w:noProof/>
        </w:rPr>
        <w:t>Regulation (EU, Euratom) 2024/2509</w:t>
      </w:r>
      <w:r w:rsidR="001A462E">
        <w:rPr>
          <w:noProof/>
        </w:rPr>
        <w:t xml:space="preserve"> </w:t>
      </w:r>
      <w:r w:rsidR="001A462E" w:rsidRPr="00462278">
        <w:rPr>
          <w:noProof/>
        </w:rPr>
        <w:t>of the European Parliament and of the Council</w:t>
      </w:r>
      <w:r w:rsidR="001A462E">
        <w:rPr>
          <w:rStyle w:val="FootnoteReference"/>
          <w:noProof/>
        </w:rPr>
        <w:footnoteReference w:id="51"/>
      </w:r>
      <w:r w:rsidR="001A462E">
        <w:rPr>
          <w:noProof/>
        </w:rPr>
        <w:t xml:space="preserve">, ENISA may establish a process to solicit and evaluate algorithms for cryptographic algorithms by relevant stakeholders, in particular the cryptographic, academic and research communities, as well as manufacturers, CSIRTs, national cybersecurity certification authorities and competent authorities pursuant to Directive (EU) 2022/2555. Where ENISA contributes to establishing such processes, it should promote collaboration between the relevant stakeholders and implement the organisational aspects. The process should be formal, open, transparent and inclusive, including consultation of relevant stakeholders on draft minimum requirements and the evaluation process and evaluation criteria, notably for security and performance of evaluations. </w:t>
      </w:r>
    </w:p>
    <w:p w14:paraId="5D6E9E07" w14:textId="040479F1" w:rsidR="001A462E" w:rsidRDefault="006D01CD" w:rsidP="006D01CD">
      <w:pPr>
        <w:pStyle w:val="ManualConsidrant"/>
        <w:rPr>
          <w:noProof/>
        </w:rPr>
      </w:pPr>
      <w:bookmarkStart w:id="2" w:name="_Hlk216261353"/>
      <w:r w:rsidRPr="006D01CD">
        <w:rPr>
          <w:noProof/>
        </w:rPr>
        <w:t>(43)</w:t>
      </w:r>
      <w:r w:rsidRPr="006D01CD">
        <w:rPr>
          <w:noProof/>
        </w:rPr>
        <w:tab/>
      </w:r>
      <w:r w:rsidR="001A462E" w:rsidRPr="008D658B">
        <w:rPr>
          <w:noProof/>
        </w:rPr>
        <w:t xml:space="preserve">To support the implementation of conformity assessment activities under European cybersecurity certification schemes and other relevant Union legislation, ENISA may provide relevant technical </w:t>
      </w:r>
      <w:r w:rsidR="001A462E">
        <w:rPr>
          <w:noProof/>
        </w:rPr>
        <w:t xml:space="preserve">testing </w:t>
      </w:r>
      <w:r w:rsidR="001A462E" w:rsidRPr="008D658B">
        <w:rPr>
          <w:noProof/>
        </w:rPr>
        <w:t xml:space="preserve">tools to support Member States, businesses and conformity assessment bodies in evaluation activities. Such tools should aim to create synergies at </w:t>
      </w:r>
      <w:r w:rsidR="001A462E">
        <w:rPr>
          <w:noProof/>
        </w:rPr>
        <w:t xml:space="preserve">Union level </w:t>
      </w:r>
      <w:r w:rsidR="001A462E" w:rsidRPr="008D658B">
        <w:rPr>
          <w:noProof/>
        </w:rPr>
        <w:t xml:space="preserve">and an efficient operation of conformity assessment procedures to meet the </w:t>
      </w:r>
      <w:r w:rsidR="001A462E">
        <w:rPr>
          <w:noProof/>
        </w:rPr>
        <w:t xml:space="preserve">needs of Member States and market needs. </w:t>
      </w:r>
      <w:r w:rsidR="001A462E" w:rsidRPr="008D658B">
        <w:rPr>
          <w:noProof/>
        </w:rPr>
        <w:t xml:space="preserve">Such needs may arise for instance in the area of  </w:t>
      </w:r>
      <w:r w:rsidR="001A462E">
        <w:rPr>
          <w:noProof/>
        </w:rPr>
        <w:t>security by design to support businesses, including small and medium-sized enterprises, in their implementation efforts in the context of Regulation 2024/2847.</w:t>
      </w:r>
      <w:r w:rsidR="001A462E" w:rsidRPr="008D658B">
        <w:rPr>
          <w:noProof/>
        </w:rPr>
        <w:t xml:space="preserve"> </w:t>
      </w:r>
      <w:r w:rsidR="001A462E">
        <w:rPr>
          <w:noProof/>
        </w:rPr>
        <w:t>In</w:t>
      </w:r>
      <w:r w:rsidR="001A462E" w:rsidRPr="008D658B">
        <w:rPr>
          <w:noProof/>
        </w:rPr>
        <w:t xml:space="preserve"> this </w:t>
      </w:r>
      <w:r w:rsidR="001A462E">
        <w:rPr>
          <w:noProof/>
        </w:rPr>
        <w:t>context</w:t>
      </w:r>
      <w:r w:rsidR="001A462E" w:rsidRPr="008D658B">
        <w:rPr>
          <w:noProof/>
        </w:rPr>
        <w:t xml:space="preserve">, ENISA </w:t>
      </w:r>
      <w:r w:rsidR="001A462E" w:rsidRPr="00EC0E75">
        <w:rPr>
          <w:noProof/>
        </w:rPr>
        <w:t>should</w:t>
      </w:r>
      <w:r w:rsidR="001A462E" w:rsidRPr="008D658B">
        <w:rPr>
          <w:noProof/>
        </w:rPr>
        <w:t xml:space="preserve"> levy fees to cover </w:t>
      </w:r>
      <w:r w:rsidR="001A462E">
        <w:rPr>
          <w:noProof/>
        </w:rPr>
        <w:t xml:space="preserve">relevant </w:t>
      </w:r>
      <w:r w:rsidR="001A462E" w:rsidRPr="008D658B">
        <w:rPr>
          <w:noProof/>
        </w:rPr>
        <w:t xml:space="preserve">costs related to establishing, designing, developing, maintaining and updating </w:t>
      </w:r>
      <w:r w:rsidR="001A462E">
        <w:rPr>
          <w:noProof/>
        </w:rPr>
        <w:t xml:space="preserve">needed software and hardware capabilities for such testing tools.  </w:t>
      </w:r>
    </w:p>
    <w:bookmarkEnd w:id="2"/>
    <w:p w14:paraId="77B1561F" w14:textId="653381B9" w:rsidR="001A462E" w:rsidRPr="00901D26" w:rsidRDefault="006D01CD" w:rsidP="006D01CD">
      <w:pPr>
        <w:pStyle w:val="ManualConsidrant"/>
        <w:rPr>
          <w:noProof/>
        </w:rPr>
      </w:pPr>
      <w:r w:rsidRPr="006D01CD">
        <w:rPr>
          <w:noProof/>
        </w:rPr>
        <w:t>(44)</w:t>
      </w:r>
      <w:r w:rsidRPr="006D01CD">
        <w:rPr>
          <w:noProof/>
        </w:rPr>
        <w:tab/>
      </w:r>
      <w:r w:rsidR="001A462E">
        <w:rPr>
          <w:noProof/>
        </w:rPr>
        <w:t>To support Member States in their efforts to address the shortage of cybersecurity professionals and the growing need for a skilled, diverse</w:t>
      </w:r>
      <w:r w:rsidR="00AB7E82">
        <w:rPr>
          <w:noProof/>
        </w:rPr>
        <w:t>, including with regards to gender balance,</w:t>
      </w:r>
      <w:r w:rsidR="001A462E">
        <w:rPr>
          <w:noProof/>
        </w:rPr>
        <w:t xml:space="preserve"> and agile workforce</w:t>
      </w:r>
      <w:r w:rsidR="001A462E" w:rsidRPr="00034972">
        <w:rPr>
          <w:noProof/>
        </w:rPr>
        <w:t>, and to enable labour mobility and preparedness across Member States,</w:t>
      </w:r>
      <w:r w:rsidR="001A462E">
        <w:rPr>
          <w:noProof/>
        </w:rPr>
        <w:t xml:space="preserve"> ENISA should build on the principles and work initiated under the Cybersecurity Skills Academy</w:t>
      </w:r>
      <w:r w:rsidR="00103717">
        <w:rPr>
          <w:noProof/>
        </w:rPr>
        <w:t>. In particular, ENISA should</w:t>
      </w:r>
      <w:r w:rsidR="001A462E">
        <w:rPr>
          <w:noProof/>
        </w:rPr>
        <w:t xml:space="preserve"> </w:t>
      </w:r>
      <w:r w:rsidR="001A462E" w:rsidDel="00AD71D7">
        <w:rPr>
          <w:noProof/>
        </w:rPr>
        <w:t xml:space="preserve">establish </w:t>
      </w:r>
      <w:r w:rsidR="001A462E">
        <w:rPr>
          <w:noProof/>
        </w:rPr>
        <w:t>the European Cybersecurity Skills Framework (‘ECSF’) as a common framework on cybersecurity professional role profiles.</w:t>
      </w:r>
      <w:r w:rsidR="001A462E" w:rsidRPr="00437BCC">
        <w:rPr>
          <w:noProof/>
        </w:rPr>
        <w:t xml:space="preserve"> </w:t>
      </w:r>
      <w:r w:rsidR="0072049C">
        <w:rPr>
          <w:noProof/>
        </w:rPr>
        <w:t xml:space="preserve">ENISA </w:t>
      </w:r>
      <w:r w:rsidR="005A2A21">
        <w:rPr>
          <w:noProof/>
        </w:rPr>
        <w:t xml:space="preserve">should further </w:t>
      </w:r>
      <w:r w:rsidR="00715468">
        <w:rPr>
          <w:noProof/>
        </w:rPr>
        <w:t>s</w:t>
      </w:r>
      <w:r w:rsidR="005A2A21">
        <w:rPr>
          <w:noProof/>
        </w:rPr>
        <w:t xml:space="preserve">upport Member States in addressing </w:t>
      </w:r>
      <w:r w:rsidR="0072049C">
        <w:rPr>
          <w:noProof/>
        </w:rPr>
        <w:t>gender disparities</w:t>
      </w:r>
      <w:r w:rsidR="00715468">
        <w:rPr>
          <w:noProof/>
        </w:rPr>
        <w:t xml:space="preserve"> in cybersecurity roles</w:t>
      </w:r>
      <w:r w:rsidR="002E72B4">
        <w:rPr>
          <w:noProof/>
        </w:rPr>
        <w:t xml:space="preserve">. </w:t>
      </w:r>
      <w:r w:rsidR="001A462E">
        <w:rPr>
          <w:noProof/>
        </w:rPr>
        <w:t xml:space="preserve">This </w:t>
      </w:r>
      <w:r w:rsidR="005A2A21">
        <w:rPr>
          <w:noProof/>
        </w:rPr>
        <w:t>approach</w:t>
      </w:r>
      <w:r w:rsidR="001A462E">
        <w:rPr>
          <w:noProof/>
        </w:rPr>
        <w:t xml:space="preserve"> is consistent with the vision outlined in the Commission Communication on the Union of Skills and would contribute to its objectives. </w:t>
      </w:r>
      <w:r w:rsidR="001A462E" w:rsidRPr="00BD0E95">
        <w:rPr>
          <w:noProof/>
        </w:rPr>
        <w:t>A quality label for European individual cybersecurity skills attestations should further be explored.</w:t>
      </w:r>
    </w:p>
    <w:p w14:paraId="6941CC75" w14:textId="440A9644" w:rsidR="001A462E" w:rsidRDefault="006D01CD" w:rsidP="006D01CD">
      <w:pPr>
        <w:pStyle w:val="ManualConsidrant"/>
        <w:rPr>
          <w:noProof/>
        </w:rPr>
      </w:pPr>
      <w:r w:rsidRPr="006D01CD">
        <w:rPr>
          <w:noProof/>
        </w:rPr>
        <w:t>(45)</w:t>
      </w:r>
      <w:r w:rsidRPr="006D01CD">
        <w:rPr>
          <w:noProof/>
        </w:rPr>
        <w:tab/>
      </w:r>
      <w:r w:rsidR="001A462E">
        <w:rPr>
          <w:noProof/>
        </w:rPr>
        <w:t xml:space="preserve">The ECSF should be a practical and flexible tool to be used on a voluntary basis that provides a common understanding and terminology of the relevant roles and associated tasks, skills and knowledge mostly required in cybersecurity roles, with a view to supporting the identification of critical skill sets, including transversal skills, required for the workforce, and enabling learning providers, including companies, higher education institutions or vocational education and training providers, to design programmes, and help policymakers to develop initiatives to address skills gaps. Having the potential to be used as a reference framework for skills recognition, it should also </w:t>
      </w:r>
      <w:r w:rsidR="001A462E" w:rsidRPr="00BD0E95">
        <w:rPr>
          <w:noProof/>
        </w:rPr>
        <w:t>be interoperable with the European classification of skills and occupations (ESCO) in order to </w:t>
      </w:r>
      <w:r w:rsidR="001A462E">
        <w:rPr>
          <w:noProof/>
        </w:rPr>
        <w:t xml:space="preserve">support human resources departments to understand the requirements for resource planning, recruitment, and career development in support of cybersecurity needs. </w:t>
      </w:r>
      <w:r w:rsidR="001A462E" w:rsidRPr="002275B7">
        <w:rPr>
          <w:noProof/>
        </w:rPr>
        <w:t>Whereas</w:t>
      </w:r>
      <w:r w:rsidR="001A462E">
        <w:rPr>
          <w:noProof/>
        </w:rPr>
        <w:t xml:space="preserve"> </w:t>
      </w:r>
      <w:r w:rsidR="001A462E" w:rsidRPr="002275B7">
        <w:rPr>
          <w:noProof/>
        </w:rPr>
        <w:t>DigComp 3.0 describes knowledge, skills and attitudes that are needed to be digitally competent for daily life, participation in society, working and learning, and can be used by both adults and children, the ECSF offer a simple framework identifying cybersecurity roles and associated tasks, knowledge, skills needed to perform them. In this regard, it addresses a specialised audience in cybersecurity, ranging from actually or potential cybersecurity professionals, education institutions to employers.</w:t>
      </w:r>
      <w:r w:rsidR="001A462E">
        <w:rPr>
          <w:noProof/>
        </w:rPr>
        <w:t xml:space="preserve"> The ECSF should also support the development of European individual cybersecurity skills attestations by being the key instrument used to develop the schemes, allowing the emergence of new market players and supporting market competition within a common framework. The ECSF should be evaluated and updated on a regular basis to ensure that it adequately reflects the cybersecurity labour market’s needs, technological and policy developments.</w:t>
      </w:r>
      <w:r w:rsidR="001A462E" w:rsidDel="00BD6F4F">
        <w:rPr>
          <w:noProof/>
        </w:rPr>
        <w:t xml:space="preserve"> </w:t>
      </w:r>
      <w:r w:rsidR="001A462E" w:rsidRPr="00BD1B67">
        <w:rPr>
          <w:rFonts w:eastAsia="Times New Roman"/>
          <w:noProof/>
        </w:rPr>
        <w:t xml:space="preserve">ENISA should support the uptake of the ECSF by and </w:t>
      </w:r>
      <w:r w:rsidR="001A462E">
        <w:rPr>
          <w:rFonts w:eastAsia="Times New Roman"/>
          <w:noProof/>
        </w:rPr>
        <w:t>with</w:t>
      </w:r>
      <w:r w:rsidR="001A462E" w:rsidRPr="00BD1B67">
        <w:rPr>
          <w:rFonts w:eastAsia="Times New Roman"/>
          <w:noProof/>
        </w:rPr>
        <w:t xml:space="preserve">in Member States and </w:t>
      </w:r>
      <w:r w:rsidR="001A462E">
        <w:rPr>
          <w:rFonts w:eastAsia="Times New Roman"/>
          <w:noProof/>
        </w:rPr>
        <w:t>Union entities</w:t>
      </w:r>
      <w:r w:rsidR="001A462E">
        <w:rPr>
          <w:noProof/>
        </w:rPr>
        <w:t xml:space="preserve">, and provide adequate support where such assistance is required.    </w:t>
      </w:r>
    </w:p>
    <w:p w14:paraId="1C4DA59C" w14:textId="323F5E1F" w:rsidR="001A462E" w:rsidRDefault="006D01CD" w:rsidP="006D01CD">
      <w:pPr>
        <w:pStyle w:val="ManualConsidrant"/>
        <w:rPr>
          <w:noProof/>
        </w:rPr>
      </w:pPr>
      <w:r w:rsidRPr="006D01CD">
        <w:rPr>
          <w:noProof/>
        </w:rPr>
        <w:t>(46)</w:t>
      </w:r>
      <w:r w:rsidRPr="006D01CD">
        <w:rPr>
          <w:noProof/>
        </w:rPr>
        <w:tab/>
      </w:r>
      <w:r w:rsidR="001A462E">
        <w:rPr>
          <w:noProof/>
        </w:rPr>
        <w:t>Cybersecurity skills and qualifications should be made comparable, transparent and trusted across the internal market. To this end, European individual cybersecurity skills attestations</w:t>
      </w:r>
      <w:r w:rsidR="001A462E">
        <w:rPr>
          <w:rStyle w:val="FootnoteReference"/>
          <w:noProof/>
        </w:rPr>
        <w:footnoteReference w:id="52"/>
      </w:r>
      <w:r w:rsidR="001A462E">
        <w:rPr>
          <w:noProof/>
        </w:rPr>
        <w:t xml:space="preserve"> should support employers, including SMEs and startups, to recruit </w:t>
      </w:r>
      <w:r w:rsidR="001A462E" w:rsidRPr="00BE34AC">
        <w:rPr>
          <w:noProof/>
        </w:rPr>
        <w:t>actual or potential cybersecurity professionals in a</w:t>
      </w:r>
      <w:r w:rsidR="001A462E">
        <w:rPr>
          <w:noProof/>
        </w:rPr>
        <w:t>n</w:t>
      </w:r>
      <w:r w:rsidR="001A462E" w:rsidRPr="00BE34AC">
        <w:rPr>
          <w:noProof/>
        </w:rPr>
        <w:t xml:space="preserve"> </w:t>
      </w:r>
      <w:r w:rsidR="001A462E">
        <w:rPr>
          <w:noProof/>
        </w:rPr>
        <w:t xml:space="preserve">effective manner within and across Member States, in line with the objectives set out in the Communication on the Union of Skills. To ensure consistent implementation across Member States, European individual cybersecurity skills attestations should be based on a common understanding, at Union level, of the skills needed to meet those objectives and should be delivered by providers authorised by ENISA against a common set of criteria. This approach should be consistent with and contribute to the objectives of the future Skills Portability Initiative. </w:t>
      </w:r>
    </w:p>
    <w:p w14:paraId="69D703DF" w14:textId="313DFDD3" w:rsidR="001A462E" w:rsidRDefault="006D01CD" w:rsidP="006D01CD">
      <w:pPr>
        <w:pStyle w:val="ManualConsidrant"/>
        <w:rPr>
          <w:noProof/>
        </w:rPr>
      </w:pPr>
      <w:r w:rsidRPr="006D01CD">
        <w:rPr>
          <w:noProof/>
        </w:rPr>
        <w:t>(47)</w:t>
      </w:r>
      <w:r w:rsidRPr="006D01CD">
        <w:rPr>
          <w:noProof/>
        </w:rPr>
        <w:tab/>
      </w:r>
      <w:r w:rsidR="001A462E">
        <w:rPr>
          <w:noProof/>
        </w:rPr>
        <w:t>The development of European individual cybersecurity skills attestation schemes should aim to supplement Member States’ actions by offering the possibility to public authorities and economic actors to make use of a European attestation mechanism, in line with the supporting competence of the Union in the area of education and vocational training, as referred to in Article 6, point (e) and Articles 165(1) and 166(1) TFEU.</w:t>
      </w:r>
      <w:r w:rsidR="001A462E" w:rsidRPr="00BD1B67">
        <w:rPr>
          <w:b/>
          <w:bCs/>
          <w:noProof/>
        </w:rPr>
        <w:t xml:space="preserve"> </w:t>
      </w:r>
      <w:r w:rsidR="001A462E" w:rsidRPr="00BD0E95">
        <w:rPr>
          <w:noProof/>
        </w:rPr>
        <w:t>The schemes, together with the work of the Cybersecurity Skills Academy, can also represent the basis for the higher education programmes, such as sectoral European degrees and for the development of micro-credentials. </w:t>
      </w:r>
      <w:r w:rsidR="001A462E">
        <w:rPr>
          <w:noProof/>
        </w:rPr>
        <w:t>Therefore, the European individual cybersecurity attestation schemes should not aim to harmonise law and regulations in Member States</w:t>
      </w:r>
      <w:r w:rsidR="004A1261">
        <w:rPr>
          <w:noProof/>
        </w:rPr>
        <w:t>,</w:t>
      </w:r>
      <w:r w:rsidR="001A462E">
        <w:rPr>
          <w:noProof/>
        </w:rPr>
        <w:t xml:space="preserve"> but rather be considered as an enabler and an opportunity which Member States and economic actors may wish to take up and promote. </w:t>
      </w:r>
    </w:p>
    <w:p w14:paraId="78BC76AC" w14:textId="1CC44955" w:rsidR="001A462E" w:rsidRPr="00931A02" w:rsidRDefault="006D01CD" w:rsidP="006D01CD">
      <w:pPr>
        <w:pStyle w:val="ManualConsidrant"/>
        <w:rPr>
          <w:noProof/>
        </w:rPr>
      </w:pPr>
      <w:r w:rsidRPr="006D01CD">
        <w:rPr>
          <w:noProof/>
        </w:rPr>
        <w:t>(48)</w:t>
      </w:r>
      <w:r w:rsidRPr="006D01CD">
        <w:rPr>
          <w:noProof/>
        </w:rPr>
        <w:tab/>
      </w:r>
      <w:r w:rsidR="001A462E">
        <w:rPr>
          <w:noProof/>
        </w:rPr>
        <w:t>ENISA should ensure that European individual cybersecurity skills attestation schemes remain close to market needs and build on experience from both public and private providers of individual certifications, including Member States, higher education institutions, vocational education and training institutions and businesses. ENISA should consult the Commission on prioritisation of the European individual cybersecurity skills attestation schemes,</w:t>
      </w:r>
      <w:r w:rsidR="001A462E" w:rsidRPr="00B354BB">
        <w:rPr>
          <w:noProof/>
        </w:rPr>
        <w:t xml:space="preserve"> </w:t>
      </w:r>
      <w:r w:rsidR="001A462E">
        <w:rPr>
          <w:noProof/>
        </w:rPr>
        <w:t xml:space="preserve">taking into due consideration policy implementation and market needs.  </w:t>
      </w:r>
    </w:p>
    <w:p w14:paraId="71219D91" w14:textId="02088ADF" w:rsidR="001A462E" w:rsidRDefault="006D01CD" w:rsidP="006D01CD">
      <w:pPr>
        <w:pStyle w:val="ManualConsidrant"/>
        <w:rPr>
          <w:noProof/>
        </w:rPr>
      </w:pPr>
      <w:r w:rsidRPr="006D01CD">
        <w:rPr>
          <w:noProof/>
        </w:rPr>
        <w:t>(49)</w:t>
      </w:r>
      <w:r w:rsidRPr="006D01CD">
        <w:rPr>
          <w:noProof/>
        </w:rPr>
        <w:tab/>
      </w:r>
      <w:r w:rsidR="001A462E" w:rsidRPr="00BD0E95">
        <w:rPr>
          <w:noProof/>
        </w:rPr>
        <w:t xml:space="preserve">To ensure </w:t>
      </w:r>
      <w:r w:rsidR="001A462E" w:rsidRPr="006E5FEB">
        <w:rPr>
          <w:noProof/>
        </w:rPr>
        <w:t>alignment</w:t>
      </w:r>
      <w:r w:rsidR="001A462E" w:rsidRPr="00BD0E95">
        <w:rPr>
          <w:noProof/>
        </w:rPr>
        <w:t xml:space="preserve"> between the ECS</w:t>
      </w:r>
      <w:r w:rsidR="001A462E">
        <w:rPr>
          <w:noProof/>
        </w:rPr>
        <w:t>F</w:t>
      </w:r>
      <w:r w:rsidR="001A462E" w:rsidRPr="00BD0E95">
        <w:rPr>
          <w:noProof/>
        </w:rPr>
        <w:t xml:space="preserve"> and the schemes, </w:t>
      </w:r>
      <w:r w:rsidR="001A462E">
        <w:rPr>
          <w:noProof/>
        </w:rPr>
        <w:t>revision of an ECSF role profile should automatically trigger an evaluation of fitness of the associated European individual cybersecurity skills attestation scheme or schemes, which may lead to their review.</w:t>
      </w:r>
    </w:p>
    <w:p w14:paraId="31A6B1E6" w14:textId="610B1A9B" w:rsidR="001A462E" w:rsidRDefault="006D01CD" w:rsidP="006D01CD">
      <w:pPr>
        <w:pStyle w:val="ManualConsidrant"/>
        <w:rPr>
          <w:noProof/>
        </w:rPr>
      </w:pPr>
      <w:r w:rsidRPr="006D01CD">
        <w:rPr>
          <w:noProof/>
        </w:rPr>
        <w:t>(50)</w:t>
      </w:r>
      <w:r w:rsidRPr="006D01CD">
        <w:rPr>
          <w:noProof/>
        </w:rPr>
        <w:tab/>
      </w:r>
      <w:r w:rsidR="001A462E">
        <w:rPr>
          <w:noProof/>
        </w:rPr>
        <w:t>Taking into consideration the diversity of cybersecurity role profiles and associated tasks, skills and knowledge,</w:t>
      </w:r>
      <w:r w:rsidR="001A462E" w:rsidRPr="00BD1B67">
        <w:rPr>
          <w:b/>
          <w:bCs/>
          <w:noProof/>
        </w:rPr>
        <w:t xml:space="preserve"> </w:t>
      </w:r>
      <w:r w:rsidR="001A462E">
        <w:rPr>
          <w:noProof/>
        </w:rPr>
        <w:t>the</w:t>
      </w:r>
      <w:r w:rsidR="001A462E" w:rsidRPr="00BD1B67">
        <w:rPr>
          <w:b/>
          <w:bCs/>
          <w:noProof/>
        </w:rPr>
        <w:t xml:space="preserve"> </w:t>
      </w:r>
      <w:r w:rsidR="001A462E">
        <w:rPr>
          <w:noProof/>
        </w:rPr>
        <w:t>assessment of individuals and assessment methods may have to be adapted in each European individual cybersecurity skills attestation scheme. Each scheme should ensure that the assessment of an individual’s required skills in terms of learning outcomes, including, where relevant, the evaluation of the level of proficiency, is systematically evaluated against an ECSF role profile or subset thereof. Assessment methods may include elements such as testing theoretical knowledge, practical examination, prerequisites and peer assessment. Experience of individuals should be duly taken into consideration.</w:t>
      </w:r>
    </w:p>
    <w:p w14:paraId="63037F85" w14:textId="12AF1025" w:rsidR="001A462E" w:rsidRDefault="006D01CD" w:rsidP="006D01CD">
      <w:pPr>
        <w:pStyle w:val="ManualConsidrant"/>
        <w:rPr>
          <w:noProof/>
        </w:rPr>
      </w:pPr>
      <w:r w:rsidRPr="006D01CD">
        <w:rPr>
          <w:noProof/>
        </w:rPr>
        <w:t>(51)</w:t>
      </w:r>
      <w:r w:rsidRPr="006D01CD">
        <w:rPr>
          <w:noProof/>
        </w:rPr>
        <w:tab/>
      </w:r>
      <w:r w:rsidR="001A462E">
        <w:rPr>
          <w:noProof/>
        </w:rPr>
        <w:t xml:space="preserve">In order to ensure a consistent implementation of European individual cybersecurity skills attestation schemes, in particular with regard to the assessment of individuals, ENISA should provide obligatory training to personnel in charge of carrying out the assessment of individuals. </w:t>
      </w:r>
      <w:r w:rsidR="001A462E" w:rsidRPr="00BD1B67">
        <w:rPr>
          <w:rFonts w:eastAsia="Times New Roman"/>
          <w:noProof/>
        </w:rPr>
        <w:t>Such personnel should have experience in the field of cybersecurity which could be demonstrated by holding a European individual cybersecurity skills attestation for the role profile they are conducting the assessment for and at a proficiency level at least equivalent to that of the individuals they are assessing.</w:t>
      </w:r>
      <w:r w:rsidR="001A462E" w:rsidRPr="532DB6CD">
        <w:rPr>
          <w:noProof/>
        </w:rPr>
        <w:t xml:space="preserve"> </w:t>
      </w:r>
    </w:p>
    <w:p w14:paraId="18400FA6" w14:textId="7B0BE722" w:rsidR="001A462E" w:rsidRDefault="006D01CD" w:rsidP="006D01CD">
      <w:pPr>
        <w:pStyle w:val="ManualConsidrant"/>
        <w:rPr>
          <w:noProof/>
        </w:rPr>
      </w:pPr>
      <w:r w:rsidRPr="006D01CD">
        <w:rPr>
          <w:noProof/>
        </w:rPr>
        <w:t>(52)</w:t>
      </w:r>
      <w:r w:rsidRPr="006D01CD">
        <w:rPr>
          <w:noProof/>
        </w:rPr>
        <w:tab/>
      </w:r>
      <w:r w:rsidR="00CE11BB" w:rsidRPr="00774A71">
        <w:rPr>
          <w:noProof/>
        </w:rPr>
        <w:t xml:space="preserve">The role of the authorised attestation providers is to attest the knowledge and competences of an individual to be able to perform one of the ECSF roles and to give assurance to the employers across the Union. As also employers operating Unions critical infrastructure would look at the assurance of the quality of skills and competences of individuals acquiring European individual cybersecurity skills attestation, the authorised providers attesting the level of skills and competences should be trustworthy from the cybersecurity point of view and should not be subject of the undue influence by a third country that may pose cybersecurity concerns. Therefore, </w:t>
      </w:r>
      <w:r w:rsidR="00CE11BB" w:rsidRPr="00DF6FD0">
        <w:rPr>
          <w:noProof/>
        </w:rPr>
        <w:t xml:space="preserve">entities established in a third country posing cybersecurity concerns designated in accordance with this Regulation or controlled by such third country, by an entity </w:t>
      </w:r>
      <w:r w:rsidR="0098384D">
        <w:rPr>
          <w:noProof/>
        </w:rPr>
        <w:t>established in</w:t>
      </w:r>
      <w:r w:rsidR="0098384D" w:rsidRPr="00DF6FD0">
        <w:rPr>
          <w:noProof/>
        </w:rPr>
        <w:t xml:space="preserve"> </w:t>
      </w:r>
      <w:r w:rsidR="00CE11BB" w:rsidRPr="00DF6FD0">
        <w:rPr>
          <w:noProof/>
        </w:rPr>
        <w:t xml:space="preserve">such third country, or by a national of such third country </w:t>
      </w:r>
      <w:r w:rsidR="00CE11BB">
        <w:rPr>
          <w:noProof/>
        </w:rPr>
        <w:t xml:space="preserve"> (high-risk suppliers)</w:t>
      </w:r>
      <w:r w:rsidR="00CE11BB" w:rsidRPr="00774A71">
        <w:rPr>
          <w:noProof/>
        </w:rPr>
        <w:t xml:space="preserve"> in accordance with this Regulation should not be eligible to become authorised attestation providers of any European individual cybersecurity skills attestations pursuant to Title II, Section 4</w:t>
      </w:r>
      <w:r w:rsidR="00CE11BB">
        <w:rPr>
          <w:noProof/>
        </w:rPr>
        <w:t>.</w:t>
      </w:r>
    </w:p>
    <w:p w14:paraId="6CA51038" w14:textId="6DC00850" w:rsidR="001A462E" w:rsidRDefault="006D01CD" w:rsidP="006D01CD">
      <w:pPr>
        <w:pStyle w:val="ManualConsidrant"/>
        <w:rPr>
          <w:noProof/>
        </w:rPr>
      </w:pPr>
      <w:r w:rsidRPr="006D01CD">
        <w:rPr>
          <w:noProof/>
        </w:rPr>
        <w:t>(53)</w:t>
      </w:r>
      <w:r w:rsidRPr="006D01CD">
        <w:rPr>
          <w:noProof/>
        </w:rPr>
        <w:tab/>
      </w:r>
      <w:r w:rsidR="001A462E" w:rsidRPr="00624C2B">
        <w:rPr>
          <w:noProof/>
        </w:rPr>
        <w:t xml:space="preserve"> To ensure that individuals that hold a European cybersecurity skills attestation can easily use and share it, and </w:t>
      </w:r>
      <w:r w:rsidR="001A462E" w:rsidRPr="00D23E1A">
        <w:rPr>
          <w:noProof/>
        </w:rPr>
        <w:t xml:space="preserve">that </w:t>
      </w:r>
      <w:r w:rsidR="001A462E">
        <w:rPr>
          <w:noProof/>
        </w:rPr>
        <w:t xml:space="preserve">such an </w:t>
      </w:r>
      <w:r w:rsidR="001A462E" w:rsidRPr="00D23E1A">
        <w:rPr>
          <w:noProof/>
        </w:rPr>
        <w:t xml:space="preserve"> attestation can be used across Member States, authorised attestation providers should ensure that electronic attestations of the European individual cybersecurity skills attestations are issued to the European Digital Identity Wallet (EUDI wallet) established </w:t>
      </w:r>
      <w:r w:rsidR="001A462E">
        <w:rPr>
          <w:noProof/>
        </w:rPr>
        <w:t>by</w:t>
      </w:r>
      <w:r w:rsidR="001A462E" w:rsidRPr="00D23E1A">
        <w:rPr>
          <w:noProof/>
        </w:rPr>
        <w:t xml:space="preserve"> Regulation (EU) </w:t>
      </w:r>
      <w:r w:rsidR="001A462E">
        <w:rPr>
          <w:noProof/>
        </w:rPr>
        <w:t>No 910/2014</w:t>
      </w:r>
      <w:r w:rsidR="001A462E" w:rsidRPr="00D23E1A">
        <w:rPr>
          <w:noProof/>
        </w:rPr>
        <w:t xml:space="preserve"> at the request of the individual. </w:t>
      </w:r>
      <w:r w:rsidR="001A462E" w:rsidRPr="00D23E1A" w:rsidDel="00713C4D">
        <w:rPr>
          <w:noProof/>
        </w:rPr>
        <w:t xml:space="preserve">Authorised attestation providers </w:t>
      </w:r>
      <w:r w:rsidR="001A462E" w:rsidRPr="00D23E1A">
        <w:rPr>
          <w:noProof/>
        </w:rPr>
        <w:t xml:space="preserve">should </w:t>
      </w:r>
      <w:r w:rsidR="001A462E" w:rsidRPr="00D23E1A" w:rsidDel="00713C4D">
        <w:rPr>
          <w:noProof/>
        </w:rPr>
        <w:t xml:space="preserve">be considered as trust service providers and subject to the supervisory and liability regime </w:t>
      </w:r>
      <w:r w:rsidR="001A462E">
        <w:rPr>
          <w:noProof/>
        </w:rPr>
        <w:t>laid down</w:t>
      </w:r>
      <w:r w:rsidR="001A462E" w:rsidRPr="00D23E1A" w:rsidDel="00713C4D">
        <w:rPr>
          <w:noProof/>
        </w:rPr>
        <w:t xml:space="preserve"> in Regulation (EU) </w:t>
      </w:r>
      <w:r w:rsidR="001A462E" w:rsidDel="00713C4D">
        <w:rPr>
          <w:noProof/>
        </w:rPr>
        <w:t>No 910/2014</w:t>
      </w:r>
      <w:r w:rsidR="001A462E" w:rsidRPr="00D23E1A" w:rsidDel="00713C4D">
        <w:rPr>
          <w:noProof/>
        </w:rPr>
        <w:t>.</w:t>
      </w:r>
      <w:r w:rsidR="001A462E">
        <w:rPr>
          <w:noProof/>
        </w:rPr>
        <w:t xml:space="preserve"> T</w:t>
      </w:r>
      <w:r w:rsidR="001A462E" w:rsidRPr="00BD1B67">
        <w:rPr>
          <w:rFonts w:eastAsia="Times New Roman"/>
          <w:noProof/>
        </w:rPr>
        <w:t>he scheme for the attestation of attributes used pursuant to Commission Implementing Regulation (EU) 2025/1569</w:t>
      </w:r>
      <w:r w:rsidR="001A462E" w:rsidRPr="00643D1E">
        <w:rPr>
          <w:rStyle w:val="FootnoteReference"/>
          <w:noProof/>
        </w:rPr>
        <w:footnoteReference w:id="53"/>
      </w:r>
      <w:r w:rsidR="001A462E" w:rsidRPr="00BD1B67">
        <w:rPr>
          <w:rFonts w:eastAsia="Times New Roman"/>
          <w:noProof/>
        </w:rPr>
        <w:t xml:space="preserve"> should be registered in the catalogue of schemes for the attestation of attributes </w:t>
      </w:r>
      <w:r w:rsidR="001A462E" w:rsidRPr="00EA181D">
        <w:rPr>
          <w:rFonts w:eastAsia="Times New Roman"/>
          <w:noProof/>
        </w:rPr>
        <w:t>provided for in that Implementing Regulation</w:t>
      </w:r>
      <w:r w:rsidR="001A462E" w:rsidRPr="00BD1B67">
        <w:rPr>
          <w:rFonts w:eastAsia="Times New Roman"/>
          <w:noProof/>
        </w:rPr>
        <w:t>.</w:t>
      </w:r>
      <w:r w:rsidR="001A462E">
        <w:rPr>
          <w:noProof/>
        </w:rPr>
        <w:t xml:space="preserve"> </w:t>
      </w:r>
    </w:p>
    <w:p w14:paraId="136C2809" w14:textId="23C8E9DA" w:rsidR="001A462E" w:rsidRPr="009D0E1E" w:rsidRDefault="006D01CD" w:rsidP="006D01CD">
      <w:pPr>
        <w:pStyle w:val="ManualConsidrant"/>
        <w:rPr>
          <w:noProof/>
        </w:rPr>
      </w:pPr>
      <w:r w:rsidRPr="006D01CD">
        <w:rPr>
          <w:noProof/>
        </w:rPr>
        <w:t>(54)</w:t>
      </w:r>
      <w:r w:rsidRPr="006D01CD">
        <w:rPr>
          <w:noProof/>
        </w:rPr>
        <w:tab/>
      </w:r>
      <w:r w:rsidR="001A462E" w:rsidRPr="0015542C">
        <w:rPr>
          <w:noProof/>
        </w:rPr>
        <w:t xml:space="preserve">To contribute to the development of the cybersecurity workforce and the portability of skills across the Union, ENISA should </w:t>
      </w:r>
      <w:r w:rsidR="001A462E">
        <w:rPr>
          <w:noProof/>
        </w:rPr>
        <w:t xml:space="preserve">make the European individual cybersecurity skills attestation schemes and the list of authorised attestation providers available to the public via a dedicated website. </w:t>
      </w:r>
    </w:p>
    <w:p w14:paraId="3748A621" w14:textId="6A92FB8B" w:rsidR="001A462E" w:rsidRPr="00D96F49" w:rsidRDefault="006D01CD" w:rsidP="006D01CD">
      <w:pPr>
        <w:pStyle w:val="ManualConsidrant"/>
        <w:rPr>
          <w:noProof/>
        </w:rPr>
      </w:pPr>
      <w:r w:rsidRPr="006D01CD">
        <w:rPr>
          <w:noProof/>
        </w:rPr>
        <w:t>(55)</w:t>
      </w:r>
      <w:r w:rsidRPr="006D01CD">
        <w:rPr>
          <w:noProof/>
        </w:rPr>
        <w:tab/>
      </w:r>
      <w:r w:rsidR="001A462E" w:rsidRPr="00D96F49">
        <w:rPr>
          <w:noProof/>
        </w:rPr>
        <w:t>ENISA should be governed and operated taking into account the principles of the Common Approach on Union decentralised agencies adopted on 19 July 2012 by the European Parliament, the Council and the Commission</w:t>
      </w:r>
      <w:r w:rsidR="001A462E">
        <w:rPr>
          <w:rStyle w:val="FootnoteReference"/>
          <w:rFonts w:eastAsia="Times New Roman"/>
          <w:noProof/>
        </w:rPr>
        <w:footnoteReference w:id="54"/>
      </w:r>
      <w:r w:rsidR="001A462E" w:rsidRPr="00D96F49">
        <w:rPr>
          <w:noProof/>
        </w:rPr>
        <w:t xml:space="preserve">. The recommendations in the Common Approach should also be reflected, as appropriate, in ENISA’s work programmes, evaluations of ENISA, and ENISA’s reporting and administrative practice. </w:t>
      </w:r>
    </w:p>
    <w:p w14:paraId="791A170D" w14:textId="4AE266EA" w:rsidR="001A462E" w:rsidRDefault="006D01CD" w:rsidP="006D01CD">
      <w:pPr>
        <w:pStyle w:val="ManualConsidrant"/>
        <w:rPr>
          <w:noProof/>
        </w:rPr>
      </w:pPr>
      <w:r w:rsidRPr="006D01CD">
        <w:rPr>
          <w:noProof/>
        </w:rPr>
        <w:t>(56)</w:t>
      </w:r>
      <w:r w:rsidRPr="006D01CD">
        <w:rPr>
          <w:noProof/>
        </w:rPr>
        <w:tab/>
      </w:r>
      <w:r w:rsidR="001A462E" w:rsidRPr="1496FAEA">
        <w:rPr>
          <w:noProof/>
        </w:rPr>
        <w:t xml:space="preserve">In order for the Management Board to perform its functions effectively, particularly in guiding the overall direction of ENISA’s activities and setting its strategic priorities, it is essential </w:t>
      </w:r>
      <w:r w:rsidR="001A462E">
        <w:rPr>
          <w:noProof/>
        </w:rPr>
        <w:t>for</w:t>
      </w:r>
      <w:r w:rsidR="001A462E" w:rsidRPr="1496FAEA">
        <w:rPr>
          <w:noProof/>
        </w:rPr>
        <w:t xml:space="preserve"> the Board </w:t>
      </w:r>
      <w:r w:rsidR="001A462E">
        <w:rPr>
          <w:noProof/>
        </w:rPr>
        <w:t xml:space="preserve">to </w:t>
      </w:r>
      <w:r w:rsidR="001A462E" w:rsidRPr="1496FAEA">
        <w:rPr>
          <w:noProof/>
        </w:rPr>
        <w:t>consist of high</w:t>
      </w:r>
      <w:r w:rsidR="001A462E">
        <w:rPr>
          <w:noProof/>
        </w:rPr>
        <w:t>-</w:t>
      </w:r>
      <w:r w:rsidR="001A462E" w:rsidRPr="1496FAEA">
        <w:rPr>
          <w:noProof/>
        </w:rPr>
        <w:t xml:space="preserve">level representatives from Member States and the Commission. To that end, each Member State should appoint the head of </w:t>
      </w:r>
      <w:r w:rsidR="001A462E">
        <w:rPr>
          <w:noProof/>
        </w:rPr>
        <w:t>a</w:t>
      </w:r>
      <w:r w:rsidR="001A462E" w:rsidRPr="1496FAEA">
        <w:rPr>
          <w:noProof/>
        </w:rPr>
        <w:t xml:space="preserve"> national competent authority </w:t>
      </w:r>
      <w:r w:rsidR="001A462E">
        <w:rPr>
          <w:noProof/>
        </w:rPr>
        <w:t>of that Member State</w:t>
      </w:r>
      <w:r w:rsidR="001A462E" w:rsidRPr="1496FAEA">
        <w:rPr>
          <w:noProof/>
        </w:rPr>
        <w:t xml:space="preserve"> responsible for cybersecurity designated pursuant to Article 8(1) of Directive (EU) 2022/2555 as a member of the Management Board.</w:t>
      </w:r>
    </w:p>
    <w:p w14:paraId="78F35078" w14:textId="6D49FFAC" w:rsidR="001A462E" w:rsidRPr="00955DB9" w:rsidRDefault="006D01CD" w:rsidP="006D01CD">
      <w:pPr>
        <w:pStyle w:val="ManualConsidrant"/>
        <w:rPr>
          <w:noProof/>
        </w:rPr>
      </w:pPr>
      <w:r w:rsidRPr="006D01CD">
        <w:rPr>
          <w:noProof/>
        </w:rPr>
        <w:t>(57)</w:t>
      </w:r>
      <w:r w:rsidRPr="006D01CD">
        <w:rPr>
          <w:noProof/>
        </w:rPr>
        <w:tab/>
      </w:r>
      <w:r w:rsidR="001A462E">
        <w:rPr>
          <w:noProof/>
        </w:rPr>
        <w:t xml:space="preserve">To ensure that alternates in the Management Board can fulfil their roles adequately, </w:t>
      </w:r>
      <w:r w:rsidR="001A462E" w:rsidRPr="00955DB9">
        <w:rPr>
          <w:noProof/>
        </w:rPr>
        <w:t xml:space="preserve">Member States should </w:t>
      </w:r>
      <w:r w:rsidR="001A462E">
        <w:rPr>
          <w:noProof/>
        </w:rPr>
        <w:t>appoint</w:t>
      </w:r>
      <w:r w:rsidR="001A462E" w:rsidRPr="00955DB9">
        <w:rPr>
          <w:noProof/>
        </w:rPr>
        <w:t xml:space="preserve"> alternates </w:t>
      </w:r>
      <w:r w:rsidR="001A462E">
        <w:rPr>
          <w:noProof/>
        </w:rPr>
        <w:t xml:space="preserve">that </w:t>
      </w:r>
      <w:r w:rsidR="001A462E" w:rsidRPr="00955DB9">
        <w:rPr>
          <w:noProof/>
        </w:rPr>
        <w:t>have appropriate professional expertise and experience. The Commission and the Member States</w:t>
      </w:r>
      <w:r w:rsidR="00CD2C5D">
        <w:rPr>
          <w:noProof/>
        </w:rPr>
        <w:t>,</w:t>
      </w:r>
      <w:r w:rsidR="001A462E" w:rsidRPr="00955DB9">
        <w:rPr>
          <w:noProof/>
        </w:rPr>
        <w:t xml:space="preserve"> </w:t>
      </w:r>
      <w:r w:rsidR="00ED7010">
        <w:rPr>
          <w:noProof/>
        </w:rPr>
        <w:t>a</w:t>
      </w:r>
      <w:r w:rsidR="0046479E">
        <w:rPr>
          <w:noProof/>
        </w:rPr>
        <w:t xml:space="preserve">s regards alternates, </w:t>
      </w:r>
      <w:r w:rsidR="001A462E" w:rsidRPr="00955DB9">
        <w:rPr>
          <w:noProof/>
        </w:rPr>
        <w:t xml:space="preserve">should make efforts to </w:t>
      </w:r>
      <w:r w:rsidR="000452CB">
        <w:rPr>
          <w:noProof/>
        </w:rPr>
        <w:t xml:space="preserve">achieve a </w:t>
      </w:r>
      <w:r w:rsidR="00717AD3">
        <w:rPr>
          <w:noProof/>
        </w:rPr>
        <w:t xml:space="preserve">balanced </w:t>
      </w:r>
      <w:r w:rsidR="00F2317D">
        <w:rPr>
          <w:noProof/>
        </w:rPr>
        <w:t xml:space="preserve">representation between </w:t>
      </w:r>
      <w:r w:rsidR="00DB00BB">
        <w:rPr>
          <w:noProof/>
        </w:rPr>
        <w:t xml:space="preserve">men and women on the Management Board and should </w:t>
      </w:r>
      <w:r w:rsidR="001A462E" w:rsidRPr="00955DB9">
        <w:rPr>
          <w:noProof/>
        </w:rPr>
        <w:t>limit the</w:t>
      </w:r>
      <w:r w:rsidR="00D9559A">
        <w:rPr>
          <w:noProof/>
        </w:rPr>
        <w:t>ir</w:t>
      </w:r>
      <w:r w:rsidR="001A462E" w:rsidRPr="00955DB9">
        <w:rPr>
          <w:noProof/>
        </w:rPr>
        <w:t xml:space="preserve"> turnover in order to ensure continuity of the Management Board’s work.</w:t>
      </w:r>
    </w:p>
    <w:p w14:paraId="29630A73" w14:textId="540C674B" w:rsidR="001A462E" w:rsidRPr="00955DB9" w:rsidRDefault="006D01CD" w:rsidP="006D01CD">
      <w:pPr>
        <w:pStyle w:val="ManualConsidrant"/>
        <w:rPr>
          <w:noProof/>
        </w:rPr>
      </w:pPr>
      <w:r w:rsidRPr="006D01CD">
        <w:rPr>
          <w:noProof/>
        </w:rPr>
        <w:t>(58)</w:t>
      </w:r>
      <w:r w:rsidRPr="006D01CD">
        <w:rPr>
          <w:noProof/>
        </w:rPr>
        <w:tab/>
      </w:r>
      <w:r w:rsidR="001A462E">
        <w:rPr>
          <w:noProof/>
        </w:rPr>
        <w:t>To enable ENISA to fulfil its mission effectively, t</w:t>
      </w:r>
      <w:r w:rsidR="001A462E" w:rsidRPr="00955DB9">
        <w:rPr>
          <w:noProof/>
        </w:rPr>
        <w:t xml:space="preserve">he Management Board, composed of the representatives of the Member States and of the Commission, should establish the general direction of ENISA’s operations, including its strategic priorities, and ensure that it carries out its tasks in accordance with this Regulation. The Management Board should be entrusted with the powers necessary to establish </w:t>
      </w:r>
      <w:r w:rsidR="001A462E">
        <w:rPr>
          <w:noProof/>
        </w:rPr>
        <w:t xml:space="preserve">and verify the execution of </w:t>
      </w:r>
      <w:r w:rsidR="001A462E" w:rsidRPr="00955DB9">
        <w:rPr>
          <w:noProof/>
        </w:rPr>
        <w:t xml:space="preserve">the budget, adopt appropriate financial rules, establish transparent working procedures for decision making by ENISA, adopt ENISA’s single programming document, adopt its own rules of procedure, appoint the Executive Director, decide on the extension and termination of the Executive Director’s term of office, and decide </w:t>
      </w:r>
      <w:r w:rsidR="001A462E">
        <w:rPr>
          <w:noProof/>
        </w:rPr>
        <w:t>whether to create</w:t>
      </w:r>
      <w:r w:rsidR="001A462E" w:rsidRPr="00955DB9">
        <w:rPr>
          <w:noProof/>
        </w:rPr>
        <w:t xml:space="preserve"> a function of Deputy Executive Director and, </w:t>
      </w:r>
      <w:r w:rsidR="001A462E">
        <w:rPr>
          <w:noProof/>
        </w:rPr>
        <w:t>if</w:t>
      </w:r>
      <w:r w:rsidR="001A462E" w:rsidRPr="00955DB9">
        <w:rPr>
          <w:noProof/>
        </w:rPr>
        <w:t xml:space="preserve"> such </w:t>
      </w:r>
      <w:r w:rsidR="001A462E">
        <w:rPr>
          <w:noProof/>
        </w:rPr>
        <w:t xml:space="preserve">a </w:t>
      </w:r>
      <w:r w:rsidR="001A462E" w:rsidRPr="00955DB9">
        <w:rPr>
          <w:noProof/>
        </w:rPr>
        <w:t xml:space="preserve">function is created, on </w:t>
      </w:r>
      <w:r w:rsidR="001A462E">
        <w:rPr>
          <w:noProof/>
        </w:rPr>
        <w:t>their</w:t>
      </w:r>
      <w:r w:rsidR="001A462E" w:rsidRPr="00955DB9">
        <w:rPr>
          <w:noProof/>
        </w:rPr>
        <w:t xml:space="preserve"> appointment, </w:t>
      </w:r>
      <w:r w:rsidR="001A462E">
        <w:rPr>
          <w:noProof/>
        </w:rPr>
        <w:t xml:space="preserve"> and</w:t>
      </w:r>
      <w:r w:rsidR="001A462E" w:rsidRPr="00955DB9">
        <w:rPr>
          <w:noProof/>
        </w:rPr>
        <w:t xml:space="preserve"> the extension and termination of </w:t>
      </w:r>
      <w:r w:rsidR="001A462E">
        <w:rPr>
          <w:noProof/>
        </w:rPr>
        <w:t>their</w:t>
      </w:r>
      <w:r w:rsidR="001A462E" w:rsidRPr="00955DB9">
        <w:rPr>
          <w:noProof/>
        </w:rPr>
        <w:t xml:space="preserve"> term of office. Any </w:t>
      </w:r>
      <w:r w:rsidR="001A462E">
        <w:rPr>
          <w:noProof/>
        </w:rPr>
        <w:t>person exercising an</w:t>
      </w:r>
      <w:r w:rsidR="001A462E" w:rsidRPr="00955DB9">
        <w:rPr>
          <w:noProof/>
        </w:rPr>
        <w:t xml:space="preserve"> executive function within ENISA should therefore be appointed by the Management Board. The Management Board should also be responsible for appointing or dismissing members of the Board of Appeal, as well as establishing rules to prevent or manage conflicts of interest in this respect. </w:t>
      </w:r>
    </w:p>
    <w:p w14:paraId="5794A52F" w14:textId="4150CE70" w:rsidR="001A462E" w:rsidRPr="00955DB9" w:rsidRDefault="006D01CD" w:rsidP="006D01CD">
      <w:pPr>
        <w:pStyle w:val="ManualConsidrant"/>
        <w:rPr>
          <w:noProof/>
        </w:rPr>
      </w:pPr>
      <w:r w:rsidRPr="006D01CD">
        <w:rPr>
          <w:noProof/>
        </w:rPr>
        <w:t>(59)</w:t>
      </w:r>
      <w:r w:rsidRPr="006D01CD">
        <w:rPr>
          <w:noProof/>
        </w:rPr>
        <w:tab/>
      </w:r>
      <w:r w:rsidR="001A462E" w:rsidRPr="00955DB9">
        <w:rPr>
          <w:noProof/>
        </w:rPr>
        <w:t>T</w:t>
      </w:r>
      <w:r w:rsidR="001A462E">
        <w:rPr>
          <w:noProof/>
        </w:rPr>
        <w:t>o help ensure that ENISA establishes its strategic priorities and maintains them up to date, t</w:t>
      </w:r>
      <w:r w:rsidR="001A462E" w:rsidRPr="00955DB9">
        <w:rPr>
          <w:noProof/>
        </w:rPr>
        <w:t xml:space="preserve">he Management Board should hold at least one meeting per year dedicated to </w:t>
      </w:r>
      <w:r w:rsidR="001A462E">
        <w:rPr>
          <w:noProof/>
        </w:rPr>
        <w:t xml:space="preserve">the </w:t>
      </w:r>
      <w:r w:rsidR="001A462E" w:rsidRPr="00955DB9">
        <w:rPr>
          <w:noProof/>
        </w:rPr>
        <w:t>strategic priorities of ENISA. T</w:t>
      </w:r>
      <w:r w:rsidR="001A462E">
        <w:rPr>
          <w:noProof/>
        </w:rPr>
        <w:t>o ensure that meetings of the Management Board are effective and well-informed, t</w:t>
      </w:r>
      <w:r w:rsidR="001A462E" w:rsidRPr="00955DB9">
        <w:rPr>
          <w:noProof/>
        </w:rPr>
        <w:t xml:space="preserve">he Management Board may invite to its meetings any person whose opinion could be pertinent and of interest to the topics discussed to provide insights, expertise or advice. Such a person would be an </w:t>
      </w:r>
      <w:r w:rsidR="001A462E" w:rsidRPr="00955DB9">
        <w:rPr>
          <w:i/>
          <w:noProof/>
        </w:rPr>
        <w:t>ad hoc</w:t>
      </w:r>
      <w:r w:rsidR="001A462E" w:rsidRPr="00955DB9">
        <w:rPr>
          <w:noProof/>
        </w:rPr>
        <w:t xml:space="preserve"> observer without voting rights.</w:t>
      </w:r>
    </w:p>
    <w:p w14:paraId="7C91D9E2" w14:textId="3FD74A79" w:rsidR="001A462E" w:rsidRPr="0087277F" w:rsidRDefault="006D01CD" w:rsidP="006D01CD">
      <w:pPr>
        <w:pStyle w:val="ManualConsidrant"/>
        <w:rPr>
          <w:noProof/>
        </w:rPr>
      </w:pPr>
      <w:r w:rsidRPr="006D01CD">
        <w:rPr>
          <w:noProof/>
        </w:rPr>
        <w:t>(60)</w:t>
      </w:r>
      <w:r w:rsidRPr="006D01CD">
        <w:rPr>
          <w:noProof/>
        </w:rPr>
        <w:tab/>
      </w:r>
      <w:r w:rsidR="001A462E">
        <w:rPr>
          <w:noProof/>
        </w:rPr>
        <w:t xml:space="preserve">The </w:t>
      </w:r>
      <w:r w:rsidR="001A462E" w:rsidRPr="0087277F">
        <w:rPr>
          <w:noProof/>
        </w:rPr>
        <w:t xml:space="preserve">Management Board should adopt decisions by an absolute majority of its members with voting rights, unless otherwise provided </w:t>
      </w:r>
      <w:r w:rsidR="001A462E">
        <w:rPr>
          <w:noProof/>
        </w:rPr>
        <w:t>for in</w:t>
      </w:r>
      <w:r w:rsidR="001A462E" w:rsidRPr="0087277F">
        <w:rPr>
          <w:noProof/>
        </w:rPr>
        <w:t xml:space="preserve"> this Regulation. Due to the importance of budgetary and human resources matters, in particular matters on the annual budget, annual activity report, the anti-fraud strategy, implementing rules giving effect to Staff Regulations, the appointment of the Executive Director, the Deputy Executive Director </w:t>
      </w:r>
      <w:r w:rsidR="001A462E">
        <w:rPr>
          <w:noProof/>
        </w:rPr>
        <w:t>and the</w:t>
      </w:r>
      <w:r w:rsidR="001A462E" w:rsidRPr="0087277F">
        <w:rPr>
          <w:noProof/>
        </w:rPr>
        <w:t xml:space="preserve"> accounting officer, follow-up to findings of the European Anti-Fraud Office (OLAF) and of the European Public Prosecutor’s Office (EPPO),</w:t>
      </w:r>
      <w:r w:rsidR="00D41296">
        <w:rPr>
          <w:noProof/>
        </w:rPr>
        <w:t xml:space="preserve"> and</w:t>
      </w:r>
      <w:r w:rsidR="001A462E" w:rsidRPr="0087277F">
        <w:rPr>
          <w:noProof/>
        </w:rPr>
        <w:t xml:space="preserve"> the adoption of the financial rules of ENISA, the Management Board should adopt such decisions only if the representative of the Commission casts a positive vote. </w:t>
      </w:r>
      <w:r w:rsidR="001A462E">
        <w:rPr>
          <w:noProof/>
        </w:rPr>
        <w:t>For the purposes of taking a decision on adopting a final single programming document after taking into account Commission’s opinion, a positive vote of the representative of the Commission should only be required on the elements of the decision not related to the annual and multiannual work programme of ENISA.</w:t>
      </w:r>
    </w:p>
    <w:p w14:paraId="02609CD4" w14:textId="4DA14B6C" w:rsidR="001A462E" w:rsidRPr="0087277F" w:rsidRDefault="006D01CD" w:rsidP="006D01CD">
      <w:pPr>
        <w:pStyle w:val="ManualConsidrant"/>
        <w:rPr>
          <w:noProof/>
        </w:rPr>
      </w:pPr>
      <w:r w:rsidRPr="006D01CD">
        <w:rPr>
          <w:noProof/>
        </w:rPr>
        <w:t>(61)</w:t>
      </w:r>
      <w:r w:rsidRPr="006D01CD">
        <w:rPr>
          <w:noProof/>
        </w:rPr>
        <w:tab/>
      </w:r>
      <w:r w:rsidR="001A462E" w:rsidRPr="0087277F">
        <w:rPr>
          <w:noProof/>
        </w:rPr>
        <w:t>The Executive Board should contribute to the effective functioning of the Management Board. As part of its preparatory work related to Management Board decisions, the Executive Board should examine relevant information in detail, explore available options and offer advice and solutions to prepare the decisions of the Management Board. It should al</w:t>
      </w:r>
      <w:r w:rsidR="001A462E">
        <w:rPr>
          <w:noProof/>
        </w:rPr>
        <w:t>so</w:t>
      </w:r>
      <w:r w:rsidR="001A462E" w:rsidRPr="0087277F">
        <w:rPr>
          <w:noProof/>
        </w:rPr>
        <w:t xml:space="preserve"> assist and advise the Executive Director in implement</w:t>
      </w:r>
      <w:r w:rsidR="001A462E">
        <w:rPr>
          <w:noProof/>
        </w:rPr>
        <w:t>ing</w:t>
      </w:r>
      <w:r w:rsidR="001A462E" w:rsidRPr="0087277F">
        <w:rPr>
          <w:noProof/>
        </w:rPr>
        <w:t xml:space="preserve"> Management Board decisions.</w:t>
      </w:r>
    </w:p>
    <w:p w14:paraId="4F6D2FE1" w14:textId="0F2D083A" w:rsidR="001A462E" w:rsidRPr="00EA1877" w:rsidRDefault="006D01CD" w:rsidP="006D01CD">
      <w:pPr>
        <w:pStyle w:val="ManualConsidrant"/>
        <w:rPr>
          <w:noProof/>
        </w:rPr>
      </w:pPr>
      <w:r w:rsidRPr="006D01CD">
        <w:rPr>
          <w:noProof/>
        </w:rPr>
        <w:t>(62)</w:t>
      </w:r>
      <w:r w:rsidRPr="006D01CD">
        <w:rPr>
          <w:noProof/>
        </w:rPr>
        <w:tab/>
      </w:r>
      <w:r w:rsidR="001A462E" w:rsidRPr="0087277F">
        <w:rPr>
          <w:noProof/>
        </w:rPr>
        <w:t xml:space="preserve">The smooth functioning of ENISA requires that its Executive Director be appointed on grounds of merit and documented administrative and managerial skills, as well as competence and experience relevant to cybersecurity. The duties of the Executive Director should be carried out with complete independence. The Management Board should appoint the Executive Director from the list of candidates prepared by the Commission, following an open and transparent procedure that </w:t>
      </w:r>
      <w:r w:rsidR="001A462E" w:rsidRPr="00EA1877">
        <w:rPr>
          <w:noProof/>
        </w:rPr>
        <w:t>respect</w:t>
      </w:r>
      <w:r w:rsidR="001A462E">
        <w:rPr>
          <w:noProof/>
        </w:rPr>
        <w:t>s</w:t>
      </w:r>
      <w:r w:rsidR="001A462E" w:rsidRPr="00EA1877">
        <w:rPr>
          <w:noProof/>
        </w:rPr>
        <w:t xml:space="preserve"> the principle of gender balance.</w:t>
      </w:r>
    </w:p>
    <w:p w14:paraId="2AD2B3CB" w14:textId="5E5F758A" w:rsidR="001A462E" w:rsidRPr="00EA1877" w:rsidRDefault="006D01CD" w:rsidP="006D01CD">
      <w:pPr>
        <w:pStyle w:val="ManualConsidrant"/>
        <w:rPr>
          <w:noProof/>
        </w:rPr>
      </w:pPr>
      <w:r w:rsidRPr="006D01CD">
        <w:rPr>
          <w:noProof/>
        </w:rPr>
        <w:t>(63)</w:t>
      </w:r>
      <w:r w:rsidRPr="006D01CD">
        <w:rPr>
          <w:noProof/>
        </w:rPr>
        <w:tab/>
      </w:r>
      <w:r w:rsidR="001A462E" w:rsidRPr="00EA1877">
        <w:rPr>
          <w:b/>
          <w:bCs/>
          <w:noProof/>
        </w:rPr>
        <w:t xml:space="preserve"> </w:t>
      </w:r>
      <w:r w:rsidR="001A462E" w:rsidRPr="00EA1877">
        <w:rPr>
          <w:noProof/>
        </w:rPr>
        <w:t xml:space="preserve">The Executive Director should prepare a proposal for ENISA’s </w:t>
      </w:r>
      <w:r w:rsidR="001A462E">
        <w:rPr>
          <w:noProof/>
        </w:rPr>
        <w:t>single programming document</w:t>
      </w:r>
      <w:r w:rsidR="001A462E" w:rsidRPr="00EA1877">
        <w:rPr>
          <w:noProof/>
        </w:rPr>
        <w:t xml:space="preserve">, after prior consultation with the Commission, and should take all steps necessary to ensure the proper implementation of that </w:t>
      </w:r>
      <w:r w:rsidR="001A462E">
        <w:rPr>
          <w:noProof/>
        </w:rPr>
        <w:t>single programming document</w:t>
      </w:r>
      <w:r w:rsidR="001A462E" w:rsidRPr="00EA1877">
        <w:rPr>
          <w:noProof/>
        </w:rPr>
        <w:t xml:space="preserve">. The Executive Director should prepare an annual report to be submitted to the Management Board, covering the implementation of ENISA’s annual work programme, draw up a draft statement of estimates of revenue and expenditure for ENISA, and implement the budget. Furthermore, the Executive Director should have the option of setting up </w:t>
      </w:r>
      <w:r w:rsidR="001A462E" w:rsidRPr="00BD0E95">
        <w:rPr>
          <w:i/>
          <w:iCs/>
          <w:noProof/>
        </w:rPr>
        <w:t>ad hoc</w:t>
      </w:r>
      <w:r w:rsidR="001A462E" w:rsidRPr="00EA1877">
        <w:rPr>
          <w:noProof/>
        </w:rPr>
        <w:t xml:space="preserve"> working groups to address specific matters, in particular matters of a scientific, technical, legal or socio</w:t>
      </w:r>
      <w:r w:rsidR="001A462E">
        <w:rPr>
          <w:noProof/>
        </w:rPr>
        <w:t>-</w:t>
      </w:r>
      <w:r w:rsidR="001A462E" w:rsidRPr="00EA1877">
        <w:rPr>
          <w:noProof/>
        </w:rPr>
        <w:t xml:space="preserve">economic nature. In particular, in relation to the preparation of a specific candidate European cybersecurity certification scheme (‘candidate scheme’), the setting up of an </w:t>
      </w:r>
      <w:r w:rsidR="001A462E" w:rsidRPr="00BD0E95">
        <w:rPr>
          <w:i/>
          <w:iCs/>
          <w:noProof/>
        </w:rPr>
        <w:t>ad hoc</w:t>
      </w:r>
      <w:r w:rsidR="001A462E" w:rsidRPr="00EA1877">
        <w:rPr>
          <w:noProof/>
        </w:rPr>
        <w:t xml:space="preserve"> working group is considered to be necessary. Setting up of an </w:t>
      </w:r>
      <w:r w:rsidR="001A462E" w:rsidRPr="00BD0E95">
        <w:rPr>
          <w:i/>
          <w:iCs/>
          <w:noProof/>
        </w:rPr>
        <w:t>ad hoc</w:t>
      </w:r>
      <w:r w:rsidR="001A462E" w:rsidRPr="00EA1877">
        <w:rPr>
          <w:noProof/>
        </w:rPr>
        <w:t xml:space="preserve"> working group might also be necessary for maintenance activities in relation to specific adopted European cybersecurity certification schemes. </w:t>
      </w:r>
      <w:r w:rsidR="001A462E" w:rsidRPr="00BD0E95">
        <w:rPr>
          <w:i/>
          <w:iCs/>
          <w:noProof/>
        </w:rPr>
        <w:t>Ad hoc</w:t>
      </w:r>
      <w:r w:rsidR="001A462E" w:rsidRPr="00EA1877">
        <w:rPr>
          <w:noProof/>
        </w:rPr>
        <w:t xml:space="preserve"> working groups should </w:t>
      </w:r>
      <w:r w:rsidR="001A462E">
        <w:rPr>
          <w:noProof/>
        </w:rPr>
        <w:t>also</w:t>
      </w:r>
      <w:r w:rsidR="001A462E" w:rsidRPr="00EA1877">
        <w:rPr>
          <w:noProof/>
        </w:rPr>
        <w:t xml:space="preserve"> be </w:t>
      </w:r>
      <w:r w:rsidR="001A462E">
        <w:rPr>
          <w:noProof/>
        </w:rPr>
        <w:t>set up</w:t>
      </w:r>
      <w:r w:rsidR="001A462E" w:rsidRPr="00EA1877">
        <w:rPr>
          <w:noProof/>
        </w:rPr>
        <w:t xml:space="preserve"> </w:t>
      </w:r>
      <w:r w:rsidR="001A462E">
        <w:rPr>
          <w:noProof/>
        </w:rPr>
        <w:t>to develop and maintain</w:t>
      </w:r>
      <w:r w:rsidR="001A462E" w:rsidRPr="00EA1877">
        <w:rPr>
          <w:noProof/>
        </w:rPr>
        <w:t xml:space="preserve"> European individual cybersecurity skills attestation schemes and assist the Agency in the governance, implementation and evolution of the ECSF. The Executive Director should ensure that the members of </w:t>
      </w:r>
      <w:r w:rsidR="001A462E" w:rsidRPr="00BD0E95">
        <w:rPr>
          <w:i/>
          <w:iCs/>
          <w:noProof/>
        </w:rPr>
        <w:t>ad hoc</w:t>
      </w:r>
      <w:r w:rsidR="001A462E" w:rsidRPr="00EA1877">
        <w:rPr>
          <w:noProof/>
        </w:rPr>
        <w:t xml:space="preserve"> working groups are selected according to the highest standards of expertise, aiming to ensure gender balance and an appropriate balance, according to the specific issues in question, between the public administrations of the Member States, the Union entities and the private sector, including industry, users, and academic experts in network and information security, as well as academic experts in products with digital elements.</w:t>
      </w:r>
    </w:p>
    <w:p w14:paraId="7048302F" w14:textId="3903B5BA" w:rsidR="001A462E" w:rsidRPr="00EA1877" w:rsidRDefault="006D01CD" w:rsidP="006D01CD">
      <w:pPr>
        <w:pStyle w:val="ManualConsidrant"/>
        <w:rPr>
          <w:noProof/>
        </w:rPr>
      </w:pPr>
      <w:r w:rsidRPr="006D01CD">
        <w:rPr>
          <w:noProof/>
        </w:rPr>
        <w:t>(64)</w:t>
      </w:r>
      <w:r w:rsidRPr="006D01CD">
        <w:rPr>
          <w:noProof/>
        </w:rPr>
        <w:tab/>
      </w:r>
      <w:r w:rsidR="001A462E" w:rsidRPr="00EA1877">
        <w:rPr>
          <w:noProof/>
        </w:rPr>
        <w:t xml:space="preserve">The Management Board may decide to create a function of a Deputy Executive Director to assist the Executive Director, where the Management Board considers that such </w:t>
      </w:r>
      <w:r w:rsidR="001A462E">
        <w:rPr>
          <w:noProof/>
        </w:rPr>
        <w:t xml:space="preserve">a </w:t>
      </w:r>
      <w:r w:rsidR="001A462E" w:rsidRPr="00EA1877">
        <w:rPr>
          <w:noProof/>
        </w:rPr>
        <w:t>function is necessary to ensure or maintain the smooth functioning of ENISA. When deciding on whether to create th</w:t>
      </w:r>
      <w:r w:rsidR="001A462E">
        <w:rPr>
          <w:noProof/>
        </w:rPr>
        <w:t>at</w:t>
      </w:r>
      <w:r w:rsidR="001A462E" w:rsidRPr="00EA1877">
        <w:rPr>
          <w:noProof/>
        </w:rPr>
        <w:t xml:space="preserve"> function, the Management Board </w:t>
      </w:r>
      <w:r w:rsidR="001A462E">
        <w:rPr>
          <w:noProof/>
        </w:rPr>
        <w:t>may</w:t>
      </w:r>
      <w:r w:rsidR="001A462E" w:rsidRPr="00EA1877">
        <w:rPr>
          <w:noProof/>
        </w:rPr>
        <w:t xml:space="preserve"> take into account the opinion of the Executive Director</w:t>
      </w:r>
      <w:r w:rsidR="001A462E">
        <w:rPr>
          <w:noProof/>
        </w:rPr>
        <w:t>.</w:t>
      </w:r>
    </w:p>
    <w:p w14:paraId="1C6D792E" w14:textId="2FCBD052" w:rsidR="001A462E" w:rsidRPr="00EA1877" w:rsidRDefault="006D01CD" w:rsidP="006D01CD">
      <w:pPr>
        <w:pStyle w:val="ManualConsidrant"/>
        <w:rPr>
          <w:noProof/>
        </w:rPr>
      </w:pPr>
      <w:r w:rsidRPr="006D01CD">
        <w:rPr>
          <w:noProof/>
        </w:rPr>
        <w:t>(65)</w:t>
      </w:r>
      <w:r w:rsidRPr="006D01CD">
        <w:rPr>
          <w:noProof/>
        </w:rPr>
        <w:tab/>
      </w:r>
      <w:r w:rsidR="001A462E" w:rsidRPr="00EA1877">
        <w:rPr>
          <w:noProof/>
        </w:rPr>
        <w:t>ENISA should have an Advisory Group to ensure regular dialogue with the private sector, consumers’ organisations and other relevant stakeholders. The ENISA Advisory Group, established by the Management Board on a proposal from the Executive Director, should focus on issues relevant to stakeholders and should bring them to the attention of ENISA. The ENISA Advisory Group should be consulted in particular with regard to ENISA’s draft annual work programme. The composition of the ENISA Advisory Group and the tasks assigned to it should ensure sufficient representation of stakeholders in the work of ENISA.</w:t>
      </w:r>
      <w:r w:rsidR="00C87A3C">
        <w:rPr>
          <w:noProof/>
        </w:rPr>
        <w:t xml:space="preserve"> </w:t>
      </w:r>
      <w:r w:rsidR="00C87A3C" w:rsidRPr="00EA1877">
        <w:rPr>
          <w:noProof/>
        </w:rPr>
        <w:t>Representatives of national and Union law enforcement, data protection and market surveillance authorities should be eligible to be represented in the ENISA Advisory Group.</w:t>
      </w:r>
    </w:p>
    <w:p w14:paraId="2ECEA82A" w14:textId="517DB65E" w:rsidR="001A462E" w:rsidRPr="00301177" w:rsidRDefault="006D01CD" w:rsidP="006D01CD">
      <w:pPr>
        <w:pStyle w:val="ManualConsidrant"/>
        <w:rPr>
          <w:b/>
          <w:bCs/>
          <w:noProof/>
        </w:rPr>
      </w:pPr>
      <w:r w:rsidRPr="006D01CD">
        <w:rPr>
          <w:noProof/>
        </w:rPr>
        <w:t>(66)</w:t>
      </w:r>
      <w:r w:rsidRPr="006D01CD">
        <w:rPr>
          <w:noProof/>
        </w:rPr>
        <w:tab/>
      </w:r>
      <w:r w:rsidR="001A462E" w:rsidRPr="00301177">
        <w:rPr>
          <w:noProof/>
          <w:lang w:eastAsia="en-IE"/>
        </w:rPr>
        <w:t xml:space="preserve">Applicants to </w:t>
      </w:r>
      <w:r w:rsidR="001A462E">
        <w:rPr>
          <w:noProof/>
          <w:lang w:eastAsia="en-IE"/>
        </w:rPr>
        <w:t>become authorised attestation providers or to renew their authorisation</w:t>
      </w:r>
      <w:r w:rsidR="001A462E" w:rsidRPr="00301177">
        <w:rPr>
          <w:noProof/>
          <w:lang w:eastAsia="en-IE"/>
        </w:rPr>
        <w:t xml:space="preserve"> should have access to the necessary remedies where they are affected by decisions </w:t>
      </w:r>
      <w:r w:rsidR="001A462E">
        <w:rPr>
          <w:noProof/>
          <w:lang w:eastAsia="en-IE"/>
        </w:rPr>
        <w:t>taken by ENISA</w:t>
      </w:r>
      <w:r w:rsidR="001A462E" w:rsidRPr="00301177">
        <w:rPr>
          <w:noProof/>
          <w:lang w:eastAsia="en-IE"/>
        </w:rPr>
        <w:t xml:space="preserve">. Therefore, an appropriate appeal mechanism should be set </w:t>
      </w:r>
      <w:r w:rsidR="001A462E" w:rsidRPr="00301177">
        <w:rPr>
          <w:noProof/>
        </w:rPr>
        <w:t>up</w:t>
      </w:r>
      <w:r w:rsidR="001A462E" w:rsidRPr="00301177">
        <w:rPr>
          <w:noProof/>
          <w:lang w:eastAsia="en-IE"/>
        </w:rPr>
        <w:t xml:space="preserve"> so that </w:t>
      </w:r>
      <w:r w:rsidR="001A462E">
        <w:rPr>
          <w:noProof/>
          <w:lang w:eastAsia="en-IE"/>
        </w:rPr>
        <w:t xml:space="preserve">related </w:t>
      </w:r>
      <w:r w:rsidR="001A462E" w:rsidRPr="00301177">
        <w:rPr>
          <w:noProof/>
          <w:lang w:eastAsia="en-IE"/>
        </w:rPr>
        <w:t xml:space="preserve">decisions of </w:t>
      </w:r>
      <w:r w:rsidR="001A462E">
        <w:rPr>
          <w:noProof/>
          <w:lang w:eastAsia="en-IE"/>
        </w:rPr>
        <w:t>ENISA</w:t>
      </w:r>
      <w:r w:rsidR="001A462E" w:rsidRPr="00301177">
        <w:rPr>
          <w:noProof/>
          <w:lang w:eastAsia="en-IE"/>
        </w:rPr>
        <w:t xml:space="preserve"> can be </w:t>
      </w:r>
      <w:r w:rsidR="001A462E">
        <w:rPr>
          <w:noProof/>
          <w:lang w:eastAsia="en-IE"/>
        </w:rPr>
        <w:t>challenged before</w:t>
      </w:r>
      <w:r w:rsidR="001A462E" w:rsidRPr="00301177">
        <w:rPr>
          <w:noProof/>
          <w:lang w:eastAsia="en-IE"/>
        </w:rPr>
        <w:t xml:space="preserve"> a Board of Appeal, the decisions of which can be subject to </w:t>
      </w:r>
      <w:r w:rsidR="001A462E">
        <w:rPr>
          <w:noProof/>
          <w:lang w:eastAsia="en-IE"/>
        </w:rPr>
        <w:t>judicial review by</w:t>
      </w:r>
      <w:r w:rsidR="001A462E" w:rsidRPr="00301177">
        <w:rPr>
          <w:noProof/>
          <w:lang w:eastAsia="en-IE"/>
        </w:rPr>
        <w:t xml:space="preserve"> the Court of Justice of the European Union in accordance with the </w:t>
      </w:r>
      <w:r w:rsidR="001A462E">
        <w:rPr>
          <w:noProof/>
          <w:lang w:eastAsia="en-IE"/>
        </w:rPr>
        <w:t>Treaties</w:t>
      </w:r>
      <w:r w:rsidR="001A462E" w:rsidRPr="00301177">
        <w:rPr>
          <w:noProof/>
          <w:lang w:eastAsia="en-IE"/>
        </w:rPr>
        <w:t>.</w:t>
      </w:r>
      <w:r w:rsidR="2FC31C8E" w:rsidRPr="4165CDC9">
        <w:rPr>
          <w:noProof/>
          <w:lang w:eastAsia="en-IE"/>
        </w:rPr>
        <w:t xml:space="preserve"> The requirement to exhaust the appeal procedure within ENISA before bringing an action before the Court of Justice of the European Union is only applicable to the persons</w:t>
      </w:r>
      <w:r w:rsidR="49FEA439" w:rsidRPr="4165CDC9">
        <w:rPr>
          <w:noProof/>
          <w:lang w:eastAsia="en-IE"/>
        </w:rPr>
        <w:t xml:space="preserve"> that have standing before the Board of Appeals.</w:t>
      </w:r>
    </w:p>
    <w:p w14:paraId="49160D8D" w14:textId="30ABFFB6" w:rsidR="001A462E" w:rsidRDefault="006D01CD" w:rsidP="006D01CD">
      <w:pPr>
        <w:pStyle w:val="ManualConsidrant"/>
        <w:rPr>
          <w:noProof/>
        </w:rPr>
      </w:pPr>
      <w:r w:rsidRPr="006D01CD">
        <w:rPr>
          <w:noProof/>
        </w:rPr>
        <w:t>(67)</w:t>
      </w:r>
      <w:r w:rsidRPr="006D01CD">
        <w:rPr>
          <w:noProof/>
        </w:rPr>
        <w:tab/>
      </w:r>
      <w:r w:rsidR="001A462E" w:rsidRPr="00301177">
        <w:rPr>
          <w:noProof/>
        </w:rPr>
        <w:t xml:space="preserve">In order to guarantee the full autonomy and independence of ENISA and to enable it to perform </w:t>
      </w:r>
      <w:r w:rsidR="001A462E">
        <w:rPr>
          <w:noProof/>
        </w:rPr>
        <w:t>its</w:t>
      </w:r>
      <w:r w:rsidR="001A462E" w:rsidRPr="00301177">
        <w:rPr>
          <w:noProof/>
        </w:rPr>
        <w:t xml:space="preserve"> tasks, ENISA should be granted a sufficient and autonomous budget primarily funded from a contribution from the Union, </w:t>
      </w:r>
      <w:r w:rsidR="001A462E">
        <w:rPr>
          <w:noProof/>
        </w:rPr>
        <w:t>but also from</w:t>
      </w:r>
      <w:r w:rsidR="001A462E" w:rsidRPr="00301177">
        <w:rPr>
          <w:noProof/>
        </w:rPr>
        <w:t xml:space="preserve"> contributions from third countries participating in ENISA’s work, and from fees paid by authorised attestation providers and by </w:t>
      </w:r>
      <w:r w:rsidR="001A462E" w:rsidRPr="00301177">
        <w:rPr>
          <w:noProof/>
          <w:lang w:eastAsia="en-IE"/>
        </w:rPr>
        <w:t xml:space="preserve">conformity assessment </w:t>
      </w:r>
      <w:r w:rsidR="001A462E" w:rsidRPr="00301177">
        <w:rPr>
          <w:noProof/>
        </w:rPr>
        <w:t xml:space="preserve">bodies </w:t>
      </w:r>
      <w:r w:rsidR="001A462E">
        <w:rPr>
          <w:noProof/>
        </w:rPr>
        <w:t xml:space="preserve"> participating in schemes and </w:t>
      </w:r>
      <w:r w:rsidR="001A462E" w:rsidRPr="00301177">
        <w:rPr>
          <w:noProof/>
        </w:rPr>
        <w:t xml:space="preserve">issuing </w:t>
      </w:r>
      <w:r w:rsidR="001A462E" w:rsidRPr="00301177">
        <w:rPr>
          <w:noProof/>
          <w:lang w:eastAsia="en-IE"/>
        </w:rPr>
        <w:t>European cybersecurity certificates and EU statements of conformity</w:t>
      </w:r>
      <w:r w:rsidR="001A462E" w:rsidRPr="00301177">
        <w:rPr>
          <w:noProof/>
        </w:rPr>
        <w:t xml:space="preserve">. </w:t>
      </w:r>
      <w:r w:rsidR="001A462E" w:rsidRPr="00301177">
        <w:rPr>
          <w:rFonts w:eastAsia="Times New Roman"/>
          <w:noProof/>
        </w:rPr>
        <w:t xml:space="preserve">The host Member State, and any other Member State, </w:t>
      </w:r>
      <w:r w:rsidR="001A462E" w:rsidRPr="00301177">
        <w:rPr>
          <w:noProof/>
        </w:rPr>
        <w:t>should</w:t>
      </w:r>
      <w:r w:rsidR="001A462E" w:rsidRPr="00301177">
        <w:rPr>
          <w:rFonts w:eastAsia="Times New Roman"/>
          <w:noProof/>
        </w:rPr>
        <w:t xml:space="preserve"> be allowed to make voluntary contributions to ENISA’s budget. </w:t>
      </w:r>
      <w:r w:rsidR="001A462E" w:rsidRPr="00301177">
        <w:rPr>
          <w:noProof/>
        </w:rPr>
        <w:t>No contribution, whether financial or in kind, received by ENISA from Member States, third countries, or other entities or persons should compromise its independence and impartiality.</w:t>
      </w:r>
      <w:r w:rsidR="001A462E" w:rsidRPr="00301177">
        <w:rPr>
          <w:rFonts w:eastAsia="Times New Roman"/>
          <w:noProof/>
        </w:rPr>
        <w:t xml:space="preserve"> </w:t>
      </w:r>
      <w:r w:rsidR="001A462E" w:rsidRPr="00301177">
        <w:rPr>
          <w:noProof/>
        </w:rPr>
        <w:t xml:space="preserve">The Union budgetary procedure should be applicable as far as the Union contribution and any other subsidies chargeable to the general budget of the Union are concerned. </w:t>
      </w:r>
      <w:r w:rsidR="001A462E" w:rsidRPr="00301177">
        <w:rPr>
          <w:rFonts w:eastAsia="Times New Roman"/>
          <w:noProof/>
        </w:rPr>
        <w:t>The Court of Auditors should audit ENISA’s accounts to ensure transparency and accountability.</w:t>
      </w:r>
      <w:r w:rsidR="001A462E" w:rsidRPr="00301177">
        <w:rPr>
          <w:noProof/>
        </w:rPr>
        <w:t xml:space="preserve"> In order to enable the Agency to participate</w:t>
      </w:r>
      <w:r w:rsidR="001A462E">
        <w:rPr>
          <w:noProof/>
        </w:rPr>
        <w:t xml:space="preserve"> in all relevant future projects, it should be given the possibility to receive grants.</w:t>
      </w:r>
    </w:p>
    <w:p w14:paraId="6E12C033" w14:textId="6D2B4968" w:rsidR="001A462E" w:rsidRPr="00301177" w:rsidRDefault="006D01CD" w:rsidP="006D01CD">
      <w:pPr>
        <w:pStyle w:val="ManualConsidrant"/>
        <w:rPr>
          <w:b/>
          <w:bCs/>
          <w:noProof/>
        </w:rPr>
      </w:pPr>
      <w:r w:rsidRPr="006D01CD">
        <w:rPr>
          <w:noProof/>
        </w:rPr>
        <w:t>(68)</w:t>
      </w:r>
      <w:r w:rsidRPr="006D01CD">
        <w:rPr>
          <w:noProof/>
        </w:rPr>
        <w:tab/>
      </w:r>
      <w:r w:rsidR="001A462E" w:rsidRPr="008913D1">
        <w:rPr>
          <w:noProof/>
        </w:rPr>
        <w:t xml:space="preserve">To ensure ENISA’s capacity to respond to demand for the activities it carries out, in particular as regards decisions to authorise providers to deliver European individual cybersecurity skills attestations, and as regards the maintenance of the European cybersecurity certification schemes and of testing tools, ENISA should be given the power to levy fees. Fees associated with processing of applications to become an authorised attestation provider should be appropriately determined to sufficiently contribute </w:t>
      </w:r>
      <w:r w:rsidR="007A4845" w:rsidRPr="008913D1">
        <w:rPr>
          <w:noProof/>
        </w:rPr>
        <w:t xml:space="preserve">to </w:t>
      </w:r>
      <w:r w:rsidR="001A462E" w:rsidRPr="008913D1">
        <w:rPr>
          <w:noProof/>
        </w:rPr>
        <w:t xml:space="preserve">covering the estimated costs of developing and maintaining the European individual cybersecurity skills attestation schemes and evaluating whether requirements and obligations to become and remain an authorised attestation provider are and continue to be met. Fees associated to the costs of issuing and renewing authorisations to authorised attestation providers should include costs associated to evaluations performed by or under the supervision of ENISA. Fees associated with the participation in European cybersecurity certifications schemes and for the issuance of certificates under such schemes should be appropriately determined to sufficiently contribute </w:t>
      </w:r>
      <w:r w:rsidR="00D41296" w:rsidRPr="008913D1">
        <w:rPr>
          <w:noProof/>
        </w:rPr>
        <w:t xml:space="preserve">to </w:t>
      </w:r>
      <w:r w:rsidR="001A462E" w:rsidRPr="008913D1">
        <w:rPr>
          <w:noProof/>
        </w:rPr>
        <w:t>covering the estimated costs of maintaining such schemes. The payment of such fees should enable notified conformity assessment bodies and, where applicable, certificate holders under a scheme to take part in such activities as well as relevant capacity building and promotional activities to promote the exchange of best practices and foster the uptake of schemes and certified solutions.</w:t>
      </w:r>
      <w:r w:rsidR="001A462E">
        <w:rPr>
          <w:noProof/>
        </w:rPr>
        <w:t xml:space="preserve"> </w:t>
      </w:r>
    </w:p>
    <w:p w14:paraId="60644688" w14:textId="75A8F0D0" w:rsidR="001A462E" w:rsidRDefault="006D01CD" w:rsidP="006D01CD">
      <w:pPr>
        <w:pStyle w:val="ManualConsidrant"/>
        <w:rPr>
          <w:noProof/>
          <w:lang w:eastAsia="en-IE"/>
        </w:rPr>
      </w:pPr>
      <w:r w:rsidRPr="006D01CD">
        <w:rPr>
          <w:noProof/>
        </w:rPr>
        <w:t>(69)</w:t>
      </w:r>
      <w:r w:rsidRPr="006D01CD">
        <w:rPr>
          <w:noProof/>
        </w:rPr>
        <w:tab/>
      </w:r>
      <w:r w:rsidR="001A462E">
        <w:rPr>
          <w:noProof/>
        </w:rPr>
        <w:t xml:space="preserve">To ensure proportionality, transparency and legal certainty, fees should be set in a transparent and fair manner. </w:t>
      </w:r>
      <w:r w:rsidR="001A462E" w:rsidRPr="000A1956">
        <w:rPr>
          <w:noProof/>
        </w:rPr>
        <w:t xml:space="preserve">All expenditure of </w:t>
      </w:r>
      <w:r w:rsidR="001A462E">
        <w:rPr>
          <w:noProof/>
        </w:rPr>
        <w:t xml:space="preserve">ENISA </w:t>
      </w:r>
      <w:r w:rsidR="001A462E" w:rsidRPr="000A1956">
        <w:rPr>
          <w:noProof/>
        </w:rPr>
        <w:t xml:space="preserve">attributed to staff involved in activities </w:t>
      </w:r>
      <w:r w:rsidR="001A462E">
        <w:rPr>
          <w:noProof/>
        </w:rPr>
        <w:t>subject to fees</w:t>
      </w:r>
      <w:r w:rsidR="001A462E" w:rsidRPr="000A1956">
        <w:rPr>
          <w:noProof/>
        </w:rPr>
        <w:t>, in particular the employer's pro-rata contribution to the pension scheme,</w:t>
      </w:r>
      <w:r w:rsidR="001A462E">
        <w:rPr>
          <w:noProof/>
        </w:rPr>
        <w:t xml:space="preserve"> and costs related to the Board of Appeal,</w:t>
      </w:r>
      <w:r w:rsidR="001A462E" w:rsidRPr="000A1956">
        <w:rPr>
          <w:noProof/>
        </w:rPr>
        <w:t xml:space="preserve"> sh</w:t>
      </w:r>
      <w:r w:rsidR="001A462E">
        <w:rPr>
          <w:noProof/>
        </w:rPr>
        <w:t>ould</w:t>
      </w:r>
      <w:r w:rsidR="001A462E" w:rsidRPr="000A1956">
        <w:rPr>
          <w:noProof/>
        </w:rPr>
        <w:t xml:space="preserve"> be reflected in that cost.</w:t>
      </w:r>
      <w:r w:rsidR="001A462E">
        <w:rPr>
          <w:noProof/>
        </w:rPr>
        <w:t xml:space="preserve"> Fees must not lead to the imposition of unnecessary financial or administrative burdens on applicants. Reasonable deadlines should be set for the payment of fees.</w:t>
      </w:r>
      <w:r w:rsidR="001A462E" w:rsidRPr="008D658B">
        <w:rPr>
          <w:noProof/>
        </w:rPr>
        <w:t xml:space="preserve"> </w:t>
      </w:r>
    </w:p>
    <w:p w14:paraId="01F2BFBA" w14:textId="08A9D04E" w:rsidR="001A462E" w:rsidRDefault="006D01CD" w:rsidP="006D01CD">
      <w:pPr>
        <w:pStyle w:val="ManualConsidrant"/>
        <w:rPr>
          <w:noProof/>
        </w:rPr>
      </w:pPr>
      <w:r w:rsidRPr="006D01CD">
        <w:rPr>
          <w:noProof/>
        </w:rPr>
        <w:t>(70)</w:t>
      </w:r>
      <w:r w:rsidRPr="006D01CD">
        <w:rPr>
          <w:noProof/>
        </w:rPr>
        <w:tab/>
      </w:r>
      <w:r w:rsidR="001A462E">
        <w:rPr>
          <w:noProof/>
        </w:rPr>
        <w:t>It is necessary to put in place a set of indicators to measure the Agency’s workload, effectiveness and efficiency in relation to activities financed through fees. Having regard to these indicators, the Agency should adapt its staff planning and management of resources related to fees to be able to adequately respond to such demand and to any fluctuations in revenue from fees.</w:t>
      </w:r>
    </w:p>
    <w:p w14:paraId="58B200C2" w14:textId="41FFAD58" w:rsidR="001A462E" w:rsidRPr="00301177" w:rsidRDefault="006D01CD" w:rsidP="006D01CD">
      <w:pPr>
        <w:pStyle w:val="ManualConsidrant"/>
        <w:rPr>
          <w:noProof/>
        </w:rPr>
      </w:pPr>
      <w:r w:rsidRPr="006D01CD">
        <w:rPr>
          <w:noProof/>
        </w:rPr>
        <w:t>(71)</w:t>
      </w:r>
      <w:r w:rsidRPr="006D01CD">
        <w:rPr>
          <w:noProof/>
        </w:rPr>
        <w:tab/>
      </w:r>
      <w:r w:rsidR="001A462E">
        <w:rPr>
          <w:noProof/>
        </w:rPr>
        <w:t xml:space="preserve">To identify and correctly manage the risk of actual or perceived conflict of interests, </w:t>
      </w:r>
      <w:r w:rsidR="001A462E" w:rsidRPr="00301177">
        <w:rPr>
          <w:noProof/>
        </w:rPr>
        <w:t xml:space="preserve">ENISA should have rules in place regarding the prevention and the management of conflicts of interest. ENISA should also apply the </w:t>
      </w:r>
      <w:r w:rsidR="001A462E">
        <w:rPr>
          <w:noProof/>
        </w:rPr>
        <w:t>rules on</w:t>
      </w:r>
      <w:r w:rsidR="001A462E" w:rsidRPr="00301177">
        <w:rPr>
          <w:noProof/>
        </w:rPr>
        <w:t xml:space="preserve"> access to documents set out in Regulation (EC) No 1049/2001 of the European Parliament and of the Council</w:t>
      </w:r>
      <w:r w:rsidR="001A462E">
        <w:rPr>
          <w:rStyle w:val="FootnoteReference"/>
          <w:noProof/>
        </w:rPr>
        <w:footnoteReference w:id="55"/>
      </w:r>
      <w:r w:rsidR="001A462E" w:rsidRPr="00301177">
        <w:rPr>
          <w:noProof/>
        </w:rPr>
        <w:t>. The processing of personal data by ENISA should be subject to Regulation (EU) 2018/1725 of the European Parliament and of the Council</w:t>
      </w:r>
      <w:r w:rsidR="001A462E">
        <w:rPr>
          <w:rStyle w:val="FootnoteReference"/>
          <w:noProof/>
        </w:rPr>
        <w:footnoteReference w:id="56"/>
      </w:r>
      <w:r w:rsidR="001A462E" w:rsidRPr="00301177">
        <w:rPr>
          <w:noProof/>
        </w:rPr>
        <w:t>. ENISA should comply with the provisions applicable to the Union entities, and with national legislation regarding the handling of information, in particular sensitive non-classified information and European Union classified information (EUCI).</w:t>
      </w:r>
    </w:p>
    <w:p w14:paraId="3FD4098A" w14:textId="29BFE6A2" w:rsidR="001A462E" w:rsidRDefault="006D01CD" w:rsidP="006D01CD">
      <w:pPr>
        <w:pStyle w:val="ManualConsidrant"/>
        <w:rPr>
          <w:noProof/>
        </w:rPr>
      </w:pPr>
      <w:r w:rsidRPr="006D01CD">
        <w:rPr>
          <w:noProof/>
        </w:rPr>
        <w:t>(72)</w:t>
      </w:r>
      <w:r w:rsidRPr="006D01CD">
        <w:rPr>
          <w:noProof/>
        </w:rPr>
        <w:tab/>
      </w:r>
      <w:r w:rsidR="001A462E" w:rsidRPr="00301177">
        <w:rPr>
          <w:noProof/>
        </w:rPr>
        <w:t>When performing its tasks, ENISA may have access to sensitive information, such as information regarding cyber threats and incidents. Therefore, it is essential for ENISA to preserve the confidentiality of information it handles. In particular, in line with Article 339 of the Treaty on the Functioning of the European Union</w:t>
      </w:r>
      <w:r w:rsidR="001A462E">
        <w:rPr>
          <w:noProof/>
        </w:rPr>
        <w:t xml:space="preserve"> (TFEU)</w:t>
      </w:r>
      <w:r w:rsidR="001A462E" w:rsidRPr="00301177">
        <w:rPr>
          <w:noProof/>
        </w:rPr>
        <w:t>, officials and other servants of ENISA should not disclose any information of the kind covered by the obligation of professional secrecy, in particular information about undertakings</w:t>
      </w:r>
      <w:r w:rsidR="001A462E">
        <w:rPr>
          <w:noProof/>
        </w:rPr>
        <w:t>, their business relations or their cost components, even after their duties have ceased.</w:t>
      </w:r>
    </w:p>
    <w:p w14:paraId="447ED5AA" w14:textId="32BA223A" w:rsidR="001A462E" w:rsidRDefault="006D01CD" w:rsidP="006D01CD">
      <w:pPr>
        <w:pStyle w:val="ManualConsidrant"/>
        <w:rPr>
          <w:noProof/>
        </w:rPr>
      </w:pPr>
      <w:r w:rsidRPr="006D01CD">
        <w:rPr>
          <w:noProof/>
        </w:rPr>
        <w:t>(73)</w:t>
      </w:r>
      <w:r w:rsidRPr="006D01CD">
        <w:rPr>
          <w:noProof/>
        </w:rPr>
        <w:tab/>
      </w:r>
      <w:r w:rsidR="001A462E" w:rsidRPr="00884F77">
        <w:rPr>
          <w:noProof/>
        </w:rPr>
        <w:t xml:space="preserve">To ensure that it fully achieves its objectives, ENISA should liaise with the relevant Union supervisory authorities and with other competent authorities in the Union, </w:t>
      </w:r>
      <w:r w:rsidR="001A462E">
        <w:rPr>
          <w:noProof/>
        </w:rPr>
        <w:t xml:space="preserve">relevant </w:t>
      </w:r>
      <w:r w:rsidR="001A462E" w:rsidRPr="00884F77">
        <w:rPr>
          <w:noProof/>
        </w:rPr>
        <w:t xml:space="preserve">Union entities, including CERT-EU, EC3 at Europol, the </w:t>
      </w:r>
      <w:r w:rsidR="001A462E">
        <w:rPr>
          <w:noProof/>
        </w:rPr>
        <w:t>ECCC</w:t>
      </w:r>
      <w:r w:rsidR="001A462E" w:rsidRPr="00884F77">
        <w:rPr>
          <w:noProof/>
        </w:rPr>
        <w:t>, the European Defence Agency (EDA), the European Union Agency for the Space Programme (EUSPA), the Body of European Regulators for Electronic Communications (BEREC), the European Agency for the Operational Management of Large-Scale IT Systems in the Area of Freedom, Security and Justice (eu-LISA), the European Central Bank (ECB), the European Banking Authority (EBA), the European Data Protection Board, the Agency for the Cooperation of Energy Regulators (ACER), the European Union Aviation Safety Agency (EASA)</w:t>
      </w:r>
      <w:r w:rsidR="001A462E">
        <w:rPr>
          <w:noProof/>
        </w:rPr>
        <w:t xml:space="preserve">, </w:t>
      </w:r>
      <w:r w:rsidR="001A462E" w:rsidRPr="00884F77">
        <w:rPr>
          <w:noProof/>
        </w:rPr>
        <w:t xml:space="preserve"> and any other Union </w:t>
      </w:r>
      <w:r w:rsidR="001A462E">
        <w:rPr>
          <w:noProof/>
        </w:rPr>
        <w:t xml:space="preserve">entity </w:t>
      </w:r>
      <w:r w:rsidR="001A462E" w:rsidRPr="00884F77">
        <w:rPr>
          <w:noProof/>
        </w:rPr>
        <w:t>involved in cybersecurity. ENISA should also liaise with competent authorities under Directive (EU) 2022/2555, market surveillance authorities and authorities that deal with data protection in order to exchange know-how and best practices and should provide advice on cybersecurity issues that might have an impact on their work</w:t>
      </w:r>
      <w:r w:rsidR="001A462E">
        <w:rPr>
          <w:noProof/>
        </w:rPr>
        <w:t>.</w:t>
      </w:r>
    </w:p>
    <w:p w14:paraId="50D7AF20" w14:textId="19F6F8F9" w:rsidR="001A462E" w:rsidRDefault="006D01CD" w:rsidP="006D01CD">
      <w:pPr>
        <w:pStyle w:val="ManualConsidrant"/>
        <w:rPr>
          <w:noProof/>
        </w:rPr>
      </w:pPr>
      <w:r w:rsidRPr="006D01CD">
        <w:rPr>
          <w:noProof/>
        </w:rPr>
        <w:t>(74)</w:t>
      </w:r>
      <w:r w:rsidRPr="006D01CD">
        <w:rPr>
          <w:noProof/>
        </w:rPr>
        <w:tab/>
      </w:r>
      <w:r w:rsidR="001A462E">
        <w:rPr>
          <w:noProof/>
        </w:rPr>
        <w:t>Europol has</w:t>
      </w:r>
      <w:r w:rsidR="001A462E" w:rsidRPr="00884F77">
        <w:rPr>
          <w:b/>
          <w:bCs/>
          <w:noProof/>
        </w:rPr>
        <w:t xml:space="preserve"> </w:t>
      </w:r>
      <w:r w:rsidR="001A462E">
        <w:rPr>
          <w:noProof/>
        </w:rPr>
        <w:t>an important role in preventing and combating cybercrime, including cybercrime related to network and information security incidents.</w:t>
      </w:r>
      <w:r w:rsidR="001A462E" w:rsidRPr="00884F77">
        <w:rPr>
          <w:b/>
          <w:bCs/>
          <w:noProof/>
        </w:rPr>
        <w:t xml:space="preserve"> </w:t>
      </w:r>
      <w:r w:rsidR="001A462E">
        <w:rPr>
          <w:noProof/>
        </w:rPr>
        <w:t>To create synergies between the respective tasks of each Agency,</w:t>
      </w:r>
      <w:r w:rsidR="001A462E" w:rsidRPr="00884F77">
        <w:rPr>
          <w:b/>
          <w:bCs/>
          <w:noProof/>
        </w:rPr>
        <w:t xml:space="preserve"> </w:t>
      </w:r>
      <w:r w:rsidR="001A462E">
        <w:rPr>
          <w:noProof/>
        </w:rPr>
        <w:t>ENISA should cooperate with Europol, in particular by sharing information regarding trends in techniques, demands and impacts of ransomware attacks. Such cooperation may also consist in identifying the most common ransomware strains targeting entities listed in Annexes I and II to Directive (EU) 2022/2555 to support essential and important entities i</w:t>
      </w:r>
      <w:r w:rsidR="001A462E" w:rsidRPr="00A5796A">
        <w:rPr>
          <w:noProof/>
        </w:rPr>
        <w:t>n incident response and recovery</w:t>
      </w:r>
      <w:r w:rsidR="001A462E">
        <w:rPr>
          <w:noProof/>
        </w:rPr>
        <w:t xml:space="preserve">. </w:t>
      </w:r>
    </w:p>
    <w:p w14:paraId="7D664CB1" w14:textId="248EEBC0" w:rsidR="001A462E" w:rsidRPr="00884F77" w:rsidRDefault="006D01CD" w:rsidP="006D01CD">
      <w:pPr>
        <w:pStyle w:val="ManualConsidrant"/>
        <w:rPr>
          <w:noProof/>
        </w:rPr>
      </w:pPr>
      <w:r w:rsidRPr="006D01CD">
        <w:rPr>
          <w:noProof/>
        </w:rPr>
        <w:t>(75)</w:t>
      </w:r>
      <w:r w:rsidRPr="006D01CD">
        <w:rPr>
          <w:noProof/>
        </w:rPr>
        <w:tab/>
      </w:r>
      <w:r w:rsidR="001A462E" w:rsidRPr="00884F77">
        <w:rPr>
          <w:noProof/>
        </w:rPr>
        <w:t xml:space="preserve">To support operational cooperation and shared situational awareness of cyber threats and incidents, it is essential for ENISA to cooperate with stakeholders and in particular companies and organisations from the private sector, with </w:t>
      </w:r>
      <w:r w:rsidR="001A462E">
        <w:rPr>
          <w:noProof/>
        </w:rPr>
        <w:t>which</w:t>
      </w:r>
      <w:r w:rsidR="001A462E" w:rsidRPr="00884F77">
        <w:rPr>
          <w:noProof/>
        </w:rPr>
        <w:t xml:space="preserve"> ENISA may establish public-private partnerships. </w:t>
      </w:r>
    </w:p>
    <w:p w14:paraId="58991BFC" w14:textId="574C48BA" w:rsidR="001A462E" w:rsidRPr="00884F77" w:rsidRDefault="006D01CD" w:rsidP="006D01CD">
      <w:pPr>
        <w:pStyle w:val="ManualConsidrant"/>
        <w:rPr>
          <w:noProof/>
        </w:rPr>
      </w:pPr>
      <w:r w:rsidRPr="006D01CD">
        <w:rPr>
          <w:noProof/>
        </w:rPr>
        <w:t>(76)</w:t>
      </w:r>
      <w:r w:rsidRPr="006D01CD">
        <w:rPr>
          <w:noProof/>
        </w:rPr>
        <w:tab/>
      </w:r>
      <w:r w:rsidR="001A462E" w:rsidRPr="00884F77">
        <w:rPr>
          <w:noProof/>
        </w:rPr>
        <w:t xml:space="preserve">To effectively meet the goals outlined in this Regulation, ENISA may collaborate </w:t>
      </w:r>
      <w:r w:rsidR="001A462E">
        <w:rPr>
          <w:noProof/>
        </w:rPr>
        <w:t>in particular</w:t>
      </w:r>
      <w:r w:rsidR="001A462E" w:rsidRPr="00884F77">
        <w:rPr>
          <w:noProof/>
        </w:rPr>
        <w:t xml:space="preserve"> with academic institutions that have research initiatives in relevant fields, and </w:t>
      </w:r>
      <w:r w:rsidR="001A462E">
        <w:rPr>
          <w:noProof/>
        </w:rPr>
        <w:t>develop</w:t>
      </w:r>
      <w:r w:rsidR="001A462E" w:rsidRPr="00884F77">
        <w:rPr>
          <w:noProof/>
        </w:rPr>
        <w:t xml:space="preserve"> appropriate channels for input from consumer organisations and other organisations. </w:t>
      </w:r>
    </w:p>
    <w:p w14:paraId="3DDAE4AC" w14:textId="67698CD2" w:rsidR="001A462E" w:rsidRPr="00064A9D" w:rsidRDefault="006D01CD" w:rsidP="006D01CD">
      <w:pPr>
        <w:pStyle w:val="ManualConsidrant"/>
        <w:rPr>
          <w:noProof/>
        </w:rPr>
      </w:pPr>
      <w:r w:rsidRPr="006D01CD">
        <w:rPr>
          <w:noProof/>
        </w:rPr>
        <w:t>(77)</w:t>
      </w:r>
      <w:r w:rsidRPr="006D01CD">
        <w:rPr>
          <w:noProof/>
        </w:rPr>
        <w:tab/>
      </w:r>
      <w:r w:rsidR="001A462E">
        <w:rPr>
          <w:noProof/>
        </w:rPr>
        <w:t xml:space="preserve">Given the borderless nature of cyber threats and incidents, the level of cybersecurity and preparedness of third countries may impact entities in the Union. Therefore, </w:t>
      </w:r>
      <w:r w:rsidR="001A462E" w:rsidRPr="00884F77">
        <w:rPr>
          <w:noProof/>
        </w:rPr>
        <w:t>ENISA should be able to provide capacity-building activities, including training</w:t>
      </w:r>
      <w:r w:rsidR="001A462E">
        <w:rPr>
          <w:noProof/>
        </w:rPr>
        <w:t>, capacity-building, twinning activities</w:t>
      </w:r>
      <w:r w:rsidR="001A462E" w:rsidRPr="00884F77">
        <w:rPr>
          <w:noProof/>
        </w:rPr>
        <w:t xml:space="preserve"> in third countries, </w:t>
      </w:r>
      <w:r w:rsidR="001A462E">
        <w:rPr>
          <w:noProof/>
        </w:rPr>
        <w:t xml:space="preserve">and </w:t>
      </w:r>
      <w:r w:rsidR="001A462E" w:rsidRPr="00884F77">
        <w:rPr>
          <w:noProof/>
        </w:rPr>
        <w:t xml:space="preserve">in particular </w:t>
      </w:r>
      <w:r w:rsidR="001A462E">
        <w:rPr>
          <w:noProof/>
        </w:rPr>
        <w:t xml:space="preserve">tailored capacity-building activities for </w:t>
      </w:r>
      <w:r w:rsidR="001A462E" w:rsidRPr="00884F77">
        <w:rPr>
          <w:noProof/>
        </w:rPr>
        <w:t xml:space="preserve">countries that are candidates </w:t>
      </w:r>
      <w:r w:rsidR="001A462E" w:rsidRPr="00884F77">
        <w:rPr>
          <w:rFonts w:eastAsia="Times New Roman"/>
          <w:noProof/>
        </w:rPr>
        <w:t>for accession to the Union</w:t>
      </w:r>
      <w:r w:rsidR="001A462E">
        <w:rPr>
          <w:rFonts w:eastAsia="Times New Roman"/>
          <w:noProof/>
        </w:rPr>
        <w:t xml:space="preserve"> or other partner countries in accordance with the Union priorities</w:t>
      </w:r>
      <w:r w:rsidR="001A462E" w:rsidRPr="00884F77">
        <w:rPr>
          <w:rFonts w:eastAsia="Times New Roman"/>
          <w:noProof/>
        </w:rPr>
        <w:t>. Such activities should</w:t>
      </w:r>
      <w:r w:rsidR="001A462E" w:rsidRPr="00884F77">
        <w:rPr>
          <w:noProof/>
        </w:rPr>
        <w:t xml:space="preserve"> be conducted following a specific request to provide adequate support, taking into account the priorities</w:t>
      </w:r>
      <w:r w:rsidR="001A462E" w:rsidRPr="00F67397">
        <w:rPr>
          <w:noProof/>
        </w:rPr>
        <w:t xml:space="preserve"> of the Union, and be implemented through special arrangements, including through contribution agreements </w:t>
      </w:r>
      <w:r w:rsidR="001A462E">
        <w:rPr>
          <w:noProof/>
        </w:rPr>
        <w:t xml:space="preserve">as referred to in Regulation (EU, Euratom) 2024/2509. </w:t>
      </w:r>
      <w:r w:rsidR="001A462E" w:rsidRPr="00064A9D">
        <w:rPr>
          <w:rFonts w:eastAsia="Times New Roman"/>
          <w:noProof/>
          <w:color w:val="333333"/>
          <w:lang w:eastAsia="en-IE"/>
        </w:rPr>
        <w:t>The European cybersecurity certification framework aims to protect against cyber threats such as maliciously exploited cybersecurity vulnerabilities</w:t>
      </w:r>
      <w:r w:rsidR="001A462E" w:rsidRPr="00064A9D" w:rsidDel="009A6327">
        <w:rPr>
          <w:rFonts w:eastAsia="Times New Roman"/>
          <w:noProof/>
          <w:color w:val="333333"/>
          <w:lang w:eastAsia="en-IE"/>
        </w:rPr>
        <w:t xml:space="preserve"> </w:t>
      </w:r>
      <w:r w:rsidR="001A462E" w:rsidRPr="00064A9D">
        <w:rPr>
          <w:rFonts w:eastAsia="Times New Roman"/>
          <w:noProof/>
          <w:color w:val="333333"/>
          <w:lang w:eastAsia="en-IE"/>
        </w:rPr>
        <w:t xml:space="preserve">or cybersecurity incidents affecting the functionality (design and operation) of </w:t>
      </w:r>
      <w:r w:rsidR="001A462E" w:rsidRPr="00064A9D">
        <w:rPr>
          <w:rFonts w:eastAsia="Calibri"/>
          <w:noProof/>
        </w:rPr>
        <w:t xml:space="preserve">ICT products, ICT services, ICT processes, managed security </w:t>
      </w:r>
      <w:r w:rsidR="001A462E" w:rsidRPr="00064A9D">
        <w:rPr>
          <w:rFonts w:eastAsia="Calibri"/>
          <w:noProof/>
          <w:color w:val="000000" w:themeColor="text1"/>
        </w:rPr>
        <w:t>services, or cyber posture of entities</w:t>
      </w:r>
      <w:r w:rsidR="001A462E" w:rsidRPr="00064A9D">
        <w:rPr>
          <w:rFonts w:eastAsia="Times New Roman"/>
          <w:noProof/>
          <w:color w:val="000000" w:themeColor="text1"/>
          <w:lang w:eastAsia="en-IE"/>
        </w:rPr>
        <w:t xml:space="preserve">. </w:t>
      </w:r>
      <w:r w:rsidR="001A462E" w:rsidRPr="00064A9D">
        <w:rPr>
          <w:noProof/>
          <w:color w:val="000000" w:themeColor="text1"/>
        </w:rPr>
        <w:t xml:space="preserve">By focusing on  technical risks related to </w:t>
      </w:r>
      <w:r w:rsidR="001A462E" w:rsidRPr="00064A9D">
        <w:rPr>
          <w:rFonts w:eastAsia="Calibri"/>
          <w:noProof/>
          <w:color w:val="000000" w:themeColor="text1"/>
        </w:rPr>
        <w:t>ICT products, ICT services, ICT processes, managed security services or cyber posture of entities, the ECCF</w:t>
      </w:r>
      <w:r w:rsidR="001A462E" w:rsidRPr="00064A9D">
        <w:rPr>
          <w:rFonts w:eastAsia="Times New Roman"/>
          <w:noProof/>
          <w:color w:val="000000" w:themeColor="text1"/>
          <w:lang w:eastAsia="en-IE"/>
        </w:rPr>
        <w:t xml:space="preserve"> should</w:t>
      </w:r>
      <w:r w:rsidR="001A462E" w:rsidRPr="00064A9D" w:rsidDel="001109C7">
        <w:rPr>
          <w:rFonts w:eastAsia="Times New Roman"/>
          <w:noProof/>
          <w:color w:val="000000" w:themeColor="text1"/>
          <w:lang w:eastAsia="en-IE"/>
        </w:rPr>
        <w:t xml:space="preserve"> </w:t>
      </w:r>
      <w:r w:rsidR="001A462E" w:rsidRPr="00064A9D">
        <w:rPr>
          <w:rFonts w:eastAsia="Times New Roman"/>
          <w:noProof/>
          <w:color w:val="000000" w:themeColor="text1"/>
          <w:lang w:eastAsia="en-IE"/>
        </w:rPr>
        <w:t xml:space="preserve">complement the security of ICT supply chains framework, which aims to </w:t>
      </w:r>
      <w:r w:rsidR="001A462E" w:rsidRPr="00064A9D">
        <w:rPr>
          <w:noProof/>
          <w:color w:val="000000" w:themeColor="text1"/>
        </w:rPr>
        <w:t>ensure a harmonised approach at Union level to address non-technical risks in sectors of high criticality and other critical sectors.</w:t>
      </w:r>
    </w:p>
    <w:p w14:paraId="11836E7B" w14:textId="06D9AA5E" w:rsidR="001A462E" w:rsidRPr="006879B9" w:rsidRDefault="006D01CD" w:rsidP="006D01CD">
      <w:pPr>
        <w:pStyle w:val="ManualConsidrant"/>
        <w:rPr>
          <w:noProof/>
        </w:rPr>
      </w:pPr>
      <w:r w:rsidRPr="006D01CD">
        <w:rPr>
          <w:noProof/>
        </w:rPr>
        <w:t>(78)</w:t>
      </w:r>
      <w:r w:rsidRPr="006D01CD">
        <w:rPr>
          <w:noProof/>
        </w:rPr>
        <w:tab/>
      </w:r>
      <w:r w:rsidR="001A462E" w:rsidRPr="006879B9">
        <w:rPr>
          <w:noProof/>
        </w:rPr>
        <w:t>It should be possible for Member States to have recourse to European cybersecurity certification in the context of public procurement in accordance with Directive 2014/24/EU of the European Parliament and of the Council</w:t>
      </w:r>
      <w:r w:rsidR="001A462E" w:rsidRPr="006879B9">
        <w:rPr>
          <w:rStyle w:val="FootnoteReference"/>
          <w:noProof/>
        </w:rPr>
        <w:footnoteReference w:id="57"/>
      </w:r>
      <w:r w:rsidR="001A462E" w:rsidRPr="006879B9">
        <w:rPr>
          <w:noProof/>
        </w:rPr>
        <w:t>.</w:t>
      </w:r>
    </w:p>
    <w:p w14:paraId="7A322FE9" w14:textId="5E47E2EE" w:rsidR="001A462E" w:rsidRPr="006879B9" w:rsidRDefault="006D01CD" w:rsidP="006D01CD">
      <w:pPr>
        <w:pStyle w:val="ManualConsidrant"/>
        <w:rPr>
          <w:noProof/>
        </w:rPr>
      </w:pPr>
      <w:r w:rsidRPr="006D01CD">
        <w:rPr>
          <w:noProof/>
        </w:rPr>
        <w:t>(79)</w:t>
      </w:r>
      <w:r w:rsidRPr="006D01CD">
        <w:rPr>
          <w:noProof/>
        </w:rPr>
        <w:tab/>
      </w:r>
      <w:r w:rsidR="001A462E" w:rsidRPr="00797321">
        <w:rPr>
          <w:noProof/>
        </w:rPr>
        <w:t xml:space="preserve">To facilitate simplification of compliance for entities, </w:t>
      </w:r>
      <w:r w:rsidR="001A462E" w:rsidRPr="006879B9">
        <w:rPr>
          <w:noProof/>
        </w:rPr>
        <w:t>the ECCF should provide for the possibility to certify their cyber posture. Entities, notably those providing multiple types of services across several Member States, may face different cybersecurity and data security-related obligations under horizontal instruments, such as Regulation (EU) 2016/679</w:t>
      </w:r>
      <w:r w:rsidR="001A462E" w:rsidRPr="00797321">
        <w:rPr>
          <w:noProof/>
        </w:rPr>
        <w:t xml:space="preserve"> </w:t>
      </w:r>
      <w:r w:rsidR="001A462E" w:rsidRPr="006879B9">
        <w:rPr>
          <w:noProof/>
        </w:rPr>
        <w:t>of the European Parliament and of the Council</w:t>
      </w:r>
      <w:r w:rsidR="001A462E" w:rsidRPr="006879B9">
        <w:rPr>
          <w:rStyle w:val="FootnoteReference"/>
          <w:noProof/>
        </w:rPr>
        <w:footnoteReference w:id="58"/>
      </w:r>
      <w:r w:rsidR="001A462E" w:rsidRPr="006879B9">
        <w:rPr>
          <w:noProof/>
          <w:vertAlign w:val="superscript"/>
        </w:rPr>
        <w:t xml:space="preserve"> </w:t>
      </w:r>
      <w:r w:rsidR="001A462E" w:rsidRPr="006879B9">
        <w:rPr>
          <w:noProof/>
        </w:rPr>
        <w:t>and Directive (EU) 2022/2555 of the European Parliament and of the Council</w:t>
      </w:r>
      <w:r w:rsidR="001A462E" w:rsidRPr="006879B9">
        <w:rPr>
          <w:rStyle w:val="FootnoteReference"/>
          <w:noProof/>
        </w:rPr>
        <w:footnoteReference w:id="59"/>
      </w:r>
      <w:r w:rsidR="001A462E" w:rsidRPr="006879B9">
        <w:rPr>
          <w:noProof/>
        </w:rPr>
        <w:t xml:space="preserve">, as well as sector-specific instruments. In order to streamline the implementation of the overall cybersecurity regulatory framework and facilitate compliance therewith, it should be possible for Union legislation to provide for the possibility of entities to demonstrate their compliance with cybersecurity risk-management requirements through a European cybersecurity certification certificate. A relevant scheme could contribute to streamlining compliance requirements arising from different regulatory instruments, without prejudice to their specific certification requirements. Such simplification measures have the potential to reduce administrative burden, unlocking resources to strengthen the operational cybersecurity preparedness of entities in critical sectors of the Union. </w:t>
      </w:r>
    </w:p>
    <w:p w14:paraId="7264E591" w14:textId="56CBAA0F" w:rsidR="001A462E" w:rsidRPr="008E4496" w:rsidRDefault="006D01CD" w:rsidP="006D01CD">
      <w:pPr>
        <w:pStyle w:val="ManualConsidrant"/>
        <w:rPr>
          <w:noProof/>
          <w:lang w:eastAsia="en-IE"/>
        </w:rPr>
      </w:pPr>
      <w:r w:rsidRPr="006D01CD">
        <w:rPr>
          <w:noProof/>
        </w:rPr>
        <w:t>(80)</w:t>
      </w:r>
      <w:r w:rsidRPr="006D01CD">
        <w:rPr>
          <w:noProof/>
        </w:rPr>
        <w:tab/>
      </w:r>
      <w:r w:rsidR="001A462E" w:rsidRPr="008E4496">
        <w:rPr>
          <w:noProof/>
          <w:lang w:eastAsia="en-IE"/>
        </w:rPr>
        <w:t xml:space="preserve">European certification of cybersecurity risk-management requirements developed within the </w:t>
      </w:r>
      <w:r w:rsidR="001A462E">
        <w:rPr>
          <w:noProof/>
          <w:lang w:eastAsia="en-IE"/>
        </w:rPr>
        <w:t>ECCF</w:t>
      </w:r>
      <w:r w:rsidR="001A462E" w:rsidRPr="008E4496">
        <w:rPr>
          <w:noProof/>
          <w:lang w:eastAsia="en-IE"/>
        </w:rPr>
        <w:t xml:space="preserve"> should enable entities to demonstrate compliance with relevant Union legislation where a scheme covers the respective legal requirements laid down in such </w:t>
      </w:r>
      <w:r w:rsidR="001A462E">
        <w:rPr>
          <w:noProof/>
          <w:lang w:eastAsia="en-IE"/>
        </w:rPr>
        <w:t xml:space="preserve">an </w:t>
      </w:r>
      <w:r w:rsidR="001A462E" w:rsidRPr="008E4496">
        <w:rPr>
          <w:noProof/>
          <w:lang w:eastAsia="en-IE"/>
        </w:rPr>
        <w:t>act and</w:t>
      </w:r>
      <w:r w:rsidR="001A462E">
        <w:rPr>
          <w:noProof/>
          <w:lang w:eastAsia="en-IE"/>
        </w:rPr>
        <w:t xml:space="preserve"> w</w:t>
      </w:r>
      <w:r w:rsidR="001A462E" w:rsidRPr="00D9595F">
        <w:rPr>
          <w:noProof/>
          <w:lang w:eastAsia="en-IE"/>
        </w:rPr>
        <w:t xml:space="preserve">here </w:t>
      </w:r>
      <w:r w:rsidR="001A462E">
        <w:rPr>
          <w:noProof/>
          <w:lang w:eastAsia="en-IE"/>
        </w:rPr>
        <w:t xml:space="preserve">it </w:t>
      </w:r>
      <w:r w:rsidR="001A462E" w:rsidRPr="00D9595F">
        <w:rPr>
          <w:noProof/>
          <w:lang w:eastAsia="en-IE"/>
        </w:rPr>
        <w:t>provide</w:t>
      </w:r>
      <w:r w:rsidR="001A462E">
        <w:rPr>
          <w:noProof/>
          <w:lang w:eastAsia="en-IE"/>
        </w:rPr>
        <w:t>s so. On</w:t>
      </w:r>
      <w:r w:rsidR="001A462E" w:rsidRPr="008E4496">
        <w:rPr>
          <w:noProof/>
          <w:lang w:eastAsia="en-IE"/>
        </w:rPr>
        <w:t xml:space="preserve"> that basis</w:t>
      </w:r>
      <w:r w:rsidR="001A462E">
        <w:rPr>
          <w:noProof/>
          <w:lang w:eastAsia="en-IE"/>
        </w:rPr>
        <w:t>,</w:t>
      </w:r>
      <w:r w:rsidR="001A462E" w:rsidRPr="008E4496">
        <w:rPr>
          <w:noProof/>
          <w:lang w:eastAsia="en-IE"/>
        </w:rPr>
        <w:t xml:space="preserve"> </w:t>
      </w:r>
      <w:r w:rsidR="001A462E">
        <w:rPr>
          <w:noProof/>
          <w:lang w:eastAsia="en-IE"/>
        </w:rPr>
        <w:t xml:space="preserve">a Union legal act may also </w:t>
      </w:r>
      <w:r w:rsidR="001A462E" w:rsidRPr="008E4496">
        <w:rPr>
          <w:noProof/>
          <w:lang w:eastAsia="en-IE"/>
        </w:rPr>
        <w:t xml:space="preserve">provide for </w:t>
      </w:r>
      <w:r w:rsidR="001A462E">
        <w:rPr>
          <w:noProof/>
          <w:lang w:eastAsia="en-IE"/>
        </w:rPr>
        <w:t>a</w:t>
      </w:r>
      <w:r w:rsidR="001A462E" w:rsidRPr="008E4496">
        <w:rPr>
          <w:noProof/>
          <w:lang w:eastAsia="en-IE"/>
        </w:rPr>
        <w:t xml:space="preserve"> presumption of conformity</w:t>
      </w:r>
      <w:r w:rsidR="001A462E">
        <w:rPr>
          <w:noProof/>
          <w:lang w:eastAsia="en-IE"/>
        </w:rPr>
        <w:t xml:space="preserve"> </w:t>
      </w:r>
      <w:r w:rsidR="001A462E" w:rsidRPr="00927ABD">
        <w:rPr>
          <w:noProof/>
          <w:lang w:eastAsia="en-IE"/>
        </w:rPr>
        <w:t>with those requirements</w:t>
      </w:r>
      <w:r w:rsidR="001A462E" w:rsidRPr="008E4496">
        <w:rPr>
          <w:noProof/>
          <w:lang w:eastAsia="en-IE"/>
        </w:rPr>
        <w:t>. Such schemes</w:t>
      </w:r>
      <w:r w:rsidR="001A462E" w:rsidRPr="008E4496" w:rsidDel="00CE11A5">
        <w:rPr>
          <w:noProof/>
          <w:lang w:eastAsia="en-IE"/>
        </w:rPr>
        <w:t xml:space="preserve"> </w:t>
      </w:r>
      <w:r w:rsidR="001A462E">
        <w:rPr>
          <w:noProof/>
          <w:lang w:eastAsia="en-IE"/>
        </w:rPr>
        <w:t>could</w:t>
      </w:r>
      <w:r w:rsidR="001A462E" w:rsidRPr="008E4496">
        <w:rPr>
          <w:noProof/>
          <w:lang w:eastAsia="en-IE"/>
        </w:rPr>
        <w:t xml:space="preserve"> contribute to improv</w:t>
      </w:r>
      <w:r w:rsidR="001A462E">
        <w:rPr>
          <w:noProof/>
          <w:lang w:eastAsia="en-IE"/>
        </w:rPr>
        <w:t>ing</w:t>
      </w:r>
      <w:r w:rsidR="001A462E" w:rsidRPr="008E4496">
        <w:rPr>
          <w:noProof/>
          <w:lang w:eastAsia="en-IE"/>
        </w:rPr>
        <w:t xml:space="preserve"> the coherent implementation of cybersecurity requirements of Union legislation to level the playing field across Member States and ease </w:t>
      </w:r>
      <w:r w:rsidR="001A462E">
        <w:rPr>
          <w:noProof/>
          <w:lang w:eastAsia="en-IE"/>
        </w:rPr>
        <w:t>the</w:t>
      </w:r>
      <w:r w:rsidR="001A462E" w:rsidRPr="008E4496">
        <w:rPr>
          <w:noProof/>
          <w:lang w:eastAsia="en-IE"/>
        </w:rPr>
        <w:t xml:space="preserve"> compliance burden. </w:t>
      </w:r>
    </w:p>
    <w:p w14:paraId="23C7E97C" w14:textId="0C273291" w:rsidR="001A462E" w:rsidRPr="008E4496" w:rsidRDefault="006D01CD" w:rsidP="006D01CD">
      <w:pPr>
        <w:pStyle w:val="ManualConsidrant"/>
        <w:rPr>
          <w:noProof/>
        </w:rPr>
      </w:pPr>
      <w:r w:rsidRPr="006D01CD">
        <w:rPr>
          <w:noProof/>
        </w:rPr>
        <w:t>(81)</w:t>
      </w:r>
      <w:r w:rsidRPr="006D01CD">
        <w:rPr>
          <w:noProof/>
        </w:rPr>
        <w:tab/>
      </w:r>
      <w:r w:rsidR="001A462E" w:rsidRPr="008E4496">
        <w:rPr>
          <w:noProof/>
          <w:lang w:eastAsia="en-IE"/>
        </w:rPr>
        <w:t xml:space="preserve">The European cybersecurity certification framework </w:t>
      </w:r>
      <w:r w:rsidR="001A462E">
        <w:rPr>
          <w:noProof/>
          <w:lang w:eastAsia="en-IE"/>
        </w:rPr>
        <w:t xml:space="preserve">should </w:t>
      </w:r>
      <w:r w:rsidR="001A462E" w:rsidRPr="008E4496">
        <w:rPr>
          <w:noProof/>
          <w:lang w:eastAsia="en-IE"/>
        </w:rPr>
        <w:t>provide</w:t>
      </w:r>
      <w:r w:rsidR="001A462E">
        <w:rPr>
          <w:noProof/>
          <w:lang w:eastAsia="en-IE"/>
        </w:rPr>
        <w:t xml:space="preserve"> for</w:t>
      </w:r>
      <w:r w:rsidR="001A462E" w:rsidRPr="008E4496">
        <w:rPr>
          <w:noProof/>
          <w:lang w:eastAsia="en-IE"/>
        </w:rPr>
        <w:t xml:space="preserve"> the possibility to certify ICT processes, defined as a set of activities performed to design, develop, deliver or maintain an ICT product or ICT service. A protection profile is an example of </w:t>
      </w:r>
      <w:r w:rsidR="001A462E">
        <w:rPr>
          <w:noProof/>
          <w:lang w:eastAsia="en-IE"/>
        </w:rPr>
        <w:t xml:space="preserve">an </w:t>
      </w:r>
      <w:r w:rsidR="001A462E" w:rsidRPr="008E4496">
        <w:rPr>
          <w:noProof/>
          <w:lang w:eastAsia="en-IE"/>
        </w:rPr>
        <w:t>ICT process, as specified under Commission Implementing Regulation (EU) 2024/482</w:t>
      </w:r>
      <w:r w:rsidR="001A462E">
        <w:rPr>
          <w:rStyle w:val="FootnoteReference"/>
          <w:rFonts w:eastAsia="Times New Roman"/>
          <w:noProof/>
          <w:color w:val="333333"/>
          <w:lang w:eastAsia="en-IE"/>
        </w:rPr>
        <w:footnoteReference w:id="60"/>
      </w:r>
      <w:r w:rsidR="001A462E" w:rsidRPr="008E4496">
        <w:rPr>
          <w:noProof/>
          <w:lang w:eastAsia="en-IE"/>
        </w:rPr>
        <w:t xml:space="preserve">. Another example of </w:t>
      </w:r>
      <w:r w:rsidR="001A462E">
        <w:rPr>
          <w:noProof/>
          <w:lang w:eastAsia="en-IE"/>
        </w:rPr>
        <w:t>an</w:t>
      </w:r>
      <w:r w:rsidR="001A462E" w:rsidRPr="008E4496">
        <w:rPr>
          <w:noProof/>
          <w:lang w:eastAsia="en-IE"/>
        </w:rPr>
        <w:t xml:space="preserve"> ICT process is the set of activities undertaken by a manufacturer to securely design and develop an ICT product, including the physical, logical, procedural, personnel, and other security measures that are necessary to protect </w:t>
      </w:r>
      <w:r w:rsidR="001A462E" w:rsidRPr="008E4496">
        <w:rPr>
          <w:noProof/>
        </w:rPr>
        <w:t xml:space="preserve">the confidentiality and integrity of the design and implementation of an ICT product in its development environment. The certification of such activities is often referred to as ‘site certification’ in the context of a certification process under </w:t>
      </w:r>
      <w:r w:rsidR="001A462E">
        <w:rPr>
          <w:noProof/>
        </w:rPr>
        <w:t xml:space="preserve">Commission </w:t>
      </w:r>
      <w:r w:rsidR="001A462E" w:rsidRPr="008E4496">
        <w:rPr>
          <w:noProof/>
          <w:lang w:eastAsia="en-IE"/>
        </w:rPr>
        <w:t>Implementing Regulation (EU) 2024/482</w:t>
      </w:r>
      <w:r w:rsidR="001A462E" w:rsidRPr="008E4496">
        <w:rPr>
          <w:noProof/>
        </w:rPr>
        <w:t xml:space="preserve">. </w:t>
      </w:r>
    </w:p>
    <w:p w14:paraId="4754ECA0" w14:textId="3F6B22EA" w:rsidR="001A462E" w:rsidRPr="008E4496" w:rsidRDefault="006D01CD" w:rsidP="006D01CD">
      <w:pPr>
        <w:pStyle w:val="ManualConsidrant"/>
        <w:rPr>
          <w:noProof/>
          <w:lang w:eastAsia="en-IE"/>
        </w:rPr>
      </w:pPr>
      <w:r w:rsidRPr="006D01CD">
        <w:rPr>
          <w:noProof/>
        </w:rPr>
        <w:t>(82)</w:t>
      </w:r>
      <w:r w:rsidRPr="006D01CD">
        <w:rPr>
          <w:noProof/>
        </w:rPr>
        <w:tab/>
      </w:r>
      <w:r w:rsidR="001A462E" w:rsidRPr="008E4496">
        <w:rPr>
          <w:noProof/>
          <w:lang w:eastAsia="en-IE"/>
        </w:rPr>
        <w:t xml:space="preserve">The definition of managed security services in this Regulation should be consistent with that of managed security service providers in Directive (EU) 2022/2555. Those services consist of carrying out, or providing assistance for, activities relating to their customers’ cybersecurity risk management, and have gained increasing importance in the prevention and mitigation of incidents. Accordingly, the providers of those services are considered to be essential or important entities belonging to a sector of high criticality pursuant to Directive (EU) 2022/2555. </w:t>
      </w:r>
      <w:r w:rsidR="001A462E">
        <w:rPr>
          <w:noProof/>
          <w:lang w:eastAsia="en-IE"/>
        </w:rPr>
        <w:t>M</w:t>
      </w:r>
      <w:r w:rsidR="001A462E" w:rsidRPr="008E4496">
        <w:rPr>
          <w:noProof/>
          <w:lang w:eastAsia="en-IE"/>
        </w:rPr>
        <w:t xml:space="preserve">anaged security service providers in areas such as incident response, penetration testing, security audits and consultancy, play a particularly important role in assisting entities in their efforts to prevent, detect, respond to or recover from incidents. However, managed security service providers have themselves </w:t>
      </w:r>
      <w:r w:rsidR="001A462E">
        <w:rPr>
          <w:noProof/>
          <w:lang w:eastAsia="en-IE"/>
        </w:rPr>
        <w:t>also</w:t>
      </w:r>
      <w:r w:rsidR="001A462E" w:rsidRPr="008E4496">
        <w:rPr>
          <w:noProof/>
          <w:lang w:eastAsia="en-IE"/>
        </w:rPr>
        <w:t xml:space="preserve"> been the target of cyberattacks and pose a particular risk because of their close integration in the operations of their customers. It is therefore </w:t>
      </w:r>
      <w:r w:rsidR="001A462E">
        <w:rPr>
          <w:noProof/>
          <w:lang w:eastAsia="en-IE"/>
        </w:rPr>
        <w:t>necessary</w:t>
      </w:r>
      <w:r w:rsidR="001A462E" w:rsidRPr="008E4496">
        <w:rPr>
          <w:noProof/>
          <w:lang w:eastAsia="en-IE"/>
        </w:rPr>
        <w:t xml:space="preserve"> that essential and important entities within the meaning of Directive (EU) 2022/2555 exercise increased diligence in selecting managed security service providers. </w:t>
      </w:r>
    </w:p>
    <w:p w14:paraId="200680E8" w14:textId="0AE6482A" w:rsidR="001A462E" w:rsidRPr="008930AB" w:rsidRDefault="006D01CD" w:rsidP="006D01CD">
      <w:pPr>
        <w:pStyle w:val="ManualConsidrant"/>
        <w:rPr>
          <w:noProof/>
          <w:lang w:eastAsia="en-IE"/>
        </w:rPr>
      </w:pPr>
      <w:r w:rsidRPr="006D01CD">
        <w:rPr>
          <w:noProof/>
        </w:rPr>
        <w:t>(83)</w:t>
      </w:r>
      <w:r w:rsidRPr="006D01CD">
        <w:rPr>
          <w:noProof/>
        </w:rPr>
        <w:tab/>
      </w:r>
      <w:r w:rsidR="001A462E" w:rsidRPr="008930AB">
        <w:rPr>
          <w:noProof/>
          <w:lang w:eastAsia="en-IE"/>
        </w:rPr>
        <w:t xml:space="preserve">European cybersecurity certification schemes are relevant to a wide community of stakeholders, such as providers of ICT solutions, conformity assessment bodies and users. To promote wide stakeholder engagement, the European Cybersecurity Certification Assembly </w:t>
      </w:r>
      <w:r w:rsidR="001A462E">
        <w:rPr>
          <w:noProof/>
          <w:lang w:eastAsia="en-IE"/>
        </w:rPr>
        <w:t>(“the Assembly”)</w:t>
      </w:r>
      <w:r w:rsidR="001A462E" w:rsidRPr="008930AB">
        <w:rPr>
          <w:noProof/>
          <w:lang w:eastAsia="en-IE"/>
        </w:rPr>
        <w:t xml:space="preserve"> should be organised a</w:t>
      </w:r>
      <w:r w:rsidR="001A462E">
        <w:rPr>
          <w:noProof/>
          <w:lang w:eastAsia="en-IE"/>
        </w:rPr>
        <w:t>t</w:t>
      </w:r>
      <w:r w:rsidR="001A462E" w:rsidRPr="008930AB">
        <w:rPr>
          <w:noProof/>
          <w:lang w:eastAsia="en-IE"/>
        </w:rPr>
        <w:t xml:space="preserve"> least once a year </w:t>
      </w:r>
      <w:r w:rsidR="001A462E">
        <w:rPr>
          <w:noProof/>
          <w:lang w:eastAsia="en-IE"/>
        </w:rPr>
        <w:t>with the</w:t>
      </w:r>
      <w:r w:rsidR="001A462E" w:rsidRPr="008930AB">
        <w:rPr>
          <w:noProof/>
          <w:lang w:eastAsia="en-IE"/>
        </w:rPr>
        <w:t xml:space="preserve"> </w:t>
      </w:r>
      <w:r w:rsidR="001A462E">
        <w:rPr>
          <w:noProof/>
          <w:lang w:eastAsia="en-IE"/>
        </w:rPr>
        <w:t xml:space="preserve">aim </w:t>
      </w:r>
      <w:r w:rsidR="001A462E" w:rsidRPr="008930AB">
        <w:rPr>
          <w:noProof/>
          <w:lang w:eastAsia="en-IE"/>
        </w:rPr>
        <w:t xml:space="preserve">to foster collaboration </w:t>
      </w:r>
      <w:r w:rsidR="001A462E">
        <w:rPr>
          <w:noProof/>
          <w:lang w:eastAsia="en-IE"/>
        </w:rPr>
        <w:t>between</w:t>
      </w:r>
      <w:r w:rsidR="001A462E" w:rsidRPr="008930AB">
        <w:rPr>
          <w:noProof/>
          <w:lang w:eastAsia="en-IE"/>
        </w:rPr>
        <w:t xml:space="preserve"> the Commission, ENISA, Member States and relevant stakeholders. It will play a pivotal role in identifying and addressing new cybersecurity challenges</w:t>
      </w:r>
      <w:r w:rsidR="001A462E">
        <w:rPr>
          <w:noProof/>
          <w:lang w:eastAsia="en-IE"/>
        </w:rPr>
        <w:t xml:space="preserve"> and</w:t>
      </w:r>
      <w:r w:rsidR="001A462E" w:rsidRPr="008930AB">
        <w:rPr>
          <w:noProof/>
          <w:lang w:eastAsia="en-IE"/>
        </w:rPr>
        <w:t xml:space="preserve"> </w:t>
      </w:r>
      <w:r w:rsidR="001A462E" w:rsidRPr="4165CDC9">
        <w:rPr>
          <w:noProof/>
          <w:color w:val="000000" w:themeColor="text1"/>
          <w:lang w:eastAsia="en-IE"/>
        </w:rPr>
        <w:t>strategic priorities</w:t>
      </w:r>
      <w:r w:rsidR="001A462E" w:rsidRPr="008930AB">
        <w:rPr>
          <w:noProof/>
          <w:color w:val="000000" w:themeColor="text1"/>
          <w:lang w:eastAsia="en-IE"/>
        </w:rPr>
        <w:t xml:space="preserve"> for certification</w:t>
      </w:r>
      <w:r w:rsidR="001A462E">
        <w:rPr>
          <w:noProof/>
          <w:color w:val="000000" w:themeColor="text1"/>
          <w:lang w:eastAsia="en-IE"/>
        </w:rPr>
        <w:t>,</w:t>
      </w:r>
      <w:r w:rsidR="001A462E" w:rsidRPr="4165CDC9">
        <w:rPr>
          <w:noProof/>
          <w:color w:val="000000" w:themeColor="text1"/>
          <w:lang w:eastAsia="en-IE"/>
        </w:rPr>
        <w:t xml:space="preserve"> and</w:t>
      </w:r>
      <w:r w:rsidR="001A462E" w:rsidRPr="008930AB">
        <w:rPr>
          <w:noProof/>
          <w:lang w:eastAsia="en-IE"/>
        </w:rPr>
        <w:t xml:space="preserve"> ensuring that certification schemes facilitate the secure integration of digital technologies and are fit for users’ needs. The Assembly should foster Union leadership in certification activities and uphold the </w:t>
      </w:r>
      <w:r w:rsidR="001A462E">
        <w:rPr>
          <w:noProof/>
          <w:lang w:eastAsia="en-IE"/>
        </w:rPr>
        <w:t xml:space="preserve">certification </w:t>
      </w:r>
      <w:r w:rsidR="001A462E" w:rsidRPr="008930AB">
        <w:rPr>
          <w:noProof/>
          <w:lang w:eastAsia="en-IE"/>
        </w:rPr>
        <w:t xml:space="preserve">framework’s ability to deliver trust for businesses, public authorities, and </w:t>
      </w:r>
      <w:r w:rsidR="001A462E">
        <w:rPr>
          <w:noProof/>
          <w:lang w:eastAsia="en-IE"/>
        </w:rPr>
        <w:t>the public</w:t>
      </w:r>
      <w:r w:rsidR="001A462E" w:rsidRPr="008930AB">
        <w:rPr>
          <w:noProof/>
          <w:lang w:eastAsia="en-IE"/>
        </w:rPr>
        <w:t xml:space="preserve">. </w:t>
      </w:r>
    </w:p>
    <w:p w14:paraId="348C0266" w14:textId="42E5F49F" w:rsidR="001A462E" w:rsidRDefault="006D01CD" w:rsidP="006D01CD">
      <w:pPr>
        <w:pStyle w:val="ManualConsidrant"/>
        <w:rPr>
          <w:noProof/>
          <w:lang w:eastAsia="en-IE"/>
        </w:rPr>
      </w:pPr>
      <w:r w:rsidRPr="006D01CD">
        <w:rPr>
          <w:noProof/>
        </w:rPr>
        <w:t>(84)</w:t>
      </w:r>
      <w:r w:rsidRPr="006D01CD">
        <w:rPr>
          <w:noProof/>
        </w:rPr>
        <w:tab/>
      </w:r>
      <w:r w:rsidR="001A462E" w:rsidRPr="008930AB">
        <w:rPr>
          <w:noProof/>
          <w:lang w:eastAsia="en-IE"/>
        </w:rPr>
        <w:t xml:space="preserve">The Commission should maintain a dedicated website to </w:t>
      </w:r>
      <w:r w:rsidR="00A61EC9">
        <w:rPr>
          <w:noProof/>
          <w:lang w:eastAsia="en-IE"/>
        </w:rPr>
        <w:t xml:space="preserve">ensure </w:t>
      </w:r>
      <w:r w:rsidR="001A462E" w:rsidRPr="008930AB">
        <w:rPr>
          <w:noProof/>
          <w:lang w:eastAsia="en-IE"/>
        </w:rPr>
        <w:t xml:space="preserve">transparency by publishing up to date information on the implementation progress of the </w:t>
      </w:r>
      <w:r w:rsidR="001A462E">
        <w:rPr>
          <w:noProof/>
          <w:lang w:eastAsia="en-IE"/>
        </w:rPr>
        <w:t>ECCF</w:t>
      </w:r>
      <w:r w:rsidR="001A462E" w:rsidRPr="008930AB">
        <w:rPr>
          <w:noProof/>
          <w:lang w:eastAsia="en-IE"/>
        </w:rPr>
        <w:t xml:space="preserve">. </w:t>
      </w:r>
      <w:r w:rsidR="001A462E">
        <w:rPr>
          <w:noProof/>
          <w:lang w:eastAsia="en-IE"/>
        </w:rPr>
        <w:t>The</w:t>
      </w:r>
      <w:r w:rsidR="001A462E" w:rsidRPr="008930AB">
        <w:rPr>
          <w:noProof/>
          <w:lang w:eastAsia="en-IE"/>
        </w:rPr>
        <w:t xml:space="preserve"> website should include information related to </w:t>
      </w:r>
      <w:r w:rsidR="001A462E">
        <w:rPr>
          <w:noProof/>
          <w:lang w:eastAsia="en-IE"/>
        </w:rPr>
        <w:t xml:space="preserve">certification </w:t>
      </w:r>
      <w:r w:rsidR="001A462E" w:rsidRPr="008930AB">
        <w:rPr>
          <w:noProof/>
          <w:lang w:eastAsia="en-IE"/>
        </w:rPr>
        <w:t xml:space="preserve">schemes under preparation, strategic priorities for upcoming certification schemes, requests to ENISA to prepare candidate </w:t>
      </w:r>
      <w:r w:rsidR="001A462E">
        <w:rPr>
          <w:noProof/>
          <w:lang w:eastAsia="en-IE"/>
        </w:rPr>
        <w:t xml:space="preserve">certification </w:t>
      </w:r>
      <w:r w:rsidR="001A462E" w:rsidRPr="008930AB">
        <w:rPr>
          <w:noProof/>
          <w:lang w:eastAsia="en-IE"/>
        </w:rPr>
        <w:t xml:space="preserve">schemes and information on adoption of </w:t>
      </w:r>
      <w:r w:rsidR="001A462E">
        <w:rPr>
          <w:noProof/>
          <w:lang w:eastAsia="en-IE"/>
        </w:rPr>
        <w:t xml:space="preserve">certification </w:t>
      </w:r>
      <w:r w:rsidR="001A462E" w:rsidRPr="008930AB">
        <w:rPr>
          <w:noProof/>
          <w:lang w:eastAsia="en-IE"/>
        </w:rPr>
        <w:t xml:space="preserve">schemes. </w:t>
      </w:r>
      <w:r w:rsidR="001A462E">
        <w:rPr>
          <w:noProof/>
          <w:lang w:eastAsia="en-IE"/>
        </w:rPr>
        <w:t>T</w:t>
      </w:r>
      <w:r w:rsidR="001A462E" w:rsidRPr="008930AB">
        <w:rPr>
          <w:noProof/>
          <w:lang w:eastAsia="en-IE"/>
        </w:rPr>
        <w:t>he Commission website will complement ENISA</w:t>
      </w:r>
      <w:r w:rsidR="00A61EC9">
        <w:rPr>
          <w:noProof/>
          <w:lang w:eastAsia="en-IE"/>
        </w:rPr>
        <w:t>’</w:t>
      </w:r>
      <w:r w:rsidR="001A462E">
        <w:rPr>
          <w:noProof/>
          <w:lang w:eastAsia="en-IE"/>
        </w:rPr>
        <w:t>s</w:t>
      </w:r>
      <w:r w:rsidR="001A462E" w:rsidRPr="008930AB">
        <w:rPr>
          <w:noProof/>
          <w:lang w:eastAsia="en-IE"/>
        </w:rPr>
        <w:t xml:space="preserve"> website on European cybersecurity certification schemes, which </w:t>
      </w:r>
      <w:r w:rsidR="001A462E">
        <w:rPr>
          <w:noProof/>
          <w:lang w:eastAsia="en-IE"/>
        </w:rPr>
        <w:t>should</w:t>
      </w:r>
      <w:r w:rsidR="001A462E" w:rsidRPr="008930AB">
        <w:rPr>
          <w:noProof/>
          <w:lang w:eastAsia="en-IE"/>
        </w:rPr>
        <w:t xml:space="preserve"> offer comprehensive details on the technical preparation of candidate schemes and of the maintenance of schemes, focusing on issued </w:t>
      </w:r>
      <w:r w:rsidR="001A462E" w:rsidRPr="4165CDC9">
        <w:rPr>
          <w:noProof/>
          <w:color w:val="000000" w:themeColor="text1"/>
          <w:lang w:eastAsia="en-IE"/>
        </w:rPr>
        <w:t xml:space="preserve">European cybersecurity certificates </w:t>
      </w:r>
      <w:r w:rsidR="001A462E" w:rsidRPr="008930AB">
        <w:rPr>
          <w:noProof/>
          <w:lang w:eastAsia="en-IE"/>
        </w:rPr>
        <w:t>and EU statements of conformity.</w:t>
      </w:r>
    </w:p>
    <w:p w14:paraId="7A44CCC8" w14:textId="77BA589A" w:rsidR="001A462E" w:rsidRPr="00194CE6" w:rsidRDefault="006D01CD" w:rsidP="006D01CD">
      <w:pPr>
        <w:pStyle w:val="ManualConsidrant"/>
        <w:rPr>
          <w:rFonts w:eastAsia="Times New Roman"/>
          <w:noProof/>
          <w:color w:val="333333"/>
          <w:lang w:eastAsia="en-IE"/>
        </w:rPr>
      </w:pPr>
      <w:r w:rsidRPr="006D01CD">
        <w:rPr>
          <w:noProof/>
        </w:rPr>
        <w:t>(85)</w:t>
      </w:r>
      <w:r w:rsidRPr="006D01CD">
        <w:rPr>
          <w:noProof/>
        </w:rPr>
        <w:tab/>
      </w:r>
      <w:r w:rsidR="001A462E" w:rsidRPr="4165CDC9">
        <w:rPr>
          <w:noProof/>
          <w:lang w:eastAsia="en-IE"/>
        </w:rPr>
        <w:t>In order to enhance the dialogue between the Union institutions and to contribute to a formal, open, transparent and inclusive consultation process, the Commission should take into account elements arising from the views expressed by the European Parliament and by the Council and the European Cybersecurity Certification Assembly when evaluating this Regulation.</w:t>
      </w:r>
    </w:p>
    <w:p w14:paraId="3C710AAB" w14:textId="7BC2B583" w:rsidR="001A462E" w:rsidRPr="006061E1" w:rsidRDefault="006D01CD" w:rsidP="006D01CD">
      <w:pPr>
        <w:pStyle w:val="ManualConsidrant"/>
        <w:rPr>
          <w:noProof/>
          <w:lang w:eastAsia="en-IE"/>
        </w:rPr>
      </w:pPr>
      <w:r w:rsidRPr="006D01CD">
        <w:rPr>
          <w:noProof/>
        </w:rPr>
        <w:t>(86)</w:t>
      </w:r>
      <w:r w:rsidRPr="006D01CD">
        <w:rPr>
          <w:noProof/>
        </w:rPr>
        <w:tab/>
      </w:r>
      <w:r w:rsidR="001A462E" w:rsidRPr="006061E1">
        <w:rPr>
          <w:noProof/>
          <w:lang w:eastAsia="en-IE"/>
        </w:rPr>
        <w:t xml:space="preserve">Feasibility studies conducted by ENISA </w:t>
      </w:r>
      <w:r w:rsidR="001A462E">
        <w:rPr>
          <w:noProof/>
          <w:lang w:eastAsia="en-IE"/>
        </w:rPr>
        <w:t>should help to</w:t>
      </w:r>
      <w:r w:rsidR="001A462E" w:rsidRPr="006061E1">
        <w:rPr>
          <w:noProof/>
          <w:lang w:eastAsia="en-IE"/>
        </w:rPr>
        <w:t xml:space="preserve"> prepare for the planning and development of cybersecurity certification schemes. The studies should incorporate the perspectives of relevant stakeholders and align </w:t>
      </w:r>
      <w:r w:rsidR="001A462E">
        <w:rPr>
          <w:noProof/>
          <w:lang w:eastAsia="en-IE"/>
        </w:rPr>
        <w:t>the future certification schemes</w:t>
      </w:r>
      <w:r w:rsidR="001A462E" w:rsidRPr="006061E1">
        <w:rPr>
          <w:noProof/>
          <w:lang w:eastAsia="en-IE"/>
        </w:rPr>
        <w:t xml:space="preserve"> with ongoing research, development, and technological assessment activities, recogni</w:t>
      </w:r>
      <w:r w:rsidR="001A462E">
        <w:rPr>
          <w:noProof/>
          <w:lang w:eastAsia="en-IE"/>
        </w:rPr>
        <w:t>s</w:t>
      </w:r>
      <w:r w:rsidR="001A462E" w:rsidRPr="006061E1">
        <w:rPr>
          <w:noProof/>
          <w:lang w:eastAsia="en-IE"/>
        </w:rPr>
        <w:t xml:space="preserve">ing, in particular, the contributions of Union and Member State research initiatives. Such studies can help to identify available standards and technical specifications. They </w:t>
      </w:r>
      <w:r w:rsidR="001A462E">
        <w:rPr>
          <w:noProof/>
          <w:lang w:eastAsia="en-IE"/>
        </w:rPr>
        <w:t>should</w:t>
      </w:r>
      <w:r w:rsidR="001A462E" w:rsidRPr="006061E1">
        <w:rPr>
          <w:noProof/>
          <w:lang w:eastAsia="en-IE"/>
        </w:rPr>
        <w:t xml:space="preserve"> be carried out </w:t>
      </w:r>
      <w:r w:rsidR="001A462E">
        <w:rPr>
          <w:noProof/>
          <w:lang w:eastAsia="en-IE"/>
        </w:rPr>
        <w:t>up</w:t>
      </w:r>
      <w:r w:rsidR="001A462E" w:rsidRPr="006061E1">
        <w:rPr>
          <w:noProof/>
          <w:lang w:eastAsia="en-IE"/>
        </w:rPr>
        <w:t>on request from the Commission, or in accordance with the Union</w:t>
      </w:r>
      <w:r w:rsidR="001A462E" w:rsidRPr="006061E1" w:rsidDel="00CF49EF">
        <w:rPr>
          <w:noProof/>
          <w:lang w:eastAsia="en-IE"/>
        </w:rPr>
        <w:t xml:space="preserve"> </w:t>
      </w:r>
      <w:r w:rsidR="001A462E" w:rsidRPr="006061E1">
        <w:rPr>
          <w:noProof/>
          <w:lang w:eastAsia="en-IE"/>
        </w:rPr>
        <w:t>strategic priorities to ensure that the evolving technological landscape</w:t>
      </w:r>
      <w:r w:rsidR="001A462E">
        <w:rPr>
          <w:noProof/>
          <w:lang w:eastAsia="en-IE"/>
        </w:rPr>
        <w:t xml:space="preserve"> and</w:t>
      </w:r>
      <w:r w:rsidR="001A462E" w:rsidRPr="006061E1">
        <w:rPr>
          <w:noProof/>
          <w:lang w:eastAsia="en-IE"/>
        </w:rPr>
        <w:t xml:space="preserve"> cybersecurity needs are adequately addressed and reflected </w:t>
      </w:r>
      <w:r w:rsidR="001A462E">
        <w:rPr>
          <w:noProof/>
          <w:lang w:eastAsia="en-IE"/>
        </w:rPr>
        <w:t>when requesting and developing schemes</w:t>
      </w:r>
      <w:r w:rsidR="001A462E" w:rsidRPr="006061E1">
        <w:rPr>
          <w:noProof/>
          <w:lang w:eastAsia="en-IE"/>
        </w:rPr>
        <w:t>.</w:t>
      </w:r>
    </w:p>
    <w:p w14:paraId="57B31F41" w14:textId="01502C5E" w:rsidR="001A462E" w:rsidRPr="006061E1" w:rsidRDefault="006D01CD" w:rsidP="006D01CD">
      <w:pPr>
        <w:pStyle w:val="ManualConsidrant"/>
        <w:rPr>
          <w:rFonts w:eastAsia="Times New Roman"/>
          <w:noProof/>
          <w:color w:val="000000"/>
          <w:lang w:eastAsia="en-IE"/>
        </w:rPr>
      </w:pPr>
      <w:r w:rsidRPr="006D01CD">
        <w:rPr>
          <w:noProof/>
        </w:rPr>
        <w:t>(87)</w:t>
      </w:r>
      <w:r w:rsidRPr="006D01CD">
        <w:rPr>
          <w:noProof/>
        </w:rPr>
        <w:tab/>
      </w:r>
      <w:r w:rsidR="001A462E" w:rsidRPr="006061E1">
        <w:rPr>
          <w:noProof/>
          <w:lang w:eastAsia="en-IE"/>
        </w:rPr>
        <w:t xml:space="preserve">The design of the candidate scheme and its coverage of security objectives and elements should be commensurate to the subject matter and scope of the certification object. </w:t>
      </w:r>
      <w:r w:rsidR="001A462E">
        <w:rPr>
          <w:noProof/>
          <w:lang w:eastAsia="en-IE"/>
        </w:rPr>
        <w:t>For example, a</w:t>
      </w:r>
      <w:r w:rsidR="001A462E" w:rsidRPr="006061E1">
        <w:rPr>
          <w:noProof/>
          <w:lang w:eastAsia="en-IE"/>
        </w:rPr>
        <w:t xml:space="preserve"> certification scheme of cloud services might therefore address security objectives which are relevant for ICT services and organisational security. </w:t>
      </w:r>
      <w:r w:rsidR="001A462E">
        <w:rPr>
          <w:noProof/>
          <w:lang w:eastAsia="en-IE"/>
        </w:rPr>
        <w:t>As another example, a</w:t>
      </w:r>
      <w:r w:rsidR="001A462E" w:rsidRPr="006061E1">
        <w:rPr>
          <w:noProof/>
          <w:lang w:eastAsia="en-IE"/>
        </w:rPr>
        <w:t xml:space="preserve"> security objective related to not including known exploitable vulnerabilities will likely not be relevant to certification of ICT processes.</w:t>
      </w:r>
    </w:p>
    <w:p w14:paraId="0DC2F85A" w14:textId="6713E54A" w:rsidR="001A462E" w:rsidRPr="006061E1" w:rsidRDefault="006D01CD" w:rsidP="006D01CD">
      <w:pPr>
        <w:pStyle w:val="ManualConsidrant"/>
        <w:rPr>
          <w:noProof/>
          <w:lang w:eastAsia="en-IE"/>
        </w:rPr>
      </w:pPr>
      <w:r w:rsidRPr="006D01CD">
        <w:rPr>
          <w:noProof/>
        </w:rPr>
        <w:t>(88)</w:t>
      </w:r>
      <w:r w:rsidRPr="006D01CD">
        <w:rPr>
          <w:noProof/>
        </w:rPr>
        <w:tab/>
      </w:r>
      <w:r w:rsidR="001A462E">
        <w:rPr>
          <w:noProof/>
          <w:lang w:eastAsia="en-IE"/>
        </w:rPr>
        <w:t>In order to</w:t>
      </w:r>
      <w:r w:rsidR="001A462E" w:rsidRPr="006061E1">
        <w:rPr>
          <w:noProof/>
          <w:lang w:eastAsia="en-IE"/>
        </w:rPr>
        <w:t xml:space="preserve"> ensure that </w:t>
      </w:r>
      <w:r w:rsidR="001A462E">
        <w:rPr>
          <w:noProof/>
          <w:lang w:eastAsia="en-IE"/>
        </w:rPr>
        <w:t>European cybersecurity certification schemes</w:t>
      </w:r>
      <w:r w:rsidR="001A462E" w:rsidRPr="006061E1">
        <w:rPr>
          <w:noProof/>
          <w:lang w:eastAsia="en-IE"/>
        </w:rPr>
        <w:t xml:space="preserve"> are implemented in a harmonised manner across Member States</w:t>
      </w:r>
      <w:r w:rsidR="001A462E">
        <w:rPr>
          <w:noProof/>
          <w:lang w:eastAsia="en-IE"/>
        </w:rPr>
        <w:t>, it is necessary to provide for rules on the maintenance of the schemes</w:t>
      </w:r>
      <w:r w:rsidR="001A462E" w:rsidRPr="006061E1">
        <w:rPr>
          <w:noProof/>
          <w:lang w:eastAsia="en-IE"/>
        </w:rPr>
        <w:t xml:space="preserve">. Maintenance activities are also necessary </w:t>
      </w:r>
      <w:r w:rsidR="001A462E">
        <w:rPr>
          <w:noProof/>
          <w:lang w:eastAsia="en-IE"/>
        </w:rPr>
        <w:t>to ensure that</w:t>
      </w:r>
      <w:r w:rsidR="001A462E" w:rsidRPr="006061E1">
        <w:rPr>
          <w:noProof/>
          <w:lang w:eastAsia="en-IE"/>
        </w:rPr>
        <w:t xml:space="preserve"> the scheme</w:t>
      </w:r>
      <w:r w:rsidR="001A462E">
        <w:rPr>
          <w:noProof/>
          <w:lang w:eastAsia="en-IE"/>
        </w:rPr>
        <w:t>s</w:t>
      </w:r>
      <w:r w:rsidR="001A462E" w:rsidRPr="006061E1">
        <w:rPr>
          <w:noProof/>
          <w:lang w:eastAsia="en-IE"/>
        </w:rPr>
        <w:t xml:space="preserve"> and </w:t>
      </w:r>
      <w:r w:rsidR="001A462E">
        <w:rPr>
          <w:noProof/>
          <w:lang w:eastAsia="en-IE"/>
        </w:rPr>
        <w:t>their</w:t>
      </w:r>
      <w:r w:rsidR="001A462E" w:rsidRPr="006061E1">
        <w:rPr>
          <w:noProof/>
          <w:lang w:eastAsia="en-IE"/>
        </w:rPr>
        <w:t xml:space="preserve"> supporting documentation remain up-to-date, especially in a cybersecurity field where the threat landscape and technologies constantly evolve. Certification scheme</w:t>
      </w:r>
      <w:r w:rsidR="001A462E">
        <w:rPr>
          <w:noProof/>
          <w:lang w:eastAsia="en-IE"/>
        </w:rPr>
        <w:t>s</w:t>
      </w:r>
      <w:r w:rsidR="001A462E" w:rsidRPr="006061E1">
        <w:rPr>
          <w:noProof/>
          <w:lang w:eastAsia="en-IE"/>
        </w:rPr>
        <w:t xml:space="preserve"> should therefore be designed and maintained in a way that avoids the risk that the</w:t>
      </w:r>
      <w:r w:rsidR="001A462E">
        <w:rPr>
          <w:noProof/>
          <w:lang w:eastAsia="en-IE"/>
        </w:rPr>
        <w:t>y</w:t>
      </w:r>
      <w:r w:rsidR="001A462E" w:rsidRPr="006061E1">
        <w:rPr>
          <w:noProof/>
          <w:lang w:eastAsia="en-IE"/>
        </w:rPr>
        <w:t xml:space="preserve"> </w:t>
      </w:r>
      <w:r w:rsidR="001A462E">
        <w:rPr>
          <w:noProof/>
          <w:lang w:eastAsia="en-IE"/>
        </w:rPr>
        <w:t>are</w:t>
      </w:r>
      <w:r w:rsidR="001A462E" w:rsidRPr="006061E1">
        <w:rPr>
          <w:noProof/>
          <w:lang w:eastAsia="en-IE"/>
        </w:rPr>
        <w:t xml:space="preserve"> quickly outdated. Maintenance </w:t>
      </w:r>
      <w:r w:rsidR="001A462E">
        <w:rPr>
          <w:noProof/>
          <w:lang w:eastAsia="en-IE"/>
        </w:rPr>
        <w:t>activities</w:t>
      </w:r>
      <w:r w:rsidR="001A462E" w:rsidRPr="006061E1">
        <w:rPr>
          <w:noProof/>
          <w:lang w:eastAsia="en-IE"/>
        </w:rPr>
        <w:t xml:space="preserve"> should typically involve drafting and updating supporting documentation, including technical specifications and guidelines, as well as </w:t>
      </w:r>
      <w:r w:rsidR="001A462E">
        <w:rPr>
          <w:noProof/>
          <w:lang w:eastAsia="en-IE"/>
        </w:rPr>
        <w:t>identifying</w:t>
      </w:r>
      <w:r w:rsidR="001A462E" w:rsidRPr="006061E1">
        <w:rPr>
          <w:noProof/>
          <w:lang w:eastAsia="en-IE"/>
        </w:rPr>
        <w:t xml:space="preserve"> standards or technical specifications that are relevant to the scheme. The analysis of the functioning of the scheme, its potential shortcomings and necessary improvement, </w:t>
      </w:r>
      <w:r w:rsidR="001A462E">
        <w:rPr>
          <w:noProof/>
          <w:lang w:eastAsia="en-IE"/>
        </w:rPr>
        <w:t>should also be part of the</w:t>
      </w:r>
      <w:r w:rsidR="001A462E" w:rsidRPr="006061E1">
        <w:rPr>
          <w:noProof/>
          <w:lang w:eastAsia="en-IE"/>
        </w:rPr>
        <w:t xml:space="preserve"> maintenance </w:t>
      </w:r>
      <w:r w:rsidR="001A462E">
        <w:rPr>
          <w:noProof/>
          <w:lang w:eastAsia="en-IE"/>
        </w:rPr>
        <w:t>activities</w:t>
      </w:r>
      <w:r w:rsidR="001A462E" w:rsidRPr="006061E1">
        <w:rPr>
          <w:noProof/>
          <w:lang w:eastAsia="en-IE"/>
        </w:rPr>
        <w:t xml:space="preserve">. </w:t>
      </w:r>
      <w:r w:rsidR="001A462E">
        <w:rPr>
          <w:noProof/>
          <w:lang w:eastAsia="en-IE"/>
        </w:rPr>
        <w:t>In addition, m</w:t>
      </w:r>
      <w:r w:rsidR="001A462E" w:rsidRPr="006061E1">
        <w:rPr>
          <w:noProof/>
          <w:lang w:eastAsia="en-IE"/>
        </w:rPr>
        <w:t xml:space="preserve">aintenance activities should include information sharing </w:t>
      </w:r>
      <w:r w:rsidR="001A462E">
        <w:rPr>
          <w:noProof/>
          <w:lang w:eastAsia="en-IE"/>
        </w:rPr>
        <w:t xml:space="preserve">between Member States with regard to </w:t>
      </w:r>
      <w:r w:rsidR="001A462E" w:rsidRPr="006061E1">
        <w:rPr>
          <w:noProof/>
          <w:lang w:eastAsia="en-IE"/>
        </w:rPr>
        <w:t>on the implementation of the scheme</w:t>
      </w:r>
      <w:r w:rsidR="001A462E">
        <w:rPr>
          <w:noProof/>
          <w:lang w:eastAsia="en-IE"/>
        </w:rPr>
        <w:t>s</w:t>
      </w:r>
      <w:r w:rsidR="001A462E" w:rsidRPr="006061E1">
        <w:rPr>
          <w:noProof/>
          <w:lang w:eastAsia="en-IE"/>
        </w:rPr>
        <w:t xml:space="preserve"> and contribution</w:t>
      </w:r>
      <w:r w:rsidR="001A462E">
        <w:rPr>
          <w:noProof/>
          <w:lang w:eastAsia="en-IE"/>
        </w:rPr>
        <w:t>s</w:t>
      </w:r>
      <w:r w:rsidR="001A462E" w:rsidRPr="006061E1">
        <w:rPr>
          <w:noProof/>
          <w:lang w:eastAsia="en-IE"/>
        </w:rPr>
        <w:t xml:space="preserve"> to peer review and peer assessment mechanisms</w:t>
      </w:r>
      <w:r w:rsidR="001A462E">
        <w:rPr>
          <w:noProof/>
          <w:lang w:eastAsia="en-IE"/>
        </w:rPr>
        <w:t>.</w:t>
      </w:r>
    </w:p>
    <w:p w14:paraId="0BBE5237" w14:textId="2AD2765F" w:rsidR="001A462E" w:rsidRPr="00673EF3" w:rsidRDefault="006D01CD" w:rsidP="006D01CD">
      <w:pPr>
        <w:pStyle w:val="ManualConsidrant"/>
        <w:rPr>
          <w:noProof/>
          <w:lang w:eastAsia="en-IE"/>
        </w:rPr>
      </w:pPr>
      <w:r w:rsidRPr="006D01CD">
        <w:rPr>
          <w:noProof/>
        </w:rPr>
        <w:t>(89)</w:t>
      </w:r>
      <w:r w:rsidRPr="006D01CD">
        <w:rPr>
          <w:noProof/>
        </w:rPr>
        <w:tab/>
      </w:r>
      <w:r w:rsidR="001A462E" w:rsidRPr="00673EF3">
        <w:rPr>
          <w:noProof/>
          <w:lang w:eastAsia="en-IE"/>
        </w:rPr>
        <w:t xml:space="preserve">Due to the technical nature of </w:t>
      </w:r>
      <w:r w:rsidR="001A462E">
        <w:rPr>
          <w:noProof/>
          <w:lang w:eastAsia="en-IE"/>
        </w:rPr>
        <w:t xml:space="preserve">the </w:t>
      </w:r>
      <w:r w:rsidR="001A462E" w:rsidRPr="00673EF3">
        <w:rPr>
          <w:noProof/>
          <w:lang w:eastAsia="en-IE"/>
        </w:rPr>
        <w:t xml:space="preserve">maintenance activities, ENISA should manage such activities, in cooperation with the Commission and with the support of the European </w:t>
      </w:r>
      <w:r w:rsidR="001A462E" w:rsidRPr="00673EF3">
        <w:rPr>
          <w:noProof/>
        </w:rPr>
        <w:t xml:space="preserve">Cybersecurity Certification Group </w:t>
      </w:r>
      <w:r w:rsidR="001A462E" w:rsidRPr="00673EF3">
        <w:rPr>
          <w:noProof/>
          <w:lang w:eastAsia="en-IE"/>
        </w:rPr>
        <w:t xml:space="preserve">(ECCG) and its relevant sub-group on maintenance. The </w:t>
      </w:r>
      <w:r w:rsidR="001A462E">
        <w:rPr>
          <w:noProof/>
          <w:lang w:eastAsia="en-IE"/>
        </w:rPr>
        <w:t>establishment</w:t>
      </w:r>
      <w:r w:rsidR="001A462E" w:rsidRPr="00673EF3">
        <w:rPr>
          <w:noProof/>
          <w:lang w:eastAsia="en-IE"/>
        </w:rPr>
        <w:t xml:space="preserve"> of </w:t>
      </w:r>
      <w:r w:rsidR="00027A76">
        <w:rPr>
          <w:noProof/>
          <w:lang w:eastAsia="en-IE"/>
        </w:rPr>
        <w:t xml:space="preserve">the </w:t>
      </w:r>
      <w:r w:rsidR="001A462E" w:rsidRPr="00673EF3">
        <w:rPr>
          <w:noProof/>
          <w:lang w:eastAsia="en-IE"/>
        </w:rPr>
        <w:t>ECCG sub-group on maintenance allows gather</w:t>
      </w:r>
      <w:r w:rsidR="001A462E">
        <w:rPr>
          <w:noProof/>
          <w:lang w:eastAsia="en-IE"/>
        </w:rPr>
        <w:t>ing</w:t>
      </w:r>
      <w:r w:rsidR="001A462E" w:rsidRPr="00673EF3">
        <w:rPr>
          <w:noProof/>
          <w:lang w:eastAsia="en-IE"/>
        </w:rPr>
        <w:t xml:space="preserve"> technical contributions and insights from Member States with </w:t>
      </w:r>
      <w:r w:rsidR="001A462E">
        <w:rPr>
          <w:noProof/>
          <w:lang w:eastAsia="en-IE"/>
        </w:rPr>
        <w:t>a</w:t>
      </w:r>
      <w:r w:rsidR="001A462E" w:rsidRPr="00673EF3">
        <w:rPr>
          <w:noProof/>
          <w:lang w:eastAsia="en-IE"/>
        </w:rPr>
        <w:t xml:space="preserve"> view </w:t>
      </w:r>
      <w:r w:rsidR="001A462E">
        <w:rPr>
          <w:noProof/>
          <w:lang w:eastAsia="en-IE"/>
        </w:rPr>
        <w:t>to</w:t>
      </w:r>
      <w:r w:rsidR="001A462E" w:rsidRPr="00673EF3">
        <w:rPr>
          <w:noProof/>
          <w:lang w:eastAsia="en-IE"/>
        </w:rPr>
        <w:t xml:space="preserve"> harmonising approaches. </w:t>
      </w:r>
    </w:p>
    <w:p w14:paraId="1F64C054" w14:textId="38B5A046" w:rsidR="001A462E" w:rsidRPr="00673EF3" w:rsidRDefault="006D01CD" w:rsidP="006D01CD">
      <w:pPr>
        <w:pStyle w:val="ManualConsidrant"/>
        <w:rPr>
          <w:noProof/>
          <w:lang w:eastAsia="en-IE"/>
        </w:rPr>
      </w:pPr>
      <w:r w:rsidRPr="006D01CD">
        <w:rPr>
          <w:noProof/>
        </w:rPr>
        <w:t>(90)</w:t>
      </w:r>
      <w:r w:rsidRPr="006D01CD">
        <w:rPr>
          <w:noProof/>
        </w:rPr>
        <w:tab/>
      </w:r>
      <w:r w:rsidR="001A462E" w:rsidRPr="00673EF3">
        <w:rPr>
          <w:noProof/>
          <w:lang w:eastAsia="en-IE"/>
        </w:rPr>
        <w:t xml:space="preserve">Maintenance activities </w:t>
      </w:r>
      <w:r w:rsidR="001A462E">
        <w:rPr>
          <w:noProof/>
          <w:lang w:eastAsia="en-IE"/>
        </w:rPr>
        <w:t xml:space="preserve">should </w:t>
      </w:r>
      <w:r w:rsidR="001A462E" w:rsidRPr="00673EF3">
        <w:rPr>
          <w:noProof/>
          <w:lang w:eastAsia="en-IE"/>
        </w:rPr>
        <w:t xml:space="preserve">entail interactions with relevant stakeholder groups to ensure that schemes remain market-relevant and up to date, including by sharing and receiving technical contributions. Such stakeholder groups can be standardisation organisations, conformity assessment bodies, vendors, users, public authorities, or trade associations. The specificities of each scheme, including their corresponding technical </w:t>
      </w:r>
      <w:r w:rsidR="001A462E">
        <w:rPr>
          <w:noProof/>
          <w:lang w:eastAsia="en-IE"/>
        </w:rPr>
        <w:t>forums</w:t>
      </w:r>
      <w:r w:rsidR="001A462E" w:rsidRPr="00673EF3">
        <w:rPr>
          <w:noProof/>
          <w:lang w:eastAsia="en-IE"/>
        </w:rPr>
        <w:t xml:space="preserve"> and industries, imply that </w:t>
      </w:r>
      <w:r w:rsidR="001A462E">
        <w:rPr>
          <w:noProof/>
          <w:lang w:eastAsia="en-IE"/>
        </w:rPr>
        <w:t xml:space="preserve">it should be possible for </w:t>
      </w:r>
      <w:r w:rsidR="001A462E" w:rsidRPr="00673EF3">
        <w:rPr>
          <w:noProof/>
          <w:lang w:eastAsia="en-IE"/>
        </w:rPr>
        <w:t xml:space="preserve">technical contributions </w:t>
      </w:r>
      <w:r w:rsidR="001A462E">
        <w:rPr>
          <w:noProof/>
          <w:lang w:eastAsia="en-IE"/>
        </w:rPr>
        <w:t>to</w:t>
      </w:r>
      <w:r w:rsidR="001A462E" w:rsidRPr="00673EF3">
        <w:rPr>
          <w:noProof/>
          <w:lang w:eastAsia="en-IE"/>
        </w:rPr>
        <w:t xml:space="preserve"> be gathered in different ways from one scheme to the other. For some schemes, ENISA </w:t>
      </w:r>
      <w:r w:rsidR="001A462E">
        <w:rPr>
          <w:noProof/>
          <w:lang w:eastAsia="en-IE"/>
        </w:rPr>
        <w:t>should be able to</w:t>
      </w:r>
      <w:r w:rsidR="001A462E" w:rsidRPr="00673EF3">
        <w:rPr>
          <w:noProof/>
          <w:lang w:eastAsia="en-IE"/>
        </w:rPr>
        <w:t xml:space="preserve"> rely on an ad hoc working group that gathers experts from the public administrations of the Member States, Union entities, and the private sector. Technical contributions could also come from ISAC</w:t>
      </w:r>
      <w:r w:rsidR="001A462E">
        <w:rPr>
          <w:noProof/>
          <w:lang w:eastAsia="en-IE"/>
        </w:rPr>
        <w:t>s</w:t>
      </w:r>
      <w:r w:rsidR="001A462E" w:rsidRPr="00673EF3">
        <w:rPr>
          <w:noProof/>
          <w:lang w:eastAsia="en-IE"/>
        </w:rPr>
        <w:t xml:space="preserve"> or standardisation organisations. ENISA should analyse which format is most suitable for each scheme and include a maintenance strategy in </w:t>
      </w:r>
      <w:r w:rsidR="001A462E">
        <w:rPr>
          <w:noProof/>
          <w:lang w:eastAsia="en-IE"/>
        </w:rPr>
        <w:t>each</w:t>
      </w:r>
      <w:r w:rsidR="001A462E" w:rsidRPr="00673EF3">
        <w:rPr>
          <w:noProof/>
          <w:lang w:eastAsia="en-IE"/>
        </w:rPr>
        <w:t xml:space="preserve"> candidate scheme. </w:t>
      </w:r>
    </w:p>
    <w:p w14:paraId="773320C4" w14:textId="4D4705C8" w:rsidR="001A462E" w:rsidRPr="00673EF3" w:rsidRDefault="006D01CD" w:rsidP="006D01CD">
      <w:pPr>
        <w:pStyle w:val="ManualConsidrant"/>
        <w:rPr>
          <w:noProof/>
          <w:lang w:eastAsia="en-IE"/>
        </w:rPr>
      </w:pPr>
      <w:r w:rsidRPr="006D01CD">
        <w:rPr>
          <w:noProof/>
        </w:rPr>
        <w:t>(91)</w:t>
      </w:r>
      <w:r w:rsidRPr="006D01CD">
        <w:rPr>
          <w:noProof/>
        </w:rPr>
        <w:tab/>
      </w:r>
      <w:r w:rsidR="001A462E" w:rsidRPr="00673EF3">
        <w:rPr>
          <w:noProof/>
          <w:lang w:eastAsia="en-IE"/>
        </w:rPr>
        <w:t xml:space="preserve">European cybersecurity certification schemes </w:t>
      </w:r>
      <w:r w:rsidR="001A462E">
        <w:rPr>
          <w:noProof/>
          <w:lang w:eastAsia="en-IE"/>
        </w:rPr>
        <w:t>should</w:t>
      </w:r>
      <w:r w:rsidR="001A462E" w:rsidRPr="00673EF3">
        <w:rPr>
          <w:noProof/>
          <w:lang w:eastAsia="en-IE"/>
        </w:rPr>
        <w:t xml:space="preserve"> rely on standards or technical specifications, notably for the definition of security requirements and evaluation methodologies. ENISA </w:t>
      </w:r>
      <w:r w:rsidR="001A462E">
        <w:rPr>
          <w:noProof/>
          <w:lang w:eastAsia="en-IE"/>
        </w:rPr>
        <w:t>should be given the possibility to</w:t>
      </w:r>
      <w:r w:rsidR="001A462E" w:rsidRPr="00673EF3">
        <w:rPr>
          <w:noProof/>
          <w:lang w:eastAsia="en-IE"/>
        </w:rPr>
        <w:t xml:space="preserve"> draft technical specifications to support the preparation and maintenance of schemes, in particular where deliverables from standardisation organisations are missing or not suitable to fulfil the objectives of the scheme. As part of the drafting process, ENISA should be supported by the ECCG and, where applicable, the ad hoc working group set up for the relevant scheme. ENISA should also seek contributions from stakeholder groups. Additionally, </w:t>
      </w:r>
      <w:r w:rsidR="001A462E" w:rsidRPr="00673EF3">
        <w:rPr>
          <w:noProof/>
        </w:rPr>
        <w:t xml:space="preserve">ENISA should consider market acceptance, as well as European and international standards. </w:t>
      </w:r>
      <w:r w:rsidR="001A462E" w:rsidRPr="00673EF3">
        <w:rPr>
          <w:noProof/>
          <w:lang w:eastAsia="en-IE"/>
        </w:rPr>
        <w:t xml:space="preserve">Taking into account the quality of the technical specifications and the objectives of the scheme, </w:t>
      </w:r>
      <w:r w:rsidR="001A462E">
        <w:rPr>
          <w:noProof/>
          <w:lang w:eastAsia="en-IE"/>
        </w:rPr>
        <w:t xml:space="preserve">it should be possible for </w:t>
      </w:r>
      <w:r w:rsidR="001A462E" w:rsidRPr="00673EF3">
        <w:rPr>
          <w:noProof/>
          <w:lang w:eastAsia="en-IE"/>
        </w:rPr>
        <w:t xml:space="preserve">the Commission </w:t>
      </w:r>
      <w:r w:rsidR="001A462E">
        <w:rPr>
          <w:noProof/>
          <w:lang w:eastAsia="en-IE"/>
        </w:rPr>
        <w:t>to</w:t>
      </w:r>
      <w:r w:rsidR="001A462E" w:rsidRPr="00673EF3">
        <w:rPr>
          <w:noProof/>
          <w:lang w:eastAsia="en-IE"/>
        </w:rPr>
        <w:t xml:space="preserve"> reference technical specifications drafted by ENISA</w:t>
      </w:r>
      <w:r w:rsidR="001A462E" w:rsidRPr="007479D8">
        <w:rPr>
          <w:noProof/>
          <w:lang w:eastAsia="en-IE"/>
        </w:rPr>
        <w:t xml:space="preserve"> </w:t>
      </w:r>
      <w:r w:rsidR="001A462E" w:rsidRPr="1496FAEA">
        <w:rPr>
          <w:noProof/>
          <w:lang w:eastAsia="en-IE"/>
        </w:rPr>
        <w:t>in a European cybersecurity certification scheme</w:t>
      </w:r>
      <w:r w:rsidR="001A462E" w:rsidRPr="00673EF3">
        <w:rPr>
          <w:noProof/>
          <w:lang w:eastAsia="en-IE"/>
        </w:rPr>
        <w:t xml:space="preserve">. </w:t>
      </w:r>
    </w:p>
    <w:p w14:paraId="7F7CFFA0" w14:textId="1C3C3842" w:rsidR="001A462E" w:rsidRPr="00261EEC" w:rsidRDefault="006D01CD" w:rsidP="006D01CD">
      <w:pPr>
        <w:pStyle w:val="ManualConsidrant"/>
        <w:rPr>
          <w:noProof/>
          <w:lang w:eastAsia="en-IE"/>
        </w:rPr>
      </w:pPr>
      <w:r w:rsidRPr="006D01CD">
        <w:rPr>
          <w:noProof/>
        </w:rPr>
        <w:t>(92)</w:t>
      </w:r>
      <w:r w:rsidRPr="006D01CD">
        <w:rPr>
          <w:noProof/>
        </w:rPr>
        <w:tab/>
      </w:r>
      <w:r w:rsidR="001A462E" w:rsidRPr="00673EF3">
        <w:rPr>
          <w:noProof/>
          <w:lang w:eastAsia="en-IE"/>
        </w:rPr>
        <w:t>Technical specifications developed by ENISA and referenced in a scheme should be made available on the ENISA website on European cybersecurity certification schemes so that all interested parties can access them. However, in some specific cases, publication on the website could pose a risk to the cybersecurity of certified ICT products, ICT services, ICT processes</w:t>
      </w:r>
      <w:r w:rsidR="001A462E">
        <w:rPr>
          <w:noProof/>
          <w:lang w:eastAsia="en-IE"/>
        </w:rPr>
        <w:t>, managed security services</w:t>
      </w:r>
      <w:r w:rsidR="001A462E" w:rsidRPr="00673EF3">
        <w:rPr>
          <w:noProof/>
          <w:lang w:eastAsia="en-IE"/>
        </w:rPr>
        <w:t xml:space="preserve"> or cyber</w:t>
      </w:r>
      <w:r w:rsidR="001A462E">
        <w:rPr>
          <w:noProof/>
          <w:lang w:eastAsia="en-IE"/>
        </w:rPr>
        <w:t xml:space="preserve"> </w:t>
      </w:r>
      <w:r w:rsidR="001A462E" w:rsidRPr="00673EF3">
        <w:rPr>
          <w:noProof/>
          <w:lang w:eastAsia="en-IE"/>
        </w:rPr>
        <w:t xml:space="preserve">posture of entities and by extension to public safety. For example, technical specifications could contain precise information on new attack paths whose public availability would make it possible for malicious actors to use them. This type of information should be distributed in a restricted manner on a need-to-know basis to relevant stakeholders, such as </w:t>
      </w:r>
      <w:r w:rsidR="001A462E">
        <w:rPr>
          <w:noProof/>
          <w:lang w:eastAsia="en-IE"/>
        </w:rPr>
        <w:t>n</w:t>
      </w:r>
      <w:r w:rsidR="001A462E" w:rsidRPr="00673EF3">
        <w:rPr>
          <w:noProof/>
          <w:lang w:eastAsia="en-IE"/>
        </w:rPr>
        <w:t xml:space="preserve">ational </w:t>
      </w:r>
      <w:r w:rsidR="001A462E">
        <w:rPr>
          <w:noProof/>
          <w:lang w:eastAsia="en-IE"/>
        </w:rPr>
        <w:t>c</w:t>
      </w:r>
      <w:r w:rsidR="001A462E" w:rsidRPr="00261EEC">
        <w:rPr>
          <w:noProof/>
          <w:lang w:eastAsia="en-IE"/>
        </w:rPr>
        <w:t xml:space="preserve">ybersecurity </w:t>
      </w:r>
      <w:r w:rsidR="001A462E">
        <w:rPr>
          <w:noProof/>
          <w:lang w:eastAsia="en-IE"/>
        </w:rPr>
        <w:t>c</w:t>
      </w:r>
      <w:r w:rsidR="001A462E" w:rsidRPr="00261EEC">
        <w:rPr>
          <w:noProof/>
          <w:lang w:eastAsia="en-IE"/>
        </w:rPr>
        <w:t xml:space="preserve">ertification </w:t>
      </w:r>
      <w:r w:rsidR="001A462E">
        <w:rPr>
          <w:noProof/>
          <w:lang w:eastAsia="en-IE"/>
        </w:rPr>
        <w:t>a</w:t>
      </w:r>
      <w:r w:rsidR="001A462E" w:rsidRPr="00261EEC">
        <w:rPr>
          <w:noProof/>
          <w:lang w:eastAsia="en-IE"/>
        </w:rPr>
        <w:t>uthorities, conformity assessment bodies and vendors being certified.</w:t>
      </w:r>
      <w:r w:rsidR="009A4588">
        <w:rPr>
          <w:noProof/>
          <w:lang w:eastAsia="en-IE"/>
        </w:rPr>
        <w:t xml:space="preserve"> </w:t>
      </w:r>
      <w:r w:rsidR="00CB2800">
        <w:rPr>
          <w:noProof/>
          <w:lang w:eastAsia="en-IE"/>
        </w:rPr>
        <w:t>Due to their restricted distribution, such technical specifications should not be referenced in European cybersecurity certification schemes</w:t>
      </w:r>
      <w:r w:rsidR="0010422C">
        <w:rPr>
          <w:noProof/>
          <w:lang w:eastAsia="en-IE"/>
        </w:rPr>
        <w:t xml:space="preserve"> </w:t>
      </w:r>
      <w:r w:rsidR="0010422C" w:rsidRPr="0010422C">
        <w:rPr>
          <w:noProof/>
          <w:lang w:eastAsia="en-IE"/>
        </w:rPr>
        <w:t>and, therefore, should be of non-binding nature.</w:t>
      </w:r>
    </w:p>
    <w:p w14:paraId="7967AA36" w14:textId="47AEE962" w:rsidR="001A462E" w:rsidRPr="006879B9" w:rsidRDefault="006D01CD" w:rsidP="006D01CD">
      <w:pPr>
        <w:pStyle w:val="ManualConsidrant"/>
        <w:rPr>
          <w:noProof/>
        </w:rPr>
      </w:pPr>
      <w:r w:rsidRPr="006D01CD">
        <w:rPr>
          <w:noProof/>
        </w:rPr>
        <w:t>(93)</w:t>
      </w:r>
      <w:r w:rsidRPr="006D01CD">
        <w:rPr>
          <w:noProof/>
        </w:rPr>
        <w:tab/>
      </w:r>
      <w:r w:rsidR="001A462E" w:rsidRPr="006879B9">
        <w:rPr>
          <w:noProof/>
        </w:rPr>
        <w:t>The cyber posture certification schemes should be designed in a modular way</w:t>
      </w:r>
      <w:r w:rsidR="00027A76" w:rsidRPr="006879B9">
        <w:rPr>
          <w:noProof/>
        </w:rPr>
        <w:t xml:space="preserve">, with a view to allowing </w:t>
      </w:r>
      <w:r w:rsidR="001A462E" w:rsidRPr="006879B9">
        <w:rPr>
          <w:noProof/>
        </w:rPr>
        <w:t>demonstrat</w:t>
      </w:r>
      <w:r w:rsidR="00027A76" w:rsidRPr="006879B9">
        <w:rPr>
          <w:noProof/>
        </w:rPr>
        <w:t>ion of</w:t>
      </w:r>
      <w:r w:rsidR="001A462E" w:rsidRPr="006879B9">
        <w:rPr>
          <w:noProof/>
        </w:rPr>
        <w:t xml:space="preserve"> compliance and </w:t>
      </w:r>
      <w:r w:rsidR="00027A76" w:rsidRPr="006879B9">
        <w:rPr>
          <w:noProof/>
        </w:rPr>
        <w:t xml:space="preserve">the </w:t>
      </w:r>
      <w:r w:rsidR="001A462E" w:rsidRPr="006879B9">
        <w:rPr>
          <w:noProof/>
        </w:rPr>
        <w:t>presumption of conformity with relevant cybersecurity requirements set out in other Union legislation, where that legislation provide</w:t>
      </w:r>
      <w:r w:rsidR="00027A76" w:rsidRPr="006879B9">
        <w:rPr>
          <w:noProof/>
        </w:rPr>
        <w:t>s</w:t>
      </w:r>
      <w:r w:rsidR="001A462E" w:rsidRPr="006879B9">
        <w:rPr>
          <w:noProof/>
        </w:rPr>
        <w:t xml:space="preserve"> for that possibility. The presumption of conformity with the requirements of these legal acts will therefore only take effect as a possible avenue to demonstrate compliance if the </w:t>
      </w:r>
      <w:r w:rsidR="00027A76" w:rsidRPr="006879B9">
        <w:rPr>
          <w:noProof/>
        </w:rPr>
        <w:t xml:space="preserve">respective </w:t>
      </w:r>
      <w:r w:rsidR="001A462E" w:rsidRPr="006879B9">
        <w:rPr>
          <w:noProof/>
        </w:rPr>
        <w:t xml:space="preserve">legal acts enable </w:t>
      </w:r>
      <w:r w:rsidR="00027A76" w:rsidRPr="006879B9">
        <w:rPr>
          <w:noProof/>
        </w:rPr>
        <w:t xml:space="preserve">such </w:t>
      </w:r>
      <w:r w:rsidR="001A462E" w:rsidRPr="006879B9">
        <w:rPr>
          <w:noProof/>
        </w:rPr>
        <w:t>presumption of conformity. The details of such a scheme, namely purpose, objectives or elements will therefore likely differ from those of other schemes. In particular, schemes for the certification of cyber posture of entities should be developed to provide for assessment of continuous conformity of an entity with Union legislation. It is therefore not necessary that cyber posture certification schemes cover all elements of the European cybersecurity certification schemes, such as assurance levels, and this should be reflected in the rules for the schemes.</w:t>
      </w:r>
    </w:p>
    <w:p w14:paraId="18F9DB05" w14:textId="5000BF12" w:rsidR="001A462E" w:rsidRPr="006879B9" w:rsidRDefault="006D01CD" w:rsidP="006D01CD">
      <w:pPr>
        <w:pStyle w:val="ManualConsidrant"/>
        <w:rPr>
          <w:noProof/>
        </w:rPr>
      </w:pPr>
      <w:r w:rsidRPr="006D01CD">
        <w:rPr>
          <w:noProof/>
        </w:rPr>
        <w:t>(94)</w:t>
      </w:r>
      <w:r w:rsidRPr="006D01CD">
        <w:rPr>
          <w:noProof/>
        </w:rPr>
        <w:tab/>
      </w:r>
      <w:r w:rsidR="00D0696A" w:rsidRPr="006879B9">
        <w:rPr>
          <w:noProof/>
        </w:rPr>
        <w:t>A framework for cyber posture certification in the ECCF, allows for developing a scheme that enables entities providing services across several Member States to demonstrate compliance with the cybersecurity risk-management obligations laid down in Directive 2022/2555 of the European Parliament and of the Council. On that basis, with the ability to demonstrate compliance, entities can benefit from more coherent and less burdensome supervisory approaches across the internal market. The development of such a certification scheme should be facilitated by the adoption of implementing acts under Directive (EU) 2022/2555. Through extension profiles, a cyber posture certification scheme may demonstrate compliance with requirements where a Member State adopted or maintained provisions ensuring a higher level of cybersecurity in line with Directive (EU) 2022/2555</w:t>
      </w:r>
      <w:r w:rsidR="007E0F26" w:rsidRPr="006879B9">
        <w:rPr>
          <w:noProof/>
        </w:rPr>
        <w:t>. </w:t>
      </w:r>
      <w:r w:rsidR="000F6393" w:rsidRPr="006879B9">
        <w:rPr>
          <w:noProof/>
        </w:rPr>
        <w:t>On this basis, an entity providing services across several Member States can demonstrate compliance with all relevant extension profiles through a single European cybersecurity certificate.</w:t>
      </w:r>
    </w:p>
    <w:p w14:paraId="44541CF7" w14:textId="4FE99B89" w:rsidR="001A462E" w:rsidRPr="00261EEC" w:rsidRDefault="006D01CD" w:rsidP="006D01CD">
      <w:pPr>
        <w:pStyle w:val="ManualConsidrant"/>
        <w:rPr>
          <w:noProof/>
          <w:lang w:eastAsia="en-IE"/>
        </w:rPr>
      </w:pPr>
      <w:r w:rsidRPr="006D01CD">
        <w:rPr>
          <w:noProof/>
        </w:rPr>
        <w:t>(95)</w:t>
      </w:r>
      <w:r w:rsidRPr="006D01CD">
        <w:rPr>
          <w:noProof/>
        </w:rPr>
        <w:tab/>
      </w:r>
      <w:r w:rsidR="001A462E" w:rsidRPr="00261EEC">
        <w:rPr>
          <w:noProof/>
          <w:lang w:eastAsia="en-IE"/>
        </w:rPr>
        <w:t xml:space="preserve">The security objectives and the security requirements set </w:t>
      </w:r>
      <w:r w:rsidR="001A462E">
        <w:rPr>
          <w:noProof/>
          <w:lang w:eastAsia="en-IE"/>
        </w:rPr>
        <w:t>out in</w:t>
      </w:r>
      <w:r w:rsidR="001A462E" w:rsidRPr="00261EEC">
        <w:rPr>
          <w:noProof/>
          <w:lang w:eastAsia="en-IE"/>
        </w:rPr>
        <w:t xml:space="preserve"> European cybersecurity certification schemes for what pertains to product security should </w:t>
      </w:r>
      <w:r w:rsidR="001A462E">
        <w:rPr>
          <w:noProof/>
          <w:lang w:eastAsia="en-IE"/>
        </w:rPr>
        <w:t>be consistent with</w:t>
      </w:r>
      <w:r w:rsidR="001A462E" w:rsidRPr="00261EEC">
        <w:rPr>
          <w:noProof/>
          <w:lang w:eastAsia="en-IE"/>
        </w:rPr>
        <w:t xml:space="preserve"> the essential cybersecurity requirements set out in Annex I to Regulation (EU) 2024/284</w:t>
      </w:r>
      <w:r w:rsidR="001A462E">
        <w:rPr>
          <w:noProof/>
          <w:lang w:eastAsia="en-IE"/>
        </w:rPr>
        <w:t>7</w:t>
      </w:r>
      <w:r w:rsidR="001A462E" w:rsidRPr="00261EEC">
        <w:rPr>
          <w:noProof/>
          <w:lang w:eastAsia="en-IE"/>
        </w:rPr>
        <w:t xml:space="preserve">. This coherence is necessary to ensure that manufacturers whose products </w:t>
      </w:r>
      <w:r w:rsidR="001A462E">
        <w:rPr>
          <w:noProof/>
          <w:lang w:eastAsia="en-IE"/>
        </w:rPr>
        <w:t>fall</w:t>
      </w:r>
      <w:r w:rsidR="001A462E" w:rsidRPr="00261EEC">
        <w:rPr>
          <w:noProof/>
          <w:lang w:eastAsia="en-IE"/>
        </w:rPr>
        <w:t xml:space="preserve"> within the scope of Regulation (EU) 2024/284</w:t>
      </w:r>
      <w:r w:rsidR="001A462E">
        <w:rPr>
          <w:noProof/>
          <w:lang w:eastAsia="en-IE"/>
        </w:rPr>
        <w:t>7</w:t>
      </w:r>
      <w:r w:rsidR="001A462E" w:rsidRPr="00261EEC">
        <w:rPr>
          <w:noProof/>
          <w:lang w:eastAsia="en-IE"/>
        </w:rPr>
        <w:t xml:space="preserve"> do not face contradictory requirements when certifying their products under a European cybersecurity certification scheme. Furthermore, </w:t>
      </w:r>
      <w:r w:rsidR="001A462E">
        <w:rPr>
          <w:noProof/>
          <w:lang w:eastAsia="en-IE"/>
        </w:rPr>
        <w:t>consistency</w:t>
      </w:r>
      <w:r w:rsidR="001A462E" w:rsidRPr="00261EEC">
        <w:rPr>
          <w:noProof/>
          <w:lang w:eastAsia="en-IE"/>
        </w:rPr>
        <w:t xml:space="preserve"> of requirements facilitates the presumption of conformity </w:t>
      </w:r>
      <w:r w:rsidR="001A462E">
        <w:rPr>
          <w:noProof/>
          <w:lang w:eastAsia="en-IE"/>
        </w:rPr>
        <w:t>by</w:t>
      </w:r>
      <w:r w:rsidR="001A462E" w:rsidRPr="00261EEC">
        <w:rPr>
          <w:noProof/>
          <w:lang w:eastAsia="en-IE"/>
        </w:rPr>
        <w:t xml:space="preserve"> Article 27 of Regulation (EU) 2024/284</w:t>
      </w:r>
      <w:r w:rsidR="001A462E">
        <w:rPr>
          <w:noProof/>
          <w:lang w:eastAsia="en-IE"/>
        </w:rPr>
        <w:t>7</w:t>
      </w:r>
      <w:r w:rsidR="001A462E" w:rsidRPr="00261EEC">
        <w:rPr>
          <w:noProof/>
          <w:lang w:eastAsia="en-IE"/>
        </w:rPr>
        <w:t xml:space="preserve"> whereby manufacturers of products with digital elements that have been certified under a European cybersecurity certification scheme can benefit under certain conditions from presumption of conformity with the essential cybersecurity requirements set out in Annex I </w:t>
      </w:r>
      <w:r w:rsidR="001A462E">
        <w:rPr>
          <w:noProof/>
          <w:lang w:eastAsia="en-IE"/>
        </w:rPr>
        <w:t>to that</w:t>
      </w:r>
      <w:r w:rsidR="001A462E" w:rsidRPr="00261EEC">
        <w:rPr>
          <w:noProof/>
          <w:lang w:eastAsia="en-IE"/>
        </w:rPr>
        <w:t xml:space="preserve"> Regulation. </w:t>
      </w:r>
    </w:p>
    <w:p w14:paraId="69E81AE0" w14:textId="19684346" w:rsidR="001A462E" w:rsidRPr="00261EEC" w:rsidRDefault="006D01CD" w:rsidP="006D01CD">
      <w:pPr>
        <w:pStyle w:val="ManualConsidrant"/>
        <w:rPr>
          <w:noProof/>
          <w:lang w:eastAsia="en-IE"/>
        </w:rPr>
      </w:pPr>
      <w:r w:rsidRPr="006D01CD">
        <w:rPr>
          <w:noProof/>
        </w:rPr>
        <w:t>(96)</w:t>
      </w:r>
      <w:r w:rsidRPr="006D01CD">
        <w:rPr>
          <w:noProof/>
        </w:rPr>
        <w:tab/>
      </w:r>
      <w:r w:rsidR="001A462E">
        <w:rPr>
          <w:noProof/>
          <w:lang w:eastAsia="en-IE"/>
        </w:rPr>
        <w:t>Within the</w:t>
      </w:r>
      <w:r w:rsidR="001A462E" w:rsidRPr="00261EEC">
        <w:rPr>
          <w:noProof/>
          <w:lang w:eastAsia="en-IE"/>
        </w:rPr>
        <w:t xml:space="preserve"> European cybersecurity certification scheme</w:t>
      </w:r>
      <w:r w:rsidR="001A462E">
        <w:rPr>
          <w:noProof/>
          <w:lang w:eastAsia="en-IE"/>
        </w:rPr>
        <w:t>, it should be possible to</w:t>
      </w:r>
      <w:r w:rsidR="001A462E" w:rsidRPr="00261EEC">
        <w:rPr>
          <w:noProof/>
          <w:lang w:eastAsia="en-IE"/>
        </w:rPr>
        <w:t xml:space="preserve"> specify an extension profile, by setting out </w:t>
      </w:r>
      <w:r w:rsidR="001A462E" w:rsidRPr="00261EEC">
        <w:rPr>
          <w:noProof/>
        </w:rPr>
        <w:t>additional</w:t>
      </w:r>
      <w:r w:rsidR="001A462E" w:rsidRPr="00261EEC">
        <w:rPr>
          <w:noProof/>
          <w:lang w:eastAsia="en-IE"/>
        </w:rPr>
        <w:t xml:space="preserve"> or </w:t>
      </w:r>
      <w:r w:rsidR="001A462E" w:rsidRPr="00261EEC">
        <w:rPr>
          <w:noProof/>
        </w:rPr>
        <w:t>specific</w:t>
      </w:r>
      <w:r w:rsidR="001A462E" w:rsidRPr="00261EEC">
        <w:rPr>
          <w:noProof/>
          <w:lang w:eastAsia="en-IE"/>
        </w:rPr>
        <w:t xml:space="preserve"> requirements for use cases, including additional capabilities such as enhanced product features, speciali</w:t>
      </w:r>
      <w:r w:rsidR="001A462E">
        <w:rPr>
          <w:noProof/>
          <w:lang w:eastAsia="en-IE"/>
        </w:rPr>
        <w:t>s</w:t>
      </w:r>
      <w:r w:rsidR="001A462E" w:rsidRPr="00261EEC">
        <w:rPr>
          <w:noProof/>
          <w:lang w:eastAsia="en-IE"/>
        </w:rPr>
        <w:t>ed service offerings or assets, optimi</w:t>
      </w:r>
      <w:r w:rsidR="001A462E">
        <w:rPr>
          <w:noProof/>
          <w:lang w:eastAsia="en-IE"/>
        </w:rPr>
        <w:t>s</w:t>
      </w:r>
      <w:r w:rsidR="001A462E" w:rsidRPr="00261EEC">
        <w:rPr>
          <w:noProof/>
          <w:lang w:eastAsia="en-IE"/>
        </w:rPr>
        <w:t xml:space="preserve">ed processes, and advanced security measures. Since extension profiles do not correspond to a specific assurance level, they should describe their purpose </w:t>
      </w:r>
      <w:r w:rsidR="001A462E">
        <w:rPr>
          <w:noProof/>
          <w:lang w:eastAsia="en-IE"/>
        </w:rPr>
        <w:t>in detail,</w:t>
      </w:r>
      <w:r w:rsidR="001A462E" w:rsidRPr="00261EEC">
        <w:rPr>
          <w:noProof/>
          <w:lang w:eastAsia="en-IE"/>
        </w:rPr>
        <w:t xml:space="preserve"> including the security threats</w:t>
      </w:r>
      <w:r w:rsidR="001A462E">
        <w:rPr>
          <w:noProof/>
          <w:lang w:eastAsia="en-IE"/>
        </w:rPr>
        <w:t xml:space="preserve"> addressed</w:t>
      </w:r>
      <w:r w:rsidR="001A462E" w:rsidRPr="00261EEC">
        <w:rPr>
          <w:noProof/>
          <w:lang w:eastAsia="en-IE"/>
        </w:rPr>
        <w:t xml:space="preserve">. Extension profiles are intended </w:t>
      </w:r>
      <w:r w:rsidR="001A462E">
        <w:rPr>
          <w:noProof/>
          <w:lang w:eastAsia="en-IE"/>
        </w:rPr>
        <w:t xml:space="preserve">in particular </w:t>
      </w:r>
      <w:r w:rsidR="001A462E" w:rsidRPr="00261EEC">
        <w:rPr>
          <w:noProof/>
          <w:lang w:eastAsia="en-IE"/>
        </w:rPr>
        <w:t>to demonstrate compliance</w:t>
      </w:r>
      <w:r w:rsidR="001A462E" w:rsidRPr="00261EEC">
        <w:rPr>
          <w:noProof/>
          <w:color w:val="000000" w:themeColor="text1"/>
          <w:lang w:eastAsia="en-IE"/>
        </w:rPr>
        <w:t xml:space="preserve"> </w:t>
      </w:r>
      <w:r w:rsidR="001A462E" w:rsidRPr="00261EEC">
        <w:rPr>
          <w:noProof/>
          <w:lang w:eastAsia="en-IE"/>
        </w:rPr>
        <w:t xml:space="preserve">with specific standards and regulatory requirements, </w:t>
      </w:r>
      <w:r w:rsidR="001A462E" w:rsidRPr="00331535">
        <w:rPr>
          <w:noProof/>
          <w:lang w:eastAsia="en-IE"/>
        </w:rPr>
        <w:t xml:space="preserve">including, where applicable, </w:t>
      </w:r>
      <w:r w:rsidR="001A462E">
        <w:rPr>
          <w:noProof/>
          <w:lang w:eastAsia="en-IE"/>
        </w:rPr>
        <w:t xml:space="preserve">requirements as regards </w:t>
      </w:r>
      <w:r w:rsidR="000A41FF">
        <w:rPr>
          <w:noProof/>
          <w:lang w:eastAsia="en-IE"/>
        </w:rPr>
        <w:t xml:space="preserve">additional </w:t>
      </w:r>
      <w:r w:rsidR="001A462E" w:rsidRPr="00331535">
        <w:rPr>
          <w:noProof/>
          <w:lang w:eastAsia="en-IE"/>
        </w:rPr>
        <w:t xml:space="preserve">cybersecurity risk-management measures laid down by a Member State </w:t>
      </w:r>
      <w:r w:rsidR="000A41FF">
        <w:rPr>
          <w:noProof/>
          <w:lang w:eastAsia="en-IE"/>
        </w:rPr>
        <w:t>following the</w:t>
      </w:r>
      <w:r w:rsidR="001A462E" w:rsidRPr="00331535">
        <w:rPr>
          <w:noProof/>
          <w:lang w:eastAsia="en-IE"/>
        </w:rPr>
        <w:t xml:space="preserve"> minimum harmoni</w:t>
      </w:r>
      <w:r w:rsidR="001A462E">
        <w:rPr>
          <w:noProof/>
          <w:lang w:eastAsia="en-IE"/>
        </w:rPr>
        <w:t>s</w:t>
      </w:r>
      <w:r w:rsidR="001A462E" w:rsidRPr="00331535">
        <w:rPr>
          <w:noProof/>
          <w:lang w:eastAsia="en-IE"/>
        </w:rPr>
        <w:t xml:space="preserve">ation </w:t>
      </w:r>
      <w:r w:rsidR="000A41FF">
        <w:rPr>
          <w:noProof/>
          <w:lang w:eastAsia="en-IE"/>
        </w:rPr>
        <w:t xml:space="preserve">principle </w:t>
      </w:r>
      <w:r w:rsidR="001A462E" w:rsidRPr="00331535">
        <w:rPr>
          <w:noProof/>
          <w:lang w:eastAsia="en-IE"/>
        </w:rPr>
        <w:t>in line with Directive (EU) 2022/2555</w:t>
      </w:r>
      <w:r w:rsidR="001A462E" w:rsidRPr="00261EEC">
        <w:rPr>
          <w:noProof/>
          <w:lang w:eastAsia="en-IE"/>
        </w:rPr>
        <w:t>.</w:t>
      </w:r>
    </w:p>
    <w:p w14:paraId="085BF9D7" w14:textId="20F6069C" w:rsidR="001A462E" w:rsidRPr="00261EEC" w:rsidRDefault="006D01CD" w:rsidP="006D01CD">
      <w:pPr>
        <w:pStyle w:val="ManualConsidrant"/>
        <w:rPr>
          <w:noProof/>
        </w:rPr>
      </w:pPr>
      <w:r w:rsidRPr="006D01CD">
        <w:rPr>
          <w:noProof/>
        </w:rPr>
        <w:t>(97)</w:t>
      </w:r>
      <w:r w:rsidRPr="006D01CD">
        <w:rPr>
          <w:noProof/>
        </w:rPr>
        <w:tab/>
      </w:r>
      <w:r w:rsidR="001A462E" w:rsidRPr="00261EEC">
        <w:rPr>
          <w:noProof/>
        </w:rPr>
        <w:t xml:space="preserve">Without prejudice to the general peer review system to be put in place across all national cybersecurity certification authorities within the </w:t>
      </w:r>
      <w:r w:rsidR="001A462E">
        <w:rPr>
          <w:noProof/>
        </w:rPr>
        <w:t>ECCF</w:t>
      </w:r>
      <w:r w:rsidR="001A462E" w:rsidRPr="00261EEC">
        <w:rPr>
          <w:noProof/>
        </w:rPr>
        <w:t xml:space="preserve">, </w:t>
      </w:r>
      <w:r w:rsidR="001A462E">
        <w:rPr>
          <w:noProof/>
        </w:rPr>
        <w:t>it should be possible to include in the</w:t>
      </w:r>
      <w:r w:rsidR="001A462E" w:rsidRPr="00261EEC">
        <w:rPr>
          <w:noProof/>
        </w:rPr>
        <w:t xml:space="preserve"> European cybersecurity certification schemes a peer-assessment mechanism for the bodies that issue European cybersecurity certificates for ICT products, ICT services, ICT processes, managed security services and cyber posture of entities, in particular for those bodies that issue certificates with an assurance level ‘high’ under such schemes. Such bodies </w:t>
      </w:r>
      <w:r w:rsidR="001A462E">
        <w:rPr>
          <w:noProof/>
        </w:rPr>
        <w:t>should</w:t>
      </w:r>
      <w:r w:rsidR="001A462E" w:rsidRPr="00261EEC">
        <w:rPr>
          <w:noProof/>
        </w:rPr>
        <w:t xml:space="preserve"> also include certification bodies of the </w:t>
      </w:r>
      <w:r w:rsidR="001A462E">
        <w:rPr>
          <w:noProof/>
        </w:rPr>
        <w:t xml:space="preserve">national cybersecurity certification authorities </w:t>
      </w:r>
      <w:r w:rsidR="001A462E" w:rsidRPr="00261EEC">
        <w:rPr>
          <w:noProof/>
        </w:rPr>
        <w:t xml:space="preserve">issuing certificates at assurance level ‘high’. The ECCG should support the implementation of such peer-assessment mechanisms. The peer assessments should assess in particular whether the bodies concerned carry out their tasks in a harmonised way and may include appeal mechanisms. </w:t>
      </w:r>
    </w:p>
    <w:p w14:paraId="4B8C6740" w14:textId="6061BF55" w:rsidR="001A462E" w:rsidRPr="00261EEC" w:rsidRDefault="006D01CD" w:rsidP="006D01CD">
      <w:pPr>
        <w:pStyle w:val="ManualConsidrant"/>
        <w:rPr>
          <w:noProof/>
          <w:lang w:eastAsia="en-IE"/>
        </w:rPr>
      </w:pPr>
      <w:r w:rsidRPr="006D01CD">
        <w:rPr>
          <w:noProof/>
        </w:rPr>
        <w:t>(98)</w:t>
      </w:r>
      <w:r w:rsidRPr="006D01CD">
        <w:rPr>
          <w:noProof/>
        </w:rPr>
        <w:tab/>
      </w:r>
      <w:r w:rsidR="001A462E" w:rsidRPr="00261EEC">
        <w:rPr>
          <w:noProof/>
          <w:lang w:eastAsia="en-IE"/>
        </w:rPr>
        <w:t xml:space="preserve">Crises such as wars, natural disasters, and pandemics might negatively impact certification activities. In crisis scenarios </w:t>
      </w:r>
      <w:r w:rsidR="001A462E">
        <w:rPr>
          <w:noProof/>
          <w:lang w:eastAsia="en-IE"/>
        </w:rPr>
        <w:t>of this nature,</w:t>
      </w:r>
      <w:r w:rsidR="001A462E" w:rsidRPr="00261EEC">
        <w:rPr>
          <w:noProof/>
          <w:lang w:eastAsia="en-IE"/>
        </w:rPr>
        <w:t xml:space="preserve"> it might not be feasible, for example, </w:t>
      </w:r>
      <w:r w:rsidR="001A462E">
        <w:rPr>
          <w:noProof/>
          <w:lang w:eastAsia="en-IE"/>
        </w:rPr>
        <w:t xml:space="preserve">to </w:t>
      </w:r>
      <w:r w:rsidR="001A462E" w:rsidRPr="00261EEC">
        <w:rPr>
          <w:noProof/>
          <w:lang w:eastAsia="en-IE"/>
        </w:rPr>
        <w:t xml:space="preserve">ensure site security due to infrastructure destruction, cyberattacks, personnel unavailability, and </w:t>
      </w:r>
      <w:r w:rsidR="001A462E">
        <w:rPr>
          <w:noProof/>
          <w:lang w:eastAsia="en-IE"/>
        </w:rPr>
        <w:t>the</w:t>
      </w:r>
      <w:r w:rsidR="001A462E" w:rsidRPr="00261EEC">
        <w:rPr>
          <w:noProof/>
          <w:lang w:eastAsia="en-IE"/>
        </w:rPr>
        <w:t xml:space="preserve"> inaccessibility of the site. A European cybersecurity certification scheme should therefore specify temporary rules on continuity of certification activities during such scenarios.</w:t>
      </w:r>
    </w:p>
    <w:p w14:paraId="6461DA4A" w14:textId="4B24DDE7" w:rsidR="001A462E" w:rsidRPr="006879B9" w:rsidRDefault="006D01CD" w:rsidP="006D01CD">
      <w:pPr>
        <w:pStyle w:val="ManualConsidrant"/>
        <w:rPr>
          <w:noProof/>
        </w:rPr>
      </w:pPr>
      <w:r w:rsidRPr="006D01CD">
        <w:rPr>
          <w:noProof/>
        </w:rPr>
        <w:t>(99)</w:t>
      </w:r>
      <w:r w:rsidRPr="006D01CD">
        <w:rPr>
          <w:noProof/>
        </w:rPr>
        <w:tab/>
      </w:r>
      <w:r w:rsidR="00D84E45" w:rsidRPr="006879B9">
        <w:rPr>
          <w:noProof/>
        </w:rPr>
        <w:t>T</w:t>
      </w:r>
      <w:r w:rsidR="001A462E" w:rsidRPr="006879B9">
        <w:rPr>
          <w:noProof/>
        </w:rPr>
        <w:t>ranslating technical candidate schemes into implementing acts requires complex technical and legal knowledge and can create significant administrative burden. Moreover,</w:t>
      </w:r>
      <w:r w:rsidR="001A462E" w:rsidRPr="006879B9" w:rsidDel="007D5D92">
        <w:rPr>
          <w:noProof/>
        </w:rPr>
        <w:t xml:space="preserve"> </w:t>
      </w:r>
      <w:r w:rsidR="001A462E" w:rsidRPr="006879B9">
        <w:rPr>
          <w:noProof/>
        </w:rPr>
        <w:t xml:space="preserve">certain elements of European cybersecurity certification schemes, such as vulnerability management or the conditions under which such marks or labels may be used, are cross-sectoral and may benefit from harmonised reference provisions. To ensure the quality of adopted European cybersecurity certification schemes and reduce compliance burden for businesses, the Commission should be empowered to adopt model provisions covering certain elements of European cybersecurity certification schemes. </w:t>
      </w:r>
    </w:p>
    <w:p w14:paraId="19003322" w14:textId="614C6754" w:rsidR="001A462E" w:rsidRPr="006879B9" w:rsidRDefault="006D01CD" w:rsidP="006D01CD">
      <w:pPr>
        <w:pStyle w:val="ManualConsidrant"/>
        <w:rPr>
          <w:noProof/>
        </w:rPr>
      </w:pPr>
      <w:r w:rsidRPr="006D01CD">
        <w:rPr>
          <w:noProof/>
        </w:rPr>
        <w:t>(100)</w:t>
      </w:r>
      <w:r w:rsidRPr="006D01CD">
        <w:rPr>
          <w:noProof/>
        </w:rPr>
        <w:tab/>
      </w:r>
      <w:r w:rsidR="001A462E" w:rsidRPr="006879B9">
        <w:rPr>
          <w:noProof/>
        </w:rPr>
        <w:t>In order to ensure the consistency of the European cybersecurity certification framework, it should be possible within a European cybersecurity certification scheme to specify assurance levels for European cybersecurity certificates and EU statements of conformity issued under that scheme. A European cybersecurity certificate should refer to one of the assurance levels: ‘basic’, ‘substantial’ or ‘high’, while the EU statement of conformity should only refer to the assurance level ‘basic’. The assurance levels should provide the corresponding rigour and depth of the evaluation of the ICT product, ICT service, ICT process, managed security service or cyber posture of an entity and should be characterised by reference to technical specifications, standards and procedures related thereto, including technical controls, the purpose of which is to mitigate or prevent incidents. Each assurance level should be consistent among the different sectorial domains where certification is applied.</w:t>
      </w:r>
    </w:p>
    <w:p w14:paraId="37B6688F" w14:textId="123E059D" w:rsidR="001A462E" w:rsidRPr="00261EEC" w:rsidRDefault="006D01CD" w:rsidP="006D01CD">
      <w:pPr>
        <w:pStyle w:val="ManualConsidrant"/>
        <w:rPr>
          <w:noProof/>
        </w:rPr>
      </w:pPr>
      <w:r w:rsidRPr="006D01CD">
        <w:rPr>
          <w:noProof/>
        </w:rPr>
        <w:t>(101)</w:t>
      </w:r>
      <w:r w:rsidRPr="006D01CD">
        <w:rPr>
          <w:noProof/>
        </w:rPr>
        <w:tab/>
      </w:r>
      <w:r w:rsidR="001A462E" w:rsidRPr="00261EEC">
        <w:rPr>
          <w:noProof/>
          <w:lang w:eastAsia="en-IE"/>
        </w:rPr>
        <w:t xml:space="preserve">The choice of the appropriate certification and associated security requirements by the users of European cybersecurity certificates should be based on an analysis of the risks associated with the use of the ICT products, ICT services, ICT processes, managed security services or the context of the </w:t>
      </w:r>
      <w:r w:rsidR="001A462E">
        <w:rPr>
          <w:noProof/>
          <w:lang w:eastAsia="en-IE"/>
        </w:rPr>
        <w:t>certification of</w:t>
      </w:r>
      <w:r w:rsidR="001A462E" w:rsidRPr="00261EEC">
        <w:rPr>
          <w:noProof/>
          <w:lang w:eastAsia="en-IE"/>
        </w:rPr>
        <w:t xml:space="preserve"> entities. Accordingly, the assurance level should be commensurate with the level of risk associated with the intended use of </w:t>
      </w:r>
      <w:r w:rsidR="001A462E">
        <w:rPr>
          <w:noProof/>
          <w:lang w:eastAsia="en-IE"/>
        </w:rPr>
        <w:t>the</w:t>
      </w:r>
      <w:r w:rsidR="001A462E" w:rsidRPr="00261EEC">
        <w:rPr>
          <w:noProof/>
          <w:lang w:eastAsia="en-IE"/>
        </w:rPr>
        <w:t xml:space="preserve"> ICT product, ICT service, ICT process, managed security services, or the operational environment and nature of the entity the cyber posture of which is subject to certification.</w:t>
      </w:r>
      <w:r w:rsidR="001A462E" w:rsidRPr="00261EEC">
        <w:rPr>
          <w:noProof/>
        </w:rPr>
        <w:t xml:space="preserve"> </w:t>
      </w:r>
    </w:p>
    <w:p w14:paraId="6BD5FB2E" w14:textId="4650A11E" w:rsidR="001A462E" w:rsidRPr="006879B9" w:rsidRDefault="006D01CD" w:rsidP="006D01CD">
      <w:pPr>
        <w:pStyle w:val="ManualConsidrant"/>
        <w:rPr>
          <w:noProof/>
        </w:rPr>
      </w:pPr>
      <w:r w:rsidRPr="006D01CD">
        <w:rPr>
          <w:noProof/>
        </w:rPr>
        <w:t>(102)</w:t>
      </w:r>
      <w:r w:rsidRPr="006D01CD">
        <w:rPr>
          <w:noProof/>
        </w:rPr>
        <w:tab/>
      </w:r>
      <w:r w:rsidR="001A462E" w:rsidRPr="006879B9">
        <w:rPr>
          <w:noProof/>
        </w:rPr>
        <w:t>For assurance level ‘basic’, the evaluation should be guided at least by the following assurance components: the evaluation should at least include a review of the technical documentation of the ICT product, ICT service, ICT process, managed security service or cyber posture of an entity by the conformity assessment body. Where the certification includes ICT processes, the process used to design, develop and maintain an ICT product, ICT service, managed security service or cyber posture of an entity should also be subject to the technical review. Where a European cybersecurity certification scheme provides for a conformity self-assessment, it should be sufficient that the manufacturer or provider of ICT products, ICT services, ICT processes or managed security services, or the entity whose cyber posture of which is subject to certification, has carried out a self-assessment of the compliance of the ICT product, ICT service, ICT process, managed security service or cyber posture of an entity with the certification scheme.</w:t>
      </w:r>
    </w:p>
    <w:p w14:paraId="0B120D9F" w14:textId="6C2AF046" w:rsidR="001A462E" w:rsidRPr="006879B9" w:rsidRDefault="006D01CD" w:rsidP="006D01CD">
      <w:pPr>
        <w:pStyle w:val="ManualConsidrant"/>
        <w:rPr>
          <w:noProof/>
        </w:rPr>
      </w:pPr>
      <w:r w:rsidRPr="006D01CD">
        <w:rPr>
          <w:noProof/>
        </w:rPr>
        <w:t>(103)</w:t>
      </w:r>
      <w:r w:rsidRPr="006D01CD">
        <w:rPr>
          <w:noProof/>
        </w:rPr>
        <w:tab/>
      </w:r>
      <w:r w:rsidR="001A462E" w:rsidRPr="006879B9">
        <w:rPr>
          <w:noProof/>
        </w:rPr>
        <w:t>For assurance level ‘substantial’, the evaluation, in addition to the requirements for assurance level ‘basic’, should be guided at least by the verification of the compliance of the security functionalities of the ICT product, ICT service, ICT process, managed security service or cyber posture of an entity with its technical documentation.</w:t>
      </w:r>
    </w:p>
    <w:p w14:paraId="4EA1549E" w14:textId="2C19930C" w:rsidR="001A462E" w:rsidRPr="00BD0E95" w:rsidRDefault="006D01CD" w:rsidP="006D01CD">
      <w:pPr>
        <w:pStyle w:val="ManualConsidrant"/>
        <w:rPr>
          <w:noProof/>
          <w:lang w:eastAsia="en-IE"/>
        </w:rPr>
      </w:pPr>
      <w:r w:rsidRPr="006D01CD">
        <w:rPr>
          <w:noProof/>
        </w:rPr>
        <w:t>(104)</w:t>
      </w:r>
      <w:r w:rsidRPr="006D01CD">
        <w:rPr>
          <w:noProof/>
        </w:rPr>
        <w:tab/>
      </w:r>
      <w:r w:rsidR="001A462E" w:rsidRPr="00BD0E95">
        <w:rPr>
          <w:noProof/>
          <w:lang w:eastAsia="en-IE"/>
        </w:rPr>
        <w:t xml:space="preserve">For assurance level ‘high’, the evaluation, in addition to the requirements for assurance level ‘substantial’, should be guided at least by an efficiency testing which assesses the resistance of the security functionalities against elaborate cyberattacks performed by persons who have significant skills and resources. Conformity assessment activities should be performed in the European Economic Area for assurance level ‘high’ or where a scheme is designed to </w:t>
      </w:r>
      <w:r w:rsidR="001A462E">
        <w:rPr>
          <w:noProof/>
          <w:lang w:eastAsia="en-IE"/>
        </w:rPr>
        <w:t xml:space="preserve">demonstrate compliance and </w:t>
      </w:r>
      <w:r w:rsidR="001A462E" w:rsidRPr="00BD0E95">
        <w:rPr>
          <w:noProof/>
          <w:lang w:eastAsia="en-IE"/>
        </w:rPr>
        <w:t>provide for presumption of conformity with other Union legislation. This requirement is justified by the fact that assessment activities taking place outside the European Economic Area give rise to additional threats to cybersecurity</w:t>
      </w:r>
      <w:r w:rsidR="001A462E">
        <w:rPr>
          <w:noProof/>
          <w:lang w:eastAsia="en-IE"/>
        </w:rPr>
        <w:t xml:space="preserve">, in particular </w:t>
      </w:r>
      <w:r w:rsidR="001A462E" w:rsidRPr="00BD0E95">
        <w:rPr>
          <w:noProof/>
          <w:lang w:eastAsia="en-IE"/>
        </w:rPr>
        <w:t xml:space="preserve">the intellectual property of the evaluated ICT products, ICT services, ICT processes, managed security services or entities. For instance, the source code of an ICT product could be scrutinised when crossing the border of a third country, which constitutes a risk to intellectual property. Additionally, </w:t>
      </w:r>
      <w:r w:rsidR="001A462E">
        <w:rPr>
          <w:noProof/>
          <w:lang w:eastAsia="en-IE"/>
        </w:rPr>
        <w:t xml:space="preserve">testing </w:t>
      </w:r>
      <w:r w:rsidR="001A462E" w:rsidRPr="00BD0E95">
        <w:rPr>
          <w:noProof/>
          <w:lang w:eastAsia="en-IE"/>
        </w:rPr>
        <w:t>lab</w:t>
      </w:r>
      <w:r w:rsidR="001A462E">
        <w:rPr>
          <w:noProof/>
          <w:lang w:eastAsia="en-IE"/>
        </w:rPr>
        <w:t>oratorie</w:t>
      </w:r>
      <w:r w:rsidR="001A462E" w:rsidRPr="00BD0E95">
        <w:rPr>
          <w:noProof/>
          <w:lang w:eastAsia="en-IE"/>
        </w:rPr>
        <w:t xml:space="preserve">s established in third countries do not operate in an environment that is concerned by the cybersecurity measures mandated by EU legislation, such as Directive (EU) 2022/2555 or Regulation (EU) 2024/2847. For instance, a </w:t>
      </w:r>
      <w:r w:rsidR="001A462E">
        <w:rPr>
          <w:noProof/>
          <w:lang w:eastAsia="en-IE"/>
        </w:rPr>
        <w:t xml:space="preserve">testing </w:t>
      </w:r>
      <w:r w:rsidR="001A462E" w:rsidRPr="00BD0E95">
        <w:rPr>
          <w:noProof/>
          <w:lang w:eastAsia="en-IE"/>
        </w:rPr>
        <w:t>lab</w:t>
      </w:r>
      <w:r w:rsidR="001A462E">
        <w:rPr>
          <w:noProof/>
          <w:lang w:eastAsia="en-IE"/>
        </w:rPr>
        <w:t>oratory</w:t>
      </w:r>
      <w:r w:rsidR="001A462E" w:rsidRPr="00BD0E95">
        <w:rPr>
          <w:noProof/>
          <w:lang w:eastAsia="en-IE"/>
        </w:rPr>
        <w:t xml:space="preserve"> may rely on a third-party cloud service provider which do not abide to the cybersecurity requirements of Directive (EU) 2022/2555.</w:t>
      </w:r>
      <w:r w:rsidR="001A462E">
        <w:rPr>
          <w:noProof/>
          <w:lang w:eastAsia="en-IE"/>
        </w:rPr>
        <w:t xml:space="preserve"> Nevertheless, </w:t>
      </w:r>
      <w:r w:rsidR="001A462E" w:rsidRPr="00261EEC">
        <w:rPr>
          <w:noProof/>
          <w:lang w:eastAsia="en-IE"/>
        </w:rPr>
        <w:t xml:space="preserve">a certification scheme </w:t>
      </w:r>
      <w:r w:rsidR="001A462E">
        <w:rPr>
          <w:noProof/>
          <w:lang w:eastAsia="en-IE"/>
        </w:rPr>
        <w:t>should be allowed to</w:t>
      </w:r>
      <w:r w:rsidR="001A462E" w:rsidRPr="00261EEC">
        <w:rPr>
          <w:noProof/>
          <w:lang w:eastAsia="en-IE"/>
        </w:rPr>
        <w:t xml:space="preserve"> provide for derogation </w:t>
      </w:r>
      <w:r w:rsidR="001A462E" w:rsidRPr="00261EEC">
        <w:rPr>
          <w:noProof/>
        </w:rPr>
        <w:t xml:space="preserve">mechanisms </w:t>
      </w:r>
      <w:r w:rsidR="001A462E">
        <w:rPr>
          <w:noProof/>
        </w:rPr>
        <w:t>for instance</w:t>
      </w:r>
      <w:r w:rsidR="001A462E" w:rsidRPr="00261EEC">
        <w:rPr>
          <w:noProof/>
        </w:rPr>
        <w:t xml:space="preserve"> related to site certification or </w:t>
      </w:r>
      <w:r w:rsidR="001A462E">
        <w:rPr>
          <w:noProof/>
        </w:rPr>
        <w:t xml:space="preserve">in </w:t>
      </w:r>
      <w:r w:rsidR="001A462E" w:rsidRPr="00261EEC">
        <w:rPr>
          <w:noProof/>
        </w:rPr>
        <w:t>other instances where conformity assessment activities cannot be reasonabl</w:t>
      </w:r>
      <w:r w:rsidR="001A462E">
        <w:rPr>
          <w:noProof/>
        </w:rPr>
        <w:t>y</w:t>
      </w:r>
      <w:r w:rsidR="001A462E" w:rsidRPr="00261EEC">
        <w:rPr>
          <w:noProof/>
        </w:rPr>
        <w:t xml:space="preserve"> performed in the European Economic Area.</w:t>
      </w:r>
    </w:p>
    <w:p w14:paraId="1E3812A8" w14:textId="37434E24" w:rsidR="001A462E" w:rsidRPr="00261EEC" w:rsidRDefault="006D01CD" w:rsidP="006D01CD">
      <w:pPr>
        <w:pStyle w:val="ManualConsidrant"/>
        <w:rPr>
          <w:noProof/>
          <w:lang w:eastAsia="en-IE"/>
        </w:rPr>
      </w:pPr>
      <w:r w:rsidRPr="006D01CD">
        <w:rPr>
          <w:noProof/>
        </w:rPr>
        <w:t>(105)</w:t>
      </w:r>
      <w:r w:rsidRPr="006D01CD">
        <w:rPr>
          <w:noProof/>
        </w:rPr>
        <w:tab/>
      </w:r>
      <w:r w:rsidR="001A462E" w:rsidRPr="00261EEC">
        <w:rPr>
          <w:noProof/>
          <w:lang w:eastAsia="en-IE"/>
        </w:rPr>
        <w:t xml:space="preserve">In some cases, different approaches to meet security objectives of a given assurance level might be required to address specifics of </w:t>
      </w:r>
      <w:r w:rsidR="001A462E" w:rsidRPr="00261EEC">
        <w:rPr>
          <w:noProof/>
          <w:color w:val="000000" w:themeColor="text1"/>
        </w:rPr>
        <w:t>an ICT product, ICT service, ICT process, managed security services or cyber posture of entities</w:t>
      </w:r>
      <w:r w:rsidR="001A462E" w:rsidRPr="00261EEC">
        <w:rPr>
          <w:noProof/>
          <w:lang w:eastAsia="en-IE"/>
        </w:rPr>
        <w:t>. To allow for a more granular approach</w:t>
      </w:r>
      <w:r w:rsidR="001A462E">
        <w:rPr>
          <w:noProof/>
          <w:lang w:eastAsia="en-IE"/>
        </w:rPr>
        <w:t>,</w:t>
      </w:r>
      <w:r w:rsidR="001A462E" w:rsidRPr="00261EEC">
        <w:rPr>
          <w:noProof/>
          <w:lang w:eastAsia="en-IE"/>
        </w:rPr>
        <w:t xml:space="preserve"> </w:t>
      </w:r>
      <w:r w:rsidR="001A462E">
        <w:rPr>
          <w:noProof/>
          <w:lang w:eastAsia="en-IE"/>
        </w:rPr>
        <w:t xml:space="preserve">it should be possible in </w:t>
      </w:r>
      <w:r w:rsidR="001A462E" w:rsidRPr="00261EEC">
        <w:rPr>
          <w:noProof/>
          <w:lang w:eastAsia="en-IE"/>
        </w:rPr>
        <w:t xml:space="preserve">a European cybersecurity certification scheme </w:t>
      </w:r>
      <w:r w:rsidR="001A462E">
        <w:rPr>
          <w:noProof/>
          <w:lang w:eastAsia="en-IE"/>
        </w:rPr>
        <w:t>to</w:t>
      </w:r>
      <w:r w:rsidR="001A462E" w:rsidRPr="00261EEC">
        <w:rPr>
          <w:noProof/>
          <w:lang w:eastAsia="en-IE"/>
        </w:rPr>
        <w:t xml:space="preserve"> specify one or several evaluation levels corresponding to one of the assurance levels. This will enable development of scheme</w:t>
      </w:r>
      <w:r w:rsidR="001A462E">
        <w:rPr>
          <w:noProof/>
          <w:lang w:eastAsia="en-IE"/>
        </w:rPr>
        <w:t>s</w:t>
      </w:r>
      <w:r w:rsidR="001A462E" w:rsidRPr="00261EEC">
        <w:rPr>
          <w:noProof/>
          <w:lang w:eastAsia="en-IE"/>
        </w:rPr>
        <w:t xml:space="preserve"> where multiple </w:t>
      </w:r>
      <w:r w:rsidR="001A462E">
        <w:rPr>
          <w:noProof/>
          <w:lang w:eastAsia="en-IE"/>
        </w:rPr>
        <w:t>evaluation</w:t>
      </w:r>
      <w:r w:rsidR="001A462E" w:rsidRPr="00261EEC">
        <w:rPr>
          <w:noProof/>
          <w:lang w:eastAsia="en-IE"/>
        </w:rPr>
        <w:t xml:space="preserve"> levels </w:t>
      </w:r>
      <w:r w:rsidR="001A462E">
        <w:rPr>
          <w:noProof/>
          <w:lang w:eastAsia="en-IE"/>
        </w:rPr>
        <w:t xml:space="preserve">designed for a different purpose will </w:t>
      </w:r>
      <w:r w:rsidR="001A462E" w:rsidRPr="00261EEC">
        <w:rPr>
          <w:noProof/>
          <w:lang w:eastAsia="en-IE"/>
        </w:rPr>
        <w:t>correspond to the level of security associated with a specific assurance level</w:t>
      </w:r>
      <w:r w:rsidR="009E262D">
        <w:rPr>
          <w:noProof/>
          <w:lang w:eastAsia="en-IE"/>
        </w:rPr>
        <w:t>.</w:t>
      </w:r>
    </w:p>
    <w:p w14:paraId="68308807" w14:textId="3AF3D51B" w:rsidR="001A462E" w:rsidRPr="00261EEC" w:rsidRDefault="006D01CD" w:rsidP="006D01CD">
      <w:pPr>
        <w:pStyle w:val="ManualConsidrant"/>
        <w:rPr>
          <w:noProof/>
        </w:rPr>
      </w:pPr>
      <w:r w:rsidRPr="006D01CD">
        <w:rPr>
          <w:noProof/>
        </w:rPr>
        <w:t>(106)</w:t>
      </w:r>
      <w:r w:rsidRPr="006D01CD">
        <w:rPr>
          <w:noProof/>
        </w:rPr>
        <w:tab/>
      </w:r>
      <w:r w:rsidR="001A462E" w:rsidRPr="00261EEC">
        <w:rPr>
          <w:noProof/>
        </w:rPr>
        <w:t xml:space="preserve">European cybersecurity certification schemes </w:t>
      </w:r>
      <w:r w:rsidR="001A462E">
        <w:rPr>
          <w:noProof/>
        </w:rPr>
        <w:t>should be allowed to</w:t>
      </w:r>
      <w:r w:rsidR="001A462E" w:rsidRPr="00261EEC">
        <w:rPr>
          <w:noProof/>
        </w:rPr>
        <w:t xml:space="preserve"> provide for a conformity assessment to be carried out under the sole responsibility of the manufacturer or provider of ICT products, ICT services, ICT processes or managed security services, or </w:t>
      </w:r>
      <w:r w:rsidR="001A462E">
        <w:rPr>
          <w:noProof/>
        </w:rPr>
        <w:t xml:space="preserve">the </w:t>
      </w:r>
      <w:r w:rsidR="001A462E" w:rsidRPr="00261EEC">
        <w:rPr>
          <w:noProof/>
        </w:rPr>
        <w:t xml:space="preserve">entity the cyber posture of which is certified (‘conformity self-assessment’). In such cases, it should be sufficient that the manufacturer, provider or entity the cyber posture of which is certified, carries out all of the checks itself to ensure that the ICT products, ICT services, ICT processes, managed security service or cyber posture of an entity conform with the European cybersecurity certification scheme. Conformity self-assessment should be considered to be appropriate </w:t>
      </w:r>
      <w:r w:rsidR="0002289E">
        <w:rPr>
          <w:noProof/>
        </w:rPr>
        <w:t xml:space="preserve">for </w:t>
      </w:r>
      <w:r w:rsidR="001A462E" w:rsidRPr="00261EEC">
        <w:rPr>
          <w:noProof/>
        </w:rPr>
        <w:t xml:space="preserve">ICT products, ICT services, ICT processes, managed security service or cyber posture of entity that </w:t>
      </w:r>
      <w:r w:rsidR="001A462E">
        <w:rPr>
          <w:noProof/>
        </w:rPr>
        <w:t xml:space="preserve">are of low complexity, that </w:t>
      </w:r>
      <w:r w:rsidR="001A462E" w:rsidRPr="00261EEC">
        <w:rPr>
          <w:noProof/>
        </w:rPr>
        <w:t>present a low risk to the public</w:t>
      </w:r>
      <w:r w:rsidR="001A462E">
        <w:rPr>
          <w:noProof/>
        </w:rPr>
        <w:t xml:space="preserve"> and that</w:t>
      </w:r>
      <w:r w:rsidR="001A462E" w:rsidRPr="00261EEC">
        <w:rPr>
          <w:noProof/>
        </w:rPr>
        <w:t xml:space="preserve"> have a simple design or </w:t>
      </w:r>
      <w:r w:rsidR="001A462E">
        <w:rPr>
          <w:noProof/>
        </w:rPr>
        <w:t xml:space="preserve">simple </w:t>
      </w:r>
      <w:r w:rsidR="001A462E" w:rsidRPr="00261EEC">
        <w:rPr>
          <w:noProof/>
        </w:rPr>
        <w:t>production mechanisms.</w:t>
      </w:r>
    </w:p>
    <w:p w14:paraId="28DF5BF2" w14:textId="06F9DF2F" w:rsidR="001A462E" w:rsidRPr="00261EEC" w:rsidRDefault="006D01CD" w:rsidP="006D01CD">
      <w:pPr>
        <w:pStyle w:val="ManualConsidrant"/>
        <w:rPr>
          <w:noProof/>
        </w:rPr>
      </w:pPr>
      <w:r w:rsidRPr="006D01CD">
        <w:rPr>
          <w:noProof/>
        </w:rPr>
        <w:t>(107)</w:t>
      </w:r>
      <w:r w:rsidRPr="006D01CD">
        <w:rPr>
          <w:noProof/>
        </w:rPr>
        <w:tab/>
      </w:r>
      <w:r w:rsidR="001A462E">
        <w:rPr>
          <w:noProof/>
        </w:rPr>
        <w:t xml:space="preserve">Where a </w:t>
      </w:r>
      <w:r w:rsidR="001A462E" w:rsidRPr="00261EEC">
        <w:rPr>
          <w:noProof/>
        </w:rPr>
        <w:t>European cybersecurity certification scheme allow</w:t>
      </w:r>
      <w:r w:rsidR="001A462E">
        <w:rPr>
          <w:noProof/>
        </w:rPr>
        <w:t>s</w:t>
      </w:r>
      <w:r w:rsidR="001A462E" w:rsidRPr="00261EEC">
        <w:rPr>
          <w:noProof/>
        </w:rPr>
        <w:t xml:space="preserve"> for both conformity self-assessments and certifications of ICT products, ICT services, ICT processes, managed security service</w:t>
      </w:r>
      <w:r w:rsidR="001A462E">
        <w:rPr>
          <w:noProof/>
        </w:rPr>
        <w:t>s</w:t>
      </w:r>
      <w:r w:rsidR="001A462E" w:rsidRPr="00261EEC">
        <w:rPr>
          <w:noProof/>
        </w:rPr>
        <w:t xml:space="preserve"> or cyber posture of entities</w:t>
      </w:r>
      <w:r w:rsidR="0002289E">
        <w:rPr>
          <w:noProof/>
        </w:rPr>
        <w:t>, in such a case, t</w:t>
      </w:r>
      <w:r w:rsidR="001A462E">
        <w:rPr>
          <w:noProof/>
        </w:rPr>
        <w:t>he certification</w:t>
      </w:r>
      <w:r w:rsidR="001A462E" w:rsidRPr="00261EEC">
        <w:rPr>
          <w:noProof/>
        </w:rPr>
        <w:t xml:space="preserve"> scheme should provide for clear and understandable means for consumers or other users to differentiate between self-assessed and third-party certified ICT products, ICT services, ICT processes, managed security service</w:t>
      </w:r>
      <w:r w:rsidR="001A462E">
        <w:rPr>
          <w:noProof/>
        </w:rPr>
        <w:t>s</w:t>
      </w:r>
      <w:r w:rsidR="001A462E" w:rsidRPr="00261EEC">
        <w:rPr>
          <w:noProof/>
        </w:rPr>
        <w:t xml:space="preserve"> or cyber posture of entities.</w:t>
      </w:r>
    </w:p>
    <w:p w14:paraId="1BD71FDE" w14:textId="208770AA" w:rsidR="001A462E" w:rsidRPr="00261EEC" w:rsidRDefault="006D01CD" w:rsidP="006D01CD">
      <w:pPr>
        <w:pStyle w:val="ManualConsidrant"/>
        <w:rPr>
          <w:noProof/>
        </w:rPr>
      </w:pPr>
      <w:r w:rsidRPr="006D01CD">
        <w:rPr>
          <w:noProof/>
        </w:rPr>
        <w:t>(108)</w:t>
      </w:r>
      <w:r w:rsidRPr="006D01CD">
        <w:rPr>
          <w:noProof/>
        </w:rPr>
        <w:tab/>
      </w:r>
      <w:r w:rsidR="001A462E" w:rsidRPr="00261EEC">
        <w:rPr>
          <w:noProof/>
        </w:rPr>
        <w:t>The manufacturer or provider of ICT product</w:t>
      </w:r>
      <w:r w:rsidR="001A462E">
        <w:rPr>
          <w:noProof/>
        </w:rPr>
        <w:t>s</w:t>
      </w:r>
      <w:r w:rsidR="001A462E" w:rsidRPr="00261EEC">
        <w:rPr>
          <w:noProof/>
        </w:rPr>
        <w:t>, ICT service</w:t>
      </w:r>
      <w:r w:rsidR="001A462E">
        <w:rPr>
          <w:noProof/>
        </w:rPr>
        <w:t>s</w:t>
      </w:r>
      <w:r w:rsidR="001A462E" w:rsidRPr="00261EEC">
        <w:rPr>
          <w:noProof/>
        </w:rPr>
        <w:t>, ICT process</w:t>
      </w:r>
      <w:r w:rsidR="001A462E">
        <w:rPr>
          <w:noProof/>
        </w:rPr>
        <w:t>es</w:t>
      </w:r>
      <w:r w:rsidR="001A462E" w:rsidRPr="00261EEC">
        <w:rPr>
          <w:noProof/>
        </w:rPr>
        <w:t xml:space="preserve"> or managed security service</w:t>
      </w:r>
      <w:r w:rsidR="001A462E">
        <w:rPr>
          <w:noProof/>
        </w:rPr>
        <w:t>s</w:t>
      </w:r>
      <w:r w:rsidR="001A462E" w:rsidRPr="00261EEC">
        <w:rPr>
          <w:noProof/>
        </w:rPr>
        <w:t xml:space="preserve">, or </w:t>
      </w:r>
      <w:r w:rsidR="001A462E">
        <w:rPr>
          <w:noProof/>
        </w:rPr>
        <w:t>the</w:t>
      </w:r>
      <w:r w:rsidR="001A462E" w:rsidRPr="00261EEC">
        <w:rPr>
          <w:noProof/>
        </w:rPr>
        <w:t xml:space="preserve"> entit</w:t>
      </w:r>
      <w:r w:rsidR="001A462E">
        <w:rPr>
          <w:noProof/>
        </w:rPr>
        <w:t>ies</w:t>
      </w:r>
      <w:r w:rsidR="001A462E" w:rsidRPr="00261EEC">
        <w:rPr>
          <w:noProof/>
        </w:rPr>
        <w:t xml:space="preserve"> the cyber posture of which is certified</w:t>
      </w:r>
      <w:r w:rsidR="001A462E">
        <w:rPr>
          <w:noProof/>
        </w:rPr>
        <w:t>,</w:t>
      </w:r>
      <w:r w:rsidR="001A462E" w:rsidRPr="00261EEC">
        <w:rPr>
          <w:noProof/>
        </w:rPr>
        <w:t xml:space="preserve"> should be able to issue and sign the EU statement of conformity as part of the conformity assessment procedure. An EU statement of conformity is a document that states that a specific ICT product, ICT service, ICT process, managed security service or </w:t>
      </w:r>
      <w:r w:rsidR="001A462E">
        <w:rPr>
          <w:noProof/>
        </w:rPr>
        <w:t xml:space="preserve">the </w:t>
      </w:r>
      <w:r w:rsidR="001A462E" w:rsidRPr="00261EEC">
        <w:rPr>
          <w:noProof/>
        </w:rPr>
        <w:t xml:space="preserve">cyber posture of </w:t>
      </w:r>
      <w:r w:rsidR="001A462E">
        <w:rPr>
          <w:noProof/>
        </w:rPr>
        <w:t xml:space="preserve">an </w:t>
      </w:r>
      <w:r w:rsidR="001A462E" w:rsidRPr="00261EEC">
        <w:rPr>
          <w:noProof/>
        </w:rPr>
        <w:t xml:space="preserve">entity complies with the requirements of the European cybersecurity certification scheme. By issuing and signing the EU statement of conformity, the manufacturer or provider of ICT products, ICT services, ICT processes or managed security services, or </w:t>
      </w:r>
      <w:r w:rsidR="001A462E">
        <w:rPr>
          <w:noProof/>
        </w:rPr>
        <w:t xml:space="preserve">the </w:t>
      </w:r>
      <w:r w:rsidR="001A462E" w:rsidRPr="00261EEC">
        <w:rPr>
          <w:noProof/>
        </w:rPr>
        <w:t>entity the cyber posture of which is certified</w:t>
      </w:r>
      <w:r w:rsidR="001A462E">
        <w:rPr>
          <w:noProof/>
        </w:rPr>
        <w:t>,</w:t>
      </w:r>
      <w:r w:rsidR="001A462E" w:rsidRPr="00261EEC">
        <w:rPr>
          <w:noProof/>
        </w:rPr>
        <w:t xml:space="preserve"> assumes responsibility for the compliance of the ICT product, ICT service, ICT process, managed security service or </w:t>
      </w:r>
      <w:r w:rsidR="001A462E">
        <w:rPr>
          <w:noProof/>
        </w:rPr>
        <w:t xml:space="preserve">the </w:t>
      </w:r>
      <w:r w:rsidR="001A462E" w:rsidRPr="00261EEC">
        <w:rPr>
          <w:noProof/>
        </w:rPr>
        <w:t xml:space="preserve">cyber posture of </w:t>
      </w:r>
      <w:r w:rsidR="001A462E">
        <w:rPr>
          <w:noProof/>
        </w:rPr>
        <w:t xml:space="preserve">the </w:t>
      </w:r>
      <w:r w:rsidR="001A462E" w:rsidRPr="00261EEC">
        <w:rPr>
          <w:noProof/>
        </w:rPr>
        <w:t>entity with the security requirements of the European cybersecurity certification scheme. A copy of the EU statement of conformity should be submitted to the national cybersecurity certification authority and to ENISA.</w:t>
      </w:r>
    </w:p>
    <w:p w14:paraId="26EE5008" w14:textId="4235AF00" w:rsidR="001A462E" w:rsidRPr="00261EEC" w:rsidRDefault="006D01CD" w:rsidP="006D01CD">
      <w:pPr>
        <w:pStyle w:val="ManualConsidrant"/>
        <w:rPr>
          <w:noProof/>
        </w:rPr>
      </w:pPr>
      <w:r w:rsidRPr="006D01CD">
        <w:rPr>
          <w:noProof/>
        </w:rPr>
        <w:t>(109)</w:t>
      </w:r>
      <w:r w:rsidRPr="006D01CD">
        <w:rPr>
          <w:noProof/>
        </w:rPr>
        <w:tab/>
      </w:r>
      <w:r w:rsidR="001A462E" w:rsidRPr="00261EEC">
        <w:rPr>
          <w:noProof/>
        </w:rPr>
        <w:t>Manufacturers or providers of ICT products, ICT services, ICT processes or managed security services, or entities the cyber posture of which is certified</w:t>
      </w:r>
      <w:r w:rsidR="001A462E">
        <w:rPr>
          <w:noProof/>
        </w:rPr>
        <w:t>,</w:t>
      </w:r>
      <w:r w:rsidR="001A462E" w:rsidRPr="00261EEC">
        <w:rPr>
          <w:noProof/>
        </w:rPr>
        <w:t xml:space="preserve"> should make the EU statement of conformity, technical documentation, and all other relevant information relating to the conformity with a European cybersecurity certification scheme available to the competent national cybersecurity certification authority for a period provided for in the relevant European cybersecurity certification scheme and in line with applicable </w:t>
      </w:r>
      <w:r w:rsidR="001A462E">
        <w:rPr>
          <w:noProof/>
        </w:rPr>
        <w:t>Union</w:t>
      </w:r>
      <w:r w:rsidR="001A462E" w:rsidRPr="00261EEC">
        <w:rPr>
          <w:noProof/>
        </w:rPr>
        <w:t xml:space="preserve"> legislation. The technical documentation should specify the requirements applicable under the scheme to the extent relevant to the conformity self-assessment. The technical documentation should be so compiled as to enable the assessment of whether </w:t>
      </w:r>
      <w:r w:rsidR="001A462E">
        <w:rPr>
          <w:noProof/>
        </w:rPr>
        <w:t>an</w:t>
      </w:r>
      <w:r w:rsidR="001A462E" w:rsidRPr="00261EEC">
        <w:rPr>
          <w:noProof/>
        </w:rPr>
        <w:t xml:space="preserve"> ICT product, ICT service, ICT process or managed security service, or cyber posture of </w:t>
      </w:r>
      <w:r w:rsidR="001A462E">
        <w:rPr>
          <w:noProof/>
        </w:rPr>
        <w:t>the</w:t>
      </w:r>
      <w:r w:rsidR="001A462E" w:rsidRPr="00261EEC">
        <w:rPr>
          <w:noProof/>
        </w:rPr>
        <w:t xml:space="preserve"> entity complies with the requirements applicable under </w:t>
      </w:r>
      <w:r w:rsidR="001A462E">
        <w:rPr>
          <w:noProof/>
        </w:rPr>
        <w:t>the</w:t>
      </w:r>
      <w:r w:rsidR="001A462E" w:rsidRPr="00261EEC">
        <w:rPr>
          <w:noProof/>
        </w:rPr>
        <w:t xml:space="preserve"> scheme.</w:t>
      </w:r>
    </w:p>
    <w:p w14:paraId="1F810838" w14:textId="508E191F" w:rsidR="001A462E" w:rsidRPr="00261EEC" w:rsidRDefault="006D01CD" w:rsidP="006D01CD">
      <w:pPr>
        <w:pStyle w:val="ManualConsidrant"/>
        <w:rPr>
          <w:noProof/>
          <w:lang w:eastAsia="en-IE"/>
        </w:rPr>
      </w:pPr>
      <w:r w:rsidRPr="006D01CD">
        <w:rPr>
          <w:noProof/>
        </w:rPr>
        <w:t>(110)</w:t>
      </w:r>
      <w:r w:rsidRPr="006D01CD">
        <w:rPr>
          <w:noProof/>
        </w:rPr>
        <w:tab/>
      </w:r>
      <w:r w:rsidR="001A462E" w:rsidRPr="00261EEC">
        <w:rPr>
          <w:noProof/>
          <w:lang w:eastAsia="en-IE"/>
        </w:rPr>
        <w:t>European cybersecurity certificates and EU statements of conformity should help users make informed choices. Therefore,</w:t>
      </w:r>
      <w:r w:rsidR="001A462E">
        <w:rPr>
          <w:noProof/>
          <w:lang w:eastAsia="en-IE"/>
        </w:rPr>
        <w:t xml:space="preserve"> relevant information should be published on a website maintained by ENISA. Furthermore</w:t>
      </w:r>
      <w:r w:rsidR="001A462E" w:rsidRPr="00261EEC">
        <w:rPr>
          <w:noProof/>
          <w:lang w:eastAsia="en-IE"/>
        </w:rPr>
        <w:t xml:space="preserve">, ICT products, ICT services, and ICT processes that have been certified or for which an EU statement of conformity has been issued should be accompanied by structured information that is adapted to the expected technical level of the intended user. </w:t>
      </w:r>
      <w:r w:rsidR="001A462E">
        <w:rPr>
          <w:noProof/>
          <w:lang w:eastAsia="en-IE"/>
        </w:rPr>
        <w:t>All</w:t>
      </w:r>
      <w:r w:rsidR="001A462E" w:rsidRPr="00261EEC">
        <w:rPr>
          <w:noProof/>
          <w:lang w:eastAsia="en-IE"/>
        </w:rPr>
        <w:t xml:space="preserve"> user</w:t>
      </w:r>
      <w:r w:rsidR="001A462E">
        <w:rPr>
          <w:noProof/>
          <w:lang w:eastAsia="en-IE"/>
        </w:rPr>
        <w:t>s</w:t>
      </w:r>
      <w:r w:rsidR="001A462E" w:rsidRPr="00261EEC">
        <w:rPr>
          <w:noProof/>
          <w:lang w:eastAsia="en-IE"/>
        </w:rPr>
        <w:t xml:space="preserve"> should have access to information regarding the reference number of the certification scheme, the issuing authority or body, and, where applicable, the assurance level, or should be able to obtain a copy of the European cybersecurity certificate. That information should be regularly updated and made available on a </w:t>
      </w:r>
      <w:r w:rsidR="001A462E">
        <w:rPr>
          <w:noProof/>
          <w:lang w:eastAsia="en-IE"/>
        </w:rPr>
        <w:t>dedicated</w:t>
      </w:r>
      <w:r w:rsidR="001A462E" w:rsidRPr="00261EEC">
        <w:rPr>
          <w:noProof/>
          <w:lang w:eastAsia="en-IE"/>
        </w:rPr>
        <w:t xml:space="preserve"> website on European cybersecurity certification schemes. Furthermore, </w:t>
      </w:r>
      <w:r w:rsidR="001A462E">
        <w:rPr>
          <w:noProof/>
          <w:lang w:eastAsia="en-IE"/>
        </w:rPr>
        <w:t>in order to ensure continuous accessibility,</w:t>
      </w:r>
      <w:r w:rsidR="001A462E" w:rsidRPr="00261EEC">
        <w:rPr>
          <w:noProof/>
          <w:lang w:eastAsia="en-IE"/>
        </w:rPr>
        <w:t xml:space="preserve"> manufacturers and providers </w:t>
      </w:r>
      <w:r w:rsidR="001A462E">
        <w:rPr>
          <w:noProof/>
          <w:lang w:eastAsia="en-IE"/>
        </w:rPr>
        <w:t>should</w:t>
      </w:r>
      <w:r w:rsidR="001A462E" w:rsidRPr="00261EEC">
        <w:rPr>
          <w:noProof/>
          <w:lang w:eastAsia="en-IE"/>
        </w:rPr>
        <w:t xml:space="preserve"> </w:t>
      </w:r>
      <w:r w:rsidR="001A462E">
        <w:rPr>
          <w:noProof/>
          <w:lang w:eastAsia="en-IE"/>
        </w:rPr>
        <w:t xml:space="preserve">be required to </w:t>
      </w:r>
      <w:r w:rsidR="001A462E" w:rsidRPr="00261EEC">
        <w:rPr>
          <w:noProof/>
          <w:lang w:eastAsia="en-IE"/>
        </w:rPr>
        <w:t>notify the relevant certification body if the location of the online or, where relevant, physical information changes.</w:t>
      </w:r>
    </w:p>
    <w:p w14:paraId="3425007F" w14:textId="7DCA2F86" w:rsidR="001A462E" w:rsidRPr="00261EEC" w:rsidRDefault="006D01CD" w:rsidP="006D01CD">
      <w:pPr>
        <w:pStyle w:val="ManualConsidrant"/>
        <w:rPr>
          <w:noProof/>
        </w:rPr>
      </w:pPr>
      <w:r w:rsidRPr="006D01CD">
        <w:rPr>
          <w:noProof/>
        </w:rPr>
        <w:t>(111)</w:t>
      </w:r>
      <w:r w:rsidRPr="006D01CD">
        <w:rPr>
          <w:noProof/>
        </w:rPr>
        <w:tab/>
      </w:r>
      <w:r w:rsidR="001A462E" w:rsidRPr="00261EEC">
        <w:rPr>
          <w:noProof/>
        </w:rPr>
        <w:t>A conformity assessment is a procedure for evaluating whether specified requirements relating to an ICT product, ICT service, ICT process, managed security service or entity have been fulfilled. That procedure is carried out by an independent third party that is not the manufacturer or provider of the ICT products, ICT services, ICT processes</w:t>
      </w:r>
      <w:r w:rsidR="001A462E">
        <w:rPr>
          <w:noProof/>
        </w:rPr>
        <w:t xml:space="preserve"> or</w:t>
      </w:r>
      <w:r w:rsidR="001A462E" w:rsidRPr="00261EEC">
        <w:rPr>
          <w:noProof/>
        </w:rPr>
        <w:t xml:space="preserve"> managed security services that are being </w:t>
      </w:r>
      <w:r w:rsidR="001A462E">
        <w:rPr>
          <w:noProof/>
        </w:rPr>
        <w:t>certified,</w:t>
      </w:r>
      <w:r w:rsidR="001A462E" w:rsidRPr="00261EEC">
        <w:rPr>
          <w:noProof/>
        </w:rPr>
        <w:t xml:space="preserve"> </w:t>
      </w:r>
      <w:r w:rsidR="001A462E">
        <w:rPr>
          <w:noProof/>
        </w:rPr>
        <w:t>n</w:t>
      </w:r>
      <w:r w:rsidR="001A462E" w:rsidRPr="00261EEC">
        <w:rPr>
          <w:noProof/>
        </w:rPr>
        <w:t>or the entity</w:t>
      </w:r>
      <w:r w:rsidR="001A462E">
        <w:rPr>
          <w:noProof/>
        </w:rPr>
        <w:t xml:space="preserve"> the cyber posture of which is</w:t>
      </w:r>
      <w:r w:rsidR="001A462E" w:rsidRPr="00261EEC">
        <w:rPr>
          <w:noProof/>
        </w:rPr>
        <w:t xml:space="preserve"> being assessed. A European cybersecurity certificate should be issued following the successful evaluation of an ICT product, ICT service, ICT process, managed security service or </w:t>
      </w:r>
      <w:r w:rsidR="001A462E" w:rsidRPr="00261EEC">
        <w:rPr>
          <w:rFonts w:eastAsia="Calibri"/>
          <w:noProof/>
        </w:rPr>
        <w:t>cyber posture of</w:t>
      </w:r>
      <w:r w:rsidR="001A462E" w:rsidRPr="00261EEC">
        <w:rPr>
          <w:noProof/>
        </w:rPr>
        <w:t xml:space="preserve"> </w:t>
      </w:r>
      <w:r w:rsidR="001A462E">
        <w:rPr>
          <w:noProof/>
        </w:rPr>
        <w:t>the entity</w:t>
      </w:r>
      <w:r w:rsidR="001A462E" w:rsidRPr="00261EEC">
        <w:rPr>
          <w:noProof/>
        </w:rPr>
        <w:t>. A European cybersecurity certificate should be considered to be a confirmation that the evaluation has been properly carried out.</w:t>
      </w:r>
    </w:p>
    <w:p w14:paraId="0A90CBCD" w14:textId="3B711F4A" w:rsidR="001A462E" w:rsidRPr="006879B9" w:rsidRDefault="006D01CD" w:rsidP="006D01CD">
      <w:pPr>
        <w:pStyle w:val="ManualConsidrant"/>
        <w:rPr>
          <w:noProof/>
        </w:rPr>
      </w:pPr>
      <w:r w:rsidRPr="006D01CD">
        <w:rPr>
          <w:noProof/>
        </w:rPr>
        <w:t>(112)</w:t>
      </w:r>
      <w:r w:rsidRPr="006D01CD">
        <w:rPr>
          <w:noProof/>
        </w:rPr>
        <w:tab/>
      </w:r>
      <w:r w:rsidR="001A462E" w:rsidRPr="006879B9">
        <w:rPr>
          <w:noProof/>
        </w:rPr>
        <w:t xml:space="preserve">The strict separation of the supervisory and certification activities is important to avoid distortions and interferences that may be caused in situations where the entity supervising the market is also competing in the same market. Consequently, activities where the national cybersecurity certification authorities merely carry out their supervisory role, such as by providing prior approval to the issuance of a certificate, should not require further internal separation from other supervisory activities. This includes, for example, a situation where the national cybersecurity certification authority actively gathers information throughout the certification process carried out by private conformity assessment bodies and then gives its opinion on the issuance of the certificate by those bodies (‘prior approval model’). </w:t>
      </w:r>
    </w:p>
    <w:p w14:paraId="6FE72BC5" w14:textId="2AAC9F89" w:rsidR="001A462E" w:rsidRPr="00261EEC" w:rsidRDefault="006D01CD" w:rsidP="006D01CD">
      <w:pPr>
        <w:pStyle w:val="ManualConsidrant"/>
        <w:rPr>
          <w:noProof/>
        </w:rPr>
      </w:pPr>
      <w:r w:rsidRPr="006D01CD">
        <w:rPr>
          <w:noProof/>
        </w:rPr>
        <w:t>(113)</w:t>
      </w:r>
      <w:r w:rsidRPr="006D01CD">
        <w:rPr>
          <w:noProof/>
        </w:rPr>
        <w:tab/>
      </w:r>
      <w:r w:rsidR="001A462E" w:rsidRPr="00261EEC">
        <w:rPr>
          <w:noProof/>
        </w:rPr>
        <w:t>European cybersecurity certification schemes should specify the conditions under which ICT product</w:t>
      </w:r>
      <w:r w:rsidR="001A462E">
        <w:rPr>
          <w:noProof/>
        </w:rPr>
        <w:t>s</w:t>
      </w:r>
      <w:r w:rsidR="001A462E" w:rsidRPr="00261EEC">
        <w:rPr>
          <w:noProof/>
        </w:rPr>
        <w:t>, ICT service</w:t>
      </w:r>
      <w:r w:rsidR="001A462E">
        <w:rPr>
          <w:noProof/>
        </w:rPr>
        <w:t>s</w:t>
      </w:r>
      <w:r w:rsidR="001A462E" w:rsidRPr="00261EEC">
        <w:rPr>
          <w:noProof/>
        </w:rPr>
        <w:t>, ICT process</w:t>
      </w:r>
      <w:r w:rsidR="001A462E">
        <w:rPr>
          <w:noProof/>
        </w:rPr>
        <w:t>es</w:t>
      </w:r>
      <w:r w:rsidR="001A462E" w:rsidRPr="00261EEC">
        <w:rPr>
          <w:noProof/>
        </w:rPr>
        <w:t>, managed security service</w:t>
      </w:r>
      <w:r w:rsidR="001A462E">
        <w:rPr>
          <w:noProof/>
        </w:rPr>
        <w:t>s</w:t>
      </w:r>
      <w:r w:rsidR="001A462E" w:rsidRPr="00261EEC">
        <w:rPr>
          <w:noProof/>
        </w:rPr>
        <w:t xml:space="preserve"> or cyber posture of </w:t>
      </w:r>
      <w:r w:rsidR="001A462E">
        <w:rPr>
          <w:noProof/>
        </w:rPr>
        <w:t xml:space="preserve">an </w:t>
      </w:r>
      <w:r w:rsidR="001A462E" w:rsidRPr="00261EEC">
        <w:rPr>
          <w:noProof/>
        </w:rPr>
        <w:t>entit</w:t>
      </w:r>
      <w:r w:rsidR="001A462E">
        <w:rPr>
          <w:noProof/>
        </w:rPr>
        <w:t>y</w:t>
      </w:r>
      <w:r w:rsidR="001A462E" w:rsidRPr="00261EEC">
        <w:rPr>
          <w:noProof/>
        </w:rPr>
        <w:t xml:space="preserve"> may </w:t>
      </w:r>
      <w:r w:rsidR="001A462E">
        <w:rPr>
          <w:noProof/>
        </w:rPr>
        <w:t>need</w:t>
      </w:r>
      <w:r w:rsidR="001A462E" w:rsidRPr="00261EEC">
        <w:rPr>
          <w:noProof/>
        </w:rPr>
        <w:t xml:space="preserve"> to be recertified or </w:t>
      </w:r>
      <w:r w:rsidR="001A462E">
        <w:rPr>
          <w:noProof/>
        </w:rPr>
        <w:t>under which</w:t>
      </w:r>
      <w:r w:rsidR="001A462E" w:rsidRPr="00261EEC">
        <w:rPr>
          <w:noProof/>
        </w:rPr>
        <w:t xml:space="preserve"> the scope of a specific European cybersecurity certificate </w:t>
      </w:r>
      <w:r w:rsidR="001A462E">
        <w:rPr>
          <w:noProof/>
        </w:rPr>
        <w:t>may need</w:t>
      </w:r>
      <w:r w:rsidR="001A462E" w:rsidRPr="00261EEC">
        <w:rPr>
          <w:noProof/>
        </w:rPr>
        <w:t xml:space="preserve"> to be reduced. Furthermore, European cybersecurity certification schemes should take into account any possible adverse effects of </w:t>
      </w:r>
      <w:r w:rsidR="001A462E" w:rsidRPr="4165CDC9">
        <w:rPr>
          <w:noProof/>
          <w:lang w:eastAsia="en-IE"/>
        </w:rPr>
        <w:t xml:space="preserve">any subsequently detected vulnerabilities or nonconformities concerning </w:t>
      </w:r>
      <w:r w:rsidR="001A462E" w:rsidRPr="4165CDC9" w:rsidDel="00B17831">
        <w:rPr>
          <w:noProof/>
          <w:lang w:eastAsia="en-IE"/>
        </w:rPr>
        <w:t xml:space="preserve">the </w:t>
      </w:r>
      <w:r w:rsidR="001A462E" w:rsidRPr="4165CDC9">
        <w:rPr>
          <w:noProof/>
          <w:lang w:eastAsia="en-IE"/>
        </w:rPr>
        <w:t xml:space="preserve">certified ICT product, ICT service, ICT process, managed security service or cyber posture of an entity with regard to </w:t>
      </w:r>
      <w:r w:rsidR="001A462E" w:rsidRPr="00261EEC">
        <w:rPr>
          <w:noProof/>
        </w:rPr>
        <w:t>conformity with the security requirements of that certificate.</w:t>
      </w:r>
    </w:p>
    <w:p w14:paraId="12871C88" w14:textId="113EA0D4" w:rsidR="001A462E" w:rsidRPr="00AE54E2" w:rsidRDefault="006D01CD" w:rsidP="006D01CD">
      <w:pPr>
        <w:pStyle w:val="ManualConsidrant"/>
        <w:rPr>
          <w:noProof/>
        </w:rPr>
      </w:pPr>
      <w:r w:rsidRPr="006D01CD">
        <w:rPr>
          <w:noProof/>
        </w:rPr>
        <w:t>(114)</w:t>
      </w:r>
      <w:r w:rsidRPr="006D01CD">
        <w:rPr>
          <w:noProof/>
        </w:rPr>
        <w:tab/>
      </w:r>
      <w:r w:rsidR="001A462E" w:rsidRPr="00AE54E2">
        <w:rPr>
          <w:noProof/>
        </w:rPr>
        <w:t>Harmoni</w:t>
      </w:r>
      <w:r w:rsidR="001A462E">
        <w:rPr>
          <w:noProof/>
        </w:rPr>
        <w:t>s</w:t>
      </w:r>
      <w:r w:rsidR="001A462E" w:rsidRPr="00AE54E2">
        <w:rPr>
          <w:noProof/>
        </w:rPr>
        <w:t xml:space="preserve">ation plays a crucial role in ensuring robust cybersecurity and enhancing market access for businesses. In contrast, fragmentation and the lack of mutual recognition of certificates pose significant barriers to the seamless flow of data, thereby increasing operational costs for </w:t>
      </w:r>
      <w:r w:rsidR="001A462E">
        <w:rPr>
          <w:noProof/>
        </w:rPr>
        <w:t>Union</w:t>
      </w:r>
      <w:r w:rsidR="001A462E" w:rsidRPr="00AE54E2">
        <w:rPr>
          <w:noProof/>
        </w:rPr>
        <w:t xml:space="preserve"> industry. To mitigate th</w:t>
      </w:r>
      <w:r w:rsidR="001A462E">
        <w:rPr>
          <w:noProof/>
        </w:rPr>
        <w:t>o</w:t>
      </w:r>
      <w:r w:rsidR="001A462E" w:rsidRPr="00AE54E2">
        <w:rPr>
          <w:noProof/>
        </w:rPr>
        <w:t xml:space="preserve">se challenges, it is essential to avoid fragmentation both in the scope of the security controls and in the conformity assessment methods throughout the </w:t>
      </w:r>
      <w:r w:rsidR="001A462E">
        <w:rPr>
          <w:noProof/>
        </w:rPr>
        <w:t>Union</w:t>
      </w:r>
      <w:r w:rsidR="001A462E" w:rsidRPr="00AE54E2">
        <w:rPr>
          <w:noProof/>
        </w:rPr>
        <w:t>.</w:t>
      </w:r>
    </w:p>
    <w:p w14:paraId="645E398A" w14:textId="102908AD" w:rsidR="001A462E" w:rsidRPr="00AE54E2" w:rsidRDefault="006D01CD" w:rsidP="006D01CD">
      <w:pPr>
        <w:pStyle w:val="ManualConsidrant"/>
        <w:rPr>
          <w:noProof/>
        </w:rPr>
      </w:pPr>
      <w:r w:rsidRPr="006D01CD">
        <w:rPr>
          <w:noProof/>
        </w:rPr>
        <w:t>(115)</w:t>
      </w:r>
      <w:r w:rsidRPr="006D01CD">
        <w:rPr>
          <w:noProof/>
        </w:rPr>
        <w:tab/>
      </w:r>
      <w:r w:rsidR="001A462E" w:rsidRPr="00AE54E2">
        <w:rPr>
          <w:noProof/>
        </w:rPr>
        <w:t xml:space="preserve">Member States should inform the Commission and the ECCG </w:t>
      </w:r>
      <w:r w:rsidR="001A462E">
        <w:rPr>
          <w:noProof/>
        </w:rPr>
        <w:t xml:space="preserve">sufficiently in advance </w:t>
      </w:r>
      <w:r w:rsidR="001A462E" w:rsidRPr="00AE54E2">
        <w:rPr>
          <w:noProof/>
        </w:rPr>
        <w:t xml:space="preserve">before adopting new national cybersecurity certification schemes for ICT products, ICT services, ICT processes, managed security services </w:t>
      </w:r>
      <w:r w:rsidR="001A462E">
        <w:rPr>
          <w:noProof/>
        </w:rPr>
        <w:t>or</w:t>
      </w:r>
      <w:r w:rsidR="001A462E" w:rsidRPr="00AE54E2">
        <w:rPr>
          <w:noProof/>
        </w:rPr>
        <w:t xml:space="preserve"> cyber posture of entities</w:t>
      </w:r>
      <w:r w:rsidR="001A462E" w:rsidRPr="4165CDC9">
        <w:rPr>
          <w:rFonts w:eastAsia="Times New Roman"/>
          <w:noProof/>
          <w:color w:val="000000" w:themeColor="text1"/>
          <w:lang w:eastAsia="en-IE"/>
        </w:rPr>
        <w:t xml:space="preserve"> </w:t>
      </w:r>
      <w:r w:rsidR="001A462E" w:rsidRPr="00AE54E2">
        <w:rPr>
          <w:noProof/>
        </w:rPr>
        <w:t>in order to help the Commission and the ECCG evaluate the impact of the new national cybersecurity certification scheme on the proper functioning of the internal market, and in light of any strategic interest in requesting a European cybersecurity certification scheme.</w:t>
      </w:r>
    </w:p>
    <w:p w14:paraId="0DD23C73" w14:textId="040A09DD" w:rsidR="001A462E" w:rsidRPr="000E2372" w:rsidRDefault="006D01CD" w:rsidP="006D01CD">
      <w:pPr>
        <w:pStyle w:val="ManualConsidrant"/>
        <w:rPr>
          <w:noProof/>
          <w:lang w:eastAsia="en-IE"/>
        </w:rPr>
      </w:pPr>
      <w:r w:rsidRPr="006D01CD">
        <w:rPr>
          <w:noProof/>
        </w:rPr>
        <w:t>(116)</w:t>
      </w:r>
      <w:r w:rsidRPr="006D01CD">
        <w:rPr>
          <w:noProof/>
        </w:rPr>
        <w:tab/>
      </w:r>
      <w:r w:rsidR="001A462E" w:rsidRPr="00AE54E2">
        <w:rPr>
          <w:noProof/>
          <w:lang w:eastAsia="en-IE"/>
        </w:rPr>
        <w:t xml:space="preserve">References in national legislation to national standards which have ceased to be effective due to the entry into force of a European </w:t>
      </w:r>
      <w:r w:rsidR="001A462E" w:rsidRPr="000E2372">
        <w:rPr>
          <w:noProof/>
          <w:lang w:eastAsia="en-IE"/>
        </w:rPr>
        <w:t xml:space="preserve">cybersecurity certification scheme can be a source of confusion. Therefore, </w:t>
      </w:r>
      <w:r w:rsidR="001A462E">
        <w:rPr>
          <w:noProof/>
          <w:lang w:eastAsia="en-IE"/>
        </w:rPr>
        <w:t>where relevant</w:t>
      </w:r>
      <w:r w:rsidR="001A462E" w:rsidRPr="000E2372">
        <w:rPr>
          <w:noProof/>
          <w:lang w:eastAsia="en-IE"/>
        </w:rPr>
        <w:t>, Member States should reflect the adoption of a European cybersecurity certification scheme in their national legislation.</w:t>
      </w:r>
    </w:p>
    <w:p w14:paraId="5565CF08" w14:textId="0636EC0B" w:rsidR="001A462E" w:rsidRPr="000E2372" w:rsidRDefault="006D01CD" w:rsidP="006D01CD">
      <w:pPr>
        <w:pStyle w:val="ManualConsidrant"/>
        <w:rPr>
          <w:noProof/>
        </w:rPr>
      </w:pPr>
      <w:r w:rsidRPr="006D01CD">
        <w:rPr>
          <w:noProof/>
        </w:rPr>
        <w:t>(117)</w:t>
      </w:r>
      <w:r w:rsidRPr="006D01CD">
        <w:rPr>
          <w:noProof/>
        </w:rPr>
        <w:tab/>
      </w:r>
      <w:r w:rsidR="001A462E" w:rsidRPr="000E2372">
        <w:rPr>
          <w:noProof/>
        </w:rPr>
        <w:t xml:space="preserve">With a view to facilitating the growth of a reliable internal market, </w:t>
      </w:r>
      <w:r w:rsidR="001A462E">
        <w:rPr>
          <w:noProof/>
        </w:rPr>
        <w:t>while</w:t>
      </w:r>
      <w:r w:rsidR="001A462E" w:rsidRPr="000E2372">
        <w:rPr>
          <w:noProof/>
        </w:rPr>
        <w:t xml:space="preserve"> also creating partnerships with third countries, the certification process established within the </w:t>
      </w:r>
      <w:r w:rsidR="001A462E">
        <w:rPr>
          <w:noProof/>
        </w:rPr>
        <w:t>ECCF</w:t>
      </w:r>
      <w:r w:rsidR="001A462E" w:rsidRPr="000E2372">
        <w:rPr>
          <w:noProof/>
        </w:rPr>
        <w:t xml:space="preserve"> should be implemented in a manner that facilitates international recognition, mutual recognition and alignment with international standards.</w:t>
      </w:r>
    </w:p>
    <w:p w14:paraId="3DC45C25" w14:textId="174326DF" w:rsidR="001A462E" w:rsidRPr="009E262D" w:rsidRDefault="006D01CD" w:rsidP="006D01CD">
      <w:pPr>
        <w:pStyle w:val="ManualConsidrant"/>
        <w:rPr>
          <w:noProof/>
          <w:lang w:eastAsia="en-IE"/>
        </w:rPr>
      </w:pPr>
      <w:r w:rsidRPr="006D01CD">
        <w:rPr>
          <w:noProof/>
        </w:rPr>
        <w:t>(118)</w:t>
      </w:r>
      <w:r w:rsidRPr="006D01CD">
        <w:rPr>
          <w:noProof/>
        </w:rPr>
        <w:tab/>
      </w:r>
      <w:r w:rsidR="001A462E" w:rsidRPr="009E262D">
        <w:rPr>
          <w:noProof/>
          <w:lang w:eastAsia="en-IE"/>
        </w:rPr>
        <w:t>In order to further facilitate trade, and recognising that ICT supply chains are international, mutual recognition agreements concerning European cybersecurity certificates may be concluded by the Union in accordance with Article 218</w:t>
      </w:r>
      <w:r w:rsidR="009E262D">
        <w:rPr>
          <w:noProof/>
          <w:lang w:eastAsia="en-IE"/>
        </w:rPr>
        <w:t xml:space="preserve"> </w:t>
      </w:r>
      <w:r w:rsidR="001A462E" w:rsidRPr="009E262D">
        <w:rPr>
          <w:noProof/>
          <w:lang w:eastAsia="en-IE"/>
        </w:rPr>
        <w:t xml:space="preserve">TFEU. The Commission should be empowered to adopt implementing acts to unilaterally recognise the equivalence of third country certificates with European cybersecurity certificates. It should be possible to provide specific conditions for such recognition of third country certificates. </w:t>
      </w:r>
    </w:p>
    <w:p w14:paraId="310FC30C" w14:textId="5E7DB2D9" w:rsidR="001A462E" w:rsidRPr="00BD0E95" w:rsidRDefault="006D01CD" w:rsidP="006D01CD">
      <w:pPr>
        <w:pStyle w:val="ManualConsidrant"/>
        <w:rPr>
          <w:noProof/>
          <w:lang w:eastAsia="en-IE"/>
        </w:rPr>
      </w:pPr>
      <w:r w:rsidRPr="006D01CD">
        <w:rPr>
          <w:noProof/>
        </w:rPr>
        <w:t>(119)</w:t>
      </w:r>
      <w:r w:rsidRPr="006D01CD">
        <w:rPr>
          <w:noProof/>
        </w:rPr>
        <w:tab/>
      </w:r>
      <w:r w:rsidR="001A462E" w:rsidRPr="00BD0E95">
        <w:rPr>
          <w:noProof/>
          <w:lang w:eastAsia="en-IE"/>
        </w:rPr>
        <w:t xml:space="preserve">In order to achieve equivalent </w:t>
      </w:r>
      <w:r w:rsidR="001A462E">
        <w:rPr>
          <w:noProof/>
          <w:lang w:eastAsia="en-IE"/>
        </w:rPr>
        <w:t>implementation of the framework</w:t>
      </w:r>
      <w:r w:rsidR="001A462E" w:rsidRPr="00BD0E95">
        <w:rPr>
          <w:noProof/>
          <w:lang w:eastAsia="en-IE"/>
        </w:rPr>
        <w:t xml:space="preserve"> throughout the Union, to facilitate mutual recognition and to promote the overall acceptance of European cybersecurity certificates and EU statements of conformity, it is necessary to put in place a system of peer review between national cybersecurity certification authorities. Peer review should cover procedures for supervising the compliance of ICT products, ICT services</w:t>
      </w:r>
      <w:r w:rsidR="001A462E">
        <w:rPr>
          <w:noProof/>
          <w:lang w:eastAsia="en-IE"/>
        </w:rPr>
        <w:t>,</w:t>
      </w:r>
      <w:r w:rsidR="009E262D">
        <w:rPr>
          <w:noProof/>
          <w:lang w:eastAsia="en-IE"/>
        </w:rPr>
        <w:t xml:space="preserve"> </w:t>
      </w:r>
      <w:r w:rsidR="001A462E" w:rsidRPr="00BD0E95">
        <w:rPr>
          <w:noProof/>
          <w:lang w:eastAsia="en-IE"/>
        </w:rPr>
        <w:t>ICT processes</w:t>
      </w:r>
      <w:r w:rsidR="001A462E">
        <w:rPr>
          <w:noProof/>
          <w:lang w:eastAsia="en-IE"/>
        </w:rPr>
        <w:t>, managed security services and cyber posture of entities</w:t>
      </w:r>
      <w:r w:rsidR="001A462E" w:rsidRPr="00BD0E95">
        <w:rPr>
          <w:noProof/>
          <w:lang w:eastAsia="en-IE"/>
        </w:rPr>
        <w:t xml:space="preserve"> with European cybersecurity certificates, for monitoring the obligations of manufacturers or providers of </w:t>
      </w:r>
      <w:r w:rsidR="001A462E" w:rsidRPr="00DA584C">
        <w:rPr>
          <w:noProof/>
          <w:lang w:eastAsia="en-IE"/>
        </w:rPr>
        <w:t>ICT products, ICT services</w:t>
      </w:r>
      <w:r w:rsidR="001A462E">
        <w:rPr>
          <w:noProof/>
          <w:lang w:eastAsia="en-IE"/>
        </w:rPr>
        <w:t>,</w:t>
      </w:r>
      <w:r w:rsidR="009E262D">
        <w:rPr>
          <w:noProof/>
          <w:lang w:eastAsia="en-IE"/>
        </w:rPr>
        <w:t xml:space="preserve"> </w:t>
      </w:r>
      <w:r w:rsidR="001A462E" w:rsidRPr="00DA584C">
        <w:rPr>
          <w:noProof/>
          <w:lang w:eastAsia="en-IE"/>
        </w:rPr>
        <w:t>ICT processes</w:t>
      </w:r>
      <w:r w:rsidR="001A462E">
        <w:rPr>
          <w:noProof/>
          <w:lang w:eastAsia="en-IE"/>
        </w:rPr>
        <w:t>, managed security services and certified entities</w:t>
      </w:r>
      <w:r w:rsidR="001A462E" w:rsidRPr="00DA584C">
        <w:rPr>
          <w:noProof/>
          <w:lang w:eastAsia="en-IE"/>
        </w:rPr>
        <w:t xml:space="preserve"> </w:t>
      </w:r>
      <w:r w:rsidR="001A462E" w:rsidRPr="00BD0E95">
        <w:rPr>
          <w:noProof/>
          <w:lang w:eastAsia="en-IE"/>
        </w:rPr>
        <w:t>who carry out the conformity self-assessment, for monitoring conformity assessment bodies, as well as the appropriateness of the expertise of the staff of bodies issuing certificates for assurance level ‘high’. ENISA should participate in the peer reviews as observer and support the organisation of the peer review mechanism and peer reviews, including by developing relevant guidance documents and templates, in cooperation with the Commission and the ECCG. ENISA should also make publicly available on their website on European cybersecurity certification schemes the information on the schedule of peer reviews and the list of peer-reviewe</w:t>
      </w:r>
      <w:r w:rsidR="001A462E">
        <w:rPr>
          <w:noProof/>
          <w:lang w:eastAsia="en-IE"/>
        </w:rPr>
        <w:t>d</w:t>
      </w:r>
      <w:r w:rsidR="001A462E" w:rsidRPr="00BD0E95">
        <w:rPr>
          <w:noProof/>
          <w:lang w:eastAsia="en-IE"/>
        </w:rPr>
        <w:t xml:space="preserve"> national cybersecurity certification authorities that are to carry out the schedule. </w:t>
      </w:r>
      <w:r w:rsidR="001A462E" w:rsidRPr="00FC2BB2">
        <w:rPr>
          <w:noProof/>
          <w:color w:val="333333"/>
          <w:lang w:eastAsia="en-IE"/>
        </w:rPr>
        <w:t xml:space="preserve">Commission Implementing Regulation (EU) </w:t>
      </w:r>
      <w:r w:rsidR="001A462E" w:rsidRPr="00310A0C">
        <w:rPr>
          <w:noProof/>
          <w:color w:val="333333"/>
          <w:lang w:eastAsia="en-IE"/>
        </w:rPr>
        <w:t>2025/2540</w:t>
      </w:r>
      <w:r w:rsidR="001A462E">
        <w:rPr>
          <w:rStyle w:val="FootnoteReference"/>
          <w:rFonts w:eastAsia="Times New Roman"/>
          <w:noProof/>
          <w:color w:val="333333"/>
          <w:lang w:eastAsia="en-IE"/>
        </w:rPr>
        <w:footnoteReference w:id="61"/>
      </w:r>
      <w:r w:rsidR="001A462E" w:rsidRPr="00FC2BB2">
        <w:rPr>
          <w:noProof/>
          <w:color w:val="333333"/>
          <w:lang w:eastAsia="en-IE"/>
        </w:rPr>
        <w:t xml:space="preserve">, adopted under </w:t>
      </w:r>
      <w:r w:rsidR="001A462E" w:rsidRPr="004D0383">
        <w:rPr>
          <w:noProof/>
          <w:color w:val="333333"/>
          <w:lang w:eastAsia="en-IE"/>
        </w:rPr>
        <w:t>Regulation (EU) 2019/881</w:t>
      </w:r>
      <w:r w:rsidR="001A462E" w:rsidRPr="00FC2BB2">
        <w:rPr>
          <w:noProof/>
          <w:color w:val="333333"/>
          <w:lang w:eastAsia="en-IE"/>
        </w:rPr>
        <w:t xml:space="preserve"> establishes the </w:t>
      </w:r>
      <w:r w:rsidR="001A462E" w:rsidRPr="00BD0E95">
        <w:rPr>
          <w:noProof/>
          <w:color w:val="333333"/>
          <w:lang w:eastAsia="en-IE"/>
        </w:rPr>
        <w:t>plan for peer reviews</w:t>
      </w:r>
      <w:r w:rsidR="001A462E">
        <w:rPr>
          <w:noProof/>
          <w:color w:val="333333"/>
          <w:lang w:eastAsia="en-IE"/>
        </w:rPr>
        <w:t xml:space="preserve"> which </w:t>
      </w:r>
      <w:r w:rsidR="001A462E" w:rsidRPr="00310A0C">
        <w:rPr>
          <w:noProof/>
          <w:color w:val="333333"/>
          <w:lang w:eastAsia="en-IE"/>
        </w:rPr>
        <w:t>is</w:t>
      </w:r>
      <w:r w:rsidR="001A462E">
        <w:rPr>
          <w:noProof/>
          <w:color w:val="333333"/>
          <w:lang w:eastAsia="en-IE"/>
        </w:rPr>
        <w:t xml:space="preserve"> being utilised by the adopted European cybersecurity certification schemes. </w:t>
      </w:r>
      <w:r w:rsidR="001A462E" w:rsidRPr="00901D26">
        <w:rPr>
          <w:noProof/>
          <w:color w:val="333333"/>
          <w:lang w:eastAsia="en-IE"/>
        </w:rPr>
        <w:t xml:space="preserve">It is necessary to ensure the continuation </w:t>
      </w:r>
      <w:r w:rsidR="001A462E">
        <w:rPr>
          <w:noProof/>
          <w:color w:val="333333"/>
          <w:lang w:eastAsia="en-IE"/>
        </w:rPr>
        <w:t>of the peer reviews</w:t>
      </w:r>
      <w:r w:rsidR="001A462E" w:rsidRPr="00901D26">
        <w:rPr>
          <w:noProof/>
          <w:color w:val="333333"/>
          <w:lang w:eastAsia="en-IE"/>
        </w:rPr>
        <w:t>.</w:t>
      </w:r>
      <w:r w:rsidR="001A462E" w:rsidRPr="004D0383">
        <w:rPr>
          <w:noProof/>
          <w:color w:val="333333"/>
          <w:lang w:eastAsia="en-IE"/>
        </w:rPr>
        <w:t xml:space="preserve"> </w:t>
      </w:r>
      <w:r w:rsidR="001A462E">
        <w:rPr>
          <w:noProof/>
          <w:color w:val="000000" w:themeColor="text1"/>
        </w:rPr>
        <w:t>Nevertheless, t</w:t>
      </w:r>
      <w:r w:rsidR="001A462E" w:rsidRPr="00BD0E95">
        <w:rPr>
          <w:noProof/>
          <w:lang w:eastAsia="en-IE"/>
        </w:rPr>
        <w:t xml:space="preserve">he Commission should be able, by means of implementing acts, </w:t>
      </w:r>
      <w:r w:rsidR="00C35BAA">
        <w:rPr>
          <w:noProof/>
          <w:lang w:eastAsia="en-IE"/>
        </w:rPr>
        <w:t xml:space="preserve">where needed, </w:t>
      </w:r>
      <w:r w:rsidR="001A462E" w:rsidRPr="00BD0E95">
        <w:rPr>
          <w:noProof/>
          <w:lang w:eastAsia="en-IE"/>
        </w:rPr>
        <w:t>to establish</w:t>
      </w:r>
      <w:r w:rsidR="001A462E">
        <w:rPr>
          <w:noProof/>
          <w:lang w:eastAsia="en-IE"/>
        </w:rPr>
        <w:t xml:space="preserve"> a new</w:t>
      </w:r>
      <w:r w:rsidR="001A462E" w:rsidRPr="00BD0E95">
        <w:rPr>
          <w:noProof/>
          <w:lang w:eastAsia="en-IE"/>
        </w:rPr>
        <w:t xml:space="preserve"> plan for peer reviews</w:t>
      </w:r>
      <w:r w:rsidR="00C35BAA">
        <w:rPr>
          <w:noProof/>
          <w:lang w:eastAsia="en-IE"/>
        </w:rPr>
        <w:t xml:space="preserve"> of </w:t>
      </w:r>
      <w:r w:rsidR="00C35BAA" w:rsidRPr="00BD0E95">
        <w:rPr>
          <w:noProof/>
          <w:lang w:eastAsia="en-IE"/>
        </w:rPr>
        <w:t>at least five</w:t>
      </w:r>
      <w:r w:rsidR="00C35BAA">
        <w:rPr>
          <w:noProof/>
          <w:lang w:eastAsia="en-IE"/>
        </w:rPr>
        <w:t xml:space="preserve"> </w:t>
      </w:r>
      <w:r w:rsidR="00C35BAA" w:rsidRPr="00BD0E95">
        <w:rPr>
          <w:noProof/>
          <w:lang w:eastAsia="en-IE"/>
        </w:rPr>
        <w:t>year</w:t>
      </w:r>
      <w:r w:rsidR="00C35BAA">
        <w:rPr>
          <w:noProof/>
          <w:lang w:eastAsia="en-IE"/>
        </w:rPr>
        <w:t>s</w:t>
      </w:r>
      <w:r w:rsidR="001A462E" w:rsidRPr="00BD0E95">
        <w:rPr>
          <w:noProof/>
          <w:lang w:eastAsia="en-IE"/>
        </w:rPr>
        <w:t>,</w:t>
      </w:r>
      <w:r w:rsidR="001A462E">
        <w:rPr>
          <w:noProof/>
          <w:lang w:eastAsia="en-IE"/>
        </w:rPr>
        <w:t xml:space="preserve"> </w:t>
      </w:r>
      <w:r w:rsidR="001A462E" w:rsidRPr="00BD0E95">
        <w:rPr>
          <w:noProof/>
          <w:lang w:eastAsia="en-IE"/>
        </w:rPr>
        <w:t xml:space="preserve">as well as </w:t>
      </w:r>
      <w:r w:rsidR="001A462E">
        <w:rPr>
          <w:noProof/>
          <w:lang w:eastAsia="en-IE"/>
        </w:rPr>
        <w:t>to lay</w:t>
      </w:r>
      <w:r w:rsidR="001A462E" w:rsidRPr="00BD0E95">
        <w:rPr>
          <w:noProof/>
          <w:lang w:eastAsia="en-IE"/>
        </w:rPr>
        <w:t xml:space="preserve"> down criteria and methodologies for the operation of the peer review system.</w:t>
      </w:r>
    </w:p>
    <w:p w14:paraId="44BA6166" w14:textId="2AFA46DF" w:rsidR="001A462E" w:rsidRPr="000E2372" w:rsidRDefault="006D01CD" w:rsidP="006D01CD">
      <w:pPr>
        <w:pStyle w:val="ManualConsidrant"/>
        <w:rPr>
          <w:noProof/>
        </w:rPr>
      </w:pPr>
      <w:r w:rsidRPr="006D01CD">
        <w:rPr>
          <w:noProof/>
        </w:rPr>
        <w:t>(120)</w:t>
      </w:r>
      <w:r w:rsidRPr="006D01CD">
        <w:rPr>
          <w:noProof/>
        </w:rPr>
        <w:tab/>
      </w:r>
      <w:r w:rsidR="001A462E" w:rsidRPr="000E2372">
        <w:rPr>
          <w:i/>
          <w:iCs/>
          <w:noProof/>
        </w:rPr>
        <w:t xml:space="preserve"> </w:t>
      </w:r>
      <w:r w:rsidR="001A462E" w:rsidRPr="000E2372">
        <w:rPr>
          <w:noProof/>
        </w:rPr>
        <w:t>Once a European cybersecurity certification scheme is adopted, manufacturers or providers of ICT products, ICT services, ICT processes, managed security services or the entit</w:t>
      </w:r>
      <w:r w:rsidR="001A462E">
        <w:rPr>
          <w:noProof/>
        </w:rPr>
        <w:t>ies</w:t>
      </w:r>
      <w:r w:rsidR="001A462E" w:rsidRPr="000E2372">
        <w:rPr>
          <w:noProof/>
        </w:rPr>
        <w:t xml:space="preserve"> the cyber posture of which is </w:t>
      </w:r>
      <w:r w:rsidR="001A462E">
        <w:rPr>
          <w:noProof/>
        </w:rPr>
        <w:t xml:space="preserve">the </w:t>
      </w:r>
      <w:r w:rsidR="001A462E" w:rsidRPr="000E2372">
        <w:rPr>
          <w:noProof/>
        </w:rPr>
        <w:t>subject of certification, should be able to submit applications for certification of their ICT products</w:t>
      </w:r>
      <w:r w:rsidR="001A462E">
        <w:rPr>
          <w:noProof/>
        </w:rPr>
        <w:t>,</w:t>
      </w:r>
      <w:r w:rsidR="001A462E" w:rsidRPr="000E2372">
        <w:rPr>
          <w:noProof/>
        </w:rPr>
        <w:t xml:space="preserve"> ICT services,</w:t>
      </w:r>
      <w:r w:rsidR="001A462E">
        <w:rPr>
          <w:noProof/>
        </w:rPr>
        <w:t xml:space="preserve"> ICT processes</w:t>
      </w:r>
      <w:r w:rsidR="001A462E" w:rsidRPr="000E2372">
        <w:rPr>
          <w:noProof/>
        </w:rPr>
        <w:t>, managed security services or cyber posture to the conformity assessment body of their choice anywhere in the Union. Conformity assessment bodies should be accredited by a national accreditation body if they comply with the requirements set out in this Regulation, and, where applicable, with the requirements specified by the Commission in accordance with this Regulation. The system set out in this Regulation should be complemented by the accreditation system provided for in Regulation (EC) No 765/2008</w:t>
      </w:r>
      <w:r w:rsidR="001A462E" w:rsidRPr="00D621D7">
        <w:rPr>
          <w:noProof/>
        </w:rPr>
        <w:t xml:space="preserve"> of the European Parliament and of the Council</w:t>
      </w:r>
      <w:r w:rsidR="001A462E">
        <w:rPr>
          <w:rStyle w:val="FootnoteReference"/>
          <w:rFonts w:eastAsia="Times New Roman"/>
          <w:noProof/>
          <w:color w:val="000000" w:themeColor="text1"/>
        </w:rPr>
        <w:footnoteReference w:id="62"/>
      </w:r>
      <w:r w:rsidR="001A462E" w:rsidRPr="000E2372">
        <w:rPr>
          <w:noProof/>
        </w:rPr>
        <w:t xml:space="preserve">. </w:t>
      </w:r>
    </w:p>
    <w:p w14:paraId="3D376F2E" w14:textId="1A3CD669" w:rsidR="001A462E" w:rsidRPr="000E2372" w:rsidRDefault="006D01CD" w:rsidP="006D01CD">
      <w:pPr>
        <w:pStyle w:val="ManualConsidrant"/>
        <w:rPr>
          <w:noProof/>
        </w:rPr>
      </w:pPr>
      <w:r w:rsidRPr="006D01CD">
        <w:rPr>
          <w:noProof/>
        </w:rPr>
        <w:t>(121)</w:t>
      </w:r>
      <w:r w:rsidRPr="006D01CD">
        <w:rPr>
          <w:noProof/>
        </w:rPr>
        <w:tab/>
      </w:r>
      <w:r w:rsidR="001A462E" w:rsidRPr="000E2372">
        <w:rPr>
          <w:noProof/>
        </w:rPr>
        <w:t xml:space="preserve"> Conformity assessment bodies that have been accredited or notified under existing Union </w:t>
      </w:r>
      <w:r w:rsidR="001A462E" w:rsidRPr="000E2372">
        <w:rPr>
          <w:noProof/>
          <w:lang w:eastAsia="en-IE"/>
        </w:rPr>
        <w:t>legislation</w:t>
      </w:r>
      <w:r w:rsidR="001A462E" w:rsidRPr="000E2372">
        <w:rPr>
          <w:noProof/>
        </w:rPr>
        <w:t>, in particular Regulation (EU) 2024/2847 or Implementing Regulation (EU) 2024/482, might possess competenc</w:t>
      </w:r>
      <w:r w:rsidR="001A462E">
        <w:rPr>
          <w:noProof/>
        </w:rPr>
        <w:t>i</w:t>
      </w:r>
      <w:r w:rsidR="001A462E" w:rsidRPr="000E2372">
        <w:rPr>
          <w:noProof/>
        </w:rPr>
        <w:t xml:space="preserve">es that are relevant to newly adopted European cybersecurity certification schemes. </w:t>
      </w:r>
      <w:r w:rsidR="001A462E">
        <w:rPr>
          <w:noProof/>
        </w:rPr>
        <w:t>To avoid unnecessary financial and administrative burden, it</w:t>
      </w:r>
      <w:r w:rsidR="001A462E" w:rsidRPr="000E2372">
        <w:rPr>
          <w:noProof/>
        </w:rPr>
        <w:t xml:space="preserve"> is appropriate to create synergies for the accreditation of conformity assessment bodies under this Regulation. For this reason,</w:t>
      </w:r>
      <w:r w:rsidR="001A462E" w:rsidRPr="000E2372" w:rsidDel="00270906">
        <w:rPr>
          <w:noProof/>
        </w:rPr>
        <w:t xml:space="preserve"> </w:t>
      </w:r>
      <w:r w:rsidR="001A462E" w:rsidRPr="000E2372">
        <w:rPr>
          <w:noProof/>
        </w:rPr>
        <w:t xml:space="preserve">the accreditation requirements of the schemes should be </w:t>
      </w:r>
      <w:r w:rsidR="001A462E">
        <w:rPr>
          <w:noProof/>
        </w:rPr>
        <w:t>established</w:t>
      </w:r>
      <w:r w:rsidR="001A462E" w:rsidRPr="000E2372">
        <w:rPr>
          <w:noProof/>
        </w:rPr>
        <w:t xml:space="preserve"> in such a way that there is as much alignment as possible with requirements relating to notified bodies </w:t>
      </w:r>
      <w:r w:rsidR="001A462E">
        <w:rPr>
          <w:noProof/>
        </w:rPr>
        <w:t>set out in</w:t>
      </w:r>
      <w:r w:rsidR="001A462E" w:rsidRPr="000E2372">
        <w:rPr>
          <w:noProof/>
        </w:rPr>
        <w:t xml:space="preserve"> Regulation (EU) 2024/2847 and accreditation requirements under Implementing Regulation (EU) 2024/482. In addition, conformity assessment</w:t>
      </w:r>
      <w:r w:rsidR="001A462E">
        <w:rPr>
          <w:noProof/>
        </w:rPr>
        <w:t xml:space="preserve"> bodies</w:t>
      </w:r>
      <w:r w:rsidR="001A462E" w:rsidRPr="000E2372">
        <w:rPr>
          <w:noProof/>
        </w:rPr>
        <w:t xml:space="preserve"> that undergo an accreditation process under this Regulation should be able to rely on previous results of evaluation of their competences under other Union </w:t>
      </w:r>
      <w:r w:rsidR="001A462E" w:rsidRPr="000E2372">
        <w:rPr>
          <w:noProof/>
          <w:lang w:eastAsia="en-IE"/>
        </w:rPr>
        <w:t>legislation</w:t>
      </w:r>
      <w:r w:rsidR="001A462E" w:rsidRPr="000E2372">
        <w:rPr>
          <w:noProof/>
        </w:rPr>
        <w:t xml:space="preserve">, whenever there is an overlap in the </w:t>
      </w:r>
      <w:r w:rsidR="001A462E">
        <w:rPr>
          <w:noProof/>
        </w:rPr>
        <w:t xml:space="preserve">accreditation </w:t>
      </w:r>
      <w:r w:rsidR="001A462E" w:rsidRPr="000E2372">
        <w:rPr>
          <w:noProof/>
        </w:rPr>
        <w:t>requirements.</w:t>
      </w:r>
    </w:p>
    <w:p w14:paraId="12B10B7C" w14:textId="6778A41D" w:rsidR="001A462E" w:rsidRPr="000E2372" w:rsidRDefault="006D01CD" w:rsidP="006D01CD">
      <w:pPr>
        <w:pStyle w:val="ManualConsidrant"/>
        <w:rPr>
          <w:noProof/>
        </w:rPr>
      </w:pPr>
      <w:r w:rsidRPr="006D01CD">
        <w:rPr>
          <w:noProof/>
        </w:rPr>
        <w:t>(122)</w:t>
      </w:r>
      <w:r w:rsidRPr="006D01CD">
        <w:rPr>
          <w:noProof/>
        </w:rPr>
        <w:tab/>
      </w:r>
      <w:r w:rsidR="001A462E">
        <w:rPr>
          <w:noProof/>
        </w:rPr>
        <w:t>With a view to</w:t>
      </w:r>
      <w:r w:rsidR="001A462E" w:rsidRPr="000E2372">
        <w:rPr>
          <w:noProof/>
          <w:lang w:eastAsia="en-IE"/>
        </w:rPr>
        <w:t xml:space="preserve"> facilitating harmonised conformity assessment services across the </w:t>
      </w:r>
      <w:r w:rsidR="001A462E">
        <w:rPr>
          <w:noProof/>
          <w:lang w:eastAsia="en-IE"/>
        </w:rPr>
        <w:t>Union</w:t>
      </w:r>
      <w:r w:rsidR="001A462E" w:rsidRPr="000E2372">
        <w:rPr>
          <w:noProof/>
          <w:lang w:eastAsia="en-IE"/>
        </w:rPr>
        <w:t xml:space="preserve">, </w:t>
      </w:r>
      <w:r w:rsidR="001A462E">
        <w:rPr>
          <w:noProof/>
          <w:lang w:eastAsia="en-IE"/>
        </w:rPr>
        <w:t>it should be possible to set out in</w:t>
      </w:r>
      <w:r w:rsidR="001A462E" w:rsidRPr="000E2372">
        <w:rPr>
          <w:noProof/>
          <w:lang w:eastAsia="en-IE"/>
        </w:rPr>
        <w:t xml:space="preserve"> a European cybersecurity certification scheme </w:t>
      </w:r>
      <w:r w:rsidR="001A462E" w:rsidRPr="000E2372">
        <w:rPr>
          <w:noProof/>
        </w:rPr>
        <w:t>additional or specific</w:t>
      </w:r>
      <w:r w:rsidR="001A462E" w:rsidRPr="000E2372">
        <w:rPr>
          <w:noProof/>
          <w:lang w:eastAsia="en-IE"/>
        </w:rPr>
        <w:t xml:space="preserve"> requirements for conformity assessment bodies. </w:t>
      </w:r>
      <w:r w:rsidR="001A462E" w:rsidRPr="000E2372">
        <w:rPr>
          <w:noProof/>
        </w:rPr>
        <w:t xml:space="preserve">In the context of certification, an authorisation should be understood as a decision by a national cybersecurity certification </w:t>
      </w:r>
      <w:r w:rsidR="001A462E">
        <w:rPr>
          <w:noProof/>
        </w:rPr>
        <w:t>authority</w:t>
      </w:r>
      <w:r w:rsidR="001A462E" w:rsidRPr="000E2372">
        <w:rPr>
          <w:noProof/>
        </w:rPr>
        <w:t xml:space="preserve"> that a conformity assessment body meets the specific or additional requirements set out in a European cybersecurity certification scheme, to carry out a specific conformity assessment activity. </w:t>
      </w:r>
    </w:p>
    <w:p w14:paraId="2D124A5F" w14:textId="08380085" w:rsidR="001A462E" w:rsidRPr="00BD2F1E" w:rsidRDefault="006D01CD" w:rsidP="006D01CD">
      <w:pPr>
        <w:pStyle w:val="ManualConsidrant"/>
        <w:rPr>
          <w:noProof/>
        </w:rPr>
      </w:pPr>
      <w:r w:rsidRPr="006D01CD">
        <w:rPr>
          <w:noProof/>
        </w:rPr>
        <w:t>(123)</w:t>
      </w:r>
      <w:r w:rsidRPr="006D01CD">
        <w:rPr>
          <w:noProof/>
        </w:rPr>
        <w:tab/>
      </w:r>
      <w:r w:rsidR="001A462E" w:rsidRPr="000E2372">
        <w:rPr>
          <w:noProof/>
          <w:lang w:eastAsia="en-IE"/>
        </w:rPr>
        <w:t xml:space="preserve">Where a European cybersecurity certification scheme sets out </w:t>
      </w:r>
      <w:r w:rsidR="001A462E" w:rsidRPr="00284CEC">
        <w:rPr>
          <w:noProof/>
        </w:rPr>
        <w:t>additional or specific</w:t>
      </w:r>
      <w:r w:rsidR="001A462E" w:rsidRPr="000E2372">
        <w:rPr>
          <w:noProof/>
          <w:lang w:eastAsia="en-IE"/>
        </w:rPr>
        <w:t xml:space="preserve"> requirements in accordance with this Regulation, the conformity assessment bodies should be authorised by the national cybersecurity certification authorities to carry out tasks under such scheme. </w:t>
      </w:r>
      <w:r w:rsidR="001A462E" w:rsidRPr="000E2372">
        <w:rPr>
          <w:noProof/>
        </w:rPr>
        <w:t xml:space="preserve">In order to avoid multiple authorisation, to enhance acceptance and recognition of authorisation decisions and to carry out effective monitoring of authorised conformity assessment bodies, conformity assessment bodies should request authorisation by the national cybersecurity certification authority of the Member State in which they are established. Nevertheless, it is necessary to ensure that a conformity assessment body is able to request authorisation in another Member State in the event that there is no </w:t>
      </w:r>
      <w:r w:rsidR="001A462E" w:rsidRPr="00BD2F1E">
        <w:rPr>
          <w:noProof/>
        </w:rPr>
        <w:t xml:space="preserve">national cybersecurity certification authority in its own Member State or where the national cybersecurity certification authority does not have the competence to provide the authorisation services requested. In such cases, appropriate cooperation and exchange of information between national cybersecurity certification authorities should be ensured. </w:t>
      </w:r>
      <w:r w:rsidR="001A462E" w:rsidRPr="00BD2F1E">
        <w:rPr>
          <w:noProof/>
          <w:color w:val="000000" w:themeColor="text1"/>
        </w:rPr>
        <w:t xml:space="preserve">The Commission should be </w:t>
      </w:r>
      <w:r w:rsidR="001A462E">
        <w:rPr>
          <w:noProof/>
          <w:color w:val="000000" w:themeColor="text1"/>
        </w:rPr>
        <w:t xml:space="preserve">empowered to adopt </w:t>
      </w:r>
      <w:r w:rsidR="001A462E" w:rsidRPr="00BD2F1E">
        <w:rPr>
          <w:noProof/>
          <w:color w:val="000000" w:themeColor="text1"/>
        </w:rPr>
        <w:t xml:space="preserve">implementing acts </w:t>
      </w:r>
      <w:r w:rsidR="001A462E">
        <w:rPr>
          <w:noProof/>
          <w:color w:val="000000" w:themeColor="text1"/>
        </w:rPr>
        <w:t>establishing</w:t>
      </w:r>
      <w:r w:rsidR="001A462E" w:rsidRPr="00BD2F1E">
        <w:rPr>
          <w:noProof/>
          <w:color w:val="000000" w:themeColor="text1"/>
        </w:rPr>
        <w:t xml:space="preserve"> the procedures for authorisation, including for cross-border cooperation </w:t>
      </w:r>
      <w:r w:rsidR="001A462E">
        <w:rPr>
          <w:noProof/>
          <w:color w:val="000000" w:themeColor="text1"/>
        </w:rPr>
        <w:t>with regard to</w:t>
      </w:r>
      <w:r w:rsidR="001A462E" w:rsidRPr="00BD2F1E">
        <w:rPr>
          <w:noProof/>
          <w:color w:val="000000" w:themeColor="text1"/>
        </w:rPr>
        <w:t xml:space="preserve"> authorisation. </w:t>
      </w:r>
    </w:p>
    <w:p w14:paraId="31BBEC70" w14:textId="0AAC1F43" w:rsidR="001A462E" w:rsidRPr="00BD2F1E" w:rsidRDefault="006D01CD" w:rsidP="006D01CD">
      <w:pPr>
        <w:pStyle w:val="ManualConsidrant"/>
        <w:rPr>
          <w:noProof/>
        </w:rPr>
      </w:pPr>
      <w:r w:rsidRPr="006D01CD">
        <w:rPr>
          <w:noProof/>
        </w:rPr>
        <w:t>(124)</w:t>
      </w:r>
      <w:r w:rsidRPr="006D01CD">
        <w:rPr>
          <w:noProof/>
        </w:rPr>
        <w:tab/>
      </w:r>
      <w:r w:rsidR="001A462E" w:rsidRPr="00BD2F1E">
        <w:rPr>
          <w:noProof/>
        </w:rPr>
        <w:t xml:space="preserve">In order to safeguard the level of protection required for an ICT product, ICT service, ICT process, managed security service or cyber posture of an entity, it is essential that conformity assessment subcontractors and subsidiaries </w:t>
      </w:r>
      <w:r w:rsidR="001A462E">
        <w:rPr>
          <w:noProof/>
        </w:rPr>
        <w:t xml:space="preserve">are required to meet </w:t>
      </w:r>
      <w:r w:rsidR="001A462E" w:rsidRPr="00BD2F1E">
        <w:rPr>
          <w:noProof/>
        </w:rPr>
        <w:t xml:space="preserve">the same requirements as the notified conformity assessment bodies in relation to the performance of conformity assessment tasks. Accordingly, a conformity assessment body </w:t>
      </w:r>
      <w:r w:rsidR="001A462E">
        <w:rPr>
          <w:noProof/>
        </w:rPr>
        <w:t>should</w:t>
      </w:r>
      <w:r w:rsidR="001A462E" w:rsidRPr="00BD2F1E">
        <w:rPr>
          <w:noProof/>
        </w:rPr>
        <w:t xml:space="preserve"> have </w:t>
      </w:r>
      <w:r w:rsidR="001A462E">
        <w:rPr>
          <w:noProof/>
        </w:rPr>
        <w:t xml:space="preserve">the </w:t>
      </w:r>
      <w:r w:rsidR="001A462E" w:rsidRPr="00BD2F1E">
        <w:rPr>
          <w:noProof/>
        </w:rPr>
        <w:t>appropriate competence and be able to verify that the applicable requirements are met by its subcontractors.</w:t>
      </w:r>
    </w:p>
    <w:p w14:paraId="116A5AEF" w14:textId="7299A06B" w:rsidR="001A462E" w:rsidRPr="006879B9" w:rsidRDefault="006D01CD" w:rsidP="006D01CD">
      <w:pPr>
        <w:pStyle w:val="ManualConsidrant"/>
        <w:rPr>
          <w:noProof/>
        </w:rPr>
      </w:pPr>
      <w:r w:rsidRPr="006D01CD">
        <w:rPr>
          <w:noProof/>
        </w:rPr>
        <w:t>(125)</w:t>
      </w:r>
      <w:r w:rsidRPr="006D01CD">
        <w:rPr>
          <w:noProof/>
        </w:rPr>
        <w:tab/>
      </w:r>
      <w:r w:rsidR="001A462E" w:rsidRPr="006879B9">
        <w:rPr>
          <w:noProof/>
        </w:rPr>
        <w:t xml:space="preserve">The extent to which the conformity assessment body intends to rely on subcontractors established outside the Union, or have access to personnel or facilities outside the Member State of notification should be appropriately assessed by the notifying authority. The public authority of a Member State should have the possibility to decide that it cannot take the overall responsibility as a national cybersecurity certification authority for such an arrangement, and to withdraw or limit the scope of the notification.  </w:t>
      </w:r>
    </w:p>
    <w:p w14:paraId="382F38EC" w14:textId="2382F910" w:rsidR="001A462E" w:rsidRPr="006879B9" w:rsidRDefault="006D01CD" w:rsidP="006D01CD">
      <w:pPr>
        <w:pStyle w:val="ManualConsidrant"/>
        <w:rPr>
          <w:noProof/>
        </w:rPr>
      </w:pPr>
      <w:r w:rsidRPr="006D01CD">
        <w:rPr>
          <w:noProof/>
        </w:rPr>
        <w:t>(126)</w:t>
      </w:r>
      <w:r w:rsidRPr="006D01CD">
        <w:rPr>
          <w:noProof/>
        </w:rPr>
        <w:tab/>
      </w:r>
      <w:r w:rsidR="001A462E" w:rsidRPr="006879B9">
        <w:rPr>
          <w:noProof/>
        </w:rPr>
        <w:t>In order to evaluate the cybersecurity requirements for ICT products, ICT services, ICT processes, managed security services or the cyber posture of entities, accredited conformity assessment bodies should be notified by the national cybersecurity certification authorities to the Commission and the other Member States. Notification of accredited and, where applicable, authorised conformity assessment bodies indicates that those bodies can be trusted in performing evaluation and certification activities in accordance with this Regulation and the European cybersecurity certification scheme, contributing to the overall reputation of European cybersecurity certification. It is therefore essential to ensure that conformity assessment bodies that have been notified meet their requirements and fulfil their obligations over time, and that the list of notified conformity assessment bodies is kept up to date.</w:t>
      </w:r>
    </w:p>
    <w:p w14:paraId="06A7951F" w14:textId="60B89041" w:rsidR="001A462E" w:rsidRPr="006879B9" w:rsidRDefault="006D01CD" w:rsidP="006D01CD">
      <w:pPr>
        <w:pStyle w:val="ManualConsidrant"/>
        <w:rPr>
          <w:noProof/>
        </w:rPr>
      </w:pPr>
      <w:r w:rsidRPr="006D01CD">
        <w:rPr>
          <w:noProof/>
        </w:rPr>
        <w:t>(127)</w:t>
      </w:r>
      <w:r w:rsidRPr="006D01CD">
        <w:rPr>
          <w:noProof/>
        </w:rPr>
        <w:tab/>
      </w:r>
      <w:r w:rsidR="001A462E" w:rsidRPr="006879B9">
        <w:rPr>
          <w:noProof/>
        </w:rPr>
        <w:t>Commission Implementing Regulation (EU) 2024/3143</w:t>
      </w:r>
      <w:r w:rsidR="001A462E" w:rsidRPr="00AB3669">
        <w:rPr>
          <w:rStyle w:val="FootnoteReference"/>
          <w:noProof/>
        </w:rPr>
        <w:footnoteReference w:id="63"/>
      </w:r>
      <w:r w:rsidR="001A462E" w:rsidRPr="006879B9">
        <w:rPr>
          <w:noProof/>
        </w:rPr>
        <w:t xml:space="preserve"> adopted under Regulation (EU) 2019/881 establishes the circumstances, formats and procedures for notifications of conformity assessment bodies which are being utilised by the adopted European cybersecurity certification schemes. It is therefore necessary to ensure the continuation of the notification activities. Nevertheless, the Commission should be empowered to adopt implementing acts to adjust those circumstances, procedures and formats for the notification of conformity assessment bodies. In this context, the Commission should draw on the experience gained in the context of existing schemes, and seek alignment with other relevant Union legislation and frameworks, in particular Regulation (EU) 2024/2847 and the new legislative framework, in view of reducing compliance burden for conformity assessment bodies active under different legal instruments. </w:t>
      </w:r>
    </w:p>
    <w:p w14:paraId="037776EC" w14:textId="5B54D692" w:rsidR="00CE11BB" w:rsidRPr="00AF373E" w:rsidRDefault="006D01CD" w:rsidP="006D01CD">
      <w:pPr>
        <w:pStyle w:val="ManualConsidrant"/>
        <w:rPr>
          <w:noProof/>
        </w:rPr>
      </w:pPr>
      <w:r w:rsidRPr="006D01CD">
        <w:rPr>
          <w:noProof/>
        </w:rPr>
        <w:t>(128)</w:t>
      </w:r>
      <w:r w:rsidRPr="006D01CD">
        <w:rPr>
          <w:noProof/>
        </w:rPr>
        <w:tab/>
      </w:r>
      <w:r w:rsidR="00CE11BB" w:rsidRPr="00AF373E">
        <w:rPr>
          <w:noProof/>
        </w:rPr>
        <w:t xml:space="preserve"> Information and communication technology (ICT) supply chains are composed of a linked set of resources and processes between economic operators. ICT supply chains play a crucial role in sustaining societal stability and driving economic activity across the Union. They also play a critical role in enabling the digital infrastructure in the Union and underpin the functioning of Union society and economy. ICT supply chains enable the manufacture, production, distribution, and maintenance of ICT services, ICT systems and ICT products that underpin various critical and highly critical sectors, including healthcare, finance, transportation, telecommunication, energy and customs. The security of the ICT supply chains of those critical sectors may also have impact on the security of defence and military infrastructure, where this infrastructure relies on civilian critical sectors and their ICT supply chains. However, according to the report on the status of the cybersecurity threats issued by ENISA (ENISA Threat Landscape 2025)</w:t>
      </w:r>
      <w:r w:rsidR="00CE11BB" w:rsidRPr="00AF373E">
        <w:rPr>
          <w:rStyle w:val="FootnoteReference"/>
          <w:noProof/>
        </w:rPr>
        <w:footnoteReference w:id="64"/>
      </w:r>
      <w:r w:rsidR="00CE11BB" w:rsidRPr="00AF373E">
        <w:rPr>
          <w:noProof/>
        </w:rPr>
        <w:t xml:space="preserve">, attacks against supply chains are amongst the five prime threats to cybersecurity showing that attackers actively leveraging indirect pathways through third-party providers and dependencies. Disruption of ICT supply chains can impede the pursuit of economic activities in the internal market, generate financial loss, undermine user confidence and cause major damage to the Union’s economy and society. Cybersecurity preparedness and effectiveness are therefore more essential than ever to the proper functioning of the internal market.  </w:t>
      </w:r>
    </w:p>
    <w:p w14:paraId="1919F548" w14:textId="7912A51A" w:rsidR="00CE11BB" w:rsidRPr="00AF373E" w:rsidRDefault="006D01CD" w:rsidP="006D01CD">
      <w:pPr>
        <w:pStyle w:val="ManualConsidrant"/>
        <w:rPr>
          <w:noProof/>
        </w:rPr>
      </w:pPr>
      <w:r w:rsidRPr="006D01CD">
        <w:rPr>
          <w:noProof/>
        </w:rPr>
        <w:t>(129)</w:t>
      </w:r>
      <w:r w:rsidRPr="006D01CD">
        <w:rPr>
          <w:noProof/>
        </w:rPr>
        <w:tab/>
      </w:r>
      <w:r w:rsidR="00CE11BB" w:rsidRPr="00AF373E">
        <w:rPr>
          <w:noProof/>
        </w:rPr>
        <w:t>Beyond technical risks which are addressed by Directive (EU) 2022/55 of the European Parliament and of the Council</w:t>
      </w:r>
      <w:r w:rsidR="00CE11BB" w:rsidRPr="00574290">
        <w:rPr>
          <w:rStyle w:val="FootnoteReference"/>
          <w:noProof/>
        </w:rPr>
        <w:footnoteReference w:id="65"/>
      </w:r>
      <w:r w:rsidR="00CE11BB" w:rsidRPr="00AF373E">
        <w:rPr>
          <w:noProof/>
        </w:rPr>
        <w:t>, Regulation (EU) 2024/2847 of the European Parliament and of the Council</w:t>
      </w:r>
      <w:r w:rsidR="00CE11BB" w:rsidRPr="00574290">
        <w:rPr>
          <w:rStyle w:val="FootnoteReference"/>
          <w:noProof/>
        </w:rPr>
        <w:footnoteReference w:id="66"/>
      </w:r>
      <w:r w:rsidR="00CE11BB" w:rsidRPr="00AF373E">
        <w:rPr>
          <w:noProof/>
        </w:rPr>
        <w:t xml:space="preserve"> and the European cybersecurity certification Framework established by Regulation (EU) 2019/881, ICT supply chains are increasingly exposed to risks of a non-technical nature. Such non-technical risks may be linked, but not limited, to the jurisdiction to which a supplier of certain components is subject, in particular where a third country or threat actors controlled from that country engage in economic espionage, carry out malicious cyber activities or campaigns against the Union or its Member States, or engages in irresponsible State behaviour in cyberspace. Non-technical risks can also be linked to concealed vulnerabilities or backdoors or potential systemic supply disruptions, in particular in the case of technological lock-in or supplier dependency.</w:t>
      </w:r>
      <w:r w:rsidR="00130FBD">
        <w:rPr>
          <w:noProof/>
        </w:rPr>
        <w:t xml:space="preserve"> For instance, kill switches could be used to </w:t>
      </w:r>
      <w:r w:rsidR="0097630A">
        <w:rPr>
          <w:noProof/>
        </w:rPr>
        <w:t>negatively impact the availability of communication networks and electricity grids.</w:t>
      </w:r>
    </w:p>
    <w:p w14:paraId="13E391D1" w14:textId="047AE0E7" w:rsidR="00CE11BB" w:rsidRPr="00AF373E" w:rsidRDefault="006D01CD" w:rsidP="006D01CD">
      <w:pPr>
        <w:pStyle w:val="ManualConsidrant"/>
        <w:rPr>
          <w:noProof/>
        </w:rPr>
      </w:pPr>
      <w:r w:rsidRPr="006D01CD">
        <w:rPr>
          <w:noProof/>
        </w:rPr>
        <w:t>(130)</w:t>
      </w:r>
      <w:r w:rsidRPr="006D01CD">
        <w:rPr>
          <w:noProof/>
        </w:rPr>
        <w:tab/>
      </w:r>
      <w:r w:rsidR="00CE11BB" w:rsidRPr="00AF373E">
        <w:rPr>
          <w:noProof/>
        </w:rPr>
        <w:t>The Joint Communication on Strengthening EU economic security</w:t>
      </w:r>
      <w:r w:rsidR="00CE11BB" w:rsidRPr="00AF373E">
        <w:rPr>
          <w:rStyle w:val="FootnoteReference"/>
          <w:noProof/>
        </w:rPr>
        <w:footnoteReference w:id="67"/>
      </w:r>
      <w:r w:rsidR="00CE11BB" w:rsidRPr="00AF373E">
        <w:rPr>
          <w:noProof/>
        </w:rPr>
        <w:t xml:space="preserve"> underlined the risk of third countries gaining access to sensitive information and data in the Union or its Member States, either as a result of industrial espionage, their supply of hardware or software used in certain products or due to their ownership and control of certain businesses possessing sensitive information and data. It also underlined the risk of the Union’s critical infrastructure - including critical transport, space systems, energy and communications infrastructure, in particular those that are identified as strategic to military mobility - being disrupted by foreign actors, which could lead to cascade effects on the Union economy. Disruptions could occur through physical, cyber or hybrid attacks, including the sabotage of entire facilities or their parts or subcomponents. They could also be linked to ICT supply chains, which underly critical components or services to critical infrastructures. </w:t>
      </w:r>
    </w:p>
    <w:p w14:paraId="1C5DBD6B" w14:textId="6590F103" w:rsidR="00CE11BB" w:rsidRPr="00AF373E" w:rsidRDefault="006D01CD" w:rsidP="006D01CD">
      <w:pPr>
        <w:pStyle w:val="ManualConsidrant"/>
        <w:rPr>
          <w:noProof/>
        </w:rPr>
      </w:pPr>
      <w:r w:rsidRPr="006D01CD">
        <w:rPr>
          <w:noProof/>
        </w:rPr>
        <w:t>(131)</w:t>
      </w:r>
      <w:r w:rsidRPr="006D01CD">
        <w:rPr>
          <w:noProof/>
        </w:rPr>
        <w:tab/>
      </w:r>
      <w:r w:rsidR="00CE11BB" w:rsidRPr="00AF373E">
        <w:rPr>
          <w:noProof/>
        </w:rPr>
        <w:t>In response to challenges to ICT supply chain security posed by non-technical risks, some Member States have taken regulatory measures, including designation of high-risk suppliers, whilst other Member States are likely to do so. This could lead to further divergence in national approaches, and ultimately to higher vulnerability of some Member States, with potential spill-over effects across the Union. Therefore</w:t>
      </w:r>
      <w:r w:rsidR="00CE11BB">
        <w:rPr>
          <w:noProof/>
        </w:rPr>
        <w:t>,</w:t>
      </w:r>
      <w:r w:rsidR="00CE11BB" w:rsidRPr="00AF373E">
        <w:rPr>
          <w:noProof/>
        </w:rPr>
        <w:t xml:space="preserve"> it is necessary to harmonise certain aspects related to the non-technical cybersecurity risks to the ICT supply chain. Such intervention at Union level is also justified in view of the need to ensure </w:t>
      </w:r>
      <w:r w:rsidR="00CE11BB">
        <w:rPr>
          <w:noProof/>
        </w:rPr>
        <w:t xml:space="preserve">a </w:t>
      </w:r>
      <w:r w:rsidR="00CE11BB" w:rsidRPr="00AF373E">
        <w:rPr>
          <w:noProof/>
        </w:rPr>
        <w:t xml:space="preserve">high level </w:t>
      </w:r>
      <w:r w:rsidR="00CE11BB">
        <w:rPr>
          <w:noProof/>
        </w:rPr>
        <w:t xml:space="preserve">of </w:t>
      </w:r>
      <w:r w:rsidR="00CE11BB" w:rsidRPr="00AF373E">
        <w:rPr>
          <w:noProof/>
        </w:rPr>
        <w:t xml:space="preserve">cybersecurity across the Union. The provisions on the ICT supply chain security aim to remove such wide divergences among Member States, in particular by setting out rules for risk assessment mechanisms of ICT supply chain security risks at Union level and minimum standards of protection from ICT supply chain risks. </w:t>
      </w:r>
    </w:p>
    <w:p w14:paraId="53387814" w14:textId="392F45AE" w:rsidR="00CE11BB" w:rsidRPr="00AF373E" w:rsidRDefault="006D01CD" w:rsidP="006D01CD">
      <w:pPr>
        <w:pStyle w:val="ManualConsidrant"/>
        <w:rPr>
          <w:noProof/>
        </w:rPr>
      </w:pPr>
      <w:r w:rsidRPr="006D01CD">
        <w:rPr>
          <w:noProof/>
        </w:rPr>
        <w:t>(132)</w:t>
      </w:r>
      <w:r w:rsidRPr="006D01CD">
        <w:rPr>
          <w:noProof/>
        </w:rPr>
        <w:tab/>
      </w:r>
      <w:r w:rsidR="00CE11BB" w:rsidRPr="00AF373E">
        <w:rPr>
          <w:noProof/>
        </w:rPr>
        <w:t>To reduce critical dependencies and vulnerabilities, it is necessary to establish a trusted ICT supply chain framework which should address non-technical risks related to high-risk suppliers and dependencies in sectors of high criticality and other critical sectors. Therefore, it is necessary to provide an objective, risk-based, future-proof and technology-neutral framework at Union level, to identify key ICT assets and provide for a set of proportionate mitigating measures to address the risks.</w:t>
      </w:r>
    </w:p>
    <w:p w14:paraId="386378AC" w14:textId="1D5AA316" w:rsidR="00CE11BB" w:rsidRPr="00D16903" w:rsidRDefault="006D01CD" w:rsidP="006D01CD">
      <w:pPr>
        <w:pStyle w:val="ManualConsidrant"/>
        <w:rPr>
          <w:noProof/>
        </w:rPr>
      </w:pPr>
      <w:r w:rsidRPr="006D01CD">
        <w:rPr>
          <w:noProof/>
        </w:rPr>
        <w:t>(133)</w:t>
      </w:r>
      <w:r w:rsidRPr="006D01CD">
        <w:rPr>
          <w:noProof/>
        </w:rPr>
        <w:tab/>
      </w:r>
      <w:r w:rsidR="00CE11BB" w:rsidRPr="00D16903">
        <w:rPr>
          <w:noProof/>
        </w:rPr>
        <w:t xml:space="preserve">Cybersecurity risks, including risks related to dependency on high-risk suppliers may be observed in several critical ICT supply chains in the Union, including detection equipment, connected and automated vehicles, electricity supply systems and electricity storage, water supply systems, drones and counter-drones systems, cloud computing services, medical devices, </w:t>
      </w:r>
      <w:r w:rsidR="1BE25800">
        <w:rPr>
          <w:noProof/>
        </w:rPr>
        <w:t>surveillance equipment</w:t>
      </w:r>
      <w:r w:rsidR="00CE11BB">
        <w:rPr>
          <w:noProof/>
        </w:rPr>
        <w:t>, space services</w:t>
      </w:r>
      <w:r w:rsidR="00264907">
        <w:rPr>
          <w:noProof/>
        </w:rPr>
        <w:t xml:space="preserve"> </w:t>
      </w:r>
      <w:r w:rsidR="00CE11BB" w:rsidRPr="00D16903">
        <w:rPr>
          <w:noProof/>
        </w:rPr>
        <w:t>and semiconductors. For example, vulnerabilities in security detection equipment could grant access to ICT systems allowing malicious actors to manipulate scanners in such a way that prohibited items could be brought through the security checkpoint without being detected, with possibly catastrophic consequences.</w:t>
      </w:r>
    </w:p>
    <w:p w14:paraId="5B193D6B" w14:textId="2FC7C198" w:rsidR="00CE11BB" w:rsidRPr="00AF373E" w:rsidRDefault="006D01CD" w:rsidP="006D01CD">
      <w:pPr>
        <w:pStyle w:val="ManualConsidrant"/>
        <w:rPr>
          <w:noProof/>
        </w:rPr>
      </w:pPr>
      <w:r w:rsidRPr="006D01CD">
        <w:rPr>
          <w:noProof/>
        </w:rPr>
        <w:t>(134)</w:t>
      </w:r>
      <w:r w:rsidRPr="006D01CD">
        <w:rPr>
          <w:noProof/>
        </w:rPr>
        <w:tab/>
      </w:r>
      <w:r w:rsidR="00CE11BB" w:rsidRPr="00AF373E">
        <w:rPr>
          <w:noProof/>
        </w:rPr>
        <w:t>This Regulation should not preclude Member States from adopting or maintaining provisions ensuring a higher level of cybersecurity</w:t>
      </w:r>
      <w:r w:rsidR="00CE11BB" w:rsidRPr="003F2C1D">
        <w:rPr>
          <w:noProof/>
        </w:rPr>
        <w:t xml:space="preserve"> for what concerns ICT supply chain security</w:t>
      </w:r>
      <w:r w:rsidR="00CE11BB" w:rsidRPr="00AF373E">
        <w:rPr>
          <w:noProof/>
        </w:rPr>
        <w:t>, provided that such provisions are consistent with Member States’ obligations laid down in Union law. Such provisions may for instance include imposing stricter mitigation measures as regards the key ICT assets.</w:t>
      </w:r>
    </w:p>
    <w:p w14:paraId="72561107" w14:textId="7A732E65" w:rsidR="00CE11BB" w:rsidRDefault="006D01CD" w:rsidP="006D01CD">
      <w:pPr>
        <w:pStyle w:val="ManualConsidrant"/>
        <w:rPr>
          <w:noProof/>
        </w:rPr>
      </w:pPr>
      <w:r w:rsidRPr="006D01CD">
        <w:rPr>
          <w:noProof/>
        </w:rPr>
        <w:t>(135)</w:t>
      </w:r>
      <w:r w:rsidRPr="006D01CD">
        <w:rPr>
          <w:noProof/>
        </w:rPr>
        <w:tab/>
      </w:r>
      <w:r w:rsidR="00CE11BB" w:rsidRPr="00BB553B">
        <w:rPr>
          <w:noProof/>
        </w:rPr>
        <w:t xml:space="preserve">In order to identify potential cybersecurity risks affecting specific ICT supply chains, the Cooperation Group established by Article 14 of Directive (EU) 2022/2555 (‘NIS Cooperation Group’) </w:t>
      </w:r>
      <w:r w:rsidR="00CE11BB">
        <w:rPr>
          <w:noProof/>
        </w:rPr>
        <w:t xml:space="preserve">may assess specific ICT supply chains </w:t>
      </w:r>
      <w:r w:rsidR="00CE11BB" w:rsidRPr="00BB553B">
        <w:rPr>
          <w:noProof/>
        </w:rPr>
        <w:t>by means of Union</w:t>
      </w:r>
      <w:r w:rsidR="00CE11BB">
        <w:rPr>
          <w:noProof/>
        </w:rPr>
        <w:t>-</w:t>
      </w:r>
      <w:r w:rsidR="00CE11BB" w:rsidRPr="00BB553B">
        <w:rPr>
          <w:noProof/>
        </w:rPr>
        <w:t>level coordinated security risk assessments. The Union</w:t>
      </w:r>
      <w:r w:rsidR="00CE11BB">
        <w:rPr>
          <w:noProof/>
        </w:rPr>
        <w:t>-</w:t>
      </w:r>
      <w:r w:rsidR="00CE11BB" w:rsidRPr="00BB553B">
        <w:rPr>
          <w:noProof/>
        </w:rPr>
        <w:t xml:space="preserve">level coordinated security risk assessments should look, among others, at the main threat actors, the main threats and vulnerabilities affecting the key ICT assets. The </w:t>
      </w:r>
      <w:r w:rsidR="00CE11BB" w:rsidRPr="00E32098">
        <w:rPr>
          <w:noProof/>
        </w:rPr>
        <w:t xml:space="preserve">Union-level coordinated security risk assessments </w:t>
      </w:r>
      <w:r w:rsidR="00CE11BB" w:rsidRPr="00BB553B">
        <w:rPr>
          <w:noProof/>
        </w:rPr>
        <w:t xml:space="preserve">should develop a list of risk scenarios and a list of measures to mitigate the risks. </w:t>
      </w:r>
      <w:r w:rsidR="00CE11BB" w:rsidRPr="00E32098">
        <w:rPr>
          <w:noProof/>
        </w:rPr>
        <w:t>Union-level coordinated security risk assessments</w:t>
      </w:r>
      <w:r w:rsidR="00CE11BB">
        <w:rPr>
          <w:noProof/>
        </w:rPr>
        <w:t xml:space="preserve"> </w:t>
      </w:r>
      <w:r w:rsidR="00CE11BB" w:rsidRPr="00BB553B">
        <w:rPr>
          <w:noProof/>
        </w:rPr>
        <w:t xml:space="preserve">should be completed within six months. In case of specific urgency, it should be possible to shorten the deadlines. </w:t>
      </w:r>
    </w:p>
    <w:p w14:paraId="6AD82D9B" w14:textId="1385434A" w:rsidR="00CE11BB" w:rsidRPr="00BB553B" w:rsidRDefault="006D01CD" w:rsidP="006D01CD">
      <w:pPr>
        <w:pStyle w:val="ManualConsidrant"/>
        <w:rPr>
          <w:noProof/>
        </w:rPr>
      </w:pPr>
      <w:r w:rsidRPr="006D01CD">
        <w:rPr>
          <w:noProof/>
        </w:rPr>
        <w:t>(136)</w:t>
      </w:r>
      <w:r w:rsidRPr="006D01CD">
        <w:rPr>
          <w:noProof/>
        </w:rPr>
        <w:tab/>
      </w:r>
      <w:r w:rsidR="00CE11BB" w:rsidRPr="00BB553B">
        <w:rPr>
          <w:noProof/>
        </w:rPr>
        <w:t xml:space="preserve">In cases where the Commission has sufficient reason to believe that there is a significant cyber threat for the security of the Union related to critical ICT supply chains and an action might be necessary to preserve the proper functioning of the internal market, it should without delay consult Member States on the need </w:t>
      </w:r>
      <w:r w:rsidR="00CE11BB">
        <w:rPr>
          <w:noProof/>
        </w:rPr>
        <w:t xml:space="preserve">for </w:t>
      </w:r>
      <w:r w:rsidR="00CE11BB" w:rsidRPr="00BB553B">
        <w:rPr>
          <w:noProof/>
        </w:rPr>
        <w:t xml:space="preserve">mitigating measures and carry out a </w:t>
      </w:r>
      <w:r w:rsidR="00CE11BB">
        <w:rPr>
          <w:noProof/>
        </w:rPr>
        <w:t xml:space="preserve">security </w:t>
      </w:r>
      <w:r w:rsidR="00CE11BB" w:rsidRPr="00BB553B">
        <w:rPr>
          <w:noProof/>
        </w:rPr>
        <w:t xml:space="preserve">risk assessment, taking into account the consultation of the Member States. </w:t>
      </w:r>
    </w:p>
    <w:p w14:paraId="025A7B17" w14:textId="40D3AC49" w:rsidR="00CE11BB" w:rsidRPr="00BB553B" w:rsidRDefault="006D01CD" w:rsidP="006D01CD">
      <w:pPr>
        <w:pStyle w:val="ManualConsidrant"/>
        <w:rPr>
          <w:noProof/>
        </w:rPr>
      </w:pPr>
      <w:r w:rsidRPr="006D01CD">
        <w:rPr>
          <w:noProof/>
        </w:rPr>
        <w:t>(137)</w:t>
      </w:r>
      <w:r w:rsidRPr="006D01CD">
        <w:rPr>
          <w:noProof/>
        </w:rPr>
        <w:tab/>
      </w:r>
      <w:r w:rsidR="00CE11BB" w:rsidRPr="00BB553B">
        <w:rPr>
          <w:noProof/>
        </w:rPr>
        <w:t>Where, as a result of a security risk assessment</w:t>
      </w:r>
      <w:r w:rsidR="00CE11BB" w:rsidRPr="00E32098">
        <w:rPr>
          <w:noProof/>
        </w:rPr>
        <w:t xml:space="preserve"> conducted by the NIS Cooperation Group or the Commission</w:t>
      </w:r>
      <w:r w:rsidR="00CE11BB" w:rsidRPr="00BB553B">
        <w:rPr>
          <w:noProof/>
        </w:rPr>
        <w:t xml:space="preserve">, it appears that a specific third country poses serious and structural non-technical cybersecurity risks to ICT supply chains, the Commission should verify the threat posed by that country. The Commission may initiate such verification also on the basis of other sources such as a public statement on behalf of the Union or a Member States </w:t>
      </w:r>
      <w:r w:rsidR="00CE11BB" w:rsidRPr="4165CDC9">
        <w:rPr>
          <w:rStyle w:val="cf01"/>
          <w:rFonts w:ascii="Times New Roman" w:hAnsi="Times New Roman" w:cs="Times New Roman"/>
          <w:noProof/>
          <w:sz w:val="24"/>
          <w:szCs w:val="24"/>
        </w:rPr>
        <w:t xml:space="preserve">in response to, instances of irresponsible state behaviour in cyberspace that has led to a cybersecurity incident. In order to assess the level of threat, the Commission should </w:t>
      </w:r>
      <w:r w:rsidR="00CE11BB" w:rsidRPr="00BB553B">
        <w:rPr>
          <w:noProof/>
        </w:rPr>
        <w:t>take into account elements such as the existence of laws or practices in the third country which require entities under their jurisdiction to report information on software or hardware vulnerabilities to authorities of that third country prior to those vulnerabilities being known to have been exploited. Another relevant element is the absence of effective judicial remedies, and independent and democratic control mechanisms, that can correct security concerns, including about existing practices, the substantiated information about incidents of threat actors operating out of the territory of that country carrying out malicious cyber activities or campaigns, and the lack of ability or willingness of the third country to cooperate with the Commission or Member States to address the risk stemming from the operation of such threat actors. The Commission should also take into account information stemming from Union-level coordinated security risk assessments or reports issued by</w:t>
      </w:r>
      <w:r w:rsidR="00CE11BB">
        <w:rPr>
          <w:noProof/>
        </w:rPr>
        <w:t xml:space="preserve"> Member States or</w:t>
      </w:r>
      <w:r w:rsidR="00CE11BB" w:rsidRPr="00BB553B">
        <w:rPr>
          <w:noProof/>
        </w:rPr>
        <w:t xml:space="preserve"> international organisations such as NATO.</w:t>
      </w:r>
    </w:p>
    <w:p w14:paraId="6430C47F" w14:textId="0E49D095" w:rsidR="00CE11BB" w:rsidRPr="00BB553B" w:rsidRDefault="006D01CD" w:rsidP="006D01CD">
      <w:pPr>
        <w:pStyle w:val="ManualConsidrant"/>
        <w:rPr>
          <w:noProof/>
        </w:rPr>
      </w:pPr>
      <w:r w:rsidRPr="006D01CD">
        <w:rPr>
          <w:noProof/>
        </w:rPr>
        <w:t>(138)</w:t>
      </w:r>
      <w:r w:rsidRPr="006D01CD">
        <w:rPr>
          <w:noProof/>
        </w:rPr>
        <w:tab/>
      </w:r>
      <w:r w:rsidR="00CE11BB" w:rsidRPr="00BB553B">
        <w:rPr>
          <w:noProof/>
        </w:rPr>
        <w:t>For the purpose of this Regulation, the notion of control should be understood as the ability to exercise a decisive influence on a legal entity directly, or indirectly through one or more intermediate legal entities</w:t>
      </w:r>
      <w:r w:rsidR="00CE11BB" w:rsidRPr="00BB553B" w:rsidDel="00BD35FB">
        <w:rPr>
          <w:noProof/>
        </w:rPr>
        <w:t xml:space="preserve"> </w:t>
      </w:r>
      <w:r w:rsidR="00CE11BB" w:rsidRPr="00BB553B">
        <w:rPr>
          <w:noProof/>
        </w:rPr>
        <w:t>The control of entities from</w:t>
      </w:r>
      <w:r w:rsidR="00CE11BB">
        <w:rPr>
          <w:noProof/>
        </w:rPr>
        <w:t xml:space="preserve"> a</w:t>
      </w:r>
      <w:r w:rsidR="00CE11BB" w:rsidRPr="00BB553B">
        <w:rPr>
          <w:noProof/>
        </w:rPr>
        <w:t xml:space="preserve"> third country posing cybersecurity concerns should also be established in situations where such entity is having executive management structures in that country.</w:t>
      </w:r>
    </w:p>
    <w:p w14:paraId="3DEF1D3F" w14:textId="6F89A347" w:rsidR="00CE11BB" w:rsidRPr="00BB553B" w:rsidRDefault="006D01CD" w:rsidP="006D01CD">
      <w:pPr>
        <w:pStyle w:val="ManualConsidrant"/>
        <w:rPr>
          <w:noProof/>
        </w:rPr>
      </w:pPr>
      <w:r w:rsidRPr="006D01CD">
        <w:rPr>
          <w:noProof/>
        </w:rPr>
        <w:t>(139)</w:t>
      </w:r>
      <w:r w:rsidRPr="006D01CD">
        <w:rPr>
          <w:noProof/>
        </w:rPr>
        <w:tab/>
      </w:r>
      <w:r w:rsidR="00CE11BB" w:rsidRPr="00BB553B">
        <w:rPr>
          <w:noProof/>
        </w:rPr>
        <w:t xml:space="preserve">The Union should not fund projects involving high-risk suppliers, which would jeopardise the Union’s security and undermine the Union’s interests and credibility. </w:t>
      </w:r>
      <w:r w:rsidR="00CE11BB" w:rsidRPr="00C25502">
        <w:rPr>
          <w:noProof/>
        </w:rPr>
        <w:t xml:space="preserve">High-risk suppliers identified under this Regulation should therefore not be entitled to participate in any Union funding programmes and instruments </w:t>
      </w:r>
      <w:r w:rsidR="002B701E">
        <w:rPr>
          <w:noProof/>
        </w:rPr>
        <w:t>implemented in direct and indirect management</w:t>
      </w:r>
      <w:r w:rsidR="00CE11BB" w:rsidRPr="00C25502">
        <w:rPr>
          <w:noProof/>
        </w:rPr>
        <w:t xml:space="preserve"> in accordance with the Article 136 of the Regulation (EU/Eurotom)</w:t>
      </w:r>
      <w:r w:rsidR="00CE11BB">
        <w:rPr>
          <w:noProof/>
        </w:rPr>
        <w:t xml:space="preserve"> </w:t>
      </w:r>
      <w:r w:rsidR="00CE11BB" w:rsidRPr="00C25502">
        <w:rPr>
          <w:noProof/>
        </w:rPr>
        <w:t xml:space="preserve">2024/2509 and </w:t>
      </w:r>
      <w:r w:rsidR="002B701E" w:rsidRPr="002B701E">
        <w:rPr>
          <w:noProof/>
        </w:rPr>
        <w:t>Union sector specific rules as well as in any Union funding activities implemented in shared management</w:t>
      </w:r>
      <w:r w:rsidR="00CE11BB" w:rsidRPr="00C25502">
        <w:rPr>
          <w:noProof/>
        </w:rPr>
        <w:t>, including under the next Multiannual Financial Framework</w:t>
      </w:r>
      <w:r w:rsidR="00CE11BB">
        <w:rPr>
          <w:noProof/>
        </w:rPr>
        <w:t xml:space="preserve"> </w:t>
      </w:r>
      <w:r w:rsidR="00CE11BB" w:rsidRPr="00BB553B">
        <w:rPr>
          <w:noProof/>
        </w:rPr>
        <w:t>in relation to the provision of ICT components or components that include ICT components to be used in identified key ICT assets.</w:t>
      </w:r>
      <w:r w:rsidR="0089089E" w:rsidRPr="0089089E">
        <w:rPr>
          <w:noProof/>
        </w:rPr>
        <w:t xml:space="preserve"> Union implementing partners</w:t>
      </w:r>
      <w:r w:rsidR="00052C7C">
        <w:rPr>
          <w:noProof/>
        </w:rPr>
        <w:t>, such as European Investment Bank Group and national promotional banks and institutions</w:t>
      </w:r>
      <w:r w:rsidR="0089089E" w:rsidRPr="0089089E">
        <w:rPr>
          <w:noProof/>
        </w:rPr>
        <w:t xml:space="preserve"> should refrain from supporting projects that contradict the above, including in operations at own risk</w:t>
      </w:r>
      <w:r w:rsidR="00890D9A">
        <w:rPr>
          <w:noProof/>
          <w:lang w:val="en-IE"/>
        </w:rPr>
        <w:t>.</w:t>
      </w:r>
      <w:r w:rsidR="0089089E" w:rsidRPr="0089089E">
        <w:rPr>
          <w:noProof/>
        </w:rPr>
        <w:t xml:space="preserve"> </w:t>
      </w:r>
      <w:r w:rsidR="00CE11BB" w:rsidRPr="00BB553B">
        <w:rPr>
          <w:noProof/>
        </w:rPr>
        <w:t xml:space="preserve"> </w:t>
      </w:r>
    </w:p>
    <w:p w14:paraId="1941D3F4" w14:textId="25BA1A24" w:rsidR="00CE11BB" w:rsidRPr="00BB553B" w:rsidRDefault="006D01CD" w:rsidP="006D01CD">
      <w:pPr>
        <w:pStyle w:val="ManualConsidrant"/>
        <w:rPr>
          <w:noProof/>
        </w:rPr>
      </w:pPr>
      <w:r w:rsidRPr="006D01CD">
        <w:rPr>
          <w:noProof/>
        </w:rPr>
        <w:t>(140)</w:t>
      </w:r>
      <w:r w:rsidRPr="006D01CD">
        <w:rPr>
          <w:noProof/>
        </w:rPr>
        <w:tab/>
      </w:r>
      <w:r w:rsidR="00CE11BB" w:rsidRPr="00BB553B">
        <w:rPr>
          <w:noProof/>
        </w:rPr>
        <w:t xml:space="preserve">Public procurement can be a strong tool for public authorities to contribute to a more innovative, sustainable and competitive economy and for spending public money in a strategic manner. Public procurement related to ICT supply chains should not be used to benefit suppliers that threaten the security of the Union’s critical infrastructure. </w:t>
      </w:r>
      <w:r w:rsidR="00BA143D">
        <w:rPr>
          <w:noProof/>
        </w:rPr>
        <w:t>High-risk suppliers</w:t>
      </w:r>
      <w:r w:rsidR="00CE11BB" w:rsidRPr="00D16903">
        <w:rPr>
          <w:noProof/>
        </w:rPr>
        <w:t xml:space="preserve"> identified </w:t>
      </w:r>
      <w:r w:rsidR="002C0677">
        <w:rPr>
          <w:noProof/>
        </w:rPr>
        <w:t>under</w:t>
      </w:r>
      <w:r w:rsidR="00CE11BB" w:rsidRPr="00D16903">
        <w:rPr>
          <w:noProof/>
        </w:rPr>
        <w:t xml:space="preserve"> this Regulation </w:t>
      </w:r>
      <w:r w:rsidR="00CE11BB" w:rsidRPr="00BB553B">
        <w:rPr>
          <w:noProof/>
        </w:rPr>
        <w:t xml:space="preserve">should therefore not be entitled to participate in public procurement concerning the provision of ICT components or components that include ICT components to be used in identified key ICT assets. </w:t>
      </w:r>
    </w:p>
    <w:p w14:paraId="0D6CF7DC" w14:textId="3C084E8C" w:rsidR="00CE11BB" w:rsidRPr="00BB553B" w:rsidRDefault="006D01CD" w:rsidP="006D01CD">
      <w:pPr>
        <w:pStyle w:val="ManualConsidrant"/>
        <w:rPr>
          <w:noProof/>
        </w:rPr>
      </w:pPr>
      <w:r w:rsidRPr="006D01CD">
        <w:rPr>
          <w:noProof/>
        </w:rPr>
        <w:t>(141)</w:t>
      </w:r>
      <w:r w:rsidRPr="006D01CD">
        <w:rPr>
          <w:noProof/>
        </w:rPr>
        <w:tab/>
      </w:r>
      <w:r w:rsidR="00CE11BB" w:rsidRPr="00BB553B">
        <w:rPr>
          <w:noProof/>
        </w:rPr>
        <w:t xml:space="preserve">Cybersecurity certification plays a role in strengthening overall security and countering cyber threats, serving as benchmark of trust. This trust could be eroded if cybersecurity skills attestations were delivered by </w:t>
      </w:r>
      <w:r w:rsidR="00B5070C">
        <w:rPr>
          <w:noProof/>
        </w:rPr>
        <w:t>high-risk suppliers</w:t>
      </w:r>
      <w:r w:rsidR="004F7C6F">
        <w:rPr>
          <w:noProof/>
        </w:rPr>
        <w:t xml:space="preserve"> that</w:t>
      </w:r>
      <w:r w:rsidR="00CE11BB" w:rsidRPr="00D16903">
        <w:rPr>
          <w:noProof/>
        </w:rPr>
        <w:t xml:space="preserve"> </w:t>
      </w:r>
      <w:r w:rsidR="00CE11BB" w:rsidRPr="00BB553B">
        <w:rPr>
          <w:noProof/>
        </w:rPr>
        <w:t xml:space="preserve">should therefore not be entitled to apply to become authorised providers of any Union individual cybersecurity skills attestations. In a similar vein, it is also appropriate to exclude high-risk suppliers from obtaining cybersecurity certification under the ECCF, and becoming accredited conformity assessment bodies to deliver such certificates. </w:t>
      </w:r>
    </w:p>
    <w:p w14:paraId="286D5996" w14:textId="042289AC" w:rsidR="00CE11BB" w:rsidRPr="00BB553B" w:rsidRDefault="006D01CD" w:rsidP="006D01CD">
      <w:pPr>
        <w:pStyle w:val="ManualConsidrant"/>
        <w:rPr>
          <w:noProof/>
        </w:rPr>
      </w:pPr>
      <w:r w:rsidRPr="006D01CD">
        <w:rPr>
          <w:noProof/>
        </w:rPr>
        <w:t>(142)</w:t>
      </w:r>
      <w:r w:rsidRPr="006D01CD">
        <w:rPr>
          <w:noProof/>
        </w:rPr>
        <w:tab/>
      </w:r>
      <w:r w:rsidR="00CE11BB" w:rsidRPr="00BB553B">
        <w:rPr>
          <w:noProof/>
        </w:rPr>
        <w:t xml:space="preserve">Cybersecurity standards play a critical role in the security and trustworthiness of digital infrastructures. </w:t>
      </w:r>
      <w:r w:rsidR="00CE11BB" w:rsidRPr="00C25502">
        <w:rPr>
          <w:noProof/>
        </w:rPr>
        <w:t>It is necessary to take appropriate measures to ensure standardisation in the field of cybersecurity. The involvement of entities established in or controlled from countries which have been identified as posing cybersecurity concerns to the ICT supply chain in line with this Regulation may lead to influencing cybersecurity standards in a way that undermines their security and trustworthiness</w:t>
      </w:r>
      <w:r w:rsidR="00CE11BB" w:rsidRPr="00BB553B">
        <w:rPr>
          <w:noProof/>
        </w:rPr>
        <w:t>.</w:t>
      </w:r>
    </w:p>
    <w:p w14:paraId="06129ED8" w14:textId="77A4B0E0" w:rsidR="00CE11BB" w:rsidRPr="00BB553B" w:rsidRDefault="006D01CD" w:rsidP="006D01CD">
      <w:pPr>
        <w:pStyle w:val="ManualConsidrant"/>
        <w:rPr>
          <w:noProof/>
        </w:rPr>
      </w:pPr>
      <w:r w:rsidRPr="006D01CD">
        <w:rPr>
          <w:noProof/>
        </w:rPr>
        <w:t>(143)</w:t>
      </w:r>
      <w:r w:rsidRPr="006D01CD">
        <w:rPr>
          <w:noProof/>
        </w:rPr>
        <w:tab/>
      </w:r>
      <w:r w:rsidR="00CE11BB" w:rsidRPr="00BB553B">
        <w:rPr>
          <w:noProof/>
        </w:rPr>
        <w:t xml:space="preserve">Based on the results of the security risk assessments, the Commission may </w:t>
      </w:r>
      <w:r w:rsidR="00965686" w:rsidRPr="00AE5E2E">
        <w:rPr>
          <w:noProof/>
        </w:rPr>
        <w:t>identify</w:t>
      </w:r>
      <w:r w:rsidR="00CE11BB" w:rsidRPr="00AE5E2E">
        <w:rPr>
          <w:noProof/>
        </w:rPr>
        <w:t>,</w:t>
      </w:r>
      <w:r w:rsidR="00CE11BB" w:rsidRPr="00BB553B">
        <w:rPr>
          <w:noProof/>
        </w:rPr>
        <w:t xml:space="preserve"> by means of implementing acts, which ICT assets should be regarded as key ICT assets due to </w:t>
      </w:r>
      <w:r w:rsidR="001C012E">
        <w:rPr>
          <w:noProof/>
        </w:rPr>
        <w:t>their</w:t>
      </w:r>
      <w:r w:rsidR="001C012E" w:rsidRPr="00BB553B">
        <w:rPr>
          <w:noProof/>
        </w:rPr>
        <w:t xml:space="preserve"> </w:t>
      </w:r>
      <w:r w:rsidR="00CE11BB" w:rsidRPr="00BB553B">
        <w:rPr>
          <w:noProof/>
        </w:rPr>
        <w:t xml:space="preserve">criticality and subject to specific mitigating measures. The mere existence of the possibility of connectivity of the asset should be sufficient to consider their cybersecurity risk. </w:t>
      </w:r>
    </w:p>
    <w:p w14:paraId="136485A9" w14:textId="6FD5C99E" w:rsidR="00CE11BB" w:rsidRPr="00BB553B" w:rsidRDefault="006D01CD" w:rsidP="006D01CD">
      <w:pPr>
        <w:pStyle w:val="ManualConsidrant"/>
        <w:rPr>
          <w:noProof/>
        </w:rPr>
      </w:pPr>
      <w:r w:rsidRPr="006D01CD">
        <w:rPr>
          <w:noProof/>
        </w:rPr>
        <w:t>(144)</w:t>
      </w:r>
      <w:r w:rsidRPr="006D01CD">
        <w:rPr>
          <w:noProof/>
        </w:rPr>
        <w:tab/>
      </w:r>
      <w:r w:rsidR="00CE11BB" w:rsidRPr="00BB553B">
        <w:rPr>
          <w:noProof/>
        </w:rPr>
        <w:t>Where necessary to ensure a high level of cybersecurity, cyber resilience and trust within the Union, the mitigating measures may be applied to entities in relation to their ICT supply chain and in particular to key ICT assets identified. The proposed mitigating measures should be based on the assessment of potential risks and dependencies, including the potential economic</w:t>
      </w:r>
      <w:r w:rsidR="00B514F4">
        <w:rPr>
          <w:noProof/>
        </w:rPr>
        <w:t xml:space="preserve"> and societal</w:t>
      </w:r>
      <w:r w:rsidR="00CE11BB" w:rsidRPr="00BB553B">
        <w:rPr>
          <w:noProof/>
        </w:rPr>
        <w:t xml:space="preserve"> impact of such measures on the entities concerned operating in highly critical or other critical sectors and in particular SMEs. The economic impact should look at the costs of the implementation of the mitigation measures, including the duration of the lifecycle of the relevant components in the key ICT assets in case where the measures include the replacement of suppliers. The availability of alternative suppliers on the market should also be assessed</w:t>
      </w:r>
      <w:r w:rsidR="0095230A">
        <w:rPr>
          <w:noProof/>
        </w:rPr>
        <w:t xml:space="preserve"> in order to ensure continued provision of the services</w:t>
      </w:r>
      <w:r w:rsidR="00CE11BB">
        <w:rPr>
          <w:noProof/>
        </w:rPr>
        <w:t>.</w:t>
      </w:r>
    </w:p>
    <w:p w14:paraId="126858EC" w14:textId="022C12B1" w:rsidR="00CE11BB" w:rsidRPr="00BB553B" w:rsidRDefault="006D01CD" w:rsidP="006D01CD">
      <w:pPr>
        <w:pStyle w:val="ManualConsidrant"/>
        <w:rPr>
          <w:noProof/>
        </w:rPr>
      </w:pPr>
      <w:r w:rsidRPr="006D01CD">
        <w:rPr>
          <w:noProof/>
        </w:rPr>
        <w:t>(145)</w:t>
      </w:r>
      <w:r w:rsidRPr="006D01CD">
        <w:rPr>
          <w:noProof/>
        </w:rPr>
        <w:tab/>
      </w:r>
      <w:r w:rsidR="00CE11BB" w:rsidRPr="00BB553B">
        <w:rPr>
          <w:noProof/>
        </w:rPr>
        <w:t xml:space="preserve">As mitigating measures could potentially have a restrictive effect on international trade in goods and services, they should be proportionate and targeted to pursue the legitimate objective to ensure the </w:t>
      </w:r>
      <w:r w:rsidR="00CE11BB">
        <w:rPr>
          <w:noProof/>
        </w:rPr>
        <w:t>cyber</w:t>
      </w:r>
      <w:r w:rsidR="00CE11BB" w:rsidRPr="00BB553B">
        <w:rPr>
          <w:noProof/>
        </w:rPr>
        <w:t xml:space="preserve">security of ICT supply chains in relation to entities of </w:t>
      </w:r>
      <w:bookmarkStart w:id="3" w:name="_Hlk218364506"/>
      <w:r w:rsidR="00CE11BB" w:rsidRPr="00BB553B">
        <w:rPr>
          <w:noProof/>
        </w:rPr>
        <w:t>the type referred to in Annexes I and II to Directive (EU) 2022/2555</w:t>
      </w:r>
      <w:r w:rsidR="00CE11BB" w:rsidRPr="4165CDC9">
        <w:rPr>
          <w:rStyle w:val="cf01"/>
          <w:rFonts w:ascii="Times New Roman" w:hAnsi="Times New Roman" w:cs="Times New Roman"/>
          <w:noProof/>
          <w:sz w:val="24"/>
          <w:szCs w:val="24"/>
        </w:rPr>
        <w:t>, in line with the Union’s international obligations</w:t>
      </w:r>
      <w:r w:rsidR="00CE11BB" w:rsidRPr="00BB553B">
        <w:rPr>
          <w:noProof/>
        </w:rPr>
        <w:t xml:space="preserve">.  </w:t>
      </w:r>
      <w:bookmarkEnd w:id="3"/>
    </w:p>
    <w:p w14:paraId="482815DF" w14:textId="2650BB3E" w:rsidR="00CE11BB" w:rsidRPr="00766FB0" w:rsidRDefault="006D01CD" w:rsidP="006D01CD">
      <w:pPr>
        <w:pStyle w:val="ManualConsidrant"/>
        <w:rPr>
          <w:noProof/>
        </w:rPr>
      </w:pPr>
      <w:r w:rsidRPr="006D01CD">
        <w:rPr>
          <w:noProof/>
        </w:rPr>
        <w:t>(146)</w:t>
      </w:r>
      <w:r w:rsidRPr="006D01CD">
        <w:rPr>
          <w:noProof/>
        </w:rPr>
        <w:tab/>
      </w:r>
      <w:r w:rsidR="00CE11BB" w:rsidRPr="00766FB0">
        <w:rPr>
          <w:noProof/>
        </w:rPr>
        <w:t xml:space="preserve">Use, installation or any other kind of integration of components provided by high-risk suppliers in the operation of key ICT assets may be related to risks of subsequent transfers of data to a third country. In particular, risks may be posed by an insufficient level of protection offered to the data in the third country, such as for the protection of fundamental rights, intellectual property or trade secrets, or unlawful access and exploitation of that data for possible future supply chain disruptions and espionage purposes. To mitigate such risks, restrictions in relation to transfer of specific types of data to third countries may be applied.  </w:t>
      </w:r>
    </w:p>
    <w:p w14:paraId="44DBF86F" w14:textId="1E75BFED" w:rsidR="00CE11BB" w:rsidRDefault="006D01CD" w:rsidP="006D01CD">
      <w:pPr>
        <w:pStyle w:val="ManualConsidrant"/>
        <w:rPr>
          <w:noProof/>
        </w:rPr>
      </w:pPr>
      <w:r w:rsidRPr="006D01CD">
        <w:rPr>
          <w:noProof/>
        </w:rPr>
        <w:t>(147)</w:t>
      </w:r>
      <w:r w:rsidRPr="006D01CD">
        <w:rPr>
          <w:noProof/>
        </w:rPr>
        <w:tab/>
      </w:r>
      <w:r w:rsidR="00CE11BB" w:rsidRPr="00766FB0">
        <w:rPr>
          <w:noProof/>
        </w:rPr>
        <w:t>Important vulnerabilities stem from a lack of diversity in equipment used by entities of the type referred to in Annexes I and II to Directive (EU) 2022/2555. A reliance on a single supplier creates a dependency on specific equipment or solutions. A lack of diversity of suppliers increases the overall vulnerability of critical infrastructure, in particular if entities source their ICT components used in sensitive ICT assets from a supplier presenting a high degree of risk. Dependency also significantly affects national and Union-wide resilience and creates single points of failure. To mitigate such risks, requirements to have more than one supplier for specific key ICT assets may be applied.</w:t>
      </w:r>
    </w:p>
    <w:p w14:paraId="193AE2EA" w14:textId="2FA74DFF" w:rsidR="00E7628A" w:rsidRPr="00766FB0" w:rsidRDefault="006D01CD" w:rsidP="006D01CD">
      <w:pPr>
        <w:pStyle w:val="ManualConsidrant"/>
        <w:rPr>
          <w:noProof/>
        </w:rPr>
      </w:pPr>
      <w:r w:rsidRPr="006D01CD">
        <w:rPr>
          <w:noProof/>
        </w:rPr>
        <w:t>(148)</w:t>
      </w:r>
      <w:r w:rsidRPr="006D01CD">
        <w:rPr>
          <w:noProof/>
        </w:rPr>
        <w:tab/>
      </w:r>
      <w:r w:rsidR="006A4B27">
        <w:rPr>
          <w:noProof/>
        </w:rPr>
        <w:t xml:space="preserve">Union entities </w:t>
      </w:r>
      <w:r w:rsidR="00D9423C">
        <w:rPr>
          <w:noProof/>
        </w:rPr>
        <w:t>may also be using key assets as defined by this Regulation</w:t>
      </w:r>
      <w:r w:rsidR="00E70744">
        <w:rPr>
          <w:noProof/>
        </w:rPr>
        <w:t>.</w:t>
      </w:r>
      <w:r w:rsidR="005719EE">
        <w:rPr>
          <w:noProof/>
        </w:rPr>
        <w:t xml:space="preserve"> </w:t>
      </w:r>
      <w:r w:rsidR="00E70744">
        <w:rPr>
          <w:noProof/>
        </w:rPr>
        <w:t>T</w:t>
      </w:r>
      <w:r w:rsidR="005719EE">
        <w:rPr>
          <w:noProof/>
        </w:rPr>
        <w:t>herefore</w:t>
      </w:r>
      <w:r w:rsidR="001A1B43">
        <w:rPr>
          <w:noProof/>
        </w:rPr>
        <w:t>,</w:t>
      </w:r>
      <w:r w:rsidR="005719EE">
        <w:rPr>
          <w:noProof/>
        </w:rPr>
        <w:t xml:space="preserve"> </w:t>
      </w:r>
      <w:r w:rsidR="009A6A22">
        <w:rPr>
          <w:noProof/>
        </w:rPr>
        <w:t xml:space="preserve">the </w:t>
      </w:r>
      <w:r w:rsidR="007D071B" w:rsidRPr="007D071B">
        <w:rPr>
          <w:noProof/>
        </w:rPr>
        <w:t>rules laid down</w:t>
      </w:r>
      <w:r w:rsidR="00A33721">
        <w:rPr>
          <w:noProof/>
        </w:rPr>
        <w:t xml:space="preserve"> in </w:t>
      </w:r>
      <w:r w:rsidR="00D27396">
        <w:rPr>
          <w:noProof/>
        </w:rPr>
        <w:t xml:space="preserve">this Regulation </w:t>
      </w:r>
      <w:r w:rsidR="007D071B" w:rsidRPr="007D071B">
        <w:rPr>
          <w:noProof/>
        </w:rPr>
        <w:t xml:space="preserve">concerning ICT supply chain security </w:t>
      </w:r>
      <w:r w:rsidR="00D27396">
        <w:rPr>
          <w:noProof/>
        </w:rPr>
        <w:t xml:space="preserve">should also be </w:t>
      </w:r>
      <w:r w:rsidR="007D071B" w:rsidRPr="007D071B">
        <w:rPr>
          <w:noProof/>
        </w:rPr>
        <w:t>applicable</w:t>
      </w:r>
      <w:r w:rsidR="00DD18EB">
        <w:rPr>
          <w:noProof/>
        </w:rPr>
        <w:t xml:space="preserve"> to</w:t>
      </w:r>
      <w:r w:rsidR="00D96729">
        <w:rPr>
          <w:noProof/>
        </w:rPr>
        <w:t xml:space="preserve"> </w:t>
      </w:r>
      <w:r w:rsidR="00D27396">
        <w:rPr>
          <w:noProof/>
        </w:rPr>
        <w:t xml:space="preserve">them. </w:t>
      </w:r>
      <w:r w:rsidR="00D2235B">
        <w:rPr>
          <w:noProof/>
        </w:rPr>
        <w:t>To ensure that the specifi</w:t>
      </w:r>
      <w:r w:rsidR="00643326">
        <w:rPr>
          <w:noProof/>
        </w:rPr>
        <w:t xml:space="preserve">city of Union </w:t>
      </w:r>
      <w:r w:rsidR="00CA16F5">
        <w:rPr>
          <w:noProof/>
        </w:rPr>
        <w:t>entities</w:t>
      </w:r>
      <w:r w:rsidR="00643326">
        <w:rPr>
          <w:noProof/>
        </w:rPr>
        <w:t xml:space="preserve"> </w:t>
      </w:r>
      <w:r w:rsidR="00486121">
        <w:rPr>
          <w:noProof/>
        </w:rPr>
        <w:t>is</w:t>
      </w:r>
      <w:r w:rsidR="00643326">
        <w:rPr>
          <w:noProof/>
        </w:rPr>
        <w:t xml:space="preserve"> taken into account</w:t>
      </w:r>
      <w:r w:rsidR="00D27396">
        <w:rPr>
          <w:noProof/>
        </w:rPr>
        <w:t xml:space="preserve">, it is important </w:t>
      </w:r>
      <w:r w:rsidR="00CA64B0">
        <w:rPr>
          <w:noProof/>
        </w:rPr>
        <w:t xml:space="preserve">to consider </w:t>
      </w:r>
      <w:r w:rsidR="00486121">
        <w:rPr>
          <w:noProof/>
        </w:rPr>
        <w:t>non-technical risk</w:t>
      </w:r>
      <w:r w:rsidR="000665CA">
        <w:rPr>
          <w:noProof/>
        </w:rPr>
        <w:t>s</w:t>
      </w:r>
      <w:r w:rsidR="00486121">
        <w:rPr>
          <w:noProof/>
        </w:rPr>
        <w:t xml:space="preserve"> stemming from ICT supply chains </w:t>
      </w:r>
      <w:r w:rsidR="000E17BB">
        <w:rPr>
          <w:noProof/>
        </w:rPr>
        <w:t xml:space="preserve">in regard to Union entities </w:t>
      </w:r>
      <w:r w:rsidR="00CF4340">
        <w:rPr>
          <w:noProof/>
        </w:rPr>
        <w:t>when</w:t>
      </w:r>
      <w:r w:rsidR="009134D2">
        <w:rPr>
          <w:noProof/>
        </w:rPr>
        <w:t xml:space="preserve"> </w:t>
      </w:r>
      <w:r w:rsidR="00E040F6">
        <w:rPr>
          <w:noProof/>
        </w:rPr>
        <w:t xml:space="preserve">conducting </w:t>
      </w:r>
      <w:r w:rsidR="00993FAE" w:rsidRPr="00993FAE">
        <w:rPr>
          <w:noProof/>
        </w:rPr>
        <w:t>Union-level coordinated</w:t>
      </w:r>
      <w:r w:rsidR="00993FAE">
        <w:rPr>
          <w:noProof/>
        </w:rPr>
        <w:t xml:space="preserve"> </w:t>
      </w:r>
      <w:r w:rsidR="00E040F6">
        <w:rPr>
          <w:noProof/>
        </w:rPr>
        <w:t>security risk assessments</w:t>
      </w:r>
      <w:r w:rsidR="007D071B">
        <w:rPr>
          <w:noProof/>
        </w:rPr>
        <w:t>.</w:t>
      </w:r>
    </w:p>
    <w:p w14:paraId="5999878E" w14:textId="0F84A9B6" w:rsidR="0011576B" w:rsidRPr="00766FB0" w:rsidRDefault="006D01CD" w:rsidP="006D01CD">
      <w:pPr>
        <w:pStyle w:val="ManualConsidrant"/>
        <w:rPr>
          <w:noProof/>
        </w:rPr>
      </w:pPr>
      <w:r w:rsidRPr="006D01CD">
        <w:rPr>
          <w:noProof/>
        </w:rPr>
        <w:t>(149)</w:t>
      </w:r>
      <w:r w:rsidRPr="006D01CD">
        <w:rPr>
          <w:noProof/>
        </w:rPr>
        <w:tab/>
      </w:r>
      <w:r w:rsidR="00CE11BB" w:rsidRPr="4165CDC9">
        <w:rPr>
          <w:rStyle w:val="cf01"/>
          <w:rFonts w:ascii="Times New Roman" w:hAnsi="Times New Roman" w:cs="Times New Roman"/>
          <w:noProof/>
          <w:sz w:val="24"/>
          <w:szCs w:val="24"/>
        </w:rPr>
        <w:t xml:space="preserve">In exceptional circumstances justifying an immediate intervention to preserve the proper functioning of the internal market  and  where there is a clear evidence giving the Commission </w:t>
      </w:r>
      <w:r w:rsidR="00CE11BB" w:rsidRPr="00766FB0">
        <w:rPr>
          <w:noProof/>
        </w:rPr>
        <w:t xml:space="preserve">sufficient reason to consider that the use of ICT components or components that include ICT components from a specific supplier represents a significant cybersecurity threat for the economic or societal activities of at least three Member States, the Commission may propose, in close consultation with Member States, to prohibit  the use,  installation or integration of </w:t>
      </w:r>
      <w:bookmarkStart w:id="4" w:name="_Hlk218364758"/>
      <w:r w:rsidR="00CE11BB" w:rsidRPr="00766FB0">
        <w:rPr>
          <w:noProof/>
        </w:rPr>
        <w:t xml:space="preserve">such components </w:t>
      </w:r>
      <w:bookmarkEnd w:id="4"/>
      <w:r w:rsidR="00CE11BB" w:rsidRPr="00766FB0">
        <w:rPr>
          <w:noProof/>
        </w:rPr>
        <w:t xml:space="preserve">from this supplier by </w:t>
      </w:r>
      <w:r w:rsidR="0013625F">
        <w:rPr>
          <w:noProof/>
        </w:rPr>
        <w:t xml:space="preserve">type of </w:t>
      </w:r>
      <w:r w:rsidR="00CE11BB" w:rsidRPr="00766FB0">
        <w:rPr>
          <w:noProof/>
        </w:rPr>
        <w:t xml:space="preserve">entities referred to in Annexes I and II to Directive (EU) 2022/2555.  </w:t>
      </w:r>
    </w:p>
    <w:p w14:paraId="530A8BEC" w14:textId="70C6A3BE" w:rsidR="00CE11BB" w:rsidRPr="00766FB0" w:rsidRDefault="006D01CD" w:rsidP="006D01CD">
      <w:pPr>
        <w:pStyle w:val="ManualConsidrant"/>
        <w:rPr>
          <w:noProof/>
        </w:rPr>
      </w:pPr>
      <w:r w:rsidRPr="006D01CD">
        <w:rPr>
          <w:noProof/>
        </w:rPr>
        <w:t>(150)</w:t>
      </w:r>
      <w:r w:rsidRPr="006D01CD">
        <w:rPr>
          <w:noProof/>
        </w:rPr>
        <w:tab/>
      </w:r>
      <w:r w:rsidR="00CE11BB" w:rsidRPr="00766FB0">
        <w:rPr>
          <w:noProof/>
        </w:rPr>
        <w:t xml:space="preserve">In order to ensure proportionality of measures applied, </w:t>
      </w:r>
      <w:r w:rsidR="00CE11BB" w:rsidRPr="00D16903">
        <w:rPr>
          <w:noProof/>
        </w:rPr>
        <w:t xml:space="preserve">entities established in a third country posing cybersecurity concerns designated in accordance with this Regulation, or controlled by such third country, by an entity </w:t>
      </w:r>
      <w:r w:rsidR="00864C73">
        <w:rPr>
          <w:noProof/>
        </w:rPr>
        <w:t>established in</w:t>
      </w:r>
      <w:r w:rsidR="00864C73" w:rsidRPr="00D16903">
        <w:rPr>
          <w:noProof/>
        </w:rPr>
        <w:t xml:space="preserve"> </w:t>
      </w:r>
      <w:r w:rsidR="00CE11BB" w:rsidRPr="00D16903">
        <w:rPr>
          <w:noProof/>
        </w:rPr>
        <w:t>such third country, or by a national of such third country</w:t>
      </w:r>
      <w:r w:rsidR="00CE11BB" w:rsidRPr="00D05BE3">
        <w:rPr>
          <w:noProof/>
        </w:rPr>
        <w:t xml:space="preserve"> </w:t>
      </w:r>
      <w:r w:rsidR="00CE11BB" w:rsidRPr="00766FB0">
        <w:rPr>
          <w:noProof/>
        </w:rPr>
        <w:t>can apply to be exempted from the prohibition to provide to entities of a type referred to in Annexes I and II to Directive (EU) 2022/2555 ICT components or components that include ICT components for their use, installation or integration in key ICT assets of that entity and participate in public procurement procedures organised in accordance with legislation transposing Directives 2014/24/EU</w:t>
      </w:r>
      <w:r w:rsidR="00CE11BB" w:rsidRPr="004D0494">
        <w:rPr>
          <w:rStyle w:val="FootnoteReference"/>
          <w:noProof/>
        </w:rPr>
        <w:footnoteReference w:id="68"/>
      </w:r>
      <w:r w:rsidR="00CE11BB" w:rsidRPr="00766FB0">
        <w:rPr>
          <w:noProof/>
        </w:rPr>
        <w:t xml:space="preserve"> and 2014/25/EU of the European Parliament and of the Council</w:t>
      </w:r>
      <w:r w:rsidR="00CE11BB" w:rsidRPr="004D0494">
        <w:rPr>
          <w:rStyle w:val="FootnoteReference"/>
          <w:noProof/>
        </w:rPr>
        <w:footnoteReference w:id="69"/>
      </w:r>
      <w:r w:rsidR="00CE11BB" w:rsidRPr="004D0494">
        <w:rPr>
          <w:noProof/>
          <w:vertAlign w:val="superscript"/>
        </w:rPr>
        <w:t xml:space="preserve"> </w:t>
      </w:r>
      <w:r w:rsidR="00CE11BB" w:rsidRPr="00766FB0">
        <w:rPr>
          <w:noProof/>
        </w:rPr>
        <w:t>procedures in relation to the provision of ICT components or components that include ICT components to be used in identified key ICT assets.  For that purpose, the entity should demonstrate with clear evidence that it applies effective measures addressing the non-technical risks and ensuring the absence of any possible undue interference by a third country posing cybersecurity concerns.</w:t>
      </w:r>
    </w:p>
    <w:p w14:paraId="56A6BB25" w14:textId="209E3792" w:rsidR="00CE11BB" w:rsidRPr="004D0494" w:rsidRDefault="006D01CD" w:rsidP="006D01CD">
      <w:pPr>
        <w:pStyle w:val="ManualConsidrant"/>
        <w:rPr>
          <w:noProof/>
        </w:rPr>
      </w:pPr>
      <w:r w:rsidRPr="006D01CD">
        <w:rPr>
          <w:noProof/>
        </w:rPr>
        <w:t>(151)</w:t>
      </w:r>
      <w:r w:rsidRPr="006D01CD">
        <w:rPr>
          <w:noProof/>
        </w:rPr>
        <w:tab/>
      </w:r>
      <w:r w:rsidR="00CE11BB" w:rsidRPr="004D0494">
        <w:rPr>
          <w:noProof/>
        </w:rPr>
        <w:t>Electronic communications networks form the backbone for a wide range of services that are essential for the functioning of the internal market and the maintenance and operation of vital societal and economic functions – such as energy, transport, banking, health, defence, as well as industrial control systems. Therefore, those highly critical networks are attractive targets for all types of cyberattacks and hybrid threats, for disruptions, espionage, intelligence gathering, as well as for fraud and financial crime. The risk assessment of the NIS Cooperation Group on the cybersecurity and resiliency of Europe’s communications infrastructures and networks identified a number of risks and threats of strategic importance from a Union perspective, such as wiper/ransomware, attacks, supply chain attacks, network intrusions, and Distributed denial-of-service (DDoS) attacks.</w:t>
      </w:r>
    </w:p>
    <w:p w14:paraId="55664F2F" w14:textId="293294F4" w:rsidR="00CE11BB" w:rsidRPr="004D0494" w:rsidRDefault="006D01CD" w:rsidP="006D01CD">
      <w:pPr>
        <w:pStyle w:val="ManualConsidrant"/>
        <w:rPr>
          <w:noProof/>
        </w:rPr>
      </w:pPr>
      <w:r w:rsidRPr="006D01CD">
        <w:rPr>
          <w:noProof/>
        </w:rPr>
        <w:t>(152)</w:t>
      </w:r>
      <w:r w:rsidRPr="006D01CD">
        <w:rPr>
          <w:noProof/>
        </w:rPr>
        <w:tab/>
      </w:r>
      <w:r w:rsidR="00CE11BB" w:rsidRPr="006879B9">
        <w:rPr>
          <w:noProof/>
        </w:rPr>
        <w:t>In</w:t>
      </w:r>
      <w:r w:rsidR="00CE11BB" w:rsidRPr="004D0494">
        <w:rPr>
          <w:noProof/>
        </w:rPr>
        <w:t xml:space="preserve"> view of the interconnection and interdependence between the different national electronic communications networks, it is necessary that all Member States take appropriate measures to ensure the security of their networks. For the same reasons, there is a need to have in place an effective legal framework at Union level addressing also non-technical risks and ensuring the security of interconnected electronic communications networks in a comprehensive way.</w:t>
      </w:r>
    </w:p>
    <w:p w14:paraId="50F8A89F" w14:textId="7553C17B" w:rsidR="00CE11BB" w:rsidRPr="004D0494" w:rsidRDefault="006D01CD" w:rsidP="006D01CD">
      <w:pPr>
        <w:pStyle w:val="ManualConsidrant"/>
        <w:rPr>
          <w:noProof/>
        </w:rPr>
      </w:pPr>
      <w:r w:rsidRPr="006D01CD">
        <w:rPr>
          <w:noProof/>
        </w:rPr>
        <w:t>(153)</w:t>
      </w:r>
      <w:r w:rsidRPr="006D01CD">
        <w:rPr>
          <w:noProof/>
        </w:rPr>
        <w:tab/>
      </w:r>
      <w:r w:rsidR="00CE11BB" w:rsidRPr="004D0494">
        <w:rPr>
          <w:noProof/>
        </w:rPr>
        <w:t>In particular, the cybersecurity of 5G networks is a matter of strategic importance for the Union as those networks form the backbone for a wide range of services of essential importance for the functioning of the internal market and are also key in setting up our defence readiness, including in relation to military mobility. 5G networks are capable of providing reliable ultra-fast connectivity, for example for data and information sharing, detection of drones and real-time battlefield coordination.</w:t>
      </w:r>
    </w:p>
    <w:p w14:paraId="6E69C0D6" w14:textId="4A88989E" w:rsidR="00CE11BB" w:rsidRPr="004D0494" w:rsidRDefault="006D01CD" w:rsidP="006D01CD">
      <w:pPr>
        <w:pStyle w:val="ManualConsidrant"/>
        <w:rPr>
          <w:noProof/>
        </w:rPr>
      </w:pPr>
      <w:r w:rsidRPr="006D01CD">
        <w:rPr>
          <w:noProof/>
        </w:rPr>
        <w:t>(154)</w:t>
      </w:r>
      <w:r w:rsidRPr="006D01CD">
        <w:rPr>
          <w:noProof/>
        </w:rPr>
        <w:tab/>
      </w:r>
      <w:r w:rsidR="00CE11BB" w:rsidRPr="004D0494">
        <w:rPr>
          <w:noProof/>
        </w:rPr>
        <w:t xml:space="preserve">5G deployment consists primarily in non-standalone networks, where only the radio access network is upgraded to 5G technology, while the rest of the network still relies on </w:t>
      </w:r>
      <w:r w:rsidR="00CE11BB">
        <w:rPr>
          <w:noProof/>
        </w:rPr>
        <w:t xml:space="preserve">an </w:t>
      </w:r>
      <w:r w:rsidR="00CE11BB" w:rsidRPr="004D0494">
        <w:rPr>
          <w:noProof/>
        </w:rPr>
        <w:t xml:space="preserve">existing 4G core network. 5G non-standalone networks builds primarily on infrastructure already in place, meaning that the security of future 5G networks is, to a certain extent, determined by network equipment already in place and the configuration of such equipment. Therefore, mitigating measures should also cover 4G networks on which the 5G deployment relies. </w:t>
      </w:r>
    </w:p>
    <w:p w14:paraId="6A17D337" w14:textId="6BA24045" w:rsidR="00CE11BB" w:rsidRPr="004D0494" w:rsidRDefault="006D01CD" w:rsidP="006D01CD">
      <w:pPr>
        <w:pStyle w:val="ManualConsidrant"/>
        <w:rPr>
          <w:noProof/>
        </w:rPr>
      </w:pPr>
      <w:r w:rsidRPr="006D01CD">
        <w:rPr>
          <w:noProof/>
        </w:rPr>
        <w:t>(155)</w:t>
      </w:r>
      <w:r w:rsidRPr="006D01CD">
        <w:rPr>
          <w:noProof/>
        </w:rPr>
        <w:tab/>
      </w:r>
      <w:r w:rsidR="00CE11BB" w:rsidRPr="004D0494">
        <w:rPr>
          <w:noProof/>
        </w:rPr>
        <w:t>In order to address important security challenges in 5G networks, Member States within the NIS Cooperation Group, together with the Commission and ENISA, carried out a Union-</w:t>
      </w:r>
      <w:r w:rsidR="00CE11BB">
        <w:rPr>
          <w:noProof/>
        </w:rPr>
        <w:t>level</w:t>
      </w:r>
      <w:r w:rsidR="00CE11BB" w:rsidRPr="004D0494">
        <w:rPr>
          <w:noProof/>
        </w:rPr>
        <w:t xml:space="preserve"> coordinated security risk assessment of 5G networks, examining both technical and non-technical </w:t>
      </w:r>
      <w:r w:rsidR="00CE11BB">
        <w:rPr>
          <w:noProof/>
        </w:rPr>
        <w:t>risks</w:t>
      </w:r>
      <w:r w:rsidR="00CE11BB" w:rsidRPr="004D0494">
        <w:rPr>
          <w:noProof/>
        </w:rPr>
        <w:t xml:space="preserve">. This assessment identified several risks, including potential interference from third countries or third country actors via the supply chain, and categorised assets according to their criticality. This assessment should be taken as a basis for defining the key ICT assets for 5G communications networks. </w:t>
      </w:r>
    </w:p>
    <w:p w14:paraId="2F0EE064" w14:textId="6B9C70DA" w:rsidR="00CE11BB" w:rsidRPr="004D0494" w:rsidRDefault="006D01CD" w:rsidP="006D01CD">
      <w:pPr>
        <w:pStyle w:val="ManualConsidrant"/>
        <w:rPr>
          <w:noProof/>
        </w:rPr>
      </w:pPr>
      <w:r w:rsidRPr="006D01CD">
        <w:rPr>
          <w:noProof/>
        </w:rPr>
        <w:t>(156)</w:t>
      </w:r>
      <w:r w:rsidRPr="006D01CD">
        <w:rPr>
          <w:noProof/>
        </w:rPr>
        <w:tab/>
      </w:r>
      <w:r w:rsidR="00CE11BB" w:rsidRPr="004D0494">
        <w:rPr>
          <w:noProof/>
        </w:rPr>
        <w:t>To mitigate the risks identified in the Union-</w:t>
      </w:r>
      <w:r w:rsidR="00CE11BB">
        <w:rPr>
          <w:noProof/>
        </w:rPr>
        <w:t>level</w:t>
      </w:r>
      <w:r w:rsidR="00CE11BB" w:rsidRPr="004D0494">
        <w:rPr>
          <w:noProof/>
        </w:rPr>
        <w:t xml:space="preserve"> coordinated security risk assessment of 5G networks, the NIS Cooperation Group adopted the EU Toolbox on 5G cybersecurity, setting out strategic and technical measures. Even though a majority of the Member States have legal frameworks that allow for restrictions or exclusions of high-risk suppliers as recommended in the 5G Toolbox, the implementation of those frameworks has not been uniform. This results in an important number of 5G sites across the Union being supplied by high-risk suppliers as referred to in the Commission’s communication on the implementation of the 5G Toolbox</w:t>
      </w:r>
      <w:r w:rsidR="00CE11BB" w:rsidRPr="004D0494">
        <w:rPr>
          <w:rStyle w:val="FootnoteReference"/>
          <w:noProof/>
        </w:rPr>
        <w:footnoteReference w:id="70"/>
      </w:r>
      <w:r w:rsidR="00CE11BB" w:rsidRPr="004D0494">
        <w:rPr>
          <w:noProof/>
        </w:rPr>
        <w:t>. This situation creates vulnerabilities, including strategic dependency and potential exposure to third-country interference, which could also affect future 6G infrastructure built on existing 5G networks. The fragmented implementation of the 5G Toolbox recommended measures, particularly regarding the scope of restrictions on high-risk suppliers, has led to divergences between Member States, which results in an unlevelled playing field that divides the internal market and weakens overall network security. The European Court of Auditors has highlighted these disparities, warning that the absence of a coordinated approach undermines the functioning of the internal market. Persistent dependency on high-risk suppliers poses serious risks to the security of critical infrastructure in the Union and could erode trust in the internal market, as inconsistent security levels may discourage consumers and businesses from relying on 5G-based products and services across the Union. It is therefore essential to have Union-level measures to ensure a harmonised approach to the security of 5G networks.</w:t>
      </w:r>
    </w:p>
    <w:p w14:paraId="68C31605" w14:textId="54DADEA6" w:rsidR="00CE11BB" w:rsidRDefault="006D01CD" w:rsidP="006D01CD">
      <w:pPr>
        <w:pStyle w:val="ManualConsidrant"/>
        <w:rPr>
          <w:noProof/>
        </w:rPr>
      </w:pPr>
      <w:r w:rsidRPr="006D01CD">
        <w:rPr>
          <w:noProof/>
        </w:rPr>
        <w:t>(157)</w:t>
      </w:r>
      <w:r w:rsidRPr="006D01CD">
        <w:rPr>
          <w:noProof/>
        </w:rPr>
        <w:tab/>
      </w:r>
      <w:r w:rsidR="00CE11BB" w:rsidRPr="004D0494">
        <w:rPr>
          <w:noProof/>
        </w:rPr>
        <w:t xml:space="preserve">For the purpose of setting up a phasing out period for the key ICT assets of fixed </w:t>
      </w:r>
      <w:r w:rsidR="00A33721">
        <w:rPr>
          <w:noProof/>
        </w:rPr>
        <w:t>and satellite</w:t>
      </w:r>
      <w:r w:rsidR="00CE11BB" w:rsidRPr="004D0494">
        <w:rPr>
          <w:noProof/>
        </w:rPr>
        <w:t xml:space="preserve"> electronic communications networks, the Commission should carry out an assessment taking due account of the degree of the security risks related to each specific ICT key assets of the fixed </w:t>
      </w:r>
      <w:r w:rsidR="00A33721">
        <w:rPr>
          <w:noProof/>
        </w:rPr>
        <w:t>and satellite</w:t>
      </w:r>
      <w:r w:rsidR="00CE11BB" w:rsidRPr="004D0494">
        <w:rPr>
          <w:noProof/>
        </w:rPr>
        <w:t xml:space="preserve"> networks, the lifetime of relevant components and the economic impact that the removal of those components  would have on the operators concerned. Based on the results of that assessment, the Commission may consider setting up different phasing out periods for the particular key ICT assets and their integral elements.</w:t>
      </w:r>
    </w:p>
    <w:p w14:paraId="1F30B8C7" w14:textId="1DA4C308" w:rsidR="00CE11BB" w:rsidRPr="0083250C" w:rsidRDefault="006D01CD" w:rsidP="006D01CD">
      <w:pPr>
        <w:pStyle w:val="ManualConsidrant"/>
        <w:rPr>
          <w:noProof/>
        </w:rPr>
      </w:pPr>
      <w:r w:rsidRPr="006D01CD">
        <w:rPr>
          <w:noProof/>
        </w:rPr>
        <w:t>(158)</w:t>
      </w:r>
      <w:r w:rsidRPr="006D01CD">
        <w:rPr>
          <w:noProof/>
        </w:rPr>
        <w:tab/>
      </w:r>
      <w:r w:rsidR="00CE11BB" w:rsidRPr="00C25502">
        <w:rPr>
          <w:noProof/>
        </w:rPr>
        <w:t>For the purposes of effective supervision and enforcement of obligations concerning the providers of mobile</w:t>
      </w:r>
      <w:r w:rsidR="00A33721">
        <w:rPr>
          <w:noProof/>
        </w:rPr>
        <w:t xml:space="preserve">, </w:t>
      </w:r>
      <w:r w:rsidR="00CE11BB" w:rsidRPr="00C25502">
        <w:rPr>
          <w:noProof/>
        </w:rPr>
        <w:t>fixed</w:t>
      </w:r>
      <w:r w:rsidR="00EC2691">
        <w:rPr>
          <w:noProof/>
        </w:rPr>
        <w:t xml:space="preserve"> and satellite</w:t>
      </w:r>
      <w:r w:rsidR="00CE11BB" w:rsidRPr="00C25502">
        <w:rPr>
          <w:noProof/>
        </w:rPr>
        <w:t xml:space="preserve"> electronic communication networks, the relevant competent authorities under this Regulation should ensure close cooperation with the competent authorities under the [DNA proposal].</w:t>
      </w:r>
      <w:r w:rsidR="00CE11BB">
        <w:rPr>
          <w:noProof/>
        </w:rPr>
        <w:t xml:space="preserve"> </w:t>
      </w:r>
      <w:r w:rsidR="00DC676F" w:rsidRPr="00DC676F">
        <w:rPr>
          <w:noProof/>
        </w:rPr>
        <w:t>Upon request from a competent authority designated under this Regulation, national regulatory authorities or other competent authorities for radio spectrum</w:t>
      </w:r>
      <w:r w:rsidR="00EB4548">
        <w:rPr>
          <w:noProof/>
        </w:rPr>
        <w:t>, where appropriate,</w:t>
      </w:r>
      <w:r w:rsidR="00DC676F" w:rsidRPr="00DC676F">
        <w:rPr>
          <w:noProof/>
        </w:rPr>
        <w:t xml:space="preserve"> should withdraw the rights referred to in Article 9 and Article 20 [DNA Proposal] if the provider of</w:t>
      </w:r>
      <w:r w:rsidR="00F86EB5">
        <w:rPr>
          <w:noProof/>
        </w:rPr>
        <w:t xml:space="preserve"> public</w:t>
      </w:r>
      <w:r w:rsidR="00DC676F" w:rsidRPr="00DC676F">
        <w:rPr>
          <w:noProof/>
        </w:rPr>
        <w:t xml:space="preserve"> electronic communications networks is not complying with the obligations under this Regulation, </w:t>
      </w:r>
      <w:r w:rsidR="00DC676F">
        <w:rPr>
          <w:noProof/>
        </w:rPr>
        <w:t>in</w:t>
      </w:r>
      <w:r w:rsidR="00A21936">
        <w:rPr>
          <w:noProof/>
        </w:rPr>
        <w:t>cluding</w:t>
      </w:r>
      <w:r w:rsidR="00DC676F" w:rsidRPr="00DC676F">
        <w:rPr>
          <w:noProof/>
        </w:rPr>
        <w:t xml:space="preserve"> if the provider does not phase out  ICT components or components that include ICT components from high-risk suppliers in the operation of key ICT assets within the period specified in accordance with this Regulation. </w:t>
      </w:r>
    </w:p>
    <w:p w14:paraId="2B2D608B" w14:textId="75501E3B" w:rsidR="00CE11BB" w:rsidRPr="004D0494" w:rsidRDefault="006D01CD" w:rsidP="006D01CD">
      <w:pPr>
        <w:pStyle w:val="ManualConsidrant"/>
        <w:rPr>
          <w:noProof/>
        </w:rPr>
      </w:pPr>
      <w:r w:rsidRPr="006D01CD">
        <w:rPr>
          <w:noProof/>
        </w:rPr>
        <w:t>(159)</w:t>
      </w:r>
      <w:r w:rsidRPr="006D01CD">
        <w:rPr>
          <w:noProof/>
        </w:rPr>
        <w:tab/>
      </w:r>
      <w:r w:rsidR="00CE11BB" w:rsidRPr="004D0494">
        <w:rPr>
          <w:noProof/>
        </w:rPr>
        <w:t>In view of the differences in national governance structures, Member States should designate or establish one or more competent authorities responsible for the supervisory and enforcement measures under this Regulation.</w:t>
      </w:r>
    </w:p>
    <w:p w14:paraId="06DD7B75" w14:textId="2CD7FEA0" w:rsidR="00CE11BB" w:rsidRPr="004D0494" w:rsidRDefault="006D01CD" w:rsidP="006D01CD">
      <w:pPr>
        <w:pStyle w:val="ManualConsidrant"/>
        <w:rPr>
          <w:noProof/>
        </w:rPr>
      </w:pPr>
      <w:r w:rsidRPr="006D01CD">
        <w:rPr>
          <w:noProof/>
        </w:rPr>
        <w:t>(160)</w:t>
      </w:r>
      <w:r w:rsidRPr="006D01CD">
        <w:rPr>
          <w:noProof/>
        </w:rPr>
        <w:tab/>
      </w:r>
      <w:r w:rsidR="00CE11BB" w:rsidRPr="004D0494">
        <w:rPr>
          <w:noProof/>
        </w:rPr>
        <w:t xml:space="preserve">The competent authorities should provide support to entities of the type referred to in Annexes I and II o Directive (EU) 2022/2555 for the compliance with their obligations under this Regulation. </w:t>
      </w:r>
      <w:r w:rsidR="00CE11BB" w:rsidRPr="003F2C1D">
        <w:rPr>
          <w:noProof/>
        </w:rPr>
        <w:t xml:space="preserve">For that purpose, the Commission should assess whether suppliers that may be affected by specific prohibitions </w:t>
      </w:r>
      <w:r w:rsidR="00CE11BB" w:rsidRPr="0083250C">
        <w:rPr>
          <w:noProof/>
        </w:rPr>
        <w:t xml:space="preserve">are established in third country posing cybersecurity concerns or controlled by such third country or by an entity </w:t>
      </w:r>
      <w:r w:rsidR="00864C73">
        <w:rPr>
          <w:noProof/>
        </w:rPr>
        <w:t xml:space="preserve">established in </w:t>
      </w:r>
      <w:r w:rsidR="00CE11BB" w:rsidRPr="0083250C">
        <w:rPr>
          <w:noProof/>
        </w:rPr>
        <w:t>such third country or by a national of such third country</w:t>
      </w:r>
      <w:r w:rsidR="00CE11BB" w:rsidRPr="003F2C1D">
        <w:rPr>
          <w:noProof/>
        </w:rPr>
        <w:t xml:space="preserve">. Competent </w:t>
      </w:r>
      <w:r w:rsidR="00CE11BB" w:rsidRPr="004D0494">
        <w:rPr>
          <w:noProof/>
        </w:rPr>
        <w:t xml:space="preserve">authorities should cooperate closely with the Commission and other competent authorities within the Network established under this Regulation. </w:t>
      </w:r>
      <w:r w:rsidR="00CE11BB">
        <w:rPr>
          <w:noProof/>
        </w:rPr>
        <w:t>Based on the assessment by the Commission, t</w:t>
      </w:r>
      <w:r w:rsidR="00CE11BB" w:rsidRPr="004D0494">
        <w:rPr>
          <w:noProof/>
        </w:rPr>
        <w:t xml:space="preserve">he competent authorities should share relevant information concerning </w:t>
      </w:r>
      <w:r w:rsidR="00CE11BB">
        <w:rPr>
          <w:noProof/>
        </w:rPr>
        <w:t>high-risk suppliers with relevant</w:t>
      </w:r>
      <w:r w:rsidR="00CE11BB" w:rsidRPr="004D0494">
        <w:rPr>
          <w:noProof/>
        </w:rPr>
        <w:t xml:space="preserve"> entities of the type referred to in Annexes I and II to Directive (EU) 2022/2555.</w:t>
      </w:r>
      <w:r w:rsidR="00CE11BB">
        <w:rPr>
          <w:noProof/>
        </w:rPr>
        <w:t xml:space="preserve"> Entities are not expected to verify whether a supplier is under foreign control but may rely fully on information received from competent authorities.</w:t>
      </w:r>
      <w:r w:rsidR="00CE11BB" w:rsidRPr="004D0494">
        <w:rPr>
          <w:noProof/>
        </w:rPr>
        <w:t xml:space="preserve"> The competent authorities should ensure that no unnecessary administrative burden is imposed on those entities.  </w:t>
      </w:r>
    </w:p>
    <w:p w14:paraId="79D5EB80" w14:textId="3306F454" w:rsidR="00CE11BB" w:rsidRPr="004D0494" w:rsidRDefault="006D01CD" w:rsidP="006D01CD">
      <w:pPr>
        <w:pStyle w:val="ManualConsidrant"/>
        <w:rPr>
          <w:noProof/>
        </w:rPr>
      </w:pPr>
      <w:r w:rsidRPr="006D01CD">
        <w:rPr>
          <w:noProof/>
        </w:rPr>
        <w:t>(161)</w:t>
      </w:r>
      <w:r w:rsidRPr="006D01CD">
        <w:rPr>
          <w:noProof/>
        </w:rPr>
        <w:tab/>
      </w:r>
      <w:r w:rsidR="00CE11BB" w:rsidRPr="004D0494">
        <w:rPr>
          <w:noProof/>
        </w:rPr>
        <w:t>In order to ensure effective compliance, this Regulation should provide for supervisory and enforcement measures through which the competent authorities can supervise entities of the type referred to in Annexes I and II to Directive (EU) 2022/2555. Where the competent authorities execute their supervisory and enforcement tasks in relation to those entities, they should not go beyond what is necessary and be proportionate to the identified risks.</w:t>
      </w:r>
    </w:p>
    <w:p w14:paraId="1EB88FF4" w14:textId="4D6EE9AA" w:rsidR="00CE11BB" w:rsidRPr="004D0494" w:rsidRDefault="006D01CD" w:rsidP="006D01CD">
      <w:pPr>
        <w:pStyle w:val="ManualConsidrant"/>
        <w:rPr>
          <w:noProof/>
        </w:rPr>
      </w:pPr>
      <w:r w:rsidRPr="006D01CD">
        <w:rPr>
          <w:noProof/>
        </w:rPr>
        <w:t>(162)</w:t>
      </w:r>
      <w:r w:rsidRPr="006D01CD">
        <w:rPr>
          <w:noProof/>
        </w:rPr>
        <w:tab/>
      </w:r>
      <w:r w:rsidR="00CE11BB" w:rsidRPr="004D0494">
        <w:rPr>
          <w:noProof/>
        </w:rPr>
        <w:t>In order to make enforcement effective and consistent across the Union, it is necessary to provide enforcement powers that competent authorities can exercise for breach of the obligations laid down in this Regulation. When exercising those enforcement powers, the competent authorities should have due regard to a number of factors, including the nature, gravity and duration of the infringement, the material or non-material damage caused, whether the infringement was intentional or negligent, actions taken to prevent or mitigate the material or non-material damage, the degree of responsibility or any relevant previous infringements, the degree of cooperation with the competent authority and any other aggravating or mitigating factor. The enforcement measures, including penalties, should be proportionate and their imposition should be subject to appropriate procedural safeguards in accordance with the general principles of Union law and the Charter of Fundamental Rights of the European Union, including the right to an effective remedy and to a fair trial, the presumption of innocence and the rights of defence.</w:t>
      </w:r>
    </w:p>
    <w:p w14:paraId="29774042" w14:textId="557A3C7A" w:rsidR="00CE11BB" w:rsidRPr="004D0494" w:rsidRDefault="006D01CD" w:rsidP="006D01CD">
      <w:pPr>
        <w:pStyle w:val="ManualConsidrant"/>
        <w:rPr>
          <w:noProof/>
        </w:rPr>
      </w:pPr>
      <w:r w:rsidRPr="006D01CD">
        <w:rPr>
          <w:noProof/>
        </w:rPr>
        <w:t>(163)</w:t>
      </w:r>
      <w:r w:rsidRPr="006D01CD">
        <w:rPr>
          <w:noProof/>
        </w:rPr>
        <w:tab/>
      </w:r>
      <w:r w:rsidR="00CE11BB" w:rsidRPr="004D0494">
        <w:rPr>
          <w:noProof/>
        </w:rPr>
        <w:t>It is important to also provide for the power to impose periodic penalty payments, in order to compel an entity of the type referred to in Annexes I or II to Directive (EU) 2022/2555 to cease an infringement of this Regulation in accordance with a prior decision of the competent authority.</w:t>
      </w:r>
    </w:p>
    <w:p w14:paraId="5EE8FBCA" w14:textId="3714861E" w:rsidR="00CE11BB" w:rsidRPr="004D0494" w:rsidRDefault="006D01CD" w:rsidP="006D01CD">
      <w:pPr>
        <w:pStyle w:val="ManualConsidrant"/>
        <w:rPr>
          <w:noProof/>
        </w:rPr>
      </w:pPr>
      <w:r w:rsidRPr="006D01CD">
        <w:rPr>
          <w:noProof/>
        </w:rPr>
        <w:t>(164)</w:t>
      </w:r>
      <w:r w:rsidRPr="006D01CD">
        <w:rPr>
          <w:noProof/>
        </w:rPr>
        <w:tab/>
      </w:r>
      <w:r w:rsidR="00CE11BB" w:rsidRPr="004D0494">
        <w:rPr>
          <w:noProof/>
        </w:rPr>
        <w:t xml:space="preserve"> In order to ensure effective enforcement of the obligations laid down in this Regulation, each competent authority should have the power to impose or request the imposition of penalties.</w:t>
      </w:r>
    </w:p>
    <w:p w14:paraId="1B576983" w14:textId="1EDA484D" w:rsidR="00CE11BB" w:rsidRPr="00CE11BB" w:rsidRDefault="006D01CD" w:rsidP="006D01CD">
      <w:pPr>
        <w:pStyle w:val="ManualConsidrant"/>
        <w:rPr>
          <w:noProof/>
        </w:rPr>
      </w:pPr>
      <w:r w:rsidRPr="006D01CD">
        <w:rPr>
          <w:noProof/>
        </w:rPr>
        <w:t>(165)</w:t>
      </w:r>
      <w:r w:rsidRPr="006D01CD">
        <w:rPr>
          <w:noProof/>
        </w:rPr>
        <w:tab/>
      </w:r>
      <w:r w:rsidR="00CE11BB" w:rsidRPr="004D0494">
        <w:rPr>
          <w:noProof/>
        </w:rPr>
        <w:t xml:space="preserve">For the purpose of imposing penalties on an entity of the type referred to in Annexes I and II to Directive (EU) 2022/2555 that is an undertaking, an undertaking should be understood to be an undertaking in accordance with Articles 101 and 102 TFEU. Where a fine is imposed on a person that is not an undertaking, the competent authority should take account of the general level of income in the Member State as well as the economic situation of the person when considering the appropriate amount of the </w:t>
      </w:r>
      <w:r w:rsidR="00CE11BB">
        <w:rPr>
          <w:noProof/>
        </w:rPr>
        <w:t>penalties</w:t>
      </w:r>
      <w:r w:rsidR="00CE11BB" w:rsidRPr="004D0494">
        <w:rPr>
          <w:noProof/>
        </w:rPr>
        <w:t xml:space="preserve">. It should be for the Member States to determine whether and to what extent public authorities should be subject to penalties. Imposing a </w:t>
      </w:r>
      <w:r w:rsidR="00CE11BB">
        <w:rPr>
          <w:noProof/>
        </w:rPr>
        <w:t>penalty</w:t>
      </w:r>
      <w:r w:rsidR="00CE11BB" w:rsidRPr="004D0494">
        <w:rPr>
          <w:noProof/>
        </w:rPr>
        <w:t xml:space="preserve"> should not affect the application of other powers of the competent authorities</w:t>
      </w:r>
      <w:r w:rsidR="00CE11BB">
        <w:rPr>
          <w:noProof/>
        </w:rPr>
        <w:t>.</w:t>
      </w:r>
    </w:p>
    <w:p w14:paraId="66108281" w14:textId="5C14A3BC" w:rsidR="001A462E" w:rsidRPr="001B75EE" w:rsidRDefault="006D01CD" w:rsidP="006D01CD">
      <w:pPr>
        <w:pStyle w:val="ManualConsidrant"/>
        <w:rPr>
          <w:noProof/>
        </w:rPr>
      </w:pPr>
      <w:r w:rsidRPr="006D01CD">
        <w:rPr>
          <w:noProof/>
        </w:rPr>
        <w:t>(166)</w:t>
      </w:r>
      <w:r w:rsidRPr="006D01CD">
        <w:rPr>
          <w:noProof/>
        </w:rPr>
        <w:tab/>
      </w:r>
      <w:r w:rsidR="001A462E">
        <w:rPr>
          <w:noProof/>
        </w:rPr>
        <w:t>In order to ensure uniform conditions for the implementation of this Regulation, implementing powers should be conferred on the Commission</w:t>
      </w:r>
      <w:r w:rsidR="00890D9A">
        <w:rPr>
          <w:noProof/>
        </w:rPr>
        <w:t xml:space="preserve"> in respect of the</w:t>
      </w:r>
      <w:r w:rsidR="001A462E" w:rsidRPr="001B75EE">
        <w:rPr>
          <w:noProof/>
        </w:rPr>
        <w:t xml:space="preserve"> adoption of implementing acts </w:t>
      </w:r>
      <w:r w:rsidR="001A462E" w:rsidRPr="008D658B">
        <w:rPr>
          <w:noProof/>
        </w:rPr>
        <w:t xml:space="preserve">laying down detailed rules relating to fees levied by ENISA, implementing acts providing for a European cybersecurity certification scheme for ICT products, ICT services, ICT processes, managed security services or cyber posture of entities, implementing acts laying down common principles and reference provisions intended to provide for elements across European cybersecurity certification schemes, implementing acts specifying procedures for prior approval or general delegation models, implementing acts on recognising a </w:t>
      </w:r>
      <w:r w:rsidR="00D87C2B">
        <w:rPr>
          <w:noProof/>
        </w:rPr>
        <w:t xml:space="preserve">third country </w:t>
      </w:r>
      <w:r w:rsidR="00D9525B">
        <w:rPr>
          <w:noProof/>
        </w:rPr>
        <w:t xml:space="preserve">or international organisation </w:t>
      </w:r>
      <w:r w:rsidR="001A462E" w:rsidRPr="008D658B">
        <w:rPr>
          <w:noProof/>
        </w:rPr>
        <w:t>cybersecurity certificat</w:t>
      </w:r>
      <w:r w:rsidR="00E80FCF">
        <w:rPr>
          <w:noProof/>
        </w:rPr>
        <w:t>es</w:t>
      </w:r>
      <w:r w:rsidR="001A462E" w:rsidRPr="008D658B">
        <w:rPr>
          <w:noProof/>
        </w:rPr>
        <w:t xml:space="preserve"> as equivalent</w:t>
      </w:r>
      <w:r w:rsidR="00E604AA">
        <w:rPr>
          <w:noProof/>
        </w:rPr>
        <w:t xml:space="preserve"> to </w:t>
      </w:r>
      <w:r w:rsidR="00E604AA" w:rsidRPr="00F3399E">
        <w:rPr>
          <w:noProof/>
          <w:lang w:eastAsia="en-IE"/>
        </w:rPr>
        <w:t>European cybersecurity certificates</w:t>
      </w:r>
      <w:r w:rsidR="001A462E" w:rsidRPr="008D658B">
        <w:rPr>
          <w:noProof/>
        </w:rPr>
        <w:t>, implementing acts establishing a plan for peer review, implementing acts to establish the procedures, including on cross-border cooperation, for authorisation of the conformity assessment bodies, implementing acts to establish the circumstances, formats and procedures for notifications of conformity assessment bodies</w:t>
      </w:r>
      <w:r w:rsidR="00ED2C7B">
        <w:rPr>
          <w:noProof/>
        </w:rPr>
        <w:t xml:space="preserve">, </w:t>
      </w:r>
      <w:r w:rsidR="00CF2D19" w:rsidRPr="00CF2D19">
        <w:rPr>
          <w:noProof/>
        </w:rPr>
        <w:t>implementing acts designating a third country as a country posing cybersecurity concerns to ICT supply chains, implementing acts identifying key ICT assets used for the manufacturing of products or the provision of services by entities of the type referred to Annexes I and II to Directive (EU) 2022/2555,</w:t>
      </w:r>
      <w:r w:rsidR="00890D9A">
        <w:rPr>
          <w:noProof/>
        </w:rPr>
        <w:t xml:space="preserve"> implementing acts</w:t>
      </w:r>
      <w:r w:rsidR="00CF2D19" w:rsidRPr="00CF2D19">
        <w:rPr>
          <w:noProof/>
        </w:rPr>
        <w:t xml:space="preserve"> establishing that entities operating in sectors of high criticality and other critical sectors are subject to specific mitigating measures</w:t>
      </w:r>
      <w:r w:rsidR="00500AA0" w:rsidRPr="00500AA0">
        <w:rPr>
          <w:noProof/>
        </w:rPr>
        <w:t xml:space="preserve"> </w:t>
      </w:r>
      <w:r w:rsidR="00500AA0">
        <w:rPr>
          <w:noProof/>
        </w:rPr>
        <w:t xml:space="preserve">and </w:t>
      </w:r>
      <w:r w:rsidR="00500AA0" w:rsidRPr="00CF2D19">
        <w:rPr>
          <w:noProof/>
        </w:rPr>
        <w:t xml:space="preserve">specifying the time periods for the phasing out </w:t>
      </w:r>
      <w:r w:rsidR="00500AA0">
        <w:rPr>
          <w:noProof/>
        </w:rPr>
        <w:t xml:space="preserve">of </w:t>
      </w:r>
      <w:r w:rsidR="00500AA0" w:rsidRPr="00CF2D19">
        <w:rPr>
          <w:noProof/>
        </w:rPr>
        <w:t>ICT components or components that include ICT components provided by high-risk suppliers</w:t>
      </w:r>
      <w:r w:rsidR="00CF2D19" w:rsidRPr="00CF2D19">
        <w:rPr>
          <w:noProof/>
        </w:rPr>
        <w:t xml:space="preserve">,  implementing acts further specifying conditions regarding the </w:t>
      </w:r>
      <w:r w:rsidR="00F013B2">
        <w:rPr>
          <w:noProof/>
        </w:rPr>
        <w:t>exemption</w:t>
      </w:r>
      <w:r w:rsidR="00A6623F">
        <w:rPr>
          <w:noProof/>
        </w:rPr>
        <w:t xml:space="preserve"> f</w:t>
      </w:r>
      <w:r w:rsidR="00A6623F" w:rsidRPr="00A6623F">
        <w:rPr>
          <w:noProof/>
        </w:rPr>
        <w:t>or entities established in or controlled by entities from a third country posing cybersecurity concerns</w:t>
      </w:r>
      <w:r w:rsidR="00CF2D19" w:rsidRPr="00CF2D19">
        <w:rPr>
          <w:noProof/>
        </w:rPr>
        <w:t xml:space="preserve">, </w:t>
      </w:r>
      <w:r w:rsidR="00500AA0">
        <w:rPr>
          <w:noProof/>
        </w:rPr>
        <w:t xml:space="preserve">as well as the adoption of </w:t>
      </w:r>
      <w:r w:rsidR="00CF2D19" w:rsidRPr="00CF2D19">
        <w:rPr>
          <w:noProof/>
        </w:rPr>
        <w:t>implementing acts laying down detailed rules relating to fees levied by the Commission</w:t>
      </w:r>
      <w:r w:rsidR="001A462E" w:rsidRPr="008D658B">
        <w:rPr>
          <w:noProof/>
        </w:rPr>
        <w:t>.</w:t>
      </w:r>
      <w:r w:rsidR="00890D9A">
        <w:rPr>
          <w:noProof/>
        </w:rPr>
        <w:t xml:space="preserve"> Those powers should be exercised in accordance with Regulation (EU) No 182/2011 of </w:t>
      </w:r>
      <w:r w:rsidR="00890D9A" w:rsidRPr="001B75EE">
        <w:rPr>
          <w:noProof/>
        </w:rPr>
        <w:t>the European Parliament and of the Council</w:t>
      </w:r>
      <w:r w:rsidR="00890D9A">
        <w:rPr>
          <w:noProof/>
        </w:rPr>
        <w:t>, and t</w:t>
      </w:r>
      <w:r w:rsidR="00890D9A" w:rsidRPr="001B75EE">
        <w:rPr>
          <w:noProof/>
        </w:rPr>
        <w:t>he examination procedure should be used</w:t>
      </w:r>
      <w:r w:rsidR="00890D9A">
        <w:rPr>
          <w:noProof/>
        </w:rPr>
        <w:t xml:space="preserve">. In order to ensure uniform conditions for the implementation of this Regulation, implementing powers should also be conferred on the Commission in respect of establishing a list of high-risk suppliers relevant for certain measures provided for in this Regulation. </w:t>
      </w:r>
    </w:p>
    <w:p w14:paraId="1A51557A" w14:textId="1748BA02" w:rsidR="4165CDC9" w:rsidRPr="003B67E8" w:rsidRDefault="006D01CD" w:rsidP="006D01CD">
      <w:pPr>
        <w:pStyle w:val="ManualConsidrant"/>
        <w:rPr>
          <w:noProof/>
        </w:rPr>
      </w:pPr>
      <w:r w:rsidRPr="006D01CD">
        <w:rPr>
          <w:noProof/>
        </w:rPr>
        <w:t>(167)</w:t>
      </w:r>
      <w:r w:rsidRPr="006D01CD">
        <w:rPr>
          <w:noProof/>
        </w:rPr>
        <w:tab/>
      </w:r>
      <w:r w:rsidR="00BF7036" w:rsidRPr="00BF7036">
        <w:rPr>
          <w:noProof/>
        </w:rPr>
        <w:t xml:space="preserve">It is necessary that European cybersecurity certification schemes reflect the latest technological developments, new related threats, and the adoption of new Union legislation setting out the demonstration of compliance and the presumption of conformity through European cybersecurity certification with relevant cybersecurity requirements of that legislation. For these reasons, the power to adopt acts in accordance with Article 290 TFEU should be delegated to the Commission in order to add or modify the security objectives that European cybersecurity certification schemes pursue. Similarly, in the interests of a trusted ICT supply chain framework, the power to adopt acts in accordance with Article 290 TFEU should be delegated to the Commission </w:t>
      </w:r>
      <w:r w:rsidR="00FB184A">
        <w:rPr>
          <w:noProof/>
        </w:rPr>
        <w:t xml:space="preserve">to </w:t>
      </w:r>
      <w:r w:rsidR="00BF7036" w:rsidRPr="00BF7036">
        <w:rPr>
          <w:noProof/>
        </w:rPr>
        <w:t xml:space="preserve">amend Annex II </w:t>
      </w:r>
      <w:r w:rsidR="00022AB1">
        <w:rPr>
          <w:noProof/>
        </w:rPr>
        <w:t>to</w:t>
      </w:r>
      <w:r w:rsidR="00BF7036" w:rsidRPr="00BF7036">
        <w:rPr>
          <w:noProof/>
        </w:rPr>
        <w:t xml:space="preserve"> this Regulation in order to adapt it to technological developments. </w:t>
      </w:r>
      <w:r w:rsidR="5BB3563A" w:rsidRPr="00D47360">
        <w:rPr>
          <w:noProof/>
        </w:rPr>
        <w:t>It is of particular importance that the Commission carry out appropriate consultations during its preparatory work, including at expert level, and that those consultations be conducted in accordance with the principles laid down in the Interinstitutional Agreement of 13 April 2016 on Better Law-Making. In particular, to ensure equal participation in the preparation of delegated acts, the European Parliament and the Council</w:t>
      </w:r>
      <w:r w:rsidR="5BB3563A">
        <w:rPr>
          <w:noProof/>
        </w:rPr>
        <w:t xml:space="preserve"> </w:t>
      </w:r>
      <w:r w:rsidR="00893FE3">
        <w:rPr>
          <w:noProof/>
        </w:rPr>
        <w:t>should</w:t>
      </w:r>
      <w:r w:rsidR="5BB3563A" w:rsidRPr="00D47360">
        <w:rPr>
          <w:noProof/>
        </w:rPr>
        <w:t xml:space="preserve"> receive all documents at the same time as Member States</w:t>
      </w:r>
      <w:r w:rsidR="00E47CCF">
        <w:rPr>
          <w:noProof/>
        </w:rPr>
        <w:t>’</w:t>
      </w:r>
      <w:r w:rsidR="5BB3563A" w:rsidRPr="00D47360">
        <w:rPr>
          <w:noProof/>
        </w:rPr>
        <w:t xml:space="preserve"> experts, and their experts </w:t>
      </w:r>
      <w:r w:rsidR="00B458DC">
        <w:rPr>
          <w:noProof/>
        </w:rPr>
        <w:t xml:space="preserve">should </w:t>
      </w:r>
      <w:r w:rsidR="5BB3563A" w:rsidRPr="00D47360">
        <w:rPr>
          <w:noProof/>
        </w:rPr>
        <w:t>systematically have access to meetings of Commission expert groups dealing with the preparation of delegated acts.</w:t>
      </w:r>
    </w:p>
    <w:p w14:paraId="226B6A34" w14:textId="55ED9A63" w:rsidR="001A462E" w:rsidRDefault="006D01CD" w:rsidP="006D01CD">
      <w:pPr>
        <w:pStyle w:val="ManualConsidrant"/>
        <w:rPr>
          <w:noProof/>
        </w:rPr>
      </w:pPr>
      <w:r w:rsidRPr="006D01CD">
        <w:rPr>
          <w:noProof/>
        </w:rPr>
        <w:t>(168)</w:t>
      </w:r>
      <w:r w:rsidRPr="006D01CD">
        <w:rPr>
          <w:noProof/>
        </w:rPr>
        <w:tab/>
      </w:r>
      <w:r w:rsidR="001A462E" w:rsidRPr="001B75EE">
        <w:rPr>
          <w:noProof/>
        </w:rPr>
        <w:t>ENISA’s operations should be subject to regular and independent evaluation. That evaluation should have regard to ENISA’s objectives, and the relevance of its tasks, in particular its tasks relating to the operational cooperation at Union level. In the event of a review, the Commission should evaluate how ENISA’s role as a reference point for advice and expertise can be reinforced.</w:t>
      </w:r>
    </w:p>
    <w:p w14:paraId="0DD6107B" w14:textId="5523B542" w:rsidR="001A462E" w:rsidRPr="00190A0C" w:rsidRDefault="006D01CD" w:rsidP="006D01CD">
      <w:pPr>
        <w:pStyle w:val="ManualConsidrant"/>
        <w:rPr>
          <w:noProof/>
          <w:lang w:eastAsia="en-IE"/>
        </w:rPr>
      </w:pPr>
      <w:r w:rsidRPr="006D01CD">
        <w:rPr>
          <w:noProof/>
        </w:rPr>
        <w:t>(169)</w:t>
      </w:r>
      <w:r w:rsidRPr="006D01CD">
        <w:rPr>
          <w:noProof/>
        </w:rPr>
        <w:tab/>
      </w:r>
      <w:r w:rsidR="001A462E" w:rsidRPr="1496FAEA">
        <w:rPr>
          <w:noProof/>
          <w:lang w:eastAsia="en-IE"/>
        </w:rPr>
        <w:t>Commission Implementing Regulation (EU) 2024/482</w:t>
      </w:r>
      <w:r w:rsidR="001A462E">
        <w:rPr>
          <w:noProof/>
          <w:lang w:eastAsia="en-IE"/>
        </w:rPr>
        <w:t xml:space="preserve"> lays down rules as regards the adoption of</w:t>
      </w:r>
      <w:r w:rsidR="001A462E" w:rsidRPr="1496FAEA">
        <w:rPr>
          <w:noProof/>
          <w:lang w:eastAsia="en-IE"/>
        </w:rPr>
        <w:t xml:space="preserve"> the European Common Criteria-based cybersecurity certification scheme (EUCC)</w:t>
      </w:r>
      <w:r w:rsidR="001A462E">
        <w:rPr>
          <w:noProof/>
          <w:lang w:eastAsia="en-IE"/>
        </w:rPr>
        <w:t>. The EUCC is the first and only European cybersecurity certification scheme adopted under Regulation (EU) 2019/881. It concerns the certification of ICT products, including products belonging to the technical domains ‘smart cards and similar devices’ and ‘hardware devices with security boxes’, and protection profiles (as ICT processes</w:t>
      </w:r>
      <w:r w:rsidR="001A462E" w:rsidRPr="001C05A8">
        <w:rPr>
          <w:noProof/>
          <w:lang w:eastAsia="en-IE"/>
        </w:rPr>
        <w:t>).</w:t>
      </w:r>
      <w:r w:rsidR="001A462E">
        <w:rPr>
          <w:noProof/>
          <w:lang w:eastAsia="en-IE"/>
        </w:rPr>
        <w:t xml:space="preserve"> It is therefore necessary to ensure the continuation of  certification activities as well as of the </w:t>
      </w:r>
      <w:r w:rsidR="001A462E" w:rsidRPr="007329F7">
        <w:rPr>
          <w:noProof/>
          <w:lang w:eastAsia="en-IE"/>
        </w:rPr>
        <w:t>Agency’s activities</w:t>
      </w:r>
      <w:r w:rsidR="001A462E">
        <w:rPr>
          <w:noProof/>
          <w:lang w:eastAsia="en-IE"/>
        </w:rPr>
        <w:t>.</w:t>
      </w:r>
    </w:p>
    <w:p w14:paraId="6842EC03" w14:textId="627C49AF" w:rsidR="001A462E" w:rsidRDefault="006D01CD" w:rsidP="006D01CD">
      <w:pPr>
        <w:pStyle w:val="ManualConsidrant"/>
        <w:rPr>
          <w:noProof/>
        </w:rPr>
      </w:pPr>
      <w:r w:rsidRPr="006D01CD">
        <w:rPr>
          <w:noProof/>
        </w:rPr>
        <w:t>(170)</w:t>
      </w:r>
      <w:r w:rsidRPr="006D01CD">
        <w:rPr>
          <w:noProof/>
        </w:rPr>
        <w:tab/>
      </w:r>
      <w:r w:rsidR="001A462E" w:rsidRPr="00190A0C">
        <w:rPr>
          <w:noProof/>
        </w:rPr>
        <w:t>The European Data Protection Supervisor and the European Data Protection Board were consulted in accordance with Article 42(2) of Regulation (EU) 2018/</w:t>
      </w:r>
      <w:r w:rsidR="001A462E" w:rsidRPr="00901D26">
        <w:rPr>
          <w:noProof/>
        </w:rPr>
        <w:t>1725</w:t>
      </w:r>
      <w:r w:rsidR="001A462E">
        <w:rPr>
          <w:rStyle w:val="FootnoteReference"/>
          <w:noProof/>
        </w:rPr>
        <w:footnoteReference w:id="71"/>
      </w:r>
      <w:r w:rsidR="001A462E" w:rsidRPr="00190A0C">
        <w:rPr>
          <w:noProof/>
        </w:rPr>
        <w:t xml:space="preserve"> and delivered a joint opinion </w:t>
      </w:r>
      <w:r w:rsidR="001A462E" w:rsidRPr="00051159">
        <w:rPr>
          <w:noProof/>
        </w:rPr>
        <w:t>[date].</w:t>
      </w:r>
    </w:p>
    <w:p w14:paraId="6A652B2B" w14:textId="40FA6EDF" w:rsidR="001A462E" w:rsidRDefault="006D01CD" w:rsidP="006D01CD">
      <w:pPr>
        <w:pStyle w:val="ManualConsidrant"/>
        <w:rPr>
          <w:noProof/>
        </w:rPr>
      </w:pPr>
      <w:r w:rsidRPr="006D01CD">
        <w:rPr>
          <w:noProof/>
        </w:rPr>
        <w:t>(171)</w:t>
      </w:r>
      <w:r w:rsidRPr="006D01CD">
        <w:rPr>
          <w:noProof/>
        </w:rPr>
        <w:tab/>
      </w:r>
      <w:r w:rsidR="001A462E">
        <w:rPr>
          <w:noProof/>
        </w:rPr>
        <w:t xml:space="preserve">Regulation (EU) 2019/881 </w:t>
      </w:r>
      <w:r w:rsidR="001A462E" w:rsidRPr="001B75EE">
        <w:rPr>
          <w:noProof/>
        </w:rPr>
        <w:t>should be repealed</w:t>
      </w:r>
      <w:r w:rsidR="001A462E">
        <w:rPr>
          <w:noProof/>
        </w:rPr>
        <w:t>.</w:t>
      </w:r>
    </w:p>
    <w:p w14:paraId="46360908" w14:textId="255B773F" w:rsidR="001A462E" w:rsidRDefault="006D01CD" w:rsidP="006D01CD">
      <w:pPr>
        <w:pStyle w:val="ManualConsidrant"/>
        <w:rPr>
          <w:noProof/>
        </w:rPr>
      </w:pPr>
      <w:r w:rsidRPr="006D01CD">
        <w:rPr>
          <w:noProof/>
        </w:rPr>
        <w:t>(172)</w:t>
      </w:r>
      <w:r w:rsidRPr="006D01CD">
        <w:rPr>
          <w:noProof/>
        </w:rPr>
        <w:tab/>
      </w:r>
      <w:r w:rsidR="001A462E" w:rsidRPr="001B75EE">
        <w:rPr>
          <w:noProof/>
        </w:rPr>
        <w:t>Since the objectives of this Regulation cannot be sufficiently achieved by the Member States but can rather, by reason of its scale and effects, be better achieved at Union level, the Union may adopt measures, in accordance with the principle of subsidiarity as set out in Article 5 of the Treaty on European Union (TEU). In accordance with the principle of proportionality as set out in that Article, this Regulation does not go beyond what is necessary in order to achieve those objectives</w:t>
      </w:r>
      <w:r w:rsidR="001A462E">
        <w:rPr>
          <w:noProof/>
        </w:rPr>
        <w:t>,</w:t>
      </w:r>
    </w:p>
    <w:p w14:paraId="22054DC7" w14:textId="77777777" w:rsidR="001A462E" w:rsidRDefault="001A462E" w:rsidP="001A462E">
      <w:pPr>
        <w:pStyle w:val="Formuledadoption"/>
        <w:rPr>
          <w:noProof/>
        </w:rPr>
      </w:pPr>
      <w:r w:rsidRPr="001A462E">
        <w:rPr>
          <w:noProof/>
        </w:rPr>
        <w:t xml:space="preserve">HAVE ADOPTED THIS </w:t>
      </w:r>
      <w:r>
        <w:rPr>
          <w:noProof/>
        </w:rPr>
        <w:t>REGULATION</w:t>
      </w:r>
      <w:r w:rsidRPr="001A462E">
        <w:rPr>
          <w:noProof/>
        </w:rPr>
        <w:t>:</w:t>
      </w:r>
    </w:p>
    <w:p w14:paraId="408584EA" w14:textId="77777777" w:rsidR="001A462E" w:rsidRPr="006046F4" w:rsidRDefault="001A462E" w:rsidP="001A462E">
      <w:pPr>
        <w:jc w:val="center"/>
        <w:rPr>
          <w:b/>
          <w:bCs/>
          <w:noProof/>
        </w:rPr>
      </w:pPr>
      <w:r w:rsidRPr="006046F4">
        <w:rPr>
          <w:b/>
          <w:bCs/>
          <w:noProof/>
        </w:rPr>
        <w:t>TITLE I</w:t>
      </w:r>
      <w:r w:rsidRPr="006046F4">
        <w:rPr>
          <w:b/>
          <w:bCs/>
          <w:noProof/>
        </w:rPr>
        <w:br/>
        <w:t>GENERAL PROVISIONS</w:t>
      </w:r>
    </w:p>
    <w:p w14:paraId="5D48D2A2" w14:textId="77777777" w:rsidR="001A462E" w:rsidRPr="00F96E01" w:rsidRDefault="001A462E" w:rsidP="001A462E">
      <w:pPr>
        <w:pStyle w:val="Titrearticle"/>
        <w:rPr>
          <w:noProof/>
        </w:rPr>
      </w:pPr>
      <w:r w:rsidRPr="00F96E01">
        <w:rPr>
          <w:noProof/>
        </w:rPr>
        <w:t>Article 1</w:t>
      </w:r>
      <w:r>
        <w:rPr>
          <w:noProof/>
        </w:rPr>
        <w:br/>
        <w:t>Subject matter and scope</w:t>
      </w:r>
    </w:p>
    <w:p w14:paraId="4DC57195" w14:textId="5F6AF590" w:rsidR="001A462E" w:rsidRDefault="006D01CD" w:rsidP="006D01CD">
      <w:pPr>
        <w:pStyle w:val="ManualNumPar1"/>
        <w:rPr>
          <w:noProof/>
        </w:rPr>
      </w:pPr>
      <w:r w:rsidRPr="006D01CD">
        <w:rPr>
          <w:noProof/>
        </w:rPr>
        <w:t>1.</w:t>
      </w:r>
      <w:r w:rsidRPr="006D01CD">
        <w:rPr>
          <w:noProof/>
        </w:rPr>
        <w:tab/>
      </w:r>
      <w:r w:rsidR="001A462E">
        <w:rPr>
          <w:noProof/>
        </w:rPr>
        <w:t>T</w:t>
      </w:r>
      <w:r w:rsidR="001A462E" w:rsidRPr="00354C64">
        <w:rPr>
          <w:noProof/>
        </w:rPr>
        <w:t>his Regulation lays down:</w:t>
      </w:r>
    </w:p>
    <w:p w14:paraId="2AA34E14" w14:textId="5325779F" w:rsidR="001A462E" w:rsidRDefault="006D01CD" w:rsidP="006D01CD">
      <w:pPr>
        <w:pStyle w:val="Point1"/>
        <w:rPr>
          <w:noProof/>
        </w:rPr>
      </w:pPr>
      <w:r w:rsidRPr="006D01CD">
        <w:rPr>
          <w:noProof/>
        </w:rPr>
        <w:t>(a)</w:t>
      </w:r>
      <w:r w:rsidRPr="006D01CD">
        <w:rPr>
          <w:noProof/>
        </w:rPr>
        <w:tab/>
      </w:r>
      <w:r w:rsidR="001A462E" w:rsidRPr="00A31C51">
        <w:rPr>
          <w:noProof/>
        </w:rPr>
        <w:t>the mission, objectives, tasks and organisational matters relating to the European Union Agency for Cybersecurity</w:t>
      </w:r>
      <w:r w:rsidR="001A462E">
        <w:rPr>
          <w:noProof/>
        </w:rPr>
        <w:t xml:space="preserve"> (ENISA</w:t>
      </w:r>
      <w:r w:rsidR="001A462E" w:rsidRPr="00A31C51">
        <w:rPr>
          <w:noProof/>
        </w:rPr>
        <w:t>);</w:t>
      </w:r>
    </w:p>
    <w:p w14:paraId="55F70CC9" w14:textId="30C00FA8" w:rsidR="001A462E" w:rsidRPr="00E262E0" w:rsidRDefault="006D01CD" w:rsidP="006D01CD">
      <w:pPr>
        <w:pStyle w:val="Point1"/>
        <w:rPr>
          <w:noProof/>
        </w:rPr>
      </w:pPr>
      <w:r w:rsidRPr="006D01CD">
        <w:rPr>
          <w:noProof/>
        </w:rPr>
        <w:t>(b)</w:t>
      </w:r>
      <w:r w:rsidRPr="006D01CD">
        <w:rPr>
          <w:noProof/>
        </w:rPr>
        <w:tab/>
      </w:r>
      <w:r w:rsidR="001A462E" w:rsidRPr="00A31C51">
        <w:rPr>
          <w:noProof/>
        </w:rPr>
        <w:t xml:space="preserve">a framework for </w:t>
      </w:r>
      <w:r w:rsidR="001A462E">
        <w:rPr>
          <w:noProof/>
        </w:rPr>
        <w:t>establishing</w:t>
      </w:r>
      <w:r w:rsidR="001A462E" w:rsidRPr="00A31C51">
        <w:rPr>
          <w:noProof/>
        </w:rPr>
        <w:t xml:space="preserve"> European cybersecurity certification schemes for the purpose of ensuring an adequate level of cybersecurity for ICT products, ICT services, ICT processes, managed security services or </w:t>
      </w:r>
      <w:r w:rsidR="001A462E">
        <w:rPr>
          <w:noProof/>
        </w:rPr>
        <w:t xml:space="preserve">the </w:t>
      </w:r>
      <w:r w:rsidR="001A462E" w:rsidRPr="00A31C51">
        <w:rPr>
          <w:noProof/>
        </w:rPr>
        <w:t xml:space="preserve">cybersecurity posture of entities in the Union, as well as for the purpose of avoiding the </w:t>
      </w:r>
      <w:r w:rsidR="001A462E" w:rsidRPr="00E262E0">
        <w:rPr>
          <w:noProof/>
        </w:rPr>
        <w:t>fragmentation of the internal market with regard to cybersecurity certification schemes in the Union;</w:t>
      </w:r>
      <w:r w:rsidR="00E2253C" w:rsidRPr="00E262E0">
        <w:rPr>
          <w:noProof/>
        </w:rPr>
        <w:t xml:space="preserve"> and</w:t>
      </w:r>
    </w:p>
    <w:p w14:paraId="01B26BB7" w14:textId="639A47C4" w:rsidR="001A462E" w:rsidRPr="00E262E0" w:rsidRDefault="006D01CD" w:rsidP="006D01CD">
      <w:pPr>
        <w:pStyle w:val="Point1"/>
        <w:rPr>
          <w:noProof/>
        </w:rPr>
      </w:pPr>
      <w:r w:rsidRPr="006D01CD">
        <w:rPr>
          <w:noProof/>
        </w:rPr>
        <w:t>(c)</w:t>
      </w:r>
      <w:r w:rsidRPr="006D01CD">
        <w:rPr>
          <w:noProof/>
        </w:rPr>
        <w:tab/>
      </w:r>
      <w:r w:rsidR="00CE11BB" w:rsidRPr="004D0494">
        <w:rPr>
          <w:noProof/>
        </w:rPr>
        <w:t>a trusted ICT supply chain framework</w:t>
      </w:r>
      <w:r w:rsidR="001A462E" w:rsidRPr="00E262E0">
        <w:rPr>
          <w:noProof/>
        </w:rPr>
        <w:t>.</w:t>
      </w:r>
    </w:p>
    <w:p w14:paraId="34DB0626" w14:textId="3ECD4343" w:rsidR="001A462E" w:rsidRPr="00E262E0" w:rsidRDefault="006D01CD" w:rsidP="006D01CD">
      <w:pPr>
        <w:pStyle w:val="ManualNumPar1"/>
        <w:rPr>
          <w:noProof/>
        </w:rPr>
      </w:pPr>
      <w:r w:rsidRPr="006D01CD">
        <w:rPr>
          <w:noProof/>
        </w:rPr>
        <w:t>2.</w:t>
      </w:r>
      <w:r w:rsidRPr="006D01CD">
        <w:rPr>
          <w:noProof/>
        </w:rPr>
        <w:tab/>
      </w:r>
      <w:r w:rsidR="001A462E" w:rsidRPr="00E262E0">
        <w:rPr>
          <w:noProof/>
        </w:rPr>
        <w:t xml:space="preserve">The framework referred to in paragraph 1, point (b) applies without prejudice to specific provisions in other Union legal acts regarding voluntary or mandatory certification. </w:t>
      </w:r>
    </w:p>
    <w:p w14:paraId="5187C243" w14:textId="0A74D2F2" w:rsidR="001A462E" w:rsidRPr="00E262E0" w:rsidRDefault="006D01CD" w:rsidP="006D01CD">
      <w:pPr>
        <w:pStyle w:val="ManualNumPar1"/>
        <w:rPr>
          <w:noProof/>
        </w:rPr>
      </w:pPr>
      <w:r w:rsidRPr="006D01CD">
        <w:rPr>
          <w:noProof/>
        </w:rPr>
        <w:t>3.</w:t>
      </w:r>
      <w:r w:rsidRPr="006D01CD">
        <w:rPr>
          <w:noProof/>
        </w:rPr>
        <w:tab/>
      </w:r>
      <w:r w:rsidR="00CE11BB" w:rsidRPr="004D0494">
        <w:rPr>
          <w:noProof/>
        </w:rPr>
        <w:t xml:space="preserve">The framework referred to in the first subparagraph point (c) shall apply to </w:t>
      </w:r>
      <w:r w:rsidR="00CE11BB">
        <w:rPr>
          <w:noProof/>
        </w:rPr>
        <w:t xml:space="preserve">public or private entities of a type </w:t>
      </w:r>
      <w:r w:rsidR="00CE11BB" w:rsidRPr="004D0494">
        <w:rPr>
          <w:noProof/>
        </w:rPr>
        <w:t>referred to in Annex I or II to Directive (EU) 2022/2555</w:t>
      </w:r>
      <w:r w:rsidR="00CE11BB">
        <w:rPr>
          <w:noProof/>
        </w:rPr>
        <w:t xml:space="preserve"> which provide their services or carry out their activities within the Union.</w:t>
      </w:r>
    </w:p>
    <w:p w14:paraId="603468BE" w14:textId="265AF4FA" w:rsidR="001A462E" w:rsidRDefault="006D01CD" w:rsidP="006D01CD">
      <w:pPr>
        <w:pStyle w:val="ManualNumPar1"/>
        <w:rPr>
          <w:noProof/>
        </w:rPr>
      </w:pPr>
      <w:r w:rsidRPr="006D01CD">
        <w:rPr>
          <w:noProof/>
        </w:rPr>
        <w:t>4.</w:t>
      </w:r>
      <w:r w:rsidRPr="006D01CD">
        <w:rPr>
          <w:noProof/>
        </w:rPr>
        <w:tab/>
      </w:r>
      <w:r w:rsidR="001A462E" w:rsidRPr="00E262E0">
        <w:rPr>
          <w:noProof/>
        </w:rPr>
        <w:t>This Regulation is without</w:t>
      </w:r>
      <w:r w:rsidR="001A462E" w:rsidRPr="00354C64">
        <w:rPr>
          <w:noProof/>
        </w:rPr>
        <w:t xml:space="preserve"> prejudice to</w:t>
      </w:r>
      <w:r w:rsidR="001A462E" w:rsidRPr="00306107">
        <w:rPr>
          <w:noProof/>
        </w:rPr>
        <w:t xml:space="preserve"> the Member States’ essential State functions, including ensuring the territorial integrity of the State, maintaining law and order and safeguarding national security. In particular</w:t>
      </w:r>
      <w:r w:rsidR="001A462E">
        <w:rPr>
          <w:noProof/>
        </w:rPr>
        <w:t>,</w:t>
      </w:r>
      <w:r w:rsidR="001A462E" w:rsidRPr="00306107">
        <w:rPr>
          <w:noProof/>
        </w:rPr>
        <w:t xml:space="preserve"> national security remains the sole responsibility of each Member State.</w:t>
      </w:r>
    </w:p>
    <w:p w14:paraId="55A32A26" w14:textId="77777777" w:rsidR="001A462E" w:rsidRPr="00354C64" w:rsidRDefault="001A462E" w:rsidP="001A462E">
      <w:pPr>
        <w:rPr>
          <w:noProof/>
        </w:rPr>
      </w:pPr>
    </w:p>
    <w:p w14:paraId="6F94C792" w14:textId="77777777" w:rsidR="001A462E" w:rsidRDefault="001A462E" w:rsidP="001A462E">
      <w:pPr>
        <w:pStyle w:val="Titrearticle"/>
        <w:rPr>
          <w:noProof/>
        </w:rPr>
      </w:pPr>
      <w:r>
        <w:rPr>
          <w:noProof/>
        </w:rPr>
        <w:t>Article 2</w:t>
      </w:r>
      <w:r>
        <w:rPr>
          <w:noProof/>
        </w:rPr>
        <w:br/>
        <w:t>Definitions</w:t>
      </w:r>
    </w:p>
    <w:p w14:paraId="39B92F17" w14:textId="77777777" w:rsidR="001A462E" w:rsidRDefault="001A462E" w:rsidP="00A10BD0">
      <w:pPr>
        <w:rPr>
          <w:noProof/>
        </w:rPr>
      </w:pPr>
      <w:r w:rsidRPr="00216C27">
        <w:rPr>
          <w:noProof/>
        </w:rPr>
        <w:t>For the purposes of this Regulation, the following definitions apply:</w:t>
      </w:r>
    </w:p>
    <w:p w14:paraId="1050535C" w14:textId="1B12412C" w:rsidR="001A462E" w:rsidRPr="00F37A27" w:rsidRDefault="006D01CD" w:rsidP="006D01CD">
      <w:pPr>
        <w:pStyle w:val="Point0"/>
        <w:rPr>
          <w:noProof/>
        </w:rPr>
      </w:pPr>
      <w:r w:rsidRPr="006D01CD">
        <w:rPr>
          <w:noProof/>
        </w:rPr>
        <w:t>(1)</w:t>
      </w:r>
      <w:r w:rsidRPr="006D01CD">
        <w:rPr>
          <w:noProof/>
        </w:rPr>
        <w:tab/>
      </w:r>
      <w:r w:rsidR="001A462E" w:rsidRPr="00F37A27">
        <w:rPr>
          <w:noProof/>
        </w:rPr>
        <w:t>‘cybersecurity’ means the activities necessary to protect network and information systems, the users of such systems, and other persons affected by cyber threats;</w:t>
      </w:r>
    </w:p>
    <w:p w14:paraId="749AA744" w14:textId="256B290B" w:rsidR="001A462E" w:rsidRDefault="006D01CD" w:rsidP="006D01CD">
      <w:pPr>
        <w:pStyle w:val="Point0"/>
        <w:rPr>
          <w:noProof/>
        </w:rPr>
      </w:pPr>
      <w:r w:rsidRPr="006D01CD">
        <w:rPr>
          <w:noProof/>
        </w:rPr>
        <w:t>(2)</w:t>
      </w:r>
      <w:r w:rsidRPr="006D01CD">
        <w:rPr>
          <w:noProof/>
        </w:rPr>
        <w:tab/>
      </w:r>
      <w:r w:rsidR="001A462E">
        <w:rPr>
          <w:noProof/>
        </w:rPr>
        <w:t>‘</w:t>
      </w:r>
      <w:r w:rsidR="001A462E" w:rsidRPr="00E03547">
        <w:rPr>
          <w:noProof/>
        </w:rPr>
        <w:t>Union</w:t>
      </w:r>
      <w:r w:rsidR="001A462E">
        <w:rPr>
          <w:noProof/>
        </w:rPr>
        <w:t xml:space="preserve"> entities’ means Union entities as defined in Article 3, point (1), of Regulation (EU, Euratom) 2023/2841;</w:t>
      </w:r>
    </w:p>
    <w:p w14:paraId="6C0FDA68" w14:textId="66354A2A" w:rsidR="001A462E" w:rsidRDefault="006D01CD" w:rsidP="006D01CD">
      <w:pPr>
        <w:pStyle w:val="Point0"/>
        <w:rPr>
          <w:noProof/>
        </w:rPr>
      </w:pPr>
      <w:r w:rsidRPr="006D01CD">
        <w:rPr>
          <w:noProof/>
        </w:rPr>
        <w:t>(3)</w:t>
      </w:r>
      <w:r w:rsidRPr="006D01CD">
        <w:rPr>
          <w:noProof/>
        </w:rPr>
        <w:tab/>
      </w:r>
      <w:r w:rsidR="001A462E">
        <w:rPr>
          <w:noProof/>
        </w:rPr>
        <w:t>‘</w:t>
      </w:r>
      <w:r w:rsidR="001A462E" w:rsidRPr="005618F1">
        <w:rPr>
          <w:noProof/>
        </w:rPr>
        <w:t xml:space="preserve">authorised attestation provider’ means an entity, public or private, </w:t>
      </w:r>
      <w:r w:rsidR="001A462E">
        <w:rPr>
          <w:noProof/>
        </w:rPr>
        <w:t>for which ENISA has adopted a decision authorising that entity to</w:t>
      </w:r>
      <w:r w:rsidR="001A462E" w:rsidRPr="005618F1">
        <w:rPr>
          <w:noProof/>
        </w:rPr>
        <w:t xml:space="preserve"> </w:t>
      </w:r>
      <w:r w:rsidR="001A462E">
        <w:rPr>
          <w:noProof/>
        </w:rPr>
        <w:t>award</w:t>
      </w:r>
      <w:r w:rsidR="001A462E" w:rsidRPr="005618F1">
        <w:rPr>
          <w:noProof/>
        </w:rPr>
        <w:t xml:space="preserve"> European </w:t>
      </w:r>
      <w:r w:rsidR="001A462E" w:rsidRPr="00A10BD0">
        <w:rPr>
          <w:rFonts w:eastAsiaTheme="minorEastAsia"/>
          <w:noProof/>
        </w:rPr>
        <w:t>individual</w:t>
      </w:r>
      <w:r w:rsidR="001A462E" w:rsidRPr="005618F1">
        <w:rPr>
          <w:noProof/>
        </w:rPr>
        <w:t xml:space="preserve"> cybersecurity </w:t>
      </w:r>
      <w:r w:rsidR="001A462E">
        <w:rPr>
          <w:noProof/>
        </w:rPr>
        <w:t xml:space="preserve">skills </w:t>
      </w:r>
      <w:r w:rsidR="001A462E" w:rsidRPr="005618F1">
        <w:rPr>
          <w:noProof/>
        </w:rPr>
        <w:t>attestations</w:t>
      </w:r>
      <w:r w:rsidR="001A462E">
        <w:rPr>
          <w:noProof/>
        </w:rPr>
        <w:t xml:space="preserve"> as laid down in a European individual cybersecurity skills attestation scheme;</w:t>
      </w:r>
    </w:p>
    <w:p w14:paraId="373AA79E" w14:textId="2AB11311" w:rsidR="001A462E" w:rsidRDefault="006D01CD" w:rsidP="006D01CD">
      <w:pPr>
        <w:pStyle w:val="Point0"/>
        <w:rPr>
          <w:noProof/>
        </w:rPr>
      </w:pPr>
      <w:r w:rsidRPr="006D01CD">
        <w:rPr>
          <w:noProof/>
        </w:rPr>
        <w:t>(4)</w:t>
      </w:r>
      <w:r w:rsidRPr="006D01CD">
        <w:rPr>
          <w:noProof/>
        </w:rPr>
        <w:tab/>
      </w:r>
      <w:r w:rsidR="001A462E" w:rsidRPr="005618F1">
        <w:rPr>
          <w:noProof/>
        </w:rPr>
        <w:t xml:space="preserve">‘European individual cybersecurity </w:t>
      </w:r>
      <w:r w:rsidR="001A462E">
        <w:rPr>
          <w:noProof/>
        </w:rPr>
        <w:t xml:space="preserve">skills </w:t>
      </w:r>
      <w:r w:rsidR="001A462E" w:rsidRPr="005618F1">
        <w:rPr>
          <w:noProof/>
        </w:rPr>
        <w:t>attestation’ means a record, in digital or physical form, attesting that an individual knows, understands and is able to perform the tasks associated to a role profile or a subset of a role profile of the European Cybersecurity Skills Framework</w:t>
      </w:r>
      <w:r w:rsidR="001A462E">
        <w:rPr>
          <w:noProof/>
        </w:rPr>
        <w:t xml:space="preserve"> (‘ECSF’)</w:t>
      </w:r>
      <w:r w:rsidR="001A462E" w:rsidRPr="005618F1">
        <w:rPr>
          <w:noProof/>
        </w:rPr>
        <w:t>,</w:t>
      </w:r>
      <w:r w:rsidR="001A462E">
        <w:rPr>
          <w:noProof/>
        </w:rPr>
        <w:t xml:space="preserve"> </w:t>
      </w:r>
      <w:r w:rsidR="001A462E" w:rsidRPr="005618F1">
        <w:rPr>
          <w:noProof/>
        </w:rPr>
        <w:t>following an assessment</w:t>
      </w:r>
      <w:r w:rsidR="001A462E">
        <w:rPr>
          <w:noProof/>
        </w:rPr>
        <w:t xml:space="preserve"> as laid down in a European individual cybersecurity skills attestation scheme;</w:t>
      </w:r>
    </w:p>
    <w:p w14:paraId="603D1829" w14:textId="7503B7DA" w:rsidR="001A462E" w:rsidRPr="00216C27" w:rsidRDefault="006D01CD" w:rsidP="006D01CD">
      <w:pPr>
        <w:pStyle w:val="Point0"/>
        <w:rPr>
          <w:noProof/>
        </w:rPr>
      </w:pPr>
      <w:r w:rsidRPr="006D01CD">
        <w:rPr>
          <w:noProof/>
        </w:rPr>
        <w:t>(5)</w:t>
      </w:r>
      <w:r w:rsidRPr="006D01CD">
        <w:rPr>
          <w:noProof/>
        </w:rPr>
        <w:tab/>
      </w:r>
      <w:r w:rsidR="001A462E" w:rsidRPr="005618F1">
        <w:rPr>
          <w:noProof/>
        </w:rPr>
        <w:t xml:space="preserve">‘European individual cybersecurity </w:t>
      </w:r>
      <w:r w:rsidR="001A462E">
        <w:rPr>
          <w:noProof/>
        </w:rPr>
        <w:t xml:space="preserve">skills </w:t>
      </w:r>
      <w:r w:rsidR="001A462E" w:rsidRPr="005618F1">
        <w:rPr>
          <w:noProof/>
        </w:rPr>
        <w:t xml:space="preserve">attestation scheme’ means </w:t>
      </w:r>
      <w:r w:rsidR="001A462E">
        <w:rPr>
          <w:noProof/>
        </w:rPr>
        <w:t>a comprehensive set of rules, requirements, standards and procedures</w:t>
      </w:r>
      <w:r w:rsidR="001A462E" w:rsidRPr="005618F1">
        <w:rPr>
          <w:noProof/>
        </w:rPr>
        <w:t xml:space="preserve"> </w:t>
      </w:r>
      <w:r w:rsidR="001A462E">
        <w:rPr>
          <w:noProof/>
        </w:rPr>
        <w:t>established</w:t>
      </w:r>
      <w:r w:rsidR="001A462E" w:rsidRPr="005618F1">
        <w:rPr>
          <w:noProof/>
        </w:rPr>
        <w:t xml:space="preserve"> </w:t>
      </w:r>
      <w:r w:rsidR="001A462E">
        <w:rPr>
          <w:noProof/>
        </w:rPr>
        <w:t xml:space="preserve">by ENISA and </w:t>
      </w:r>
      <w:r w:rsidR="001A462E" w:rsidRPr="005618F1">
        <w:rPr>
          <w:noProof/>
        </w:rPr>
        <w:t xml:space="preserve">associated to </w:t>
      </w:r>
      <w:r w:rsidR="001A462E">
        <w:rPr>
          <w:noProof/>
        </w:rPr>
        <w:t>a</w:t>
      </w:r>
      <w:r w:rsidR="001A462E" w:rsidRPr="005618F1">
        <w:rPr>
          <w:noProof/>
        </w:rPr>
        <w:t xml:space="preserve"> role profile</w:t>
      </w:r>
      <w:r w:rsidR="001A462E">
        <w:rPr>
          <w:noProof/>
        </w:rPr>
        <w:t xml:space="preserve"> of the ECSF</w:t>
      </w:r>
      <w:r w:rsidR="001A462E" w:rsidRPr="005618F1">
        <w:rPr>
          <w:noProof/>
        </w:rPr>
        <w:t xml:space="preserve"> or </w:t>
      </w:r>
      <w:r w:rsidR="001A462E">
        <w:rPr>
          <w:noProof/>
        </w:rPr>
        <w:t xml:space="preserve">a </w:t>
      </w:r>
      <w:r w:rsidR="001A462E" w:rsidRPr="005618F1">
        <w:rPr>
          <w:noProof/>
        </w:rPr>
        <w:t>subset thereof</w:t>
      </w:r>
      <w:r w:rsidR="001A462E">
        <w:rPr>
          <w:noProof/>
        </w:rPr>
        <w:t>,</w:t>
      </w:r>
      <w:r w:rsidR="001A462E" w:rsidRPr="005618F1">
        <w:rPr>
          <w:noProof/>
        </w:rPr>
        <w:t xml:space="preserve"> </w:t>
      </w:r>
      <w:r w:rsidR="001A462E">
        <w:rPr>
          <w:noProof/>
        </w:rPr>
        <w:t>and that apply to and</w:t>
      </w:r>
      <w:r w:rsidR="001A462E" w:rsidDel="001613B6">
        <w:rPr>
          <w:noProof/>
        </w:rPr>
        <w:t xml:space="preserve"> </w:t>
      </w:r>
      <w:r w:rsidR="001A462E">
        <w:rPr>
          <w:noProof/>
        </w:rPr>
        <w:t>are applied by authorised attestation providers;</w:t>
      </w:r>
    </w:p>
    <w:p w14:paraId="22D4CCD7" w14:textId="2D06B2BD" w:rsidR="001A462E" w:rsidRPr="00216C27" w:rsidRDefault="006D01CD" w:rsidP="006D01CD">
      <w:pPr>
        <w:pStyle w:val="Point0"/>
        <w:rPr>
          <w:noProof/>
        </w:rPr>
      </w:pPr>
      <w:r w:rsidRPr="006D01CD">
        <w:rPr>
          <w:noProof/>
        </w:rPr>
        <w:t>(6)</w:t>
      </w:r>
      <w:r w:rsidRPr="006D01CD">
        <w:rPr>
          <w:noProof/>
        </w:rPr>
        <w:tab/>
      </w:r>
      <w:r w:rsidR="001A462E" w:rsidRPr="504E5C4D">
        <w:rPr>
          <w:noProof/>
        </w:rPr>
        <w:t xml:space="preserve">‘network </w:t>
      </w:r>
      <w:r w:rsidR="001A462E" w:rsidRPr="00A10BD0">
        <w:rPr>
          <w:rFonts w:eastAsiaTheme="minorEastAsia"/>
          <w:noProof/>
        </w:rPr>
        <w:t>and</w:t>
      </w:r>
      <w:r w:rsidR="001A462E" w:rsidRPr="504E5C4D">
        <w:rPr>
          <w:noProof/>
        </w:rPr>
        <w:t xml:space="preserve"> information system’ means a network and information system as defined in Article 6</w:t>
      </w:r>
      <w:r w:rsidR="001A462E">
        <w:rPr>
          <w:noProof/>
        </w:rPr>
        <w:t>,</w:t>
      </w:r>
      <w:r w:rsidR="001A462E" w:rsidRPr="504E5C4D">
        <w:rPr>
          <w:noProof/>
        </w:rPr>
        <w:t xml:space="preserve"> point (1)</w:t>
      </w:r>
      <w:r w:rsidR="001A462E">
        <w:rPr>
          <w:noProof/>
        </w:rPr>
        <w:t>,</w:t>
      </w:r>
      <w:r w:rsidR="001A462E" w:rsidRPr="504E5C4D">
        <w:rPr>
          <w:noProof/>
        </w:rPr>
        <w:t xml:space="preserve"> of Directive (EU) 2022/2555</w:t>
      </w:r>
      <w:r w:rsidR="001A462E">
        <w:rPr>
          <w:noProof/>
        </w:rPr>
        <w:t>;</w:t>
      </w:r>
    </w:p>
    <w:p w14:paraId="58C315D1" w14:textId="635ACA10" w:rsidR="001A462E" w:rsidRPr="00216C27" w:rsidRDefault="006D01CD" w:rsidP="006D01CD">
      <w:pPr>
        <w:pStyle w:val="Point0"/>
        <w:rPr>
          <w:noProof/>
        </w:rPr>
      </w:pPr>
      <w:r w:rsidRPr="006D01CD">
        <w:rPr>
          <w:noProof/>
        </w:rPr>
        <w:t>(7)</w:t>
      </w:r>
      <w:r w:rsidRPr="006D01CD">
        <w:rPr>
          <w:noProof/>
        </w:rPr>
        <w:tab/>
      </w:r>
      <w:r w:rsidR="001A462E" w:rsidRPr="00216C27">
        <w:rPr>
          <w:noProof/>
        </w:rPr>
        <w:t>‘</w:t>
      </w:r>
      <w:r w:rsidR="001A462E" w:rsidRPr="000635F1">
        <w:rPr>
          <w:noProof/>
        </w:rPr>
        <w:t>national cybersecurity strategy</w:t>
      </w:r>
      <w:r w:rsidR="001A462E">
        <w:rPr>
          <w:noProof/>
        </w:rPr>
        <w:t>’ means a national cybersecurity strategy as defined in Article 6, point (4), of Directive (EU) 2022/2555</w:t>
      </w:r>
      <w:r w:rsidR="001A462E" w:rsidRPr="00216C27">
        <w:rPr>
          <w:noProof/>
        </w:rPr>
        <w:t>;</w:t>
      </w:r>
    </w:p>
    <w:p w14:paraId="4F28D83A" w14:textId="62474624" w:rsidR="001A462E" w:rsidRPr="00F37A27" w:rsidRDefault="006D01CD" w:rsidP="006D01CD">
      <w:pPr>
        <w:pStyle w:val="Point0"/>
        <w:rPr>
          <w:noProof/>
        </w:rPr>
      </w:pPr>
      <w:r w:rsidRPr="006D01CD">
        <w:rPr>
          <w:noProof/>
        </w:rPr>
        <w:t>(8)</w:t>
      </w:r>
      <w:r w:rsidRPr="006D01CD">
        <w:rPr>
          <w:noProof/>
        </w:rPr>
        <w:tab/>
      </w:r>
      <w:r w:rsidR="001A462E" w:rsidRPr="00F37A27">
        <w:rPr>
          <w:noProof/>
        </w:rPr>
        <w:t>‘</w:t>
      </w:r>
      <w:r w:rsidR="001A462E" w:rsidRPr="00D83112">
        <w:rPr>
          <w:noProof/>
        </w:rPr>
        <w:t>incident’ means an incident as defined in Article 6</w:t>
      </w:r>
      <w:r w:rsidR="001A462E">
        <w:rPr>
          <w:noProof/>
        </w:rPr>
        <w:t>,</w:t>
      </w:r>
      <w:r w:rsidR="001A462E" w:rsidRPr="00D83112">
        <w:rPr>
          <w:noProof/>
        </w:rPr>
        <w:t xml:space="preserve"> point (6)</w:t>
      </w:r>
      <w:r w:rsidR="001A462E">
        <w:rPr>
          <w:noProof/>
        </w:rPr>
        <w:t>,</w:t>
      </w:r>
      <w:r w:rsidR="001A462E" w:rsidRPr="00D83112">
        <w:rPr>
          <w:noProof/>
        </w:rPr>
        <w:t xml:space="preserve"> of Directive (EU) 2022/2555</w:t>
      </w:r>
      <w:r w:rsidR="001A462E" w:rsidRPr="00F37A27">
        <w:rPr>
          <w:noProof/>
        </w:rPr>
        <w:t>;</w:t>
      </w:r>
    </w:p>
    <w:p w14:paraId="6CFC1916" w14:textId="28ABCF95" w:rsidR="001A462E" w:rsidRPr="00A17D1D" w:rsidRDefault="006D01CD" w:rsidP="006D01CD">
      <w:pPr>
        <w:pStyle w:val="Point0"/>
        <w:rPr>
          <w:noProof/>
        </w:rPr>
      </w:pPr>
      <w:r w:rsidRPr="006D01CD">
        <w:rPr>
          <w:noProof/>
        </w:rPr>
        <w:t>(9)</w:t>
      </w:r>
      <w:r w:rsidRPr="006D01CD">
        <w:rPr>
          <w:noProof/>
        </w:rPr>
        <w:tab/>
      </w:r>
      <w:r w:rsidR="001A462E" w:rsidRPr="00057D5B">
        <w:rPr>
          <w:noProof/>
        </w:rPr>
        <w:t>‘large-scale cybersecurity incident’</w:t>
      </w:r>
      <w:r w:rsidR="001A462E">
        <w:rPr>
          <w:noProof/>
        </w:rPr>
        <w:t xml:space="preserve"> means a large-scale cybersecurity incident as defined in  Article 6, point (7), of Directive (EU) 2022/2555;</w:t>
      </w:r>
    </w:p>
    <w:p w14:paraId="1E5B500A" w14:textId="2578DC65" w:rsidR="001A462E" w:rsidRPr="00A17D1D" w:rsidRDefault="006D01CD" w:rsidP="006D01CD">
      <w:pPr>
        <w:pStyle w:val="Point0"/>
        <w:rPr>
          <w:noProof/>
        </w:rPr>
      </w:pPr>
      <w:r w:rsidRPr="006D01CD">
        <w:rPr>
          <w:noProof/>
        </w:rPr>
        <w:t>(10)</w:t>
      </w:r>
      <w:r w:rsidRPr="006D01CD">
        <w:rPr>
          <w:noProof/>
        </w:rPr>
        <w:tab/>
      </w:r>
      <w:r w:rsidR="001A462E" w:rsidRPr="504E5C4D">
        <w:rPr>
          <w:noProof/>
        </w:rPr>
        <w:t>‘incident handling’ means incident handling as defined in Article 6</w:t>
      </w:r>
      <w:r w:rsidR="001A462E">
        <w:rPr>
          <w:noProof/>
        </w:rPr>
        <w:t>,</w:t>
      </w:r>
      <w:r w:rsidR="001A462E" w:rsidRPr="504E5C4D">
        <w:rPr>
          <w:noProof/>
        </w:rPr>
        <w:t xml:space="preserve"> point (8)</w:t>
      </w:r>
      <w:r w:rsidR="001A462E">
        <w:rPr>
          <w:noProof/>
        </w:rPr>
        <w:t>,</w:t>
      </w:r>
      <w:r w:rsidR="001A462E" w:rsidRPr="504E5C4D">
        <w:rPr>
          <w:noProof/>
        </w:rPr>
        <w:t xml:space="preserve"> of Directive (EU) 2022/2555</w:t>
      </w:r>
      <w:r w:rsidR="001A462E">
        <w:rPr>
          <w:noProof/>
        </w:rPr>
        <w:t>;</w:t>
      </w:r>
    </w:p>
    <w:p w14:paraId="301A4A9A" w14:textId="3BAE36CB" w:rsidR="001A462E" w:rsidRPr="00F37A27" w:rsidRDefault="006D01CD" w:rsidP="006D01CD">
      <w:pPr>
        <w:pStyle w:val="Point0"/>
        <w:rPr>
          <w:noProof/>
        </w:rPr>
      </w:pPr>
      <w:r w:rsidRPr="006D01CD">
        <w:rPr>
          <w:noProof/>
        </w:rPr>
        <w:t>(11)</w:t>
      </w:r>
      <w:r w:rsidRPr="006D01CD">
        <w:rPr>
          <w:noProof/>
        </w:rPr>
        <w:tab/>
      </w:r>
      <w:r w:rsidR="001A462E" w:rsidRPr="007978E0">
        <w:rPr>
          <w:noProof/>
        </w:rPr>
        <w:t>‘cyber threat’ means any potential circumstance, event or action that could damage, disrupt or otherwise adversely impact network and information systems, the users of such systems and other persons</w:t>
      </w:r>
      <w:r w:rsidR="001A462E" w:rsidRPr="00F37A27">
        <w:rPr>
          <w:noProof/>
        </w:rPr>
        <w:t>;</w:t>
      </w:r>
    </w:p>
    <w:p w14:paraId="7BACCDE8" w14:textId="7C17E4B7" w:rsidR="001A462E" w:rsidRPr="00F37A27" w:rsidRDefault="006D01CD" w:rsidP="006D01CD">
      <w:pPr>
        <w:pStyle w:val="Point0"/>
        <w:rPr>
          <w:noProof/>
        </w:rPr>
      </w:pPr>
      <w:r w:rsidRPr="006D01CD">
        <w:rPr>
          <w:noProof/>
        </w:rPr>
        <w:t>(12)</w:t>
      </w:r>
      <w:r w:rsidRPr="006D01CD">
        <w:rPr>
          <w:noProof/>
        </w:rPr>
        <w:tab/>
      </w:r>
      <w:r w:rsidR="001A462E" w:rsidRPr="00F37A27">
        <w:rPr>
          <w:noProof/>
        </w:rPr>
        <w:t>‘</w:t>
      </w:r>
      <w:r w:rsidR="001A462E" w:rsidRPr="007978E0">
        <w:rPr>
          <w:noProof/>
        </w:rPr>
        <w:t>European cybersecurity certification scheme’ means a comprehensive set of rules, technical requirements, standards and procedures that are established at Union level and that apply to the certification or conformity assessment of specific ICT products, ICT services, ICT processes, managed security services or cyber posture of entities</w:t>
      </w:r>
      <w:r w:rsidR="001A462E" w:rsidRPr="00F37A27">
        <w:rPr>
          <w:noProof/>
        </w:rPr>
        <w:t>;</w:t>
      </w:r>
    </w:p>
    <w:p w14:paraId="2F6446ED" w14:textId="41F200DD" w:rsidR="001A462E" w:rsidRPr="00F37A27" w:rsidRDefault="006D01CD" w:rsidP="006D01CD">
      <w:pPr>
        <w:pStyle w:val="Point0"/>
        <w:rPr>
          <w:noProof/>
        </w:rPr>
      </w:pPr>
      <w:r w:rsidRPr="006D01CD">
        <w:rPr>
          <w:noProof/>
        </w:rPr>
        <w:t>(13)</w:t>
      </w:r>
      <w:r w:rsidRPr="006D01CD">
        <w:rPr>
          <w:noProof/>
        </w:rPr>
        <w:tab/>
      </w:r>
      <w:r w:rsidR="001A462E" w:rsidRPr="00F37A27">
        <w:rPr>
          <w:noProof/>
        </w:rPr>
        <w:t>‘</w:t>
      </w:r>
      <w:r w:rsidR="001A462E" w:rsidRPr="007978E0">
        <w:rPr>
          <w:noProof/>
        </w:rPr>
        <w:t>national cybersecurity certification scheme’ means a comprehensive set of rules, technical requirements, standards and procedures developed and adopted by a national public authority and that apply to the certification or conformity assessment of ICT products, ICT services, ICT processes, managed security services or cyber posture of entities falling under the scope of the specific scheme</w:t>
      </w:r>
      <w:r w:rsidR="001A462E" w:rsidRPr="00F37A27">
        <w:rPr>
          <w:noProof/>
        </w:rPr>
        <w:t>;</w:t>
      </w:r>
    </w:p>
    <w:p w14:paraId="3501BF80" w14:textId="2FB15AB8" w:rsidR="001A462E" w:rsidRPr="00F37A27" w:rsidRDefault="006D01CD" w:rsidP="006D01CD">
      <w:pPr>
        <w:pStyle w:val="Point0"/>
        <w:rPr>
          <w:noProof/>
        </w:rPr>
      </w:pPr>
      <w:r w:rsidRPr="006D01CD">
        <w:rPr>
          <w:noProof/>
        </w:rPr>
        <w:t>(14)</w:t>
      </w:r>
      <w:r w:rsidRPr="006D01CD">
        <w:rPr>
          <w:noProof/>
        </w:rPr>
        <w:tab/>
      </w:r>
      <w:r w:rsidR="001A462E" w:rsidRPr="00F37A27">
        <w:rPr>
          <w:noProof/>
        </w:rPr>
        <w:t>‘</w:t>
      </w:r>
      <w:r w:rsidR="001A462E" w:rsidRPr="007978E0">
        <w:rPr>
          <w:noProof/>
        </w:rPr>
        <w:t>European cybersecurity certificate’ means a document issued by a relevant body, attesting that a given ICT product, ICT service, ICT process</w:t>
      </w:r>
      <w:r w:rsidR="001A462E">
        <w:rPr>
          <w:noProof/>
        </w:rPr>
        <w:t xml:space="preserve"> or</w:t>
      </w:r>
      <w:r w:rsidR="001A462E" w:rsidRPr="007978E0">
        <w:rPr>
          <w:noProof/>
        </w:rPr>
        <w:t xml:space="preserve"> managed security services</w:t>
      </w:r>
      <w:r w:rsidR="001A462E">
        <w:rPr>
          <w:noProof/>
        </w:rPr>
        <w:t>,</w:t>
      </w:r>
      <w:r w:rsidR="001A462E" w:rsidRPr="007978E0">
        <w:rPr>
          <w:noProof/>
        </w:rPr>
        <w:t xml:space="preserve"> or</w:t>
      </w:r>
      <w:r w:rsidR="001A462E">
        <w:rPr>
          <w:noProof/>
        </w:rPr>
        <w:t xml:space="preserve"> the</w:t>
      </w:r>
      <w:r w:rsidR="001A462E" w:rsidRPr="007978E0">
        <w:rPr>
          <w:noProof/>
        </w:rPr>
        <w:t xml:space="preserve"> cyber posture of </w:t>
      </w:r>
      <w:r w:rsidR="001A462E">
        <w:rPr>
          <w:noProof/>
        </w:rPr>
        <w:t xml:space="preserve">an </w:t>
      </w:r>
      <w:r w:rsidR="001A462E" w:rsidRPr="007978E0">
        <w:rPr>
          <w:noProof/>
        </w:rPr>
        <w:t>entit</w:t>
      </w:r>
      <w:r w:rsidR="001A462E">
        <w:rPr>
          <w:noProof/>
        </w:rPr>
        <w:t>y</w:t>
      </w:r>
      <w:r w:rsidR="001A462E" w:rsidRPr="007978E0">
        <w:rPr>
          <w:noProof/>
        </w:rPr>
        <w:t xml:space="preserve"> has been evaluated for compliance with specific security requirements laid down in a European cybersecurity certification scheme</w:t>
      </w:r>
      <w:r w:rsidR="001A462E" w:rsidRPr="00F37A27">
        <w:rPr>
          <w:noProof/>
        </w:rPr>
        <w:t>;</w:t>
      </w:r>
    </w:p>
    <w:p w14:paraId="1F1C5D54" w14:textId="4B19968C" w:rsidR="001A462E" w:rsidRPr="00F37A27" w:rsidRDefault="006D01CD" w:rsidP="006D01CD">
      <w:pPr>
        <w:pStyle w:val="Point0"/>
        <w:rPr>
          <w:noProof/>
        </w:rPr>
      </w:pPr>
      <w:r w:rsidRPr="006D01CD">
        <w:rPr>
          <w:noProof/>
        </w:rPr>
        <w:t>(15)</w:t>
      </w:r>
      <w:r w:rsidRPr="006D01CD">
        <w:rPr>
          <w:noProof/>
        </w:rPr>
        <w:tab/>
      </w:r>
      <w:r w:rsidR="001A462E" w:rsidRPr="00F37A27">
        <w:rPr>
          <w:noProof/>
        </w:rPr>
        <w:t>‘</w:t>
      </w:r>
      <w:r w:rsidR="001A462E" w:rsidRPr="007978E0">
        <w:rPr>
          <w:noProof/>
        </w:rPr>
        <w:t>E</w:t>
      </w:r>
      <w:r w:rsidR="001A462E">
        <w:rPr>
          <w:noProof/>
        </w:rPr>
        <w:t>U statement of conformity</w:t>
      </w:r>
      <w:r w:rsidR="001A462E" w:rsidRPr="007978E0">
        <w:rPr>
          <w:noProof/>
        </w:rPr>
        <w:t xml:space="preserve">’ means a document issued by a </w:t>
      </w:r>
      <w:r w:rsidR="001A462E" w:rsidRPr="000B1D92">
        <w:rPr>
          <w:noProof/>
          <w:lang w:eastAsia="en-IE"/>
        </w:rPr>
        <w:t>manufacturer or provider of ICT products, ICT services, ICT processes, managed security services or the entity the cyber posture</w:t>
      </w:r>
      <w:r w:rsidR="001A462E">
        <w:rPr>
          <w:noProof/>
          <w:lang w:eastAsia="en-IE"/>
        </w:rPr>
        <w:t xml:space="preserve"> of which is subject to certification</w:t>
      </w:r>
      <w:r w:rsidR="001A462E" w:rsidRPr="007978E0">
        <w:rPr>
          <w:noProof/>
        </w:rPr>
        <w:t xml:space="preserve">, </w:t>
      </w:r>
      <w:r w:rsidR="001A462E">
        <w:rPr>
          <w:noProof/>
        </w:rPr>
        <w:t xml:space="preserve">stating </w:t>
      </w:r>
      <w:r w:rsidR="001A462E" w:rsidRPr="007978E0">
        <w:rPr>
          <w:noProof/>
        </w:rPr>
        <w:t xml:space="preserve">that </w:t>
      </w:r>
      <w:r w:rsidR="001A462E">
        <w:rPr>
          <w:noProof/>
        </w:rPr>
        <w:t>the</w:t>
      </w:r>
      <w:r w:rsidR="001A462E" w:rsidRPr="007978E0">
        <w:rPr>
          <w:noProof/>
        </w:rPr>
        <w:t xml:space="preserve"> </w:t>
      </w:r>
      <w:r w:rsidR="001A462E" w:rsidRPr="000B1D92">
        <w:rPr>
          <w:noProof/>
          <w:lang w:eastAsia="en-IE"/>
        </w:rPr>
        <w:t>fulfilment</w:t>
      </w:r>
      <w:r w:rsidR="001A462E" w:rsidRPr="007978E0">
        <w:rPr>
          <w:noProof/>
        </w:rPr>
        <w:t xml:space="preserve"> of </w:t>
      </w:r>
      <w:r w:rsidR="001A462E" w:rsidRPr="000B1D92">
        <w:rPr>
          <w:noProof/>
          <w:lang w:eastAsia="en-IE"/>
        </w:rPr>
        <w:t>the</w:t>
      </w:r>
      <w:r w:rsidR="001A462E" w:rsidRPr="007978E0">
        <w:rPr>
          <w:noProof/>
        </w:rPr>
        <w:t xml:space="preserve"> requirements </w:t>
      </w:r>
      <w:r w:rsidR="001A462E" w:rsidRPr="000B1D92">
        <w:rPr>
          <w:noProof/>
          <w:lang w:eastAsia="en-IE"/>
        </w:rPr>
        <w:t>corresponding to assurance level “basic”</w:t>
      </w:r>
      <w:r w:rsidR="001A462E">
        <w:rPr>
          <w:noProof/>
          <w:lang w:eastAsia="en-IE"/>
        </w:rPr>
        <w:t>, laid down</w:t>
      </w:r>
      <w:r w:rsidR="001A462E" w:rsidRPr="007978E0">
        <w:rPr>
          <w:noProof/>
        </w:rPr>
        <w:t xml:space="preserve"> in </w:t>
      </w:r>
      <w:r w:rsidR="001A462E" w:rsidRPr="000B1D92">
        <w:rPr>
          <w:noProof/>
          <w:lang w:eastAsia="en-IE"/>
        </w:rPr>
        <w:t>the</w:t>
      </w:r>
      <w:r w:rsidR="001A462E" w:rsidRPr="007978E0">
        <w:rPr>
          <w:noProof/>
        </w:rPr>
        <w:t xml:space="preserve"> European cybersecurity certification scheme</w:t>
      </w:r>
      <w:r w:rsidR="001A462E">
        <w:rPr>
          <w:noProof/>
        </w:rPr>
        <w:t>,</w:t>
      </w:r>
      <w:r w:rsidR="001A462E" w:rsidRPr="000B1D92">
        <w:rPr>
          <w:noProof/>
          <w:lang w:eastAsia="en-IE"/>
        </w:rPr>
        <w:t xml:space="preserve"> has been demonstrated</w:t>
      </w:r>
      <w:r w:rsidR="001A462E">
        <w:rPr>
          <w:noProof/>
          <w:lang w:eastAsia="en-IE"/>
        </w:rPr>
        <w:t xml:space="preserve"> through conformity self-assessment</w:t>
      </w:r>
      <w:r w:rsidR="001A462E" w:rsidRPr="00F37A27">
        <w:rPr>
          <w:noProof/>
        </w:rPr>
        <w:t>;</w:t>
      </w:r>
    </w:p>
    <w:p w14:paraId="1E353277" w14:textId="309123DD" w:rsidR="001A462E" w:rsidRPr="00F37A27" w:rsidRDefault="006D01CD" w:rsidP="006D01CD">
      <w:pPr>
        <w:pStyle w:val="Point0"/>
        <w:rPr>
          <w:noProof/>
        </w:rPr>
      </w:pPr>
      <w:r w:rsidRPr="006D01CD">
        <w:rPr>
          <w:noProof/>
        </w:rPr>
        <w:t>(16)</w:t>
      </w:r>
      <w:r w:rsidRPr="006D01CD">
        <w:rPr>
          <w:noProof/>
        </w:rPr>
        <w:tab/>
      </w:r>
      <w:r w:rsidR="001A462E" w:rsidRPr="00F37A27">
        <w:rPr>
          <w:noProof/>
        </w:rPr>
        <w:t>‘</w:t>
      </w:r>
      <w:r w:rsidR="001A462E" w:rsidRPr="007978E0">
        <w:rPr>
          <w:noProof/>
        </w:rPr>
        <w:t>ICT product’ means an element or a group of elements of a network or information system</w:t>
      </w:r>
      <w:r w:rsidR="001A462E" w:rsidRPr="00F37A27">
        <w:rPr>
          <w:noProof/>
        </w:rPr>
        <w:t>;</w:t>
      </w:r>
    </w:p>
    <w:p w14:paraId="79DDB5A0" w14:textId="37E6E94E" w:rsidR="001A462E" w:rsidRPr="00F37A27" w:rsidRDefault="006D01CD" w:rsidP="006D01CD">
      <w:pPr>
        <w:pStyle w:val="Point0"/>
        <w:rPr>
          <w:noProof/>
        </w:rPr>
      </w:pPr>
      <w:r w:rsidRPr="006D01CD">
        <w:rPr>
          <w:noProof/>
        </w:rPr>
        <w:t>(17)</w:t>
      </w:r>
      <w:r w:rsidRPr="006D01CD">
        <w:rPr>
          <w:noProof/>
        </w:rPr>
        <w:tab/>
      </w:r>
      <w:r w:rsidR="001A462E" w:rsidRPr="00F37A27">
        <w:rPr>
          <w:noProof/>
        </w:rPr>
        <w:t>‘</w:t>
      </w:r>
      <w:r w:rsidR="001A462E" w:rsidRPr="00EB7484">
        <w:rPr>
          <w:noProof/>
        </w:rPr>
        <w:t>ICT service’ means a service consisting fully or mainly in the transmission, storing, retrieving or processing of information by means of network and information systems</w:t>
      </w:r>
      <w:r w:rsidR="001A462E" w:rsidRPr="00F37A27">
        <w:rPr>
          <w:noProof/>
        </w:rPr>
        <w:t>;</w:t>
      </w:r>
    </w:p>
    <w:p w14:paraId="498DB662" w14:textId="43C000AE" w:rsidR="001A462E" w:rsidRPr="00F37A27" w:rsidRDefault="006D01CD" w:rsidP="006D01CD">
      <w:pPr>
        <w:pStyle w:val="Point0"/>
        <w:rPr>
          <w:noProof/>
        </w:rPr>
      </w:pPr>
      <w:r w:rsidRPr="006D01CD">
        <w:rPr>
          <w:noProof/>
        </w:rPr>
        <w:t>(18)</w:t>
      </w:r>
      <w:r w:rsidRPr="006D01CD">
        <w:rPr>
          <w:noProof/>
        </w:rPr>
        <w:tab/>
      </w:r>
      <w:r w:rsidR="001A462E" w:rsidRPr="00F37A27">
        <w:rPr>
          <w:noProof/>
        </w:rPr>
        <w:t>‘</w:t>
      </w:r>
      <w:r w:rsidR="001A462E" w:rsidRPr="00EB7484">
        <w:rPr>
          <w:noProof/>
        </w:rPr>
        <w:t>ICT process’ means a set of activities performed to design, develop, deliver or maintain an ICT product or ICT service</w:t>
      </w:r>
      <w:r w:rsidR="001A462E" w:rsidRPr="00F37A27">
        <w:rPr>
          <w:noProof/>
        </w:rPr>
        <w:t>;</w:t>
      </w:r>
    </w:p>
    <w:p w14:paraId="5C9A9FCC" w14:textId="39DCDB0F" w:rsidR="001A462E" w:rsidRPr="00F37A27" w:rsidRDefault="006D01CD" w:rsidP="006D01CD">
      <w:pPr>
        <w:pStyle w:val="Point0"/>
        <w:rPr>
          <w:noProof/>
        </w:rPr>
      </w:pPr>
      <w:r w:rsidRPr="006D01CD">
        <w:rPr>
          <w:noProof/>
        </w:rPr>
        <w:t>(19)</w:t>
      </w:r>
      <w:r w:rsidRPr="006D01CD">
        <w:rPr>
          <w:noProof/>
        </w:rPr>
        <w:tab/>
      </w:r>
      <w:r w:rsidR="001A462E" w:rsidRPr="00F37A27">
        <w:rPr>
          <w:noProof/>
        </w:rPr>
        <w:t>‘</w:t>
      </w:r>
      <w:r w:rsidR="001A462E" w:rsidRPr="00A67963">
        <w:rPr>
          <w:noProof/>
        </w:rPr>
        <w:t>managed security service’ means a service provided to a third party consisting of carrying out, or providing assistance for, activities relating to cybersecurity risk management, such as incident handling, penetration testing, security audits and consulting, including expert advice</w:t>
      </w:r>
      <w:r w:rsidR="001A462E">
        <w:rPr>
          <w:noProof/>
        </w:rPr>
        <w:t xml:space="preserve"> </w:t>
      </w:r>
      <w:r w:rsidR="001A462E" w:rsidRPr="00A67963">
        <w:rPr>
          <w:noProof/>
        </w:rPr>
        <w:t>related to technical support</w:t>
      </w:r>
      <w:r w:rsidR="001A462E" w:rsidRPr="00F37A27">
        <w:rPr>
          <w:noProof/>
        </w:rPr>
        <w:t>;</w:t>
      </w:r>
    </w:p>
    <w:p w14:paraId="32F138EA" w14:textId="23A2DBF4" w:rsidR="001A462E" w:rsidRPr="00F37A27" w:rsidRDefault="006D01CD" w:rsidP="006D01CD">
      <w:pPr>
        <w:pStyle w:val="Point0"/>
        <w:rPr>
          <w:noProof/>
        </w:rPr>
      </w:pPr>
      <w:r w:rsidRPr="006D01CD">
        <w:rPr>
          <w:noProof/>
        </w:rPr>
        <w:t>(20)</w:t>
      </w:r>
      <w:r w:rsidRPr="006D01CD">
        <w:rPr>
          <w:noProof/>
        </w:rPr>
        <w:tab/>
      </w:r>
      <w:r w:rsidR="001A462E" w:rsidRPr="00F37A27">
        <w:rPr>
          <w:noProof/>
        </w:rPr>
        <w:t>‘</w:t>
      </w:r>
      <w:r w:rsidR="001A462E" w:rsidRPr="00A67963">
        <w:rPr>
          <w:noProof/>
        </w:rPr>
        <w:t>accreditation’ means accreditation as defined in Article 2</w:t>
      </w:r>
      <w:r w:rsidR="001A462E">
        <w:rPr>
          <w:noProof/>
        </w:rPr>
        <w:t>,</w:t>
      </w:r>
      <w:r w:rsidR="001A462E" w:rsidRPr="00A67963">
        <w:rPr>
          <w:noProof/>
        </w:rPr>
        <w:t xml:space="preserve"> point (10)</w:t>
      </w:r>
      <w:r w:rsidR="001A462E">
        <w:rPr>
          <w:noProof/>
        </w:rPr>
        <w:t>,</w:t>
      </w:r>
      <w:r w:rsidR="001A462E" w:rsidRPr="00A67963">
        <w:rPr>
          <w:noProof/>
        </w:rPr>
        <w:t xml:space="preserve"> of Regulation (EC) No 765/2008</w:t>
      </w:r>
      <w:r w:rsidR="001A462E" w:rsidRPr="00F37A27">
        <w:rPr>
          <w:noProof/>
        </w:rPr>
        <w:t>;</w:t>
      </w:r>
    </w:p>
    <w:p w14:paraId="6B2140BF" w14:textId="2E378981" w:rsidR="001A462E" w:rsidRPr="00F37A27" w:rsidRDefault="006D01CD" w:rsidP="006D01CD">
      <w:pPr>
        <w:pStyle w:val="Point0"/>
        <w:rPr>
          <w:noProof/>
        </w:rPr>
      </w:pPr>
      <w:r w:rsidRPr="006D01CD">
        <w:rPr>
          <w:noProof/>
        </w:rPr>
        <w:t>(21)</w:t>
      </w:r>
      <w:r w:rsidRPr="006D01CD">
        <w:rPr>
          <w:noProof/>
        </w:rPr>
        <w:tab/>
      </w:r>
      <w:r w:rsidR="001A462E" w:rsidRPr="00F37A27">
        <w:rPr>
          <w:noProof/>
        </w:rPr>
        <w:t>‘</w:t>
      </w:r>
      <w:r w:rsidR="001A462E" w:rsidRPr="00A67963">
        <w:rPr>
          <w:noProof/>
        </w:rPr>
        <w:t>national accreditation body’ means a national accreditation body as defined in Article 2</w:t>
      </w:r>
      <w:r w:rsidR="001A462E">
        <w:rPr>
          <w:noProof/>
        </w:rPr>
        <w:t>,</w:t>
      </w:r>
      <w:r w:rsidR="001A462E" w:rsidRPr="00A67963">
        <w:rPr>
          <w:noProof/>
        </w:rPr>
        <w:t xml:space="preserve"> point (11)</w:t>
      </w:r>
      <w:r w:rsidR="001A462E">
        <w:rPr>
          <w:noProof/>
        </w:rPr>
        <w:t>,</w:t>
      </w:r>
      <w:r w:rsidR="001A462E" w:rsidRPr="00A67963">
        <w:rPr>
          <w:noProof/>
        </w:rPr>
        <w:t xml:space="preserve"> of Regulation (EC) No 765/2008</w:t>
      </w:r>
      <w:r w:rsidR="001A462E" w:rsidRPr="00F37A27">
        <w:rPr>
          <w:noProof/>
        </w:rPr>
        <w:t>;</w:t>
      </w:r>
    </w:p>
    <w:p w14:paraId="75BDD41F" w14:textId="21D61D87" w:rsidR="001A462E" w:rsidRPr="00F37A27" w:rsidRDefault="006D01CD" w:rsidP="006D01CD">
      <w:pPr>
        <w:pStyle w:val="Point0"/>
        <w:rPr>
          <w:noProof/>
        </w:rPr>
      </w:pPr>
      <w:r w:rsidRPr="006D01CD">
        <w:rPr>
          <w:noProof/>
        </w:rPr>
        <w:t>(22)</w:t>
      </w:r>
      <w:r w:rsidRPr="006D01CD">
        <w:rPr>
          <w:noProof/>
        </w:rPr>
        <w:tab/>
      </w:r>
      <w:r w:rsidR="001A462E" w:rsidRPr="00F37A27">
        <w:rPr>
          <w:noProof/>
        </w:rPr>
        <w:t>‘</w:t>
      </w:r>
      <w:r w:rsidR="001A462E" w:rsidRPr="00A67963">
        <w:rPr>
          <w:noProof/>
        </w:rPr>
        <w:t>conformity assessment’ means a conformity assessment as defined in Article 2</w:t>
      </w:r>
      <w:r w:rsidR="001A462E">
        <w:rPr>
          <w:noProof/>
        </w:rPr>
        <w:t>,</w:t>
      </w:r>
      <w:r w:rsidR="001A462E" w:rsidRPr="00A67963">
        <w:rPr>
          <w:noProof/>
        </w:rPr>
        <w:t xml:space="preserve"> point (12)</w:t>
      </w:r>
      <w:r w:rsidR="001A462E">
        <w:rPr>
          <w:noProof/>
        </w:rPr>
        <w:t>,</w:t>
      </w:r>
      <w:r w:rsidR="001A462E" w:rsidRPr="00A67963">
        <w:rPr>
          <w:noProof/>
        </w:rPr>
        <w:t xml:space="preserve"> of Regulation (EC) No 765/2008</w:t>
      </w:r>
      <w:r w:rsidR="001A462E" w:rsidRPr="00F37A27">
        <w:rPr>
          <w:noProof/>
        </w:rPr>
        <w:t>;</w:t>
      </w:r>
    </w:p>
    <w:p w14:paraId="0E7FA978" w14:textId="68084F46" w:rsidR="001A462E" w:rsidRPr="00F37A27" w:rsidRDefault="006D01CD" w:rsidP="006D01CD">
      <w:pPr>
        <w:pStyle w:val="Point0"/>
        <w:rPr>
          <w:noProof/>
        </w:rPr>
      </w:pPr>
      <w:r w:rsidRPr="006D01CD">
        <w:rPr>
          <w:noProof/>
        </w:rPr>
        <w:t>(23)</w:t>
      </w:r>
      <w:r w:rsidRPr="006D01CD">
        <w:rPr>
          <w:noProof/>
        </w:rPr>
        <w:tab/>
      </w:r>
      <w:r w:rsidR="001A462E" w:rsidRPr="00F37A27">
        <w:rPr>
          <w:noProof/>
        </w:rPr>
        <w:t>‘</w:t>
      </w:r>
      <w:r w:rsidR="001A462E" w:rsidRPr="00A67963">
        <w:rPr>
          <w:noProof/>
        </w:rPr>
        <w:t>conformity assessment body’ means a conformity assessment body as defined in Article 2</w:t>
      </w:r>
      <w:r w:rsidR="001A462E">
        <w:rPr>
          <w:noProof/>
        </w:rPr>
        <w:t>,</w:t>
      </w:r>
      <w:r w:rsidR="001A462E" w:rsidRPr="00A67963">
        <w:rPr>
          <w:noProof/>
        </w:rPr>
        <w:t xml:space="preserve"> point (13)</w:t>
      </w:r>
      <w:r w:rsidR="001A462E">
        <w:rPr>
          <w:noProof/>
        </w:rPr>
        <w:t>,</w:t>
      </w:r>
      <w:r w:rsidR="001A462E" w:rsidRPr="00A67963">
        <w:rPr>
          <w:noProof/>
        </w:rPr>
        <w:t xml:space="preserve"> of Regulation (EC) No 765/2008</w:t>
      </w:r>
      <w:r w:rsidR="001A462E" w:rsidRPr="00F37A27">
        <w:rPr>
          <w:noProof/>
        </w:rPr>
        <w:t>;</w:t>
      </w:r>
    </w:p>
    <w:p w14:paraId="52950BFA" w14:textId="3A8DABE5" w:rsidR="001A462E" w:rsidRPr="00F37A27" w:rsidRDefault="006D01CD" w:rsidP="006D01CD">
      <w:pPr>
        <w:pStyle w:val="Point0"/>
        <w:rPr>
          <w:noProof/>
        </w:rPr>
      </w:pPr>
      <w:r w:rsidRPr="006D01CD">
        <w:rPr>
          <w:noProof/>
        </w:rPr>
        <w:t>(24)</w:t>
      </w:r>
      <w:r w:rsidRPr="006D01CD">
        <w:rPr>
          <w:noProof/>
        </w:rPr>
        <w:tab/>
      </w:r>
      <w:r w:rsidR="001A462E" w:rsidRPr="00F37A27">
        <w:rPr>
          <w:noProof/>
        </w:rPr>
        <w:t>‘</w:t>
      </w:r>
      <w:r w:rsidR="001A462E" w:rsidRPr="00A67963">
        <w:rPr>
          <w:noProof/>
        </w:rPr>
        <w:t>standard’ means a standard as defined in Article 2</w:t>
      </w:r>
      <w:r w:rsidR="001A462E">
        <w:rPr>
          <w:noProof/>
        </w:rPr>
        <w:t>,</w:t>
      </w:r>
      <w:r w:rsidR="001A462E" w:rsidRPr="00A67963">
        <w:rPr>
          <w:noProof/>
        </w:rPr>
        <w:t xml:space="preserve"> point (1)</w:t>
      </w:r>
      <w:r w:rsidR="001A462E">
        <w:rPr>
          <w:noProof/>
        </w:rPr>
        <w:t>,</w:t>
      </w:r>
      <w:r w:rsidR="001A462E" w:rsidRPr="00A67963">
        <w:rPr>
          <w:noProof/>
        </w:rPr>
        <w:t xml:space="preserve"> of Regulation (EU) No 1025/2012</w:t>
      </w:r>
      <w:r w:rsidR="001A462E">
        <w:rPr>
          <w:noProof/>
        </w:rPr>
        <w:t xml:space="preserve"> </w:t>
      </w:r>
      <w:r w:rsidR="001A462E" w:rsidRPr="00CB1168">
        <w:rPr>
          <w:noProof/>
        </w:rPr>
        <w:t>of the European Parliament and of the Council</w:t>
      </w:r>
      <w:r w:rsidR="001A462E">
        <w:rPr>
          <w:rStyle w:val="FootnoteReference"/>
          <w:noProof/>
        </w:rPr>
        <w:footnoteReference w:id="72"/>
      </w:r>
      <w:r w:rsidR="001A462E" w:rsidRPr="00F37A27">
        <w:rPr>
          <w:noProof/>
        </w:rPr>
        <w:t>;</w:t>
      </w:r>
    </w:p>
    <w:p w14:paraId="3AF9562E" w14:textId="1A409480" w:rsidR="001A462E" w:rsidRPr="00F37A27" w:rsidRDefault="006D01CD" w:rsidP="006D01CD">
      <w:pPr>
        <w:pStyle w:val="Point0"/>
        <w:rPr>
          <w:noProof/>
        </w:rPr>
      </w:pPr>
      <w:r w:rsidRPr="006D01CD">
        <w:rPr>
          <w:noProof/>
        </w:rPr>
        <w:t>(25)</w:t>
      </w:r>
      <w:r w:rsidRPr="006D01CD">
        <w:rPr>
          <w:noProof/>
        </w:rPr>
        <w:tab/>
      </w:r>
      <w:r w:rsidR="001A462E" w:rsidRPr="00F37A27">
        <w:rPr>
          <w:noProof/>
        </w:rPr>
        <w:t>‘</w:t>
      </w:r>
      <w:r w:rsidR="001A462E" w:rsidRPr="00A67963">
        <w:rPr>
          <w:noProof/>
        </w:rPr>
        <w:t>technical specification’ means a technical specification as defined in Article 2</w:t>
      </w:r>
      <w:r w:rsidR="001A462E">
        <w:rPr>
          <w:noProof/>
        </w:rPr>
        <w:t>,</w:t>
      </w:r>
      <w:r w:rsidR="001A462E" w:rsidRPr="00A67963">
        <w:rPr>
          <w:noProof/>
        </w:rPr>
        <w:t xml:space="preserve"> point (4)</w:t>
      </w:r>
      <w:r w:rsidR="001A462E">
        <w:rPr>
          <w:noProof/>
        </w:rPr>
        <w:t>,</w:t>
      </w:r>
      <w:r w:rsidR="001A462E" w:rsidRPr="00A67963">
        <w:rPr>
          <w:noProof/>
        </w:rPr>
        <w:t xml:space="preserve"> of Regulation (EU) No 1025/2012</w:t>
      </w:r>
      <w:r w:rsidR="001A462E" w:rsidRPr="00F37A27">
        <w:rPr>
          <w:noProof/>
        </w:rPr>
        <w:t>;</w:t>
      </w:r>
    </w:p>
    <w:p w14:paraId="0A6BECD2" w14:textId="3D199A48" w:rsidR="001A462E" w:rsidRPr="00165BC7" w:rsidRDefault="006D01CD" w:rsidP="006D01CD">
      <w:pPr>
        <w:pStyle w:val="Point0"/>
        <w:rPr>
          <w:noProof/>
        </w:rPr>
      </w:pPr>
      <w:r w:rsidRPr="006D01CD">
        <w:rPr>
          <w:noProof/>
        </w:rPr>
        <w:t>(26)</w:t>
      </w:r>
      <w:r w:rsidRPr="006D01CD">
        <w:rPr>
          <w:noProof/>
        </w:rPr>
        <w:tab/>
      </w:r>
      <w:r w:rsidR="001A462E">
        <w:rPr>
          <w:noProof/>
        </w:rPr>
        <w:t>‘</w:t>
      </w:r>
      <w:r w:rsidR="001A462E" w:rsidRPr="00A67963">
        <w:rPr>
          <w:noProof/>
        </w:rPr>
        <w:t>harmonised standard’ means a harmonised standard as defined in Article 2</w:t>
      </w:r>
      <w:r w:rsidR="001A462E">
        <w:rPr>
          <w:noProof/>
        </w:rPr>
        <w:t>,</w:t>
      </w:r>
      <w:r w:rsidR="001A462E" w:rsidRPr="00A67963">
        <w:rPr>
          <w:noProof/>
        </w:rPr>
        <w:t xml:space="preserve"> point (1) (c)</w:t>
      </w:r>
      <w:r w:rsidR="001A462E">
        <w:rPr>
          <w:noProof/>
        </w:rPr>
        <w:t>,</w:t>
      </w:r>
      <w:r w:rsidR="001A462E" w:rsidRPr="00A67963">
        <w:rPr>
          <w:noProof/>
        </w:rPr>
        <w:t xml:space="preserve"> of Regulation (EU) No 1025/2012</w:t>
      </w:r>
      <w:r w:rsidR="001A462E" w:rsidRPr="00A10BD0">
        <w:rPr>
          <w:noProof/>
          <w:color w:val="000000"/>
        </w:rPr>
        <w:t>;</w:t>
      </w:r>
    </w:p>
    <w:p w14:paraId="6968DA0D" w14:textId="183B7C3B" w:rsidR="001A462E" w:rsidRPr="00F37A27" w:rsidRDefault="006D01CD" w:rsidP="006D01CD">
      <w:pPr>
        <w:pStyle w:val="Point0"/>
        <w:rPr>
          <w:noProof/>
        </w:rPr>
      </w:pPr>
      <w:r w:rsidRPr="006D01CD">
        <w:rPr>
          <w:noProof/>
        </w:rPr>
        <w:t>(27)</w:t>
      </w:r>
      <w:r w:rsidRPr="006D01CD">
        <w:rPr>
          <w:noProof/>
        </w:rPr>
        <w:tab/>
      </w:r>
      <w:r w:rsidR="001A462E" w:rsidRPr="00F37A27">
        <w:rPr>
          <w:noProof/>
        </w:rPr>
        <w:t>‘</w:t>
      </w:r>
      <w:r w:rsidR="001A462E" w:rsidRPr="00A67963">
        <w:rPr>
          <w:noProof/>
        </w:rPr>
        <w:t>assurance level’ means a basis for confidence that an ICT product, ICT service, ICT process</w:t>
      </w:r>
      <w:r w:rsidR="001A462E">
        <w:rPr>
          <w:noProof/>
        </w:rPr>
        <w:t>,</w:t>
      </w:r>
      <w:r w:rsidR="001A462E" w:rsidRPr="00A67963">
        <w:rPr>
          <w:noProof/>
        </w:rPr>
        <w:t xml:space="preserve"> managed security service</w:t>
      </w:r>
      <w:r w:rsidR="001A462E">
        <w:rPr>
          <w:noProof/>
        </w:rPr>
        <w:t xml:space="preserve"> or the cyber posture of an entity</w:t>
      </w:r>
      <w:r w:rsidR="001A462E" w:rsidRPr="00A67963">
        <w:rPr>
          <w:noProof/>
        </w:rPr>
        <w:t xml:space="preserve"> meets the security requirements of a specific European cybersecurity certification scheme, and indicates the level at which an ICT product, ICT service, ICT process, managed security service or cyber posture of entity has been evaluated but as such does not measure the security of the ICT product, ICT service, ICT process, managed security service or cyber posture of entity concerned</w:t>
      </w:r>
      <w:r w:rsidR="001A462E" w:rsidRPr="00F37A27">
        <w:rPr>
          <w:noProof/>
        </w:rPr>
        <w:t>;</w:t>
      </w:r>
    </w:p>
    <w:p w14:paraId="7682138A" w14:textId="090ECF83" w:rsidR="001A462E" w:rsidRPr="00F37A27" w:rsidRDefault="006D01CD" w:rsidP="006D01CD">
      <w:pPr>
        <w:pStyle w:val="Point0"/>
        <w:rPr>
          <w:noProof/>
        </w:rPr>
      </w:pPr>
      <w:r w:rsidRPr="006D01CD">
        <w:rPr>
          <w:noProof/>
        </w:rPr>
        <w:t>(28)</w:t>
      </w:r>
      <w:r w:rsidRPr="006D01CD">
        <w:rPr>
          <w:noProof/>
        </w:rPr>
        <w:tab/>
      </w:r>
      <w:r w:rsidR="001A462E" w:rsidRPr="00F37A27">
        <w:rPr>
          <w:noProof/>
        </w:rPr>
        <w:t>‘</w:t>
      </w:r>
      <w:r w:rsidR="001A462E" w:rsidRPr="00A67963">
        <w:rPr>
          <w:noProof/>
        </w:rPr>
        <w:t xml:space="preserve">conformity self-assessment’ means an action carried out by a manufacturer or provider of ICT products, ICT services, ICT processes, managed security services or </w:t>
      </w:r>
      <w:r w:rsidR="001A462E" w:rsidRPr="000B1D92">
        <w:rPr>
          <w:noProof/>
          <w:lang w:eastAsia="en-IE"/>
        </w:rPr>
        <w:t>the entity the cyber posture</w:t>
      </w:r>
      <w:r w:rsidR="001A462E">
        <w:rPr>
          <w:noProof/>
          <w:lang w:eastAsia="en-IE"/>
        </w:rPr>
        <w:t xml:space="preserve"> of which is subject to certification</w:t>
      </w:r>
      <w:r w:rsidR="001A462E" w:rsidRPr="00A67963">
        <w:rPr>
          <w:noProof/>
        </w:rPr>
        <w:t>, which evaluates whether those ICT products, ICT services, ICT processes, managed security services or cyber posture of entities meet the requirements of a specific European cybersecurity certification scheme</w:t>
      </w:r>
      <w:r w:rsidR="001A462E" w:rsidRPr="00F37A27">
        <w:rPr>
          <w:noProof/>
        </w:rPr>
        <w:t>;</w:t>
      </w:r>
    </w:p>
    <w:p w14:paraId="773487C5" w14:textId="1A389DEA" w:rsidR="001A462E" w:rsidRPr="00F37A27" w:rsidRDefault="006D01CD" w:rsidP="006D01CD">
      <w:pPr>
        <w:pStyle w:val="Point0"/>
        <w:rPr>
          <w:noProof/>
        </w:rPr>
      </w:pPr>
      <w:r w:rsidRPr="006D01CD">
        <w:rPr>
          <w:noProof/>
        </w:rPr>
        <w:t>(29)</w:t>
      </w:r>
      <w:r w:rsidRPr="006D01CD">
        <w:rPr>
          <w:noProof/>
        </w:rPr>
        <w:tab/>
      </w:r>
      <w:r w:rsidR="001A462E" w:rsidRPr="00F37A27">
        <w:rPr>
          <w:noProof/>
        </w:rPr>
        <w:t>‘</w:t>
      </w:r>
      <w:r w:rsidR="001A462E" w:rsidRPr="00667D31">
        <w:rPr>
          <w:noProof/>
        </w:rPr>
        <w:t>cyber</w:t>
      </w:r>
      <w:r w:rsidR="001A462E" w:rsidRPr="0081768D">
        <w:rPr>
          <w:noProof/>
        </w:rPr>
        <w:t xml:space="preserve"> posture of entities’ means entit</w:t>
      </w:r>
      <w:r w:rsidR="001A462E">
        <w:rPr>
          <w:noProof/>
        </w:rPr>
        <w:t>ies’</w:t>
      </w:r>
      <w:r w:rsidR="001A462E" w:rsidRPr="0081768D">
        <w:rPr>
          <w:noProof/>
        </w:rPr>
        <w:t xml:space="preserve"> level of cybersecurity </w:t>
      </w:r>
      <w:r w:rsidR="001A462E" w:rsidRPr="00334B39">
        <w:rPr>
          <w:noProof/>
        </w:rPr>
        <w:t xml:space="preserve">with </w:t>
      </w:r>
      <w:r w:rsidR="001A462E">
        <w:rPr>
          <w:noProof/>
        </w:rPr>
        <w:t>respect to the specific</w:t>
      </w:r>
      <w:r w:rsidR="001A462E" w:rsidRPr="00334B39">
        <w:rPr>
          <w:noProof/>
        </w:rPr>
        <w:t xml:space="preserve"> security requirements</w:t>
      </w:r>
      <w:r w:rsidR="001A462E" w:rsidRPr="00F37A27">
        <w:rPr>
          <w:noProof/>
        </w:rPr>
        <w:t>;</w:t>
      </w:r>
    </w:p>
    <w:p w14:paraId="35498D79" w14:textId="55402E2F" w:rsidR="001A462E" w:rsidRPr="00165BC7" w:rsidRDefault="006D01CD" w:rsidP="006D01CD">
      <w:pPr>
        <w:pStyle w:val="Point0"/>
        <w:rPr>
          <w:noProof/>
        </w:rPr>
      </w:pPr>
      <w:r w:rsidRPr="006D01CD">
        <w:rPr>
          <w:noProof/>
        </w:rPr>
        <w:t>(30)</w:t>
      </w:r>
      <w:r w:rsidRPr="006D01CD">
        <w:rPr>
          <w:noProof/>
        </w:rPr>
        <w:tab/>
      </w:r>
      <w:r w:rsidR="001A462E" w:rsidRPr="001714C1">
        <w:rPr>
          <w:noProof/>
        </w:rPr>
        <w:t>‘</w:t>
      </w:r>
      <w:r w:rsidR="001A462E" w:rsidRPr="00A67963">
        <w:rPr>
          <w:noProof/>
        </w:rPr>
        <w:t xml:space="preserve">prior approval model’ means </w:t>
      </w:r>
      <w:r w:rsidR="001A462E">
        <w:rPr>
          <w:noProof/>
        </w:rPr>
        <w:t>a</w:t>
      </w:r>
      <w:r w:rsidR="001A462E" w:rsidRPr="00A67963">
        <w:rPr>
          <w:noProof/>
        </w:rPr>
        <w:t xml:space="preserve"> model whereby </w:t>
      </w:r>
      <w:r w:rsidR="001A462E">
        <w:rPr>
          <w:noProof/>
        </w:rPr>
        <w:t>a</w:t>
      </w:r>
      <w:r w:rsidR="001A462E" w:rsidRPr="00A67963">
        <w:rPr>
          <w:noProof/>
        </w:rPr>
        <w:t xml:space="preserve"> conformity assessment body may issue a European cybersecurity certificate based on the assessment by a national cybersecurity certification authority </w:t>
      </w:r>
      <w:r w:rsidR="001A462E">
        <w:rPr>
          <w:noProof/>
        </w:rPr>
        <w:t xml:space="preserve">in the context of a specific </w:t>
      </w:r>
      <w:r w:rsidR="001A462E" w:rsidRPr="00A67963">
        <w:rPr>
          <w:noProof/>
        </w:rPr>
        <w:t>certification process</w:t>
      </w:r>
      <w:r w:rsidR="001A462E">
        <w:rPr>
          <w:noProof/>
        </w:rPr>
        <w:t xml:space="preserve"> under a relevant scheme;</w:t>
      </w:r>
    </w:p>
    <w:p w14:paraId="61C52D00" w14:textId="23B0EB50" w:rsidR="001A462E" w:rsidRPr="00A67963" w:rsidRDefault="006D01CD" w:rsidP="006D01CD">
      <w:pPr>
        <w:pStyle w:val="Point0"/>
        <w:rPr>
          <w:noProof/>
        </w:rPr>
      </w:pPr>
      <w:r w:rsidRPr="006D01CD">
        <w:rPr>
          <w:noProof/>
        </w:rPr>
        <w:t>(31)</w:t>
      </w:r>
      <w:r w:rsidRPr="006D01CD">
        <w:rPr>
          <w:noProof/>
        </w:rPr>
        <w:tab/>
      </w:r>
      <w:r w:rsidR="001A462E" w:rsidRPr="00F37A27">
        <w:rPr>
          <w:noProof/>
        </w:rPr>
        <w:t>‘</w:t>
      </w:r>
      <w:r w:rsidR="001A462E" w:rsidRPr="005012F5">
        <w:rPr>
          <w:noProof/>
        </w:rPr>
        <w:t xml:space="preserve">general </w:t>
      </w:r>
      <w:r w:rsidR="001A462E">
        <w:rPr>
          <w:noProof/>
        </w:rPr>
        <w:t>delegation model</w:t>
      </w:r>
      <w:r w:rsidR="001A462E" w:rsidRPr="005012F5">
        <w:rPr>
          <w:noProof/>
        </w:rPr>
        <w:t xml:space="preserve">’ means </w:t>
      </w:r>
      <w:r w:rsidR="001A462E">
        <w:rPr>
          <w:noProof/>
        </w:rPr>
        <w:t>a</w:t>
      </w:r>
      <w:r w:rsidR="001A462E" w:rsidRPr="005012F5">
        <w:rPr>
          <w:noProof/>
        </w:rPr>
        <w:t xml:space="preserve"> </w:t>
      </w:r>
      <w:r w:rsidR="001A462E">
        <w:rPr>
          <w:noProof/>
        </w:rPr>
        <w:t xml:space="preserve">model whereby a conformity assessment body may issue a </w:t>
      </w:r>
      <w:r w:rsidR="001A462E" w:rsidRPr="00524948">
        <w:rPr>
          <w:noProof/>
        </w:rPr>
        <w:t>European cybersecurity certificat</w:t>
      </w:r>
      <w:r w:rsidR="001A462E">
        <w:rPr>
          <w:noProof/>
        </w:rPr>
        <w:t>e</w:t>
      </w:r>
      <w:r w:rsidR="001A462E" w:rsidRPr="00524948">
        <w:rPr>
          <w:noProof/>
        </w:rPr>
        <w:t xml:space="preserve"> </w:t>
      </w:r>
      <w:r w:rsidR="001A462E">
        <w:rPr>
          <w:noProof/>
        </w:rPr>
        <w:t>based on a delegation</w:t>
      </w:r>
      <w:r w:rsidR="001A462E" w:rsidRPr="005012F5">
        <w:rPr>
          <w:noProof/>
        </w:rPr>
        <w:t xml:space="preserve"> of certification activities </w:t>
      </w:r>
      <w:r w:rsidR="001A462E">
        <w:rPr>
          <w:noProof/>
        </w:rPr>
        <w:t>by</w:t>
      </w:r>
      <w:r w:rsidR="001A462E" w:rsidRPr="005012F5">
        <w:rPr>
          <w:noProof/>
        </w:rPr>
        <w:t xml:space="preserve"> a national cybersecurity certification authority</w:t>
      </w:r>
      <w:r w:rsidR="001A462E">
        <w:rPr>
          <w:noProof/>
        </w:rPr>
        <w:t>;</w:t>
      </w:r>
    </w:p>
    <w:p w14:paraId="645C553B" w14:textId="516ED367" w:rsidR="001A462E" w:rsidRDefault="006D01CD" w:rsidP="006D01CD">
      <w:pPr>
        <w:pStyle w:val="Point0"/>
        <w:rPr>
          <w:noProof/>
        </w:rPr>
      </w:pPr>
      <w:r w:rsidRPr="006D01CD">
        <w:rPr>
          <w:noProof/>
        </w:rPr>
        <w:t>(32)</w:t>
      </w:r>
      <w:r w:rsidRPr="006D01CD">
        <w:rPr>
          <w:noProof/>
        </w:rPr>
        <w:tab/>
      </w:r>
      <w:r w:rsidR="001A462E">
        <w:rPr>
          <w:noProof/>
        </w:rPr>
        <w:t>‘</w:t>
      </w:r>
      <w:r w:rsidR="001A462E" w:rsidRPr="00221A38">
        <w:rPr>
          <w:noProof/>
        </w:rPr>
        <w:t>computer security incident response team</w:t>
      </w:r>
      <w:r w:rsidR="001A462E">
        <w:rPr>
          <w:noProof/>
        </w:rPr>
        <w:t>’ or ‘</w:t>
      </w:r>
      <w:r w:rsidR="001A462E" w:rsidRPr="001A1398">
        <w:rPr>
          <w:noProof/>
          <w:lang w:eastAsia="en-IE"/>
        </w:rPr>
        <w:t>CSIRT’ means a </w:t>
      </w:r>
      <w:r w:rsidR="001A462E" w:rsidRPr="00A10BD0">
        <w:rPr>
          <w:noProof/>
          <w:color w:val="000000" w:themeColor="text1"/>
        </w:rPr>
        <w:t>CSIRT</w:t>
      </w:r>
      <w:r w:rsidR="001A462E" w:rsidRPr="0DBAF244">
        <w:rPr>
          <w:noProof/>
          <w:lang w:eastAsia="en-IE"/>
        </w:rPr>
        <w:t xml:space="preserve"> designated or established pursuant to</w:t>
      </w:r>
      <w:r w:rsidR="001A462E" w:rsidRPr="001A1398">
        <w:rPr>
          <w:noProof/>
          <w:lang w:eastAsia="en-IE"/>
        </w:rPr>
        <w:t xml:space="preserve"> Article 10 of Directive (EU) 2022/2555</w:t>
      </w:r>
      <w:r w:rsidR="001A462E" w:rsidRPr="00F37A27">
        <w:rPr>
          <w:noProof/>
        </w:rPr>
        <w:t>.</w:t>
      </w:r>
    </w:p>
    <w:p w14:paraId="698AA048" w14:textId="6CA6AE04" w:rsidR="00CE11BB" w:rsidRPr="004D0494" w:rsidRDefault="006D01CD" w:rsidP="006D01CD">
      <w:pPr>
        <w:pStyle w:val="Point0"/>
        <w:rPr>
          <w:noProof/>
        </w:rPr>
      </w:pPr>
      <w:r w:rsidRPr="006D01CD">
        <w:rPr>
          <w:noProof/>
        </w:rPr>
        <w:t>(33)</w:t>
      </w:r>
      <w:r w:rsidRPr="006D01CD">
        <w:rPr>
          <w:noProof/>
        </w:rPr>
        <w:tab/>
      </w:r>
      <w:r w:rsidR="00CE11BB" w:rsidRPr="004D0494">
        <w:rPr>
          <w:noProof/>
        </w:rPr>
        <w:t xml:space="preserve">‘ICT components’ means ICT products, ICT services or ICT processes that may be used in the operation of ICT assets; </w:t>
      </w:r>
    </w:p>
    <w:p w14:paraId="0633E7D1" w14:textId="21DE6A74" w:rsidR="00CE11BB" w:rsidRPr="004D0494" w:rsidRDefault="006D01CD" w:rsidP="006D01CD">
      <w:pPr>
        <w:pStyle w:val="Point0"/>
        <w:rPr>
          <w:noProof/>
        </w:rPr>
      </w:pPr>
      <w:r w:rsidRPr="006D01CD">
        <w:rPr>
          <w:noProof/>
        </w:rPr>
        <w:t>(34)</w:t>
      </w:r>
      <w:r w:rsidRPr="006D01CD">
        <w:rPr>
          <w:noProof/>
        </w:rPr>
        <w:tab/>
      </w:r>
      <w:r w:rsidR="00CE11BB" w:rsidRPr="004D0494">
        <w:rPr>
          <w:noProof/>
        </w:rPr>
        <w:t>‘ICT assets’ means software or hardware assets in the network and information systems used by an entity of the type referred to in Annexes I and II to Directive (EU) 2022/2555;</w:t>
      </w:r>
    </w:p>
    <w:p w14:paraId="1050E17E" w14:textId="285A0E2C" w:rsidR="00CE11BB" w:rsidRPr="004D0494" w:rsidRDefault="006D01CD" w:rsidP="006D01CD">
      <w:pPr>
        <w:pStyle w:val="Point0"/>
        <w:rPr>
          <w:noProof/>
        </w:rPr>
      </w:pPr>
      <w:r w:rsidRPr="006D01CD">
        <w:rPr>
          <w:noProof/>
        </w:rPr>
        <w:t>(35)</w:t>
      </w:r>
      <w:r w:rsidRPr="006D01CD">
        <w:rPr>
          <w:noProof/>
        </w:rPr>
        <w:tab/>
      </w:r>
      <w:r w:rsidR="00CE11BB" w:rsidRPr="004D0494">
        <w:rPr>
          <w:noProof/>
        </w:rPr>
        <w:t xml:space="preserve">‘key ICT assets’ means ICT assets identified in accordance with Article </w:t>
      </w:r>
      <w:r w:rsidR="00CE11BB">
        <w:rPr>
          <w:noProof/>
        </w:rPr>
        <w:t>102</w:t>
      </w:r>
      <w:r w:rsidR="00CE11BB" w:rsidRPr="004D0494">
        <w:rPr>
          <w:noProof/>
        </w:rPr>
        <w:t>;</w:t>
      </w:r>
    </w:p>
    <w:p w14:paraId="09E76AD4" w14:textId="3646D39E" w:rsidR="00CE11BB" w:rsidRPr="004D0494" w:rsidRDefault="006D01CD" w:rsidP="006D01CD">
      <w:pPr>
        <w:pStyle w:val="Point0"/>
        <w:rPr>
          <w:noProof/>
        </w:rPr>
      </w:pPr>
      <w:r w:rsidRPr="006D01CD">
        <w:rPr>
          <w:noProof/>
        </w:rPr>
        <w:t>(36)</w:t>
      </w:r>
      <w:r w:rsidRPr="006D01CD">
        <w:rPr>
          <w:noProof/>
        </w:rPr>
        <w:tab/>
      </w:r>
      <w:r w:rsidR="00CE11BB" w:rsidRPr="004D0494">
        <w:rPr>
          <w:noProof/>
        </w:rPr>
        <w:t xml:space="preserve">‘electronic communications network’ means electronic communications network as defined in </w:t>
      </w:r>
      <w:bookmarkStart w:id="5" w:name="_Hlk219035682"/>
      <w:r w:rsidR="00CE11BB" w:rsidRPr="00461830">
        <w:rPr>
          <w:noProof/>
        </w:rPr>
        <w:t>Article 2, point (1),</w:t>
      </w:r>
      <w:r w:rsidR="00CE11BB" w:rsidRPr="004D0494">
        <w:rPr>
          <w:noProof/>
        </w:rPr>
        <w:t xml:space="preserve"> of </w:t>
      </w:r>
      <w:r w:rsidR="00CE11BB">
        <w:rPr>
          <w:noProof/>
        </w:rPr>
        <w:t xml:space="preserve">Regulation </w:t>
      </w:r>
      <w:r w:rsidR="00CE11BB" w:rsidRPr="004D0494">
        <w:rPr>
          <w:noProof/>
        </w:rPr>
        <w:t xml:space="preserve">(EU) </w:t>
      </w:r>
      <w:r w:rsidR="00CE11BB">
        <w:rPr>
          <w:noProof/>
        </w:rPr>
        <w:t>XX/XXXX [DNA proposal]</w:t>
      </w:r>
      <w:r w:rsidR="00CE11BB" w:rsidRPr="004D0494">
        <w:rPr>
          <w:noProof/>
        </w:rPr>
        <w:t>;</w:t>
      </w:r>
    </w:p>
    <w:bookmarkEnd w:id="5"/>
    <w:p w14:paraId="0DFA0882" w14:textId="0EE30516" w:rsidR="00CE11BB" w:rsidRDefault="006D01CD" w:rsidP="006D01CD">
      <w:pPr>
        <w:pStyle w:val="Point0"/>
        <w:rPr>
          <w:noProof/>
        </w:rPr>
      </w:pPr>
      <w:r w:rsidRPr="006D01CD">
        <w:rPr>
          <w:noProof/>
        </w:rPr>
        <w:t>(37)</w:t>
      </w:r>
      <w:r w:rsidRPr="006D01CD">
        <w:rPr>
          <w:noProof/>
        </w:rPr>
        <w:tab/>
      </w:r>
      <w:r w:rsidR="00CE11BB" w:rsidRPr="004D0494">
        <w:rPr>
          <w:noProof/>
        </w:rPr>
        <w:t>‘control’ means the ability to exercise a decisive influence on a legal entity directly, or indirectly through one or more intermediate legal entities;</w:t>
      </w:r>
    </w:p>
    <w:p w14:paraId="4C250D43" w14:textId="755D145C" w:rsidR="00CE11BB" w:rsidRPr="00D96447" w:rsidRDefault="006D01CD" w:rsidP="006D01CD">
      <w:pPr>
        <w:pStyle w:val="Point0"/>
        <w:rPr>
          <w:noProof/>
        </w:rPr>
      </w:pPr>
      <w:r w:rsidRPr="006D01CD">
        <w:rPr>
          <w:noProof/>
        </w:rPr>
        <w:t>(38)</w:t>
      </w:r>
      <w:r w:rsidRPr="006D01CD">
        <w:rPr>
          <w:noProof/>
        </w:rPr>
        <w:tab/>
      </w:r>
      <w:r w:rsidR="00CE11BB" w:rsidRPr="00D96447">
        <w:rPr>
          <w:noProof/>
        </w:rPr>
        <w:t>‘establishment’ means the effective exercise of activity through stable arrangements in the country where the entity has its central administration or its principal place of business;</w:t>
      </w:r>
    </w:p>
    <w:p w14:paraId="447A995C" w14:textId="6341FB93" w:rsidR="00CE11BB" w:rsidRDefault="006D01CD" w:rsidP="006D01CD">
      <w:pPr>
        <w:pStyle w:val="Point0"/>
        <w:rPr>
          <w:noProof/>
        </w:rPr>
      </w:pPr>
      <w:r w:rsidRPr="006D01CD">
        <w:rPr>
          <w:noProof/>
        </w:rPr>
        <w:t>(39)</w:t>
      </w:r>
      <w:r w:rsidRPr="006D01CD">
        <w:rPr>
          <w:noProof/>
        </w:rPr>
        <w:tab/>
      </w:r>
      <w:r w:rsidR="00CE11BB" w:rsidRPr="004D0494">
        <w:rPr>
          <w:noProof/>
        </w:rPr>
        <w:t xml:space="preserve">‘high-risk supplier’ means </w:t>
      </w:r>
      <w:r w:rsidR="00CE11BB">
        <w:rPr>
          <w:noProof/>
        </w:rPr>
        <w:t xml:space="preserve">either of the following: </w:t>
      </w:r>
    </w:p>
    <w:p w14:paraId="2E5A25FB" w14:textId="1A12EE05" w:rsidR="00CE11BB" w:rsidRDefault="006D01CD" w:rsidP="006D01CD">
      <w:pPr>
        <w:pStyle w:val="Point1"/>
        <w:rPr>
          <w:noProof/>
        </w:rPr>
      </w:pPr>
      <w:r w:rsidRPr="006D01CD">
        <w:rPr>
          <w:noProof/>
        </w:rPr>
        <w:t>(a)</w:t>
      </w:r>
      <w:r w:rsidRPr="006D01CD">
        <w:rPr>
          <w:noProof/>
        </w:rPr>
        <w:tab/>
      </w:r>
      <w:r w:rsidR="00CE11BB" w:rsidRPr="004D0494">
        <w:rPr>
          <w:noProof/>
        </w:rPr>
        <w:t>an entity established in</w:t>
      </w:r>
      <w:r w:rsidR="00CE11BB">
        <w:rPr>
          <w:noProof/>
        </w:rPr>
        <w:t xml:space="preserve"> a third country </w:t>
      </w:r>
      <w:r w:rsidR="00CE11BB" w:rsidRPr="004D0494">
        <w:rPr>
          <w:noProof/>
        </w:rPr>
        <w:t xml:space="preserve">posing cybersecurity concerns designated </w:t>
      </w:r>
      <w:r w:rsidR="00CE11BB">
        <w:rPr>
          <w:noProof/>
        </w:rPr>
        <w:t xml:space="preserve">in accordance with </w:t>
      </w:r>
      <w:r w:rsidR="00CE11BB" w:rsidRPr="004D0494">
        <w:rPr>
          <w:noProof/>
        </w:rPr>
        <w:t xml:space="preserve">Article </w:t>
      </w:r>
      <w:r w:rsidR="00CE11BB">
        <w:rPr>
          <w:noProof/>
        </w:rPr>
        <w:t xml:space="preserve">100, or controlled by such third country, </w:t>
      </w:r>
      <w:r w:rsidR="00CE11BB" w:rsidRPr="00AF2CC4">
        <w:rPr>
          <w:noProof/>
        </w:rPr>
        <w:t xml:space="preserve">by </w:t>
      </w:r>
      <w:r w:rsidR="00CE11BB">
        <w:rPr>
          <w:noProof/>
        </w:rPr>
        <w:t xml:space="preserve">an </w:t>
      </w:r>
      <w:r w:rsidR="00CE11BB" w:rsidRPr="00AF2CC4">
        <w:rPr>
          <w:noProof/>
        </w:rPr>
        <w:t>entit</w:t>
      </w:r>
      <w:r w:rsidR="00CE11BB">
        <w:rPr>
          <w:noProof/>
        </w:rPr>
        <w:t>y</w:t>
      </w:r>
      <w:r w:rsidR="00CE11BB" w:rsidRPr="00AF2CC4">
        <w:rPr>
          <w:noProof/>
        </w:rPr>
        <w:t xml:space="preserve"> </w:t>
      </w:r>
      <w:r w:rsidR="00A414A8">
        <w:rPr>
          <w:noProof/>
        </w:rPr>
        <w:t>established in</w:t>
      </w:r>
      <w:r w:rsidR="00A414A8" w:rsidRPr="00AF2CC4">
        <w:rPr>
          <w:noProof/>
        </w:rPr>
        <w:t xml:space="preserve"> </w:t>
      </w:r>
      <w:r w:rsidR="00CE11BB">
        <w:rPr>
          <w:noProof/>
        </w:rPr>
        <w:t>such</w:t>
      </w:r>
      <w:r w:rsidR="00CE11BB" w:rsidRPr="00AF2CC4">
        <w:rPr>
          <w:noProof/>
        </w:rPr>
        <w:t xml:space="preserve"> third country</w:t>
      </w:r>
      <w:r w:rsidR="00CE11BB">
        <w:rPr>
          <w:noProof/>
        </w:rPr>
        <w:t>,</w:t>
      </w:r>
      <w:r w:rsidR="00CE11BB" w:rsidRPr="00AF2CC4">
        <w:rPr>
          <w:noProof/>
        </w:rPr>
        <w:t xml:space="preserve"> or </w:t>
      </w:r>
      <w:r w:rsidR="00CE11BB">
        <w:rPr>
          <w:noProof/>
        </w:rPr>
        <w:t xml:space="preserve">by a </w:t>
      </w:r>
      <w:r w:rsidR="00CE11BB" w:rsidRPr="00AF2CC4">
        <w:rPr>
          <w:noProof/>
        </w:rPr>
        <w:t xml:space="preserve">national of </w:t>
      </w:r>
      <w:r w:rsidR="00CE11BB">
        <w:rPr>
          <w:noProof/>
        </w:rPr>
        <w:t>such</w:t>
      </w:r>
      <w:r w:rsidR="00CE11BB" w:rsidRPr="00AF2CC4">
        <w:rPr>
          <w:noProof/>
        </w:rPr>
        <w:t xml:space="preserve"> third country</w:t>
      </w:r>
      <w:r w:rsidR="00CE11BB">
        <w:rPr>
          <w:noProof/>
        </w:rPr>
        <w:t>;</w:t>
      </w:r>
    </w:p>
    <w:p w14:paraId="536FD391" w14:textId="1F9E6199" w:rsidR="00CE11BB" w:rsidRPr="004D0494" w:rsidRDefault="006D01CD" w:rsidP="006D01CD">
      <w:pPr>
        <w:pStyle w:val="Point1"/>
        <w:rPr>
          <w:noProof/>
        </w:rPr>
      </w:pPr>
      <w:r w:rsidRPr="006D01CD">
        <w:rPr>
          <w:noProof/>
        </w:rPr>
        <w:t>(b)</w:t>
      </w:r>
      <w:r w:rsidRPr="006D01CD">
        <w:rPr>
          <w:noProof/>
        </w:rPr>
        <w:tab/>
      </w:r>
      <w:r w:rsidR="00CE11BB" w:rsidRPr="00D96447">
        <w:rPr>
          <w:noProof/>
        </w:rPr>
        <w:t>an entity designated in accordance with Article 103(7) </w:t>
      </w:r>
      <w:r w:rsidR="00A414A8">
        <w:rPr>
          <w:noProof/>
        </w:rPr>
        <w:t xml:space="preserve">and </w:t>
      </w:r>
      <w:r w:rsidR="00CE11BB" w:rsidRPr="00D96447">
        <w:rPr>
          <w:noProof/>
        </w:rPr>
        <w:t>entities controlled by that entity</w:t>
      </w:r>
      <w:r w:rsidR="00CE11BB" w:rsidRPr="00F33CC5">
        <w:rPr>
          <w:noProof/>
        </w:rPr>
        <w:t>;</w:t>
      </w:r>
    </w:p>
    <w:p w14:paraId="04144329" w14:textId="1FDA954D" w:rsidR="00CE11BB" w:rsidRPr="004D0494" w:rsidRDefault="006D01CD" w:rsidP="006D01CD">
      <w:pPr>
        <w:pStyle w:val="Point0"/>
        <w:rPr>
          <w:noProof/>
        </w:rPr>
      </w:pPr>
      <w:r w:rsidRPr="006D01CD">
        <w:rPr>
          <w:noProof/>
        </w:rPr>
        <w:t>(40)</w:t>
      </w:r>
      <w:r w:rsidRPr="006D01CD">
        <w:rPr>
          <w:noProof/>
        </w:rPr>
        <w:tab/>
      </w:r>
      <w:r w:rsidR="00CE11BB" w:rsidRPr="004D0494">
        <w:rPr>
          <w:noProof/>
        </w:rPr>
        <w:t>‘ICT supply chain’ means a sum of ICT services, ICT products and ICT processes that encompass activities and actors involved at all stages upstream of a product being made available or a service being delivered on the market;</w:t>
      </w:r>
    </w:p>
    <w:p w14:paraId="18613B70" w14:textId="224A84EF" w:rsidR="00CE11BB" w:rsidRPr="004D0494" w:rsidRDefault="006D01CD" w:rsidP="006D01CD">
      <w:pPr>
        <w:pStyle w:val="Point0"/>
        <w:rPr>
          <w:noProof/>
        </w:rPr>
      </w:pPr>
      <w:r w:rsidRPr="006D01CD">
        <w:rPr>
          <w:noProof/>
        </w:rPr>
        <w:t>(41)</w:t>
      </w:r>
      <w:r w:rsidRPr="006D01CD">
        <w:rPr>
          <w:noProof/>
        </w:rPr>
        <w:tab/>
      </w:r>
      <w:r w:rsidR="00CE11BB" w:rsidRPr="004D0494">
        <w:rPr>
          <w:noProof/>
        </w:rPr>
        <w:t>‘third country’ means third country as defined in Article 3 (4) of Regulation (EU) 2023/2675 of the European Parliament and the Council</w:t>
      </w:r>
      <w:r w:rsidR="00CE11BB">
        <w:rPr>
          <w:rStyle w:val="FootnoteReference"/>
          <w:noProof/>
        </w:rPr>
        <w:footnoteReference w:id="73"/>
      </w:r>
      <w:r w:rsidR="00CE11BB" w:rsidRPr="004D0494">
        <w:rPr>
          <w:noProof/>
        </w:rPr>
        <w:t xml:space="preserve">;  </w:t>
      </w:r>
    </w:p>
    <w:p w14:paraId="6531EC5C" w14:textId="20316709" w:rsidR="00CE11BB" w:rsidRDefault="006D01CD" w:rsidP="006D01CD">
      <w:pPr>
        <w:pStyle w:val="Point0"/>
        <w:rPr>
          <w:noProof/>
        </w:rPr>
      </w:pPr>
      <w:bookmarkStart w:id="6" w:name="_Hlk218756346"/>
      <w:r w:rsidRPr="006D01CD">
        <w:rPr>
          <w:noProof/>
        </w:rPr>
        <w:t>(42)</w:t>
      </w:r>
      <w:r w:rsidRPr="006D01CD">
        <w:rPr>
          <w:noProof/>
        </w:rPr>
        <w:tab/>
      </w:r>
      <w:r w:rsidR="00CE11BB" w:rsidRPr="004D0494">
        <w:rPr>
          <w:noProof/>
        </w:rPr>
        <w:t>‘non-technical risk’ means the likelihood of the supplier being subject to influence by a third country with the potential to cause loss or disruption of the service provided or to compromise the product manufactured by an entity or to lead to exfiltration of data, including for the purposes of espionage or revenue generation;</w:t>
      </w:r>
    </w:p>
    <w:p w14:paraId="1FF260BC" w14:textId="1AA0A6F3" w:rsidR="00482540" w:rsidRPr="004D0494" w:rsidRDefault="006D01CD" w:rsidP="006D01CD">
      <w:pPr>
        <w:pStyle w:val="Point0"/>
        <w:rPr>
          <w:noProof/>
        </w:rPr>
      </w:pPr>
      <w:r w:rsidRPr="006D01CD">
        <w:rPr>
          <w:noProof/>
        </w:rPr>
        <w:t>(43)</w:t>
      </w:r>
      <w:r w:rsidRPr="006D01CD">
        <w:rPr>
          <w:noProof/>
        </w:rPr>
        <w:tab/>
      </w:r>
      <w:r w:rsidR="00467182" w:rsidRPr="004D0494">
        <w:rPr>
          <w:noProof/>
        </w:rPr>
        <w:t>‘</w:t>
      </w:r>
      <w:r w:rsidR="00482540" w:rsidRPr="00482540">
        <w:rPr>
          <w:noProof/>
        </w:rPr>
        <w:t xml:space="preserve">significant non-technical cybersecurity risk’ means a non-technical cybersecurity risk which can be assumed to have a high likelihood </w:t>
      </w:r>
      <w:r w:rsidR="00467182">
        <w:rPr>
          <w:noProof/>
        </w:rPr>
        <w:t>to cause</w:t>
      </w:r>
      <w:r w:rsidR="00482540" w:rsidRPr="00482540">
        <w:rPr>
          <w:noProof/>
        </w:rPr>
        <w:t xml:space="preserve"> an incident that could lead to a severe negative impact, including by causing considerable material or non-material loss or disruption</w:t>
      </w:r>
      <w:r w:rsidR="00467182">
        <w:rPr>
          <w:noProof/>
        </w:rPr>
        <w:t>;</w:t>
      </w:r>
    </w:p>
    <w:bookmarkEnd w:id="6"/>
    <w:p w14:paraId="474579DC" w14:textId="07C7E4C9" w:rsidR="00CE11BB" w:rsidRPr="004D0494" w:rsidRDefault="006D01CD" w:rsidP="006D01CD">
      <w:pPr>
        <w:pStyle w:val="Point0"/>
        <w:rPr>
          <w:noProof/>
        </w:rPr>
      </w:pPr>
      <w:r w:rsidRPr="006D01CD">
        <w:rPr>
          <w:noProof/>
        </w:rPr>
        <w:t>(44)</w:t>
      </w:r>
      <w:r w:rsidRPr="006D01CD">
        <w:rPr>
          <w:noProof/>
        </w:rPr>
        <w:tab/>
      </w:r>
      <w:r w:rsidR="00CE11BB" w:rsidRPr="004D0494">
        <w:rPr>
          <w:noProof/>
        </w:rPr>
        <w:t>‘core network functions of mobile electronic</w:t>
      </w:r>
      <w:r w:rsidR="00CE11BB" w:rsidRPr="004D0494" w:rsidDel="00397BA1">
        <w:rPr>
          <w:noProof/>
        </w:rPr>
        <w:t xml:space="preserve"> </w:t>
      </w:r>
      <w:r w:rsidR="00CE11BB" w:rsidRPr="004D0494">
        <w:rPr>
          <w:noProof/>
        </w:rPr>
        <w:t xml:space="preserve">communications networks’ means the central architectural element of the mobile electronic communications networks connecting major network nodes to the </w:t>
      </w:r>
      <w:r w:rsidR="00CE11BB">
        <w:rPr>
          <w:noProof/>
        </w:rPr>
        <w:t>I</w:t>
      </w:r>
      <w:r w:rsidR="00CE11BB" w:rsidRPr="004D0494">
        <w:rPr>
          <w:noProof/>
        </w:rPr>
        <w:t>nternet and managing essential system functions that includes user equipment authentication, lawful interception (LI) functions, security gateways (SeGW) at the network edge, signalling security functions, roaming and session management, user and control plane data transport, access policy management, registration and authorisation of network services, storage of end-user and network data, critical network services including domain name system (DNS), interconnection with third-party mobile networks, exposure of core network functions to external applications, and the selection and management of network slices;</w:t>
      </w:r>
    </w:p>
    <w:p w14:paraId="4F60D11A" w14:textId="141BC100" w:rsidR="00CE11BB" w:rsidRPr="004D0494" w:rsidRDefault="006D01CD" w:rsidP="006D01CD">
      <w:pPr>
        <w:pStyle w:val="Point0"/>
        <w:rPr>
          <w:noProof/>
        </w:rPr>
      </w:pPr>
      <w:r w:rsidRPr="006D01CD">
        <w:rPr>
          <w:noProof/>
        </w:rPr>
        <w:t>(45)</w:t>
      </w:r>
      <w:r w:rsidRPr="006D01CD">
        <w:rPr>
          <w:noProof/>
        </w:rPr>
        <w:tab/>
      </w:r>
      <w:r w:rsidR="00CE11BB" w:rsidRPr="004D0494">
        <w:rPr>
          <w:noProof/>
        </w:rPr>
        <w:t>‘network function virtualisation (NFV) and management and network orchestration (MANO) of mobile electronic</w:t>
      </w:r>
      <w:r w:rsidR="00CE11BB" w:rsidRPr="004D0494" w:rsidDel="00397BA1">
        <w:rPr>
          <w:noProof/>
        </w:rPr>
        <w:t xml:space="preserve"> </w:t>
      </w:r>
      <w:r w:rsidR="00CE11BB" w:rsidRPr="004D0494">
        <w:rPr>
          <w:noProof/>
        </w:rPr>
        <w:t>communications networks’ means the software and architectural framework ensuring the lifecycle management, orchestration, and automation of virtualised network functions (VNFs), cloud-native network functions (CNFs) and the selection and management of network slices within mobile electronic communications networks;</w:t>
      </w:r>
    </w:p>
    <w:p w14:paraId="5042A6AA" w14:textId="0D3A6405" w:rsidR="00CE11BB" w:rsidRPr="004D0494" w:rsidRDefault="006D01CD" w:rsidP="006D01CD">
      <w:pPr>
        <w:pStyle w:val="Point0"/>
        <w:rPr>
          <w:noProof/>
        </w:rPr>
      </w:pPr>
      <w:r w:rsidRPr="006D01CD">
        <w:rPr>
          <w:noProof/>
        </w:rPr>
        <w:t>(46)</w:t>
      </w:r>
      <w:r w:rsidRPr="006D01CD">
        <w:rPr>
          <w:noProof/>
        </w:rPr>
        <w:tab/>
      </w:r>
      <w:r w:rsidR="00CE11BB" w:rsidRPr="004D0494">
        <w:rPr>
          <w:noProof/>
        </w:rPr>
        <w:t>‘radio access network (RAN) of mobile electronic</w:t>
      </w:r>
      <w:r w:rsidR="00CE11BB" w:rsidRPr="004D0494" w:rsidDel="00397BA1">
        <w:rPr>
          <w:noProof/>
        </w:rPr>
        <w:t xml:space="preserve"> </w:t>
      </w:r>
      <w:r w:rsidR="00CE11BB" w:rsidRPr="004D0494">
        <w:rPr>
          <w:noProof/>
        </w:rPr>
        <w:t>communications networks’ means the network connecting the mobile user equipment to the core network, including base stations (eNodeB for 4G, gNodeB for 5G), remote radio heads (RRH) and baseband units (BBU), active antenna systems (AAS), and where applicable, disaggregated RAN components such as centralised units (CU) and distributed units (DU), and the RAN intelligent controller (RIC);</w:t>
      </w:r>
    </w:p>
    <w:p w14:paraId="2800A7E5" w14:textId="0D839D68" w:rsidR="00CE11BB" w:rsidRPr="004D0494" w:rsidRDefault="006D01CD" w:rsidP="006D01CD">
      <w:pPr>
        <w:pStyle w:val="Point0"/>
        <w:rPr>
          <w:noProof/>
        </w:rPr>
      </w:pPr>
      <w:r w:rsidRPr="006D01CD">
        <w:rPr>
          <w:noProof/>
        </w:rPr>
        <w:t>(47)</w:t>
      </w:r>
      <w:r w:rsidRPr="006D01CD">
        <w:rPr>
          <w:noProof/>
        </w:rPr>
        <w:tab/>
      </w:r>
      <w:r w:rsidR="00CE11BB" w:rsidRPr="004D0494">
        <w:rPr>
          <w:noProof/>
        </w:rPr>
        <w:t>‘core network functions of fixed electronic communications networks’ means the backbone intelligence of the network, connecting the major nodes and handling a range of essential functions, including user authentication and authorisation (AAA), lawful interception (LI) functions, domain name system (DNS) and IP addressing services (DHCP), access policy management, storage of end-user and network data, IP switching and routing, and international internet gateways (IIG);</w:t>
      </w:r>
    </w:p>
    <w:p w14:paraId="3C35B164" w14:textId="2ABC1BCF" w:rsidR="00CE11BB" w:rsidRPr="004D0494" w:rsidRDefault="006D01CD" w:rsidP="006D01CD">
      <w:pPr>
        <w:pStyle w:val="Point0"/>
        <w:rPr>
          <w:noProof/>
        </w:rPr>
      </w:pPr>
      <w:r w:rsidRPr="006D01CD">
        <w:rPr>
          <w:noProof/>
        </w:rPr>
        <w:t>(48)</w:t>
      </w:r>
      <w:r w:rsidRPr="006D01CD">
        <w:rPr>
          <w:noProof/>
        </w:rPr>
        <w:tab/>
      </w:r>
      <w:r w:rsidR="00CE11BB" w:rsidRPr="004D0494">
        <w:rPr>
          <w:noProof/>
        </w:rPr>
        <w:t>‘network management system of fixed electronic communications networks’ means all centralised platforms and software components necessary for the operation, administration, maintenance and provisioning (OAM&amp;P) of the network and the monitoring of network-related information;</w:t>
      </w:r>
    </w:p>
    <w:p w14:paraId="72E321D1" w14:textId="2C21E0DC" w:rsidR="00CE11BB" w:rsidRPr="004D0494" w:rsidRDefault="006D01CD" w:rsidP="006D01CD">
      <w:pPr>
        <w:pStyle w:val="Point0"/>
        <w:rPr>
          <w:noProof/>
        </w:rPr>
      </w:pPr>
      <w:r w:rsidRPr="006D01CD">
        <w:rPr>
          <w:noProof/>
        </w:rPr>
        <w:t>(49)</w:t>
      </w:r>
      <w:r w:rsidRPr="006D01CD">
        <w:rPr>
          <w:noProof/>
        </w:rPr>
        <w:tab/>
      </w:r>
      <w:r w:rsidR="00CE11BB" w:rsidRPr="004D0494">
        <w:rPr>
          <w:noProof/>
        </w:rPr>
        <w:t>‘transport and transmission functions of fixed electronic communications networks’ means all components necessary for the backhaul and aggregation of traffic across the network, including optical transport equipment, microwave links and submarine cable systems that include the underwater equipment as well as the submarine line terminal equipment (SLTE) and the physical landing station facilities;</w:t>
      </w:r>
    </w:p>
    <w:p w14:paraId="5F7C93BA" w14:textId="046EDD06" w:rsidR="00CE11BB" w:rsidRPr="00F37A27" w:rsidRDefault="006D01CD" w:rsidP="006D01CD">
      <w:pPr>
        <w:pStyle w:val="Point0"/>
        <w:rPr>
          <w:noProof/>
        </w:rPr>
      </w:pPr>
      <w:r w:rsidRPr="006D01CD">
        <w:rPr>
          <w:noProof/>
        </w:rPr>
        <w:t>(50)</w:t>
      </w:r>
      <w:r w:rsidRPr="006D01CD">
        <w:rPr>
          <w:noProof/>
        </w:rPr>
        <w:tab/>
      </w:r>
      <w:r w:rsidR="00CE11BB" w:rsidRPr="004D0494">
        <w:rPr>
          <w:noProof/>
        </w:rPr>
        <w:t>‘access network of fixed electronic communications networks’ means the network connecting the end-user premises to the aggregation or core network, including the optical line termination (OLT) and the optical network termination (ONT) for fibre networks; coaxial cable modem termination system (CMTS) and cable modems for coaxial cable networks, and fixed wireless access components where used as a fixed line substitute</w:t>
      </w:r>
      <w:r w:rsidR="00CE11BB">
        <w:rPr>
          <w:noProof/>
        </w:rPr>
        <w:t>.</w:t>
      </w:r>
    </w:p>
    <w:p w14:paraId="453E986B" w14:textId="77777777" w:rsidR="001A462E" w:rsidRDefault="001A462E" w:rsidP="001A462E">
      <w:pPr>
        <w:rPr>
          <w:noProof/>
        </w:rPr>
      </w:pPr>
    </w:p>
    <w:p w14:paraId="0D6A0E80" w14:textId="77777777" w:rsidR="001A462E" w:rsidRDefault="001A462E" w:rsidP="001A462E">
      <w:pPr>
        <w:jc w:val="center"/>
        <w:rPr>
          <w:b/>
          <w:bCs/>
          <w:noProof/>
        </w:rPr>
      </w:pPr>
      <w:r w:rsidRPr="00354C64">
        <w:rPr>
          <w:b/>
          <w:bCs/>
          <w:noProof/>
        </w:rPr>
        <w:t>TITLE I</w:t>
      </w:r>
      <w:r>
        <w:rPr>
          <w:b/>
          <w:bCs/>
          <w:noProof/>
        </w:rPr>
        <w:t>I</w:t>
      </w:r>
      <w:r>
        <w:rPr>
          <w:b/>
          <w:bCs/>
          <w:noProof/>
        </w:rPr>
        <w:br/>
        <w:t>THE EUROPEAN UNION AGENCY FOR CYBERSECURITY</w:t>
      </w:r>
    </w:p>
    <w:p w14:paraId="38BAFEDF" w14:textId="77777777" w:rsidR="001A462E" w:rsidRDefault="001A462E" w:rsidP="001A462E">
      <w:pPr>
        <w:jc w:val="center"/>
        <w:rPr>
          <w:b/>
          <w:bCs/>
          <w:noProof/>
        </w:rPr>
      </w:pPr>
    </w:p>
    <w:p w14:paraId="78D07797" w14:textId="77777777" w:rsidR="001A462E" w:rsidRPr="006046F4" w:rsidRDefault="001A462E" w:rsidP="001A462E">
      <w:pPr>
        <w:jc w:val="center"/>
        <w:rPr>
          <w:b/>
          <w:bCs/>
          <w:i/>
          <w:iCs/>
          <w:noProof/>
        </w:rPr>
      </w:pPr>
      <w:r w:rsidRPr="006046F4">
        <w:rPr>
          <w:b/>
          <w:bCs/>
          <w:i/>
          <w:iCs/>
          <w:noProof/>
        </w:rPr>
        <w:t>Chapter I</w:t>
      </w:r>
      <w:r w:rsidRPr="006046F4">
        <w:rPr>
          <w:b/>
          <w:bCs/>
          <w:i/>
          <w:iCs/>
          <w:noProof/>
        </w:rPr>
        <w:br/>
        <w:t>Mission and Objectives</w:t>
      </w:r>
    </w:p>
    <w:p w14:paraId="7088E01A" w14:textId="77777777" w:rsidR="001A462E" w:rsidRDefault="001A462E" w:rsidP="001A462E">
      <w:pPr>
        <w:pStyle w:val="Titrearticle"/>
        <w:rPr>
          <w:noProof/>
        </w:rPr>
      </w:pPr>
      <w:r>
        <w:rPr>
          <w:noProof/>
        </w:rPr>
        <w:t>Article 3</w:t>
      </w:r>
      <w:r>
        <w:rPr>
          <w:noProof/>
        </w:rPr>
        <w:br/>
        <w:t>Mission of ENISA</w:t>
      </w:r>
    </w:p>
    <w:p w14:paraId="4E0A3636" w14:textId="59E6C05F" w:rsidR="001A462E" w:rsidRPr="00613931" w:rsidRDefault="006D01CD" w:rsidP="006D01CD">
      <w:pPr>
        <w:pStyle w:val="ManualNumPar1"/>
        <w:rPr>
          <w:noProof/>
        </w:rPr>
      </w:pPr>
      <w:r w:rsidRPr="006D01CD">
        <w:rPr>
          <w:noProof/>
        </w:rPr>
        <w:t>1.</w:t>
      </w:r>
      <w:r w:rsidRPr="006D01CD">
        <w:rPr>
          <w:noProof/>
        </w:rPr>
        <w:tab/>
      </w:r>
      <w:r w:rsidR="001A462E">
        <w:rPr>
          <w:noProof/>
        </w:rPr>
        <w:t>The mission of ENISA is to support Member States and Union entities in achieving a high level of cybersecurity, cyber resilience and trust within the Union.</w:t>
      </w:r>
    </w:p>
    <w:p w14:paraId="78CE9DB0" w14:textId="2A8560FE" w:rsidR="001A462E" w:rsidRPr="00A85697" w:rsidRDefault="006D01CD" w:rsidP="006D01CD">
      <w:pPr>
        <w:pStyle w:val="ManualNumPar1"/>
        <w:rPr>
          <w:noProof/>
        </w:rPr>
      </w:pPr>
      <w:r w:rsidRPr="006D01CD">
        <w:rPr>
          <w:noProof/>
        </w:rPr>
        <w:t>2.</w:t>
      </w:r>
      <w:r w:rsidRPr="006D01CD">
        <w:rPr>
          <w:noProof/>
        </w:rPr>
        <w:tab/>
      </w:r>
      <w:r w:rsidR="001A462E" w:rsidRPr="00AB4F13">
        <w:rPr>
          <w:noProof/>
        </w:rPr>
        <w:t>ENISA shall act as a reference point for advice and expertise on cybersecurity for Member States, as well as for other stakeholders in the Union</w:t>
      </w:r>
      <w:r w:rsidR="001A462E" w:rsidRPr="00A85697">
        <w:rPr>
          <w:noProof/>
        </w:rPr>
        <w:t>.</w:t>
      </w:r>
    </w:p>
    <w:p w14:paraId="2984749B" w14:textId="66DC3FB8" w:rsidR="001A462E" w:rsidRPr="00A85697" w:rsidRDefault="006D01CD" w:rsidP="006D01CD">
      <w:pPr>
        <w:pStyle w:val="ManualNumPar1"/>
        <w:rPr>
          <w:noProof/>
        </w:rPr>
      </w:pPr>
      <w:r w:rsidRPr="006D01CD">
        <w:rPr>
          <w:noProof/>
        </w:rPr>
        <w:t>3.</w:t>
      </w:r>
      <w:r w:rsidRPr="006D01CD">
        <w:rPr>
          <w:noProof/>
        </w:rPr>
        <w:tab/>
      </w:r>
      <w:r w:rsidR="001A462E" w:rsidRPr="00AB4F13">
        <w:rPr>
          <w:noProof/>
        </w:rPr>
        <w:t>ENISA shall contribute to reducing the fragmentation of the internal market by carrying out the tasks assigned to it under this Regulation</w:t>
      </w:r>
      <w:r w:rsidR="001A462E" w:rsidRPr="00A85697">
        <w:rPr>
          <w:noProof/>
        </w:rPr>
        <w:t>.</w:t>
      </w:r>
    </w:p>
    <w:p w14:paraId="597A27F6" w14:textId="49E4BABA" w:rsidR="001A462E" w:rsidRPr="00A85697" w:rsidRDefault="006D01CD" w:rsidP="006D01CD">
      <w:pPr>
        <w:pStyle w:val="ManualNumPar1"/>
        <w:rPr>
          <w:noProof/>
        </w:rPr>
      </w:pPr>
      <w:r w:rsidRPr="006D01CD">
        <w:rPr>
          <w:noProof/>
        </w:rPr>
        <w:t>4.</w:t>
      </w:r>
      <w:r w:rsidRPr="006D01CD">
        <w:rPr>
          <w:noProof/>
        </w:rPr>
        <w:tab/>
      </w:r>
      <w:r w:rsidR="001A462E" w:rsidRPr="00AB4F13">
        <w:rPr>
          <w:noProof/>
        </w:rPr>
        <w:t>ENISA shall carry out the tasks assigned to it by Union legal acts</w:t>
      </w:r>
      <w:r w:rsidR="001A462E" w:rsidRPr="00A85697">
        <w:rPr>
          <w:noProof/>
        </w:rPr>
        <w:t>.</w:t>
      </w:r>
    </w:p>
    <w:p w14:paraId="3E5BF769" w14:textId="7D8DF45E" w:rsidR="001A462E" w:rsidRDefault="006D01CD" w:rsidP="006D01CD">
      <w:pPr>
        <w:pStyle w:val="ManualNumPar1"/>
        <w:rPr>
          <w:noProof/>
        </w:rPr>
      </w:pPr>
      <w:r w:rsidRPr="006D01CD">
        <w:rPr>
          <w:noProof/>
        </w:rPr>
        <w:t>5.</w:t>
      </w:r>
      <w:r w:rsidRPr="006D01CD">
        <w:rPr>
          <w:noProof/>
        </w:rPr>
        <w:tab/>
      </w:r>
      <w:r w:rsidR="001A462E" w:rsidRPr="00AB4F13">
        <w:rPr>
          <w:noProof/>
        </w:rPr>
        <w:t xml:space="preserve">ENISA shall develop its own </w:t>
      </w:r>
      <w:r w:rsidR="001A462E">
        <w:rPr>
          <w:noProof/>
        </w:rPr>
        <w:t>capabilities</w:t>
      </w:r>
      <w:r w:rsidR="001A462E" w:rsidRPr="00AB4F13">
        <w:rPr>
          <w:noProof/>
        </w:rPr>
        <w:t>, including technical and human capabilities and skills, necessary to perform the tasks assigned to it under this Regulation</w:t>
      </w:r>
      <w:r w:rsidR="001A462E" w:rsidRPr="00A85697">
        <w:rPr>
          <w:noProof/>
        </w:rPr>
        <w:t>.</w:t>
      </w:r>
    </w:p>
    <w:p w14:paraId="692F5853" w14:textId="77777777" w:rsidR="001A462E" w:rsidRDefault="001A462E" w:rsidP="001A462E">
      <w:pPr>
        <w:pStyle w:val="Titrearticle"/>
        <w:rPr>
          <w:noProof/>
        </w:rPr>
      </w:pPr>
      <w:r>
        <w:rPr>
          <w:noProof/>
        </w:rPr>
        <w:t>Article 4</w:t>
      </w:r>
      <w:r>
        <w:rPr>
          <w:noProof/>
        </w:rPr>
        <w:br/>
        <w:t>Objectives of ENISA</w:t>
      </w:r>
    </w:p>
    <w:p w14:paraId="585C588B" w14:textId="4BAB1693" w:rsidR="001A462E" w:rsidRDefault="006D01CD" w:rsidP="006D01CD">
      <w:pPr>
        <w:pStyle w:val="ManualNumPar1"/>
        <w:rPr>
          <w:noProof/>
        </w:rPr>
      </w:pPr>
      <w:r w:rsidRPr="006D01CD">
        <w:rPr>
          <w:noProof/>
        </w:rPr>
        <w:t>1.</w:t>
      </w:r>
      <w:r w:rsidRPr="006D01CD">
        <w:rPr>
          <w:noProof/>
        </w:rPr>
        <w:tab/>
      </w:r>
      <w:r w:rsidR="001A462E" w:rsidRPr="0070794D">
        <w:rPr>
          <w:noProof/>
        </w:rPr>
        <w:t>ENISA shall be a centre of expertise on cybersecurity by virtue of its independence, the scientific and technical quality of the advice, contributions, and assistance it delivers, the information it provides, the transparency of its operating procedures, the methods of operation, and its diligence in carrying out its tasks</w:t>
      </w:r>
      <w:r w:rsidR="001A462E" w:rsidRPr="00997E5A">
        <w:rPr>
          <w:noProof/>
        </w:rPr>
        <w:t>.</w:t>
      </w:r>
    </w:p>
    <w:p w14:paraId="69BDB804" w14:textId="2C2968ED" w:rsidR="001A462E" w:rsidRDefault="006D01CD" w:rsidP="006D01CD">
      <w:pPr>
        <w:pStyle w:val="ManualNumPar1"/>
        <w:rPr>
          <w:noProof/>
        </w:rPr>
      </w:pPr>
      <w:r w:rsidRPr="006D01CD">
        <w:rPr>
          <w:noProof/>
        </w:rPr>
        <w:t>2.</w:t>
      </w:r>
      <w:r w:rsidRPr="006D01CD">
        <w:rPr>
          <w:noProof/>
        </w:rPr>
        <w:tab/>
      </w:r>
      <w:r w:rsidR="001A462E" w:rsidRPr="0070794D">
        <w:rPr>
          <w:noProof/>
        </w:rPr>
        <w:t>ENISA shall assist Member States and, where appropriate, Union entities in implementing horizontal and sectoral Union policies and legislation related to cybersecurity, including market surveillance activities</w:t>
      </w:r>
      <w:r w:rsidR="001A462E">
        <w:rPr>
          <w:noProof/>
        </w:rPr>
        <w:t>.</w:t>
      </w:r>
    </w:p>
    <w:p w14:paraId="2E496465" w14:textId="3C769470" w:rsidR="001A462E" w:rsidRDefault="006D01CD" w:rsidP="006D01CD">
      <w:pPr>
        <w:pStyle w:val="ManualNumPar1"/>
        <w:rPr>
          <w:noProof/>
        </w:rPr>
      </w:pPr>
      <w:r w:rsidRPr="006D01CD">
        <w:rPr>
          <w:noProof/>
        </w:rPr>
        <w:t>3.</w:t>
      </w:r>
      <w:r w:rsidRPr="006D01CD">
        <w:rPr>
          <w:noProof/>
        </w:rPr>
        <w:tab/>
      </w:r>
      <w:r w:rsidR="001A462E">
        <w:rPr>
          <w:noProof/>
        </w:rPr>
        <w:t>ENISA shall</w:t>
      </w:r>
      <w:r w:rsidR="001A462E" w:rsidRPr="22FE9AC1">
        <w:rPr>
          <w:noProof/>
        </w:rPr>
        <w:t xml:space="preserve"> provide its expertise and assist the Commission in developing Union policies</w:t>
      </w:r>
      <w:r w:rsidR="001A462E">
        <w:rPr>
          <w:noProof/>
        </w:rPr>
        <w:t xml:space="preserve"> and legislation</w:t>
      </w:r>
      <w:r w:rsidR="001A462E" w:rsidRPr="00847CB2">
        <w:rPr>
          <w:noProof/>
        </w:rPr>
        <w:t xml:space="preserve"> </w:t>
      </w:r>
      <w:r w:rsidR="001A462E" w:rsidRPr="22FE9AC1">
        <w:rPr>
          <w:noProof/>
        </w:rPr>
        <w:t>related to cybersecurity</w:t>
      </w:r>
      <w:r w:rsidR="001A462E">
        <w:rPr>
          <w:noProof/>
        </w:rPr>
        <w:t>.</w:t>
      </w:r>
    </w:p>
    <w:p w14:paraId="509D4298" w14:textId="73847B2E" w:rsidR="001A462E" w:rsidRDefault="006D01CD" w:rsidP="006D01CD">
      <w:pPr>
        <w:pStyle w:val="ManualNumPar1"/>
        <w:rPr>
          <w:noProof/>
        </w:rPr>
      </w:pPr>
      <w:r w:rsidRPr="006D01CD">
        <w:rPr>
          <w:noProof/>
        </w:rPr>
        <w:t>4.</w:t>
      </w:r>
      <w:r w:rsidRPr="006D01CD">
        <w:rPr>
          <w:noProof/>
        </w:rPr>
        <w:tab/>
      </w:r>
      <w:r w:rsidR="001A462E" w:rsidRPr="0070794D">
        <w:rPr>
          <w:noProof/>
        </w:rPr>
        <w:t xml:space="preserve">ENISA shall support capacity-building and preparedness across the Union by assisting Member States, Union entities, through </w:t>
      </w:r>
      <w:r w:rsidR="001A462E" w:rsidRPr="00BF452D">
        <w:rPr>
          <w:noProof/>
        </w:rPr>
        <w:t xml:space="preserve"> </w:t>
      </w:r>
      <w:r w:rsidR="001A462E">
        <w:rPr>
          <w:noProof/>
        </w:rPr>
        <w:t xml:space="preserve">the </w:t>
      </w:r>
      <w:r w:rsidR="001A462E" w:rsidRPr="00BC69EA">
        <w:rPr>
          <w:noProof/>
        </w:rPr>
        <w:t>Cybersecurity Service</w:t>
      </w:r>
      <w:r w:rsidR="001A462E" w:rsidRPr="0029789A">
        <w:rPr>
          <w:noProof/>
        </w:rPr>
        <w:t xml:space="preserve"> for the </w:t>
      </w:r>
      <w:r w:rsidR="001A462E" w:rsidRPr="00BC69EA">
        <w:rPr>
          <w:noProof/>
        </w:rPr>
        <w:t>Union</w:t>
      </w:r>
      <w:r w:rsidR="001A462E" w:rsidRPr="0029789A">
        <w:rPr>
          <w:noProof/>
        </w:rPr>
        <w:t xml:space="preserve"> institutions, bodies</w:t>
      </w:r>
      <w:r w:rsidR="001A462E" w:rsidRPr="00BC69EA">
        <w:rPr>
          <w:noProof/>
        </w:rPr>
        <w:t>, offices</w:t>
      </w:r>
      <w:r w:rsidR="001A462E" w:rsidRPr="0029789A">
        <w:rPr>
          <w:noProof/>
        </w:rPr>
        <w:t xml:space="preserve"> and </w:t>
      </w:r>
      <w:r w:rsidR="001A462E" w:rsidRPr="00BC69EA">
        <w:rPr>
          <w:noProof/>
        </w:rPr>
        <w:t>agencies</w:t>
      </w:r>
      <w:r w:rsidR="001A462E" w:rsidRPr="0070794D">
        <w:rPr>
          <w:noProof/>
        </w:rPr>
        <w:t xml:space="preserve"> </w:t>
      </w:r>
      <w:r w:rsidR="001A462E">
        <w:rPr>
          <w:noProof/>
        </w:rPr>
        <w:t>(</w:t>
      </w:r>
      <w:r w:rsidR="001A462E" w:rsidRPr="0070794D">
        <w:rPr>
          <w:noProof/>
        </w:rPr>
        <w:t>CERT-EU</w:t>
      </w:r>
      <w:r w:rsidR="001A462E">
        <w:rPr>
          <w:noProof/>
        </w:rPr>
        <w:t>) referred to in Chapter IV of Regulation (EU, Euratom) 2023/2841</w:t>
      </w:r>
      <w:r w:rsidR="001A462E" w:rsidRPr="0070794D">
        <w:rPr>
          <w:noProof/>
        </w:rPr>
        <w:t>, and public and private stakeholders to increase the protection of their network and information systems, to develop and improve cyber resilience and response capacities</w:t>
      </w:r>
      <w:r w:rsidR="001A462E" w:rsidRPr="00816B2B">
        <w:rPr>
          <w:noProof/>
        </w:rPr>
        <w:t>.</w:t>
      </w:r>
    </w:p>
    <w:p w14:paraId="3C109B22" w14:textId="361F8D82" w:rsidR="001A462E" w:rsidRDefault="006D01CD" w:rsidP="006D01CD">
      <w:pPr>
        <w:pStyle w:val="ManualNumPar1"/>
        <w:rPr>
          <w:noProof/>
        </w:rPr>
      </w:pPr>
      <w:r w:rsidRPr="006D01CD">
        <w:rPr>
          <w:noProof/>
        </w:rPr>
        <w:t>5.</w:t>
      </w:r>
      <w:r w:rsidRPr="006D01CD">
        <w:rPr>
          <w:noProof/>
        </w:rPr>
        <w:tab/>
      </w:r>
      <w:r w:rsidR="001A462E" w:rsidRPr="0070794D">
        <w:rPr>
          <w:noProof/>
        </w:rPr>
        <w:t>ENISA shall contribute to the implementation of the Cybersecurity Skills Academy and the growth of the cybersecurity workforce</w:t>
      </w:r>
      <w:r w:rsidR="001A462E">
        <w:rPr>
          <w:noProof/>
        </w:rPr>
        <w:t xml:space="preserve"> in the Union</w:t>
      </w:r>
      <w:r w:rsidR="001A462E" w:rsidRPr="0070794D">
        <w:rPr>
          <w:noProof/>
        </w:rPr>
        <w:t xml:space="preserve"> by supporting efforts to develop skills portability across the Union, including through the maintenance and uptake of the ECSF and the development, maintenance and uptake of European individual cybersecurity skills attestation schemes in accordance with Chapter II, Section 4 of this Title, and by ensuring the provision of training in accordance with Article </w:t>
      </w:r>
      <w:r w:rsidR="001A462E">
        <w:rPr>
          <w:noProof/>
        </w:rPr>
        <w:t>6</w:t>
      </w:r>
      <w:r w:rsidR="001A462E" w:rsidRPr="0070794D">
        <w:rPr>
          <w:noProof/>
        </w:rPr>
        <w:t>(</w:t>
      </w:r>
      <w:r w:rsidR="001A462E">
        <w:rPr>
          <w:noProof/>
        </w:rPr>
        <w:t>8)</w:t>
      </w:r>
      <w:r w:rsidR="001A462E" w:rsidRPr="008860D3">
        <w:rPr>
          <w:noProof/>
        </w:rPr>
        <w:t>.</w:t>
      </w:r>
    </w:p>
    <w:p w14:paraId="641C3FFD" w14:textId="7D8A1A4A" w:rsidR="001A462E" w:rsidRDefault="006D01CD" w:rsidP="006D01CD">
      <w:pPr>
        <w:pStyle w:val="ManualNumPar1"/>
        <w:rPr>
          <w:noProof/>
        </w:rPr>
      </w:pPr>
      <w:r w:rsidRPr="006D01CD">
        <w:rPr>
          <w:noProof/>
        </w:rPr>
        <w:t>6.</w:t>
      </w:r>
      <w:r w:rsidRPr="006D01CD">
        <w:rPr>
          <w:noProof/>
        </w:rPr>
        <w:tab/>
      </w:r>
      <w:r w:rsidR="001A462E">
        <w:rPr>
          <w:noProof/>
        </w:rPr>
        <w:t xml:space="preserve">ENISA shall promote cooperation, including information sharing and coordination at Union level, among Member States, </w:t>
      </w:r>
      <w:r w:rsidR="001A462E" w:rsidRPr="00E015D2">
        <w:rPr>
          <w:noProof/>
        </w:rPr>
        <w:t>Union entities</w:t>
      </w:r>
      <w:r w:rsidR="00B24987">
        <w:rPr>
          <w:noProof/>
        </w:rPr>
        <w:t xml:space="preserve"> </w:t>
      </w:r>
      <w:r w:rsidR="001A462E">
        <w:rPr>
          <w:noProof/>
        </w:rPr>
        <w:t xml:space="preserve">in accordance with </w:t>
      </w:r>
      <w:r w:rsidR="001A462E" w:rsidRPr="00D75110">
        <w:rPr>
          <w:noProof/>
        </w:rPr>
        <w:t>Regulation (EU, Euratom) 2023/2841</w:t>
      </w:r>
      <w:r w:rsidR="001A462E">
        <w:rPr>
          <w:noProof/>
        </w:rPr>
        <w:t>, and relevant private and public stakeholders on matters related to cybersecurity.</w:t>
      </w:r>
    </w:p>
    <w:p w14:paraId="2ACFC88B" w14:textId="37FCEFD9" w:rsidR="001A462E" w:rsidRDefault="006D01CD" w:rsidP="006D01CD">
      <w:pPr>
        <w:pStyle w:val="ManualNumPar1"/>
        <w:rPr>
          <w:noProof/>
        </w:rPr>
      </w:pPr>
      <w:r w:rsidRPr="006D01CD">
        <w:rPr>
          <w:noProof/>
        </w:rPr>
        <w:t>7.</w:t>
      </w:r>
      <w:r w:rsidRPr="006D01CD">
        <w:rPr>
          <w:noProof/>
        </w:rPr>
        <w:tab/>
      </w:r>
      <w:r w:rsidR="001A462E" w:rsidRPr="0070794D">
        <w:rPr>
          <w:noProof/>
        </w:rPr>
        <w:t>ENISA shall contribute to increasing cybersecurity capabilities at Union level in order to support the actions of Member States in preventing and responding to cyber threats</w:t>
      </w:r>
      <w:r w:rsidR="001A462E" w:rsidRPr="00816B2B">
        <w:rPr>
          <w:noProof/>
        </w:rPr>
        <w:t>.</w:t>
      </w:r>
    </w:p>
    <w:p w14:paraId="004D4B1A" w14:textId="1044BC6A" w:rsidR="001A462E" w:rsidRDefault="006D01CD" w:rsidP="006D01CD">
      <w:pPr>
        <w:pStyle w:val="ManualNumPar1"/>
        <w:rPr>
          <w:noProof/>
        </w:rPr>
      </w:pPr>
      <w:r w:rsidRPr="006D01CD">
        <w:rPr>
          <w:noProof/>
        </w:rPr>
        <w:t>8.</w:t>
      </w:r>
      <w:r w:rsidRPr="006D01CD">
        <w:rPr>
          <w:noProof/>
        </w:rPr>
        <w:tab/>
      </w:r>
      <w:r w:rsidR="001A462E">
        <w:rPr>
          <w:noProof/>
        </w:rPr>
        <w:t>ENISA shall support operational cooperation at Union level, including by contributing to shared</w:t>
      </w:r>
      <w:r w:rsidR="001A462E" w:rsidRPr="00903FEE">
        <w:rPr>
          <w:noProof/>
        </w:rPr>
        <w:t xml:space="preserve"> situational awareness</w:t>
      </w:r>
      <w:r w:rsidR="001A462E">
        <w:rPr>
          <w:noProof/>
        </w:rPr>
        <w:t xml:space="preserve"> of the cyber threat and incident landscape among Member States and, in cooperation with CERT-EU, among Union entities</w:t>
      </w:r>
      <w:r w:rsidR="001A462E" w:rsidRPr="00903FEE">
        <w:rPr>
          <w:noProof/>
        </w:rPr>
        <w:t>.</w:t>
      </w:r>
    </w:p>
    <w:p w14:paraId="3046C650" w14:textId="1C44A398" w:rsidR="001A462E" w:rsidRDefault="006D01CD" w:rsidP="006D01CD">
      <w:pPr>
        <w:pStyle w:val="ManualNumPar1"/>
        <w:rPr>
          <w:noProof/>
        </w:rPr>
      </w:pPr>
      <w:r w:rsidRPr="006D01CD">
        <w:rPr>
          <w:noProof/>
        </w:rPr>
        <w:t>9.</w:t>
      </w:r>
      <w:r w:rsidRPr="006D01CD">
        <w:rPr>
          <w:noProof/>
        </w:rPr>
        <w:tab/>
      </w:r>
      <w:r w:rsidR="001A462E">
        <w:rPr>
          <w:noProof/>
        </w:rPr>
        <w:t>ENISA shall closely cooperate with Europol, CSIRTs and other relevant national authorities in order to improve cybersecurity preparedness and response to ransomware incidents.</w:t>
      </w:r>
    </w:p>
    <w:p w14:paraId="2632C8CD" w14:textId="02980000" w:rsidR="001A462E" w:rsidRPr="00F703C1" w:rsidRDefault="006D01CD" w:rsidP="006D01CD">
      <w:pPr>
        <w:pStyle w:val="ManualNumPar1"/>
        <w:rPr>
          <w:noProof/>
        </w:rPr>
      </w:pPr>
      <w:r w:rsidRPr="006D01CD">
        <w:rPr>
          <w:noProof/>
        </w:rPr>
        <w:t>10.</w:t>
      </w:r>
      <w:r w:rsidRPr="006D01CD">
        <w:rPr>
          <w:noProof/>
        </w:rPr>
        <w:tab/>
      </w:r>
      <w:r w:rsidR="001A462E">
        <w:rPr>
          <w:noProof/>
        </w:rPr>
        <w:t xml:space="preserve">ENISA shall </w:t>
      </w:r>
      <w:r w:rsidR="001A462E" w:rsidRPr="00486B34">
        <w:rPr>
          <w:noProof/>
        </w:rPr>
        <w:t>contribute to the establishment and maintenance of a European cybersecurity certification framework in accordance with Title III of this Regulation</w:t>
      </w:r>
      <w:r w:rsidR="001A462E">
        <w:rPr>
          <w:noProof/>
        </w:rPr>
        <w:t xml:space="preserve">. ENISA shall </w:t>
      </w:r>
      <w:r w:rsidR="001A462E" w:rsidRPr="00486B34">
        <w:rPr>
          <w:noProof/>
        </w:rPr>
        <w:t>promote the use of European cybersecurity certification, with a view to avoiding the fragmentation of the internal market</w:t>
      </w:r>
      <w:r w:rsidR="001A462E">
        <w:rPr>
          <w:noProof/>
        </w:rPr>
        <w:t>.</w:t>
      </w:r>
    </w:p>
    <w:p w14:paraId="054E2B41" w14:textId="13641C22" w:rsidR="001A462E" w:rsidRDefault="006D01CD" w:rsidP="006D01CD">
      <w:pPr>
        <w:pStyle w:val="ManualNumPar1"/>
        <w:rPr>
          <w:noProof/>
        </w:rPr>
      </w:pPr>
      <w:r w:rsidRPr="006D01CD">
        <w:rPr>
          <w:noProof/>
        </w:rPr>
        <w:t>11.</w:t>
      </w:r>
      <w:r w:rsidRPr="006D01CD">
        <w:rPr>
          <w:noProof/>
        </w:rPr>
        <w:tab/>
      </w:r>
      <w:r w:rsidR="001A462E">
        <w:rPr>
          <w:noProof/>
        </w:rPr>
        <w:t xml:space="preserve">ENISA shall </w:t>
      </w:r>
      <w:r w:rsidR="001A462E" w:rsidRPr="005A398B">
        <w:rPr>
          <w:noProof/>
        </w:rPr>
        <w:t xml:space="preserve">contribute to the harmonisation of </w:t>
      </w:r>
      <w:r w:rsidR="001A462E" w:rsidRPr="0091618E">
        <w:rPr>
          <w:rFonts w:eastAsia="Times New Roman"/>
          <w:noProof/>
        </w:rPr>
        <w:t xml:space="preserve">the digital </w:t>
      </w:r>
      <w:r w:rsidR="001A462E">
        <w:rPr>
          <w:rFonts w:eastAsia="Times New Roman"/>
          <w:noProof/>
        </w:rPr>
        <w:t>single</w:t>
      </w:r>
      <w:r w:rsidR="001A462E" w:rsidRPr="0091618E">
        <w:rPr>
          <w:rFonts w:eastAsia="Times New Roman"/>
          <w:noProof/>
        </w:rPr>
        <w:t xml:space="preserve"> market</w:t>
      </w:r>
      <w:r w:rsidR="001A462E" w:rsidRPr="005A398B">
        <w:rPr>
          <w:noProof/>
        </w:rPr>
        <w:t xml:space="preserve"> by </w:t>
      </w:r>
      <w:r w:rsidR="001A462E">
        <w:rPr>
          <w:noProof/>
        </w:rPr>
        <w:t xml:space="preserve">engaging in standardisation work relevant for Union policies related to cybersecurity and by </w:t>
      </w:r>
      <w:r w:rsidR="001A462E" w:rsidRPr="005A398B">
        <w:rPr>
          <w:noProof/>
        </w:rPr>
        <w:t>developing technical specifications</w:t>
      </w:r>
      <w:r w:rsidR="001A462E">
        <w:rPr>
          <w:noProof/>
        </w:rPr>
        <w:t>.</w:t>
      </w:r>
    </w:p>
    <w:p w14:paraId="22DE1ABB" w14:textId="327D7E54" w:rsidR="001A462E" w:rsidRPr="00F703C1" w:rsidRDefault="006D01CD" w:rsidP="006D01CD">
      <w:pPr>
        <w:pStyle w:val="ManualNumPar1"/>
        <w:rPr>
          <w:noProof/>
        </w:rPr>
      </w:pPr>
      <w:r w:rsidRPr="006D01CD">
        <w:rPr>
          <w:noProof/>
        </w:rPr>
        <w:t>12.</w:t>
      </w:r>
      <w:r w:rsidRPr="006D01CD">
        <w:rPr>
          <w:noProof/>
        </w:rPr>
        <w:tab/>
      </w:r>
      <w:r w:rsidR="001A462E" w:rsidRPr="00F703C1">
        <w:rPr>
          <w:noProof/>
        </w:rPr>
        <w:t>ENISA shall promote a high level of cybersecurity awareness among organisations and businesses.</w:t>
      </w:r>
    </w:p>
    <w:p w14:paraId="3DB441AA" w14:textId="77777777" w:rsidR="001A462E" w:rsidRPr="003A00E5" w:rsidRDefault="001A462E" w:rsidP="001A462E">
      <w:pPr>
        <w:jc w:val="center"/>
        <w:rPr>
          <w:noProof/>
        </w:rPr>
      </w:pPr>
    </w:p>
    <w:p w14:paraId="4747E668" w14:textId="77777777" w:rsidR="001A462E" w:rsidRDefault="001A462E" w:rsidP="001A462E">
      <w:pPr>
        <w:jc w:val="center"/>
        <w:rPr>
          <w:b/>
          <w:bCs/>
          <w:i/>
          <w:iCs/>
          <w:noProof/>
        </w:rPr>
      </w:pPr>
      <w:r>
        <w:rPr>
          <w:b/>
          <w:bCs/>
          <w:i/>
          <w:iCs/>
          <w:noProof/>
        </w:rPr>
        <w:t>Chapter II</w:t>
      </w:r>
      <w:r>
        <w:rPr>
          <w:b/>
          <w:bCs/>
          <w:i/>
          <w:iCs/>
          <w:noProof/>
        </w:rPr>
        <w:br/>
        <w:t>Tasks</w:t>
      </w:r>
    </w:p>
    <w:p w14:paraId="2C5F00D8" w14:textId="77777777" w:rsidR="001A462E" w:rsidRPr="006046F4" w:rsidRDefault="001A462E" w:rsidP="001A462E">
      <w:pPr>
        <w:jc w:val="center"/>
        <w:rPr>
          <w:b/>
          <w:bCs/>
          <w:noProof/>
        </w:rPr>
      </w:pPr>
    </w:p>
    <w:p w14:paraId="53B028DF" w14:textId="77777777" w:rsidR="001A462E" w:rsidRPr="006046F4" w:rsidRDefault="001A462E" w:rsidP="001A462E">
      <w:pPr>
        <w:jc w:val="center"/>
        <w:rPr>
          <w:b/>
          <w:bCs/>
          <w:noProof/>
        </w:rPr>
      </w:pPr>
      <w:r w:rsidRPr="006046F4">
        <w:rPr>
          <w:b/>
          <w:bCs/>
          <w:noProof/>
        </w:rPr>
        <w:t>Section 1</w:t>
      </w:r>
      <w:r w:rsidRPr="006046F4">
        <w:rPr>
          <w:b/>
          <w:bCs/>
          <w:noProof/>
        </w:rPr>
        <w:br/>
        <w:t>Support for implementation of Union policy and law</w:t>
      </w:r>
    </w:p>
    <w:p w14:paraId="281CDB04" w14:textId="77777777" w:rsidR="001A462E" w:rsidRDefault="001A462E" w:rsidP="001A462E">
      <w:pPr>
        <w:pStyle w:val="Titrearticle"/>
        <w:rPr>
          <w:noProof/>
          <w:lang w:val="en-IE"/>
        </w:rPr>
      </w:pPr>
      <w:r w:rsidRPr="00CF0354">
        <w:rPr>
          <w:noProof/>
          <w:lang w:val="en-IE"/>
        </w:rPr>
        <w:t>Article 5</w:t>
      </w:r>
      <w:r w:rsidRPr="00CF0354">
        <w:rPr>
          <w:noProof/>
          <w:lang w:val="en-IE"/>
        </w:rPr>
        <w:br/>
        <w:t>Support for implementation of U</w:t>
      </w:r>
      <w:r>
        <w:rPr>
          <w:noProof/>
          <w:lang w:val="en-IE"/>
        </w:rPr>
        <w:t>nion policy and law</w:t>
      </w:r>
    </w:p>
    <w:p w14:paraId="760AE06C" w14:textId="2B2E83A8" w:rsidR="001A462E" w:rsidRDefault="006D01CD" w:rsidP="006D01CD">
      <w:pPr>
        <w:pStyle w:val="ManualNumPar1"/>
        <w:rPr>
          <w:noProof/>
        </w:rPr>
      </w:pPr>
      <w:r w:rsidRPr="006D01CD">
        <w:rPr>
          <w:noProof/>
        </w:rPr>
        <w:t>1.</w:t>
      </w:r>
      <w:r w:rsidRPr="006D01CD">
        <w:rPr>
          <w:noProof/>
        </w:rPr>
        <w:tab/>
      </w:r>
      <w:r w:rsidR="001A462E" w:rsidRPr="00603CB4">
        <w:rPr>
          <w:noProof/>
        </w:rPr>
        <w:t xml:space="preserve">ENISA shall </w:t>
      </w:r>
      <w:r w:rsidR="001A462E">
        <w:rPr>
          <w:noProof/>
        </w:rPr>
        <w:t xml:space="preserve">contribute to the implementation of </w:t>
      </w:r>
      <w:r w:rsidR="001A462E" w:rsidRPr="00603CB4">
        <w:rPr>
          <w:noProof/>
        </w:rPr>
        <w:t>Union policy and law</w:t>
      </w:r>
      <w:r w:rsidR="001A462E">
        <w:rPr>
          <w:noProof/>
        </w:rPr>
        <w:t xml:space="preserve"> by:</w:t>
      </w:r>
    </w:p>
    <w:p w14:paraId="1A508360" w14:textId="28644EC4" w:rsidR="001A462E" w:rsidRPr="000F78BC" w:rsidRDefault="006D01CD" w:rsidP="006D01CD">
      <w:pPr>
        <w:pStyle w:val="Point1"/>
        <w:rPr>
          <w:noProof/>
          <w:lang w:val="en-IE"/>
        </w:rPr>
      </w:pPr>
      <w:r w:rsidRPr="006D01CD">
        <w:rPr>
          <w:noProof/>
        </w:rPr>
        <w:t>(a)</w:t>
      </w:r>
      <w:r w:rsidRPr="006D01CD">
        <w:rPr>
          <w:noProof/>
        </w:rPr>
        <w:tab/>
      </w:r>
      <w:r w:rsidR="001A462E">
        <w:rPr>
          <w:noProof/>
        </w:rPr>
        <w:t xml:space="preserve">assisting Member States in implementing Union policy and law regarding cybersecurity consistently, </w:t>
      </w:r>
      <w:r w:rsidR="001A462E" w:rsidRPr="005A6FB7">
        <w:rPr>
          <w:noProof/>
        </w:rPr>
        <w:t xml:space="preserve">including by issuing </w:t>
      </w:r>
      <w:r w:rsidR="001A462E">
        <w:rPr>
          <w:noProof/>
        </w:rPr>
        <w:t>technical guidance and reports,</w:t>
      </w:r>
      <w:r w:rsidR="001A462E" w:rsidRPr="005A6FB7">
        <w:rPr>
          <w:noProof/>
        </w:rPr>
        <w:t xml:space="preserve"> </w:t>
      </w:r>
      <w:r w:rsidR="001A462E">
        <w:rPr>
          <w:noProof/>
        </w:rPr>
        <w:t>by</w:t>
      </w:r>
      <w:r w:rsidR="001A462E" w:rsidRPr="005A6FB7">
        <w:rPr>
          <w:noProof/>
        </w:rPr>
        <w:t xml:space="preserve"> providing advice and </w:t>
      </w:r>
      <w:r w:rsidR="001A462E">
        <w:rPr>
          <w:noProof/>
        </w:rPr>
        <w:t>sharing</w:t>
      </w:r>
      <w:r w:rsidR="001A462E" w:rsidRPr="005A6FB7">
        <w:rPr>
          <w:noProof/>
        </w:rPr>
        <w:t xml:space="preserve"> best practices</w:t>
      </w:r>
      <w:r w:rsidR="001A462E">
        <w:rPr>
          <w:noProof/>
        </w:rPr>
        <w:t>, and</w:t>
      </w:r>
      <w:r w:rsidR="001A462E" w:rsidRPr="005A6FB7">
        <w:rPr>
          <w:noProof/>
        </w:rPr>
        <w:t xml:space="preserve"> by facilitating the exchange of best practices between competent authorities in th</w:t>
      </w:r>
      <w:r w:rsidR="001A462E">
        <w:rPr>
          <w:noProof/>
        </w:rPr>
        <w:t>is</w:t>
      </w:r>
      <w:r w:rsidR="001A462E" w:rsidRPr="005A6FB7">
        <w:rPr>
          <w:noProof/>
        </w:rPr>
        <w:t xml:space="preserve"> regard</w:t>
      </w:r>
      <w:r w:rsidR="001A462E">
        <w:rPr>
          <w:noProof/>
        </w:rPr>
        <w:t>;</w:t>
      </w:r>
    </w:p>
    <w:p w14:paraId="1DCCC255" w14:textId="2BED2079" w:rsidR="001A462E" w:rsidRPr="000F78BC" w:rsidRDefault="006D01CD" w:rsidP="006D01CD">
      <w:pPr>
        <w:pStyle w:val="Point1"/>
        <w:rPr>
          <w:noProof/>
          <w:lang w:val="en-IE"/>
        </w:rPr>
      </w:pPr>
      <w:r w:rsidRPr="006D01CD">
        <w:rPr>
          <w:noProof/>
        </w:rPr>
        <w:t>(b)</w:t>
      </w:r>
      <w:r w:rsidRPr="006D01CD">
        <w:rPr>
          <w:noProof/>
        </w:rPr>
        <w:tab/>
      </w:r>
      <w:r w:rsidR="001A462E" w:rsidRPr="00741F4D">
        <w:rPr>
          <w:noProof/>
        </w:rPr>
        <w:t>support</w:t>
      </w:r>
      <w:r w:rsidR="001A462E">
        <w:rPr>
          <w:noProof/>
        </w:rPr>
        <w:t>ing</w:t>
      </w:r>
      <w:r w:rsidR="001A462E" w:rsidRPr="00741F4D">
        <w:rPr>
          <w:noProof/>
        </w:rPr>
        <w:t xml:space="preserve"> information sharing </w:t>
      </w:r>
      <w:r w:rsidR="001A462E">
        <w:rPr>
          <w:noProof/>
        </w:rPr>
        <w:t>with</w:t>
      </w:r>
      <w:r w:rsidR="001A462E" w:rsidRPr="00741F4D">
        <w:rPr>
          <w:noProof/>
        </w:rPr>
        <w:t xml:space="preserve">in and between sectors, in particular </w:t>
      </w:r>
      <w:r w:rsidR="001A462E">
        <w:rPr>
          <w:noProof/>
        </w:rPr>
        <w:t xml:space="preserve">regarding </w:t>
      </w:r>
      <w:r w:rsidR="001A462E" w:rsidRPr="00741F4D">
        <w:rPr>
          <w:noProof/>
        </w:rPr>
        <w:t>the sectors listed in Annex</w:t>
      </w:r>
      <w:r w:rsidR="001A462E">
        <w:rPr>
          <w:noProof/>
        </w:rPr>
        <w:t>es</w:t>
      </w:r>
      <w:r w:rsidR="001A462E" w:rsidRPr="00741F4D">
        <w:rPr>
          <w:noProof/>
        </w:rPr>
        <w:t xml:space="preserve"> I and II to Directive (EU) 2022/2555</w:t>
      </w:r>
      <w:r w:rsidR="001A462E">
        <w:rPr>
          <w:noProof/>
        </w:rPr>
        <w:t xml:space="preserve"> and products with digital elements falling within the scope of Regulation (EU) </w:t>
      </w:r>
      <w:r w:rsidR="001A462E" w:rsidRPr="00451A91">
        <w:rPr>
          <w:rFonts w:eastAsia="Roboto"/>
          <w:noProof/>
          <w:color w:val="333333"/>
        </w:rPr>
        <w:t>2024/2847</w:t>
      </w:r>
      <w:r w:rsidR="001A462E" w:rsidRPr="00741F4D">
        <w:rPr>
          <w:noProof/>
        </w:rPr>
        <w:t>, by providing best practices and guidance on available tools and procedures</w:t>
      </w:r>
      <w:r w:rsidR="001A462E">
        <w:rPr>
          <w:noProof/>
        </w:rPr>
        <w:t>;</w:t>
      </w:r>
    </w:p>
    <w:p w14:paraId="53480328" w14:textId="1FF19F21" w:rsidR="001A462E" w:rsidRPr="000F78BC" w:rsidRDefault="006D01CD" w:rsidP="006D01CD">
      <w:pPr>
        <w:pStyle w:val="Point1"/>
        <w:rPr>
          <w:noProof/>
          <w:lang w:val="en-IE"/>
        </w:rPr>
      </w:pPr>
      <w:r w:rsidRPr="006D01CD">
        <w:rPr>
          <w:noProof/>
        </w:rPr>
        <w:t>(c)</w:t>
      </w:r>
      <w:r w:rsidRPr="006D01CD">
        <w:rPr>
          <w:noProof/>
        </w:rPr>
        <w:tab/>
      </w:r>
      <w:r w:rsidR="001A462E">
        <w:rPr>
          <w:noProof/>
        </w:rPr>
        <w:t xml:space="preserve">at the request of the Commission, assisting Member States by providing support, such as technical guidance, including on cybersecurity risk management measures, tools for cybersecurity maturity assessment, and incident response playbooks, tailored to </w:t>
      </w:r>
      <w:r w:rsidR="001A462E" w:rsidRPr="0084135C">
        <w:rPr>
          <w:noProof/>
        </w:rPr>
        <w:t xml:space="preserve">the sectors </w:t>
      </w:r>
      <w:r w:rsidR="001A462E">
        <w:rPr>
          <w:noProof/>
        </w:rPr>
        <w:t xml:space="preserve">listed </w:t>
      </w:r>
      <w:r w:rsidR="001A462E" w:rsidRPr="0084135C">
        <w:rPr>
          <w:noProof/>
        </w:rPr>
        <w:t>in Annexes I and II</w:t>
      </w:r>
      <w:r w:rsidR="001A462E">
        <w:rPr>
          <w:noProof/>
        </w:rPr>
        <w:t xml:space="preserve"> to Directive (EU) 2022/2555</w:t>
      </w:r>
      <w:r w:rsidR="00572BFE">
        <w:rPr>
          <w:noProof/>
        </w:rPr>
        <w:t xml:space="preserve"> or support for the implementation of secure-by-design principles for products with digital elements in line with Regulation (EU) 2024/2847</w:t>
      </w:r>
      <w:r w:rsidR="001A462E">
        <w:rPr>
          <w:noProof/>
        </w:rPr>
        <w:t>, with a view to facilitating the improvement of the cybersecurity maturity level</w:t>
      </w:r>
      <w:r w:rsidR="00572BFE">
        <w:rPr>
          <w:noProof/>
        </w:rPr>
        <w:t>s</w:t>
      </w:r>
      <w:r w:rsidR="001A462E">
        <w:rPr>
          <w:noProof/>
        </w:rPr>
        <w:t xml:space="preserve"> and compliance with Union law regarding cybersecurity;</w:t>
      </w:r>
    </w:p>
    <w:p w14:paraId="0CADEBED" w14:textId="5D805960" w:rsidR="001A462E" w:rsidRPr="000F78BC" w:rsidRDefault="006D01CD" w:rsidP="006D01CD">
      <w:pPr>
        <w:pStyle w:val="Point1"/>
        <w:rPr>
          <w:noProof/>
          <w:lang w:val="en-IE"/>
        </w:rPr>
      </w:pPr>
      <w:r w:rsidRPr="006D01CD">
        <w:rPr>
          <w:noProof/>
        </w:rPr>
        <w:t>(d)</w:t>
      </w:r>
      <w:r w:rsidRPr="006D01CD">
        <w:rPr>
          <w:noProof/>
        </w:rPr>
        <w:tab/>
      </w:r>
      <w:r w:rsidR="001A462E">
        <w:rPr>
          <w:noProof/>
        </w:rPr>
        <w:t>contributin</w:t>
      </w:r>
      <w:r w:rsidR="001A462E" w:rsidRPr="003E789D">
        <w:rPr>
          <w:noProof/>
        </w:rPr>
        <w:t>g to the work of the Cooperation Group established pursuant to Article 14(1) of Directive (EU) 2022/2555</w:t>
      </w:r>
      <w:r w:rsidR="001A462E">
        <w:rPr>
          <w:noProof/>
        </w:rPr>
        <w:t xml:space="preserve"> (‘NIS Cooperation Group’)</w:t>
      </w:r>
      <w:r w:rsidR="001A462E" w:rsidRPr="003E789D">
        <w:rPr>
          <w:noProof/>
        </w:rPr>
        <w:t xml:space="preserve">, the European Digital Identity Cooperation Group established pursuant to Article 46e(1) of Regulation (EU) No 910/2014, the European Cybersecurity Certification Group </w:t>
      </w:r>
      <w:r w:rsidR="001A462E">
        <w:rPr>
          <w:noProof/>
        </w:rPr>
        <w:t>(‘ECCG’)</w:t>
      </w:r>
      <w:r w:rsidR="001A462E" w:rsidRPr="003E789D">
        <w:rPr>
          <w:noProof/>
        </w:rPr>
        <w:t xml:space="preserve"> as referred to in Article </w:t>
      </w:r>
      <w:r w:rsidR="001A462E">
        <w:rPr>
          <w:noProof/>
        </w:rPr>
        <w:t>90 of this Regulation</w:t>
      </w:r>
      <w:r w:rsidR="001A462E" w:rsidRPr="003E789D">
        <w:rPr>
          <w:noProof/>
        </w:rPr>
        <w:t xml:space="preserve">, and the administrative cooperation group (ADCO) established pursuant to Article 52(15) of Regulation (EU) </w:t>
      </w:r>
      <w:r w:rsidR="001A462E" w:rsidRPr="003E789D">
        <w:rPr>
          <w:rFonts w:eastAsia="Roboto"/>
          <w:noProof/>
        </w:rPr>
        <w:t>2024/2847</w:t>
      </w:r>
      <w:r w:rsidR="001A462E">
        <w:rPr>
          <w:rFonts w:eastAsia="Roboto"/>
          <w:noProof/>
        </w:rPr>
        <w:t>;</w:t>
      </w:r>
    </w:p>
    <w:p w14:paraId="0740A723" w14:textId="5F3A5FF6" w:rsidR="001A462E" w:rsidRPr="000F78BC" w:rsidRDefault="006D01CD" w:rsidP="006D01CD">
      <w:pPr>
        <w:pStyle w:val="Point1"/>
        <w:rPr>
          <w:noProof/>
          <w:lang w:val="en-IE"/>
        </w:rPr>
      </w:pPr>
      <w:r w:rsidRPr="006D01CD">
        <w:rPr>
          <w:noProof/>
        </w:rPr>
        <w:t>(e)</w:t>
      </w:r>
      <w:r w:rsidRPr="006D01CD">
        <w:rPr>
          <w:noProof/>
        </w:rPr>
        <w:tab/>
      </w:r>
      <w:r w:rsidR="001A462E" w:rsidRPr="00046AB3">
        <w:rPr>
          <w:noProof/>
        </w:rPr>
        <w:t xml:space="preserve">assisting Member States and </w:t>
      </w:r>
      <w:r w:rsidR="001A462E">
        <w:rPr>
          <w:noProof/>
        </w:rPr>
        <w:t xml:space="preserve">relevant </w:t>
      </w:r>
      <w:r w:rsidR="001A462E" w:rsidRPr="00046AB3">
        <w:rPr>
          <w:noProof/>
        </w:rPr>
        <w:t xml:space="preserve">Union entities in developing and promoting cybersecurity policies related to sustaining the general availability </w:t>
      </w:r>
      <w:r w:rsidR="001A462E">
        <w:rPr>
          <w:noProof/>
        </w:rPr>
        <w:t>and</w:t>
      </w:r>
      <w:r w:rsidR="001A462E" w:rsidRPr="00046AB3">
        <w:rPr>
          <w:noProof/>
        </w:rPr>
        <w:t xml:space="preserve"> integrity of the public core of the open internet</w:t>
      </w:r>
      <w:r w:rsidR="001A462E">
        <w:rPr>
          <w:noProof/>
        </w:rPr>
        <w:t>;</w:t>
      </w:r>
    </w:p>
    <w:p w14:paraId="56589A7E" w14:textId="179C38C3" w:rsidR="001A462E" w:rsidRPr="000F78BC" w:rsidRDefault="006D01CD" w:rsidP="006D01CD">
      <w:pPr>
        <w:pStyle w:val="Point1"/>
        <w:rPr>
          <w:noProof/>
          <w:lang w:val="en-IE"/>
        </w:rPr>
      </w:pPr>
      <w:r w:rsidRPr="006D01CD">
        <w:rPr>
          <w:noProof/>
        </w:rPr>
        <w:t>(f)</w:t>
      </w:r>
      <w:r w:rsidRPr="006D01CD">
        <w:rPr>
          <w:noProof/>
        </w:rPr>
        <w:tab/>
      </w:r>
      <w:r w:rsidR="001A462E" w:rsidRPr="00046AB3">
        <w:rPr>
          <w:noProof/>
        </w:rPr>
        <w:t>in accordance with Regulation (EU) 2024/2847, provid</w:t>
      </w:r>
      <w:r w:rsidR="001A462E">
        <w:rPr>
          <w:noProof/>
        </w:rPr>
        <w:t>ing</w:t>
      </w:r>
      <w:r w:rsidR="001A462E" w:rsidRPr="00046AB3">
        <w:rPr>
          <w:noProof/>
        </w:rPr>
        <w:t xml:space="preserve"> technical advice and support </w:t>
      </w:r>
      <w:r w:rsidR="001A462E">
        <w:rPr>
          <w:noProof/>
        </w:rPr>
        <w:t xml:space="preserve">to Member States and the Commission </w:t>
      </w:r>
      <w:r w:rsidR="001A462E" w:rsidRPr="00046AB3">
        <w:rPr>
          <w:noProof/>
        </w:rPr>
        <w:t xml:space="preserve">on matters related to the implementation of </w:t>
      </w:r>
      <w:r w:rsidR="001A462E">
        <w:rPr>
          <w:noProof/>
        </w:rPr>
        <w:t xml:space="preserve">that </w:t>
      </w:r>
      <w:r w:rsidR="001A462E" w:rsidRPr="00046AB3">
        <w:rPr>
          <w:noProof/>
        </w:rPr>
        <w:t>Regulation</w:t>
      </w:r>
      <w:r w:rsidR="001A462E">
        <w:rPr>
          <w:noProof/>
        </w:rPr>
        <w:t>;</w:t>
      </w:r>
    </w:p>
    <w:p w14:paraId="202BB721" w14:textId="4001941F" w:rsidR="001A462E" w:rsidRPr="000F78BC" w:rsidRDefault="006D01CD" w:rsidP="006D01CD">
      <w:pPr>
        <w:pStyle w:val="Point1"/>
        <w:rPr>
          <w:noProof/>
        </w:rPr>
      </w:pPr>
      <w:r w:rsidRPr="006D01CD">
        <w:rPr>
          <w:noProof/>
        </w:rPr>
        <w:t>(g)</w:t>
      </w:r>
      <w:r w:rsidRPr="006D01CD">
        <w:rPr>
          <w:noProof/>
        </w:rPr>
        <w:tab/>
      </w:r>
      <w:r w:rsidR="001A462E" w:rsidRPr="00046AB3">
        <w:rPr>
          <w:noProof/>
        </w:rPr>
        <w:t xml:space="preserve">assisting Member States in carrying out mutual assistance and </w:t>
      </w:r>
      <w:r w:rsidR="001A462E">
        <w:rPr>
          <w:noProof/>
        </w:rPr>
        <w:t xml:space="preserve">in </w:t>
      </w:r>
      <w:r w:rsidR="001A462E" w:rsidRPr="00046AB3">
        <w:rPr>
          <w:noProof/>
        </w:rPr>
        <w:t>facilitat</w:t>
      </w:r>
      <w:r w:rsidR="001A462E">
        <w:rPr>
          <w:noProof/>
        </w:rPr>
        <w:t>ing</w:t>
      </w:r>
      <w:r w:rsidR="001A462E" w:rsidRPr="00046AB3">
        <w:rPr>
          <w:noProof/>
        </w:rPr>
        <w:t xml:space="preserve"> such cooperation processes for essential and important entities pursuant to </w:t>
      </w:r>
      <w:r w:rsidR="001A462E">
        <w:rPr>
          <w:noProof/>
        </w:rPr>
        <w:t>[</w:t>
      </w:r>
      <w:r w:rsidR="001A462E" w:rsidRPr="00046AB3">
        <w:rPr>
          <w:noProof/>
        </w:rPr>
        <w:t>Article 37a of Directive (EU) 2022/2555</w:t>
      </w:r>
      <w:r w:rsidR="001A462E">
        <w:rPr>
          <w:noProof/>
        </w:rPr>
        <w:t>];</w:t>
      </w:r>
    </w:p>
    <w:p w14:paraId="481D4148" w14:textId="388E23D6" w:rsidR="001A462E" w:rsidRPr="000F78BC" w:rsidRDefault="006D01CD" w:rsidP="006D01CD">
      <w:pPr>
        <w:pStyle w:val="Point1"/>
        <w:rPr>
          <w:noProof/>
          <w:lang w:val="en-IE"/>
        </w:rPr>
      </w:pPr>
      <w:r w:rsidRPr="006D01CD">
        <w:rPr>
          <w:noProof/>
        </w:rPr>
        <w:t>(h)</w:t>
      </w:r>
      <w:r w:rsidRPr="006D01CD">
        <w:rPr>
          <w:noProof/>
        </w:rPr>
        <w:tab/>
      </w:r>
      <w:r w:rsidR="001A462E">
        <w:rPr>
          <w:noProof/>
        </w:rPr>
        <w:t xml:space="preserve">at the request of the European Data Protection Board, providing advice on the </w:t>
      </w:r>
      <w:r w:rsidR="001A462E" w:rsidRPr="00C51492">
        <w:rPr>
          <w:noProof/>
        </w:rPr>
        <w:t>implementation of specific cybersecurity aspects of Union policy and law related to data protection and privacy</w:t>
      </w:r>
      <w:r w:rsidR="001A462E">
        <w:rPr>
          <w:noProof/>
        </w:rPr>
        <w:t>.</w:t>
      </w:r>
    </w:p>
    <w:p w14:paraId="255E4E42" w14:textId="05F8E5A2" w:rsidR="001A462E" w:rsidRPr="00366827" w:rsidRDefault="006D01CD" w:rsidP="006D01CD">
      <w:pPr>
        <w:pStyle w:val="ManualNumPar1"/>
        <w:rPr>
          <w:noProof/>
          <w:lang w:val="en-IE"/>
        </w:rPr>
      </w:pPr>
      <w:r w:rsidRPr="006D01CD">
        <w:rPr>
          <w:noProof/>
        </w:rPr>
        <w:t>2.</w:t>
      </w:r>
      <w:r w:rsidRPr="006D01CD">
        <w:rPr>
          <w:noProof/>
        </w:rPr>
        <w:tab/>
      </w:r>
      <w:r w:rsidR="001A462E">
        <w:rPr>
          <w:noProof/>
        </w:rPr>
        <w:t>ENISA shall contribute to coordinated Union level cybersecurity risk assessments, including those carried out pursuant to Article 22 of Directive (EU) 2022/2555.</w:t>
      </w:r>
    </w:p>
    <w:p w14:paraId="2DED116B" w14:textId="311822B9" w:rsidR="001A462E" w:rsidRPr="00366827" w:rsidRDefault="006D01CD" w:rsidP="006D01CD">
      <w:pPr>
        <w:pStyle w:val="ManualNumPar1"/>
        <w:rPr>
          <w:noProof/>
          <w:lang w:val="en-IE"/>
        </w:rPr>
      </w:pPr>
      <w:r w:rsidRPr="006D01CD">
        <w:rPr>
          <w:noProof/>
        </w:rPr>
        <w:t>3.</w:t>
      </w:r>
      <w:r w:rsidRPr="006D01CD">
        <w:rPr>
          <w:noProof/>
        </w:rPr>
        <w:tab/>
      </w:r>
      <w:r w:rsidR="001A462E" w:rsidRPr="001E0C5B">
        <w:rPr>
          <w:noProof/>
        </w:rPr>
        <w:t xml:space="preserve">ENISA shall </w:t>
      </w:r>
      <w:r w:rsidR="001A462E">
        <w:rPr>
          <w:noProof/>
        </w:rPr>
        <w:t xml:space="preserve">issue guidelines regarding the interoperability of network and information systems used for information-sharing, including with regard to Cross-Border Cyber Hubs as referred to in Article 6(3) of </w:t>
      </w:r>
      <w:r w:rsidR="001A462E" w:rsidRPr="005A3FD9">
        <w:rPr>
          <w:noProof/>
        </w:rPr>
        <w:t>Regulation (EU) 2025/38</w:t>
      </w:r>
      <w:r w:rsidR="001A462E">
        <w:rPr>
          <w:noProof/>
        </w:rPr>
        <w:t>.</w:t>
      </w:r>
    </w:p>
    <w:p w14:paraId="7AC20EBC" w14:textId="0AFD43A1" w:rsidR="001A462E" w:rsidRDefault="006D01CD" w:rsidP="006D01CD">
      <w:pPr>
        <w:pStyle w:val="ManualNumPar1"/>
        <w:rPr>
          <w:noProof/>
        </w:rPr>
      </w:pPr>
      <w:r w:rsidRPr="006D01CD">
        <w:rPr>
          <w:noProof/>
        </w:rPr>
        <w:t>4.</w:t>
      </w:r>
      <w:r w:rsidRPr="006D01CD">
        <w:rPr>
          <w:noProof/>
        </w:rPr>
        <w:tab/>
      </w:r>
      <w:r w:rsidR="001A462E">
        <w:rPr>
          <w:noProof/>
        </w:rPr>
        <w:t>ENISA shall be a member of the NIS Cooperation Group pursuant to Article 14(3) of Directive (EU) 2022/2555.</w:t>
      </w:r>
    </w:p>
    <w:p w14:paraId="01BC2C79" w14:textId="2DE6D16E" w:rsidR="001A462E" w:rsidRPr="00CC7A15" w:rsidRDefault="006D01CD" w:rsidP="006D01CD">
      <w:pPr>
        <w:pStyle w:val="ManualNumPar1"/>
        <w:rPr>
          <w:noProof/>
        </w:rPr>
      </w:pPr>
      <w:r w:rsidRPr="006D01CD">
        <w:rPr>
          <w:noProof/>
        </w:rPr>
        <w:t>5.</w:t>
      </w:r>
      <w:r w:rsidRPr="006D01CD">
        <w:rPr>
          <w:noProof/>
        </w:rPr>
        <w:tab/>
      </w:r>
      <w:r w:rsidR="001A462E">
        <w:rPr>
          <w:noProof/>
        </w:rPr>
        <w:t xml:space="preserve">At the Commission’s request, ENISA shall provide expertise, technical advice, information or analysis or carry out preparatory work on specific cybersecurity matters </w:t>
      </w:r>
      <w:r w:rsidR="001A462E" w:rsidRPr="2866720C">
        <w:rPr>
          <w:noProof/>
        </w:rPr>
        <w:t>with a view to informing the Commission’s policymaking</w:t>
      </w:r>
      <w:r w:rsidR="001A462E">
        <w:rPr>
          <w:noProof/>
        </w:rPr>
        <w:t xml:space="preserve"> and monitoring of the implementation of Union legislation.</w:t>
      </w:r>
    </w:p>
    <w:p w14:paraId="2B02E045" w14:textId="77777777" w:rsidR="001A462E" w:rsidRDefault="001A462E" w:rsidP="001A462E">
      <w:pPr>
        <w:pStyle w:val="Titrearticle"/>
        <w:rPr>
          <w:noProof/>
          <w:lang w:val="en-IE"/>
        </w:rPr>
      </w:pPr>
      <w:r>
        <w:rPr>
          <w:noProof/>
          <w:lang w:val="en-IE"/>
        </w:rPr>
        <w:t>Article 6</w:t>
      </w:r>
      <w:r>
        <w:rPr>
          <w:noProof/>
          <w:lang w:val="en-IE"/>
        </w:rPr>
        <w:br/>
        <w:t>Capacity-building</w:t>
      </w:r>
    </w:p>
    <w:p w14:paraId="28628765" w14:textId="77777777" w:rsidR="001A462E" w:rsidRDefault="001A462E" w:rsidP="0074565D">
      <w:pPr>
        <w:pStyle w:val="Text1"/>
        <w:rPr>
          <w:noProof/>
        </w:rPr>
      </w:pPr>
      <w:r w:rsidRPr="002460A9">
        <w:rPr>
          <w:noProof/>
        </w:rPr>
        <w:t>ENISA shall assist:</w:t>
      </w:r>
    </w:p>
    <w:p w14:paraId="66F0ED61" w14:textId="41B73E88" w:rsidR="001A462E" w:rsidRPr="00A10BD0" w:rsidRDefault="006D01CD" w:rsidP="006D01CD">
      <w:pPr>
        <w:pStyle w:val="Point1"/>
        <w:rPr>
          <w:noProof/>
        </w:rPr>
      </w:pPr>
      <w:r w:rsidRPr="006D01CD">
        <w:rPr>
          <w:noProof/>
        </w:rPr>
        <w:t>(1)</w:t>
      </w:r>
      <w:r w:rsidRPr="006D01CD">
        <w:rPr>
          <w:noProof/>
        </w:rPr>
        <w:tab/>
      </w:r>
      <w:r w:rsidR="001A462E" w:rsidRPr="00A10BD0">
        <w:rPr>
          <w:noProof/>
        </w:rPr>
        <w:t>Member States in their efforts to improve the prevention, detection and analysis of, and the capability to respond to cyber threats and incidents by providing them with knowledge and expertise;</w:t>
      </w:r>
    </w:p>
    <w:p w14:paraId="43CF8B37" w14:textId="7DA518D9" w:rsidR="001A462E" w:rsidRPr="00A10BD0" w:rsidRDefault="006D01CD" w:rsidP="006D01CD">
      <w:pPr>
        <w:pStyle w:val="Point1"/>
        <w:rPr>
          <w:noProof/>
        </w:rPr>
      </w:pPr>
      <w:r w:rsidRPr="006D01CD">
        <w:rPr>
          <w:noProof/>
        </w:rPr>
        <w:t>(2)</w:t>
      </w:r>
      <w:r w:rsidRPr="006D01CD">
        <w:rPr>
          <w:noProof/>
        </w:rPr>
        <w:tab/>
      </w:r>
      <w:r w:rsidR="001A462E" w:rsidRPr="00A10BD0">
        <w:rPr>
          <w:noProof/>
        </w:rPr>
        <w:t>Member States, at their request, in establishing and implementing vulnerability disclosure policies on a voluntary basis;</w:t>
      </w:r>
    </w:p>
    <w:p w14:paraId="0C1C82D1" w14:textId="5CDF4D4B" w:rsidR="001A462E" w:rsidRPr="00A10BD0" w:rsidRDefault="006D01CD" w:rsidP="006D01CD">
      <w:pPr>
        <w:pStyle w:val="Point1"/>
        <w:rPr>
          <w:noProof/>
        </w:rPr>
      </w:pPr>
      <w:r w:rsidRPr="006D01CD">
        <w:rPr>
          <w:noProof/>
        </w:rPr>
        <w:t>(3)</w:t>
      </w:r>
      <w:r w:rsidRPr="006D01CD">
        <w:rPr>
          <w:noProof/>
        </w:rPr>
        <w:tab/>
      </w:r>
      <w:r w:rsidR="001A462E" w:rsidRPr="00A10BD0">
        <w:rPr>
          <w:noProof/>
        </w:rPr>
        <w:t>in accordance with Regulation (EU, Euratom) 2023/2841, CERT-EU and the Interinstitutional Cybersecurity Board in their efforts to support Union entities in strengthening their cybersecurity, improve the prevention, detection and analysis of cyber threats and incidents as well as to improve their capabilities to respond to such cyber threats and incidents;</w:t>
      </w:r>
    </w:p>
    <w:p w14:paraId="3CD34A7E" w14:textId="4C0E54FD" w:rsidR="001A462E" w:rsidRPr="00A10BD0" w:rsidRDefault="006D01CD" w:rsidP="006D01CD">
      <w:pPr>
        <w:pStyle w:val="Point1"/>
        <w:rPr>
          <w:noProof/>
        </w:rPr>
      </w:pPr>
      <w:r w:rsidRPr="006D01CD">
        <w:rPr>
          <w:noProof/>
        </w:rPr>
        <w:t>(4)</w:t>
      </w:r>
      <w:r w:rsidRPr="006D01CD">
        <w:rPr>
          <w:noProof/>
        </w:rPr>
        <w:tab/>
      </w:r>
      <w:r w:rsidR="001A462E" w:rsidRPr="00A10BD0">
        <w:rPr>
          <w:noProof/>
        </w:rPr>
        <w:t>Member States in developing national CSIRTs, where requested pursuant to Article 10(10) of Directive (EU) 2022/2555;</w:t>
      </w:r>
    </w:p>
    <w:p w14:paraId="10DD90F4" w14:textId="5F1BE433" w:rsidR="001A462E" w:rsidRPr="00A10BD0" w:rsidRDefault="006D01CD" w:rsidP="006D01CD">
      <w:pPr>
        <w:pStyle w:val="Point1"/>
        <w:rPr>
          <w:noProof/>
        </w:rPr>
      </w:pPr>
      <w:r w:rsidRPr="006D01CD">
        <w:rPr>
          <w:noProof/>
        </w:rPr>
        <w:t>(5)</w:t>
      </w:r>
      <w:r w:rsidRPr="006D01CD">
        <w:rPr>
          <w:noProof/>
        </w:rPr>
        <w:tab/>
      </w:r>
      <w:r w:rsidR="001A462E" w:rsidRPr="00A10BD0">
        <w:rPr>
          <w:noProof/>
        </w:rPr>
        <w:t>Member States in developing or updating a national cybersecurity strategy and key performance indicators for the assessment of that strategy, where requested pursuant to Article 7(4) of Directive (EU) 2022/2555, promote the dissemination of those strategies and note the progress in their implementation across the Union in order to promote best practices;</w:t>
      </w:r>
    </w:p>
    <w:p w14:paraId="1F0E9791" w14:textId="54C9DC79" w:rsidR="001A462E" w:rsidRPr="00A10BD0" w:rsidRDefault="006D01CD" w:rsidP="006D01CD">
      <w:pPr>
        <w:pStyle w:val="Point1"/>
        <w:rPr>
          <w:noProof/>
        </w:rPr>
      </w:pPr>
      <w:r w:rsidRPr="006D01CD">
        <w:rPr>
          <w:noProof/>
        </w:rPr>
        <w:t>(6)</w:t>
      </w:r>
      <w:r w:rsidRPr="006D01CD">
        <w:rPr>
          <w:noProof/>
        </w:rPr>
        <w:tab/>
      </w:r>
      <w:r w:rsidR="001A462E" w:rsidRPr="00A10BD0">
        <w:rPr>
          <w:noProof/>
        </w:rPr>
        <w:t>Union institutions, at their request, in developing and reviewing Union strategies regarding cybersecurity, promoting their dissemination and tracking the progress in their implementation;</w:t>
      </w:r>
    </w:p>
    <w:p w14:paraId="0DD94EA0" w14:textId="2489C7FC" w:rsidR="001A462E" w:rsidRPr="00A10BD0" w:rsidRDefault="006D01CD" w:rsidP="006D01CD">
      <w:pPr>
        <w:pStyle w:val="Point1"/>
        <w:rPr>
          <w:noProof/>
        </w:rPr>
      </w:pPr>
      <w:r w:rsidRPr="006D01CD">
        <w:rPr>
          <w:noProof/>
        </w:rPr>
        <w:t>(7)</w:t>
      </w:r>
      <w:r w:rsidRPr="006D01CD">
        <w:rPr>
          <w:noProof/>
        </w:rPr>
        <w:tab/>
      </w:r>
      <w:r w:rsidR="001A462E" w:rsidRPr="00A10BD0">
        <w:rPr>
          <w:noProof/>
        </w:rPr>
        <w:t>national CSIRTs in raising the level of their capabilities, including by promoting dialogue and exchanges of information, with a view to ensuring that, with regard to the state of the art, each CSIRT possesses a common set of minimum capabilities and operates according to best practices;</w:t>
      </w:r>
    </w:p>
    <w:p w14:paraId="64AA0566" w14:textId="5D79CBBC" w:rsidR="001A462E" w:rsidRPr="00A10BD0" w:rsidRDefault="006D01CD" w:rsidP="006D01CD">
      <w:pPr>
        <w:pStyle w:val="Point1"/>
        <w:rPr>
          <w:noProof/>
        </w:rPr>
      </w:pPr>
      <w:r w:rsidRPr="006D01CD">
        <w:rPr>
          <w:noProof/>
        </w:rPr>
        <w:t>(8)</w:t>
      </w:r>
      <w:r w:rsidRPr="006D01CD">
        <w:rPr>
          <w:noProof/>
        </w:rPr>
        <w:tab/>
      </w:r>
      <w:r w:rsidR="001A462E" w:rsidRPr="00A10BD0">
        <w:rPr>
          <w:noProof/>
        </w:rPr>
        <w:t>Member States</w:t>
      </w:r>
      <w:r w:rsidR="001A462E" w:rsidRPr="00A10BD0" w:rsidDel="00B409D6">
        <w:rPr>
          <w:noProof/>
        </w:rPr>
        <w:t>, Union entities</w:t>
      </w:r>
      <w:r w:rsidR="001A462E" w:rsidRPr="00A10BD0">
        <w:rPr>
          <w:noProof/>
        </w:rPr>
        <w:t xml:space="preserve"> and public and private stakeholders in their efforts to assess, grow and enhance the cybersecurity workforce, including by developing, maintaining and promoting the uptake of relevant tools, such as the ECSF and European individual cybersecurity skills attestation schemes in accordance with Section 4 of this Chapter;</w:t>
      </w:r>
    </w:p>
    <w:p w14:paraId="699DF983" w14:textId="29708A63" w:rsidR="001A462E" w:rsidRPr="00A10BD0" w:rsidRDefault="006D01CD" w:rsidP="006D01CD">
      <w:pPr>
        <w:pStyle w:val="Point1"/>
        <w:rPr>
          <w:noProof/>
        </w:rPr>
      </w:pPr>
      <w:r w:rsidRPr="006D01CD">
        <w:rPr>
          <w:noProof/>
        </w:rPr>
        <w:t>(9)</w:t>
      </w:r>
      <w:r w:rsidRPr="006D01CD">
        <w:rPr>
          <w:noProof/>
        </w:rPr>
        <w:tab/>
      </w:r>
      <w:r w:rsidR="001A462E" w:rsidRPr="00A10BD0">
        <w:rPr>
          <w:noProof/>
        </w:rPr>
        <w:t>relevant public bodies as well as private stakeholders by conducting targeted trainings, where appropriate in cooperation with stakeholders;</w:t>
      </w:r>
    </w:p>
    <w:p w14:paraId="6C7A0029" w14:textId="3C732C20" w:rsidR="001A462E" w:rsidRPr="00A10BD0" w:rsidRDefault="006D01CD" w:rsidP="006D01CD">
      <w:pPr>
        <w:pStyle w:val="Point1"/>
        <w:rPr>
          <w:noProof/>
        </w:rPr>
      </w:pPr>
      <w:r w:rsidRPr="006D01CD">
        <w:rPr>
          <w:noProof/>
        </w:rPr>
        <w:t>(10)</w:t>
      </w:r>
      <w:r w:rsidRPr="006D01CD">
        <w:rPr>
          <w:noProof/>
        </w:rPr>
        <w:tab/>
      </w:r>
      <w:r w:rsidR="001A462E" w:rsidRPr="00A10BD0">
        <w:rPr>
          <w:noProof/>
        </w:rPr>
        <w:t>the NIS Cooperation Group in the exchange of best practices and information, in particular in relation to the implementation of Directive (EU) 2022/2555 pursuant to  Article 14(4), point (c), of that Directive;</w:t>
      </w:r>
    </w:p>
    <w:p w14:paraId="1F65227A" w14:textId="73847B18" w:rsidR="001A462E" w:rsidRPr="00A10BD0" w:rsidRDefault="006D01CD" w:rsidP="006D01CD">
      <w:pPr>
        <w:pStyle w:val="Point1"/>
        <w:rPr>
          <w:noProof/>
        </w:rPr>
      </w:pPr>
      <w:r w:rsidRPr="006D01CD">
        <w:rPr>
          <w:noProof/>
        </w:rPr>
        <w:t>(11)</w:t>
      </w:r>
      <w:r w:rsidRPr="006D01CD">
        <w:rPr>
          <w:noProof/>
        </w:rPr>
        <w:tab/>
      </w:r>
      <w:r w:rsidR="001A462E" w:rsidRPr="00A10BD0">
        <w:rPr>
          <w:noProof/>
        </w:rPr>
        <w:t xml:space="preserve">the market surveillance authorities designated pursuant to </w:t>
      </w:r>
      <w:r w:rsidR="001A462E" w:rsidRPr="0074565D">
        <w:rPr>
          <w:rStyle w:val="cf01"/>
          <w:rFonts w:ascii="Times New Roman" w:hAnsi="Times New Roman" w:cs="Times New Roman"/>
          <w:noProof/>
          <w:sz w:val="24"/>
          <w:szCs w:val="22"/>
        </w:rPr>
        <w:t>Regulation (EU) 2024/2847 in their activities that aim to ensure the effective implementation of that Regulation, including support for guidance and technical advice to economic operators, support for compliance checks, evaluation of risks, joint activities and sweeps as laid down in Regulation (EU) 2024/2847</w:t>
      </w:r>
      <w:r w:rsidR="001A462E" w:rsidRPr="00A10BD0">
        <w:rPr>
          <w:noProof/>
        </w:rPr>
        <w:t>;</w:t>
      </w:r>
    </w:p>
    <w:p w14:paraId="05E86649" w14:textId="14C8B996" w:rsidR="001A462E" w:rsidRPr="00A10BD0" w:rsidRDefault="006D01CD" w:rsidP="006D01CD">
      <w:pPr>
        <w:pStyle w:val="Point1"/>
        <w:rPr>
          <w:noProof/>
        </w:rPr>
      </w:pPr>
      <w:r w:rsidRPr="006D01CD">
        <w:rPr>
          <w:noProof/>
        </w:rPr>
        <w:t>(12)</w:t>
      </w:r>
      <w:r w:rsidRPr="006D01CD">
        <w:rPr>
          <w:noProof/>
        </w:rPr>
        <w:tab/>
      </w:r>
      <w:r w:rsidR="001A462E" w:rsidRPr="00A10BD0">
        <w:rPr>
          <w:noProof/>
        </w:rPr>
        <w:t>the ECCG members in the exchange of best practices and upon request from individual Member States assist national cybersecurity certification authorities in relation to the implementation of the European cybersecurity certification schemes at national level;</w:t>
      </w:r>
    </w:p>
    <w:p w14:paraId="3FA8A854" w14:textId="248EC92E" w:rsidR="001A462E" w:rsidRPr="00A10BD0" w:rsidRDefault="006D01CD" w:rsidP="006D01CD">
      <w:pPr>
        <w:pStyle w:val="Point1"/>
        <w:rPr>
          <w:noProof/>
        </w:rPr>
      </w:pPr>
      <w:r w:rsidRPr="006D01CD">
        <w:rPr>
          <w:noProof/>
        </w:rPr>
        <w:t>(13)</w:t>
      </w:r>
      <w:r w:rsidRPr="006D01CD">
        <w:rPr>
          <w:noProof/>
        </w:rPr>
        <w:tab/>
      </w:r>
      <w:r w:rsidR="001A462E" w:rsidRPr="00A10BD0">
        <w:rPr>
          <w:noProof/>
        </w:rPr>
        <w:t xml:space="preserve">public authorities and private stakeholders in relation to conformity assessment and evaluation activities, including conformity assessment bodies and small and medium-sized enterprises, to support a robust, competitive, inclusive and harmonised conformity assessment ecosystem supporting the implementation </w:t>
      </w:r>
      <w:r w:rsidR="001A462E" w:rsidRPr="0074565D">
        <w:rPr>
          <w:rStyle w:val="cf01"/>
          <w:rFonts w:ascii="Times New Roman" w:hAnsi="Times New Roman" w:cs="Times New Roman"/>
          <w:noProof/>
          <w:sz w:val="24"/>
          <w:szCs w:val="22"/>
        </w:rPr>
        <w:t>Regulation (EU) 2024/2847 and the European cybersecurity certification framework</w:t>
      </w:r>
      <w:r w:rsidR="001A462E" w:rsidRPr="00A10BD0">
        <w:rPr>
          <w:noProof/>
        </w:rPr>
        <w:t>;</w:t>
      </w:r>
    </w:p>
    <w:p w14:paraId="444E85FE" w14:textId="098092DC" w:rsidR="001A462E" w:rsidRPr="00A10BD0" w:rsidRDefault="006D01CD" w:rsidP="006D01CD">
      <w:pPr>
        <w:pStyle w:val="Point1"/>
        <w:rPr>
          <w:noProof/>
        </w:rPr>
      </w:pPr>
      <w:r w:rsidRPr="006D01CD">
        <w:rPr>
          <w:noProof/>
        </w:rPr>
        <w:t>(14)</w:t>
      </w:r>
      <w:r w:rsidRPr="006D01CD">
        <w:rPr>
          <w:noProof/>
        </w:rPr>
        <w:tab/>
      </w:r>
      <w:r w:rsidR="001A462E" w:rsidRPr="00A10BD0">
        <w:rPr>
          <w:noProof/>
        </w:rPr>
        <w:t>the European Cybersecurity Industrial, Technology and Research Competence Centre and the Network of National Coordination Centres established pursuant to Regulation (EU) 2021/887 by sharing information about current and emerging risks and cyber threats, including with respect to new and emerging information and communications technologies;</w:t>
      </w:r>
    </w:p>
    <w:p w14:paraId="13773532" w14:textId="40189107" w:rsidR="001A462E" w:rsidRPr="00A10BD0" w:rsidRDefault="006D01CD" w:rsidP="006D01CD">
      <w:pPr>
        <w:pStyle w:val="Point1"/>
        <w:rPr>
          <w:noProof/>
        </w:rPr>
      </w:pPr>
      <w:r w:rsidRPr="006D01CD">
        <w:rPr>
          <w:noProof/>
        </w:rPr>
        <w:t>(15)</w:t>
      </w:r>
      <w:r w:rsidRPr="006D01CD">
        <w:rPr>
          <w:noProof/>
        </w:rPr>
        <w:tab/>
      </w:r>
      <w:r w:rsidR="001A462E" w:rsidRPr="00A10BD0">
        <w:rPr>
          <w:noProof/>
        </w:rPr>
        <w:t>Member States by providing technical support, including for the establishment and operation of regulatory sandboxes in the area of cybersecurity in accordance with relevant Union legislation.</w:t>
      </w:r>
    </w:p>
    <w:p w14:paraId="5F40836C" w14:textId="77777777" w:rsidR="001A462E" w:rsidRDefault="001A462E" w:rsidP="001A462E">
      <w:pPr>
        <w:pStyle w:val="Titrearticle"/>
        <w:rPr>
          <w:noProof/>
          <w:lang w:val="en-IE"/>
        </w:rPr>
      </w:pPr>
      <w:r>
        <w:rPr>
          <w:noProof/>
          <w:lang w:val="en-IE"/>
        </w:rPr>
        <w:t>Article 7</w:t>
      </w:r>
      <w:r>
        <w:rPr>
          <w:noProof/>
          <w:lang w:val="en-IE"/>
        </w:rPr>
        <w:br/>
        <w:t>Awareness-raising and talent pool</w:t>
      </w:r>
    </w:p>
    <w:p w14:paraId="48FEB248" w14:textId="77777777" w:rsidR="001A462E" w:rsidRDefault="001A462E" w:rsidP="001A462E">
      <w:pPr>
        <w:rPr>
          <w:noProof/>
        </w:rPr>
      </w:pPr>
      <w:r>
        <w:rPr>
          <w:noProof/>
        </w:rPr>
        <w:t>ENISA shall assist Member States in their efforts to raise awareness of Union policies and legislation regarding cybersecurity and promote their visibility by developing actionable tools and guidance. ENISA shall support initiatives aimed at increasing the European cybersecurity talent pool, in particular by coordinating competitions.</w:t>
      </w:r>
    </w:p>
    <w:p w14:paraId="6E0A4B25" w14:textId="77777777" w:rsidR="001A462E" w:rsidRDefault="001A462E" w:rsidP="001A462E">
      <w:pPr>
        <w:pStyle w:val="Titrearticle"/>
        <w:rPr>
          <w:noProof/>
        </w:rPr>
      </w:pPr>
      <w:r>
        <w:rPr>
          <w:noProof/>
        </w:rPr>
        <w:t>Article 8</w:t>
      </w:r>
      <w:r>
        <w:rPr>
          <w:noProof/>
        </w:rPr>
        <w:br/>
        <w:t xml:space="preserve">Market </w:t>
      </w:r>
      <w:r w:rsidRPr="00720690">
        <w:rPr>
          <w:noProof/>
        </w:rPr>
        <w:t xml:space="preserve">knowledge and </w:t>
      </w:r>
      <w:r>
        <w:rPr>
          <w:noProof/>
        </w:rPr>
        <w:t>analyses</w:t>
      </w:r>
    </w:p>
    <w:p w14:paraId="1BF1C63A" w14:textId="2540C028" w:rsidR="001A462E" w:rsidRDefault="006D01CD" w:rsidP="006D01CD">
      <w:pPr>
        <w:pStyle w:val="ManualNumPar1"/>
        <w:rPr>
          <w:noProof/>
        </w:rPr>
      </w:pPr>
      <w:r w:rsidRPr="006D01CD">
        <w:rPr>
          <w:noProof/>
        </w:rPr>
        <w:t>1.</w:t>
      </w:r>
      <w:r w:rsidRPr="006D01CD">
        <w:rPr>
          <w:noProof/>
        </w:rPr>
        <w:tab/>
      </w:r>
      <w:r w:rsidR="001A462E">
        <w:rPr>
          <w:noProof/>
        </w:rPr>
        <w:t xml:space="preserve">ENISA shall carry out and disseminate analyses of the main market trends in the cybersecurity </w:t>
      </w:r>
      <w:r w:rsidR="001A462E" w:rsidRPr="00431609">
        <w:rPr>
          <w:noProof/>
        </w:rPr>
        <w:t xml:space="preserve">market on both the demand and supply sides, in particular related to the </w:t>
      </w:r>
      <w:r w:rsidR="001A462E">
        <w:rPr>
          <w:noProof/>
        </w:rPr>
        <w:t xml:space="preserve">areas where European cybersecurity certification schemes exist or are planned, </w:t>
      </w:r>
      <w:r w:rsidR="001A462E" w:rsidRPr="00431609">
        <w:rPr>
          <w:noProof/>
        </w:rPr>
        <w:t>sectors listed in Annexes I and</w:t>
      </w:r>
      <w:r w:rsidR="001A462E" w:rsidRPr="004E66DA">
        <w:rPr>
          <w:noProof/>
        </w:rPr>
        <w:t xml:space="preserve"> II to Directive (EU) 2022/</w:t>
      </w:r>
      <w:r w:rsidR="001A462E">
        <w:rPr>
          <w:noProof/>
        </w:rPr>
        <w:t xml:space="preserve">2555, and product categories covered by Regulation (EU) </w:t>
      </w:r>
      <w:r w:rsidR="001A462E">
        <w:rPr>
          <w:rStyle w:val="cf01"/>
          <w:rFonts w:ascii="Times New Roman" w:hAnsi="Times New Roman" w:cs="Times New Roman"/>
          <w:noProof/>
          <w:sz w:val="24"/>
          <w:szCs w:val="24"/>
        </w:rPr>
        <w:t xml:space="preserve">2024/2847, including </w:t>
      </w:r>
      <w:r w:rsidR="001A462E">
        <w:rPr>
          <w:noProof/>
        </w:rPr>
        <w:t>Annexes III and IV to that Regulation.</w:t>
      </w:r>
    </w:p>
    <w:p w14:paraId="254E553F" w14:textId="6C2097C8" w:rsidR="001A462E" w:rsidRDefault="006D01CD" w:rsidP="006D01CD">
      <w:pPr>
        <w:pStyle w:val="ManualNumPar1"/>
        <w:rPr>
          <w:noProof/>
        </w:rPr>
      </w:pPr>
      <w:r w:rsidRPr="006D01CD">
        <w:rPr>
          <w:noProof/>
        </w:rPr>
        <w:t>2.</w:t>
      </w:r>
      <w:r w:rsidRPr="006D01CD">
        <w:rPr>
          <w:noProof/>
        </w:rPr>
        <w:tab/>
      </w:r>
      <w:r w:rsidR="001A462E">
        <w:rPr>
          <w:noProof/>
        </w:rPr>
        <w:t xml:space="preserve">ENISA shall carry out and disseminate analyses of technological cybersecurity trends in particular in relation to </w:t>
      </w:r>
      <w:r w:rsidR="001A462E" w:rsidRPr="008E6A51">
        <w:rPr>
          <w:noProof/>
        </w:rPr>
        <w:t xml:space="preserve">activities and entities falling within </w:t>
      </w:r>
      <w:r w:rsidR="001A462E">
        <w:rPr>
          <w:noProof/>
        </w:rPr>
        <w:t xml:space="preserve">the scope of </w:t>
      </w:r>
      <w:r w:rsidR="001A462E" w:rsidRPr="004E66DA">
        <w:rPr>
          <w:noProof/>
        </w:rPr>
        <w:t>Directive (EU) 2022/</w:t>
      </w:r>
      <w:r w:rsidR="001A462E">
        <w:rPr>
          <w:noProof/>
        </w:rPr>
        <w:t>2555 and products with digital elements falling within the scope of Regulation</w:t>
      </w:r>
      <w:r w:rsidR="005574F9">
        <w:rPr>
          <w:noProof/>
        </w:rPr>
        <w:t xml:space="preserve"> (EU)</w:t>
      </w:r>
      <w:r w:rsidR="001A462E">
        <w:rPr>
          <w:noProof/>
        </w:rPr>
        <w:t xml:space="preserve"> </w:t>
      </w:r>
      <w:r w:rsidR="001A462E">
        <w:rPr>
          <w:rStyle w:val="cf01"/>
          <w:rFonts w:ascii="Times New Roman" w:hAnsi="Times New Roman" w:cs="Times New Roman"/>
          <w:noProof/>
          <w:sz w:val="24"/>
          <w:szCs w:val="24"/>
        </w:rPr>
        <w:t>2024/2847</w:t>
      </w:r>
      <w:r w:rsidR="001A462E">
        <w:rPr>
          <w:noProof/>
        </w:rPr>
        <w:t>.</w:t>
      </w:r>
    </w:p>
    <w:p w14:paraId="492911E0" w14:textId="03E10F9C" w:rsidR="001A462E" w:rsidRPr="00720690" w:rsidRDefault="006D01CD" w:rsidP="006D01CD">
      <w:pPr>
        <w:pStyle w:val="ManualNumPar1"/>
        <w:rPr>
          <w:noProof/>
        </w:rPr>
      </w:pPr>
      <w:r w:rsidRPr="006D01CD">
        <w:rPr>
          <w:noProof/>
        </w:rPr>
        <w:t>3.</w:t>
      </w:r>
      <w:r w:rsidRPr="006D01CD">
        <w:rPr>
          <w:noProof/>
        </w:rPr>
        <w:tab/>
      </w:r>
      <w:r w:rsidR="001A462E">
        <w:rPr>
          <w:rStyle w:val="cf01"/>
          <w:rFonts w:ascii="Times New Roman" w:hAnsi="Times New Roman" w:cs="Times New Roman"/>
          <w:noProof/>
          <w:sz w:val="24"/>
          <w:szCs w:val="24"/>
        </w:rPr>
        <w:t xml:space="preserve">ENISA shall build knowledge and disseminate technical advice and analyses on state-of-the-art cybersecurity tools, </w:t>
      </w:r>
      <w:r w:rsidR="001A462E" w:rsidRPr="6B3B503E">
        <w:rPr>
          <w:rStyle w:val="cf01"/>
          <w:rFonts w:ascii="Times New Roman" w:hAnsi="Times New Roman" w:cs="Times New Roman"/>
          <w:noProof/>
          <w:sz w:val="24"/>
          <w:szCs w:val="24"/>
        </w:rPr>
        <w:t xml:space="preserve">frameworks </w:t>
      </w:r>
      <w:r w:rsidR="001A462E">
        <w:rPr>
          <w:rStyle w:val="cf01"/>
          <w:rFonts w:ascii="Times New Roman" w:hAnsi="Times New Roman" w:cs="Times New Roman"/>
          <w:noProof/>
          <w:sz w:val="24"/>
          <w:szCs w:val="24"/>
        </w:rPr>
        <w:t>standards and best practices</w:t>
      </w:r>
      <w:r w:rsidR="001A462E">
        <w:rPr>
          <w:noProof/>
        </w:rPr>
        <w:t>.</w:t>
      </w:r>
    </w:p>
    <w:p w14:paraId="479F9CDC" w14:textId="77777777" w:rsidR="001A462E" w:rsidRPr="00CF0354" w:rsidRDefault="001A462E" w:rsidP="001A462E">
      <w:pPr>
        <w:rPr>
          <w:noProof/>
          <w:lang w:val="en-IE"/>
        </w:rPr>
      </w:pPr>
    </w:p>
    <w:p w14:paraId="51517FA2" w14:textId="77777777" w:rsidR="001A462E" w:rsidRDefault="001A462E" w:rsidP="001A462E">
      <w:pPr>
        <w:pStyle w:val="Titrearticle"/>
        <w:rPr>
          <w:noProof/>
          <w:lang w:val="en-IE"/>
        </w:rPr>
      </w:pPr>
      <w:r>
        <w:rPr>
          <w:noProof/>
          <w:lang w:val="en-IE"/>
        </w:rPr>
        <w:t>Article 9</w:t>
      </w:r>
      <w:r>
        <w:rPr>
          <w:noProof/>
          <w:lang w:val="en-IE"/>
        </w:rPr>
        <w:br/>
        <w:t>International cooperation</w:t>
      </w:r>
    </w:p>
    <w:p w14:paraId="3E9A5047" w14:textId="77777777" w:rsidR="001A462E" w:rsidRDefault="001A462E" w:rsidP="00B24987">
      <w:pPr>
        <w:rPr>
          <w:noProof/>
        </w:rPr>
      </w:pPr>
      <w:r w:rsidRPr="00C52649">
        <w:rPr>
          <w:noProof/>
        </w:rPr>
        <w:t>ENISA shall contribute to the Union’s efforts to cooperate with third countries and international organisations as well as within relevant international cooperation frameworks to promote international cooperation on issues related to cybersecurity, by</w:t>
      </w:r>
      <w:r w:rsidRPr="005E7B38">
        <w:rPr>
          <w:noProof/>
        </w:rPr>
        <w:t>:</w:t>
      </w:r>
    </w:p>
    <w:p w14:paraId="4106993F" w14:textId="7B8A4E0C" w:rsidR="001A462E" w:rsidRDefault="006D01CD" w:rsidP="006D01CD">
      <w:pPr>
        <w:pStyle w:val="Point0"/>
        <w:rPr>
          <w:noProof/>
        </w:rPr>
      </w:pPr>
      <w:r w:rsidRPr="006D01CD">
        <w:rPr>
          <w:noProof/>
        </w:rPr>
        <w:t>(a)</w:t>
      </w:r>
      <w:r w:rsidRPr="006D01CD">
        <w:rPr>
          <w:noProof/>
        </w:rPr>
        <w:tab/>
      </w:r>
      <w:r w:rsidR="001A462E" w:rsidRPr="00C52649">
        <w:rPr>
          <w:noProof/>
        </w:rPr>
        <w:t>where appropriate, engaging as an observer in the organisation of international exercises, and analysing and reporting to the Management Board on the outcome of such exercises</w:t>
      </w:r>
      <w:r w:rsidR="001A462E" w:rsidRPr="008D21E9">
        <w:rPr>
          <w:noProof/>
        </w:rPr>
        <w:t>;</w:t>
      </w:r>
    </w:p>
    <w:p w14:paraId="3531DD7B" w14:textId="03414F42" w:rsidR="001A462E" w:rsidRDefault="006D01CD" w:rsidP="006D01CD">
      <w:pPr>
        <w:pStyle w:val="Point0"/>
        <w:rPr>
          <w:noProof/>
        </w:rPr>
      </w:pPr>
      <w:r w:rsidRPr="006D01CD">
        <w:rPr>
          <w:noProof/>
        </w:rPr>
        <w:t>(b)</w:t>
      </w:r>
      <w:r w:rsidRPr="006D01CD">
        <w:rPr>
          <w:noProof/>
        </w:rPr>
        <w:tab/>
      </w:r>
      <w:r w:rsidR="001A462E" w:rsidRPr="00C52649">
        <w:rPr>
          <w:noProof/>
        </w:rPr>
        <w:t>at the request of the Commission, facilitating the exchange of best practices</w:t>
      </w:r>
      <w:r w:rsidR="001A462E">
        <w:rPr>
          <w:noProof/>
        </w:rPr>
        <w:t xml:space="preserve"> with third countries and international organisations;</w:t>
      </w:r>
    </w:p>
    <w:p w14:paraId="550A781F" w14:textId="2473A302" w:rsidR="001A462E" w:rsidRDefault="006D01CD" w:rsidP="006D01CD">
      <w:pPr>
        <w:pStyle w:val="Point0"/>
        <w:rPr>
          <w:noProof/>
        </w:rPr>
      </w:pPr>
      <w:r w:rsidRPr="006D01CD">
        <w:rPr>
          <w:noProof/>
        </w:rPr>
        <w:t>(c)</w:t>
      </w:r>
      <w:r w:rsidRPr="006D01CD">
        <w:rPr>
          <w:noProof/>
        </w:rPr>
        <w:tab/>
      </w:r>
      <w:r w:rsidR="001A462E" w:rsidRPr="00C52649">
        <w:rPr>
          <w:noProof/>
        </w:rPr>
        <w:t>at the request of the Commission, providing it with expertise</w:t>
      </w:r>
      <w:r w:rsidR="001A462E">
        <w:rPr>
          <w:noProof/>
        </w:rPr>
        <w:t>;</w:t>
      </w:r>
    </w:p>
    <w:p w14:paraId="0DAF1F32" w14:textId="3764789B" w:rsidR="001A462E" w:rsidRPr="00C52649" w:rsidRDefault="006D01CD" w:rsidP="006D01CD">
      <w:pPr>
        <w:pStyle w:val="Point0"/>
        <w:rPr>
          <w:noProof/>
        </w:rPr>
      </w:pPr>
      <w:r w:rsidRPr="006D01CD">
        <w:rPr>
          <w:noProof/>
        </w:rPr>
        <w:t>(d)</w:t>
      </w:r>
      <w:r w:rsidRPr="006D01CD">
        <w:rPr>
          <w:noProof/>
        </w:rPr>
        <w:tab/>
      </w:r>
      <w:r w:rsidR="001A462E" w:rsidRPr="00C52649">
        <w:rPr>
          <w:noProof/>
        </w:rPr>
        <w:t xml:space="preserve">providing expert advice and support to the Commission on matters </w:t>
      </w:r>
      <w:r w:rsidR="00516C95">
        <w:rPr>
          <w:noProof/>
        </w:rPr>
        <w:t xml:space="preserve">relating to the international </w:t>
      </w:r>
      <w:r w:rsidR="001A462E" w:rsidRPr="00C52649">
        <w:rPr>
          <w:noProof/>
        </w:rPr>
        <w:t xml:space="preserve">recognition of European cybersecurity certificates </w:t>
      </w:r>
      <w:r w:rsidR="00516C95">
        <w:rPr>
          <w:noProof/>
        </w:rPr>
        <w:t>in accordance with</w:t>
      </w:r>
      <w:r w:rsidR="001A462E" w:rsidRPr="00C52649">
        <w:rPr>
          <w:noProof/>
        </w:rPr>
        <w:t xml:space="preserve"> Article 87; </w:t>
      </w:r>
    </w:p>
    <w:p w14:paraId="124C8427" w14:textId="110CE972" w:rsidR="001A462E" w:rsidRDefault="006D01CD" w:rsidP="006D01CD">
      <w:pPr>
        <w:pStyle w:val="Point0"/>
        <w:rPr>
          <w:noProof/>
        </w:rPr>
      </w:pPr>
      <w:r w:rsidRPr="006D01CD">
        <w:rPr>
          <w:noProof/>
        </w:rPr>
        <w:t>(e)</w:t>
      </w:r>
      <w:r w:rsidRPr="006D01CD">
        <w:rPr>
          <w:noProof/>
        </w:rPr>
        <w:tab/>
      </w:r>
      <w:r w:rsidR="001A462E" w:rsidRPr="00C52649">
        <w:rPr>
          <w:noProof/>
        </w:rPr>
        <w:t>providing expert advice and support to the Commission on matters concerning international standardisation and engaging with relevant international standardisation organisations, where relevant, in collaboration with the ECCG established under Article 90</w:t>
      </w:r>
      <w:r w:rsidR="001A462E">
        <w:rPr>
          <w:noProof/>
        </w:rPr>
        <w:t>.</w:t>
      </w:r>
    </w:p>
    <w:p w14:paraId="1C768E7B" w14:textId="77777777" w:rsidR="001A462E" w:rsidRPr="008D21E9" w:rsidRDefault="001A462E" w:rsidP="001A462E">
      <w:pPr>
        <w:rPr>
          <w:noProof/>
        </w:rPr>
      </w:pPr>
    </w:p>
    <w:p w14:paraId="44BA23E7" w14:textId="77777777" w:rsidR="003069D5" w:rsidRDefault="003069D5" w:rsidP="001A462E">
      <w:pPr>
        <w:jc w:val="center"/>
        <w:rPr>
          <w:b/>
          <w:bCs/>
          <w:noProof/>
        </w:rPr>
      </w:pPr>
      <w:r>
        <w:rPr>
          <w:b/>
          <w:bCs/>
          <w:noProof/>
        </w:rPr>
        <w:t>Section 2</w:t>
      </w:r>
    </w:p>
    <w:p w14:paraId="3570AA4B" w14:textId="2431E396" w:rsidR="003069D5" w:rsidRDefault="003069D5" w:rsidP="001A462E">
      <w:pPr>
        <w:jc w:val="center"/>
        <w:rPr>
          <w:b/>
          <w:bCs/>
          <w:smallCaps/>
          <w:noProof/>
        </w:rPr>
      </w:pPr>
      <w:r>
        <w:rPr>
          <w:b/>
          <w:bCs/>
          <w:noProof/>
        </w:rPr>
        <w:t xml:space="preserve">Operational </w:t>
      </w:r>
      <w:r w:rsidR="00D311F0">
        <w:rPr>
          <w:b/>
          <w:bCs/>
          <w:noProof/>
        </w:rPr>
        <w:t>C</w:t>
      </w:r>
      <w:r>
        <w:rPr>
          <w:b/>
          <w:bCs/>
          <w:noProof/>
        </w:rPr>
        <w:t>ooperation</w:t>
      </w:r>
    </w:p>
    <w:p w14:paraId="6AAC7CC6" w14:textId="77777777" w:rsidR="001A462E" w:rsidRDefault="001A462E" w:rsidP="001A462E">
      <w:pPr>
        <w:pStyle w:val="Titrearticle"/>
        <w:rPr>
          <w:noProof/>
        </w:rPr>
      </w:pPr>
      <w:r>
        <w:rPr>
          <w:noProof/>
        </w:rPr>
        <w:t>Article 10</w:t>
      </w:r>
      <w:r>
        <w:rPr>
          <w:noProof/>
        </w:rPr>
        <w:br/>
        <w:t>Operational cooperation at Union level</w:t>
      </w:r>
    </w:p>
    <w:p w14:paraId="763BA9F8" w14:textId="3D2A0BA1" w:rsidR="001A462E" w:rsidRPr="003E79AE" w:rsidRDefault="006D01CD" w:rsidP="006D01CD">
      <w:pPr>
        <w:pStyle w:val="ManualNumPar1"/>
        <w:rPr>
          <w:noProof/>
        </w:rPr>
      </w:pPr>
      <w:r w:rsidRPr="006D01CD">
        <w:rPr>
          <w:noProof/>
        </w:rPr>
        <w:t>1.</w:t>
      </w:r>
      <w:r w:rsidRPr="006D01CD">
        <w:rPr>
          <w:noProof/>
        </w:rPr>
        <w:tab/>
      </w:r>
      <w:r w:rsidR="001A462E" w:rsidRPr="006827F2">
        <w:rPr>
          <w:noProof/>
        </w:rPr>
        <w:t xml:space="preserve">ENISA shall support operational cooperation among Member States, Union entities </w:t>
      </w:r>
      <w:r w:rsidR="001A462E">
        <w:rPr>
          <w:noProof/>
        </w:rPr>
        <w:t>through</w:t>
      </w:r>
      <w:r w:rsidR="001A462E" w:rsidRPr="006827F2">
        <w:rPr>
          <w:noProof/>
        </w:rPr>
        <w:t xml:space="preserve"> CERT-EU, and between other stakeholders</w:t>
      </w:r>
      <w:r w:rsidR="001A462E" w:rsidRPr="003E79AE">
        <w:rPr>
          <w:noProof/>
        </w:rPr>
        <w:t>.</w:t>
      </w:r>
    </w:p>
    <w:p w14:paraId="69F47A77" w14:textId="7496182A" w:rsidR="001A462E" w:rsidRDefault="006D01CD" w:rsidP="006D01CD">
      <w:pPr>
        <w:pStyle w:val="ManualNumPar1"/>
        <w:rPr>
          <w:noProof/>
        </w:rPr>
      </w:pPr>
      <w:r w:rsidRPr="006D01CD">
        <w:rPr>
          <w:noProof/>
        </w:rPr>
        <w:t>2.</w:t>
      </w:r>
      <w:r w:rsidRPr="006D01CD">
        <w:rPr>
          <w:noProof/>
        </w:rPr>
        <w:tab/>
      </w:r>
      <w:r w:rsidR="001A462E" w:rsidRPr="001C7A7B">
        <w:rPr>
          <w:noProof/>
        </w:rPr>
        <w:t>ENISA shall be a member of the network of national CSIRTs established pursuant to Article 15(1) of Directive (EU) 2022/2555 and shall provide the secretariat of the CSIRTs network pursuant to Article 15(2) of Directive (EU) 2022/2555</w:t>
      </w:r>
      <w:r w:rsidR="001A462E" w:rsidRPr="003E79AE">
        <w:rPr>
          <w:noProof/>
        </w:rPr>
        <w:t>.</w:t>
      </w:r>
    </w:p>
    <w:p w14:paraId="630B0C4F" w14:textId="20B255E6" w:rsidR="001A462E" w:rsidRDefault="006D01CD" w:rsidP="006D01CD">
      <w:pPr>
        <w:pStyle w:val="ManualNumPar1"/>
        <w:rPr>
          <w:noProof/>
        </w:rPr>
      </w:pPr>
      <w:r w:rsidRPr="006D01CD">
        <w:rPr>
          <w:noProof/>
        </w:rPr>
        <w:t>3.</w:t>
      </w:r>
      <w:r w:rsidRPr="006D01CD">
        <w:rPr>
          <w:noProof/>
        </w:rPr>
        <w:tab/>
      </w:r>
      <w:r w:rsidR="001A462E">
        <w:rPr>
          <w:noProof/>
        </w:rPr>
        <w:t xml:space="preserve">ENISA shall provide the secretariat of </w:t>
      </w:r>
      <w:r w:rsidR="001A462E" w:rsidRPr="003E356B">
        <w:rPr>
          <w:noProof/>
        </w:rPr>
        <w:t xml:space="preserve">the European cyber crisis liaison organisation network </w:t>
      </w:r>
      <w:r w:rsidR="001A462E">
        <w:rPr>
          <w:noProof/>
        </w:rPr>
        <w:t>(EU-CyCLONe) pursuant to Article 16(2), second subparagraph, of Directive (EU) 2022/2555.</w:t>
      </w:r>
    </w:p>
    <w:p w14:paraId="39E40DD0" w14:textId="0F2BDC62" w:rsidR="001A462E" w:rsidRDefault="006D01CD" w:rsidP="006D01CD">
      <w:pPr>
        <w:pStyle w:val="ManualNumPar1"/>
        <w:rPr>
          <w:noProof/>
        </w:rPr>
      </w:pPr>
      <w:r w:rsidRPr="006D01CD">
        <w:rPr>
          <w:noProof/>
        </w:rPr>
        <w:t>4.</w:t>
      </w:r>
      <w:r w:rsidRPr="006D01CD">
        <w:rPr>
          <w:noProof/>
        </w:rPr>
        <w:tab/>
      </w:r>
      <w:r w:rsidR="001A462E" w:rsidRPr="001C7A7B">
        <w:rPr>
          <w:noProof/>
        </w:rPr>
        <w:t>ENISA shall support technical and operational cooperation among Member States, in particular through the CSIRTs network and EU-CyCLONe. Such support shall include</w:t>
      </w:r>
      <w:r w:rsidR="001A462E" w:rsidRPr="003E79AE">
        <w:rPr>
          <w:noProof/>
        </w:rPr>
        <w:t>:</w:t>
      </w:r>
    </w:p>
    <w:p w14:paraId="7CF2B99A" w14:textId="58ECCAC5" w:rsidR="001A462E" w:rsidRDefault="006D01CD" w:rsidP="006D01CD">
      <w:pPr>
        <w:pStyle w:val="Point1"/>
        <w:rPr>
          <w:noProof/>
        </w:rPr>
      </w:pPr>
      <w:r w:rsidRPr="006D01CD">
        <w:rPr>
          <w:noProof/>
        </w:rPr>
        <w:t>(a)</w:t>
      </w:r>
      <w:r w:rsidRPr="006D01CD">
        <w:rPr>
          <w:noProof/>
        </w:rPr>
        <w:tab/>
      </w:r>
      <w:r w:rsidR="001A462E" w:rsidRPr="001C7A7B">
        <w:rPr>
          <w:noProof/>
        </w:rPr>
        <w:t>advising on improvement of capabilities to prevent, detect, respond to and recover from incidents</w:t>
      </w:r>
      <w:r w:rsidR="001A462E">
        <w:rPr>
          <w:noProof/>
        </w:rPr>
        <w:t>;</w:t>
      </w:r>
    </w:p>
    <w:p w14:paraId="06C74F5F" w14:textId="61536F96" w:rsidR="001A462E" w:rsidRDefault="006D01CD" w:rsidP="006D01CD">
      <w:pPr>
        <w:pStyle w:val="Point1"/>
        <w:rPr>
          <w:noProof/>
        </w:rPr>
      </w:pPr>
      <w:r w:rsidRPr="006D01CD">
        <w:rPr>
          <w:noProof/>
        </w:rPr>
        <w:t>(b)</w:t>
      </w:r>
      <w:r w:rsidRPr="006D01CD">
        <w:rPr>
          <w:noProof/>
        </w:rPr>
        <w:tab/>
      </w:r>
      <w:r w:rsidR="001A462E" w:rsidRPr="001C7A7B">
        <w:rPr>
          <w:noProof/>
        </w:rPr>
        <w:t>at the request of one or more Member States, providing advice and assessments in relation to a specific potential or ongoing incident or cyber threat, including through the provision of expertise and facilitating the technical handling of such incidents, and through supporting the voluntary sharing of relevant information and technical solutions between Member States</w:t>
      </w:r>
      <w:r w:rsidR="001A462E">
        <w:rPr>
          <w:noProof/>
        </w:rPr>
        <w:t>;</w:t>
      </w:r>
    </w:p>
    <w:p w14:paraId="273C9DE5" w14:textId="2C0BF219" w:rsidR="001A462E" w:rsidRDefault="006D01CD" w:rsidP="006D01CD">
      <w:pPr>
        <w:pStyle w:val="Point1"/>
        <w:rPr>
          <w:noProof/>
        </w:rPr>
      </w:pPr>
      <w:r w:rsidRPr="006D01CD">
        <w:rPr>
          <w:noProof/>
        </w:rPr>
        <w:t>(c)</w:t>
      </w:r>
      <w:r w:rsidRPr="006D01CD">
        <w:rPr>
          <w:noProof/>
        </w:rPr>
        <w:tab/>
      </w:r>
      <w:r w:rsidR="001A462E" w:rsidRPr="003E79AE">
        <w:rPr>
          <w:noProof/>
        </w:rPr>
        <w:t>analysing vulnerabilities, threats and incidents</w:t>
      </w:r>
      <w:r w:rsidR="001A462E">
        <w:rPr>
          <w:noProof/>
        </w:rPr>
        <w:t>;</w:t>
      </w:r>
    </w:p>
    <w:p w14:paraId="5B821E60" w14:textId="3CABF612" w:rsidR="001A462E" w:rsidRDefault="006D01CD" w:rsidP="006D01CD">
      <w:pPr>
        <w:pStyle w:val="Point1"/>
        <w:rPr>
          <w:noProof/>
        </w:rPr>
      </w:pPr>
      <w:r w:rsidRPr="006D01CD">
        <w:rPr>
          <w:noProof/>
        </w:rPr>
        <w:t>(d)</w:t>
      </w:r>
      <w:r w:rsidRPr="006D01CD">
        <w:rPr>
          <w:noProof/>
        </w:rPr>
        <w:tab/>
      </w:r>
      <w:r w:rsidR="001A462E" w:rsidRPr="001C7A7B">
        <w:rPr>
          <w:noProof/>
        </w:rPr>
        <w:t xml:space="preserve">at the request of one or more Member States, providing support in relation to </w:t>
      </w:r>
      <w:r w:rsidR="001A462E" w:rsidRPr="001C7A7B">
        <w:rPr>
          <w:i/>
          <w:iCs/>
          <w:noProof/>
        </w:rPr>
        <w:t>ex</w:t>
      </w:r>
      <w:r w:rsidR="001A462E">
        <w:rPr>
          <w:i/>
          <w:iCs/>
          <w:noProof/>
        </w:rPr>
        <w:t xml:space="preserve"> </w:t>
      </w:r>
      <w:r w:rsidR="001A462E" w:rsidRPr="001C7A7B">
        <w:rPr>
          <w:i/>
          <w:iCs/>
          <w:noProof/>
        </w:rPr>
        <w:t>post</w:t>
      </w:r>
      <w:r w:rsidR="001A462E" w:rsidRPr="001C7A7B">
        <w:rPr>
          <w:noProof/>
        </w:rPr>
        <w:t xml:space="preserve"> technical inquiries regarding significant incidents within the meaning of </w:t>
      </w:r>
      <w:r w:rsidR="001A462E">
        <w:rPr>
          <w:noProof/>
        </w:rPr>
        <w:t xml:space="preserve">Article 23(3) </w:t>
      </w:r>
      <w:r w:rsidR="001A462E" w:rsidRPr="001C7A7B">
        <w:rPr>
          <w:noProof/>
        </w:rPr>
        <w:t>of Directive (EU) 2022/2555</w:t>
      </w:r>
      <w:r w:rsidR="001A462E">
        <w:rPr>
          <w:noProof/>
        </w:rPr>
        <w:t>;</w:t>
      </w:r>
    </w:p>
    <w:p w14:paraId="29D42DF4" w14:textId="183B795F" w:rsidR="001A462E" w:rsidRDefault="006D01CD" w:rsidP="006D01CD">
      <w:pPr>
        <w:pStyle w:val="Point1"/>
        <w:rPr>
          <w:noProof/>
        </w:rPr>
      </w:pPr>
      <w:r w:rsidRPr="006D01CD">
        <w:rPr>
          <w:noProof/>
        </w:rPr>
        <w:t>(e)</w:t>
      </w:r>
      <w:r w:rsidRPr="006D01CD">
        <w:rPr>
          <w:noProof/>
        </w:rPr>
        <w:tab/>
      </w:r>
      <w:r w:rsidR="001A462E" w:rsidRPr="001C7A7B">
        <w:rPr>
          <w:noProof/>
        </w:rPr>
        <w:t>contributing to supporting the coordinated management of large-scale cybersecurity incidents and crises at operational level, in particular by assisting EU-CyCLONe in preparing reports to political level and by facilitating timely information</w:t>
      </w:r>
      <w:r w:rsidR="001A462E">
        <w:rPr>
          <w:noProof/>
        </w:rPr>
        <w:t xml:space="preserve"> </w:t>
      </w:r>
      <w:r w:rsidR="001A462E" w:rsidRPr="001C7A7B">
        <w:rPr>
          <w:noProof/>
        </w:rPr>
        <w:t>sharing between the CSIRTs network and EU-CyCLONe</w:t>
      </w:r>
      <w:r w:rsidR="001A462E">
        <w:rPr>
          <w:noProof/>
        </w:rPr>
        <w:t>;</w:t>
      </w:r>
    </w:p>
    <w:p w14:paraId="4BF3C4C1" w14:textId="523361CB" w:rsidR="0074565D" w:rsidRDefault="006D01CD" w:rsidP="006D01CD">
      <w:pPr>
        <w:pStyle w:val="ManualNumPar1"/>
        <w:rPr>
          <w:noProof/>
        </w:rPr>
      </w:pPr>
      <w:r w:rsidRPr="006D01CD">
        <w:rPr>
          <w:noProof/>
        </w:rPr>
        <w:t>5.</w:t>
      </w:r>
      <w:r w:rsidRPr="006D01CD">
        <w:rPr>
          <w:noProof/>
        </w:rPr>
        <w:tab/>
      </w:r>
      <w:r w:rsidR="001A462E">
        <w:rPr>
          <w:noProof/>
        </w:rPr>
        <w:t>At the request of a Member State or a Union entity in cooperation with CERT-EU, ENISA shall support consistent public communication relating to an incident or cyber threat</w:t>
      </w:r>
      <w:r w:rsidR="0074565D">
        <w:rPr>
          <w:noProof/>
        </w:rPr>
        <w:t>.</w:t>
      </w:r>
    </w:p>
    <w:p w14:paraId="61CFF528" w14:textId="4E1172B9" w:rsidR="001A462E" w:rsidRPr="005E7B38" w:rsidRDefault="006D01CD" w:rsidP="006D01CD">
      <w:pPr>
        <w:pStyle w:val="ManualNumPar1"/>
        <w:rPr>
          <w:noProof/>
        </w:rPr>
      </w:pPr>
      <w:r w:rsidRPr="006D01CD">
        <w:rPr>
          <w:noProof/>
        </w:rPr>
        <w:t>6.</w:t>
      </w:r>
      <w:r w:rsidRPr="006D01CD">
        <w:rPr>
          <w:noProof/>
        </w:rPr>
        <w:tab/>
      </w:r>
      <w:r w:rsidR="001A462E">
        <w:rPr>
          <w:noProof/>
        </w:rPr>
        <w:t xml:space="preserve">ENISA shall support cooperation among Member States and through CERT-EU among Union entities with regard to the deployment of secure communications tools. ENISA shall use within the CSIRTs network and EU-CyCLONe secure communications tools which are provided by legal entities </w:t>
      </w:r>
      <w:r w:rsidR="001B2849" w:rsidRPr="001B2849">
        <w:rPr>
          <w:noProof/>
        </w:rPr>
        <w:t>established or deemed to be established in the Union and controlled by Member States or by nationals of Member States</w:t>
      </w:r>
      <w:r w:rsidR="001A462E">
        <w:rPr>
          <w:noProof/>
        </w:rPr>
        <w:t>.</w:t>
      </w:r>
    </w:p>
    <w:p w14:paraId="01FCDF98" w14:textId="77777777" w:rsidR="001A462E" w:rsidRDefault="001A462E" w:rsidP="001A462E">
      <w:pPr>
        <w:pStyle w:val="Titrearticle"/>
        <w:rPr>
          <w:noProof/>
        </w:rPr>
      </w:pPr>
      <w:r>
        <w:rPr>
          <w:noProof/>
        </w:rPr>
        <w:t>Article 11</w:t>
      </w:r>
      <w:r>
        <w:rPr>
          <w:noProof/>
        </w:rPr>
        <w:br/>
        <w:t>Shared cybersecurity situational awareness</w:t>
      </w:r>
    </w:p>
    <w:p w14:paraId="5D1A7873" w14:textId="3924A66D" w:rsidR="001A462E" w:rsidRDefault="006D01CD" w:rsidP="006D01CD">
      <w:pPr>
        <w:pStyle w:val="ManualNumPar1"/>
        <w:rPr>
          <w:noProof/>
        </w:rPr>
      </w:pPr>
      <w:r w:rsidRPr="006D01CD">
        <w:rPr>
          <w:noProof/>
        </w:rPr>
        <w:t>1.</w:t>
      </w:r>
      <w:r w:rsidRPr="006D01CD">
        <w:rPr>
          <w:noProof/>
        </w:rPr>
        <w:tab/>
      </w:r>
      <w:r w:rsidR="001A462E" w:rsidRPr="00AC5D04">
        <w:rPr>
          <w:noProof/>
        </w:rPr>
        <w:t xml:space="preserve">For the purposes of an enhanced shared situational awareness of the cyber threat </w:t>
      </w:r>
      <w:r w:rsidR="001A462E">
        <w:rPr>
          <w:noProof/>
        </w:rPr>
        <w:t xml:space="preserve">and incident </w:t>
      </w:r>
      <w:r w:rsidR="001A462E" w:rsidRPr="00AC5D04">
        <w:rPr>
          <w:noProof/>
        </w:rPr>
        <w:t xml:space="preserve">landscape among Member States and </w:t>
      </w:r>
      <w:r w:rsidR="001A462E">
        <w:rPr>
          <w:noProof/>
        </w:rPr>
        <w:t xml:space="preserve">among </w:t>
      </w:r>
      <w:r w:rsidR="001A462E" w:rsidRPr="00AC5D04">
        <w:rPr>
          <w:noProof/>
        </w:rPr>
        <w:t xml:space="preserve">Union </w:t>
      </w:r>
      <w:r w:rsidR="001A462E">
        <w:rPr>
          <w:noProof/>
        </w:rPr>
        <w:t>entities</w:t>
      </w:r>
      <w:r w:rsidR="001A462E" w:rsidRPr="00AC5D04">
        <w:rPr>
          <w:noProof/>
        </w:rPr>
        <w:t>, ENISA shall</w:t>
      </w:r>
      <w:r w:rsidR="001A462E">
        <w:rPr>
          <w:noProof/>
        </w:rPr>
        <w:t>:</w:t>
      </w:r>
    </w:p>
    <w:p w14:paraId="5B8BB064" w14:textId="1EA849D1" w:rsidR="001A462E" w:rsidRDefault="006D01CD" w:rsidP="006D01CD">
      <w:pPr>
        <w:pStyle w:val="Point1"/>
        <w:rPr>
          <w:noProof/>
        </w:rPr>
      </w:pPr>
      <w:r w:rsidRPr="006D01CD">
        <w:rPr>
          <w:noProof/>
        </w:rPr>
        <w:t>(a)</w:t>
      </w:r>
      <w:r w:rsidRPr="006D01CD">
        <w:rPr>
          <w:noProof/>
        </w:rPr>
        <w:tab/>
      </w:r>
      <w:r w:rsidR="001A462E">
        <w:rPr>
          <w:noProof/>
        </w:rPr>
        <w:t>develop in cooperation with EU-CyCLONe, the CSIRTs network, the Commission, CERT-EU, Europol and other relevant Union entities, repositories of verified, reliable cyber threat intelligence, including trends in incidents, tactics, techniques and procedures;</w:t>
      </w:r>
    </w:p>
    <w:p w14:paraId="18FACA4A" w14:textId="2066B130" w:rsidR="001A462E" w:rsidRDefault="006D01CD" w:rsidP="006D01CD">
      <w:pPr>
        <w:pStyle w:val="Point1"/>
        <w:rPr>
          <w:noProof/>
        </w:rPr>
      </w:pPr>
      <w:r w:rsidRPr="006D01CD">
        <w:rPr>
          <w:noProof/>
        </w:rPr>
        <w:t>(b)</w:t>
      </w:r>
      <w:r w:rsidRPr="006D01CD">
        <w:rPr>
          <w:noProof/>
        </w:rPr>
        <w:tab/>
      </w:r>
      <w:r w:rsidR="001A462E">
        <w:rPr>
          <w:noProof/>
        </w:rPr>
        <w:t xml:space="preserve">in accordance with Article 12, </w:t>
      </w:r>
      <w:r w:rsidR="001A462E" w:rsidRPr="004C7672">
        <w:rPr>
          <w:noProof/>
        </w:rPr>
        <w:t>issue</w:t>
      </w:r>
      <w:r w:rsidR="001A462E">
        <w:rPr>
          <w:noProof/>
        </w:rPr>
        <w:t xml:space="preserve"> </w:t>
      </w:r>
      <w:r w:rsidR="001A462E" w:rsidRPr="00E967AD">
        <w:rPr>
          <w:noProof/>
        </w:rPr>
        <w:t xml:space="preserve">early </w:t>
      </w:r>
      <w:r w:rsidR="001A462E">
        <w:rPr>
          <w:noProof/>
        </w:rPr>
        <w:t>alerts of a potential or ongoing significant or large-scale incident, or a cyber threat of a potential cross-border nature, in particular in relation to sectors listed in Annexes I and II to Directive (EU) 2022/2555;</w:t>
      </w:r>
    </w:p>
    <w:p w14:paraId="682F4A2E" w14:textId="4458DEC3" w:rsidR="001A462E" w:rsidRDefault="006D01CD" w:rsidP="006D01CD">
      <w:pPr>
        <w:pStyle w:val="Point1"/>
        <w:rPr>
          <w:noProof/>
        </w:rPr>
      </w:pPr>
      <w:r w:rsidRPr="006D01CD">
        <w:rPr>
          <w:noProof/>
        </w:rPr>
        <w:t>(c)</w:t>
      </w:r>
      <w:r w:rsidRPr="006D01CD">
        <w:rPr>
          <w:noProof/>
        </w:rPr>
        <w:tab/>
      </w:r>
      <w:r w:rsidR="001A462E">
        <w:rPr>
          <w:noProof/>
        </w:rPr>
        <w:t xml:space="preserve">provide timely </w:t>
      </w:r>
      <w:r w:rsidR="001A462E" w:rsidRPr="006879B9">
        <w:rPr>
          <w:noProof/>
        </w:rPr>
        <w:t>ad hoc</w:t>
      </w:r>
      <w:r w:rsidR="001A462E">
        <w:rPr>
          <w:noProof/>
        </w:rPr>
        <w:t xml:space="preserve"> analyses on emerging trends in incidents upon request of the CSIRTs network, EU-CyCLONe, or the Commission;</w:t>
      </w:r>
    </w:p>
    <w:p w14:paraId="793DA39E" w14:textId="73920864" w:rsidR="001A462E" w:rsidRDefault="006D01CD" w:rsidP="006D01CD">
      <w:pPr>
        <w:pStyle w:val="Point1"/>
        <w:rPr>
          <w:noProof/>
        </w:rPr>
      </w:pPr>
      <w:r w:rsidRPr="006D01CD">
        <w:rPr>
          <w:noProof/>
        </w:rPr>
        <w:t>(d)</w:t>
      </w:r>
      <w:r w:rsidRPr="006D01CD">
        <w:rPr>
          <w:noProof/>
        </w:rPr>
        <w:tab/>
      </w:r>
      <w:r w:rsidR="001A462E" w:rsidRPr="5AA8A4CE">
        <w:rPr>
          <w:noProof/>
        </w:rPr>
        <w:t>provide</w:t>
      </w:r>
      <w:r w:rsidR="001A462E">
        <w:rPr>
          <w:noProof/>
        </w:rPr>
        <w:t xml:space="preserve">, at </w:t>
      </w:r>
      <w:r w:rsidR="001A462E" w:rsidRPr="5AA8A4CE">
        <w:rPr>
          <w:noProof/>
        </w:rPr>
        <w:t xml:space="preserve">the request </w:t>
      </w:r>
      <w:r w:rsidR="001A462E">
        <w:rPr>
          <w:noProof/>
        </w:rPr>
        <w:t>of</w:t>
      </w:r>
      <w:r w:rsidR="001A462E" w:rsidRPr="5AA8A4CE">
        <w:rPr>
          <w:noProof/>
        </w:rPr>
        <w:t xml:space="preserve"> Member State</w:t>
      </w:r>
      <w:r w:rsidR="001A462E">
        <w:rPr>
          <w:noProof/>
        </w:rPr>
        <w:t>s</w:t>
      </w:r>
      <w:r w:rsidR="001A462E" w:rsidRPr="5AA8A4CE">
        <w:rPr>
          <w:noProof/>
        </w:rPr>
        <w:t xml:space="preserve"> or the Commission</w:t>
      </w:r>
      <w:r w:rsidR="001A462E">
        <w:rPr>
          <w:noProof/>
        </w:rPr>
        <w:t>,</w:t>
      </w:r>
      <w:r w:rsidR="001A462E" w:rsidRPr="5AA8A4CE">
        <w:rPr>
          <w:noProof/>
        </w:rPr>
        <w:t xml:space="preserve"> analysis or other information regarding an actual or perceived cybersecurity risk</w:t>
      </w:r>
      <w:r w:rsidR="001A462E">
        <w:rPr>
          <w:noProof/>
        </w:rPr>
        <w:t xml:space="preserve"> or</w:t>
      </w:r>
      <w:r w:rsidR="001A462E" w:rsidRPr="5AA8A4CE">
        <w:rPr>
          <w:noProof/>
        </w:rPr>
        <w:t xml:space="preserve"> threat</w:t>
      </w:r>
      <w:r w:rsidR="001A462E">
        <w:rPr>
          <w:noProof/>
        </w:rPr>
        <w:t>;</w:t>
      </w:r>
    </w:p>
    <w:p w14:paraId="4CBAED97" w14:textId="0AB241C6" w:rsidR="001A462E" w:rsidRDefault="006D01CD" w:rsidP="006D01CD">
      <w:pPr>
        <w:pStyle w:val="Point1"/>
        <w:rPr>
          <w:noProof/>
        </w:rPr>
      </w:pPr>
      <w:r w:rsidRPr="006D01CD">
        <w:rPr>
          <w:noProof/>
        </w:rPr>
        <w:t>(e)</w:t>
      </w:r>
      <w:r w:rsidRPr="006D01CD">
        <w:rPr>
          <w:noProof/>
        </w:rPr>
        <w:tab/>
      </w:r>
      <w:r w:rsidR="001A462E">
        <w:rPr>
          <w:noProof/>
        </w:rPr>
        <w:t xml:space="preserve">provide analysis and technical advice </w:t>
      </w:r>
      <w:r w:rsidR="001A462E" w:rsidRPr="00654A97">
        <w:rPr>
          <w:noProof/>
        </w:rPr>
        <w:t>regarding cybersecurity risks in products with digital elements</w:t>
      </w:r>
      <w:r w:rsidR="001A462E">
        <w:rPr>
          <w:noProof/>
        </w:rPr>
        <w:t>, including to support market surveillance and by drawing up a biennial technical report</w:t>
      </w:r>
      <w:r w:rsidR="001A462E" w:rsidRPr="00654A97">
        <w:rPr>
          <w:noProof/>
        </w:rPr>
        <w:t xml:space="preserve"> </w:t>
      </w:r>
      <w:r w:rsidR="001A462E">
        <w:rPr>
          <w:noProof/>
        </w:rPr>
        <w:t>on emerging trends</w:t>
      </w:r>
      <w:r w:rsidR="001A462E" w:rsidRPr="00654A97">
        <w:rPr>
          <w:noProof/>
        </w:rPr>
        <w:t xml:space="preserve"> </w:t>
      </w:r>
      <w:r w:rsidR="001A462E">
        <w:rPr>
          <w:noProof/>
        </w:rPr>
        <w:t>in accordance with Article 17(3) of Regulation (EU) 2024/2847;</w:t>
      </w:r>
    </w:p>
    <w:p w14:paraId="3A39AA2C" w14:textId="194517E4" w:rsidR="001A462E" w:rsidRDefault="006D01CD" w:rsidP="006D01CD">
      <w:pPr>
        <w:pStyle w:val="Point1"/>
        <w:rPr>
          <w:noProof/>
        </w:rPr>
      </w:pPr>
      <w:r w:rsidRPr="006D01CD">
        <w:rPr>
          <w:noProof/>
        </w:rPr>
        <w:t>(f)</w:t>
      </w:r>
      <w:r w:rsidRPr="006D01CD">
        <w:rPr>
          <w:noProof/>
        </w:rPr>
        <w:tab/>
      </w:r>
      <w:r w:rsidR="001A462E">
        <w:rPr>
          <w:noProof/>
        </w:rPr>
        <w:t xml:space="preserve">prepare </w:t>
      </w:r>
      <w:r w:rsidR="001A462E" w:rsidRPr="00760D11">
        <w:rPr>
          <w:noProof/>
        </w:rPr>
        <w:t xml:space="preserve">a regular in-depth </w:t>
      </w:r>
      <w:r w:rsidR="001A462E">
        <w:rPr>
          <w:noProof/>
        </w:rPr>
        <w:t xml:space="preserve">EU Cybersecurity Technical Situation Report </w:t>
      </w:r>
      <w:r w:rsidR="001A462E" w:rsidRPr="00760D11">
        <w:rPr>
          <w:noProof/>
        </w:rPr>
        <w:t>on incidents and cyber threats</w:t>
      </w:r>
      <w:r w:rsidR="001A462E">
        <w:rPr>
          <w:noProof/>
        </w:rPr>
        <w:t xml:space="preserve">, </w:t>
      </w:r>
      <w:bookmarkStart w:id="7" w:name="_Hlk217057960"/>
      <w:r w:rsidR="001A462E">
        <w:rPr>
          <w:noProof/>
        </w:rPr>
        <w:t>and make the report available to the Council, EU-CyCLONe, the CSIRTs network, the Commission</w:t>
      </w:r>
      <w:r w:rsidR="00EB26E4">
        <w:rPr>
          <w:noProof/>
        </w:rPr>
        <w:t xml:space="preserve">, the </w:t>
      </w:r>
      <w:r w:rsidR="00E35151">
        <w:rPr>
          <w:noProof/>
        </w:rPr>
        <w:t>European External Action Service</w:t>
      </w:r>
      <w:r w:rsidR="00D363AB">
        <w:rPr>
          <w:noProof/>
        </w:rPr>
        <w:t xml:space="preserve"> and </w:t>
      </w:r>
      <w:r w:rsidR="001A462E">
        <w:rPr>
          <w:noProof/>
        </w:rPr>
        <w:t>Europol;</w:t>
      </w:r>
      <w:bookmarkEnd w:id="7"/>
    </w:p>
    <w:p w14:paraId="51423E8A" w14:textId="444EACB9" w:rsidR="001A462E" w:rsidRDefault="006D01CD" w:rsidP="006D01CD">
      <w:pPr>
        <w:pStyle w:val="Point1"/>
        <w:rPr>
          <w:noProof/>
        </w:rPr>
      </w:pPr>
      <w:r w:rsidRPr="006D01CD">
        <w:rPr>
          <w:noProof/>
        </w:rPr>
        <w:t>(g)</w:t>
      </w:r>
      <w:r w:rsidRPr="006D01CD">
        <w:rPr>
          <w:noProof/>
        </w:rPr>
        <w:tab/>
      </w:r>
      <w:r w:rsidR="001A462E">
        <w:rPr>
          <w:noProof/>
        </w:rPr>
        <w:t xml:space="preserve">monitor </w:t>
      </w:r>
      <w:r w:rsidR="001A462E" w:rsidRPr="0070768B">
        <w:rPr>
          <w:noProof/>
        </w:rPr>
        <w:t xml:space="preserve">trends in techniques, demands and </w:t>
      </w:r>
      <w:r w:rsidR="001A462E">
        <w:rPr>
          <w:noProof/>
        </w:rPr>
        <w:t>impact</w:t>
      </w:r>
      <w:r w:rsidR="001A462E" w:rsidRPr="0070768B">
        <w:rPr>
          <w:noProof/>
        </w:rPr>
        <w:t xml:space="preserve"> of </w:t>
      </w:r>
      <w:r w:rsidR="001A462E">
        <w:rPr>
          <w:noProof/>
        </w:rPr>
        <w:t xml:space="preserve">ransomware </w:t>
      </w:r>
      <w:r w:rsidR="001A462E" w:rsidRPr="0070768B">
        <w:rPr>
          <w:noProof/>
        </w:rPr>
        <w:t>attacks</w:t>
      </w:r>
      <w:r w:rsidR="001A462E">
        <w:rPr>
          <w:noProof/>
        </w:rPr>
        <w:t xml:space="preserve"> and provide information about such trends to the Commission, the CSIRTs network and EU-CyCLONe and Europol.</w:t>
      </w:r>
    </w:p>
    <w:p w14:paraId="756604D4" w14:textId="78B49F42" w:rsidR="001A462E" w:rsidRDefault="006D01CD" w:rsidP="006D01CD">
      <w:pPr>
        <w:pStyle w:val="ManualNumPar1"/>
        <w:rPr>
          <w:noProof/>
        </w:rPr>
      </w:pPr>
      <w:r w:rsidRPr="006D01CD">
        <w:rPr>
          <w:noProof/>
        </w:rPr>
        <w:t>2.</w:t>
      </w:r>
      <w:r w:rsidRPr="006D01CD">
        <w:rPr>
          <w:noProof/>
        </w:rPr>
        <w:tab/>
      </w:r>
      <w:r w:rsidR="001A462E" w:rsidRPr="00AC5D04">
        <w:rPr>
          <w:noProof/>
        </w:rPr>
        <w:t xml:space="preserve">For the purposes of an enhanced shared situational awareness of the cyber threat </w:t>
      </w:r>
      <w:r w:rsidR="001A462E">
        <w:rPr>
          <w:noProof/>
        </w:rPr>
        <w:t xml:space="preserve">and incident </w:t>
      </w:r>
      <w:r w:rsidR="001A462E" w:rsidRPr="00AC5D04">
        <w:rPr>
          <w:noProof/>
        </w:rPr>
        <w:t>landscape among</w:t>
      </w:r>
      <w:r w:rsidR="001A462E">
        <w:rPr>
          <w:noProof/>
        </w:rPr>
        <w:t xml:space="preserve"> stakeholders, ENISA shall:</w:t>
      </w:r>
    </w:p>
    <w:p w14:paraId="65D42AE8" w14:textId="7EBB7641" w:rsidR="001A462E" w:rsidRDefault="006D01CD" w:rsidP="006D01CD">
      <w:pPr>
        <w:pStyle w:val="Point1"/>
        <w:rPr>
          <w:noProof/>
        </w:rPr>
      </w:pPr>
      <w:r w:rsidRPr="006D01CD">
        <w:rPr>
          <w:noProof/>
        </w:rPr>
        <w:t>(a)</w:t>
      </w:r>
      <w:r w:rsidRPr="006D01CD">
        <w:rPr>
          <w:noProof/>
        </w:rPr>
        <w:tab/>
      </w:r>
      <w:r w:rsidR="001A462E" w:rsidRPr="0095117B">
        <w:rPr>
          <w:noProof/>
        </w:rPr>
        <w:t>perform analyses of cyber threats, incidents, trends, emerging technologies and their impacts, including a regular analysis addressing sectors listed in Annexes I and II to Directive (EU) 2022/2555</w:t>
      </w:r>
      <w:r w:rsidR="001A462E">
        <w:rPr>
          <w:noProof/>
        </w:rPr>
        <w:t xml:space="preserve"> and relevant product categories covered by Regulation (EU) 2024/2847;</w:t>
      </w:r>
    </w:p>
    <w:p w14:paraId="177EE3B8" w14:textId="756A0129" w:rsidR="001A462E" w:rsidRDefault="006D01CD" w:rsidP="006D01CD">
      <w:pPr>
        <w:pStyle w:val="Point1"/>
        <w:rPr>
          <w:noProof/>
        </w:rPr>
      </w:pPr>
      <w:r w:rsidRPr="006D01CD">
        <w:rPr>
          <w:noProof/>
        </w:rPr>
        <w:t>(b)</w:t>
      </w:r>
      <w:r w:rsidRPr="006D01CD">
        <w:rPr>
          <w:noProof/>
        </w:rPr>
        <w:tab/>
      </w:r>
      <w:r w:rsidR="001A462E" w:rsidRPr="0095117B">
        <w:rPr>
          <w:noProof/>
        </w:rPr>
        <w:t>issue, in cooperation with the Commission, and, where appropriate</w:t>
      </w:r>
      <w:r w:rsidR="001A462E">
        <w:rPr>
          <w:noProof/>
        </w:rPr>
        <w:t>,</w:t>
      </w:r>
      <w:r w:rsidR="001A462E" w:rsidRPr="0095117B">
        <w:rPr>
          <w:noProof/>
        </w:rPr>
        <w:t xml:space="preserve"> the CSIRTs network, advice, guidance and best practices for the security of network and information systems, in particular for the security of the infrastructures supporting the sectors listed in Annexes I and II to Directive (EU) 2022/2555</w:t>
      </w:r>
      <w:r w:rsidR="001A462E">
        <w:rPr>
          <w:noProof/>
        </w:rPr>
        <w:t>;</w:t>
      </w:r>
    </w:p>
    <w:p w14:paraId="79F2D0B9" w14:textId="78B93D1A" w:rsidR="001A462E" w:rsidRDefault="006D01CD" w:rsidP="006D01CD">
      <w:pPr>
        <w:pStyle w:val="Point1"/>
        <w:rPr>
          <w:noProof/>
        </w:rPr>
      </w:pPr>
      <w:r w:rsidRPr="006D01CD">
        <w:rPr>
          <w:noProof/>
        </w:rPr>
        <w:t>(c)</w:t>
      </w:r>
      <w:r w:rsidRPr="006D01CD">
        <w:rPr>
          <w:noProof/>
        </w:rPr>
        <w:tab/>
      </w:r>
      <w:r w:rsidR="001A462E">
        <w:rPr>
          <w:noProof/>
        </w:rPr>
        <w:t>carry out</w:t>
      </w:r>
      <w:r w:rsidR="001A462E" w:rsidRPr="002722D4">
        <w:rPr>
          <w:noProof/>
        </w:rPr>
        <w:t xml:space="preserve"> long-term strategic analyses of cyber threats and incidents in order to identify emerging trends and help prevent incidents</w:t>
      </w:r>
      <w:r w:rsidR="001A462E">
        <w:rPr>
          <w:noProof/>
        </w:rPr>
        <w:t>.</w:t>
      </w:r>
    </w:p>
    <w:p w14:paraId="733E42F6" w14:textId="01CEE1CE" w:rsidR="001A462E" w:rsidRDefault="006D01CD" w:rsidP="006D01CD">
      <w:pPr>
        <w:pStyle w:val="ManualNumPar1"/>
        <w:rPr>
          <w:noProof/>
        </w:rPr>
      </w:pPr>
      <w:r w:rsidRPr="006D01CD">
        <w:rPr>
          <w:noProof/>
        </w:rPr>
        <w:t>3.</w:t>
      </w:r>
      <w:r w:rsidRPr="006D01CD">
        <w:rPr>
          <w:noProof/>
        </w:rPr>
        <w:tab/>
      </w:r>
      <w:r w:rsidR="001A462E">
        <w:rPr>
          <w:noProof/>
        </w:rPr>
        <w:t>ENISA may make the analyses, advice, guidance, best practices and reports referred to in paragraph 2 public, in agreement with the contributing entities referred to in paragraph 2.</w:t>
      </w:r>
    </w:p>
    <w:p w14:paraId="369BDE04" w14:textId="31D2DF57" w:rsidR="001A462E" w:rsidRDefault="006D01CD" w:rsidP="006D01CD">
      <w:pPr>
        <w:pStyle w:val="ManualNumPar1"/>
        <w:rPr>
          <w:noProof/>
        </w:rPr>
      </w:pPr>
      <w:r w:rsidRPr="006D01CD">
        <w:rPr>
          <w:noProof/>
        </w:rPr>
        <w:t>4.</w:t>
      </w:r>
      <w:r w:rsidRPr="006D01CD">
        <w:rPr>
          <w:noProof/>
        </w:rPr>
        <w:tab/>
      </w:r>
      <w:r w:rsidR="001A462E">
        <w:rPr>
          <w:noProof/>
        </w:rPr>
        <w:t>In carrying out the activities listed in paragraph 1, points (a) to (</w:t>
      </w:r>
      <w:r w:rsidR="00C514D1">
        <w:rPr>
          <w:noProof/>
        </w:rPr>
        <w:t>d</w:t>
      </w:r>
      <w:r w:rsidR="001A462E">
        <w:rPr>
          <w:noProof/>
        </w:rPr>
        <w:t>)</w:t>
      </w:r>
      <w:r w:rsidR="00C514D1">
        <w:rPr>
          <w:noProof/>
        </w:rPr>
        <w:t xml:space="preserve"> and (f)</w:t>
      </w:r>
      <w:r w:rsidR="001A462E">
        <w:rPr>
          <w:noProof/>
        </w:rPr>
        <w:t>, and paragraph 2, ENISA shall use its own analyses and, as appropriate, the information received in carrying out its tasks, including:</w:t>
      </w:r>
    </w:p>
    <w:p w14:paraId="14A102AB" w14:textId="0875FF61" w:rsidR="001A462E" w:rsidRPr="005F16E2" w:rsidRDefault="006D01CD" w:rsidP="006D01CD">
      <w:pPr>
        <w:pStyle w:val="Point1"/>
        <w:rPr>
          <w:noProof/>
        </w:rPr>
      </w:pPr>
      <w:r w:rsidRPr="006D01CD">
        <w:rPr>
          <w:noProof/>
        </w:rPr>
        <w:t>(a)</w:t>
      </w:r>
      <w:r w:rsidRPr="006D01CD">
        <w:rPr>
          <w:noProof/>
        </w:rPr>
        <w:tab/>
      </w:r>
      <w:r w:rsidR="001C7413">
        <w:rPr>
          <w:noProof/>
        </w:rPr>
        <w:t>i</w:t>
      </w:r>
      <w:r w:rsidR="001A462E">
        <w:rPr>
          <w:noProof/>
        </w:rPr>
        <w:t xml:space="preserve">nformation provided in publicly available sources, including publicly </w:t>
      </w:r>
      <w:r w:rsidR="001A462E" w:rsidRPr="00215F75">
        <w:rPr>
          <w:noProof/>
        </w:rPr>
        <w:t>known vulnerabilities in ICT products or ICT services</w:t>
      </w:r>
      <w:r w:rsidR="001A462E">
        <w:rPr>
          <w:noProof/>
        </w:rPr>
        <w:t xml:space="preserve"> available in the European vulnerability database established pursuant to Article 12(2) of Directive (EU) 2022/2555</w:t>
      </w:r>
      <w:r w:rsidR="001A462E" w:rsidRPr="005F16E2">
        <w:rPr>
          <w:noProof/>
        </w:rPr>
        <w:t xml:space="preserve">; </w:t>
      </w:r>
    </w:p>
    <w:p w14:paraId="7FF00AF9" w14:textId="2C7B1233" w:rsidR="001A462E" w:rsidRDefault="006D01CD" w:rsidP="006D01CD">
      <w:pPr>
        <w:pStyle w:val="Point1"/>
        <w:rPr>
          <w:noProof/>
        </w:rPr>
      </w:pPr>
      <w:r w:rsidRPr="006D01CD">
        <w:rPr>
          <w:noProof/>
        </w:rPr>
        <w:t>(b)</w:t>
      </w:r>
      <w:r w:rsidRPr="006D01CD">
        <w:rPr>
          <w:noProof/>
        </w:rPr>
        <w:tab/>
      </w:r>
      <w:r w:rsidR="001C7413">
        <w:rPr>
          <w:noProof/>
        </w:rPr>
        <w:t>i</w:t>
      </w:r>
      <w:r w:rsidR="001A462E">
        <w:rPr>
          <w:noProof/>
        </w:rPr>
        <w:t>nformation shared by Member States, Union entities, CERT-EU, private sector or non-governmental partners and third country and international organisations</w:t>
      </w:r>
      <w:r w:rsidR="001A462E" w:rsidRPr="006879B9">
        <w:rPr>
          <w:noProof/>
        </w:rPr>
        <w:t>,</w:t>
      </w:r>
      <w:r w:rsidR="001A462E" w:rsidRPr="00DA617D">
        <w:rPr>
          <w:b/>
          <w:bCs/>
          <w:noProof/>
          <w:u w:val="single"/>
        </w:rPr>
        <w:t xml:space="preserve"> </w:t>
      </w:r>
      <w:r w:rsidR="001A462E" w:rsidRPr="00E015D2">
        <w:rPr>
          <w:noProof/>
        </w:rPr>
        <w:t>subject to any limitations by means of a visible marking on further distribution of that information.</w:t>
      </w:r>
    </w:p>
    <w:p w14:paraId="36E1DCC8" w14:textId="2F3201C8" w:rsidR="001A462E" w:rsidRDefault="006D01CD" w:rsidP="006D01CD">
      <w:pPr>
        <w:pStyle w:val="ManualNumPar1"/>
        <w:rPr>
          <w:noProof/>
        </w:rPr>
      </w:pPr>
      <w:r w:rsidRPr="006D01CD">
        <w:rPr>
          <w:noProof/>
        </w:rPr>
        <w:t>5.</w:t>
      </w:r>
      <w:r w:rsidRPr="006D01CD">
        <w:rPr>
          <w:noProof/>
        </w:rPr>
        <w:tab/>
      </w:r>
      <w:r w:rsidR="001A462E" w:rsidRPr="00653173">
        <w:rPr>
          <w:noProof/>
        </w:rPr>
        <w:t>ENISA shall cooperate closely with the Member States</w:t>
      </w:r>
      <w:r w:rsidR="001A462E">
        <w:rPr>
          <w:noProof/>
        </w:rPr>
        <w:t xml:space="preserve"> in</w:t>
      </w:r>
      <w:r w:rsidR="001A462E" w:rsidRPr="00653173">
        <w:rPr>
          <w:noProof/>
        </w:rPr>
        <w:t xml:space="preserve"> the preparation of the EU Cybersecurity Technical Situation Report referred to in </w:t>
      </w:r>
      <w:r w:rsidR="001A462E">
        <w:rPr>
          <w:noProof/>
        </w:rPr>
        <w:t>paragraph 1,</w:t>
      </w:r>
      <w:r w:rsidR="001A462E" w:rsidRPr="00653173">
        <w:rPr>
          <w:noProof/>
        </w:rPr>
        <w:t xml:space="preserve"> point (</w:t>
      </w:r>
      <w:r w:rsidR="00C514D1">
        <w:rPr>
          <w:noProof/>
        </w:rPr>
        <w:t>e</w:t>
      </w:r>
      <w:r w:rsidR="001A462E" w:rsidRPr="00653173">
        <w:rPr>
          <w:noProof/>
        </w:rPr>
        <w:t>). The Report shall be based on publicly available information, ENISA</w:t>
      </w:r>
      <w:r w:rsidR="001A462E">
        <w:rPr>
          <w:noProof/>
        </w:rPr>
        <w:t>’</w:t>
      </w:r>
      <w:r w:rsidR="001A462E" w:rsidRPr="00653173">
        <w:rPr>
          <w:noProof/>
        </w:rPr>
        <w:t>s own analysis, and reports shared by, among others, the Member States’ CSIRTs or the single points of contact established by Directive (EU) 2022/2555, both on a voluntary basis, EC3 and CERT-EU</w:t>
      </w:r>
      <w:r w:rsidR="001A462E">
        <w:rPr>
          <w:noProof/>
        </w:rPr>
        <w:t xml:space="preserve">. In agreement with the contributing entities, ENISA may make </w:t>
      </w:r>
      <w:r w:rsidR="001A462E" w:rsidRPr="000F729B">
        <w:rPr>
          <w:noProof/>
        </w:rPr>
        <w:t xml:space="preserve">an aggregated version of the </w:t>
      </w:r>
      <w:r w:rsidR="001A462E">
        <w:rPr>
          <w:noProof/>
        </w:rPr>
        <w:t>R</w:t>
      </w:r>
      <w:r w:rsidR="001A462E" w:rsidRPr="000F729B">
        <w:rPr>
          <w:noProof/>
        </w:rPr>
        <w:t>eport</w:t>
      </w:r>
      <w:r w:rsidR="001A462E">
        <w:rPr>
          <w:noProof/>
        </w:rPr>
        <w:t xml:space="preserve"> publicly available.</w:t>
      </w:r>
    </w:p>
    <w:p w14:paraId="11DFB4E8" w14:textId="77777777" w:rsidR="001A462E" w:rsidRDefault="001A462E" w:rsidP="001A462E">
      <w:pPr>
        <w:pStyle w:val="Titrearticle"/>
        <w:rPr>
          <w:noProof/>
        </w:rPr>
      </w:pPr>
      <w:r>
        <w:rPr>
          <w:noProof/>
        </w:rPr>
        <w:t>Article 12</w:t>
      </w:r>
      <w:r>
        <w:rPr>
          <w:noProof/>
        </w:rPr>
        <w:br/>
        <w:t>Early alerts</w:t>
      </w:r>
    </w:p>
    <w:p w14:paraId="4E2BF05D" w14:textId="5CA7DF65" w:rsidR="001A462E" w:rsidRDefault="006D01CD" w:rsidP="006D01CD">
      <w:pPr>
        <w:pStyle w:val="ManualNumPar1"/>
        <w:rPr>
          <w:noProof/>
        </w:rPr>
      </w:pPr>
      <w:r w:rsidRPr="006D01CD">
        <w:rPr>
          <w:noProof/>
        </w:rPr>
        <w:t>1.</w:t>
      </w:r>
      <w:r w:rsidRPr="006D01CD">
        <w:rPr>
          <w:noProof/>
        </w:rPr>
        <w:tab/>
      </w:r>
      <w:r w:rsidR="001A462E">
        <w:rPr>
          <w:noProof/>
        </w:rPr>
        <w:t xml:space="preserve">Early alerts referred to in Article 11(1), first subparagraph, point (b), of this Regulation shall contain relevant information concerning a potential or ongoing significant or large-scale incident, or a cyber threat of a potential cross-border nature, in relation to sectors listed in Annexes I and II to Directive (EU) 2022/2555. Such information may include publicly known vulnerabilities and whether they affect products with digital elements covered by Regulation (EU) 2024/2847, techniques and procedures, indicators of compromise, adversarial tactics, threat actor-specific information and recommendations on mitigation measures. </w:t>
      </w:r>
    </w:p>
    <w:p w14:paraId="06B0EF96" w14:textId="7D91C7B8" w:rsidR="001A462E" w:rsidRDefault="006D01CD" w:rsidP="006D01CD">
      <w:pPr>
        <w:pStyle w:val="ManualNumPar1"/>
        <w:rPr>
          <w:noProof/>
        </w:rPr>
      </w:pPr>
      <w:r w:rsidRPr="006D01CD">
        <w:rPr>
          <w:noProof/>
        </w:rPr>
        <w:t>2.</w:t>
      </w:r>
      <w:r w:rsidRPr="006D01CD">
        <w:rPr>
          <w:noProof/>
        </w:rPr>
        <w:tab/>
      </w:r>
      <w:r w:rsidR="001A462E">
        <w:rPr>
          <w:noProof/>
        </w:rPr>
        <w:t>Early alerts referred to in Article 11(1), first subparagraph, point (b), shall be issued as soon as possible to the CSIRT or CSIRTs concerned, and, where appropriate, to the CSIRTs network and EU-CyCLONe.</w:t>
      </w:r>
    </w:p>
    <w:p w14:paraId="4CE41220" w14:textId="560449D8" w:rsidR="001A462E" w:rsidRDefault="006D01CD" w:rsidP="006D01CD">
      <w:pPr>
        <w:pStyle w:val="ManualNumPar1"/>
        <w:rPr>
          <w:noProof/>
        </w:rPr>
      </w:pPr>
      <w:r w:rsidRPr="006D01CD">
        <w:rPr>
          <w:noProof/>
        </w:rPr>
        <w:t>3.</w:t>
      </w:r>
      <w:r w:rsidRPr="006D01CD">
        <w:rPr>
          <w:noProof/>
        </w:rPr>
        <w:tab/>
      </w:r>
      <w:r w:rsidR="001A462E" w:rsidRPr="0072219E">
        <w:rPr>
          <w:noProof/>
        </w:rPr>
        <w:t xml:space="preserve">ENISA shall offer an early </w:t>
      </w:r>
      <w:r w:rsidR="001A462E">
        <w:rPr>
          <w:noProof/>
        </w:rPr>
        <w:t>alert</w:t>
      </w:r>
      <w:r w:rsidR="001A462E" w:rsidRPr="0072219E">
        <w:rPr>
          <w:noProof/>
        </w:rPr>
        <w:t xml:space="preserve"> service to entities operating in sectors listed in Annexes I and II to Directive (EU) 2022/2555. </w:t>
      </w:r>
    </w:p>
    <w:p w14:paraId="64983E26" w14:textId="5AF076A4" w:rsidR="001A462E" w:rsidRPr="0072219E" w:rsidRDefault="006D01CD" w:rsidP="006D01CD">
      <w:pPr>
        <w:pStyle w:val="ManualNumPar1"/>
        <w:rPr>
          <w:noProof/>
        </w:rPr>
      </w:pPr>
      <w:r w:rsidRPr="006D01CD">
        <w:rPr>
          <w:noProof/>
        </w:rPr>
        <w:t>4.</w:t>
      </w:r>
      <w:r w:rsidRPr="006D01CD">
        <w:rPr>
          <w:noProof/>
        </w:rPr>
        <w:tab/>
      </w:r>
      <w:r w:rsidR="001A462E" w:rsidRPr="0072219E">
        <w:rPr>
          <w:noProof/>
        </w:rPr>
        <w:t xml:space="preserve">The service referred to in paragraph 3 shall be provided </w:t>
      </w:r>
      <w:r w:rsidR="001A462E">
        <w:rPr>
          <w:noProof/>
        </w:rPr>
        <w:t xml:space="preserve">upon a request of the entity and </w:t>
      </w:r>
      <w:r w:rsidR="001A462E" w:rsidRPr="0072219E">
        <w:rPr>
          <w:noProof/>
        </w:rPr>
        <w:t>in a machine-readable</w:t>
      </w:r>
      <w:r w:rsidR="001A462E">
        <w:rPr>
          <w:noProof/>
        </w:rPr>
        <w:t xml:space="preserve"> format</w:t>
      </w:r>
      <w:r w:rsidR="004654D9">
        <w:rPr>
          <w:noProof/>
        </w:rPr>
        <w:t xml:space="preserve"> made publicly available</w:t>
      </w:r>
      <w:r w:rsidR="001A462E">
        <w:rPr>
          <w:noProof/>
        </w:rPr>
        <w:t xml:space="preserve">. That service shall include sharing of information on cyber threat indicators and recommendations on mitigation measures. </w:t>
      </w:r>
    </w:p>
    <w:p w14:paraId="3F95208E" w14:textId="00C9DB58" w:rsidR="001A462E" w:rsidRPr="002F4521" w:rsidRDefault="006D01CD" w:rsidP="006D01CD">
      <w:pPr>
        <w:pStyle w:val="ManualNumPar1"/>
        <w:rPr>
          <w:noProof/>
        </w:rPr>
      </w:pPr>
      <w:r w:rsidRPr="006D01CD">
        <w:rPr>
          <w:noProof/>
        </w:rPr>
        <w:t>5.</w:t>
      </w:r>
      <w:r w:rsidRPr="006D01CD">
        <w:rPr>
          <w:noProof/>
        </w:rPr>
        <w:tab/>
      </w:r>
      <w:r w:rsidR="001A462E" w:rsidRPr="000743F7">
        <w:rPr>
          <w:noProof/>
        </w:rPr>
        <w:t>ENISA shall establish a procedure to disseminate the early alerts to entities</w:t>
      </w:r>
      <w:r w:rsidR="001A462E">
        <w:rPr>
          <w:noProof/>
        </w:rPr>
        <w:t xml:space="preserve"> referred to in paragraph 3.</w:t>
      </w:r>
    </w:p>
    <w:p w14:paraId="570EBEE0" w14:textId="77777777" w:rsidR="001A462E" w:rsidRDefault="001A462E" w:rsidP="001A462E">
      <w:pPr>
        <w:pStyle w:val="Titrearticle"/>
        <w:rPr>
          <w:noProof/>
        </w:rPr>
      </w:pPr>
      <w:r>
        <w:rPr>
          <w:noProof/>
        </w:rPr>
        <w:t>Article 13</w:t>
      </w:r>
      <w:r>
        <w:rPr>
          <w:noProof/>
        </w:rPr>
        <w:br/>
        <w:t>Support in incident response and review</w:t>
      </w:r>
    </w:p>
    <w:p w14:paraId="6BBD88AA" w14:textId="03B63988" w:rsidR="001A462E" w:rsidRDefault="006D01CD" w:rsidP="006D01CD">
      <w:pPr>
        <w:pStyle w:val="ManualNumPar1"/>
        <w:rPr>
          <w:noProof/>
        </w:rPr>
      </w:pPr>
      <w:r w:rsidRPr="006D01CD">
        <w:rPr>
          <w:noProof/>
        </w:rPr>
        <w:t>1.</w:t>
      </w:r>
      <w:r w:rsidRPr="006D01CD">
        <w:rPr>
          <w:noProof/>
        </w:rPr>
        <w:tab/>
      </w:r>
      <w:r w:rsidR="001A462E">
        <w:rPr>
          <w:noProof/>
        </w:rPr>
        <w:t>ENISA shall operate and administer the EU Cybersecurity Reserve, in full or in part, in accordance with Regulation (EU) 2025/38.</w:t>
      </w:r>
    </w:p>
    <w:p w14:paraId="6130D42C" w14:textId="056B62B4" w:rsidR="001A462E" w:rsidRDefault="006D01CD" w:rsidP="006D01CD">
      <w:pPr>
        <w:pStyle w:val="ManualNumPar1"/>
        <w:rPr>
          <w:noProof/>
        </w:rPr>
      </w:pPr>
      <w:r w:rsidRPr="006D01CD">
        <w:rPr>
          <w:noProof/>
        </w:rPr>
        <w:t>2.</w:t>
      </w:r>
      <w:r w:rsidRPr="006D01CD">
        <w:rPr>
          <w:noProof/>
        </w:rPr>
        <w:tab/>
      </w:r>
      <w:r w:rsidR="001A462E">
        <w:rPr>
          <w:noProof/>
        </w:rPr>
        <w:t>At the request of the Commission or EU-CyCLONe, ENISA, with the support of the CSIRTs network and with the approval of the Member State concerned, shall review and assess significant cybersecurity incidents or large-scale cybersecurity incidents in accordance with Article 21 of Regulation (EU) 2025/38.</w:t>
      </w:r>
    </w:p>
    <w:p w14:paraId="294883E9" w14:textId="0BACF623" w:rsidR="001A462E" w:rsidRPr="00C06F6C" w:rsidRDefault="006D01CD" w:rsidP="006D01CD">
      <w:pPr>
        <w:pStyle w:val="ManualNumPar1"/>
        <w:rPr>
          <w:noProof/>
        </w:rPr>
      </w:pPr>
      <w:r w:rsidRPr="006D01CD">
        <w:rPr>
          <w:noProof/>
        </w:rPr>
        <w:t>3.</w:t>
      </w:r>
      <w:r w:rsidRPr="006D01CD">
        <w:rPr>
          <w:noProof/>
        </w:rPr>
        <w:tab/>
      </w:r>
      <w:r w:rsidR="001A462E">
        <w:rPr>
          <w:noProof/>
        </w:rPr>
        <w:t xml:space="preserve">ENISA shall assist, in cooperation with Europol and CSIRTs or other competent authorities as applicable, individual essential and important entities </w:t>
      </w:r>
      <w:r w:rsidR="001A462E" w:rsidRPr="00586FBF">
        <w:rPr>
          <w:noProof/>
        </w:rPr>
        <w:t>listed in Annexes I and II to Directive (EU) 2022/2555</w:t>
      </w:r>
      <w:r w:rsidR="001A462E">
        <w:rPr>
          <w:noProof/>
        </w:rPr>
        <w:t xml:space="preserve"> in preparing, responding to and recovering from a ransomware incident. For that purpose, ENISA shall establish a helpdesk and in particular make use of the </w:t>
      </w:r>
      <w:r w:rsidR="001A462E" w:rsidRPr="00955191">
        <w:rPr>
          <w:noProof/>
        </w:rPr>
        <w:t>enhanced shared situational awareness of the cyber threat and incident landscape</w:t>
      </w:r>
      <w:r w:rsidR="001A462E">
        <w:rPr>
          <w:noProof/>
        </w:rPr>
        <w:t xml:space="preserve"> pursuant to Article 11(1), first subparagraph, points (a) and (g) of this Regulation.</w:t>
      </w:r>
    </w:p>
    <w:p w14:paraId="5DF95902" w14:textId="77777777" w:rsidR="001A462E" w:rsidRDefault="001A462E" w:rsidP="001A462E">
      <w:pPr>
        <w:pStyle w:val="Titrearticle"/>
        <w:rPr>
          <w:noProof/>
          <w:lang w:val="en-IE"/>
        </w:rPr>
      </w:pPr>
      <w:r w:rsidRPr="008E150D">
        <w:rPr>
          <w:noProof/>
          <w:lang w:val="en-IE"/>
        </w:rPr>
        <w:t>Article 1</w:t>
      </w:r>
      <w:r>
        <w:rPr>
          <w:noProof/>
          <w:lang w:val="en-IE"/>
        </w:rPr>
        <w:t>4</w:t>
      </w:r>
      <w:r w:rsidRPr="008E150D">
        <w:rPr>
          <w:noProof/>
          <w:lang w:val="en-IE"/>
        </w:rPr>
        <w:br/>
        <w:t>Cybersecurity exercises at Union level</w:t>
      </w:r>
    </w:p>
    <w:p w14:paraId="41D899FD" w14:textId="16E5DF1C" w:rsidR="001A462E" w:rsidRPr="002F3882" w:rsidRDefault="006D01CD" w:rsidP="006D01CD">
      <w:pPr>
        <w:pStyle w:val="ManualNumPar1"/>
        <w:rPr>
          <w:noProof/>
        </w:rPr>
      </w:pPr>
      <w:r w:rsidRPr="006D01CD">
        <w:rPr>
          <w:noProof/>
        </w:rPr>
        <w:t>1.</w:t>
      </w:r>
      <w:r w:rsidRPr="006D01CD">
        <w:rPr>
          <w:noProof/>
        </w:rPr>
        <w:tab/>
      </w:r>
      <w:r w:rsidR="001A462E" w:rsidRPr="002F3882">
        <w:rPr>
          <w:noProof/>
        </w:rPr>
        <w:t>ENISA shall support the Commission in compiling an annual rolling programme of Union-level cyber</w:t>
      </w:r>
      <w:r w:rsidR="001A462E">
        <w:rPr>
          <w:noProof/>
        </w:rPr>
        <w:t>security</w:t>
      </w:r>
      <w:r w:rsidR="001A462E" w:rsidRPr="002F3882">
        <w:rPr>
          <w:noProof/>
        </w:rPr>
        <w:t xml:space="preserve"> exercises</w:t>
      </w:r>
    </w:p>
    <w:p w14:paraId="2D9846D8" w14:textId="3F5ABBDD" w:rsidR="001A462E" w:rsidRDefault="006D01CD" w:rsidP="006D01CD">
      <w:pPr>
        <w:pStyle w:val="ManualNumPar1"/>
        <w:rPr>
          <w:noProof/>
        </w:rPr>
      </w:pPr>
      <w:r w:rsidRPr="006D01CD">
        <w:rPr>
          <w:noProof/>
        </w:rPr>
        <w:t>2.</w:t>
      </w:r>
      <w:r w:rsidRPr="006D01CD">
        <w:rPr>
          <w:noProof/>
        </w:rPr>
        <w:tab/>
      </w:r>
      <w:r w:rsidR="001A462E" w:rsidRPr="002F3882">
        <w:rPr>
          <w:noProof/>
        </w:rPr>
        <w:t xml:space="preserve">ENISA shall maintain a repository of lessons learned from the exercises </w:t>
      </w:r>
      <w:r w:rsidR="001A462E">
        <w:rPr>
          <w:noProof/>
        </w:rPr>
        <w:t xml:space="preserve">referred to in paragraph 1 </w:t>
      </w:r>
      <w:r w:rsidR="001A462E" w:rsidRPr="002F3882">
        <w:rPr>
          <w:noProof/>
        </w:rPr>
        <w:t>and recommend to Member States and</w:t>
      </w:r>
      <w:r w:rsidR="001A462E">
        <w:rPr>
          <w:noProof/>
        </w:rPr>
        <w:t>, where relevant, to</w:t>
      </w:r>
      <w:r w:rsidR="001A462E" w:rsidRPr="002F3882">
        <w:rPr>
          <w:noProof/>
        </w:rPr>
        <w:t xml:space="preserve"> </w:t>
      </w:r>
      <w:r w:rsidR="001A462E">
        <w:rPr>
          <w:noProof/>
        </w:rPr>
        <w:t>Union entities how to implement</w:t>
      </w:r>
      <w:r w:rsidR="001A462E" w:rsidRPr="002F3882">
        <w:rPr>
          <w:noProof/>
        </w:rPr>
        <w:t xml:space="preserve"> the lessons learned</w:t>
      </w:r>
      <w:r w:rsidR="001A462E">
        <w:rPr>
          <w:noProof/>
        </w:rPr>
        <w:t xml:space="preserve"> </w:t>
      </w:r>
      <w:r w:rsidR="001A462E" w:rsidRPr="002F3882">
        <w:rPr>
          <w:noProof/>
        </w:rPr>
        <w:t xml:space="preserve">effectively and efficiently. </w:t>
      </w:r>
    </w:p>
    <w:p w14:paraId="45E28E55" w14:textId="5A425F9C" w:rsidR="001A462E" w:rsidRDefault="006D01CD" w:rsidP="006D01CD">
      <w:pPr>
        <w:pStyle w:val="ManualNumPar1"/>
        <w:rPr>
          <w:noProof/>
        </w:rPr>
      </w:pPr>
      <w:r w:rsidRPr="006D01CD">
        <w:rPr>
          <w:noProof/>
        </w:rPr>
        <w:t>3.</w:t>
      </w:r>
      <w:r w:rsidRPr="006D01CD">
        <w:rPr>
          <w:noProof/>
        </w:rPr>
        <w:tab/>
      </w:r>
      <w:r w:rsidR="001A462E" w:rsidRPr="002F3882">
        <w:rPr>
          <w:noProof/>
        </w:rPr>
        <w:t>At the request of EU-CyCLONe, the Commission, ENISA shall organise, or contribute to the organisation of, cybersecurity exercises at Union level</w:t>
      </w:r>
      <w:r w:rsidR="001A462E">
        <w:rPr>
          <w:noProof/>
        </w:rPr>
        <w:t xml:space="preserve">, including testing preparedness to respond to large-scale cybersecurity incidents and crises at Union level. </w:t>
      </w:r>
    </w:p>
    <w:p w14:paraId="1F7B1FC2" w14:textId="1719F7C1" w:rsidR="001A462E" w:rsidRDefault="006D01CD" w:rsidP="006D01CD">
      <w:pPr>
        <w:pStyle w:val="ManualNumPar1"/>
        <w:rPr>
          <w:noProof/>
        </w:rPr>
      </w:pPr>
      <w:r w:rsidRPr="006D01CD">
        <w:rPr>
          <w:noProof/>
        </w:rPr>
        <w:t>4.</w:t>
      </w:r>
      <w:r w:rsidRPr="006D01CD">
        <w:rPr>
          <w:noProof/>
        </w:rPr>
        <w:tab/>
      </w:r>
      <w:r w:rsidR="001A462E">
        <w:rPr>
          <w:noProof/>
        </w:rPr>
        <w:t>At the request of Member States, ENISA shall support</w:t>
      </w:r>
      <w:r w:rsidR="001A462E" w:rsidRPr="00A00C36">
        <w:rPr>
          <w:noProof/>
        </w:rPr>
        <w:t> </w:t>
      </w:r>
      <w:r w:rsidR="001A462E">
        <w:rPr>
          <w:noProof/>
        </w:rPr>
        <w:t xml:space="preserve">them </w:t>
      </w:r>
      <w:r w:rsidR="001A462E" w:rsidRPr="00A00C36">
        <w:rPr>
          <w:noProof/>
        </w:rPr>
        <w:t xml:space="preserve">in organising </w:t>
      </w:r>
      <w:r w:rsidR="001A462E">
        <w:rPr>
          <w:noProof/>
        </w:rPr>
        <w:t xml:space="preserve">national </w:t>
      </w:r>
      <w:r w:rsidR="001A462E" w:rsidRPr="00A00C36">
        <w:rPr>
          <w:noProof/>
        </w:rPr>
        <w:t>cybersecurity exercises</w:t>
      </w:r>
      <w:r w:rsidR="001A462E">
        <w:rPr>
          <w:noProof/>
        </w:rPr>
        <w:t>.</w:t>
      </w:r>
    </w:p>
    <w:p w14:paraId="517E16E3" w14:textId="0CFE694A" w:rsidR="001A462E" w:rsidRDefault="006D01CD" w:rsidP="006D01CD">
      <w:pPr>
        <w:pStyle w:val="ManualNumPar1"/>
        <w:rPr>
          <w:noProof/>
        </w:rPr>
      </w:pPr>
      <w:r w:rsidRPr="006D01CD">
        <w:rPr>
          <w:noProof/>
        </w:rPr>
        <w:t>5.</w:t>
      </w:r>
      <w:r w:rsidRPr="006D01CD">
        <w:rPr>
          <w:noProof/>
        </w:rPr>
        <w:tab/>
      </w:r>
      <w:r w:rsidR="001A462E">
        <w:rPr>
          <w:noProof/>
        </w:rPr>
        <w:t>At the request of CERT-EU, ENISA shall contribute to the organisation of cybersecurity exercises organised by CERT-EU pursuant to Article 13(7) of Regulation (EU, Euratom) 2023/2841.</w:t>
      </w:r>
    </w:p>
    <w:p w14:paraId="6D40F241" w14:textId="77777777" w:rsidR="001A462E" w:rsidRDefault="001A462E" w:rsidP="001A462E">
      <w:pPr>
        <w:pStyle w:val="Titrearticle"/>
        <w:rPr>
          <w:noProof/>
        </w:rPr>
      </w:pPr>
      <w:r>
        <w:rPr>
          <w:noProof/>
        </w:rPr>
        <w:t>Article 15</w:t>
      </w:r>
      <w:r>
        <w:rPr>
          <w:noProof/>
        </w:rPr>
        <w:br/>
        <w:t>Provision of tools and platforms</w:t>
      </w:r>
    </w:p>
    <w:p w14:paraId="6F9AA81D" w14:textId="796AB067" w:rsidR="001A462E" w:rsidRDefault="006D01CD" w:rsidP="006D01CD">
      <w:pPr>
        <w:pStyle w:val="ManualNumPar1"/>
        <w:rPr>
          <w:noProof/>
        </w:rPr>
      </w:pPr>
      <w:r w:rsidRPr="006D01CD">
        <w:rPr>
          <w:noProof/>
        </w:rPr>
        <w:t>1.</w:t>
      </w:r>
      <w:r w:rsidRPr="006D01CD">
        <w:rPr>
          <w:noProof/>
        </w:rPr>
        <w:tab/>
      </w:r>
      <w:r w:rsidR="001A462E">
        <w:rPr>
          <w:noProof/>
        </w:rPr>
        <w:t xml:space="preserve">ENISA shall establish, provide, operate, maintain and update as necessary, operational technical tools, including  </w:t>
      </w:r>
      <w:r w:rsidR="001A462E" w:rsidRPr="00D13440">
        <w:rPr>
          <w:noProof/>
        </w:rPr>
        <w:t>platforms</w:t>
      </w:r>
      <w:r w:rsidR="001A462E">
        <w:rPr>
          <w:noProof/>
        </w:rPr>
        <w:t xml:space="preserve"> related to cybersecurity at Union level, in particular the single reporting platform established pursuant to Article 16(1) of Regulation (EU) </w:t>
      </w:r>
      <w:r w:rsidR="001A462E" w:rsidRPr="0085557F">
        <w:rPr>
          <w:noProof/>
        </w:rPr>
        <w:t>2024/2847</w:t>
      </w:r>
      <w:r w:rsidR="001A462E">
        <w:rPr>
          <w:noProof/>
        </w:rPr>
        <w:t xml:space="preserve"> [and the single-entry point for incident reporting established pursuant to </w:t>
      </w:r>
      <w:r w:rsidR="001A462E" w:rsidRPr="00DA7B3D">
        <w:rPr>
          <w:noProof/>
        </w:rPr>
        <w:t xml:space="preserve">Article 23a of Directive (EU) 2022/2555], </w:t>
      </w:r>
      <w:r w:rsidR="001A462E">
        <w:rPr>
          <w:noProof/>
        </w:rPr>
        <w:t>and</w:t>
      </w:r>
      <w:r w:rsidR="001A462E" w:rsidRPr="00DA7B3D">
        <w:rPr>
          <w:noProof/>
        </w:rPr>
        <w:t xml:space="preserve"> testing tools to support the implementation of conformity assessment procedures in </w:t>
      </w:r>
      <w:r w:rsidR="001A462E">
        <w:rPr>
          <w:noProof/>
        </w:rPr>
        <w:t xml:space="preserve">accordance with the </w:t>
      </w:r>
      <w:r w:rsidR="001A462E" w:rsidRPr="00DA7B3D">
        <w:rPr>
          <w:noProof/>
        </w:rPr>
        <w:t xml:space="preserve"> relevant Union legislation</w:t>
      </w:r>
      <w:r w:rsidR="001A462E">
        <w:rPr>
          <w:noProof/>
        </w:rPr>
        <w:t xml:space="preserve">. </w:t>
      </w:r>
    </w:p>
    <w:p w14:paraId="1B304E28" w14:textId="1B7883F3" w:rsidR="001A462E" w:rsidRDefault="006D01CD" w:rsidP="006D01CD">
      <w:pPr>
        <w:pStyle w:val="ManualNumPar1"/>
        <w:rPr>
          <w:noProof/>
        </w:rPr>
      </w:pPr>
      <w:r w:rsidRPr="006D01CD">
        <w:rPr>
          <w:noProof/>
        </w:rPr>
        <w:t>2.</w:t>
      </w:r>
      <w:r w:rsidRPr="006D01CD">
        <w:rPr>
          <w:noProof/>
        </w:rPr>
        <w:tab/>
      </w:r>
      <w:r w:rsidR="001A462E">
        <w:rPr>
          <w:noProof/>
        </w:rPr>
        <w:t>Where appropriate for the purposes of paragraph 1, ENISA shall cooperate and exchange information with the CSIRTs network and, where applicable, market surveillance authorities.</w:t>
      </w:r>
    </w:p>
    <w:p w14:paraId="2733247B" w14:textId="77777777" w:rsidR="001A462E" w:rsidRDefault="001A462E" w:rsidP="001A462E">
      <w:pPr>
        <w:pStyle w:val="Titrearticle"/>
        <w:rPr>
          <w:noProof/>
        </w:rPr>
      </w:pPr>
      <w:r>
        <w:rPr>
          <w:noProof/>
        </w:rPr>
        <w:t>Article 16</w:t>
      </w:r>
      <w:r>
        <w:rPr>
          <w:noProof/>
        </w:rPr>
        <w:br/>
        <w:t>Vulnerability management services</w:t>
      </w:r>
    </w:p>
    <w:p w14:paraId="700B5541" w14:textId="77777777" w:rsidR="001A462E" w:rsidRDefault="001A462E" w:rsidP="006D00E7">
      <w:pPr>
        <w:rPr>
          <w:noProof/>
        </w:rPr>
      </w:pPr>
      <w:r w:rsidRPr="00EC1DA4">
        <w:rPr>
          <w:noProof/>
        </w:rPr>
        <w:t>ENISA</w:t>
      </w:r>
      <w:r>
        <w:rPr>
          <w:noProof/>
        </w:rPr>
        <w:t xml:space="preserve"> shall develop a </w:t>
      </w:r>
      <w:r w:rsidRPr="00BD4368">
        <w:rPr>
          <w:noProof/>
        </w:rPr>
        <w:t>common Union vulnerability management service capacity</w:t>
      </w:r>
      <w:r>
        <w:rPr>
          <w:noProof/>
        </w:rPr>
        <w:t xml:space="preserve"> and provide vulnerability management services to stakeholders by:</w:t>
      </w:r>
    </w:p>
    <w:p w14:paraId="7DD27EE5" w14:textId="1CF91A74" w:rsidR="001A462E" w:rsidRDefault="006D01CD" w:rsidP="006D01CD">
      <w:pPr>
        <w:pStyle w:val="Point0"/>
        <w:rPr>
          <w:noProof/>
        </w:rPr>
      </w:pPr>
      <w:r w:rsidRPr="006D01CD">
        <w:rPr>
          <w:noProof/>
        </w:rPr>
        <w:t>(a)</w:t>
      </w:r>
      <w:r w:rsidRPr="006D01CD">
        <w:rPr>
          <w:noProof/>
        </w:rPr>
        <w:tab/>
      </w:r>
      <w:r w:rsidR="001A462E" w:rsidRPr="006D49D0">
        <w:rPr>
          <w:noProof/>
        </w:rPr>
        <w:t>maintain</w:t>
      </w:r>
      <w:r w:rsidR="001A462E">
        <w:rPr>
          <w:noProof/>
        </w:rPr>
        <w:t>ing</w:t>
      </w:r>
      <w:r w:rsidR="001A462E" w:rsidRPr="006D49D0">
        <w:rPr>
          <w:noProof/>
        </w:rPr>
        <w:t xml:space="preserve"> </w:t>
      </w:r>
      <w:r w:rsidR="001A462E">
        <w:rPr>
          <w:noProof/>
        </w:rPr>
        <w:t xml:space="preserve">the European vulnerability database established pursuant to Article 12(2) of Directive (EU) 2022/2555; </w:t>
      </w:r>
    </w:p>
    <w:p w14:paraId="0F5B00C5" w14:textId="65D0F94E" w:rsidR="001A462E" w:rsidRDefault="006D01CD" w:rsidP="006D01CD">
      <w:pPr>
        <w:pStyle w:val="Point0"/>
        <w:rPr>
          <w:noProof/>
        </w:rPr>
      </w:pPr>
      <w:r w:rsidRPr="006D01CD">
        <w:rPr>
          <w:noProof/>
        </w:rPr>
        <w:t>(b)</w:t>
      </w:r>
      <w:r w:rsidRPr="006D01CD">
        <w:rPr>
          <w:noProof/>
        </w:rPr>
        <w:tab/>
      </w:r>
      <w:r w:rsidR="001A462E">
        <w:rPr>
          <w:noProof/>
        </w:rPr>
        <w:t xml:space="preserve">providing </w:t>
      </w:r>
      <w:r w:rsidR="001A462E" w:rsidRPr="00286A97">
        <w:rPr>
          <w:noProof/>
        </w:rPr>
        <w:t xml:space="preserve">vulnerability management </w:t>
      </w:r>
      <w:r w:rsidR="001A462E" w:rsidRPr="006D49D0">
        <w:rPr>
          <w:noProof/>
        </w:rPr>
        <w:t>services</w:t>
      </w:r>
      <w:r w:rsidR="001A462E">
        <w:rPr>
          <w:noProof/>
        </w:rPr>
        <w:t xml:space="preserve"> to stakeholders, building on the </w:t>
      </w:r>
      <w:r w:rsidR="001A462E" w:rsidRPr="0006728B">
        <w:rPr>
          <w:noProof/>
        </w:rPr>
        <w:t xml:space="preserve">European </w:t>
      </w:r>
      <w:r w:rsidR="001A462E">
        <w:rPr>
          <w:noProof/>
        </w:rPr>
        <w:t>v</w:t>
      </w:r>
      <w:r w:rsidR="001A462E" w:rsidRPr="0006728B">
        <w:rPr>
          <w:noProof/>
        </w:rPr>
        <w:t xml:space="preserve">ulnerability </w:t>
      </w:r>
      <w:r w:rsidR="001A462E">
        <w:rPr>
          <w:noProof/>
        </w:rPr>
        <w:t>d</w:t>
      </w:r>
      <w:r w:rsidR="001A462E" w:rsidRPr="0006728B">
        <w:rPr>
          <w:noProof/>
        </w:rPr>
        <w:t xml:space="preserve">atabase </w:t>
      </w:r>
      <w:r w:rsidR="001A462E">
        <w:rPr>
          <w:noProof/>
        </w:rPr>
        <w:t>and making use of relevant information available to ENISA;</w:t>
      </w:r>
    </w:p>
    <w:p w14:paraId="3139367F" w14:textId="6EC71080" w:rsidR="001A462E" w:rsidRPr="00D36BBC" w:rsidRDefault="006D01CD" w:rsidP="006D01CD">
      <w:pPr>
        <w:pStyle w:val="Point0"/>
        <w:rPr>
          <w:noProof/>
        </w:rPr>
      </w:pPr>
      <w:r w:rsidRPr="006D01CD">
        <w:rPr>
          <w:noProof/>
        </w:rPr>
        <w:t>(c)</w:t>
      </w:r>
      <w:r w:rsidRPr="006D01CD">
        <w:rPr>
          <w:noProof/>
        </w:rPr>
        <w:tab/>
      </w:r>
      <w:r w:rsidR="001A462E" w:rsidRPr="006D49D0">
        <w:rPr>
          <w:noProof/>
        </w:rPr>
        <w:t xml:space="preserve">where appropriate, </w:t>
      </w:r>
      <w:r w:rsidR="001A462E">
        <w:rPr>
          <w:noProof/>
        </w:rPr>
        <w:t xml:space="preserve">entering into </w:t>
      </w:r>
      <w:r w:rsidR="001A462E" w:rsidRPr="00BB5205">
        <w:rPr>
          <w:noProof/>
        </w:rPr>
        <w:t xml:space="preserve">structured cooperation with </w:t>
      </w:r>
      <w:r w:rsidR="001A462E">
        <w:rPr>
          <w:noProof/>
        </w:rPr>
        <w:t xml:space="preserve">organisations providing </w:t>
      </w:r>
      <w:r w:rsidR="001A462E" w:rsidRPr="00BB5205">
        <w:rPr>
          <w:noProof/>
        </w:rPr>
        <w:t>program</w:t>
      </w:r>
      <w:r w:rsidR="001A462E">
        <w:rPr>
          <w:noProof/>
        </w:rPr>
        <w:t>me</w:t>
      </w:r>
      <w:r w:rsidR="001A462E" w:rsidRPr="00BB5205">
        <w:rPr>
          <w:noProof/>
        </w:rPr>
        <w:t xml:space="preserve">s, registries or databases similar to the European </w:t>
      </w:r>
      <w:r w:rsidR="001A462E">
        <w:rPr>
          <w:noProof/>
        </w:rPr>
        <w:t>v</w:t>
      </w:r>
      <w:r w:rsidR="001A462E" w:rsidRPr="00BB5205">
        <w:rPr>
          <w:noProof/>
        </w:rPr>
        <w:t xml:space="preserve">ulnerability </w:t>
      </w:r>
      <w:r w:rsidR="001A462E">
        <w:rPr>
          <w:noProof/>
        </w:rPr>
        <w:t>d</w:t>
      </w:r>
      <w:r w:rsidR="001A462E" w:rsidRPr="00BB5205">
        <w:rPr>
          <w:noProof/>
        </w:rPr>
        <w:t>atabase</w:t>
      </w:r>
      <w:r w:rsidR="001A462E" w:rsidRPr="00D36BBC">
        <w:rPr>
          <w:noProof/>
        </w:rPr>
        <w:t>;</w:t>
      </w:r>
    </w:p>
    <w:p w14:paraId="7AEC7110" w14:textId="7DB6F44C" w:rsidR="001A462E" w:rsidRDefault="006D01CD" w:rsidP="006D01CD">
      <w:pPr>
        <w:pStyle w:val="Point0"/>
        <w:rPr>
          <w:noProof/>
        </w:rPr>
      </w:pPr>
      <w:r w:rsidRPr="006D01CD">
        <w:rPr>
          <w:noProof/>
        </w:rPr>
        <w:t>(d)</w:t>
      </w:r>
      <w:r w:rsidRPr="006D01CD">
        <w:rPr>
          <w:noProof/>
        </w:rPr>
        <w:tab/>
      </w:r>
      <w:r w:rsidR="001A462E">
        <w:rPr>
          <w:noProof/>
        </w:rPr>
        <w:t>actively supporting</w:t>
      </w:r>
      <w:r w:rsidR="001A462E" w:rsidRPr="002F0B55">
        <w:rPr>
          <w:noProof/>
        </w:rPr>
        <w:t xml:space="preserve"> the CSIRTs designated as coordinators pursuant to Article 12(1) </w:t>
      </w:r>
      <w:r w:rsidR="001A462E">
        <w:rPr>
          <w:noProof/>
        </w:rPr>
        <w:t xml:space="preserve">of </w:t>
      </w:r>
      <w:r w:rsidR="001A462E" w:rsidRPr="005A150F">
        <w:rPr>
          <w:noProof/>
        </w:rPr>
        <w:t>Directive (EU) 2022/2555</w:t>
      </w:r>
      <w:r w:rsidR="001A462E">
        <w:rPr>
          <w:noProof/>
        </w:rPr>
        <w:t xml:space="preserve"> </w:t>
      </w:r>
      <w:r w:rsidR="001A462E" w:rsidRPr="002F0B55">
        <w:rPr>
          <w:noProof/>
        </w:rPr>
        <w:t xml:space="preserve">with regard to the management of the coordinated disclosure of vulnerabilities which </w:t>
      </w:r>
      <w:r w:rsidR="001A462E">
        <w:rPr>
          <w:noProof/>
        </w:rPr>
        <w:t xml:space="preserve">may </w:t>
      </w:r>
      <w:r w:rsidR="001A462E" w:rsidRPr="002F0B55">
        <w:rPr>
          <w:noProof/>
        </w:rPr>
        <w:t>have a significant impact on entities in more than one Member State</w:t>
      </w:r>
      <w:r w:rsidR="001A462E">
        <w:rPr>
          <w:noProof/>
        </w:rPr>
        <w:t>;</w:t>
      </w:r>
    </w:p>
    <w:p w14:paraId="5BBA653A" w14:textId="3135F2F8" w:rsidR="001A462E" w:rsidRDefault="006D01CD" w:rsidP="006D01CD">
      <w:pPr>
        <w:pStyle w:val="Point0"/>
        <w:rPr>
          <w:noProof/>
        </w:rPr>
      </w:pPr>
      <w:r w:rsidRPr="006D01CD">
        <w:rPr>
          <w:noProof/>
        </w:rPr>
        <w:t>(e)</w:t>
      </w:r>
      <w:r w:rsidRPr="006D01CD">
        <w:rPr>
          <w:noProof/>
        </w:rPr>
        <w:tab/>
      </w:r>
      <w:r w:rsidR="001A462E">
        <w:rPr>
          <w:noProof/>
        </w:rPr>
        <w:t xml:space="preserve">developing and maintaining </w:t>
      </w:r>
      <w:r w:rsidR="001A462E" w:rsidRPr="006D49D0">
        <w:rPr>
          <w:noProof/>
        </w:rPr>
        <w:t>methodologies</w:t>
      </w:r>
      <w:r w:rsidR="001A462E">
        <w:rPr>
          <w:noProof/>
        </w:rPr>
        <w:t xml:space="preserve"> </w:t>
      </w:r>
      <w:r w:rsidR="001A462E" w:rsidRPr="006D49D0">
        <w:rPr>
          <w:noProof/>
        </w:rPr>
        <w:t>and governance mechanisms for vulnerability identification and coordinated disclosure, in cooperation with national competent authorities, CSIRTs, industry and the research community</w:t>
      </w:r>
      <w:r w:rsidR="001A462E" w:rsidRPr="006D49D0" w:rsidDel="009B69CA">
        <w:rPr>
          <w:noProof/>
        </w:rPr>
        <w:t>.</w:t>
      </w:r>
    </w:p>
    <w:p w14:paraId="18CA4A00" w14:textId="77777777" w:rsidR="001A462E" w:rsidRDefault="001A462E" w:rsidP="001A462E">
      <w:pPr>
        <w:rPr>
          <w:noProof/>
        </w:rPr>
      </w:pPr>
    </w:p>
    <w:p w14:paraId="2189435B" w14:textId="77777777" w:rsidR="00D311F0" w:rsidRDefault="00D311F0" w:rsidP="001A462E">
      <w:pPr>
        <w:jc w:val="center"/>
        <w:rPr>
          <w:b/>
          <w:bCs/>
          <w:noProof/>
        </w:rPr>
      </w:pPr>
      <w:r>
        <w:rPr>
          <w:b/>
          <w:bCs/>
          <w:noProof/>
        </w:rPr>
        <w:t>Section 3</w:t>
      </w:r>
    </w:p>
    <w:p w14:paraId="0781D21D" w14:textId="6CFD33D3" w:rsidR="00D311F0" w:rsidRDefault="00D311F0" w:rsidP="001A462E">
      <w:pPr>
        <w:jc w:val="center"/>
        <w:rPr>
          <w:b/>
          <w:bCs/>
          <w:noProof/>
        </w:rPr>
      </w:pPr>
      <w:r>
        <w:rPr>
          <w:b/>
          <w:bCs/>
          <w:noProof/>
        </w:rPr>
        <w:t>Cybersecurity Certification and Standardisation</w:t>
      </w:r>
    </w:p>
    <w:p w14:paraId="56655F42" w14:textId="77777777" w:rsidR="001A462E" w:rsidRPr="006046F4" w:rsidRDefault="001A462E" w:rsidP="001A462E">
      <w:pPr>
        <w:pStyle w:val="Titrearticle"/>
        <w:rPr>
          <w:noProof/>
          <w:lang w:val="en-IE"/>
        </w:rPr>
      </w:pPr>
      <w:r w:rsidRPr="006046F4">
        <w:rPr>
          <w:noProof/>
          <w:lang w:val="en-IE"/>
        </w:rPr>
        <w:t>Article 1</w:t>
      </w:r>
      <w:r>
        <w:rPr>
          <w:noProof/>
          <w:lang w:val="en-IE"/>
        </w:rPr>
        <w:t>7</w:t>
      </w:r>
      <w:r w:rsidRPr="006046F4">
        <w:rPr>
          <w:noProof/>
          <w:lang w:val="en-IE"/>
        </w:rPr>
        <w:br/>
        <w:t>Cybersecurity certification</w:t>
      </w:r>
    </w:p>
    <w:p w14:paraId="0A045546" w14:textId="1ED01EAF" w:rsidR="001A462E" w:rsidRPr="00502FEF" w:rsidRDefault="006D01CD" w:rsidP="006D01CD">
      <w:pPr>
        <w:pStyle w:val="ManualNumPar1"/>
        <w:rPr>
          <w:noProof/>
        </w:rPr>
      </w:pPr>
      <w:r w:rsidRPr="006D01CD">
        <w:rPr>
          <w:noProof/>
        </w:rPr>
        <w:t>1.</w:t>
      </w:r>
      <w:r w:rsidRPr="006D01CD">
        <w:rPr>
          <w:noProof/>
        </w:rPr>
        <w:tab/>
      </w:r>
      <w:r w:rsidR="001A462E">
        <w:rPr>
          <w:noProof/>
        </w:rPr>
        <w:t xml:space="preserve">ENISA shall contribute to and promote the </w:t>
      </w:r>
      <w:r w:rsidR="001A462E" w:rsidRPr="008F59DD">
        <w:rPr>
          <w:noProof/>
        </w:rPr>
        <w:t>development</w:t>
      </w:r>
      <w:r w:rsidR="001A462E">
        <w:rPr>
          <w:noProof/>
        </w:rPr>
        <w:t xml:space="preserve"> and implementation of Union policy on cybersecurity certification </w:t>
      </w:r>
      <w:r w:rsidR="001A462E" w:rsidRPr="00502FEF">
        <w:rPr>
          <w:noProof/>
        </w:rPr>
        <w:t>as established in Title III of this Regulation</w:t>
      </w:r>
      <w:r w:rsidR="001A462E">
        <w:rPr>
          <w:noProof/>
        </w:rPr>
        <w:t>. ENISA shall be in charge of</w:t>
      </w:r>
      <w:r w:rsidR="001A462E" w:rsidRPr="00502FEF">
        <w:rPr>
          <w:noProof/>
        </w:rPr>
        <w:t>:</w:t>
      </w:r>
    </w:p>
    <w:p w14:paraId="6348204A" w14:textId="5EEC0030" w:rsidR="001A462E" w:rsidRDefault="006D01CD" w:rsidP="006D01CD">
      <w:pPr>
        <w:pStyle w:val="Point1"/>
        <w:rPr>
          <w:noProof/>
        </w:rPr>
      </w:pPr>
      <w:r w:rsidRPr="006D01CD">
        <w:rPr>
          <w:noProof/>
        </w:rPr>
        <w:t>(a)</w:t>
      </w:r>
      <w:r w:rsidRPr="006D01CD">
        <w:rPr>
          <w:noProof/>
        </w:rPr>
        <w:tab/>
      </w:r>
      <w:r w:rsidR="001A462E">
        <w:rPr>
          <w:noProof/>
        </w:rPr>
        <w:t xml:space="preserve">preparing candidate European cybersecurity certification schemes (‘candidate schemes’) for </w:t>
      </w:r>
      <w:r w:rsidR="001A462E" w:rsidRPr="00DA7B3D">
        <w:rPr>
          <w:rFonts w:eastAsia="Calibri"/>
          <w:noProof/>
        </w:rPr>
        <w:t xml:space="preserve">ICT products, ICT services, ICT processes, managed security services </w:t>
      </w:r>
      <w:r w:rsidR="001A462E">
        <w:rPr>
          <w:rFonts w:eastAsia="Calibri"/>
          <w:noProof/>
        </w:rPr>
        <w:t>and</w:t>
      </w:r>
      <w:r w:rsidR="001A462E" w:rsidRPr="00DA7B3D">
        <w:rPr>
          <w:rFonts w:eastAsia="Calibri"/>
          <w:noProof/>
        </w:rPr>
        <w:t xml:space="preserve"> </w:t>
      </w:r>
      <w:r w:rsidR="001A462E">
        <w:rPr>
          <w:rFonts w:eastAsia="Calibri"/>
          <w:noProof/>
        </w:rPr>
        <w:t xml:space="preserve">the </w:t>
      </w:r>
      <w:r w:rsidR="001A462E" w:rsidRPr="00DA7B3D">
        <w:rPr>
          <w:rFonts w:eastAsia="Calibri"/>
          <w:noProof/>
        </w:rPr>
        <w:t xml:space="preserve">cyber </w:t>
      </w:r>
      <w:r w:rsidR="001A462E" w:rsidRPr="00DA7B3D">
        <w:rPr>
          <w:noProof/>
        </w:rPr>
        <w:t>posture</w:t>
      </w:r>
      <w:r w:rsidR="001A462E" w:rsidRPr="00DA7B3D">
        <w:rPr>
          <w:rFonts w:eastAsia="Calibri"/>
          <w:noProof/>
        </w:rPr>
        <w:t xml:space="preserve"> of entities</w:t>
      </w:r>
      <w:r w:rsidR="006D00E7">
        <w:rPr>
          <w:rFonts w:eastAsia="Calibri"/>
          <w:noProof/>
        </w:rPr>
        <w:t xml:space="preserve"> </w:t>
      </w:r>
      <w:r w:rsidR="001A462E" w:rsidRPr="00502FEF">
        <w:rPr>
          <w:noProof/>
        </w:rPr>
        <w:t>in accordance with Article 7</w:t>
      </w:r>
      <w:r w:rsidR="001A462E">
        <w:rPr>
          <w:noProof/>
        </w:rPr>
        <w:t>4 and, where applicable, developing technical specifications in accordance with Article 77</w:t>
      </w:r>
      <w:r w:rsidR="001A462E" w:rsidRPr="00502FEF">
        <w:rPr>
          <w:noProof/>
        </w:rPr>
        <w:t>;</w:t>
      </w:r>
    </w:p>
    <w:p w14:paraId="610BAA1F" w14:textId="342DDFB5" w:rsidR="001A462E" w:rsidRPr="001D68D6" w:rsidRDefault="006D01CD" w:rsidP="006D01CD">
      <w:pPr>
        <w:pStyle w:val="Point1"/>
        <w:rPr>
          <w:noProof/>
        </w:rPr>
      </w:pPr>
      <w:r w:rsidRPr="006D01CD">
        <w:rPr>
          <w:noProof/>
        </w:rPr>
        <w:t>(b)</w:t>
      </w:r>
      <w:r w:rsidRPr="006D01CD">
        <w:rPr>
          <w:noProof/>
        </w:rPr>
        <w:tab/>
      </w:r>
      <w:r w:rsidR="001A462E" w:rsidRPr="00502FEF">
        <w:rPr>
          <w:noProof/>
        </w:rPr>
        <w:t>maintaining adopted European cybersecurity certification schemes in accordance with Article 7</w:t>
      </w:r>
      <w:r w:rsidR="001A462E">
        <w:rPr>
          <w:noProof/>
        </w:rPr>
        <w:t>5, including in view of a possible</w:t>
      </w:r>
      <w:r w:rsidR="001A462E" w:rsidRPr="00502FEF">
        <w:rPr>
          <w:noProof/>
        </w:rPr>
        <w:t xml:space="preserve"> review</w:t>
      </w:r>
      <w:r w:rsidR="001A462E">
        <w:rPr>
          <w:noProof/>
        </w:rPr>
        <w:t xml:space="preserve"> of the</w:t>
      </w:r>
      <w:r w:rsidR="001A462E" w:rsidRPr="00502FEF">
        <w:rPr>
          <w:noProof/>
        </w:rPr>
        <w:t xml:space="preserve"> adopted European cybersecurity certification schemes in accordance with Article </w:t>
      </w:r>
      <w:r w:rsidR="001A462E">
        <w:rPr>
          <w:noProof/>
        </w:rPr>
        <w:t>76</w:t>
      </w:r>
      <w:r w:rsidR="001A462E" w:rsidRPr="001D68D6">
        <w:rPr>
          <w:noProof/>
        </w:rPr>
        <w:t>;</w:t>
      </w:r>
    </w:p>
    <w:p w14:paraId="178A4F0A" w14:textId="7B2E2427" w:rsidR="001A462E" w:rsidRDefault="006D01CD" w:rsidP="006D01CD">
      <w:pPr>
        <w:pStyle w:val="Point1"/>
        <w:rPr>
          <w:noProof/>
        </w:rPr>
      </w:pPr>
      <w:r w:rsidRPr="006D01CD">
        <w:rPr>
          <w:noProof/>
        </w:rPr>
        <w:t>(c)</w:t>
      </w:r>
      <w:r w:rsidRPr="006D01CD">
        <w:rPr>
          <w:noProof/>
        </w:rPr>
        <w:tab/>
      </w:r>
      <w:r w:rsidR="001A462E">
        <w:rPr>
          <w:noProof/>
        </w:rPr>
        <w:t xml:space="preserve">promoting the uptake of adopted schemes and </w:t>
      </w:r>
      <w:r w:rsidR="001A462E" w:rsidRPr="00502FEF">
        <w:rPr>
          <w:noProof/>
        </w:rPr>
        <w:t xml:space="preserve">maintaining </w:t>
      </w:r>
      <w:r w:rsidR="001A462E" w:rsidRPr="00502FEF">
        <w:rPr>
          <w:noProof/>
          <w:lang w:eastAsia="en-IE"/>
        </w:rPr>
        <w:t xml:space="preserve">a dedicated website providing information on, and publicising, European cybersecurity certification schemes, European cybersecurity certificates and EU statements of conformity </w:t>
      </w:r>
      <w:r w:rsidR="001A462E" w:rsidRPr="00502FEF">
        <w:rPr>
          <w:noProof/>
        </w:rPr>
        <w:t xml:space="preserve">in accordance with Article </w:t>
      </w:r>
      <w:r w:rsidR="001A462E">
        <w:rPr>
          <w:noProof/>
        </w:rPr>
        <w:t>79;</w:t>
      </w:r>
    </w:p>
    <w:p w14:paraId="3006FC10" w14:textId="13609483" w:rsidR="001A462E" w:rsidRDefault="006D01CD" w:rsidP="006D01CD">
      <w:pPr>
        <w:pStyle w:val="Point1"/>
        <w:rPr>
          <w:noProof/>
        </w:rPr>
      </w:pPr>
      <w:r w:rsidRPr="006D01CD">
        <w:rPr>
          <w:noProof/>
        </w:rPr>
        <w:t>(d)</w:t>
      </w:r>
      <w:r w:rsidRPr="006D01CD">
        <w:rPr>
          <w:noProof/>
        </w:rPr>
        <w:tab/>
      </w:r>
      <w:r w:rsidR="001A462E">
        <w:rPr>
          <w:noProof/>
        </w:rPr>
        <w:t xml:space="preserve">organising </w:t>
      </w:r>
      <w:r w:rsidR="001A462E" w:rsidRPr="00502FEF">
        <w:rPr>
          <w:noProof/>
        </w:rPr>
        <w:t xml:space="preserve">capacity-building related to certification processes, evaluation activities, peer review and peer assessment, including by providing support to Member States at their request in accordance with Article </w:t>
      </w:r>
      <w:r w:rsidR="001A462E">
        <w:rPr>
          <w:noProof/>
        </w:rPr>
        <w:t>6</w:t>
      </w:r>
      <w:r w:rsidR="006D00E7">
        <w:rPr>
          <w:noProof/>
        </w:rPr>
        <w:t>,</w:t>
      </w:r>
      <w:r w:rsidR="001A462E">
        <w:rPr>
          <w:noProof/>
        </w:rPr>
        <w:t xml:space="preserve"> point (12).</w:t>
      </w:r>
    </w:p>
    <w:p w14:paraId="1700CBF4" w14:textId="785942B2" w:rsidR="001A462E" w:rsidRPr="00502FEF" w:rsidRDefault="006D01CD" w:rsidP="006D01CD">
      <w:pPr>
        <w:pStyle w:val="ManualNumPar1"/>
        <w:rPr>
          <w:noProof/>
        </w:rPr>
      </w:pPr>
      <w:r w:rsidRPr="006D01CD">
        <w:rPr>
          <w:noProof/>
        </w:rPr>
        <w:t>2.</w:t>
      </w:r>
      <w:r w:rsidRPr="006D01CD">
        <w:rPr>
          <w:noProof/>
        </w:rPr>
        <w:tab/>
      </w:r>
      <w:r w:rsidR="001A462E">
        <w:rPr>
          <w:noProof/>
        </w:rPr>
        <w:t xml:space="preserve">ENISA shall support the Commission in the following activities: </w:t>
      </w:r>
    </w:p>
    <w:p w14:paraId="149D16D3" w14:textId="0FBA4798" w:rsidR="001A462E" w:rsidRPr="00DA7B3D" w:rsidRDefault="006D01CD" w:rsidP="006D01CD">
      <w:pPr>
        <w:pStyle w:val="Point1"/>
        <w:rPr>
          <w:noProof/>
        </w:rPr>
      </w:pPr>
      <w:r w:rsidRPr="006D01CD">
        <w:rPr>
          <w:noProof/>
        </w:rPr>
        <w:t>(a)</w:t>
      </w:r>
      <w:r w:rsidRPr="006D01CD">
        <w:rPr>
          <w:noProof/>
        </w:rPr>
        <w:tab/>
      </w:r>
      <w:r w:rsidR="001A462E" w:rsidRPr="00DA7B3D">
        <w:rPr>
          <w:noProof/>
        </w:rPr>
        <w:t>the governance of the ECCG pursuant to Article 90;</w:t>
      </w:r>
    </w:p>
    <w:p w14:paraId="6981658E" w14:textId="6E9CC83A" w:rsidR="001A462E" w:rsidRPr="00DA7B3D" w:rsidRDefault="006D01CD" w:rsidP="006D01CD">
      <w:pPr>
        <w:pStyle w:val="Point1"/>
        <w:rPr>
          <w:noProof/>
        </w:rPr>
      </w:pPr>
      <w:r w:rsidRPr="006D01CD">
        <w:rPr>
          <w:noProof/>
        </w:rPr>
        <w:t>(b)</w:t>
      </w:r>
      <w:r w:rsidRPr="006D01CD">
        <w:rPr>
          <w:noProof/>
        </w:rPr>
        <w:tab/>
      </w:r>
      <w:r w:rsidR="001A462E" w:rsidRPr="00DA7B3D">
        <w:rPr>
          <w:noProof/>
        </w:rPr>
        <w:t>organising a European Cybersecurity Certification Assembly in accordance with Article 72(1);</w:t>
      </w:r>
    </w:p>
    <w:p w14:paraId="2421EEAD" w14:textId="6B2B13A0" w:rsidR="001A462E" w:rsidRDefault="006D01CD" w:rsidP="006D01CD">
      <w:pPr>
        <w:pStyle w:val="Point1"/>
        <w:rPr>
          <w:noProof/>
        </w:rPr>
      </w:pPr>
      <w:r w:rsidRPr="006D01CD">
        <w:rPr>
          <w:noProof/>
        </w:rPr>
        <w:t>(c)</w:t>
      </w:r>
      <w:r w:rsidRPr="006D01CD">
        <w:rPr>
          <w:noProof/>
        </w:rPr>
        <w:tab/>
      </w:r>
      <w:r w:rsidR="001A462E">
        <w:rPr>
          <w:noProof/>
        </w:rPr>
        <w:t>relating to the international recognition of European cybersecurity certifica</w:t>
      </w:r>
      <w:r w:rsidR="00CD0DB5">
        <w:rPr>
          <w:noProof/>
        </w:rPr>
        <w:t xml:space="preserve">tes </w:t>
      </w:r>
      <w:r w:rsidR="001A462E">
        <w:rPr>
          <w:noProof/>
        </w:rPr>
        <w:t>in accordance with Article 87;</w:t>
      </w:r>
    </w:p>
    <w:p w14:paraId="44CE2084" w14:textId="0253FD5A" w:rsidR="001A462E" w:rsidRDefault="006D01CD" w:rsidP="006D01CD">
      <w:pPr>
        <w:pStyle w:val="Point1"/>
        <w:rPr>
          <w:noProof/>
        </w:rPr>
      </w:pPr>
      <w:r w:rsidRPr="006D01CD">
        <w:rPr>
          <w:noProof/>
        </w:rPr>
        <w:t>(d)</w:t>
      </w:r>
      <w:r w:rsidRPr="006D01CD">
        <w:rPr>
          <w:noProof/>
        </w:rPr>
        <w:tab/>
      </w:r>
      <w:r w:rsidR="001A462E">
        <w:rPr>
          <w:noProof/>
        </w:rPr>
        <w:t>organising</w:t>
      </w:r>
      <w:r w:rsidR="001A462E" w:rsidRPr="00502FEF">
        <w:rPr>
          <w:noProof/>
        </w:rPr>
        <w:t xml:space="preserve"> peer reviews pursuant to Article </w:t>
      </w:r>
      <w:r w:rsidR="001A462E">
        <w:rPr>
          <w:noProof/>
        </w:rPr>
        <w:t>89;</w:t>
      </w:r>
    </w:p>
    <w:p w14:paraId="32C22E3D" w14:textId="6ABA2616" w:rsidR="001A462E" w:rsidRDefault="006D01CD" w:rsidP="006D01CD">
      <w:pPr>
        <w:pStyle w:val="Point1"/>
        <w:rPr>
          <w:noProof/>
        </w:rPr>
      </w:pPr>
      <w:r w:rsidRPr="006D01CD">
        <w:rPr>
          <w:noProof/>
        </w:rPr>
        <w:t>(e)</w:t>
      </w:r>
      <w:r w:rsidRPr="006D01CD">
        <w:rPr>
          <w:noProof/>
        </w:rPr>
        <w:tab/>
      </w:r>
      <w:r w:rsidR="001A462E" w:rsidRPr="00502FEF">
        <w:rPr>
          <w:noProof/>
        </w:rPr>
        <w:t xml:space="preserve">preparing model provisions to be referenced in the European cybersecurity certification schemes for </w:t>
      </w:r>
      <w:r w:rsidR="001A462E" w:rsidRPr="00502FEF">
        <w:rPr>
          <w:rFonts w:eastAsia="Calibri"/>
          <w:noProof/>
        </w:rPr>
        <w:t xml:space="preserve">ICT products, ICT services, ICT processes, managed security services </w:t>
      </w:r>
      <w:r w:rsidR="001A462E">
        <w:rPr>
          <w:rFonts w:eastAsia="Calibri"/>
          <w:noProof/>
        </w:rPr>
        <w:t>and</w:t>
      </w:r>
      <w:r w:rsidR="001A462E" w:rsidRPr="00502FEF">
        <w:rPr>
          <w:rFonts w:eastAsia="Calibri"/>
          <w:noProof/>
        </w:rPr>
        <w:t xml:space="preserve"> cyber posture of entities</w:t>
      </w:r>
      <w:r w:rsidR="001A462E" w:rsidRPr="00502FEF">
        <w:rPr>
          <w:noProof/>
        </w:rPr>
        <w:t xml:space="preserve"> in accordance with Article</w:t>
      </w:r>
      <w:r w:rsidR="001A462E">
        <w:rPr>
          <w:noProof/>
        </w:rPr>
        <w:t xml:space="preserve"> 81(5</w:t>
      </w:r>
      <w:r w:rsidR="001A462E" w:rsidRPr="00502FEF">
        <w:rPr>
          <w:noProof/>
        </w:rPr>
        <w:t>)</w:t>
      </w:r>
      <w:r w:rsidR="001A462E">
        <w:rPr>
          <w:noProof/>
        </w:rPr>
        <w:t>.</w:t>
      </w:r>
    </w:p>
    <w:p w14:paraId="5E749C2C" w14:textId="77777777" w:rsidR="001A462E" w:rsidRDefault="001A462E" w:rsidP="001A462E">
      <w:pPr>
        <w:pStyle w:val="Titrearticle"/>
        <w:rPr>
          <w:noProof/>
        </w:rPr>
      </w:pPr>
      <w:r>
        <w:rPr>
          <w:noProof/>
        </w:rPr>
        <w:t>Article 18</w:t>
      </w:r>
      <w:r>
        <w:rPr>
          <w:noProof/>
        </w:rPr>
        <w:br/>
        <w:t>Standardisation, technical specifications and guidance</w:t>
      </w:r>
    </w:p>
    <w:p w14:paraId="3A981ECC" w14:textId="36B5779A" w:rsidR="001A462E" w:rsidRDefault="006D01CD" w:rsidP="006D01CD">
      <w:pPr>
        <w:pStyle w:val="ManualNumPar1"/>
        <w:rPr>
          <w:noProof/>
          <w:lang w:eastAsia="en-IE"/>
        </w:rPr>
      </w:pPr>
      <w:r w:rsidRPr="006D01CD">
        <w:rPr>
          <w:noProof/>
        </w:rPr>
        <w:t>1.</w:t>
      </w:r>
      <w:r w:rsidRPr="006D01CD">
        <w:rPr>
          <w:noProof/>
        </w:rPr>
        <w:tab/>
      </w:r>
      <w:r w:rsidR="001A462E">
        <w:rPr>
          <w:noProof/>
        </w:rPr>
        <w:t xml:space="preserve">ENISA shall draft technical specifications and guidance to support the implementation of Union legislation in the field of cybersecurity. When drafting those technical specifications, </w:t>
      </w:r>
      <w:r w:rsidR="001A462E" w:rsidRPr="10BCDA11">
        <w:rPr>
          <w:noProof/>
          <w:lang w:eastAsia="en-IE"/>
        </w:rPr>
        <w:t xml:space="preserve">ENISA shall consider existing European and international standards as well as other relevant technical specifications. ENISA shall ensure </w:t>
      </w:r>
      <w:r w:rsidR="001A462E">
        <w:rPr>
          <w:noProof/>
          <w:lang w:eastAsia="en-IE"/>
        </w:rPr>
        <w:t>the</w:t>
      </w:r>
      <w:r w:rsidR="001A462E" w:rsidRPr="10BCDA11">
        <w:rPr>
          <w:noProof/>
          <w:lang w:eastAsia="en-IE"/>
        </w:rPr>
        <w:t xml:space="preserve"> consistency of its technical specifications and guidance.</w:t>
      </w:r>
    </w:p>
    <w:p w14:paraId="78E257A4" w14:textId="70E906C4" w:rsidR="001A462E" w:rsidRDefault="006D01CD" w:rsidP="006D01CD">
      <w:pPr>
        <w:pStyle w:val="ManualNumPar1"/>
        <w:rPr>
          <w:noProof/>
          <w:lang w:eastAsia="en-IE"/>
        </w:rPr>
      </w:pPr>
      <w:r w:rsidRPr="006D01CD">
        <w:rPr>
          <w:noProof/>
        </w:rPr>
        <w:t>2.</w:t>
      </w:r>
      <w:r w:rsidRPr="006D01CD">
        <w:rPr>
          <w:noProof/>
        </w:rPr>
        <w:tab/>
      </w:r>
      <w:r w:rsidR="001A462E">
        <w:rPr>
          <w:noProof/>
          <w:lang w:eastAsia="en-IE"/>
        </w:rPr>
        <w:t>ENISA shall monitor and</w:t>
      </w:r>
      <w:r w:rsidR="006D00E7">
        <w:rPr>
          <w:noProof/>
          <w:lang w:eastAsia="en-IE"/>
        </w:rPr>
        <w:t>,</w:t>
      </w:r>
      <w:r w:rsidR="001A462E">
        <w:rPr>
          <w:noProof/>
          <w:lang w:eastAsia="en-IE"/>
        </w:rPr>
        <w:t xml:space="preserve"> where relevant, participate and lead in standardisation development activities at Union level and, in accordance with Article 9, at international level, in view of supporting Union policies related to cybersecurity.</w:t>
      </w:r>
    </w:p>
    <w:p w14:paraId="1E491F1F" w14:textId="65DD2BDF" w:rsidR="001A462E" w:rsidRDefault="006D01CD" w:rsidP="006D01CD">
      <w:pPr>
        <w:pStyle w:val="ManualNumPar1"/>
        <w:rPr>
          <w:noProof/>
        </w:rPr>
      </w:pPr>
      <w:r w:rsidRPr="006D01CD">
        <w:rPr>
          <w:noProof/>
        </w:rPr>
        <w:t>3.</w:t>
      </w:r>
      <w:r w:rsidRPr="006D01CD">
        <w:rPr>
          <w:noProof/>
        </w:rPr>
        <w:tab/>
      </w:r>
      <w:r w:rsidR="001A462E" w:rsidRPr="0032673E">
        <w:rPr>
          <w:noProof/>
        </w:rPr>
        <w:t>ENISA shall support the develop</w:t>
      </w:r>
      <w:r w:rsidR="001A462E">
        <w:rPr>
          <w:noProof/>
        </w:rPr>
        <w:t>ment and</w:t>
      </w:r>
      <w:r w:rsidR="001A462E" w:rsidRPr="0032673E">
        <w:rPr>
          <w:noProof/>
        </w:rPr>
        <w:t xml:space="preserve"> evaluat</w:t>
      </w:r>
      <w:r w:rsidR="001A462E">
        <w:rPr>
          <w:noProof/>
        </w:rPr>
        <w:t>ion</w:t>
      </w:r>
      <w:r w:rsidR="001A462E" w:rsidRPr="0032673E">
        <w:rPr>
          <w:noProof/>
        </w:rPr>
        <w:t xml:space="preserve"> </w:t>
      </w:r>
      <w:r w:rsidR="001A462E">
        <w:rPr>
          <w:noProof/>
        </w:rPr>
        <w:t xml:space="preserve">of </w:t>
      </w:r>
      <w:r w:rsidR="001A462E" w:rsidRPr="0032673E">
        <w:rPr>
          <w:noProof/>
        </w:rPr>
        <w:t xml:space="preserve">cryptographic </w:t>
      </w:r>
      <w:r w:rsidR="001A462E">
        <w:rPr>
          <w:noProof/>
        </w:rPr>
        <w:t xml:space="preserve">algorithms. Where a cryptographic algorithm is evaluated positively by ENISA, ENISA shall cooperate, in accordance with </w:t>
      </w:r>
      <w:r w:rsidR="001A462E" w:rsidRPr="00DC6238">
        <w:rPr>
          <w:noProof/>
        </w:rPr>
        <w:t>Regulation (EU) No 1025/2012</w:t>
      </w:r>
      <w:r w:rsidR="001A462E">
        <w:rPr>
          <w:noProof/>
        </w:rPr>
        <w:t xml:space="preserve">, with the European standardisation bodies to support its standardisation. </w:t>
      </w:r>
    </w:p>
    <w:p w14:paraId="763BBB81" w14:textId="1C6B926D" w:rsidR="001A462E" w:rsidRDefault="006D01CD" w:rsidP="006D01CD">
      <w:pPr>
        <w:pStyle w:val="ManualNumPar1"/>
        <w:rPr>
          <w:noProof/>
        </w:rPr>
      </w:pPr>
      <w:r w:rsidRPr="006D01CD">
        <w:rPr>
          <w:noProof/>
        </w:rPr>
        <w:t>4.</w:t>
      </w:r>
      <w:r w:rsidRPr="006D01CD">
        <w:rPr>
          <w:noProof/>
        </w:rPr>
        <w:tab/>
      </w:r>
      <w:r w:rsidR="001A462E">
        <w:rPr>
          <w:noProof/>
        </w:rPr>
        <w:t xml:space="preserve">ENISA shall provide technical advice to the Commission and, where relevant, the </w:t>
      </w:r>
      <w:r w:rsidR="00AE4E39">
        <w:rPr>
          <w:noProof/>
        </w:rPr>
        <w:t>Member States</w:t>
      </w:r>
      <w:r w:rsidR="001A462E">
        <w:rPr>
          <w:noProof/>
        </w:rPr>
        <w:t xml:space="preserve">, on appropriate standards or technical specifications in support of Union policies related to cybersecurity, including for Union harmonisation legislation </w:t>
      </w:r>
      <w:r w:rsidR="001A462E" w:rsidRPr="00B417DE">
        <w:rPr>
          <w:noProof/>
        </w:rPr>
        <w:t>in the field of cybersecurity</w:t>
      </w:r>
      <w:r w:rsidR="00AE4E39">
        <w:rPr>
          <w:noProof/>
        </w:rPr>
        <w:t xml:space="preserve">, </w:t>
      </w:r>
      <w:r w:rsidR="00EA2D7B">
        <w:rPr>
          <w:noProof/>
        </w:rPr>
        <w:t xml:space="preserve">in particular </w:t>
      </w:r>
      <w:r w:rsidR="005E15AF">
        <w:rPr>
          <w:noProof/>
        </w:rPr>
        <w:t>Regulation</w:t>
      </w:r>
      <w:r w:rsidR="00EA2D7B">
        <w:rPr>
          <w:noProof/>
        </w:rPr>
        <w:t xml:space="preserve"> (EU) 2024/</w:t>
      </w:r>
      <w:r w:rsidR="00396E35">
        <w:rPr>
          <w:noProof/>
        </w:rPr>
        <w:t>2847,</w:t>
      </w:r>
      <w:r w:rsidR="005E15AF">
        <w:rPr>
          <w:noProof/>
        </w:rPr>
        <w:t xml:space="preserve"> </w:t>
      </w:r>
      <w:r w:rsidR="00AE4E39">
        <w:rPr>
          <w:noProof/>
        </w:rPr>
        <w:t>technical areas for the purpose of Article 25 of Directive (EU) 2022/2555,</w:t>
      </w:r>
      <w:r w:rsidR="001A462E" w:rsidRPr="00B417DE">
        <w:rPr>
          <w:noProof/>
        </w:rPr>
        <w:t xml:space="preserve"> </w:t>
      </w:r>
      <w:r w:rsidR="001A462E">
        <w:rPr>
          <w:noProof/>
        </w:rPr>
        <w:t>and European cybersecurity certification schemes pursuant to Article 81(1), point (d).</w:t>
      </w:r>
    </w:p>
    <w:p w14:paraId="6C953C7F" w14:textId="0F0A6258" w:rsidR="001A462E" w:rsidRDefault="006D01CD" w:rsidP="006D01CD">
      <w:pPr>
        <w:pStyle w:val="ManualNumPar1"/>
        <w:rPr>
          <w:noProof/>
        </w:rPr>
      </w:pPr>
      <w:r w:rsidRPr="006D01CD">
        <w:rPr>
          <w:noProof/>
        </w:rPr>
        <w:t>5.</w:t>
      </w:r>
      <w:r w:rsidRPr="006D01CD">
        <w:rPr>
          <w:noProof/>
        </w:rPr>
        <w:tab/>
      </w:r>
      <w:r w:rsidR="001A462E">
        <w:rPr>
          <w:noProof/>
        </w:rPr>
        <w:t>ENISA shall assist the Commission in the assessment of draft harmonised standards to support the implementation of Union harmonisation legislation in the field of cybersecurity.</w:t>
      </w:r>
    </w:p>
    <w:p w14:paraId="343EBF0F" w14:textId="28C5E8A6" w:rsidR="001A462E" w:rsidRDefault="006D01CD" w:rsidP="006D01CD">
      <w:pPr>
        <w:pStyle w:val="ManualNumPar1"/>
        <w:rPr>
          <w:noProof/>
        </w:rPr>
      </w:pPr>
      <w:r w:rsidRPr="006D01CD">
        <w:rPr>
          <w:noProof/>
        </w:rPr>
        <w:t>6.</w:t>
      </w:r>
      <w:r w:rsidRPr="006D01CD">
        <w:rPr>
          <w:noProof/>
        </w:rPr>
        <w:tab/>
      </w:r>
      <w:r w:rsidR="001A462E">
        <w:rPr>
          <w:noProof/>
        </w:rPr>
        <w:t>ENISA shall promote the uptake of European and international standards for cybersecurity.</w:t>
      </w:r>
    </w:p>
    <w:p w14:paraId="66348414" w14:textId="020584D7" w:rsidR="001A462E" w:rsidRPr="00777BC3" w:rsidRDefault="006D01CD" w:rsidP="006D01CD">
      <w:pPr>
        <w:pStyle w:val="ManualNumPar1"/>
        <w:rPr>
          <w:noProof/>
        </w:rPr>
      </w:pPr>
      <w:r w:rsidRPr="006D01CD">
        <w:rPr>
          <w:noProof/>
        </w:rPr>
        <w:t>7.</w:t>
      </w:r>
      <w:r w:rsidRPr="006D01CD">
        <w:rPr>
          <w:noProof/>
        </w:rPr>
        <w:tab/>
      </w:r>
      <w:r w:rsidR="001A462E">
        <w:rPr>
          <w:noProof/>
        </w:rPr>
        <w:t>ENISA shall carry out the tasks referred to in paragraphs 1 to 6 with integrity, impartiality and confidentiality, including b</w:t>
      </w:r>
      <w:r w:rsidR="001A462E" w:rsidRPr="00777BC3">
        <w:rPr>
          <w:noProof/>
        </w:rPr>
        <w:t xml:space="preserve">y withdrawing or pausing its participation from specific technical bodies when such a participation conflicts with other tasks or objectives. </w:t>
      </w:r>
    </w:p>
    <w:p w14:paraId="07BBE71C" w14:textId="77777777" w:rsidR="001A462E" w:rsidRPr="00777BC3" w:rsidRDefault="001A462E" w:rsidP="001A462E">
      <w:pPr>
        <w:rPr>
          <w:noProof/>
          <w:lang w:eastAsia="en-IE"/>
        </w:rPr>
      </w:pPr>
    </w:p>
    <w:p w14:paraId="4E9DC99B" w14:textId="7B9FA975" w:rsidR="001A462E" w:rsidRPr="00777BC3" w:rsidRDefault="001A462E" w:rsidP="001A462E">
      <w:pPr>
        <w:jc w:val="center"/>
        <w:rPr>
          <w:b/>
          <w:bCs/>
          <w:noProof/>
        </w:rPr>
      </w:pPr>
      <w:r w:rsidRPr="00777BC3">
        <w:rPr>
          <w:b/>
          <w:bCs/>
          <w:noProof/>
        </w:rPr>
        <w:t xml:space="preserve">Section </w:t>
      </w:r>
      <w:r w:rsidR="00BF33F1">
        <w:rPr>
          <w:b/>
          <w:bCs/>
          <w:noProof/>
        </w:rPr>
        <w:t>4</w:t>
      </w:r>
      <w:r>
        <w:rPr>
          <w:noProof/>
        </w:rPr>
        <w:br/>
      </w:r>
      <w:r w:rsidRPr="00777BC3">
        <w:rPr>
          <w:b/>
          <w:bCs/>
          <w:noProof/>
        </w:rPr>
        <w:t>Implementation of the Cybersecurity Skills Academy</w:t>
      </w:r>
    </w:p>
    <w:p w14:paraId="164C0E23" w14:textId="77777777" w:rsidR="001A462E" w:rsidRPr="00777BC3" w:rsidRDefault="001A462E" w:rsidP="001A462E">
      <w:pPr>
        <w:pStyle w:val="Titrearticle"/>
        <w:rPr>
          <w:noProof/>
        </w:rPr>
      </w:pPr>
      <w:r w:rsidRPr="00777BC3">
        <w:rPr>
          <w:noProof/>
        </w:rPr>
        <w:t>Article 19</w:t>
      </w:r>
      <w:r w:rsidRPr="00777BC3">
        <w:rPr>
          <w:noProof/>
        </w:rPr>
        <w:br/>
        <w:t xml:space="preserve">European Cybersecurity Skills Framework </w:t>
      </w:r>
    </w:p>
    <w:p w14:paraId="7EC70B7C" w14:textId="46673FC0" w:rsidR="001A462E" w:rsidRPr="00777BC3" w:rsidRDefault="006D01CD" w:rsidP="006D01CD">
      <w:pPr>
        <w:pStyle w:val="ManualNumPar1"/>
        <w:rPr>
          <w:noProof/>
        </w:rPr>
      </w:pPr>
      <w:r w:rsidRPr="006D01CD">
        <w:rPr>
          <w:noProof/>
        </w:rPr>
        <w:t>1.</w:t>
      </w:r>
      <w:r w:rsidRPr="006D01CD">
        <w:rPr>
          <w:noProof/>
        </w:rPr>
        <w:tab/>
      </w:r>
      <w:r w:rsidR="001A462E" w:rsidRPr="00777BC3">
        <w:rPr>
          <w:noProof/>
        </w:rPr>
        <w:t xml:space="preserve">ENISA shall develop </w:t>
      </w:r>
      <w:r w:rsidR="001A462E">
        <w:rPr>
          <w:noProof/>
        </w:rPr>
        <w:t>and make publicly available a European Cybersecurity Skills framework (‘</w:t>
      </w:r>
      <w:r w:rsidR="001A462E" w:rsidRPr="00777BC3">
        <w:rPr>
          <w:noProof/>
        </w:rPr>
        <w:t>ECSF</w:t>
      </w:r>
      <w:r w:rsidR="001A462E">
        <w:rPr>
          <w:noProof/>
        </w:rPr>
        <w:t>’)</w:t>
      </w:r>
      <w:r w:rsidR="001A462E" w:rsidRPr="00777BC3">
        <w:rPr>
          <w:noProof/>
        </w:rPr>
        <w:t xml:space="preserve">. Before </w:t>
      </w:r>
      <w:r w:rsidR="001A462E">
        <w:rPr>
          <w:noProof/>
        </w:rPr>
        <w:t>making the ECSF publicly available</w:t>
      </w:r>
      <w:r w:rsidR="001A462E" w:rsidRPr="00777BC3">
        <w:rPr>
          <w:noProof/>
        </w:rPr>
        <w:t xml:space="preserve"> or </w:t>
      </w:r>
      <w:r w:rsidR="001A462E">
        <w:rPr>
          <w:noProof/>
        </w:rPr>
        <w:t>updating it</w:t>
      </w:r>
      <w:r w:rsidR="001A462E" w:rsidRPr="00777BC3">
        <w:rPr>
          <w:noProof/>
        </w:rPr>
        <w:t xml:space="preserve"> pursuant to paragraph 4, ENISA shall consult the Commission.</w:t>
      </w:r>
    </w:p>
    <w:p w14:paraId="35108BC9" w14:textId="3C0C7EBF" w:rsidR="001A462E" w:rsidRPr="00777BC3" w:rsidRDefault="006D01CD" w:rsidP="006D01CD">
      <w:pPr>
        <w:pStyle w:val="ManualNumPar1"/>
        <w:rPr>
          <w:noProof/>
        </w:rPr>
      </w:pPr>
      <w:r w:rsidRPr="006D01CD">
        <w:rPr>
          <w:noProof/>
        </w:rPr>
        <w:t>2.</w:t>
      </w:r>
      <w:r w:rsidRPr="006D01CD">
        <w:rPr>
          <w:noProof/>
        </w:rPr>
        <w:tab/>
      </w:r>
      <w:r w:rsidR="001A462E" w:rsidRPr="00777BC3">
        <w:rPr>
          <w:noProof/>
        </w:rPr>
        <w:t xml:space="preserve">The ECSF shall </w:t>
      </w:r>
      <w:r w:rsidR="001A462E" w:rsidRPr="00777BC3" w:rsidDel="006132C8">
        <w:rPr>
          <w:noProof/>
        </w:rPr>
        <w:t xml:space="preserve">define </w:t>
      </w:r>
      <w:r w:rsidR="001A462E" w:rsidRPr="00777BC3">
        <w:rPr>
          <w:noProof/>
        </w:rPr>
        <w:t xml:space="preserve">profiles of cybersecurity professionals and </w:t>
      </w:r>
      <w:r w:rsidR="001A462E">
        <w:rPr>
          <w:noProof/>
        </w:rPr>
        <w:t>association</w:t>
      </w:r>
      <w:r w:rsidR="001A462E" w:rsidRPr="00777BC3">
        <w:rPr>
          <w:noProof/>
        </w:rPr>
        <w:t xml:space="preserve"> of specific tasks, skills and knowledge </w:t>
      </w:r>
      <w:r w:rsidR="001A462E">
        <w:rPr>
          <w:noProof/>
        </w:rPr>
        <w:t>to</w:t>
      </w:r>
      <w:r w:rsidR="001A462E" w:rsidRPr="00777BC3">
        <w:rPr>
          <w:noProof/>
        </w:rPr>
        <w:t xml:space="preserve"> a given role profile. The use of the ECSF shall </w:t>
      </w:r>
      <w:r w:rsidR="001A462E">
        <w:rPr>
          <w:noProof/>
        </w:rPr>
        <w:t xml:space="preserve">be </w:t>
      </w:r>
      <w:r w:rsidR="001A462E" w:rsidRPr="00777BC3">
        <w:rPr>
          <w:noProof/>
        </w:rPr>
        <w:t>voluntary for public and private entities.</w:t>
      </w:r>
    </w:p>
    <w:p w14:paraId="56CF5BAF" w14:textId="5CEE4651" w:rsidR="001A462E" w:rsidRPr="00777BC3" w:rsidRDefault="006D01CD" w:rsidP="006D01CD">
      <w:pPr>
        <w:pStyle w:val="ManualNumPar1"/>
        <w:rPr>
          <w:noProof/>
        </w:rPr>
      </w:pPr>
      <w:r w:rsidRPr="006D01CD">
        <w:rPr>
          <w:noProof/>
        </w:rPr>
        <w:t>3.</w:t>
      </w:r>
      <w:r w:rsidRPr="006D01CD">
        <w:rPr>
          <w:noProof/>
        </w:rPr>
        <w:tab/>
      </w:r>
      <w:r w:rsidR="001A462E" w:rsidRPr="00777BC3">
        <w:rPr>
          <w:noProof/>
        </w:rPr>
        <w:t xml:space="preserve">ENISA </w:t>
      </w:r>
      <w:r w:rsidR="001A462E">
        <w:rPr>
          <w:noProof/>
        </w:rPr>
        <w:t>may</w:t>
      </w:r>
      <w:r w:rsidR="001A462E" w:rsidRPr="00777BC3">
        <w:rPr>
          <w:noProof/>
        </w:rPr>
        <w:t xml:space="preserve"> consult stakeholders in the development and uptake of the ECSF.</w:t>
      </w:r>
    </w:p>
    <w:p w14:paraId="6BFD3538" w14:textId="3C106B39" w:rsidR="001A462E" w:rsidRPr="0074565D" w:rsidRDefault="006D01CD" w:rsidP="006D01CD">
      <w:pPr>
        <w:pStyle w:val="ManualNumPar1"/>
        <w:rPr>
          <w:noProof/>
          <w:lang w:val="en-IE"/>
        </w:rPr>
      </w:pPr>
      <w:r w:rsidRPr="006D01CD">
        <w:rPr>
          <w:noProof/>
        </w:rPr>
        <w:t>4.</w:t>
      </w:r>
      <w:r w:rsidRPr="006D01CD">
        <w:rPr>
          <w:noProof/>
        </w:rPr>
        <w:tab/>
      </w:r>
      <w:r w:rsidR="001A462E" w:rsidRPr="00777BC3">
        <w:rPr>
          <w:noProof/>
        </w:rPr>
        <w:t xml:space="preserve">ENISA shall assess the need to update the ECSF on a regular basis and, where relevant, </w:t>
      </w:r>
      <w:r w:rsidR="001A462E">
        <w:rPr>
          <w:noProof/>
        </w:rPr>
        <w:t>update</w:t>
      </w:r>
      <w:r w:rsidR="001A462E" w:rsidRPr="00777BC3">
        <w:rPr>
          <w:noProof/>
        </w:rPr>
        <w:t xml:space="preserve"> it.</w:t>
      </w:r>
    </w:p>
    <w:p w14:paraId="6BEF8DB7" w14:textId="77777777" w:rsidR="001A462E" w:rsidRPr="00777BC3" w:rsidRDefault="001A462E" w:rsidP="001A462E">
      <w:pPr>
        <w:pStyle w:val="Titrearticle"/>
        <w:rPr>
          <w:noProof/>
          <w:lang w:val="en-IE"/>
        </w:rPr>
      </w:pPr>
      <w:r w:rsidRPr="00777BC3">
        <w:rPr>
          <w:noProof/>
          <w:lang w:val="en-IE"/>
        </w:rPr>
        <w:t>Article 20</w:t>
      </w:r>
      <w:r w:rsidRPr="00777BC3">
        <w:rPr>
          <w:noProof/>
          <w:lang w:val="en-IE"/>
        </w:rPr>
        <w:br/>
        <w:t>Development, adoption and maintenance of European individual cybersecurity skills attestation schemes</w:t>
      </w:r>
    </w:p>
    <w:p w14:paraId="601CA6BB" w14:textId="47F92515" w:rsidR="001A462E" w:rsidRPr="00777BC3" w:rsidRDefault="006D01CD" w:rsidP="006D01CD">
      <w:pPr>
        <w:pStyle w:val="ManualNumPar1"/>
        <w:rPr>
          <w:noProof/>
        </w:rPr>
      </w:pPr>
      <w:r w:rsidRPr="006D01CD">
        <w:rPr>
          <w:noProof/>
        </w:rPr>
        <w:t>1.</w:t>
      </w:r>
      <w:r w:rsidRPr="006D01CD">
        <w:rPr>
          <w:noProof/>
        </w:rPr>
        <w:tab/>
      </w:r>
      <w:r w:rsidR="001A462E" w:rsidRPr="00777BC3">
        <w:rPr>
          <w:noProof/>
        </w:rPr>
        <w:t xml:space="preserve">ENISA shall develop, adopt and maintain European individual cybersecurity skills attestation schemes. The use of European individual cybersecurity skills attestation schemes shall </w:t>
      </w:r>
      <w:r w:rsidR="001A462E">
        <w:rPr>
          <w:noProof/>
        </w:rPr>
        <w:t xml:space="preserve">be </w:t>
      </w:r>
      <w:r w:rsidR="001A462E" w:rsidRPr="00777BC3">
        <w:rPr>
          <w:noProof/>
        </w:rPr>
        <w:t xml:space="preserve">voluntary for </w:t>
      </w:r>
      <w:r w:rsidR="001A462E">
        <w:rPr>
          <w:noProof/>
        </w:rPr>
        <w:t xml:space="preserve">national </w:t>
      </w:r>
      <w:r w:rsidR="001A462E" w:rsidRPr="00777BC3">
        <w:rPr>
          <w:noProof/>
        </w:rPr>
        <w:t xml:space="preserve">public </w:t>
      </w:r>
      <w:r w:rsidR="001A462E">
        <w:rPr>
          <w:noProof/>
        </w:rPr>
        <w:t>bodies</w:t>
      </w:r>
      <w:r w:rsidR="001A462E" w:rsidRPr="00777BC3">
        <w:rPr>
          <w:noProof/>
        </w:rPr>
        <w:t xml:space="preserve"> and private entities</w:t>
      </w:r>
      <w:r w:rsidR="001A462E" w:rsidRPr="008759EE">
        <w:rPr>
          <w:noProof/>
        </w:rPr>
        <w:t xml:space="preserve">, unless otherwise specified </w:t>
      </w:r>
      <w:r w:rsidR="001A462E">
        <w:rPr>
          <w:noProof/>
        </w:rPr>
        <w:t xml:space="preserve">by national </w:t>
      </w:r>
      <w:r w:rsidR="001A462E" w:rsidRPr="008759EE">
        <w:rPr>
          <w:noProof/>
        </w:rPr>
        <w:t>law</w:t>
      </w:r>
      <w:r w:rsidR="001A462E" w:rsidRPr="00777BC3">
        <w:rPr>
          <w:noProof/>
        </w:rPr>
        <w:t xml:space="preserve">. </w:t>
      </w:r>
    </w:p>
    <w:p w14:paraId="46353A83" w14:textId="6ED04BCF" w:rsidR="001A462E" w:rsidRPr="00777BC3" w:rsidRDefault="006D01CD" w:rsidP="006D01CD">
      <w:pPr>
        <w:pStyle w:val="ManualNumPar1"/>
        <w:rPr>
          <w:noProof/>
        </w:rPr>
      </w:pPr>
      <w:r w:rsidRPr="006D01CD">
        <w:rPr>
          <w:noProof/>
        </w:rPr>
        <w:t>2.</w:t>
      </w:r>
      <w:r w:rsidRPr="006D01CD">
        <w:rPr>
          <w:noProof/>
        </w:rPr>
        <w:tab/>
      </w:r>
      <w:r w:rsidR="001A462E" w:rsidRPr="00FD01C1">
        <w:rPr>
          <w:noProof/>
        </w:rPr>
        <w:t xml:space="preserve">Prior to initiating a new European individual cybersecurity skills attestation scheme, ENISA shall consult the Commission. ENISA shall only adopt such a scheme following a positive opinion from the Commission.  </w:t>
      </w:r>
      <w:r w:rsidR="001A462E" w:rsidRPr="00777BC3">
        <w:rPr>
          <w:noProof/>
        </w:rPr>
        <w:t xml:space="preserve">When preparing a European individual cybersecurity skills attestation scheme, ENISA </w:t>
      </w:r>
      <w:r w:rsidR="001A462E">
        <w:rPr>
          <w:noProof/>
        </w:rPr>
        <w:t xml:space="preserve">may </w:t>
      </w:r>
      <w:r w:rsidR="001A462E" w:rsidRPr="00777BC3">
        <w:rPr>
          <w:noProof/>
        </w:rPr>
        <w:t>consult relevant stakeholders.</w:t>
      </w:r>
    </w:p>
    <w:p w14:paraId="0312809F" w14:textId="58A937D8" w:rsidR="001A462E" w:rsidRPr="00777BC3" w:rsidRDefault="006D01CD" w:rsidP="006D01CD">
      <w:pPr>
        <w:pStyle w:val="ManualNumPar1"/>
        <w:rPr>
          <w:noProof/>
        </w:rPr>
      </w:pPr>
      <w:r w:rsidRPr="006D01CD">
        <w:rPr>
          <w:noProof/>
        </w:rPr>
        <w:t>3.</w:t>
      </w:r>
      <w:r w:rsidRPr="006D01CD">
        <w:rPr>
          <w:noProof/>
        </w:rPr>
        <w:tab/>
      </w:r>
      <w:r w:rsidR="001A462E" w:rsidRPr="00777BC3">
        <w:rPr>
          <w:noProof/>
        </w:rPr>
        <w:t xml:space="preserve">A European individual cybersecurity skills attestation scheme shall </w:t>
      </w:r>
      <w:r w:rsidR="001A462E">
        <w:rPr>
          <w:noProof/>
        </w:rPr>
        <w:t>include the following</w:t>
      </w:r>
      <w:r w:rsidR="001A462E" w:rsidRPr="00777BC3">
        <w:rPr>
          <w:noProof/>
        </w:rPr>
        <w:t>:</w:t>
      </w:r>
    </w:p>
    <w:p w14:paraId="77DCFCBF" w14:textId="491C2AF8" w:rsidR="001A462E" w:rsidRPr="00777BC3" w:rsidRDefault="006D01CD" w:rsidP="006D01CD">
      <w:pPr>
        <w:pStyle w:val="Point1"/>
        <w:rPr>
          <w:noProof/>
        </w:rPr>
      </w:pPr>
      <w:r w:rsidRPr="006D01CD">
        <w:rPr>
          <w:noProof/>
        </w:rPr>
        <w:t>(a)</w:t>
      </w:r>
      <w:r w:rsidRPr="006D01CD">
        <w:rPr>
          <w:noProof/>
        </w:rPr>
        <w:tab/>
      </w:r>
      <w:r w:rsidR="001A462E" w:rsidRPr="00777BC3">
        <w:rPr>
          <w:noProof/>
        </w:rPr>
        <w:t>subject matter and scope of the attestation scheme based on ECSF role profiles or subsets thereof;</w:t>
      </w:r>
    </w:p>
    <w:p w14:paraId="73D912F0" w14:textId="74C1C7D5" w:rsidR="001A462E" w:rsidRPr="00777BC3" w:rsidRDefault="006D01CD" w:rsidP="006D01CD">
      <w:pPr>
        <w:pStyle w:val="Point1"/>
        <w:rPr>
          <w:noProof/>
        </w:rPr>
      </w:pPr>
      <w:r w:rsidRPr="006D01CD">
        <w:rPr>
          <w:noProof/>
        </w:rPr>
        <w:t>(b)</w:t>
      </w:r>
      <w:r w:rsidRPr="006D01CD">
        <w:rPr>
          <w:noProof/>
        </w:rPr>
        <w:tab/>
      </w:r>
      <w:r w:rsidR="001A462E" w:rsidRPr="00777BC3">
        <w:rPr>
          <w:noProof/>
        </w:rPr>
        <w:t xml:space="preserve">requirements applicable to individuals trained to perform assessments (‘assessors’) in accordance with Article 21, the necessary skills, knowledge and experience as well as training </w:t>
      </w:r>
      <w:r w:rsidR="001A462E">
        <w:rPr>
          <w:noProof/>
        </w:rPr>
        <w:t>methods</w:t>
      </w:r>
      <w:r w:rsidR="001A462E" w:rsidRPr="00777BC3">
        <w:rPr>
          <w:noProof/>
        </w:rPr>
        <w:t>;</w:t>
      </w:r>
    </w:p>
    <w:p w14:paraId="69B87327" w14:textId="14329D1B" w:rsidR="001A462E" w:rsidRPr="00777BC3" w:rsidRDefault="006D01CD" w:rsidP="006D01CD">
      <w:pPr>
        <w:pStyle w:val="Point1"/>
        <w:rPr>
          <w:noProof/>
        </w:rPr>
      </w:pPr>
      <w:r w:rsidRPr="006D01CD">
        <w:rPr>
          <w:noProof/>
        </w:rPr>
        <w:t>(c)</w:t>
      </w:r>
      <w:r w:rsidRPr="006D01CD">
        <w:rPr>
          <w:noProof/>
        </w:rPr>
        <w:tab/>
      </w:r>
      <w:r w:rsidR="001A462E" w:rsidRPr="00777BC3">
        <w:rPr>
          <w:noProof/>
        </w:rPr>
        <w:t xml:space="preserve">market uptake analysis specific to each </w:t>
      </w:r>
      <w:r w:rsidR="001A462E">
        <w:rPr>
          <w:noProof/>
        </w:rPr>
        <w:t xml:space="preserve">attestation </w:t>
      </w:r>
      <w:r w:rsidR="001A462E" w:rsidRPr="00777BC3">
        <w:rPr>
          <w:noProof/>
        </w:rPr>
        <w:t>scheme;</w:t>
      </w:r>
    </w:p>
    <w:p w14:paraId="642683A5" w14:textId="0777A647" w:rsidR="001A462E" w:rsidRPr="00777BC3" w:rsidRDefault="006D01CD" w:rsidP="006D01CD">
      <w:pPr>
        <w:pStyle w:val="Point1"/>
        <w:rPr>
          <w:noProof/>
        </w:rPr>
      </w:pPr>
      <w:r w:rsidRPr="006D01CD">
        <w:rPr>
          <w:noProof/>
        </w:rPr>
        <w:t>(d)</w:t>
      </w:r>
      <w:r w:rsidRPr="006D01CD">
        <w:rPr>
          <w:noProof/>
        </w:rPr>
        <w:tab/>
      </w:r>
      <w:r w:rsidR="001A462E" w:rsidRPr="00DB49A6">
        <w:rPr>
          <w:noProof/>
        </w:rPr>
        <w:t>the learning outcomes, assessment methods, and conditions that authorised attestation providers shall use to evaluate an individual's demonstration of the required skills in accordance with Article 2</w:t>
      </w:r>
      <w:r w:rsidR="001A462E">
        <w:rPr>
          <w:noProof/>
        </w:rPr>
        <w:t>1</w:t>
      </w:r>
      <w:r w:rsidR="001A462E" w:rsidRPr="00777BC3">
        <w:rPr>
          <w:noProof/>
        </w:rPr>
        <w:t xml:space="preserve">; </w:t>
      </w:r>
    </w:p>
    <w:p w14:paraId="34954109" w14:textId="1F40793C" w:rsidR="001A462E" w:rsidRPr="00777BC3" w:rsidRDefault="006D01CD" w:rsidP="006D01CD">
      <w:pPr>
        <w:pStyle w:val="Point1"/>
        <w:rPr>
          <w:noProof/>
        </w:rPr>
      </w:pPr>
      <w:r w:rsidRPr="006D01CD">
        <w:rPr>
          <w:noProof/>
        </w:rPr>
        <w:t>(e)</w:t>
      </w:r>
      <w:r w:rsidRPr="006D01CD">
        <w:rPr>
          <w:noProof/>
        </w:rPr>
        <w:tab/>
      </w:r>
      <w:r w:rsidR="001A462E" w:rsidRPr="00777BC3">
        <w:rPr>
          <w:noProof/>
        </w:rPr>
        <w:t>where relevant, one or more proficiency levels;</w:t>
      </w:r>
    </w:p>
    <w:p w14:paraId="5CECC5EB" w14:textId="6E968385" w:rsidR="001A462E" w:rsidRPr="00777BC3" w:rsidRDefault="006D01CD" w:rsidP="006D01CD">
      <w:pPr>
        <w:pStyle w:val="Point1"/>
        <w:rPr>
          <w:noProof/>
        </w:rPr>
      </w:pPr>
      <w:r w:rsidRPr="006D01CD">
        <w:rPr>
          <w:noProof/>
        </w:rPr>
        <w:t>(f)</w:t>
      </w:r>
      <w:r w:rsidRPr="006D01CD">
        <w:rPr>
          <w:noProof/>
        </w:rPr>
        <w:tab/>
      </w:r>
      <w:r w:rsidR="001A462E" w:rsidRPr="00777BC3">
        <w:rPr>
          <w:noProof/>
        </w:rPr>
        <w:t xml:space="preserve">rules concerning the retention of records by authorised attestation providers; </w:t>
      </w:r>
    </w:p>
    <w:p w14:paraId="0271A570" w14:textId="1C07B424" w:rsidR="001A462E" w:rsidRPr="00777BC3" w:rsidRDefault="006D01CD" w:rsidP="006D01CD">
      <w:pPr>
        <w:pStyle w:val="Point1"/>
        <w:rPr>
          <w:noProof/>
        </w:rPr>
      </w:pPr>
      <w:r w:rsidRPr="006D01CD">
        <w:rPr>
          <w:noProof/>
        </w:rPr>
        <w:t>(g)</w:t>
      </w:r>
      <w:r w:rsidRPr="006D01CD">
        <w:rPr>
          <w:noProof/>
        </w:rPr>
        <w:tab/>
      </w:r>
      <w:r w:rsidR="001A462E" w:rsidRPr="00777BC3">
        <w:rPr>
          <w:noProof/>
        </w:rPr>
        <w:t>the content and the format of the European individual cybersecurity skills attestations, taking into due consideration Article 21(5)</w:t>
      </w:r>
      <w:r w:rsidR="004946D9">
        <w:rPr>
          <w:noProof/>
        </w:rPr>
        <w:t xml:space="preserve">, point </w:t>
      </w:r>
      <w:r w:rsidR="001A462E" w:rsidRPr="00777BC3">
        <w:rPr>
          <w:noProof/>
        </w:rPr>
        <w:t xml:space="preserve">(e); </w:t>
      </w:r>
    </w:p>
    <w:p w14:paraId="5CE45DBA" w14:textId="3E6AA34E" w:rsidR="001A462E" w:rsidRPr="00777BC3" w:rsidRDefault="006D01CD" w:rsidP="006D01CD">
      <w:pPr>
        <w:pStyle w:val="Point1"/>
        <w:rPr>
          <w:noProof/>
        </w:rPr>
      </w:pPr>
      <w:r w:rsidRPr="006D01CD">
        <w:rPr>
          <w:noProof/>
        </w:rPr>
        <w:t>(h)</w:t>
      </w:r>
      <w:r w:rsidRPr="006D01CD">
        <w:rPr>
          <w:noProof/>
        </w:rPr>
        <w:tab/>
      </w:r>
      <w:r w:rsidR="001A462E" w:rsidRPr="00777BC3">
        <w:rPr>
          <w:noProof/>
        </w:rPr>
        <w:t xml:space="preserve">maximum period of validity of a European individual cybersecurity skills attestation issued under the </w:t>
      </w:r>
      <w:r w:rsidR="001A462E">
        <w:rPr>
          <w:noProof/>
        </w:rPr>
        <w:t xml:space="preserve">attestation </w:t>
      </w:r>
      <w:r w:rsidR="001A462E" w:rsidRPr="00777BC3">
        <w:rPr>
          <w:noProof/>
        </w:rPr>
        <w:t>scheme.</w:t>
      </w:r>
    </w:p>
    <w:p w14:paraId="3FEC9093" w14:textId="089E5D36" w:rsidR="001A462E" w:rsidRDefault="006D01CD" w:rsidP="006D01CD">
      <w:pPr>
        <w:pStyle w:val="ManualNumPar1"/>
        <w:rPr>
          <w:noProof/>
        </w:rPr>
      </w:pPr>
      <w:r w:rsidRPr="006D01CD">
        <w:rPr>
          <w:noProof/>
        </w:rPr>
        <w:t>4.</w:t>
      </w:r>
      <w:r w:rsidRPr="006D01CD">
        <w:rPr>
          <w:noProof/>
        </w:rPr>
        <w:tab/>
      </w:r>
      <w:r w:rsidR="001A462E" w:rsidRPr="00777BC3">
        <w:rPr>
          <w:noProof/>
        </w:rPr>
        <w:t xml:space="preserve">A European individual cybersecurity skills attestation scheme may include </w:t>
      </w:r>
      <w:r w:rsidR="001A462E" w:rsidRPr="0081242B">
        <w:rPr>
          <w:noProof/>
        </w:rPr>
        <w:t>the indicative cost of a European individual cybersecurity skills attestation.</w:t>
      </w:r>
    </w:p>
    <w:p w14:paraId="71732660" w14:textId="45668237" w:rsidR="001A462E" w:rsidRPr="00777BC3" w:rsidRDefault="006D01CD" w:rsidP="006D01CD">
      <w:pPr>
        <w:pStyle w:val="ManualNumPar1"/>
        <w:rPr>
          <w:noProof/>
        </w:rPr>
      </w:pPr>
      <w:r w:rsidRPr="006D01CD">
        <w:rPr>
          <w:noProof/>
        </w:rPr>
        <w:t>5.</w:t>
      </w:r>
      <w:r w:rsidRPr="006D01CD">
        <w:rPr>
          <w:noProof/>
        </w:rPr>
        <w:tab/>
      </w:r>
      <w:r w:rsidR="001A462E" w:rsidRPr="00777BC3">
        <w:rPr>
          <w:noProof/>
        </w:rPr>
        <w:t xml:space="preserve">ENISA shall ensure close cooperation with Member States throughout </w:t>
      </w:r>
      <w:r w:rsidR="001A462E">
        <w:rPr>
          <w:noProof/>
        </w:rPr>
        <w:t>preparation</w:t>
      </w:r>
      <w:r w:rsidR="001A462E" w:rsidRPr="00777BC3">
        <w:rPr>
          <w:noProof/>
        </w:rPr>
        <w:t xml:space="preserve"> of the European individual cybersecurity skills attestation schemes.</w:t>
      </w:r>
    </w:p>
    <w:p w14:paraId="69941BF2" w14:textId="644BA785" w:rsidR="001A462E" w:rsidRPr="007D11A5" w:rsidRDefault="006D01CD" w:rsidP="006D01CD">
      <w:pPr>
        <w:pStyle w:val="ManualNumPar1"/>
        <w:rPr>
          <w:noProof/>
        </w:rPr>
      </w:pPr>
      <w:r w:rsidRPr="006D01CD">
        <w:rPr>
          <w:noProof/>
        </w:rPr>
        <w:t>6.</w:t>
      </w:r>
      <w:r w:rsidRPr="006D01CD">
        <w:rPr>
          <w:noProof/>
        </w:rPr>
        <w:tab/>
      </w:r>
      <w:r w:rsidR="001A462E">
        <w:rPr>
          <w:noProof/>
        </w:rPr>
        <w:t>The modification of a European individual cybersecurity skills attestation scheme shall not affect the authorisation granted pursuant to Article 22(3)(a), which shall remain valid for the period it is granted for.</w:t>
      </w:r>
    </w:p>
    <w:p w14:paraId="7201027B" w14:textId="77777777" w:rsidR="001A462E" w:rsidRPr="00777BC3" w:rsidRDefault="001A462E" w:rsidP="001A462E">
      <w:pPr>
        <w:pStyle w:val="Titrearticle"/>
        <w:rPr>
          <w:noProof/>
        </w:rPr>
      </w:pPr>
      <w:r w:rsidRPr="00777BC3">
        <w:rPr>
          <w:noProof/>
        </w:rPr>
        <w:t>Article 21</w:t>
      </w:r>
      <w:r w:rsidRPr="00777BC3">
        <w:rPr>
          <w:noProof/>
        </w:rPr>
        <w:br/>
        <w:t>Authorised attestation providers</w:t>
      </w:r>
    </w:p>
    <w:p w14:paraId="2BC91448" w14:textId="1561CEEA" w:rsidR="001A462E" w:rsidRPr="00525C0D" w:rsidRDefault="006D01CD" w:rsidP="006D01CD">
      <w:pPr>
        <w:pStyle w:val="ManualNumPar1"/>
        <w:rPr>
          <w:noProof/>
        </w:rPr>
      </w:pPr>
      <w:r w:rsidRPr="006D01CD">
        <w:rPr>
          <w:noProof/>
        </w:rPr>
        <w:t>1.</w:t>
      </w:r>
      <w:r w:rsidRPr="006D01CD">
        <w:rPr>
          <w:noProof/>
        </w:rPr>
        <w:tab/>
      </w:r>
      <w:r w:rsidR="001A462E" w:rsidRPr="00777BC3">
        <w:rPr>
          <w:noProof/>
        </w:rPr>
        <w:t>Authorised attestation providers shall assess whether individuals meet the requirements of a European individual cybersecurity skills attestation scheme and</w:t>
      </w:r>
      <w:r w:rsidR="001A462E">
        <w:rPr>
          <w:noProof/>
        </w:rPr>
        <w:t>, where those requirements are met,</w:t>
      </w:r>
      <w:r w:rsidR="001A462E" w:rsidRPr="00777BC3">
        <w:rPr>
          <w:noProof/>
        </w:rPr>
        <w:t xml:space="preserve"> </w:t>
      </w:r>
      <w:r w:rsidR="001A462E">
        <w:rPr>
          <w:noProof/>
        </w:rPr>
        <w:t>issue</w:t>
      </w:r>
      <w:r w:rsidR="001A462E" w:rsidRPr="00777BC3">
        <w:rPr>
          <w:noProof/>
        </w:rPr>
        <w:t xml:space="preserve"> European individual cybersecurity skills attestations.</w:t>
      </w:r>
      <w:r w:rsidR="001A462E">
        <w:rPr>
          <w:noProof/>
        </w:rPr>
        <w:t xml:space="preserve"> Attestation providers may hold several authorisations, each granted for one European individual cybersecurity skills attestation scheme.</w:t>
      </w:r>
    </w:p>
    <w:p w14:paraId="5C1BE1B3" w14:textId="050E6C6A" w:rsidR="001A462E" w:rsidRPr="00777BC3" w:rsidRDefault="006D01CD" w:rsidP="006D01CD">
      <w:pPr>
        <w:pStyle w:val="ManualNumPar1"/>
        <w:rPr>
          <w:rFonts w:eastAsia="Times New Roman"/>
          <w:noProof/>
          <w:lang w:eastAsia="en-IE"/>
        </w:rPr>
      </w:pPr>
      <w:r w:rsidRPr="006D01CD">
        <w:rPr>
          <w:noProof/>
        </w:rPr>
        <w:t>2.</w:t>
      </w:r>
      <w:r w:rsidRPr="006D01CD">
        <w:rPr>
          <w:noProof/>
        </w:rPr>
        <w:tab/>
      </w:r>
      <w:r w:rsidR="001A462E" w:rsidRPr="00777BC3">
        <w:rPr>
          <w:noProof/>
        </w:rPr>
        <w:t xml:space="preserve">ENISA shall provide guidance to and conduct </w:t>
      </w:r>
      <w:r w:rsidR="001A462E">
        <w:rPr>
          <w:noProof/>
        </w:rPr>
        <w:t xml:space="preserve">obligatory </w:t>
      </w:r>
      <w:r w:rsidR="001A462E" w:rsidRPr="00777BC3">
        <w:rPr>
          <w:noProof/>
        </w:rPr>
        <w:t>training of assessors regarding the requirements and assessment methods included in the European individual cybersecurity skills attestation scheme</w:t>
      </w:r>
      <w:r w:rsidR="001A462E">
        <w:rPr>
          <w:noProof/>
        </w:rPr>
        <w:t xml:space="preserve"> as referred to in Article 20(3), point (b)</w:t>
      </w:r>
      <w:r w:rsidR="001A462E" w:rsidRPr="00777BC3">
        <w:rPr>
          <w:rFonts w:eastAsia="Times New Roman"/>
          <w:noProof/>
          <w:lang w:eastAsia="en-IE"/>
        </w:rPr>
        <w:t>.</w:t>
      </w:r>
    </w:p>
    <w:p w14:paraId="34AE7E2C" w14:textId="4E7F4F34" w:rsidR="001A462E" w:rsidRPr="00777BC3" w:rsidRDefault="006D01CD" w:rsidP="006D01CD">
      <w:pPr>
        <w:pStyle w:val="ManualNumPar1"/>
        <w:rPr>
          <w:noProof/>
        </w:rPr>
      </w:pPr>
      <w:r w:rsidRPr="006D01CD">
        <w:rPr>
          <w:noProof/>
        </w:rPr>
        <w:t>3.</w:t>
      </w:r>
      <w:r w:rsidRPr="006D01CD">
        <w:rPr>
          <w:noProof/>
        </w:rPr>
        <w:tab/>
      </w:r>
      <w:r w:rsidR="001A462E">
        <w:rPr>
          <w:noProof/>
        </w:rPr>
        <w:t>E</w:t>
      </w:r>
      <w:r w:rsidR="001A462E" w:rsidRPr="00777BC3">
        <w:rPr>
          <w:noProof/>
        </w:rPr>
        <w:t xml:space="preserve">ntities </w:t>
      </w:r>
      <w:r w:rsidR="001A462E">
        <w:rPr>
          <w:noProof/>
        </w:rPr>
        <w:t>wishing</w:t>
      </w:r>
      <w:r w:rsidR="001A462E" w:rsidRPr="00777BC3">
        <w:rPr>
          <w:noProof/>
        </w:rPr>
        <w:t xml:space="preserve"> to become </w:t>
      </w:r>
      <w:r w:rsidR="001A462E">
        <w:rPr>
          <w:noProof/>
        </w:rPr>
        <w:t xml:space="preserve">authorised </w:t>
      </w:r>
      <w:r w:rsidR="001A462E" w:rsidRPr="00777BC3">
        <w:rPr>
          <w:noProof/>
        </w:rPr>
        <w:t>attestation providers</w:t>
      </w:r>
      <w:r w:rsidR="001A462E">
        <w:rPr>
          <w:noProof/>
        </w:rPr>
        <w:t xml:space="preserve"> </w:t>
      </w:r>
      <w:r w:rsidR="001A462E" w:rsidRPr="00777BC3">
        <w:rPr>
          <w:noProof/>
        </w:rPr>
        <w:t xml:space="preserve">or renew their authorisation (‘applicants’) shall </w:t>
      </w:r>
      <w:r w:rsidR="001A462E">
        <w:rPr>
          <w:noProof/>
        </w:rPr>
        <w:t xml:space="preserve">submit an application to ENISA. They shall </w:t>
      </w:r>
      <w:r w:rsidR="001A462E" w:rsidRPr="00777BC3">
        <w:rPr>
          <w:noProof/>
        </w:rPr>
        <w:t>meet the following requirements:</w:t>
      </w:r>
    </w:p>
    <w:p w14:paraId="252B3846" w14:textId="427134AC" w:rsidR="001A462E" w:rsidRPr="00777BC3" w:rsidRDefault="006D01CD" w:rsidP="006D01CD">
      <w:pPr>
        <w:pStyle w:val="Point1"/>
        <w:rPr>
          <w:noProof/>
          <w:lang w:eastAsia="en-IE"/>
        </w:rPr>
      </w:pPr>
      <w:r w:rsidRPr="006D01CD">
        <w:rPr>
          <w:noProof/>
        </w:rPr>
        <w:t>(a)</w:t>
      </w:r>
      <w:r w:rsidRPr="006D01CD">
        <w:rPr>
          <w:noProof/>
        </w:rPr>
        <w:tab/>
      </w:r>
      <w:r w:rsidR="001A462E">
        <w:rPr>
          <w:noProof/>
        </w:rPr>
        <w:t xml:space="preserve">they shall </w:t>
      </w:r>
      <w:r w:rsidR="001A462E" w:rsidRPr="00777BC3">
        <w:rPr>
          <w:noProof/>
        </w:rPr>
        <w:t>have legal personality;</w:t>
      </w:r>
    </w:p>
    <w:p w14:paraId="061AAA8D" w14:textId="5750664B" w:rsidR="001A462E" w:rsidRPr="00777BC3" w:rsidRDefault="006D01CD" w:rsidP="006D01CD">
      <w:pPr>
        <w:pStyle w:val="Point1"/>
        <w:rPr>
          <w:noProof/>
          <w:lang w:eastAsia="en-IE"/>
        </w:rPr>
      </w:pPr>
      <w:r w:rsidRPr="006D01CD">
        <w:rPr>
          <w:noProof/>
        </w:rPr>
        <w:t>(b)</w:t>
      </w:r>
      <w:r w:rsidRPr="006D01CD">
        <w:rPr>
          <w:noProof/>
        </w:rPr>
        <w:tab/>
      </w:r>
      <w:r w:rsidR="001A462E">
        <w:rPr>
          <w:noProof/>
        </w:rPr>
        <w:t xml:space="preserve">they shall </w:t>
      </w:r>
      <w:r w:rsidR="001A462E" w:rsidRPr="00777BC3">
        <w:rPr>
          <w:noProof/>
        </w:rPr>
        <w:t>be capable of carrying out the tasks laid down in this Regulation in relation to European individual cybersecurity skills attestations, regardless of whether the assessment is carried out by the authorised attestation provider itself or on its behalf and under its responsibility;</w:t>
      </w:r>
    </w:p>
    <w:p w14:paraId="480DA3E3" w14:textId="15C8E6F1" w:rsidR="001A462E" w:rsidRPr="00777BC3" w:rsidRDefault="006D01CD" w:rsidP="006D01CD">
      <w:pPr>
        <w:pStyle w:val="Point1"/>
        <w:rPr>
          <w:noProof/>
          <w:lang w:eastAsia="en-IE"/>
        </w:rPr>
      </w:pPr>
      <w:r w:rsidRPr="006D01CD">
        <w:rPr>
          <w:noProof/>
        </w:rPr>
        <w:t>(c)</w:t>
      </w:r>
      <w:r w:rsidRPr="006D01CD">
        <w:rPr>
          <w:noProof/>
        </w:rPr>
        <w:tab/>
      </w:r>
      <w:r w:rsidR="001A462E">
        <w:rPr>
          <w:noProof/>
        </w:rPr>
        <w:t xml:space="preserve">they shall </w:t>
      </w:r>
      <w:r w:rsidR="001A462E" w:rsidRPr="00777BC3">
        <w:rPr>
          <w:noProof/>
        </w:rPr>
        <w:t>have the means necessary to perform the technical and administrative tasks connected with the European individual cybersecurity skills attestation scheme in an appropriate manner and have access to all necessary equipment and facilities.</w:t>
      </w:r>
    </w:p>
    <w:p w14:paraId="4E550BF0" w14:textId="77777777" w:rsidR="001A462E" w:rsidRPr="00777BC3" w:rsidRDefault="001A462E" w:rsidP="00B30C85">
      <w:pPr>
        <w:pStyle w:val="Text1"/>
        <w:rPr>
          <w:noProof/>
          <w:lang w:eastAsia="en-IE"/>
        </w:rPr>
      </w:pPr>
      <w:r>
        <w:rPr>
          <w:noProof/>
          <w:lang w:eastAsia="en-IE"/>
        </w:rPr>
        <w:t>For the purposes of the first subparagraph, point (b), a</w:t>
      </w:r>
      <w:r w:rsidRPr="00082F5B">
        <w:rPr>
          <w:noProof/>
          <w:lang w:eastAsia="en-IE"/>
        </w:rPr>
        <w:t>ny subcontracting to, or consultation of, external staff shall be properly documented, shall not involve any intermediaries and shall be subject to a written agreement covering, among other things, confidentiality and conflicts of interest</w:t>
      </w:r>
      <w:r>
        <w:rPr>
          <w:noProof/>
          <w:lang w:eastAsia="en-IE"/>
        </w:rPr>
        <w:t>.</w:t>
      </w:r>
    </w:p>
    <w:p w14:paraId="2FB7D32D" w14:textId="36FFFE3B" w:rsidR="001A462E" w:rsidRPr="00CE11BB" w:rsidRDefault="006D01CD" w:rsidP="006D01CD">
      <w:pPr>
        <w:pStyle w:val="ManualNumPar1"/>
        <w:rPr>
          <w:noProof/>
          <w:lang w:eastAsia="en-IE"/>
        </w:rPr>
      </w:pPr>
      <w:r w:rsidRPr="006D01CD">
        <w:rPr>
          <w:noProof/>
        </w:rPr>
        <w:t>4.</w:t>
      </w:r>
      <w:r w:rsidRPr="006D01CD">
        <w:rPr>
          <w:noProof/>
        </w:rPr>
        <w:tab/>
      </w:r>
      <w:r w:rsidR="00CE11BB" w:rsidRPr="00CE11BB">
        <w:rPr>
          <w:noProof/>
        </w:rPr>
        <w:t>A</w:t>
      </w:r>
      <w:r w:rsidR="00CE11BB" w:rsidRPr="00CE11BB">
        <w:rPr>
          <w:noProof/>
          <w:lang w:eastAsia="en-IE"/>
        </w:rPr>
        <w:t xml:space="preserve">pplicants shall not be </w:t>
      </w:r>
      <w:r w:rsidR="0072156F">
        <w:rPr>
          <w:noProof/>
          <w:lang w:eastAsia="en-IE"/>
        </w:rPr>
        <w:t>high-risk suppliers</w:t>
      </w:r>
      <w:r w:rsidR="00CE11BB" w:rsidRPr="00CE11BB">
        <w:rPr>
          <w:noProof/>
          <w:lang w:eastAsia="en-IE"/>
        </w:rPr>
        <w:t>.</w:t>
      </w:r>
    </w:p>
    <w:p w14:paraId="3A2D28C9" w14:textId="71FAA104" w:rsidR="001A462E" w:rsidRPr="00777BC3" w:rsidRDefault="006D01CD" w:rsidP="006D01CD">
      <w:pPr>
        <w:pStyle w:val="ManualNumPar1"/>
        <w:rPr>
          <w:noProof/>
        </w:rPr>
      </w:pPr>
      <w:r w:rsidRPr="006D01CD">
        <w:rPr>
          <w:noProof/>
        </w:rPr>
        <w:t>5.</w:t>
      </w:r>
      <w:r w:rsidRPr="006D01CD">
        <w:rPr>
          <w:noProof/>
        </w:rPr>
        <w:tab/>
      </w:r>
      <w:r w:rsidR="001A462E" w:rsidRPr="00777BC3">
        <w:rPr>
          <w:noProof/>
        </w:rPr>
        <w:t>Authorised attestation providers shall</w:t>
      </w:r>
      <w:r w:rsidR="0079643C">
        <w:rPr>
          <w:noProof/>
        </w:rPr>
        <w:t xml:space="preserve"> meet the following obligations</w:t>
      </w:r>
      <w:r w:rsidR="001A462E" w:rsidRPr="00777BC3">
        <w:rPr>
          <w:noProof/>
        </w:rPr>
        <w:t>:</w:t>
      </w:r>
    </w:p>
    <w:p w14:paraId="71826CC6" w14:textId="7E392984" w:rsidR="001A462E" w:rsidRPr="00777BC3" w:rsidRDefault="006D01CD" w:rsidP="006D01CD">
      <w:pPr>
        <w:pStyle w:val="Point1"/>
        <w:rPr>
          <w:noProof/>
          <w:lang w:eastAsia="en-IE"/>
        </w:rPr>
      </w:pPr>
      <w:r w:rsidRPr="006D01CD">
        <w:rPr>
          <w:noProof/>
        </w:rPr>
        <w:t>(a)</w:t>
      </w:r>
      <w:r w:rsidRPr="006D01CD">
        <w:rPr>
          <w:noProof/>
        </w:rPr>
        <w:tab/>
      </w:r>
      <w:r w:rsidR="001A462E" w:rsidRPr="00777BC3">
        <w:rPr>
          <w:noProof/>
        </w:rPr>
        <w:t xml:space="preserve">for </w:t>
      </w:r>
      <w:r w:rsidR="001A462E">
        <w:rPr>
          <w:noProof/>
        </w:rPr>
        <w:t>the implementation of</w:t>
      </w:r>
      <w:r w:rsidR="001A462E" w:rsidRPr="00777BC3">
        <w:rPr>
          <w:noProof/>
        </w:rPr>
        <w:t xml:space="preserve"> each European individual cybersecurity skills attestation scheme:</w:t>
      </w:r>
    </w:p>
    <w:p w14:paraId="3393EC41" w14:textId="5470960C" w:rsidR="001A462E" w:rsidRPr="00EB75C2" w:rsidRDefault="006D01CD" w:rsidP="006D01CD">
      <w:pPr>
        <w:pStyle w:val="Point2"/>
        <w:rPr>
          <w:noProof/>
        </w:rPr>
      </w:pPr>
      <w:r w:rsidRPr="006D01CD">
        <w:rPr>
          <w:noProof/>
        </w:rPr>
        <w:t>(i)</w:t>
      </w:r>
      <w:r w:rsidRPr="006D01CD">
        <w:rPr>
          <w:noProof/>
        </w:rPr>
        <w:tab/>
      </w:r>
      <w:r w:rsidR="001A462E" w:rsidRPr="00777BC3">
        <w:rPr>
          <w:noProof/>
        </w:rPr>
        <w:t xml:space="preserve">have at their disposal the necessary assessors and personnel to carry out </w:t>
      </w:r>
      <w:r w:rsidR="001A462E" w:rsidRPr="00EB75C2">
        <w:rPr>
          <w:noProof/>
        </w:rPr>
        <w:t>their activities as established in th</w:t>
      </w:r>
      <w:r w:rsidR="001A462E">
        <w:rPr>
          <w:noProof/>
        </w:rPr>
        <w:t>at</w:t>
      </w:r>
      <w:r w:rsidR="001A462E" w:rsidRPr="00EB75C2">
        <w:rPr>
          <w:noProof/>
        </w:rPr>
        <w:t xml:space="preserve"> scheme in a timely manner;</w:t>
      </w:r>
    </w:p>
    <w:p w14:paraId="4CDB4B0F" w14:textId="58FF47C1" w:rsidR="001A462E" w:rsidRPr="00777BC3" w:rsidRDefault="006D01CD" w:rsidP="006D01CD">
      <w:pPr>
        <w:pStyle w:val="Point2"/>
        <w:rPr>
          <w:noProof/>
        </w:rPr>
      </w:pPr>
      <w:r w:rsidRPr="006D01CD">
        <w:rPr>
          <w:noProof/>
        </w:rPr>
        <w:t>(ii)</w:t>
      </w:r>
      <w:r w:rsidRPr="006D01CD">
        <w:rPr>
          <w:noProof/>
        </w:rPr>
        <w:tab/>
      </w:r>
      <w:r w:rsidR="001A462E" w:rsidRPr="00777BC3">
        <w:rPr>
          <w:noProof/>
        </w:rPr>
        <w:t>ensure that assessors observe professional secrecy, are impartial and perform their work independently and with the highest degree of professional integrity;</w:t>
      </w:r>
    </w:p>
    <w:p w14:paraId="13DB694D" w14:textId="5A8FC82D" w:rsidR="001A462E" w:rsidRPr="00777BC3" w:rsidRDefault="006D01CD" w:rsidP="006D01CD">
      <w:pPr>
        <w:pStyle w:val="Point2"/>
        <w:rPr>
          <w:noProof/>
        </w:rPr>
      </w:pPr>
      <w:r w:rsidRPr="006D01CD">
        <w:rPr>
          <w:noProof/>
        </w:rPr>
        <w:t>(iii)</w:t>
      </w:r>
      <w:r w:rsidRPr="006D01CD">
        <w:rPr>
          <w:noProof/>
        </w:rPr>
        <w:tab/>
      </w:r>
      <w:r w:rsidR="001A462E" w:rsidRPr="00777BC3">
        <w:rPr>
          <w:noProof/>
        </w:rPr>
        <w:t xml:space="preserve">have </w:t>
      </w:r>
      <w:r w:rsidR="001A462E">
        <w:rPr>
          <w:noProof/>
        </w:rPr>
        <w:t>written</w:t>
      </w:r>
      <w:r w:rsidR="001A462E" w:rsidRPr="00777BC3">
        <w:rPr>
          <w:noProof/>
        </w:rPr>
        <w:t xml:space="preserve"> procedures for carrying out their activities under </w:t>
      </w:r>
      <w:r w:rsidR="001A462E">
        <w:rPr>
          <w:noProof/>
        </w:rPr>
        <w:t xml:space="preserve">the </w:t>
      </w:r>
      <w:r w:rsidR="001A462E" w:rsidRPr="00777BC3">
        <w:rPr>
          <w:noProof/>
        </w:rPr>
        <w:t xml:space="preserve">scheme </w:t>
      </w:r>
      <w:r w:rsidR="001A462E">
        <w:rPr>
          <w:noProof/>
        </w:rPr>
        <w:t xml:space="preserve">that </w:t>
      </w:r>
      <w:r w:rsidR="001A462E" w:rsidRPr="00777BC3">
        <w:rPr>
          <w:noProof/>
        </w:rPr>
        <w:t>they are authorised for.</w:t>
      </w:r>
    </w:p>
    <w:p w14:paraId="63636332" w14:textId="040BFA59" w:rsidR="001A462E" w:rsidRPr="00777BC3" w:rsidRDefault="006D01CD" w:rsidP="006D01CD">
      <w:pPr>
        <w:pStyle w:val="Point1"/>
        <w:rPr>
          <w:noProof/>
          <w:lang w:eastAsia="en-IE"/>
        </w:rPr>
      </w:pPr>
      <w:r w:rsidRPr="006D01CD">
        <w:rPr>
          <w:noProof/>
        </w:rPr>
        <w:t>(b)</w:t>
      </w:r>
      <w:r w:rsidRPr="006D01CD">
        <w:rPr>
          <w:noProof/>
        </w:rPr>
        <w:tab/>
      </w:r>
      <w:r w:rsidR="001A462E" w:rsidRPr="00777BC3">
        <w:rPr>
          <w:noProof/>
        </w:rPr>
        <w:t xml:space="preserve">not assess </w:t>
      </w:r>
      <w:r w:rsidR="001A462E">
        <w:rPr>
          <w:noProof/>
        </w:rPr>
        <w:t>or</w:t>
      </w:r>
      <w:r w:rsidR="001A462E" w:rsidRPr="00777BC3">
        <w:rPr>
          <w:noProof/>
        </w:rPr>
        <w:t xml:space="preserve"> </w:t>
      </w:r>
      <w:r w:rsidR="001A462E">
        <w:rPr>
          <w:noProof/>
        </w:rPr>
        <w:t>issue</w:t>
      </w:r>
      <w:r w:rsidR="001A462E" w:rsidRPr="00777BC3">
        <w:rPr>
          <w:noProof/>
        </w:rPr>
        <w:t xml:space="preserve"> European individual cybersecurity skills attestations to their own assessors;</w:t>
      </w:r>
      <w:r w:rsidR="001A462E" w:rsidRPr="00777BC3">
        <w:rPr>
          <w:noProof/>
          <w:lang w:eastAsia="en-IE"/>
        </w:rPr>
        <w:t xml:space="preserve"> </w:t>
      </w:r>
    </w:p>
    <w:p w14:paraId="76E16627" w14:textId="1B8979A2" w:rsidR="001A462E" w:rsidRPr="00777BC3" w:rsidRDefault="006D01CD" w:rsidP="006D01CD">
      <w:pPr>
        <w:pStyle w:val="Point1"/>
        <w:rPr>
          <w:noProof/>
          <w:lang w:eastAsia="en-IE"/>
        </w:rPr>
      </w:pPr>
      <w:r w:rsidRPr="006D01CD">
        <w:rPr>
          <w:noProof/>
        </w:rPr>
        <w:t>(c)</w:t>
      </w:r>
      <w:r w:rsidRPr="006D01CD">
        <w:rPr>
          <w:noProof/>
        </w:rPr>
        <w:tab/>
      </w:r>
      <w:r w:rsidR="001A462E" w:rsidRPr="00777BC3">
        <w:rPr>
          <w:noProof/>
        </w:rPr>
        <w:t xml:space="preserve">ensure, where relevant by putting in place appropriate safeguards, that their assessors can perform their work independently, in particular where such individuals belong to their own structure </w:t>
      </w:r>
      <w:r w:rsidR="001A462E">
        <w:rPr>
          <w:noProof/>
        </w:rPr>
        <w:t>or</w:t>
      </w:r>
      <w:r w:rsidR="001A462E" w:rsidRPr="00777BC3">
        <w:rPr>
          <w:noProof/>
        </w:rPr>
        <w:t xml:space="preserve"> are employees or learners</w:t>
      </w:r>
      <w:r w:rsidR="001A462E">
        <w:rPr>
          <w:noProof/>
        </w:rPr>
        <w:t xml:space="preserve"> of such a structure</w:t>
      </w:r>
      <w:r w:rsidR="001A462E" w:rsidRPr="00777BC3">
        <w:rPr>
          <w:noProof/>
        </w:rPr>
        <w:t>;</w:t>
      </w:r>
    </w:p>
    <w:p w14:paraId="4018E313" w14:textId="25B13D4D" w:rsidR="001A462E" w:rsidRPr="00777BC3" w:rsidRDefault="006D01CD" w:rsidP="006D01CD">
      <w:pPr>
        <w:pStyle w:val="Point1"/>
        <w:rPr>
          <w:noProof/>
          <w:lang w:eastAsia="en-IE"/>
        </w:rPr>
      </w:pPr>
      <w:r w:rsidRPr="006D01CD">
        <w:rPr>
          <w:noProof/>
        </w:rPr>
        <w:t>(d)</w:t>
      </w:r>
      <w:r w:rsidRPr="006D01CD">
        <w:rPr>
          <w:noProof/>
        </w:rPr>
        <w:tab/>
      </w:r>
      <w:r w:rsidR="001A462E" w:rsidRPr="00777BC3">
        <w:rPr>
          <w:noProof/>
        </w:rPr>
        <w:t>not engage in any activity that may conflict with the independence of judgement or integrity of their assessors;</w:t>
      </w:r>
    </w:p>
    <w:p w14:paraId="15CC21F4" w14:textId="71A6C3C4" w:rsidR="001A462E" w:rsidRPr="00777BC3" w:rsidRDefault="006D01CD" w:rsidP="006D01CD">
      <w:pPr>
        <w:pStyle w:val="Point1"/>
        <w:rPr>
          <w:noProof/>
          <w:lang w:eastAsia="en-IE"/>
        </w:rPr>
      </w:pPr>
      <w:r w:rsidRPr="006D01CD">
        <w:rPr>
          <w:noProof/>
        </w:rPr>
        <w:t>(e)</w:t>
      </w:r>
      <w:r w:rsidRPr="006D01CD">
        <w:rPr>
          <w:noProof/>
        </w:rPr>
        <w:tab/>
      </w:r>
      <w:r w:rsidR="001A462E" w:rsidRPr="00777BC3">
        <w:rPr>
          <w:noProof/>
        </w:rPr>
        <w:t>ensure that</w:t>
      </w:r>
      <w:r w:rsidR="001A462E">
        <w:rPr>
          <w:noProof/>
        </w:rPr>
        <w:t>, at the request of the individual,</w:t>
      </w:r>
      <w:r w:rsidR="001A462E" w:rsidRPr="00777BC3">
        <w:rPr>
          <w:noProof/>
        </w:rPr>
        <w:t xml:space="preserve"> electronic attestations of European individual cybersecurity skills attestations are issued as electronic attestations of attributes in a format that can be stored in the European Digital Identity Wallets set out in Regulation (EU) No 910/2014</w:t>
      </w:r>
      <w:r w:rsidR="0077482F">
        <w:rPr>
          <w:noProof/>
          <w:lang w:eastAsia="en-IE"/>
        </w:rPr>
        <w:t>.</w:t>
      </w:r>
    </w:p>
    <w:p w14:paraId="3C19946D" w14:textId="5203CD2C" w:rsidR="001A462E" w:rsidRPr="0088543E" w:rsidRDefault="006D01CD" w:rsidP="006D01CD">
      <w:pPr>
        <w:pStyle w:val="ManualNumPar1"/>
        <w:rPr>
          <w:noProof/>
        </w:rPr>
      </w:pPr>
      <w:r w:rsidRPr="006D01CD">
        <w:rPr>
          <w:noProof/>
        </w:rPr>
        <w:t>6.</w:t>
      </w:r>
      <w:r w:rsidRPr="006D01CD">
        <w:rPr>
          <w:noProof/>
        </w:rPr>
        <w:tab/>
      </w:r>
      <w:r w:rsidR="001A462E" w:rsidRPr="00777BC3">
        <w:rPr>
          <w:noProof/>
        </w:rPr>
        <w:t xml:space="preserve">Authorised attestation providers shall </w:t>
      </w:r>
      <w:r w:rsidR="001A462E">
        <w:rPr>
          <w:noProof/>
        </w:rPr>
        <w:t>immediately</w:t>
      </w:r>
      <w:r w:rsidR="001A462E" w:rsidRPr="00777BC3">
        <w:rPr>
          <w:noProof/>
        </w:rPr>
        <w:t xml:space="preserve"> inform ENISA </w:t>
      </w:r>
      <w:r w:rsidR="001A462E">
        <w:rPr>
          <w:noProof/>
        </w:rPr>
        <w:t>if</w:t>
      </w:r>
      <w:r w:rsidR="001A462E" w:rsidRPr="00777BC3">
        <w:rPr>
          <w:noProof/>
        </w:rPr>
        <w:t xml:space="preserve"> any of the requirements </w:t>
      </w:r>
      <w:r w:rsidR="001A462E">
        <w:rPr>
          <w:noProof/>
        </w:rPr>
        <w:t>listed in paragraph</w:t>
      </w:r>
      <w:r w:rsidR="000161DC">
        <w:rPr>
          <w:noProof/>
        </w:rPr>
        <w:t>s</w:t>
      </w:r>
      <w:r w:rsidR="001A462E">
        <w:rPr>
          <w:noProof/>
        </w:rPr>
        <w:t xml:space="preserve"> 3</w:t>
      </w:r>
      <w:r w:rsidR="00304A69">
        <w:rPr>
          <w:noProof/>
        </w:rPr>
        <w:t xml:space="preserve"> and</w:t>
      </w:r>
      <w:r w:rsidR="000161DC">
        <w:rPr>
          <w:noProof/>
        </w:rPr>
        <w:t xml:space="preserve"> 4 or the obligations listed in paragraph 5,</w:t>
      </w:r>
      <w:r w:rsidR="001A462E">
        <w:rPr>
          <w:noProof/>
        </w:rPr>
        <w:t xml:space="preserve"> </w:t>
      </w:r>
      <w:r w:rsidR="000161DC">
        <w:rPr>
          <w:noProof/>
        </w:rPr>
        <w:t>are</w:t>
      </w:r>
      <w:r w:rsidR="001A462E" w:rsidRPr="00777BC3">
        <w:rPr>
          <w:noProof/>
        </w:rPr>
        <w:t xml:space="preserve"> no longer met or </w:t>
      </w:r>
      <w:r w:rsidR="001A462E">
        <w:rPr>
          <w:noProof/>
        </w:rPr>
        <w:t>if</w:t>
      </w:r>
      <w:r w:rsidR="001A462E" w:rsidRPr="00777BC3">
        <w:rPr>
          <w:noProof/>
        </w:rPr>
        <w:t xml:space="preserve"> any doubt </w:t>
      </w:r>
      <w:r w:rsidR="001A462E">
        <w:rPr>
          <w:noProof/>
        </w:rPr>
        <w:t>that those requirements</w:t>
      </w:r>
      <w:r w:rsidR="00226951">
        <w:rPr>
          <w:noProof/>
        </w:rPr>
        <w:t xml:space="preserve"> or obligations</w:t>
      </w:r>
      <w:r w:rsidR="001A462E">
        <w:rPr>
          <w:noProof/>
        </w:rPr>
        <w:t xml:space="preserve"> are not met,</w:t>
      </w:r>
      <w:r w:rsidR="001A462E" w:rsidRPr="00777BC3">
        <w:rPr>
          <w:noProof/>
        </w:rPr>
        <w:t xml:space="preserve"> arise</w:t>
      </w:r>
      <w:r w:rsidR="001A462E">
        <w:rPr>
          <w:noProof/>
        </w:rPr>
        <w:t>s</w:t>
      </w:r>
      <w:r w:rsidR="001A462E" w:rsidRPr="00777BC3">
        <w:rPr>
          <w:noProof/>
        </w:rPr>
        <w:t xml:space="preserve">, including regarding the independence of assessors.  </w:t>
      </w:r>
    </w:p>
    <w:p w14:paraId="3C5FE739" w14:textId="706AF347" w:rsidR="001A462E" w:rsidRDefault="006D01CD" w:rsidP="006D01CD">
      <w:pPr>
        <w:pStyle w:val="ManualNumPar1"/>
        <w:rPr>
          <w:noProof/>
        </w:rPr>
      </w:pPr>
      <w:r w:rsidRPr="006D01CD">
        <w:rPr>
          <w:noProof/>
        </w:rPr>
        <w:t>7.</w:t>
      </w:r>
      <w:r w:rsidRPr="006D01CD">
        <w:rPr>
          <w:noProof/>
        </w:rPr>
        <w:tab/>
      </w:r>
      <w:r w:rsidR="001A462E" w:rsidRPr="00777BC3">
        <w:rPr>
          <w:noProof/>
        </w:rPr>
        <w:t xml:space="preserve">Authorised attestation providers may request a fee </w:t>
      </w:r>
      <w:r w:rsidR="001A462E">
        <w:rPr>
          <w:noProof/>
        </w:rPr>
        <w:t>from</w:t>
      </w:r>
      <w:r w:rsidR="001A462E" w:rsidRPr="00777BC3">
        <w:rPr>
          <w:noProof/>
        </w:rPr>
        <w:t xml:space="preserve"> individuals for assessing and issuing the </w:t>
      </w:r>
      <w:r w:rsidR="001A462E">
        <w:rPr>
          <w:noProof/>
        </w:rPr>
        <w:t>European individual cybersecurity skills</w:t>
      </w:r>
      <w:r w:rsidR="001A462E" w:rsidRPr="00777BC3">
        <w:rPr>
          <w:noProof/>
        </w:rPr>
        <w:t xml:space="preserve"> attestations</w:t>
      </w:r>
      <w:r w:rsidR="001A462E">
        <w:rPr>
          <w:noProof/>
        </w:rPr>
        <w:t xml:space="preserve">, taking into account the </w:t>
      </w:r>
      <w:r w:rsidR="001A462E" w:rsidRPr="0081242B">
        <w:rPr>
          <w:noProof/>
        </w:rPr>
        <w:t>indicative cost of a European individual cybersecurity skills attestation</w:t>
      </w:r>
      <w:r w:rsidR="001A462E" w:rsidDel="004D40DA">
        <w:rPr>
          <w:noProof/>
        </w:rPr>
        <w:t xml:space="preserve"> </w:t>
      </w:r>
      <w:r w:rsidR="001A462E">
        <w:rPr>
          <w:noProof/>
        </w:rPr>
        <w:t>pursuant to Article 20(4) and made public on a dedicated website in accordance with Article 23</w:t>
      </w:r>
      <w:r w:rsidR="005B18A7">
        <w:rPr>
          <w:noProof/>
        </w:rPr>
        <w:t xml:space="preserve">, point </w:t>
      </w:r>
      <w:r w:rsidR="001A462E">
        <w:rPr>
          <w:noProof/>
        </w:rPr>
        <w:t>(d)</w:t>
      </w:r>
      <w:r w:rsidR="001A462E" w:rsidRPr="00777BC3">
        <w:rPr>
          <w:noProof/>
        </w:rPr>
        <w:t>.</w:t>
      </w:r>
    </w:p>
    <w:p w14:paraId="3CFD3EBD" w14:textId="7EBA63AE" w:rsidR="00CC2FFF" w:rsidRPr="00C14C9B" w:rsidRDefault="006D01CD" w:rsidP="006D01CD">
      <w:pPr>
        <w:pStyle w:val="ManualNumPar1"/>
        <w:rPr>
          <w:noProof/>
        </w:rPr>
      </w:pPr>
      <w:r w:rsidRPr="006D01CD">
        <w:rPr>
          <w:noProof/>
        </w:rPr>
        <w:t>8.</w:t>
      </w:r>
      <w:r w:rsidRPr="006D01CD">
        <w:rPr>
          <w:noProof/>
        </w:rPr>
        <w:tab/>
      </w:r>
      <w:r w:rsidR="00CC2FFF">
        <w:rPr>
          <w:noProof/>
        </w:rPr>
        <w:t xml:space="preserve">Applicants </w:t>
      </w:r>
      <w:r w:rsidR="004B2DD5">
        <w:rPr>
          <w:noProof/>
        </w:rPr>
        <w:t xml:space="preserve">and authorised attestation providers shall allow ENISA </w:t>
      </w:r>
      <w:r w:rsidR="004B2DD5" w:rsidRPr="00CE2F8F">
        <w:rPr>
          <w:noProof/>
        </w:rPr>
        <w:t xml:space="preserve">to conduct evaluations as part of the application process or maintenance of the authorisation and share all relevant information to ensure the </w:t>
      </w:r>
      <w:r w:rsidR="004B2DD5">
        <w:rPr>
          <w:noProof/>
        </w:rPr>
        <w:t xml:space="preserve">requirements </w:t>
      </w:r>
      <w:r w:rsidR="004B2DD5" w:rsidRPr="00CE2F8F">
        <w:rPr>
          <w:noProof/>
        </w:rPr>
        <w:t>laid down in paragraphs 3</w:t>
      </w:r>
      <w:r w:rsidR="00304A69">
        <w:rPr>
          <w:noProof/>
        </w:rPr>
        <w:t xml:space="preserve"> and</w:t>
      </w:r>
      <w:r w:rsidR="004B2DD5" w:rsidRPr="00CE2F8F">
        <w:rPr>
          <w:noProof/>
        </w:rPr>
        <w:t xml:space="preserve"> 4</w:t>
      </w:r>
      <w:r w:rsidR="004B2DD5">
        <w:rPr>
          <w:noProof/>
        </w:rPr>
        <w:t xml:space="preserve">, or the obligations laid down in paragraph </w:t>
      </w:r>
      <w:r w:rsidR="004B2DD5" w:rsidRPr="00CE2F8F">
        <w:rPr>
          <w:noProof/>
        </w:rPr>
        <w:t>5</w:t>
      </w:r>
      <w:r w:rsidR="004B2DD5">
        <w:rPr>
          <w:noProof/>
        </w:rPr>
        <w:t>,</w:t>
      </w:r>
      <w:r w:rsidR="004B2DD5" w:rsidRPr="00CE2F8F">
        <w:rPr>
          <w:noProof/>
        </w:rPr>
        <w:t xml:space="preserve"> are met or continue to be met in accordance with Article 22(2</w:t>
      </w:r>
      <w:r w:rsidR="00CC2FFF" w:rsidRPr="00CE2F8F">
        <w:rPr>
          <w:noProof/>
        </w:rPr>
        <w:t>)</w:t>
      </w:r>
      <w:r w:rsidR="00CC2FFF">
        <w:rPr>
          <w:noProof/>
        </w:rPr>
        <w:t>.</w:t>
      </w:r>
    </w:p>
    <w:p w14:paraId="46365670" w14:textId="41F2A1AB" w:rsidR="001A462E" w:rsidRPr="00777BC3" w:rsidRDefault="001A462E" w:rsidP="001A462E">
      <w:pPr>
        <w:pStyle w:val="Titrearticle"/>
        <w:rPr>
          <w:noProof/>
          <w:lang w:eastAsia="en-IE"/>
        </w:rPr>
      </w:pPr>
      <w:r w:rsidRPr="00777BC3">
        <w:rPr>
          <w:noProof/>
          <w:lang w:eastAsia="en-IE"/>
        </w:rPr>
        <w:t>Article 22</w:t>
      </w:r>
      <w:r w:rsidRPr="00777BC3">
        <w:rPr>
          <w:noProof/>
          <w:lang w:eastAsia="en-IE"/>
        </w:rPr>
        <w:br/>
      </w:r>
      <w:r w:rsidR="004B2DD5">
        <w:rPr>
          <w:noProof/>
          <w:lang w:eastAsia="en-IE"/>
        </w:rPr>
        <w:t>Examination</w:t>
      </w:r>
      <w:r w:rsidRPr="00777BC3">
        <w:rPr>
          <w:noProof/>
          <w:lang w:eastAsia="en-IE"/>
        </w:rPr>
        <w:t xml:space="preserve"> of applications to become an authorised attestation provider</w:t>
      </w:r>
      <w:r w:rsidR="00F57C58">
        <w:rPr>
          <w:noProof/>
          <w:lang w:eastAsia="en-IE"/>
        </w:rPr>
        <w:t xml:space="preserve"> and maintenance of authorisations</w:t>
      </w:r>
    </w:p>
    <w:p w14:paraId="2D9EF3A2" w14:textId="21D836C8" w:rsidR="001A462E" w:rsidRPr="00777BC3" w:rsidRDefault="006D01CD" w:rsidP="006D01CD">
      <w:pPr>
        <w:pStyle w:val="ManualNumPar1"/>
        <w:rPr>
          <w:noProof/>
        </w:rPr>
      </w:pPr>
      <w:r w:rsidRPr="006D01CD">
        <w:rPr>
          <w:noProof/>
        </w:rPr>
        <w:t>1.</w:t>
      </w:r>
      <w:r w:rsidRPr="006D01CD">
        <w:rPr>
          <w:noProof/>
        </w:rPr>
        <w:tab/>
      </w:r>
      <w:r w:rsidR="001A462E" w:rsidRPr="00777BC3">
        <w:rPr>
          <w:noProof/>
        </w:rPr>
        <w:t xml:space="preserve">Applicants shall pay a fee to ENISA for </w:t>
      </w:r>
      <w:r w:rsidR="00320592">
        <w:rPr>
          <w:noProof/>
        </w:rPr>
        <w:t>the</w:t>
      </w:r>
      <w:r w:rsidR="001A462E">
        <w:rPr>
          <w:noProof/>
        </w:rPr>
        <w:t xml:space="preserve"> </w:t>
      </w:r>
      <w:r w:rsidR="00320592">
        <w:rPr>
          <w:noProof/>
        </w:rPr>
        <w:t xml:space="preserve">examination </w:t>
      </w:r>
      <w:r w:rsidR="001A462E" w:rsidRPr="00777BC3">
        <w:rPr>
          <w:noProof/>
        </w:rPr>
        <w:t>of their application.</w:t>
      </w:r>
      <w:r w:rsidR="00320592">
        <w:rPr>
          <w:noProof/>
        </w:rPr>
        <w:t xml:space="preserve"> Authorised attestation providers shall pay a fee to ENISA for the maintenance of their authorisation.</w:t>
      </w:r>
    </w:p>
    <w:p w14:paraId="45F56BBD" w14:textId="5E84A5C4" w:rsidR="001A462E" w:rsidRPr="00777BC3" w:rsidRDefault="006D01CD" w:rsidP="006D01CD">
      <w:pPr>
        <w:pStyle w:val="ManualNumPar1"/>
        <w:rPr>
          <w:noProof/>
        </w:rPr>
      </w:pPr>
      <w:r w:rsidRPr="006D01CD">
        <w:rPr>
          <w:noProof/>
        </w:rPr>
        <w:t>2.</w:t>
      </w:r>
      <w:r w:rsidRPr="006D01CD">
        <w:rPr>
          <w:noProof/>
        </w:rPr>
        <w:tab/>
      </w:r>
      <w:r w:rsidR="001A462E" w:rsidRPr="00777BC3">
        <w:rPr>
          <w:noProof/>
        </w:rPr>
        <w:t xml:space="preserve">ENISA shall evaluate whether the requirements laid down in Article 21(3) and (4) and </w:t>
      </w:r>
      <w:r w:rsidR="001A462E">
        <w:rPr>
          <w:noProof/>
        </w:rPr>
        <w:t>the</w:t>
      </w:r>
      <w:r w:rsidR="001A462E" w:rsidRPr="00777BC3">
        <w:rPr>
          <w:noProof/>
        </w:rPr>
        <w:t xml:space="preserve"> obligations laid down </w:t>
      </w:r>
      <w:r w:rsidR="001A462E">
        <w:rPr>
          <w:noProof/>
        </w:rPr>
        <w:t xml:space="preserve">in </w:t>
      </w:r>
      <w:r w:rsidR="001A462E" w:rsidRPr="00777BC3">
        <w:rPr>
          <w:noProof/>
        </w:rPr>
        <w:t>Article 21(5) are met or continue to be met by applicants</w:t>
      </w:r>
      <w:r w:rsidR="008C6F56">
        <w:rPr>
          <w:noProof/>
        </w:rPr>
        <w:t xml:space="preserve"> and authorised attestation providers</w:t>
      </w:r>
      <w:r w:rsidR="001A462E" w:rsidRPr="00777BC3">
        <w:rPr>
          <w:noProof/>
        </w:rPr>
        <w:t>.</w:t>
      </w:r>
    </w:p>
    <w:p w14:paraId="7332FBFC" w14:textId="61B45744" w:rsidR="001A462E" w:rsidRPr="00777BC3" w:rsidRDefault="006D01CD" w:rsidP="006D01CD">
      <w:pPr>
        <w:pStyle w:val="ManualNumPar1"/>
        <w:rPr>
          <w:noProof/>
        </w:rPr>
      </w:pPr>
      <w:r w:rsidRPr="006D01CD">
        <w:rPr>
          <w:noProof/>
        </w:rPr>
        <w:t>3.</w:t>
      </w:r>
      <w:r w:rsidRPr="006D01CD">
        <w:rPr>
          <w:noProof/>
        </w:rPr>
        <w:tab/>
      </w:r>
      <w:r w:rsidR="001A462E" w:rsidRPr="00777BC3">
        <w:rPr>
          <w:noProof/>
        </w:rPr>
        <w:t xml:space="preserve">After examining </w:t>
      </w:r>
      <w:r w:rsidR="001A462E" w:rsidRPr="00777BC3">
        <w:rPr>
          <w:rFonts w:eastAsia="Times New Roman"/>
          <w:noProof/>
        </w:rPr>
        <w:t xml:space="preserve">an </w:t>
      </w:r>
      <w:r w:rsidR="001A462E" w:rsidRPr="00777BC3">
        <w:rPr>
          <w:noProof/>
        </w:rPr>
        <w:t xml:space="preserve">application against the </w:t>
      </w:r>
      <w:r w:rsidR="001A462E">
        <w:rPr>
          <w:noProof/>
        </w:rPr>
        <w:t>requirements</w:t>
      </w:r>
      <w:r w:rsidR="001A462E" w:rsidRPr="00777BC3">
        <w:rPr>
          <w:noProof/>
        </w:rPr>
        <w:t xml:space="preserve"> laid down in</w:t>
      </w:r>
      <w:r w:rsidR="001A462E" w:rsidRPr="00777BC3" w:rsidDel="00424025">
        <w:rPr>
          <w:noProof/>
        </w:rPr>
        <w:t xml:space="preserve"> </w:t>
      </w:r>
      <w:r w:rsidR="001A462E">
        <w:rPr>
          <w:noProof/>
        </w:rPr>
        <w:t>Article 21(3) and (4)</w:t>
      </w:r>
      <w:r w:rsidR="001A462E" w:rsidRPr="00777BC3">
        <w:rPr>
          <w:noProof/>
        </w:rPr>
        <w:t xml:space="preserve">, ENISA </w:t>
      </w:r>
      <w:r w:rsidR="005C4F89">
        <w:rPr>
          <w:noProof/>
        </w:rPr>
        <w:t>may</w:t>
      </w:r>
      <w:r w:rsidR="001A462E" w:rsidRPr="00777BC3">
        <w:rPr>
          <w:noProof/>
        </w:rPr>
        <w:t xml:space="preserve"> issue </w:t>
      </w:r>
      <w:r w:rsidR="001A462E">
        <w:rPr>
          <w:noProof/>
        </w:rPr>
        <w:t>one of the following</w:t>
      </w:r>
      <w:r w:rsidR="001A462E" w:rsidRPr="00777BC3">
        <w:rPr>
          <w:noProof/>
        </w:rPr>
        <w:t xml:space="preserve"> decision</w:t>
      </w:r>
      <w:r w:rsidR="001A462E">
        <w:rPr>
          <w:noProof/>
        </w:rPr>
        <w:t>s</w:t>
      </w:r>
      <w:r w:rsidR="001A462E" w:rsidRPr="00777BC3">
        <w:rPr>
          <w:noProof/>
        </w:rPr>
        <w:t>:</w:t>
      </w:r>
    </w:p>
    <w:p w14:paraId="05F9F9F2" w14:textId="2BB88ADF" w:rsidR="001A462E" w:rsidRPr="00777BC3" w:rsidRDefault="006D01CD" w:rsidP="006D01CD">
      <w:pPr>
        <w:pStyle w:val="Point1"/>
        <w:rPr>
          <w:noProof/>
          <w:lang w:eastAsia="en-IE"/>
        </w:rPr>
      </w:pPr>
      <w:r w:rsidRPr="006D01CD">
        <w:rPr>
          <w:noProof/>
        </w:rPr>
        <w:t>(a)</w:t>
      </w:r>
      <w:r w:rsidRPr="006D01CD">
        <w:rPr>
          <w:noProof/>
        </w:rPr>
        <w:tab/>
      </w:r>
      <w:r w:rsidR="001A462E" w:rsidRPr="00777BC3">
        <w:rPr>
          <w:noProof/>
          <w:lang w:eastAsia="en-IE"/>
        </w:rPr>
        <w:t xml:space="preserve">granting the applicant </w:t>
      </w:r>
      <w:r w:rsidR="001A462E">
        <w:rPr>
          <w:noProof/>
          <w:lang w:eastAsia="en-IE"/>
        </w:rPr>
        <w:t>the status of authorised attestation provider</w:t>
      </w:r>
      <w:r w:rsidR="001A462E" w:rsidRPr="00777BC3">
        <w:rPr>
          <w:noProof/>
          <w:lang w:eastAsia="en-IE"/>
        </w:rPr>
        <w:t xml:space="preserve"> </w:t>
      </w:r>
      <w:r w:rsidR="001A462E">
        <w:rPr>
          <w:noProof/>
          <w:lang w:eastAsia="en-IE"/>
        </w:rPr>
        <w:t>or renewing it;</w:t>
      </w:r>
    </w:p>
    <w:p w14:paraId="61F67514" w14:textId="42F4283D" w:rsidR="001A462E" w:rsidRPr="00777BC3" w:rsidRDefault="006D01CD" w:rsidP="006D01CD">
      <w:pPr>
        <w:pStyle w:val="Point1"/>
        <w:rPr>
          <w:noProof/>
          <w:lang w:eastAsia="en-IE"/>
        </w:rPr>
      </w:pPr>
      <w:r w:rsidRPr="006D01CD">
        <w:rPr>
          <w:noProof/>
        </w:rPr>
        <w:t>(b)</w:t>
      </w:r>
      <w:r w:rsidRPr="006D01CD">
        <w:rPr>
          <w:noProof/>
        </w:rPr>
        <w:tab/>
      </w:r>
      <w:r w:rsidR="001A462E">
        <w:rPr>
          <w:noProof/>
          <w:lang w:eastAsia="en-IE"/>
        </w:rPr>
        <w:t xml:space="preserve">rejecting the application to become an </w:t>
      </w:r>
      <w:r w:rsidR="001A462E" w:rsidRPr="00FD7004">
        <w:rPr>
          <w:noProof/>
          <w:lang w:eastAsia="en-IE"/>
        </w:rPr>
        <w:t>authorised attestation provider</w:t>
      </w:r>
      <w:r w:rsidR="001A462E">
        <w:rPr>
          <w:noProof/>
          <w:lang w:eastAsia="en-IE"/>
        </w:rPr>
        <w:t xml:space="preserve"> or not renewing it;</w:t>
      </w:r>
    </w:p>
    <w:p w14:paraId="46F67B00" w14:textId="3F33D80C" w:rsidR="001A462E" w:rsidRPr="00777BC3" w:rsidRDefault="006D01CD" w:rsidP="006D01CD">
      <w:pPr>
        <w:pStyle w:val="Point1"/>
        <w:rPr>
          <w:noProof/>
          <w:lang w:eastAsia="en-IE"/>
        </w:rPr>
      </w:pPr>
      <w:r w:rsidRPr="006D01CD">
        <w:rPr>
          <w:noProof/>
        </w:rPr>
        <w:t>(c)</w:t>
      </w:r>
      <w:r w:rsidRPr="006D01CD">
        <w:rPr>
          <w:noProof/>
        </w:rPr>
        <w:tab/>
      </w:r>
      <w:r w:rsidR="001A462E" w:rsidRPr="00777BC3">
        <w:rPr>
          <w:noProof/>
          <w:lang w:eastAsia="en-IE"/>
        </w:rPr>
        <w:t>closing the processing of the application due to the applicant’s inaction following a request for additional information</w:t>
      </w:r>
      <w:r w:rsidR="001A462E">
        <w:rPr>
          <w:noProof/>
          <w:lang w:eastAsia="en-IE"/>
        </w:rPr>
        <w:t xml:space="preserve"> by ENISA</w:t>
      </w:r>
      <w:r w:rsidR="001A462E" w:rsidRPr="00777BC3">
        <w:rPr>
          <w:noProof/>
          <w:lang w:eastAsia="en-IE"/>
        </w:rPr>
        <w:t>.</w:t>
      </w:r>
    </w:p>
    <w:p w14:paraId="78D976B4" w14:textId="1CD77378" w:rsidR="001A462E" w:rsidRPr="00777BC3" w:rsidRDefault="001A462E" w:rsidP="001A462E">
      <w:pPr>
        <w:pStyle w:val="Text1"/>
        <w:rPr>
          <w:noProof/>
        </w:rPr>
      </w:pPr>
      <w:r w:rsidRPr="00777BC3">
        <w:rPr>
          <w:noProof/>
        </w:rPr>
        <w:t>ENISA may amend, suspend or revoke such decisions</w:t>
      </w:r>
      <w:r>
        <w:rPr>
          <w:noProof/>
        </w:rPr>
        <w:t xml:space="preserve"> based on its evaluation pursuant to Article 2</w:t>
      </w:r>
      <w:r w:rsidR="000B33E3">
        <w:rPr>
          <w:noProof/>
        </w:rPr>
        <w:t>2(2) or in the case referred to in Article 21(</w:t>
      </w:r>
      <w:r>
        <w:rPr>
          <w:noProof/>
        </w:rPr>
        <w:t>6</w:t>
      </w:r>
      <w:r w:rsidR="000B33E3">
        <w:rPr>
          <w:noProof/>
        </w:rPr>
        <w:t>)</w:t>
      </w:r>
      <w:r w:rsidRPr="00777BC3">
        <w:rPr>
          <w:noProof/>
        </w:rPr>
        <w:t xml:space="preserve">.  </w:t>
      </w:r>
    </w:p>
    <w:p w14:paraId="49ABD113" w14:textId="3F29BC91" w:rsidR="001A462E" w:rsidRPr="00777BC3" w:rsidRDefault="006D01CD" w:rsidP="006D01CD">
      <w:pPr>
        <w:pStyle w:val="ManualNumPar1"/>
        <w:rPr>
          <w:noProof/>
        </w:rPr>
      </w:pPr>
      <w:r w:rsidRPr="006D01CD">
        <w:rPr>
          <w:noProof/>
        </w:rPr>
        <w:t>4.</w:t>
      </w:r>
      <w:r w:rsidRPr="006D01CD">
        <w:rPr>
          <w:noProof/>
        </w:rPr>
        <w:tab/>
      </w:r>
      <w:r w:rsidR="001A462E" w:rsidRPr="00777BC3">
        <w:rPr>
          <w:noProof/>
        </w:rPr>
        <w:t>ENISA shall issue the decision referred to in paragraph 3 within three months from the date of submission of an application</w:t>
      </w:r>
      <w:r w:rsidR="001A462E">
        <w:rPr>
          <w:noProof/>
        </w:rPr>
        <w:t xml:space="preserve"> in accordance with Article 21(3)</w:t>
      </w:r>
      <w:r w:rsidR="001A462E" w:rsidRPr="00777BC3">
        <w:rPr>
          <w:noProof/>
        </w:rPr>
        <w:t xml:space="preserve">. </w:t>
      </w:r>
      <w:r w:rsidR="001A462E">
        <w:rPr>
          <w:noProof/>
        </w:rPr>
        <w:t>Where ENISA requested the applicant for the additional information, ENISA shall issue the decision referred to in paragraph 3 within one month of receiving additional information.</w:t>
      </w:r>
    </w:p>
    <w:p w14:paraId="5F809F24" w14:textId="4C6B041F" w:rsidR="001A462E" w:rsidRPr="00777BC3" w:rsidRDefault="006D01CD" w:rsidP="006D01CD">
      <w:pPr>
        <w:pStyle w:val="ManualNumPar1"/>
        <w:rPr>
          <w:noProof/>
        </w:rPr>
      </w:pPr>
      <w:r w:rsidRPr="006D01CD">
        <w:rPr>
          <w:noProof/>
        </w:rPr>
        <w:t>5.</w:t>
      </w:r>
      <w:r w:rsidRPr="006D01CD">
        <w:rPr>
          <w:noProof/>
        </w:rPr>
        <w:tab/>
      </w:r>
      <w:r w:rsidR="001A462E">
        <w:rPr>
          <w:noProof/>
        </w:rPr>
        <w:t>The decision</w:t>
      </w:r>
      <w:r w:rsidR="001A462E" w:rsidRPr="00777BC3">
        <w:rPr>
          <w:noProof/>
        </w:rPr>
        <w:t xml:space="preserve"> referred to in paragraph 3, point (a) </w:t>
      </w:r>
      <w:r w:rsidR="001A462E">
        <w:rPr>
          <w:noProof/>
        </w:rPr>
        <w:t>shall have</w:t>
      </w:r>
      <w:r w:rsidR="001A462E" w:rsidRPr="00777BC3">
        <w:rPr>
          <w:noProof/>
        </w:rPr>
        <w:t xml:space="preserve"> a maximum duration of three years</w:t>
      </w:r>
      <w:r w:rsidR="003A6620">
        <w:rPr>
          <w:noProof/>
        </w:rPr>
        <w:t xml:space="preserve"> and indicate the fee related to the yearly maintenance of the authorisation</w:t>
      </w:r>
      <w:r w:rsidR="001A462E" w:rsidRPr="00777BC3">
        <w:rPr>
          <w:noProof/>
        </w:rPr>
        <w:t>.</w:t>
      </w:r>
    </w:p>
    <w:p w14:paraId="64660EBA" w14:textId="7731CBF9" w:rsidR="001A462E" w:rsidRPr="00777BC3" w:rsidRDefault="006D01CD" w:rsidP="006D01CD">
      <w:pPr>
        <w:pStyle w:val="ManualNumPar1"/>
        <w:rPr>
          <w:noProof/>
        </w:rPr>
      </w:pPr>
      <w:r w:rsidRPr="006D01CD">
        <w:rPr>
          <w:noProof/>
        </w:rPr>
        <w:t>6.</w:t>
      </w:r>
      <w:r w:rsidRPr="006D01CD">
        <w:rPr>
          <w:noProof/>
        </w:rPr>
        <w:tab/>
      </w:r>
      <w:r w:rsidR="001A462E" w:rsidRPr="00777BC3">
        <w:rPr>
          <w:noProof/>
        </w:rPr>
        <w:t>ENISA shall ensure that its activities relat</w:t>
      </w:r>
      <w:r w:rsidR="001A462E">
        <w:rPr>
          <w:noProof/>
        </w:rPr>
        <w:t>ing</w:t>
      </w:r>
      <w:r w:rsidR="001A462E" w:rsidRPr="00777BC3">
        <w:rPr>
          <w:noProof/>
        </w:rPr>
        <w:t xml:space="preserve"> to the development and adoption of European individual cybersecurity skills attestation schemes as laid down in Article 20 are strictly separated </w:t>
      </w:r>
      <w:r w:rsidR="001A462E">
        <w:rPr>
          <w:noProof/>
        </w:rPr>
        <w:t xml:space="preserve">and carried out independently </w:t>
      </w:r>
      <w:r w:rsidR="001A462E" w:rsidRPr="00777BC3">
        <w:rPr>
          <w:noProof/>
        </w:rPr>
        <w:t xml:space="preserve">from the activities on the </w:t>
      </w:r>
      <w:r w:rsidR="00957FF7">
        <w:rPr>
          <w:noProof/>
        </w:rPr>
        <w:t xml:space="preserve">examination </w:t>
      </w:r>
      <w:r w:rsidR="001A462E" w:rsidRPr="00777BC3">
        <w:rPr>
          <w:noProof/>
        </w:rPr>
        <w:t xml:space="preserve">of applications and </w:t>
      </w:r>
      <w:r w:rsidR="001A462E">
        <w:rPr>
          <w:noProof/>
        </w:rPr>
        <w:t xml:space="preserve">on </w:t>
      </w:r>
      <w:r w:rsidR="001A462E" w:rsidRPr="00777BC3">
        <w:rPr>
          <w:noProof/>
        </w:rPr>
        <w:t>evaluations set out in paragraphs 2 and 3</w:t>
      </w:r>
      <w:r w:rsidR="001A462E">
        <w:rPr>
          <w:noProof/>
        </w:rPr>
        <w:t xml:space="preserve"> of this Article. </w:t>
      </w:r>
    </w:p>
    <w:p w14:paraId="3A4FEFEE" w14:textId="77777777" w:rsidR="001A462E" w:rsidRPr="00777BC3" w:rsidRDefault="001A462E" w:rsidP="001A462E">
      <w:pPr>
        <w:pStyle w:val="Titrearticle"/>
        <w:rPr>
          <w:noProof/>
        </w:rPr>
      </w:pPr>
      <w:r w:rsidRPr="00777BC3">
        <w:rPr>
          <w:noProof/>
        </w:rPr>
        <w:t>Article 23</w:t>
      </w:r>
      <w:r w:rsidRPr="00777BC3">
        <w:rPr>
          <w:noProof/>
        </w:rPr>
        <w:br/>
        <w:t>Public information</w:t>
      </w:r>
    </w:p>
    <w:p w14:paraId="27B448B1" w14:textId="77777777" w:rsidR="001A462E" w:rsidRPr="00777BC3" w:rsidRDefault="001A462E" w:rsidP="00846CEF">
      <w:pPr>
        <w:rPr>
          <w:noProof/>
        </w:rPr>
      </w:pPr>
      <w:r w:rsidRPr="00777BC3">
        <w:rPr>
          <w:noProof/>
        </w:rPr>
        <w:t>ENISA shall maintain and regularly update a dedicated website providing public information on:</w:t>
      </w:r>
    </w:p>
    <w:p w14:paraId="4A556FDD" w14:textId="6C9DA78D" w:rsidR="001A462E" w:rsidRPr="00777BC3" w:rsidRDefault="006D01CD" w:rsidP="006D01CD">
      <w:pPr>
        <w:pStyle w:val="Point0"/>
        <w:rPr>
          <w:noProof/>
          <w:lang w:eastAsia="en-IE"/>
        </w:rPr>
      </w:pPr>
      <w:r w:rsidRPr="006D01CD">
        <w:rPr>
          <w:noProof/>
        </w:rPr>
        <w:t>(a)</w:t>
      </w:r>
      <w:r w:rsidRPr="006D01CD">
        <w:rPr>
          <w:noProof/>
        </w:rPr>
        <w:tab/>
      </w:r>
      <w:r w:rsidR="001A462E" w:rsidRPr="00777BC3">
        <w:rPr>
          <w:noProof/>
          <w:lang w:eastAsia="en-IE"/>
        </w:rPr>
        <w:t xml:space="preserve">the ECSF, including the framework and its timeline for </w:t>
      </w:r>
      <w:r w:rsidR="001A462E">
        <w:rPr>
          <w:noProof/>
          <w:lang w:eastAsia="en-IE"/>
        </w:rPr>
        <w:t>update</w:t>
      </w:r>
      <w:r w:rsidR="001A462E" w:rsidRPr="00777BC3">
        <w:rPr>
          <w:noProof/>
          <w:lang w:eastAsia="en-IE"/>
        </w:rPr>
        <w:t>;</w:t>
      </w:r>
    </w:p>
    <w:p w14:paraId="4AB148A7" w14:textId="59E2CB49" w:rsidR="001A462E" w:rsidRPr="00777BC3" w:rsidRDefault="006D01CD" w:rsidP="006D01CD">
      <w:pPr>
        <w:pStyle w:val="Point0"/>
        <w:rPr>
          <w:noProof/>
        </w:rPr>
      </w:pPr>
      <w:r w:rsidRPr="006D01CD">
        <w:rPr>
          <w:noProof/>
        </w:rPr>
        <w:t>(b)</w:t>
      </w:r>
      <w:r w:rsidRPr="006D01CD">
        <w:rPr>
          <w:noProof/>
        </w:rPr>
        <w:tab/>
      </w:r>
      <w:r w:rsidR="001A462E" w:rsidRPr="00777BC3">
        <w:rPr>
          <w:noProof/>
          <w:lang w:eastAsia="en-IE"/>
        </w:rPr>
        <w:t xml:space="preserve">the European individual cybersecurity skills attestation schemes, </w:t>
      </w:r>
      <w:r w:rsidR="001A462E">
        <w:rPr>
          <w:noProof/>
          <w:lang w:eastAsia="en-IE"/>
        </w:rPr>
        <w:t>their</w:t>
      </w:r>
      <w:r w:rsidR="001A462E" w:rsidRPr="00777BC3">
        <w:rPr>
          <w:noProof/>
          <w:lang w:eastAsia="en-IE"/>
        </w:rPr>
        <w:t xml:space="preserve"> progress and timelines for their development;</w:t>
      </w:r>
    </w:p>
    <w:p w14:paraId="0E3D0091" w14:textId="53435A0F" w:rsidR="001A462E" w:rsidRPr="00777BC3" w:rsidRDefault="006D01CD" w:rsidP="006D01CD">
      <w:pPr>
        <w:pStyle w:val="Point0"/>
        <w:rPr>
          <w:noProof/>
        </w:rPr>
      </w:pPr>
      <w:r w:rsidRPr="006D01CD">
        <w:rPr>
          <w:noProof/>
        </w:rPr>
        <w:t>(c)</w:t>
      </w:r>
      <w:r w:rsidRPr="006D01CD">
        <w:rPr>
          <w:noProof/>
        </w:rPr>
        <w:tab/>
      </w:r>
      <w:r w:rsidR="001A462E" w:rsidRPr="00777BC3">
        <w:rPr>
          <w:noProof/>
          <w:lang w:eastAsia="en-IE"/>
        </w:rPr>
        <w:t xml:space="preserve">the fees associated </w:t>
      </w:r>
      <w:r w:rsidR="001A462E">
        <w:rPr>
          <w:noProof/>
          <w:lang w:eastAsia="en-IE"/>
        </w:rPr>
        <w:t>with</w:t>
      </w:r>
      <w:r w:rsidR="001A462E" w:rsidRPr="00777BC3">
        <w:rPr>
          <w:noProof/>
          <w:lang w:eastAsia="en-IE"/>
        </w:rPr>
        <w:t xml:space="preserve"> each </w:t>
      </w:r>
      <w:r w:rsidR="001A462E">
        <w:rPr>
          <w:noProof/>
          <w:lang w:eastAsia="en-IE"/>
        </w:rPr>
        <w:t xml:space="preserve">European individual cybersecurity skills attestation </w:t>
      </w:r>
      <w:r w:rsidR="001A462E" w:rsidRPr="00777BC3">
        <w:rPr>
          <w:noProof/>
          <w:lang w:eastAsia="en-IE"/>
        </w:rPr>
        <w:t>scheme</w:t>
      </w:r>
      <w:r w:rsidR="001A462E">
        <w:rPr>
          <w:noProof/>
          <w:lang w:eastAsia="en-IE"/>
        </w:rPr>
        <w:t xml:space="preserve"> adopted pursuant to Article 47 of this Regulation</w:t>
      </w:r>
      <w:r w:rsidR="001A462E" w:rsidRPr="00777BC3">
        <w:rPr>
          <w:noProof/>
          <w:lang w:eastAsia="en-IE"/>
        </w:rPr>
        <w:t>;</w:t>
      </w:r>
    </w:p>
    <w:p w14:paraId="554B829B" w14:textId="2AECA359" w:rsidR="001A462E" w:rsidRPr="00777BC3" w:rsidRDefault="006D01CD" w:rsidP="006D01CD">
      <w:pPr>
        <w:pStyle w:val="Point0"/>
        <w:rPr>
          <w:noProof/>
        </w:rPr>
      </w:pPr>
      <w:r w:rsidRPr="006D01CD">
        <w:rPr>
          <w:noProof/>
        </w:rPr>
        <w:t>(d)</w:t>
      </w:r>
      <w:r w:rsidRPr="006D01CD">
        <w:rPr>
          <w:noProof/>
        </w:rPr>
        <w:tab/>
      </w:r>
      <w:r w:rsidR="001A462E" w:rsidRPr="00777BC3">
        <w:rPr>
          <w:rFonts w:eastAsia="Times New Roman"/>
          <w:noProof/>
          <w:lang w:eastAsia="en-IE"/>
        </w:rPr>
        <w:t xml:space="preserve">the </w:t>
      </w:r>
      <w:r w:rsidR="001A462E" w:rsidRPr="0081242B">
        <w:rPr>
          <w:noProof/>
        </w:rPr>
        <w:t>indicative cost of a European individual cybersecurity skills attestation</w:t>
      </w:r>
      <w:r w:rsidR="001A462E" w:rsidRPr="00777BC3" w:rsidDel="00C145BC">
        <w:rPr>
          <w:rFonts w:eastAsia="Times New Roman"/>
          <w:noProof/>
          <w:lang w:eastAsia="en-IE"/>
        </w:rPr>
        <w:t xml:space="preserve"> </w:t>
      </w:r>
      <w:r w:rsidR="001A462E">
        <w:rPr>
          <w:rFonts w:eastAsia="Times New Roman"/>
          <w:noProof/>
          <w:lang w:eastAsia="en-IE"/>
        </w:rPr>
        <w:t>in accordance with Article 20(</w:t>
      </w:r>
      <w:r w:rsidR="001A462E" w:rsidRPr="440678B9">
        <w:rPr>
          <w:rFonts w:eastAsia="Times New Roman"/>
          <w:noProof/>
          <w:lang w:eastAsia="en-IE"/>
        </w:rPr>
        <w:t>4</w:t>
      </w:r>
      <w:r w:rsidR="001A462E">
        <w:rPr>
          <w:rFonts w:eastAsia="Times New Roman"/>
          <w:noProof/>
          <w:lang w:eastAsia="en-IE"/>
        </w:rPr>
        <w:t>)</w:t>
      </w:r>
      <w:r w:rsidR="001A462E" w:rsidRPr="00777BC3">
        <w:rPr>
          <w:rFonts w:eastAsia="Times New Roman"/>
          <w:noProof/>
          <w:lang w:eastAsia="en-IE"/>
        </w:rPr>
        <w:t>;</w:t>
      </w:r>
    </w:p>
    <w:p w14:paraId="4CDE5C89" w14:textId="1292F5CE" w:rsidR="001A462E" w:rsidRPr="00777BC3" w:rsidRDefault="006D01CD" w:rsidP="006D01CD">
      <w:pPr>
        <w:pStyle w:val="Point0"/>
        <w:rPr>
          <w:noProof/>
        </w:rPr>
      </w:pPr>
      <w:r w:rsidRPr="006D01CD">
        <w:rPr>
          <w:noProof/>
        </w:rPr>
        <w:t>(e)</w:t>
      </w:r>
      <w:r w:rsidRPr="006D01CD">
        <w:rPr>
          <w:noProof/>
        </w:rPr>
        <w:tab/>
      </w:r>
      <w:r w:rsidR="001A462E" w:rsidRPr="00777BC3">
        <w:rPr>
          <w:noProof/>
          <w:lang w:eastAsia="en-IE"/>
        </w:rPr>
        <w:t>the list of authorised attestation providers.</w:t>
      </w:r>
    </w:p>
    <w:p w14:paraId="0990C0A6" w14:textId="77777777" w:rsidR="001A462E" w:rsidRPr="00777BC3" w:rsidRDefault="001A462E" w:rsidP="001A462E">
      <w:pPr>
        <w:rPr>
          <w:noProof/>
        </w:rPr>
      </w:pPr>
    </w:p>
    <w:p w14:paraId="113B61B8" w14:textId="77777777" w:rsidR="001A462E" w:rsidRPr="00D45456" w:rsidRDefault="001A462E" w:rsidP="001A462E">
      <w:pPr>
        <w:jc w:val="center"/>
        <w:rPr>
          <w:b/>
          <w:bCs/>
          <w:i/>
          <w:iCs/>
          <w:noProof/>
        </w:rPr>
      </w:pPr>
      <w:r w:rsidRPr="00D45456">
        <w:rPr>
          <w:b/>
          <w:bCs/>
          <w:i/>
          <w:iCs/>
          <w:noProof/>
        </w:rPr>
        <w:t>Chapter III</w:t>
      </w:r>
      <w:r w:rsidRPr="00D45456">
        <w:rPr>
          <w:b/>
          <w:bCs/>
          <w:i/>
          <w:iCs/>
          <w:noProof/>
        </w:rPr>
        <w:br/>
        <w:t>Organisation of ENISA</w:t>
      </w:r>
    </w:p>
    <w:p w14:paraId="2E209946" w14:textId="77777777" w:rsidR="001A462E" w:rsidRPr="00777BC3" w:rsidRDefault="001A462E" w:rsidP="001A462E">
      <w:pPr>
        <w:pStyle w:val="Titrearticle"/>
        <w:rPr>
          <w:noProof/>
        </w:rPr>
      </w:pPr>
      <w:r w:rsidRPr="00777BC3">
        <w:rPr>
          <w:noProof/>
        </w:rPr>
        <w:t>Article 24</w:t>
      </w:r>
      <w:r w:rsidRPr="00777BC3">
        <w:rPr>
          <w:noProof/>
        </w:rPr>
        <w:br/>
        <w:t>Administrative and management structure of ENISA</w:t>
      </w:r>
    </w:p>
    <w:p w14:paraId="33A4EC92" w14:textId="77777777" w:rsidR="001A462E" w:rsidRPr="00777BC3" w:rsidRDefault="001A462E" w:rsidP="00846CEF">
      <w:pPr>
        <w:rPr>
          <w:noProof/>
        </w:rPr>
      </w:pPr>
      <w:r w:rsidRPr="00777BC3">
        <w:rPr>
          <w:noProof/>
        </w:rPr>
        <w:t>The administrative and management structure of ENISA shall comprise:</w:t>
      </w:r>
    </w:p>
    <w:p w14:paraId="59146438" w14:textId="5C9D1DF4" w:rsidR="001A462E" w:rsidRPr="00777BC3" w:rsidRDefault="006D01CD" w:rsidP="006D01CD">
      <w:pPr>
        <w:pStyle w:val="Point0"/>
        <w:rPr>
          <w:noProof/>
        </w:rPr>
      </w:pPr>
      <w:r w:rsidRPr="006D01CD">
        <w:rPr>
          <w:noProof/>
        </w:rPr>
        <w:t>(a)</w:t>
      </w:r>
      <w:r w:rsidRPr="006D01CD">
        <w:rPr>
          <w:noProof/>
        </w:rPr>
        <w:tab/>
      </w:r>
      <w:r w:rsidR="001A462E" w:rsidRPr="00777BC3">
        <w:rPr>
          <w:noProof/>
        </w:rPr>
        <w:t>a Management Board which shall exercise the functions set out in Article 28;</w:t>
      </w:r>
    </w:p>
    <w:p w14:paraId="7E55A79C" w14:textId="494AFB72" w:rsidR="001A462E" w:rsidRPr="00777BC3" w:rsidRDefault="006D01CD" w:rsidP="006D01CD">
      <w:pPr>
        <w:pStyle w:val="Point0"/>
        <w:rPr>
          <w:noProof/>
        </w:rPr>
      </w:pPr>
      <w:r w:rsidRPr="006D01CD">
        <w:rPr>
          <w:noProof/>
        </w:rPr>
        <w:t>(b)</w:t>
      </w:r>
      <w:r w:rsidRPr="006D01CD">
        <w:rPr>
          <w:noProof/>
        </w:rPr>
        <w:tab/>
      </w:r>
      <w:r w:rsidR="001A462E" w:rsidRPr="00777BC3">
        <w:rPr>
          <w:noProof/>
        </w:rPr>
        <w:t>an Executive Board which shall exercise the functions set out in Article 30;</w:t>
      </w:r>
    </w:p>
    <w:p w14:paraId="370C01C2" w14:textId="77BDD96C" w:rsidR="001A462E" w:rsidRPr="00777BC3" w:rsidRDefault="006D01CD" w:rsidP="006D01CD">
      <w:pPr>
        <w:pStyle w:val="Point0"/>
        <w:rPr>
          <w:noProof/>
        </w:rPr>
      </w:pPr>
      <w:r w:rsidRPr="006D01CD">
        <w:rPr>
          <w:noProof/>
        </w:rPr>
        <w:t>(c)</w:t>
      </w:r>
      <w:r w:rsidRPr="006D01CD">
        <w:rPr>
          <w:noProof/>
        </w:rPr>
        <w:tab/>
      </w:r>
      <w:r w:rsidR="001A462E" w:rsidRPr="00777BC3">
        <w:rPr>
          <w:noProof/>
        </w:rPr>
        <w:t>an Executive Director who shall exercise the responsibilities set out in Article 32;</w:t>
      </w:r>
    </w:p>
    <w:p w14:paraId="62AC5381" w14:textId="7DBDDC6A" w:rsidR="001A462E" w:rsidRPr="00777BC3" w:rsidRDefault="006D01CD" w:rsidP="006D01CD">
      <w:pPr>
        <w:pStyle w:val="Point0"/>
        <w:rPr>
          <w:noProof/>
        </w:rPr>
      </w:pPr>
      <w:r w:rsidRPr="006D01CD">
        <w:rPr>
          <w:noProof/>
        </w:rPr>
        <w:t>(d)</w:t>
      </w:r>
      <w:r w:rsidRPr="006D01CD">
        <w:rPr>
          <w:noProof/>
        </w:rPr>
        <w:tab/>
      </w:r>
      <w:r w:rsidR="001A462E" w:rsidRPr="00777BC3">
        <w:rPr>
          <w:noProof/>
        </w:rPr>
        <w:t>a Deputy Executive Director who shall exercise the responsibilities set out in Article 34;</w:t>
      </w:r>
    </w:p>
    <w:p w14:paraId="080C6883" w14:textId="1FFE66E3" w:rsidR="001A462E" w:rsidRPr="00777BC3" w:rsidRDefault="006D01CD" w:rsidP="006D01CD">
      <w:pPr>
        <w:pStyle w:val="Point0"/>
        <w:rPr>
          <w:noProof/>
        </w:rPr>
      </w:pPr>
      <w:r w:rsidRPr="006D01CD">
        <w:rPr>
          <w:noProof/>
        </w:rPr>
        <w:t>(e)</w:t>
      </w:r>
      <w:r w:rsidRPr="006D01CD">
        <w:rPr>
          <w:noProof/>
        </w:rPr>
        <w:tab/>
      </w:r>
      <w:r w:rsidR="001A462E" w:rsidRPr="00777BC3">
        <w:rPr>
          <w:noProof/>
        </w:rPr>
        <w:t>an ENISA Advisory Group;</w:t>
      </w:r>
    </w:p>
    <w:p w14:paraId="5F122B9A" w14:textId="779B6854" w:rsidR="001A462E" w:rsidRPr="00777BC3" w:rsidRDefault="006D01CD" w:rsidP="006D01CD">
      <w:pPr>
        <w:pStyle w:val="Point0"/>
        <w:rPr>
          <w:noProof/>
        </w:rPr>
      </w:pPr>
      <w:r w:rsidRPr="006D01CD">
        <w:rPr>
          <w:noProof/>
        </w:rPr>
        <w:t>(f)</w:t>
      </w:r>
      <w:r w:rsidRPr="006D01CD">
        <w:rPr>
          <w:noProof/>
        </w:rPr>
        <w:tab/>
      </w:r>
      <w:r w:rsidR="001A462E" w:rsidRPr="00777BC3">
        <w:rPr>
          <w:noProof/>
        </w:rPr>
        <w:t>a Board of Appeals which shall exercise the functions set out in Articles 39 to 42.</w:t>
      </w:r>
    </w:p>
    <w:p w14:paraId="571F8DC2" w14:textId="77777777" w:rsidR="001A462E" w:rsidRPr="00777BC3" w:rsidRDefault="001A462E" w:rsidP="001A462E">
      <w:pPr>
        <w:jc w:val="center"/>
        <w:rPr>
          <w:b/>
          <w:bCs/>
          <w:noProof/>
        </w:rPr>
      </w:pPr>
      <w:r w:rsidRPr="00777BC3">
        <w:rPr>
          <w:b/>
          <w:bCs/>
          <w:noProof/>
        </w:rPr>
        <w:t>Section 1</w:t>
      </w:r>
      <w:r w:rsidRPr="00777BC3">
        <w:rPr>
          <w:b/>
          <w:bCs/>
          <w:noProof/>
        </w:rPr>
        <w:br/>
        <w:t>Management Board</w:t>
      </w:r>
    </w:p>
    <w:p w14:paraId="708E2B02" w14:textId="77777777" w:rsidR="001A462E" w:rsidRPr="00777BC3" w:rsidRDefault="001A462E" w:rsidP="001A462E">
      <w:pPr>
        <w:pStyle w:val="Titrearticle"/>
        <w:rPr>
          <w:noProof/>
        </w:rPr>
      </w:pPr>
      <w:r w:rsidRPr="00777BC3">
        <w:rPr>
          <w:noProof/>
        </w:rPr>
        <w:t>Article 25</w:t>
      </w:r>
      <w:r w:rsidRPr="00777BC3">
        <w:rPr>
          <w:noProof/>
        </w:rPr>
        <w:br/>
        <w:t>Composition of the Management Board</w:t>
      </w:r>
    </w:p>
    <w:p w14:paraId="1914DC46" w14:textId="2DE65018" w:rsidR="001A462E" w:rsidRPr="00777BC3" w:rsidRDefault="006D01CD" w:rsidP="006D01CD">
      <w:pPr>
        <w:pStyle w:val="ManualNumPar1"/>
        <w:rPr>
          <w:noProof/>
        </w:rPr>
      </w:pPr>
      <w:r w:rsidRPr="006D01CD">
        <w:rPr>
          <w:noProof/>
        </w:rPr>
        <w:t>1.</w:t>
      </w:r>
      <w:r w:rsidRPr="006D01CD">
        <w:rPr>
          <w:noProof/>
        </w:rPr>
        <w:tab/>
      </w:r>
      <w:r w:rsidR="001A462E" w:rsidRPr="00777BC3">
        <w:rPr>
          <w:noProof/>
        </w:rPr>
        <w:t>The Management Board shall be composed of one member appointed by each Member State and two members appointed by the Commission. All members shall have the right to vote.</w:t>
      </w:r>
    </w:p>
    <w:p w14:paraId="50531650" w14:textId="2CD9783C" w:rsidR="001A462E" w:rsidRPr="00777BC3" w:rsidRDefault="006D01CD" w:rsidP="006D01CD">
      <w:pPr>
        <w:pStyle w:val="ManualNumPar1"/>
        <w:rPr>
          <w:noProof/>
        </w:rPr>
      </w:pPr>
      <w:r w:rsidRPr="006D01CD">
        <w:rPr>
          <w:noProof/>
        </w:rPr>
        <w:t>2.</w:t>
      </w:r>
      <w:r w:rsidRPr="006D01CD">
        <w:rPr>
          <w:noProof/>
        </w:rPr>
        <w:tab/>
      </w:r>
      <w:r w:rsidR="001A462E" w:rsidRPr="00777BC3">
        <w:rPr>
          <w:noProof/>
        </w:rPr>
        <w:t>Each member of the Management Board shall have an alternate. The alternates shall represent the members in their absence.</w:t>
      </w:r>
    </w:p>
    <w:p w14:paraId="1E8BCD56" w14:textId="48382468" w:rsidR="001A462E" w:rsidRPr="00777BC3" w:rsidRDefault="006D01CD" w:rsidP="006D01CD">
      <w:pPr>
        <w:pStyle w:val="ManualNumPar1"/>
        <w:rPr>
          <w:noProof/>
        </w:rPr>
      </w:pPr>
      <w:r w:rsidRPr="006D01CD">
        <w:rPr>
          <w:noProof/>
        </w:rPr>
        <w:t>3.</w:t>
      </w:r>
      <w:r w:rsidRPr="006D01CD">
        <w:rPr>
          <w:noProof/>
        </w:rPr>
        <w:tab/>
      </w:r>
      <w:r w:rsidR="001A462E" w:rsidRPr="00777BC3">
        <w:rPr>
          <w:noProof/>
        </w:rPr>
        <w:t xml:space="preserve">Each Member State shall appoint the head of a national competent authority designated pursuant to Article 8(1) of Directive (EU) 2022/2555 as the member of the Management Board. Where this proves not </w:t>
      </w:r>
      <w:r w:rsidR="001A462E">
        <w:rPr>
          <w:noProof/>
        </w:rPr>
        <w:t xml:space="preserve">to be </w:t>
      </w:r>
      <w:r w:rsidR="001A462E" w:rsidRPr="00777BC3">
        <w:rPr>
          <w:noProof/>
        </w:rPr>
        <w:t>feasible, Member States shall appoint a high-level representative of a national competent authority designated pursuant to Article 8(1) of Directive (EU) 2022/2555 as the member of the Management Board.</w:t>
      </w:r>
    </w:p>
    <w:p w14:paraId="745120A6" w14:textId="73CE30EF" w:rsidR="001A462E" w:rsidRPr="00E015D2" w:rsidRDefault="006D01CD" w:rsidP="006D01CD">
      <w:pPr>
        <w:pStyle w:val="ManualNumPar1"/>
        <w:rPr>
          <w:noProof/>
        </w:rPr>
      </w:pPr>
      <w:r w:rsidRPr="006D01CD">
        <w:rPr>
          <w:noProof/>
        </w:rPr>
        <w:t>4.</w:t>
      </w:r>
      <w:r w:rsidRPr="006D01CD">
        <w:rPr>
          <w:noProof/>
        </w:rPr>
        <w:tab/>
      </w:r>
      <w:r w:rsidR="001A462E" w:rsidRPr="00777BC3">
        <w:rPr>
          <w:noProof/>
        </w:rPr>
        <w:t>Members appointed by the Commission and alternate members of the Management Board shall be appointed in light of their knowledge in the field of cybersecurity, taking into account their relevant managerial, administrative and budgetary skills.  The Commission and the Member States as regards alternates, shall aim to achieve a balanced representation between men and women on the Management Board</w:t>
      </w:r>
      <w:r w:rsidR="001A462E">
        <w:rPr>
          <w:noProof/>
        </w:rPr>
        <w:t xml:space="preserve"> </w:t>
      </w:r>
      <w:r w:rsidR="001A462E" w:rsidRPr="00E015D2">
        <w:rPr>
          <w:noProof/>
        </w:rPr>
        <w:t>and shall make efforts to limit their turnover in order to ensure continuity of the Management Board’s work.</w:t>
      </w:r>
    </w:p>
    <w:p w14:paraId="675E7A49" w14:textId="01780115" w:rsidR="001A462E" w:rsidRDefault="006D01CD" w:rsidP="006D01CD">
      <w:pPr>
        <w:pStyle w:val="ManualNumPar1"/>
        <w:rPr>
          <w:noProof/>
        </w:rPr>
      </w:pPr>
      <w:r w:rsidRPr="006D01CD">
        <w:rPr>
          <w:noProof/>
        </w:rPr>
        <w:t>5.</w:t>
      </w:r>
      <w:r w:rsidRPr="006D01CD">
        <w:rPr>
          <w:noProof/>
        </w:rPr>
        <w:tab/>
      </w:r>
      <w:r w:rsidR="001A462E">
        <w:rPr>
          <w:noProof/>
        </w:rPr>
        <w:t xml:space="preserve">The term of office of the members appointed by Member States shall be equal to the term of their function referred to in paragraph 3. </w:t>
      </w:r>
    </w:p>
    <w:p w14:paraId="2E8637A2" w14:textId="4796DBB8" w:rsidR="001A462E" w:rsidRPr="00777BC3" w:rsidRDefault="006D01CD" w:rsidP="006D01CD">
      <w:pPr>
        <w:pStyle w:val="ManualNumPar1"/>
        <w:rPr>
          <w:noProof/>
        </w:rPr>
      </w:pPr>
      <w:r w:rsidRPr="006D01CD">
        <w:rPr>
          <w:noProof/>
        </w:rPr>
        <w:t>6.</w:t>
      </w:r>
      <w:r w:rsidRPr="006D01CD">
        <w:rPr>
          <w:noProof/>
        </w:rPr>
        <w:tab/>
      </w:r>
      <w:r w:rsidR="001A462E" w:rsidRPr="00777BC3">
        <w:rPr>
          <w:noProof/>
        </w:rPr>
        <w:t>The term of office of the alternates and of the members appointed by the Commission shall be four years. Th</w:t>
      </w:r>
      <w:r w:rsidR="001A462E">
        <w:rPr>
          <w:noProof/>
        </w:rPr>
        <w:t>at</w:t>
      </w:r>
      <w:r w:rsidR="001A462E" w:rsidRPr="00777BC3">
        <w:rPr>
          <w:noProof/>
        </w:rPr>
        <w:t xml:space="preserve"> term shall be </w:t>
      </w:r>
      <w:r w:rsidR="001A462E">
        <w:rPr>
          <w:noProof/>
        </w:rPr>
        <w:t>renewable</w:t>
      </w:r>
      <w:r w:rsidR="001A462E" w:rsidRPr="00777BC3">
        <w:rPr>
          <w:noProof/>
        </w:rPr>
        <w:t>.</w:t>
      </w:r>
    </w:p>
    <w:p w14:paraId="6E111804" w14:textId="77777777" w:rsidR="001A462E" w:rsidRPr="00777BC3" w:rsidRDefault="001A462E" w:rsidP="001A462E">
      <w:pPr>
        <w:pStyle w:val="Titrearticle"/>
        <w:rPr>
          <w:noProof/>
        </w:rPr>
      </w:pPr>
      <w:r w:rsidRPr="00777BC3">
        <w:rPr>
          <w:noProof/>
        </w:rPr>
        <w:t>Article 26</w:t>
      </w:r>
      <w:r w:rsidRPr="00777BC3">
        <w:rPr>
          <w:noProof/>
        </w:rPr>
        <w:br/>
        <w:t>Chairperson of the Management Board</w:t>
      </w:r>
    </w:p>
    <w:p w14:paraId="20D34D50" w14:textId="73C7806D" w:rsidR="001A462E" w:rsidRPr="00777BC3" w:rsidRDefault="006D01CD" w:rsidP="006D01CD">
      <w:pPr>
        <w:pStyle w:val="ManualNumPar1"/>
        <w:rPr>
          <w:noProof/>
        </w:rPr>
      </w:pPr>
      <w:r w:rsidRPr="006D01CD">
        <w:rPr>
          <w:noProof/>
        </w:rPr>
        <w:t>1.</w:t>
      </w:r>
      <w:r w:rsidRPr="006D01CD">
        <w:rPr>
          <w:noProof/>
        </w:rPr>
        <w:tab/>
      </w:r>
      <w:r w:rsidR="001A462E" w:rsidRPr="00777BC3">
        <w:rPr>
          <w:noProof/>
        </w:rPr>
        <w:t xml:space="preserve">The Management Board shall elect a Chairperson and a Deputy Chairperson from among its members with voting rights. The Chairperson and the Deputy Chairperson shall be elected by a majority of two thirds of the members of the Management Board with voting rights. </w:t>
      </w:r>
    </w:p>
    <w:p w14:paraId="6549B347" w14:textId="3EF5B903" w:rsidR="001A462E" w:rsidRPr="00777BC3" w:rsidRDefault="006D01CD" w:rsidP="006D01CD">
      <w:pPr>
        <w:pStyle w:val="ManualNumPar1"/>
        <w:rPr>
          <w:noProof/>
        </w:rPr>
      </w:pPr>
      <w:r w:rsidRPr="006D01CD">
        <w:rPr>
          <w:noProof/>
        </w:rPr>
        <w:t>2.</w:t>
      </w:r>
      <w:r w:rsidRPr="006D01CD">
        <w:rPr>
          <w:noProof/>
        </w:rPr>
        <w:tab/>
      </w:r>
      <w:r w:rsidR="001A462E" w:rsidRPr="00777BC3">
        <w:rPr>
          <w:noProof/>
        </w:rPr>
        <w:t xml:space="preserve">The Deputy Chairperson shall automatically replace the Chairperson if the Chairperson is prevented from attending to </w:t>
      </w:r>
      <w:r w:rsidR="001A462E">
        <w:rPr>
          <w:noProof/>
        </w:rPr>
        <w:t>their</w:t>
      </w:r>
      <w:r w:rsidR="001A462E" w:rsidRPr="00777BC3">
        <w:rPr>
          <w:noProof/>
        </w:rPr>
        <w:t xml:space="preserve"> duties.</w:t>
      </w:r>
    </w:p>
    <w:p w14:paraId="576F93FE" w14:textId="09C75432" w:rsidR="001A462E" w:rsidRPr="00777BC3" w:rsidRDefault="006D01CD" w:rsidP="006D01CD">
      <w:pPr>
        <w:pStyle w:val="ManualNumPar1"/>
        <w:rPr>
          <w:noProof/>
        </w:rPr>
      </w:pPr>
      <w:r w:rsidRPr="006D01CD">
        <w:rPr>
          <w:noProof/>
        </w:rPr>
        <w:t>3.</w:t>
      </w:r>
      <w:r w:rsidRPr="006D01CD">
        <w:rPr>
          <w:noProof/>
        </w:rPr>
        <w:tab/>
      </w:r>
      <w:r w:rsidR="001A462E" w:rsidRPr="00777BC3">
        <w:rPr>
          <w:noProof/>
        </w:rPr>
        <w:t>The term of office of the Chairperson and of the Deputy Chairperson shall be four years</w:t>
      </w:r>
      <w:r w:rsidR="001A462E">
        <w:rPr>
          <w:noProof/>
        </w:rPr>
        <w:t xml:space="preserve"> and </w:t>
      </w:r>
      <w:r w:rsidR="001A462E" w:rsidRPr="00777BC3">
        <w:rPr>
          <w:noProof/>
        </w:rPr>
        <w:t>may be renewed once. If, however, their membership of the Management Board ends at any time during their term of office, th</w:t>
      </w:r>
      <w:r w:rsidR="001A462E">
        <w:rPr>
          <w:noProof/>
        </w:rPr>
        <w:t>at</w:t>
      </w:r>
      <w:r w:rsidR="001A462E" w:rsidRPr="00777BC3">
        <w:rPr>
          <w:noProof/>
        </w:rPr>
        <w:t xml:space="preserve"> term of office shall automatically expire on that date.</w:t>
      </w:r>
    </w:p>
    <w:p w14:paraId="6E8D5202" w14:textId="77777777" w:rsidR="001A462E" w:rsidRPr="00777BC3" w:rsidRDefault="001A462E" w:rsidP="001A462E">
      <w:pPr>
        <w:pStyle w:val="Titrearticle"/>
        <w:rPr>
          <w:noProof/>
        </w:rPr>
      </w:pPr>
      <w:r w:rsidRPr="00777BC3">
        <w:rPr>
          <w:noProof/>
        </w:rPr>
        <w:t>Article 27</w:t>
      </w:r>
      <w:r w:rsidRPr="00777BC3">
        <w:rPr>
          <w:noProof/>
        </w:rPr>
        <w:br/>
        <w:t>Meetings of the Management Board</w:t>
      </w:r>
    </w:p>
    <w:p w14:paraId="3E9015A8" w14:textId="526BB9E4" w:rsidR="001A462E" w:rsidRPr="00777BC3" w:rsidRDefault="006D01CD" w:rsidP="006D01CD">
      <w:pPr>
        <w:pStyle w:val="ManualNumPar1"/>
        <w:rPr>
          <w:noProof/>
        </w:rPr>
      </w:pPr>
      <w:r w:rsidRPr="006D01CD">
        <w:rPr>
          <w:noProof/>
        </w:rPr>
        <w:t>1.</w:t>
      </w:r>
      <w:r w:rsidRPr="006D01CD">
        <w:rPr>
          <w:noProof/>
        </w:rPr>
        <w:tab/>
      </w:r>
      <w:r w:rsidR="001A462E" w:rsidRPr="00777BC3">
        <w:rPr>
          <w:noProof/>
        </w:rPr>
        <w:t>The Chairperson shall convene meetings of the Management Board.</w:t>
      </w:r>
    </w:p>
    <w:p w14:paraId="389B9C7B" w14:textId="7D5574B8" w:rsidR="001A462E" w:rsidRPr="00777BC3" w:rsidRDefault="006D01CD" w:rsidP="006D01CD">
      <w:pPr>
        <w:pStyle w:val="ManualNumPar1"/>
        <w:rPr>
          <w:noProof/>
        </w:rPr>
      </w:pPr>
      <w:r w:rsidRPr="006D01CD">
        <w:rPr>
          <w:noProof/>
        </w:rPr>
        <w:t>2.</w:t>
      </w:r>
      <w:r w:rsidRPr="006D01CD">
        <w:rPr>
          <w:noProof/>
        </w:rPr>
        <w:tab/>
      </w:r>
      <w:r w:rsidR="001A462E" w:rsidRPr="00777BC3">
        <w:rPr>
          <w:noProof/>
        </w:rPr>
        <w:t>The Executive Director shall take part in the meetings of the Management Board, without the right to vote.</w:t>
      </w:r>
    </w:p>
    <w:p w14:paraId="44CEFB57" w14:textId="54E8AD84" w:rsidR="001A462E" w:rsidRPr="00777BC3" w:rsidRDefault="006D01CD" w:rsidP="006D01CD">
      <w:pPr>
        <w:pStyle w:val="ManualNumPar1"/>
        <w:rPr>
          <w:noProof/>
        </w:rPr>
      </w:pPr>
      <w:r w:rsidRPr="006D01CD">
        <w:rPr>
          <w:noProof/>
        </w:rPr>
        <w:t>3.</w:t>
      </w:r>
      <w:r w:rsidRPr="006D01CD">
        <w:rPr>
          <w:noProof/>
        </w:rPr>
        <w:tab/>
      </w:r>
      <w:r w:rsidR="001A462E" w:rsidRPr="00777BC3">
        <w:rPr>
          <w:noProof/>
        </w:rPr>
        <w:t>The Management Board shall hold at least two ordinary meetings a year. In addition, it shall meet on the initiative of its Chairperson, at the request of the Commission, or at the request of at least one third of its members.</w:t>
      </w:r>
    </w:p>
    <w:p w14:paraId="538D1E95" w14:textId="1FC147B5" w:rsidR="001A462E" w:rsidRPr="00777BC3" w:rsidRDefault="006D01CD" w:rsidP="006D01CD">
      <w:pPr>
        <w:pStyle w:val="ManualNumPar1"/>
        <w:rPr>
          <w:noProof/>
        </w:rPr>
      </w:pPr>
      <w:r w:rsidRPr="006D01CD">
        <w:rPr>
          <w:noProof/>
        </w:rPr>
        <w:t>4.</w:t>
      </w:r>
      <w:r w:rsidRPr="006D01CD">
        <w:rPr>
          <w:noProof/>
        </w:rPr>
        <w:tab/>
      </w:r>
      <w:r w:rsidR="001A462E" w:rsidRPr="00777BC3">
        <w:rPr>
          <w:noProof/>
        </w:rPr>
        <w:t xml:space="preserve">A representative from the European Cybersecurity Industrial, Technology and Research Competence Centre </w:t>
      </w:r>
      <w:r w:rsidR="001A462E">
        <w:rPr>
          <w:noProof/>
        </w:rPr>
        <w:t xml:space="preserve">established by </w:t>
      </w:r>
      <w:r w:rsidR="001A462E" w:rsidRPr="003F3F8D">
        <w:rPr>
          <w:noProof/>
        </w:rPr>
        <w:t>Regulation (EU) 2021/887</w:t>
      </w:r>
      <w:r w:rsidR="001A462E" w:rsidRPr="00777BC3">
        <w:rPr>
          <w:noProof/>
        </w:rPr>
        <w:t xml:space="preserve"> shall be a permanent observer, without voting rights, </w:t>
      </w:r>
      <w:r w:rsidR="001A462E">
        <w:rPr>
          <w:noProof/>
        </w:rPr>
        <w:t xml:space="preserve">at the meetings of </w:t>
      </w:r>
      <w:r w:rsidR="001A462E" w:rsidRPr="00777BC3">
        <w:rPr>
          <w:noProof/>
        </w:rPr>
        <w:t xml:space="preserve">the Management Board. </w:t>
      </w:r>
    </w:p>
    <w:p w14:paraId="67DB1C22" w14:textId="780981B0" w:rsidR="001A462E" w:rsidRPr="00777BC3" w:rsidRDefault="006D01CD" w:rsidP="006D01CD">
      <w:pPr>
        <w:pStyle w:val="ManualNumPar1"/>
        <w:rPr>
          <w:noProof/>
        </w:rPr>
      </w:pPr>
      <w:r w:rsidRPr="006D01CD">
        <w:rPr>
          <w:noProof/>
        </w:rPr>
        <w:t>5.</w:t>
      </w:r>
      <w:r w:rsidRPr="006D01CD">
        <w:rPr>
          <w:noProof/>
        </w:rPr>
        <w:tab/>
      </w:r>
      <w:r w:rsidR="001A462E" w:rsidRPr="00777BC3">
        <w:rPr>
          <w:noProof/>
        </w:rPr>
        <w:t xml:space="preserve">The Management Board may invite any person whose opinion may be of interest to attend a meeting, or part of a meeting, as an </w:t>
      </w:r>
      <w:r w:rsidR="001A462E" w:rsidRPr="00DC6238">
        <w:rPr>
          <w:i/>
          <w:iCs/>
          <w:noProof/>
        </w:rPr>
        <w:t>ad hoc</w:t>
      </w:r>
      <w:r w:rsidR="001A462E" w:rsidRPr="00777BC3">
        <w:rPr>
          <w:noProof/>
        </w:rPr>
        <w:t xml:space="preserve"> observer, without voting rights and subject to the rules of procedure of the Management Board.</w:t>
      </w:r>
    </w:p>
    <w:p w14:paraId="5BD334AB" w14:textId="26431F03" w:rsidR="001A462E" w:rsidRPr="00777BC3" w:rsidRDefault="006D01CD" w:rsidP="006D01CD">
      <w:pPr>
        <w:pStyle w:val="ManualNumPar1"/>
        <w:rPr>
          <w:noProof/>
        </w:rPr>
      </w:pPr>
      <w:r w:rsidRPr="006D01CD">
        <w:rPr>
          <w:noProof/>
        </w:rPr>
        <w:t>6.</w:t>
      </w:r>
      <w:r w:rsidRPr="006D01CD">
        <w:rPr>
          <w:noProof/>
        </w:rPr>
        <w:tab/>
      </w:r>
      <w:r w:rsidR="001A462E" w:rsidRPr="00777BC3">
        <w:rPr>
          <w:noProof/>
        </w:rPr>
        <w:t>The members of the Management Board and their alternates may be assisted at the meetings of the Management Board by advisers or experts, subject to the rules of procedure of the Management Board.</w:t>
      </w:r>
    </w:p>
    <w:p w14:paraId="509868AD" w14:textId="77777777" w:rsidR="001A462E" w:rsidRPr="00777BC3" w:rsidRDefault="001A462E" w:rsidP="001A462E">
      <w:pPr>
        <w:pStyle w:val="Titrearticle"/>
        <w:rPr>
          <w:noProof/>
        </w:rPr>
      </w:pPr>
      <w:r w:rsidRPr="00777BC3">
        <w:rPr>
          <w:noProof/>
        </w:rPr>
        <w:t>Article 28</w:t>
      </w:r>
      <w:r w:rsidRPr="00777BC3">
        <w:rPr>
          <w:noProof/>
        </w:rPr>
        <w:br/>
        <w:t>Functions of the Management Board</w:t>
      </w:r>
    </w:p>
    <w:p w14:paraId="01F4858D" w14:textId="040DF380" w:rsidR="001A462E" w:rsidRPr="00777BC3" w:rsidRDefault="006D01CD" w:rsidP="006D01CD">
      <w:pPr>
        <w:pStyle w:val="ManualNumPar1"/>
        <w:rPr>
          <w:noProof/>
        </w:rPr>
      </w:pPr>
      <w:r w:rsidRPr="006D01CD">
        <w:rPr>
          <w:noProof/>
        </w:rPr>
        <w:t>1.</w:t>
      </w:r>
      <w:r w:rsidRPr="006D01CD">
        <w:rPr>
          <w:noProof/>
        </w:rPr>
        <w:tab/>
      </w:r>
      <w:r w:rsidR="001A462E" w:rsidRPr="00777BC3">
        <w:rPr>
          <w:noProof/>
        </w:rPr>
        <w:t>The Management Board shall:</w:t>
      </w:r>
    </w:p>
    <w:p w14:paraId="1CB41764" w14:textId="29ECFF61" w:rsidR="001A462E" w:rsidRPr="00777BC3" w:rsidRDefault="006D01CD" w:rsidP="006D01CD">
      <w:pPr>
        <w:pStyle w:val="Point1"/>
        <w:rPr>
          <w:noProof/>
        </w:rPr>
      </w:pPr>
      <w:r w:rsidRPr="006D01CD">
        <w:rPr>
          <w:noProof/>
        </w:rPr>
        <w:t>(a)</w:t>
      </w:r>
      <w:r w:rsidRPr="006D01CD">
        <w:rPr>
          <w:noProof/>
        </w:rPr>
        <w:tab/>
      </w:r>
      <w:r w:rsidR="001A462E" w:rsidRPr="00777BC3">
        <w:rPr>
          <w:noProof/>
        </w:rPr>
        <w:t>establish the general direction of the operation of ENISA and ensure that ENISA operates in accordance with the rules and principles laid down in this Regulation; it shall also ensure the consistency of ENISA’s work with activities conducted by the Member States as well as at Union level;</w:t>
      </w:r>
    </w:p>
    <w:p w14:paraId="43F20E67" w14:textId="61703D50" w:rsidR="001A462E" w:rsidRPr="00777BC3" w:rsidRDefault="006D01CD" w:rsidP="006D01CD">
      <w:pPr>
        <w:pStyle w:val="Point1"/>
        <w:rPr>
          <w:noProof/>
        </w:rPr>
      </w:pPr>
      <w:r w:rsidRPr="006D01CD">
        <w:rPr>
          <w:noProof/>
        </w:rPr>
        <w:t>(b)</w:t>
      </w:r>
      <w:r w:rsidRPr="006D01CD">
        <w:rPr>
          <w:noProof/>
        </w:rPr>
        <w:tab/>
      </w:r>
      <w:r w:rsidR="001A462E" w:rsidRPr="00777BC3">
        <w:rPr>
          <w:noProof/>
        </w:rPr>
        <w:t>adopt ENISA’s draft single programming document referred to in Article 44, before its submission to the Commission for an opinion;</w:t>
      </w:r>
    </w:p>
    <w:p w14:paraId="381F634E" w14:textId="550CA705" w:rsidR="001A462E" w:rsidRPr="00777BC3" w:rsidRDefault="006D01CD" w:rsidP="006D01CD">
      <w:pPr>
        <w:pStyle w:val="Point1"/>
        <w:rPr>
          <w:noProof/>
        </w:rPr>
      </w:pPr>
      <w:r w:rsidRPr="006D01CD">
        <w:rPr>
          <w:noProof/>
        </w:rPr>
        <w:t>(c)</w:t>
      </w:r>
      <w:r w:rsidRPr="006D01CD">
        <w:rPr>
          <w:noProof/>
        </w:rPr>
        <w:tab/>
      </w:r>
      <w:r w:rsidR="001A462E" w:rsidRPr="00777BC3">
        <w:rPr>
          <w:noProof/>
        </w:rPr>
        <w:t>taking into account the opinion of the Commission, adopt ENISA’s single programming document in accordance with Article 29(2)</w:t>
      </w:r>
      <w:r w:rsidR="001A462E">
        <w:rPr>
          <w:noProof/>
        </w:rPr>
        <w:t>, point (a)</w:t>
      </w:r>
      <w:r w:rsidR="001A462E" w:rsidRPr="00777BC3">
        <w:rPr>
          <w:noProof/>
        </w:rPr>
        <w:t>;</w:t>
      </w:r>
    </w:p>
    <w:p w14:paraId="273171AB" w14:textId="182B6D4B" w:rsidR="001A462E" w:rsidRPr="00777BC3" w:rsidRDefault="006D01CD" w:rsidP="006D01CD">
      <w:pPr>
        <w:pStyle w:val="Point1"/>
        <w:rPr>
          <w:noProof/>
        </w:rPr>
      </w:pPr>
      <w:r w:rsidRPr="006D01CD">
        <w:rPr>
          <w:noProof/>
        </w:rPr>
        <w:t>(d)</w:t>
      </w:r>
      <w:r w:rsidRPr="006D01CD">
        <w:rPr>
          <w:noProof/>
        </w:rPr>
        <w:tab/>
      </w:r>
      <w:r w:rsidR="001A462E" w:rsidRPr="00777BC3">
        <w:rPr>
          <w:noProof/>
        </w:rPr>
        <w:t>supervise the implementation of the multiannual and annual programm</w:t>
      </w:r>
      <w:r w:rsidR="001A462E">
        <w:rPr>
          <w:noProof/>
        </w:rPr>
        <w:t>e</w:t>
      </w:r>
      <w:r w:rsidR="001A462E" w:rsidRPr="00777BC3">
        <w:rPr>
          <w:noProof/>
        </w:rPr>
        <w:t xml:space="preserve"> included in the single programming document;</w:t>
      </w:r>
    </w:p>
    <w:p w14:paraId="2EE267CB" w14:textId="328AF6D1" w:rsidR="001A462E" w:rsidRPr="00777BC3" w:rsidRDefault="006D01CD" w:rsidP="006D01CD">
      <w:pPr>
        <w:pStyle w:val="Point1"/>
        <w:rPr>
          <w:noProof/>
        </w:rPr>
      </w:pPr>
      <w:r w:rsidRPr="006D01CD">
        <w:rPr>
          <w:noProof/>
        </w:rPr>
        <w:t>(e)</w:t>
      </w:r>
      <w:r w:rsidRPr="006D01CD">
        <w:rPr>
          <w:noProof/>
        </w:rPr>
        <w:tab/>
      </w:r>
      <w:r w:rsidR="001A462E" w:rsidRPr="00777BC3">
        <w:rPr>
          <w:noProof/>
        </w:rPr>
        <w:t xml:space="preserve">adopt the annual budget of ENISA </w:t>
      </w:r>
      <w:r w:rsidR="001A462E">
        <w:rPr>
          <w:noProof/>
        </w:rPr>
        <w:t xml:space="preserve">in accordance with Article 29(2), point (b), </w:t>
      </w:r>
      <w:r w:rsidR="001A462E" w:rsidRPr="00777BC3">
        <w:rPr>
          <w:noProof/>
        </w:rPr>
        <w:t>and exercise other functions in respect of ENISA’s budget in accordance with Chapter IV;</w:t>
      </w:r>
    </w:p>
    <w:p w14:paraId="3EB492D7" w14:textId="27098047" w:rsidR="001A462E" w:rsidRPr="00777BC3" w:rsidRDefault="006D01CD" w:rsidP="006D01CD">
      <w:pPr>
        <w:pStyle w:val="Point1"/>
        <w:rPr>
          <w:noProof/>
        </w:rPr>
      </w:pPr>
      <w:r w:rsidRPr="006D01CD">
        <w:rPr>
          <w:noProof/>
        </w:rPr>
        <w:t>(f)</w:t>
      </w:r>
      <w:r w:rsidRPr="006D01CD">
        <w:rPr>
          <w:noProof/>
        </w:rPr>
        <w:tab/>
      </w:r>
      <w:r w:rsidR="001A462E" w:rsidRPr="00777BC3">
        <w:rPr>
          <w:noProof/>
        </w:rPr>
        <w:t>assess and adopt the consolidated annual report on ENISA’s activities, including the accounts and a description of how ENISA has met its performance indicators</w:t>
      </w:r>
      <w:r w:rsidR="001A462E">
        <w:rPr>
          <w:noProof/>
        </w:rPr>
        <w:t>;</w:t>
      </w:r>
      <w:r w:rsidR="001A462E" w:rsidRPr="00777BC3">
        <w:rPr>
          <w:noProof/>
        </w:rPr>
        <w:t xml:space="preserve"> submit both the annual report and the assessment thereof by 1 July of the following year to the European Parliament, to the Council, to the Commission and to the </w:t>
      </w:r>
      <w:r w:rsidR="001A462E">
        <w:rPr>
          <w:noProof/>
        </w:rPr>
        <w:t xml:space="preserve">European </w:t>
      </w:r>
      <w:r w:rsidR="001A462E" w:rsidRPr="00777BC3">
        <w:rPr>
          <w:noProof/>
        </w:rPr>
        <w:t>Court of Auditors</w:t>
      </w:r>
      <w:r w:rsidR="001A462E">
        <w:rPr>
          <w:noProof/>
        </w:rPr>
        <w:t>;</w:t>
      </w:r>
      <w:r w:rsidR="001A462E" w:rsidRPr="00777BC3">
        <w:rPr>
          <w:noProof/>
        </w:rPr>
        <w:t xml:space="preserve"> make the annual report public;</w:t>
      </w:r>
    </w:p>
    <w:p w14:paraId="30720F82" w14:textId="25DCE9FE" w:rsidR="001A462E" w:rsidRPr="00777BC3" w:rsidRDefault="006D01CD" w:rsidP="006D01CD">
      <w:pPr>
        <w:pStyle w:val="Point1"/>
        <w:rPr>
          <w:noProof/>
        </w:rPr>
      </w:pPr>
      <w:r w:rsidRPr="006D01CD">
        <w:rPr>
          <w:noProof/>
        </w:rPr>
        <w:t>(g)</w:t>
      </w:r>
      <w:r w:rsidRPr="006D01CD">
        <w:rPr>
          <w:noProof/>
        </w:rPr>
        <w:tab/>
      </w:r>
      <w:r w:rsidR="001A462E" w:rsidRPr="00777BC3">
        <w:rPr>
          <w:noProof/>
        </w:rPr>
        <w:t>adopt the financial rules applicable to ENISA in accordance with Article 50;</w:t>
      </w:r>
    </w:p>
    <w:p w14:paraId="22C9BA0E" w14:textId="71996C4E" w:rsidR="001A462E" w:rsidRPr="00777BC3" w:rsidRDefault="006D01CD" w:rsidP="006D01CD">
      <w:pPr>
        <w:pStyle w:val="Point1"/>
        <w:rPr>
          <w:noProof/>
        </w:rPr>
      </w:pPr>
      <w:r w:rsidRPr="006D01CD">
        <w:rPr>
          <w:noProof/>
        </w:rPr>
        <w:t>(h)</w:t>
      </w:r>
      <w:r w:rsidRPr="006D01CD">
        <w:rPr>
          <w:noProof/>
        </w:rPr>
        <w:tab/>
      </w:r>
      <w:r w:rsidR="001A462E" w:rsidRPr="00777BC3">
        <w:rPr>
          <w:noProof/>
        </w:rPr>
        <w:t>adopt an anti-fraud strategy that is proportionate to the fraud risks, having regard to a cost-benefit analysis of the measures to be implemented;</w:t>
      </w:r>
    </w:p>
    <w:p w14:paraId="2FF37E08" w14:textId="1FBB5ADC" w:rsidR="001A462E" w:rsidRPr="00777BC3" w:rsidRDefault="006D01CD" w:rsidP="006D01CD">
      <w:pPr>
        <w:pStyle w:val="Point1"/>
        <w:rPr>
          <w:noProof/>
        </w:rPr>
      </w:pPr>
      <w:r w:rsidRPr="006D01CD">
        <w:rPr>
          <w:noProof/>
        </w:rPr>
        <w:t>(i)</w:t>
      </w:r>
      <w:r w:rsidRPr="006D01CD">
        <w:rPr>
          <w:noProof/>
        </w:rPr>
        <w:tab/>
      </w:r>
      <w:r w:rsidR="001A462E" w:rsidRPr="00777BC3">
        <w:rPr>
          <w:noProof/>
        </w:rPr>
        <w:t>ensure adequate follow-up to findings and recommendations stemming from internal or external audit reports and evaluations and from investigations of the European Anti-Fraud Office (OLAF) and of the European Public Prosecutor’s Office (EPPO);</w:t>
      </w:r>
    </w:p>
    <w:p w14:paraId="2B36D5AB" w14:textId="1F5BCC5A" w:rsidR="001A462E" w:rsidRPr="00777BC3" w:rsidRDefault="006D01CD" w:rsidP="006D01CD">
      <w:pPr>
        <w:pStyle w:val="Point1"/>
        <w:rPr>
          <w:noProof/>
        </w:rPr>
      </w:pPr>
      <w:r w:rsidRPr="006D01CD">
        <w:rPr>
          <w:noProof/>
        </w:rPr>
        <w:t>(j)</w:t>
      </w:r>
      <w:r w:rsidRPr="006D01CD">
        <w:rPr>
          <w:noProof/>
        </w:rPr>
        <w:tab/>
      </w:r>
      <w:r w:rsidR="001A462E" w:rsidRPr="00777BC3">
        <w:rPr>
          <w:noProof/>
        </w:rPr>
        <w:t>adopt its rules of procedure, including rules for provisional decisions on the delegation of specific tasks, pursuant to Article 30(7);</w:t>
      </w:r>
    </w:p>
    <w:p w14:paraId="71AFD603" w14:textId="76225D22" w:rsidR="001A462E" w:rsidRPr="00777BC3" w:rsidRDefault="006D01CD" w:rsidP="006D01CD">
      <w:pPr>
        <w:pStyle w:val="Point1"/>
        <w:rPr>
          <w:noProof/>
        </w:rPr>
      </w:pPr>
      <w:r w:rsidRPr="006D01CD">
        <w:rPr>
          <w:noProof/>
        </w:rPr>
        <w:t>(k)</w:t>
      </w:r>
      <w:r w:rsidRPr="006D01CD">
        <w:rPr>
          <w:noProof/>
        </w:rPr>
        <w:tab/>
      </w:r>
      <w:r w:rsidR="001A462E" w:rsidRPr="00777BC3">
        <w:rPr>
          <w:noProof/>
        </w:rPr>
        <w:t>exercise, in accordance with paragraph 2 of this Article, with respect to the staff of ENISA, the powers conferred by the Staff Regulations of Officials of the European Union (the ‘Staff Regulations’) and by the Conditions of Employment of Other Servants of the European Union (the ‘Conditions of Employment’), laid down in Council Regulation (EEC, Euratom, ECSC) No 259/68</w:t>
      </w:r>
      <w:r w:rsidR="001A462E">
        <w:rPr>
          <w:rStyle w:val="FootnoteReference"/>
          <w:noProof/>
        </w:rPr>
        <w:footnoteReference w:id="74"/>
      </w:r>
      <w:r w:rsidR="001A462E">
        <w:rPr>
          <w:noProof/>
        </w:rPr>
        <w:t xml:space="preserve">, respectively, </w:t>
      </w:r>
      <w:r w:rsidR="001A462E" w:rsidRPr="00777BC3">
        <w:rPr>
          <w:noProof/>
        </w:rPr>
        <w:t>on the appointing authority</w:t>
      </w:r>
      <w:r w:rsidR="001A462E">
        <w:rPr>
          <w:noProof/>
        </w:rPr>
        <w:t xml:space="preserve"> and </w:t>
      </w:r>
      <w:r w:rsidR="001A462E" w:rsidRPr="00777BC3">
        <w:rPr>
          <w:noProof/>
        </w:rPr>
        <w:t>on the authority empowered to conclude a contract of employment (‘appointing authority powers’);</w:t>
      </w:r>
    </w:p>
    <w:p w14:paraId="01B22994" w14:textId="6139814D" w:rsidR="001A462E" w:rsidRPr="00777BC3" w:rsidRDefault="006D01CD" w:rsidP="006D01CD">
      <w:pPr>
        <w:pStyle w:val="Point1"/>
        <w:rPr>
          <w:noProof/>
        </w:rPr>
      </w:pPr>
      <w:r w:rsidRPr="006D01CD">
        <w:rPr>
          <w:noProof/>
        </w:rPr>
        <w:t>(l)</w:t>
      </w:r>
      <w:r w:rsidRPr="006D01CD">
        <w:rPr>
          <w:noProof/>
        </w:rPr>
        <w:tab/>
      </w:r>
      <w:r w:rsidR="001A462E" w:rsidRPr="00777BC3">
        <w:rPr>
          <w:noProof/>
        </w:rPr>
        <w:t>adopt implementing rules giving effect to the Staff Regulations and the Conditions of Employment in accordance with Article 110(2) of the Staff Regulations;</w:t>
      </w:r>
    </w:p>
    <w:p w14:paraId="2AF1C93D" w14:textId="0ACC788D" w:rsidR="001A462E" w:rsidRPr="00777BC3" w:rsidRDefault="006D01CD" w:rsidP="006D01CD">
      <w:pPr>
        <w:pStyle w:val="Point1"/>
        <w:rPr>
          <w:noProof/>
        </w:rPr>
      </w:pPr>
      <w:r w:rsidRPr="006D01CD">
        <w:rPr>
          <w:noProof/>
        </w:rPr>
        <w:t>(m)</w:t>
      </w:r>
      <w:r w:rsidRPr="006D01CD">
        <w:rPr>
          <w:noProof/>
        </w:rPr>
        <w:tab/>
      </w:r>
      <w:r w:rsidR="001A462E" w:rsidRPr="00777BC3">
        <w:rPr>
          <w:noProof/>
        </w:rPr>
        <w:t xml:space="preserve">appoint the Executive Director and, </w:t>
      </w:r>
      <w:r w:rsidR="001A462E">
        <w:rPr>
          <w:noProof/>
        </w:rPr>
        <w:t>if</w:t>
      </w:r>
      <w:r w:rsidR="001A462E" w:rsidRPr="00777BC3">
        <w:rPr>
          <w:noProof/>
        </w:rPr>
        <w:t xml:space="preserve"> it decides to create the function of a Deputy Executive Director, the Deputy Executive Director, and where relevant extend their term of office or remove them from office in accordance with Article 31;</w:t>
      </w:r>
    </w:p>
    <w:p w14:paraId="18C20507" w14:textId="49638AB1" w:rsidR="001A462E" w:rsidRPr="00777BC3" w:rsidRDefault="006D01CD" w:rsidP="006D01CD">
      <w:pPr>
        <w:pStyle w:val="Point1"/>
        <w:rPr>
          <w:noProof/>
        </w:rPr>
      </w:pPr>
      <w:r w:rsidRPr="006D01CD">
        <w:rPr>
          <w:noProof/>
        </w:rPr>
        <w:t>(n)</w:t>
      </w:r>
      <w:r w:rsidRPr="006D01CD">
        <w:rPr>
          <w:noProof/>
        </w:rPr>
        <w:tab/>
      </w:r>
      <w:r w:rsidR="001A462E" w:rsidRPr="00777BC3">
        <w:rPr>
          <w:noProof/>
        </w:rPr>
        <w:t xml:space="preserve">appoint an accounting officer, subject to the Staff Regulations and the Conditions of Employment, who shall be independent in the performance of </w:t>
      </w:r>
      <w:r w:rsidR="001A462E">
        <w:rPr>
          <w:noProof/>
        </w:rPr>
        <w:t>their</w:t>
      </w:r>
      <w:r w:rsidR="001A462E" w:rsidRPr="00777BC3">
        <w:rPr>
          <w:noProof/>
        </w:rPr>
        <w:t xml:space="preserve"> duties;</w:t>
      </w:r>
    </w:p>
    <w:p w14:paraId="66479C2E" w14:textId="6ACCAF07" w:rsidR="001A462E" w:rsidRPr="00777BC3" w:rsidRDefault="006D01CD" w:rsidP="006D01CD">
      <w:pPr>
        <w:pStyle w:val="Point1"/>
        <w:rPr>
          <w:noProof/>
        </w:rPr>
      </w:pPr>
      <w:r w:rsidRPr="006D01CD">
        <w:rPr>
          <w:noProof/>
        </w:rPr>
        <w:t>(o)</w:t>
      </w:r>
      <w:r w:rsidRPr="006D01CD">
        <w:rPr>
          <w:noProof/>
        </w:rPr>
        <w:tab/>
      </w:r>
      <w:r w:rsidR="001A462E" w:rsidRPr="00777BC3">
        <w:rPr>
          <w:noProof/>
        </w:rPr>
        <w:t>take all decisions concerning the establishment of ENISA’s internal structures and, where necessary, the modification of those internal structures, taking into consideration ENISA’s activity needs and having regard to sound budgetary management;</w:t>
      </w:r>
    </w:p>
    <w:p w14:paraId="643F8B38" w14:textId="10857456" w:rsidR="001A462E" w:rsidRPr="00777BC3" w:rsidRDefault="006D01CD" w:rsidP="006D01CD">
      <w:pPr>
        <w:pStyle w:val="Point1"/>
        <w:rPr>
          <w:noProof/>
        </w:rPr>
      </w:pPr>
      <w:r w:rsidRPr="006D01CD">
        <w:rPr>
          <w:noProof/>
        </w:rPr>
        <w:t>(p)</w:t>
      </w:r>
      <w:r w:rsidRPr="006D01CD">
        <w:rPr>
          <w:noProof/>
        </w:rPr>
        <w:tab/>
      </w:r>
      <w:r w:rsidR="001A462E" w:rsidRPr="00777BC3">
        <w:rPr>
          <w:noProof/>
        </w:rPr>
        <w:t>authorise the conclusion of working arrangements with regard to Article 68;</w:t>
      </w:r>
    </w:p>
    <w:p w14:paraId="74CCBC81" w14:textId="37D564B6" w:rsidR="001A462E" w:rsidRPr="00777BC3" w:rsidRDefault="006D01CD" w:rsidP="006D01CD">
      <w:pPr>
        <w:pStyle w:val="Point1"/>
        <w:rPr>
          <w:noProof/>
        </w:rPr>
      </w:pPr>
      <w:r w:rsidRPr="006D01CD">
        <w:rPr>
          <w:noProof/>
        </w:rPr>
        <w:t>(q)</w:t>
      </w:r>
      <w:r w:rsidRPr="006D01CD">
        <w:rPr>
          <w:noProof/>
        </w:rPr>
        <w:tab/>
      </w:r>
      <w:r w:rsidR="001A462E" w:rsidRPr="00777BC3">
        <w:rPr>
          <w:noProof/>
        </w:rPr>
        <w:t>authorise the conclusion of working arrangements in accordance with Article 70;</w:t>
      </w:r>
    </w:p>
    <w:p w14:paraId="6D68A6E8" w14:textId="2F7BB4D7" w:rsidR="001A462E" w:rsidRPr="00777BC3" w:rsidRDefault="006D01CD" w:rsidP="006D01CD">
      <w:pPr>
        <w:pStyle w:val="Point1"/>
        <w:rPr>
          <w:noProof/>
        </w:rPr>
      </w:pPr>
      <w:r w:rsidRPr="006D01CD">
        <w:rPr>
          <w:noProof/>
        </w:rPr>
        <w:t>(r)</w:t>
      </w:r>
      <w:r w:rsidRPr="006D01CD">
        <w:rPr>
          <w:noProof/>
        </w:rPr>
        <w:tab/>
      </w:r>
      <w:r w:rsidR="001A462E" w:rsidRPr="00777BC3">
        <w:rPr>
          <w:noProof/>
        </w:rPr>
        <w:t>appoint and remove the members of the Board of Appeal in accordance with Article</w:t>
      </w:r>
      <w:r w:rsidR="001A462E">
        <w:rPr>
          <w:noProof/>
        </w:rPr>
        <w:t xml:space="preserve"> 29(2), point (d)</w:t>
      </w:r>
      <w:r w:rsidR="001A462E" w:rsidRPr="00777BC3">
        <w:rPr>
          <w:noProof/>
        </w:rPr>
        <w:t>;</w:t>
      </w:r>
    </w:p>
    <w:p w14:paraId="62D810D5" w14:textId="7A29C51C" w:rsidR="001A462E" w:rsidRPr="00777BC3" w:rsidRDefault="006D01CD" w:rsidP="006D01CD">
      <w:pPr>
        <w:pStyle w:val="Point1"/>
        <w:rPr>
          <w:noProof/>
        </w:rPr>
      </w:pPr>
      <w:r w:rsidRPr="006D01CD">
        <w:rPr>
          <w:noProof/>
        </w:rPr>
        <w:t>(s)</w:t>
      </w:r>
      <w:r w:rsidRPr="006D01CD">
        <w:rPr>
          <w:noProof/>
        </w:rPr>
        <w:tab/>
      </w:r>
      <w:r w:rsidR="001A462E" w:rsidRPr="00777BC3">
        <w:rPr>
          <w:noProof/>
        </w:rPr>
        <w:t>adopt rules for the prevention and management of conflicts of interest in respect of the members of the Board of Appeal.</w:t>
      </w:r>
    </w:p>
    <w:p w14:paraId="160AB3A4" w14:textId="4B6198A5" w:rsidR="001A462E" w:rsidRPr="00777BC3" w:rsidRDefault="006D01CD" w:rsidP="006D01CD">
      <w:pPr>
        <w:pStyle w:val="ManualNumPar1"/>
        <w:rPr>
          <w:noProof/>
        </w:rPr>
      </w:pPr>
      <w:r w:rsidRPr="006D01CD">
        <w:rPr>
          <w:noProof/>
        </w:rPr>
        <w:t>2.</w:t>
      </w:r>
      <w:r w:rsidRPr="006D01CD">
        <w:rPr>
          <w:noProof/>
        </w:rPr>
        <w:tab/>
      </w:r>
      <w:r w:rsidR="001A462E" w:rsidRPr="00777BC3">
        <w:rPr>
          <w:noProof/>
        </w:rPr>
        <w:t>In accordance with Article 110(2) of the Staff Regulations, the Management Board shall adopt a decision based on Article 2(1) of the Staff Regulations and Article 6 of the Conditions of Employment, delegating the relevant appointing authority powers to the Executive Director and defining the conditions under which th</w:t>
      </w:r>
      <w:r w:rsidR="001A462E">
        <w:rPr>
          <w:noProof/>
        </w:rPr>
        <w:t>at</w:t>
      </w:r>
      <w:r w:rsidR="001A462E" w:rsidRPr="00777BC3">
        <w:rPr>
          <w:noProof/>
        </w:rPr>
        <w:t xml:space="preserve"> delegation of powers can be suspended. The Executive Director may sub-delegate those powers.</w:t>
      </w:r>
    </w:p>
    <w:p w14:paraId="339A6283" w14:textId="262743D2" w:rsidR="001A462E" w:rsidRPr="00777BC3" w:rsidRDefault="006D01CD" w:rsidP="006D01CD">
      <w:pPr>
        <w:pStyle w:val="ManualNumPar1"/>
        <w:rPr>
          <w:noProof/>
        </w:rPr>
      </w:pPr>
      <w:r w:rsidRPr="006D01CD">
        <w:rPr>
          <w:noProof/>
        </w:rPr>
        <w:t>3.</w:t>
      </w:r>
      <w:r w:rsidRPr="006D01CD">
        <w:rPr>
          <w:noProof/>
        </w:rPr>
        <w:tab/>
      </w:r>
      <w:r w:rsidR="001A462E" w:rsidRPr="00777BC3">
        <w:rPr>
          <w:noProof/>
        </w:rPr>
        <w:t>Where exceptional circumstances so require, the Management Board may adopt a decision to temporarily suspend the delegation of appointing authority powers to the Executive Director and any appointing authority powers sub-delegated by the Executive Director and instead exercise them itself or delegate them to one of its members or to a staff member other than the Executive Director.</w:t>
      </w:r>
    </w:p>
    <w:p w14:paraId="44C1FD74" w14:textId="77777777" w:rsidR="001A462E" w:rsidRPr="00777BC3" w:rsidRDefault="001A462E" w:rsidP="001A462E">
      <w:pPr>
        <w:pStyle w:val="Titrearticle"/>
        <w:rPr>
          <w:noProof/>
        </w:rPr>
      </w:pPr>
      <w:r w:rsidRPr="00777BC3">
        <w:rPr>
          <w:noProof/>
        </w:rPr>
        <w:t>Article 29</w:t>
      </w:r>
      <w:r w:rsidRPr="00777BC3">
        <w:rPr>
          <w:noProof/>
        </w:rPr>
        <w:br/>
        <w:t>Voting rules of the Management Board</w:t>
      </w:r>
    </w:p>
    <w:p w14:paraId="61251804" w14:textId="6EDCC2BA" w:rsidR="001A462E" w:rsidRPr="00777BC3" w:rsidRDefault="006D01CD" w:rsidP="006D01CD">
      <w:pPr>
        <w:pStyle w:val="ManualNumPar1"/>
        <w:rPr>
          <w:noProof/>
        </w:rPr>
      </w:pPr>
      <w:r w:rsidRPr="006D01CD">
        <w:rPr>
          <w:noProof/>
        </w:rPr>
        <w:t>1.</w:t>
      </w:r>
      <w:r w:rsidRPr="006D01CD">
        <w:rPr>
          <w:noProof/>
        </w:rPr>
        <w:tab/>
      </w:r>
      <w:r w:rsidR="001A462E" w:rsidRPr="00777BC3">
        <w:rPr>
          <w:noProof/>
        </w:rPr>
        <w:t xml:space="preserve">The Management Board shall </w:t>
      </w:r>
      <w:r w:rsidR="001A462E">
        <w:rPr>
          <w:noProof/>
        </w:rPr>
        <w:t>adopt</w:t>
      </w:r>
      <w:r w:rsidR="001A462E" w:rsidRPr="00777BC3">
        <w:rPr>
          <w:noProof/>
        </w:rPr>
        <w:t xml:space="preserve"> its decisions by an absolute majority of its members with voting rights, except if </w:t>
      </w:r>
      <w:r w:rsidR="001A462E">
        <w:rPr>
          <w:noProof/>
        </w:rPr>
        <w:t>otherwise</w:t>
      </w:r>
      <w:r w:rsidR="001A462E" w:rsidRPr="00777BC3">
        <w:rPr>
          <w:noProof/>
        </w:rPr>
        <w:t xml:space="preserve"> provided in this Regulation.</w:t>
      </w:r>
    </w:p>
    <w:p w14:paraId="6717393A" w14:textId="08458A71" w:rsidR="001A462E" w:rsidRDefault="006D01CD" w:rsidP="006D01CD">
      <w:pPr>
        <w:pStyle w:val="ManualNumPar1"/>
        <w:rPr>
          <w:noProof/>
        </w:rPr>
      </w:pPr>
      <w:r w:rsidRPr="006D01CD">
        <w:rPr>
          <w:noProof/>
        </w:rPr>
        <w:t>2.</w:t>
      </w:r>
      <w:r w:rsidRPr="006D01CD">
        <w:rPr>
          <w:noProof/>
        </w:rPr>
        <w:tab/>
      </w:r>
      <w:r w:rsidR="001A462E" w:rsidRPr="00777BC3">
        <w:rPr>
          <w:noProof/>
        </w:rPr>
        <w:t>A majority of two</w:t>
      </w:r>
      <w:r w:rsidR="001A462E">
        <w:rPr>
          <w:noProof/>
        </w:rPr>
        <w:t xml:space="preserve"> </w:t>
      </w:r>
      <w:r w:rsidR="001A462E" w:rsidRPr="00777BC3">
        <w:rPr>
          <w:noProof/>
        </w:rPr>
        <w:t>thirds of the members of the Management Board with voting rights shall be required for</w:t>
      </w:r>
      <w:r w:rsidR="001A462E">
        <w:rPr>
          <w:noProof/>
        </w:rPr>
        <w:t>:</w:t>
      </w:r>
    </w:p>
    <w:p w14:paraId="00FB55DE" w14:textId="761B16C5" w:rsidR="001A462E" w:rsidRDefault="006D01CD" w:rsidP="006D01CD">
      <w:pPr>
        <w:pStyle w:val="Point1"/>
        <w:rPr>
          <w:noProof/>
        </w:rPr>
      </w:pPr>
      <w:r w:rsidRPr="006D01CD">
        <w:rPr>
          <w:noProof/>
        </w:rPr>
        <w:t>(a)</w:t>
      </w:r>
      <w:r w:rsidRPr="006D01CD">
        <w:rPr>
          <w:noProof/>
        </w:rPr>
        <w:tab/>
      </w:r>
      <w:r w:rsidR="001A462E" w:rsidRPr="00777BC3">
        <w:rPr>
          <w:noProof/>
        </w:rPr>
        <w:t xml:space="preserve">the adoption of the single programming document </w:t>
      </w:r>
      <w:r w:rsidR="001A462E">
        <w:rPr>
          <w:noProof/>
        </w:rPr>
        <w:t>referred to in Article</w:t>
      </w:r>
      <w:r w:rsidR="001A462E" w:rsidRPr="00777BC3">
        <w:rPr>
          <w:noProof/>
        </w:rPr>
        <w:t xml:space="preserve"> </w:t>
      </w:r>
      <w:r w:rsidR="001A462E">
        <w:rPr>
          <w:noProof/>
        </w:rPr>
        <w:t>28(1)(c);</w:t>
      </w:r>
    </w:p>
    <w:p w14:paraId="4519D96D" w14:textId="2CB9FC91" w:rsidR="001A462E" w:rsidRDefault="006D01CD" w:rsidP="006D01CD">
      <w:pPr>
        <w:pStyle w:val="Point1"/>
        <w:rPr>
          <w:noProof/>
        </w:rPr>
      </w:pPr>
      <w:r w:rsidRPr="006D01CD">
        <w:rPr>
          <w:noProof/>
        </w:rPr>
        <w:t>(b)</w:t>
      </w:r>
      <w:r w:rsidRPr="006D01CD">
        <w:rPr>
          <w:noProof/>
        </w:rPr>
        <w:tab/>
      </w:r>
      <w:r w:rsidR="001A462E">
        <w:rPr>
          <w:noProof/>
        </w:rPr>
        <w:t xml:space="preserve"> the adoption of</w:t>
      </w:r>
      <w:r w:rsidR="001A462E" w:rsidRPr="00777BC3">
        <w:rPr>
          <w:noProof/>
        </w:rPr>
        <w:t xml:space="preserve"> the annual budget </w:t>
      </w:r>
      <w:r w:rsidR="001A462E">
        <w:rPr>
          <w:noProof/>
        </w:rPr>
        <w:t>referred to in Article 28(1)(e);</w:t>
      </w:r>
    </w:p>
    <w:p w14:paraId="0BB6F1C9" w14:textId="52B60A67" w:rsidR="0074565D" w:rsidRDefault="006D01CD" w:rsidP="006D01CD">
      <w:pPr>
        <w:pStyle w:val="Point1"/>
        <w:rPr>
          <w:noProof/>
        </w:rPr>
      </w:pPr>
      <w:r w:rsidRPr="006D01CD">
        <w:rPr>
          <w:noProof/>
        </w:rPr>
        <w:t>(c)</w:t>
      </w:r>
      <w:r w:rsidRPr="006D01CD">
        <w:rPr>
          <w:noProof/>
        </w:rPr>
        <w:tab/>
      </w:r>
      <w:r w:rsidR="001A462E" w:rsidRPr="00777BC3">
        <w:rPr>
          <w:noProof/>
        </w:rPr>
        <w:t xml:space="preserve"> the appointment, extension of the term of office or removal of the Executive Director and of the Deputy Executive Director</w:t>
      </w:r>
      <w:r w:rsidR="001A462E">
        <w:rPr>
          <w:noProof/>
        </w:rPr>
        <w:t>, as referred to in Articles 31 and 33;</w:t>
      </w:r>
    </w:p>
    <w:p w14:paraId="04665A08" w14:textId="661BC734" w:rsidR="001A462E" w:rsidRPr="00777BC3" w:rsidRDefault="006D01CD" w:rsidP="006D01CD">
      <w:pPr>
        <w:pStyle w:val="Point1"/>
        <w:rPr>
          <w:noProof/>
        </w:rPr>
      </w:pPr>
      <w:r w:rsidRPr="006D01CD">
        <w:rPr>
          <w:noProof/>
        </w:rPr>
        <w:t>(d)</w:t>
      </w:r>
      <w:r w:rsidRPr="006D01CD">
        <w:rPr>
          <w:noProof/>
        </w:rPr>
        <w:tab/>
      </w:r>
      <w:r w:rsidR="001A462E">
        <w:rPr>
          <w:noProof/>
        </w:rPr>
        <w:t>the appointment and removal of the members of the Board of Appeal, as referred to in Article 36</w:t>
      </w:r>
      <w:r w:rsidR="001A462E" w:rsidRPr="00777BC3">
        <w:rPr>
          <w:noProof/>
        </w:rPr>
        <w:t>.</w:t>
      </w:r>
    </w:p>
    <w:p w14:paraId="6598863F" w14:textId="5D1E1516" w:rsidR="001A462E" w:rsidRPr="00777BC3" w:rsidRDefault="006D01CD" w:rsidP="006D01CD">
      <w:pPr>
        <w:pStyle w:val="ManualNumPar1"/>
        <w:rPr>
          <w:noProof/>
        </w:rPr>
      </w:pPr>
      <w:r w:rsidRPr="006D01CD">
        <w:rPr>
          <w:noProof/>
        </w:rPr>
        <w:t>3.</w:t>
      </w:r>
      <w:r w:rsidRPr="006D01CD">
        <w:rPr>
          <w:noProof/>
        </w:rPr>
        <w:tab/>
      </w:r>
      <w:r w:rsidR="001A462E">
        <w:rPr>
          <w:noProof/>
        </w:rPr>
        <w:t>D</w:t>
      </w:r>
      <w:r w:rsidR="001A462E" w:rsidRPr="00777BC3">
        <w:rPr>
          <w:noProof/>
        </w:rPr>
        <w:t xml:space="preserve">ecisions on budgetary or human resources matters, in particular matters referred to in Article 28(1), points (c), (e), (f), (g), (h), (i), (k), (l), (m), (n), </w:t>
      </w:r>
      <w:r w:rsidR="001A462E">
        <w:rPr>
          <w:noProof/>
        </w:rPr>
        <w:t>shall</w:t>
      </w:r>
      <w:r w:rsidR="001A462E" w:rsidRPr="00777BC3">
        <w:rPr>
          <w:noProof/>
        </w:rPr>
        <w:t xml:space="preserve"> only be </w:t>
      </w:r>
      <w:r w:rsidR="001A462E">
        <w:rPr>
          <w:noProof/>
        </w:rPr>
        <w:t xml:space="preserve">adopted </w:t>
      </w:r>
      <w:r w:rsidR="001A462E" w:rsidRPr="00777BC3">
        <w:rPr>
          <w:noProof/>
        </w:rPr>
        <w:t>if the representative</w:t>
      </w:r>
      <w:r w:rsidR="001A462E">
        <w:rPr>
          <w:noProof/>
        </w:rPr>
        <w:t>s</w:t>
      </w:r>
      <w:r w:rsidR="001A462E" w:rsidRPr="00777BC3">
        <w:rPr>
          <w:noProof/>
        </w:rPr>
        <w:t xml:space="preserve"> of the Commission cast a positive vote. For the purposes of </w:t>
      </w:r>
      <w:r w:rsidR="001A462E">
        <w:rPr>
          <w:noProof/>
        </w:rPr>
        <w:t>adopting</w:t>
      </w:r>
      <w:r w:rsidR="001A462E" w:rsidRPr="00777BC3">
        <w:rPr>
          <w:noProof/>
        </w:rPr>
        <w:t xml:space="preserve"> the decisions referred to in Article 28(1), point (c)</w:t>
      </w:r>
      <w:r w:rsidR="001A462E">
        <w:rPr>
          <w:noProof/>
        </w:rPr>
        <w:t xml:space="preserve"> regarding ENISA’s single programming document</w:t>
      </w:r>
      <w:r w:rsidR="001A462E" w:rsidRPr="00777BC3">
        <w:rPr>
          <w:noProof/>
        </w:rPr>
        <w:t>, a positive vote of the representative of the Commission shall only be required on the elements of the decision not related to the annual and multiannual work programme of ENISA.</w:t>
      </w:r>
    </w:p>
    <w:p w14:paraId="27631892" w14:textId="42AF60B7" w:rsidR="001A462E" w:rsidRPr="00777BC3" w:rsidRDefault="006D01CD" w:rsidP="006D01CD">
      <w:pPr>
        <w:pStyle w:val="ManualNumPar1"/>
        <w:rPr>
          <w:noProof/>
        </w:rPr>
      </w:pPr>
      <w:r w:rsidRPr="006D01CD">
        <w:rPr>
          <w:noProof/>
        </w:rPr>
        <w:t>4.</w:t>
      </w:r>
      <w:r w:rsidRPr="006D01CD">
        <w:rPr>
          <w:noProof/>
        </w:rPr>
        <w:tab/>
      </w:r>
      <w:r w:rsidR="001A462E" w:rsidRPr="00777BC3">
        <w:rPr>
          <w:noProof/>
        </w:rPr>
        <w:t xml:space="preserve">Each member with voting rights shall have one vote. In the absence of a member with the right to vote, </w:t>
      </w:r>
      <w:r w:rsidR="001A462E">
        <w:rPr>
          <w:noProof/>
        </w:rPr>
        <w:t>their</w:t>
      </w:r>
      <w:r w:rsidR="001A462E" w:rsidRPr="00777BC3">
        <w:rPr>
          <w:noProof/>
        </w:rPr>
        <w:t xml:space="preserve"> alternate shall be entitled to exercise the member’s right to vote.</w:t>
      </w:r>
    </w:p>
    <w:p w14:paraId="1FB27248" w14:textId="4907936C" w:rsidR="001A462E" w:rsidRPr="00777BC3" w:rsidRDefault="006D01CD" w:rsidP="006D01CD">
      <w:pPr>
        <w:pStyle w:val="ManualNumPar1"/>
        <w:rPr>
          <w:noProof/>
        </w:rPr>
      </w:pPr>
      <w:r w:rsidRPr="006D01CD">
        <w:rPr>
          <w:noProof/>
        </w:rPr>
        <w:t>5.</w:t>
      </w:r>
      <w:r w:rsidRPr="006D01CD">
        <w:rPr>
          <w:noProof/>
        </w:rPr>
        <w:tab/>
      </w:r>
      <w:r w:rsidR="001A462E" w:rsidRPr="00777BC3">
        <w:rPr>
          <w:noProof/>
        </w:rPr>
        <w:t>The Chairperson of the Management Board shall take part in the voting.</w:t>
      </w:r>
    </w:p>
    <w:p w14:paraId="1BD6F472" w14:textId="2E63E2FB" w:rsidR="001A462E" w:rsidRPr="00777BC3" w:rsidRDefault="006D01CD" w:rsidP="006D01CD">
      <w:pPr>
        <w:pStyle w:val="ManualNumPar1"/>
        <w:rPr>
          <w:noProof/>
        </w:rPr>
      </w:pPr>
      <w:r w:rsidRPr="006D01CD">
        <w:rPr>
          <w:noProof/>
        </w:rPr>
        <w:t>6.</w:t>
      </w:r>
      <w:r w:rsidRPr="006D01CD">
        <w:rPr>
          <w:noProof/>
        </w:rPr>
        <w:tab/>
      </w:r>
      <w:r w:rsidR="001A462E" w:rsidRPr="00777BC3">
        <w:rPr>
          <w:noProof/>
        </w:rPr>
        <w:t>The Executive Director shall not take part in the voting.</w:t>
      </w:r>
    </w:p>
    <w:p w14:paraId="206C8D69" w14:textId="37ED8714" w:rsidR="001A462E" w:rsidRPr="00777BC3" w:rsidRDefault="006D01CD" w:rsidP="006D01CD">
      <w:pPr>
        <w:pStyle w:val="ManualNumPar1"/>
        <w:rPr>
          <w:noProof/>
        </w:rPr>
      </w:pPr>
      <w:r w:rsidRPr="006D01CD">
        <w:rPr>
          <w:noProof/>
        </w:rPr>
        <w:t>7.</w:t>
      </w:r>
      <w:r w:rsidRPr="006D01CD">
        <w:rPr>
          <w:noProof/>
        </w:rPr>
        <w:tab/>
      </w:r>
      <w:r w:rsidR="001A462E" w:rsidRPr="00777BC3">
        <w:rPr>
          <w:noProof/>
        </w:rPr>
        <w:t>The Management Board’s rules of procedure shall establish more detailed voting arrangements, in particular the circumstances in which a member may act on behalf of another member.</w:t>
      </w:r>
    </w:p>
    <w:p w14:paraId="7F79C05E" w14:textId="77777777" w:rsidR="001A462E" w:rsidRPr="00777BC3" w:rsidRDefault="001A462E" w:rsidP="001A462E">
      <w:pPr>
        <w:jc w:val="center"/>
        <w:rPr>
          <w:b/>
          <w:bCs/>
          <w:noProof/>
        </w:rPr>
      </w:pPr>
      <w:r w:rsidRPr="00777BC3">
        <w:rPr>
          <w:b/>
          <w:bCs/>
          <w:noProof/>
        </w:rPr>
        <w:t>Section 2</w:t>
      </w:r>
      <w:r w:rsidRPr="00777BC3">
        <w:rPr>
          <w:b/>
          <w:bCs/>
          <w:noProof/>
        </w:rPr>
        <w:br/>
        <w:t>Executive Board</w:t>
      </w:r>
    </w:p>
    <w:p w14:paraId="7CD5E46F" w14:textId="77777777" w:rsidR="001A462E" w:rsidRPr="00777BC3" w:rsidRDefault="001A462E" w:rsidP="001A462E">
      <w:pPr>
        <w:pStyle w:val="Titrearticle"/>
        <w:rPr>
          <w:noProof/>
        </w:rPr>
      </w:pPr>
      <w:r w:rsidRPr="00777BC3">
        <w:rPr>
          <w:noProof/>
        </w:rPr>
        <w:t>Article 30</w:t>
      </w:r>
      <w:r w:rsidRPr="00777BC3">
        <w:rPr>
          <w:noProof/>
        </w:rPr>
        <w:br/>
        <w:t>Executive Board</w:t>
      </w:r>
    </w:p>
    <w:p w14:paraId="34A97421" w14:textId="0B96EC22" w:rsidR="001A462E" w:rsidRPr="00777BC3" w:rsidRDefault="006D01CD" w:rsidP="006D01CD">
      <w:pPr>
        <w:pStyle w:val="ManualNumPar1"/>
        <w:rPr>
          <w:noProof/>
        </w:rPr>
      </w:pPr>
      <w:r w:rsidRPr="006D01CD">
        <w:rPr>
          <w:noProof/>
        </w:rPr>
        <w:t>1.</w:t>
      </w:r>
      <w:r w:rsidRPr="006D01CD">
        <w:rPr>
          <w:noProof/>
        </w:rPr>
        <w:tab/>
      </w:r>
      <w:r w:rsidR="001A462E" w:rsidRPr="00777BC3">
        <w:rPr>
          <w:noProof/>
        </w:rPr>
        <w:t>The Management Board shall be assisted by an Executive Board.</w:t>
      </w:r>
    </w:p>
    <w:p w14:paraId="63D8EEED" w14:textId="6D059E4D" w:rsidR="001A462E" w:rsidRPr="00777BC3" w:rsidRDefault="006D01CD" w:rsidP="006D01CD">
      <w:pPr>
        <w:pStyle w:val="ManualNumPar1"/>
        <w:rPr>
          <w:noProof/>
        </w:rPr>
      </w:pPr>
      <w:r w:rsidRPr="006D01CD">
        <w:rPr>
          <w:noProof/>
        </w:rPr>
        <w:t>2.</w:t>
      </w:r>
      <w:r w:rsidRPr="006D01CD">
        <w:rPr>
          <w:noProof/>
        </w:rPr>
        <w:tab/>
      </w:r>
      <w:r w:rsidR="001A462E" w:rsidRPr="00777BC3">
        <w:rPr>
          <w:noProof/>
        </w:rPr>
        <w:t>The Executive Board shall:</w:t>
      </w:r>
    </w:p>
    <w:p w14:paraId="1452EB3E" w14:textId="0448843C" w:rsidR="001A462E" w:rsidRPr="00777BC3" w:rsidRDefault="006D01CD" w:rsidP="006D01CD">
      <w:pPr>
        <w:pStyle w:val="Point1"/>
        <w:rPr>
          <w:noProof/>
        </w:rPr>
      </w:pPr>
      <w:r w:rsidRPr="006D01CD">
        <w:rPr>
          <w:noProof/>
        </w:rPr>
        <w:t>(a)</w:t>
      </w:r>
      <w:r w:rsidRPr="006D01CD">
        <w:rPr>
          <w:noProof/>
        </w:rPr>
        <w:tab/>
      </w:r>
      <w:r w:rsidR="001A462E" w:rsidRPr="00777BC3">
        <w:rPr>
          <w:noProof/>
        </w:rPr>
        <w:t>prepare decisions to be adopted by the Management Board;</w:t>
      </w:r>
    </w:p>
    <w:p w14:paraId="4C1767A3" w14:textId="18B574A4" w:rsidR="001A462E" w:rsidRPr="00777BC3" w:rsidRDefault="006D01CD" w:rsidP="006D01CD">
      <w:pPr>
        <w:pStyle w:val="Point1"/>
        <w:rPr>
          <w:noProof/>
        </w:rPr>
      </w:pPr>
      <w:r w:rsidRPr="006D01CD">
        <w:rPr>
          <w:noProof/>
        </w:rPr>
        <w:t>(b)</w:t>
      </w:r>
      <w:r w:rsidRPr="006D01CD">
        <w:rPr>
          <w:noProof/>
        </w:rPr>
        <w:tab/>
      </w:r>
      <w:r w:rsidR="001A462E" w:rsidRPr="00777BC3">
        <w:rPr>
          <w:noProof/>
        </w:rPr>
        <w:t>together with the Management Board, ensure the adequate follow-up to findings and recommendations stemming from internal or external audit reports and evaluations, as well as from investigations of OLAF and the EPPO;</w:t>
      </w:r>
    </w:p>
    <w:p w14:paraId="38EFC84F" w14:textId="7E081FB6" w:rsidR="001A462E" w:rsidRPr="00777BC3" w:rsidRDefault="006D01CD" w:rsidP="006D01CD">
      <w:pPr>
        <w:pStyle w:val="Point1"/>
        <w:rPr>
          <w:noProof/>
        </w:rPr>
      </w:pPr>
      <w:r w:rsidRPr="006D01CD">
        <w:rPr>
          <w:noProof/>
        </w:rPr>
        <w:t>(c)</w:t>
      </w:r>
      <w:r w:rsidRPr="006D01CD">
        <w:rPr>
          <w:noProof/>
        </w:rPr>
        <w:tab/>
      </w:r>
      <w:r w:rsidR="001A462E" w:rsidRPr="00777BC3">
        <w:rPr>
          <w:noProof/>
        </w:rPr>
        <w:t>without prejudice to the responsibilities of the Executive Director set out in Article 32, assist and advise the Executive Director in implement</w:t>
      </w:r>
      <w:r w:rsidR="001A462E">
        <w:rPr>
          <w:noProof/>
        </w:rPr>
        <w:t>ing</w:t>
      </w:r>
      <w:r w:rsidR="001A462E" w:rsidRPr="00777BC3">
        <w:rPr>
          <w:noProof/>
        </w:rPr>
        <w:t xml:space="preserve"> the decisions of the Management Board, with a view to reinforcing supervision of administrative and budgetary management.</w:t>
      </w:r>
    </w:p>
    <w:p w14:paraId="61E44E59" w14:textId="3F50137B" w:rsidR="001A462E" w:rsidRPr="00777BC3" w:rsidRDefault="006D01CD" w:rsidP="006D01CD">
      <w:pPr>
        <w:pStyle w:val="ManualNumPar1"/>
        <w:rPr>
          <w:noProof/>
        </w:rPr>
      </w:pPr>
      <w:r w:rsidRPr="006D01CD">
        <w:rPr>
          <w:noProof/>
        </w:rPr>
        <w:t>3.</w:t>
      </w:r>
      <w:r w:rsidRPr="006D01CD">
        <w:rPr>
          <w:noProof/>
        </w:rPr>
        <w:tab/>
      </w:r>
      <w:r w:rsidR="001A462E" w:rsidRPr="00777BC3">
        <w:rPr>
          <w:noProof/>
        </w:rPr>
        <w:t>The Executive Board shall be composed of the Chairperson of the Management Board, one representative of the Commission to the Management Board, and three other members appointed by the Management Board from among its members with the right to vote. The Chairperson of the Management Board shall also be the Chairperson of the Executive Board. The appointments of the members of the Executive Board shall aim to ensure gender balance on the Executive Board. The Executive Director shall take part in the meetings of the Executive Board without the right to vote.</w:t>
      </w:r>
    </w:p>
    <w:p w14:paraId="0E9E8965" w14:textId="0F86BEBD" w:rsidR="001A462E" w:rsidRPr="00777BC3" w:rsidRDefault="006D01CD" w:rsidP="006D01CD">
      <w:pPr>
        <w:pStyle w:val="ManualNumPar1"/>
        <w:rPr>
          <w:noProof/>
        </w:rPr>
      </w:pPr>
      <w:r w:rsidRPr="006D01CD">
        <w:rPr>
          <w:noProof/>
        </w:rPr>
        <w:t>4.</w:t>
      </w:r>
      <w:r w:rsidRPr="006D01CD">
        <w:rPr>
          <w:noProof/>
        </w:rPr>
        <w:tab/>
      </w:r>
      <w:r w:rsidR="001A462E" w:rsidRPr="00777BC3">
        <w:rPr>
          <w:noProof/>
        </w:rPr>
        <w:t>The term of office of the members of the Executive Board shall be four years. That term shall be renewable. The term of office of members of the Executive Board shall end when their membership of the Management Board ends.</w:t>
      </w:r>
    </w:p>
    <w:p w14:paraId="7309B218" w14:textId="6B46A076" w:rsidR="001A462E" w:rsidRPr="00777BC3" w:rsidRDefault="006D01CD" w:rsidP="006D01CD">
      <w:pPr>
        <w:pStyle w:val="ManualNumPar1"/>
        <w:rPr>
          <w:noProof/>
        </w:rPr>
      </w:pPr>
      <w:r w:rsidRPr="006D01CD">
        <w:rPr>
          <w:noProof/>
        </w:rPr>
        <w:t>5.</w:t>
      </w:r>
      <w:r w:rsidRPr="006D01CD">
        <w:rPr>
          <w:noProof/>
        </w:rPr>
        <w:tab/>
      </w:r>
      <w:r w:rsidR="001A462E" w:rsidRPr="00777BC3">
        <w:rPr>
          <w:noProof/>
        </w:rPr>
        <w:t>The Executive Board shall hold at least one ordinary meeting every three months. In addition, it shall meet on the initiative of its Chairperson or at the request of its members.</w:t>
      </w:r>
    </w:p>
    <w:p w14:paraId="56022AB8" w14:textId="2187A160" w:rsidR="001A462E" w:rsidRPr="00777BC3" w:rsidRDefault="006D01CD" w:rsidP="006D01CD">
      <w:pPr>
        <w:pStyle w:val="ManualNumPar1"/>
        <w:rPr>
          <w:noProof/>
        </w:rPr>
      </w:pPr>
      <w:r w:rsidRPr="006D01CD">
        <w:rPr>
          <w:noProof/>
        </w:rPr>
        <w:t>6.</w:t>
      </w:r>
      <w:r w:rsidRPr="006D01CD">
        <w:rPr>
          <w:noProof/>
        </w:rPr>
        <w:tab/>
      </w:r>
      <w:r w:rsidR="001A462E" w:rsidRPr="00777BC3">
        <w:rPr>
          <w:noProof/>
        </w:rPr>
        <w:t>The Management Board shall lay down the rules of procedure of the Executive Board.</w:t>
      </w:r>
    </w:p>
    <w:p w14:paraId="2C2DB32E" w14:textId="2AD0A646" w:rsidR="001A462E" w:rsidRPr="00777BC3" w:rsidRDefault="006D01CD" w:rsidP="006D01CD">
      <w:pPr>
        <w:pStyle w:val="ManualNumPar1"/>
        <w:rPr>
          <w:noProof/>
        </w:rPr>
      </w:pPr>
      <w:r w:rsidRPr="006D01CD">
        <w:rPr>
          <w:noProof/>
        </w:rPr>
        <w:t>7.</w:t>
      </w:r>
      <w:r w:rsidRPr="006D01CD">
        <w:rPr>
          <w:noProof/>
        </w:rPr>
        <w:tab/>
      </w:r>
      <w:r w:rsidR="001A462E" w:rsidRPr="00777BC3">
        <w:rPr>
          <w:noProof/>
        </w:rPr>
        <w:t>When necessary due to urgency, the Executive Board may take certain provisional decisions on behalf of the Management Board, in particular on administrative management matters, including the suspension of the delegation of the appointing authority powers and budgetary matters. Any such provisional decisions shall be notified to the Management Board without undue delay. The Management Board shall then decide whether to approve or reject the provisional decision no later than three months after th</w:t>
      </w:r>
      <w:r w:rsidR="001A462E">
        <w:rPr>
          <w:noProof/>
        </w:rPr>
        <w:t>at</w:t>
      </w:r>
      <w:r w:rsidR="001A462E" w:rsidRPr="00777BC3">
        <w:rPr>
          <w:noProof/>
        </w:rPr>
        <w:t xml:space="preserve"> decision was taken. The Executive Board shall not take decisions on behalf of the Management Board that require the approval of a majority of two</w:t>
      </w:r>
      <w:r w:rsidR="001A462E">
        <w:rPr>
          <w:noProof/>
        </w:rPr>
        <w:t xml:space="preserve"> </w:t>
      </w:r>
      <w:r w:rsidR="001A462E" w:rsidRPr="00777BC3">
        <w:rPr>
          <w:noProof/>
        </w:rPr>
        <w:t>thirds of the members of the Management Board</w:t>
      </w:r>
      <w:r w:rsidR="001A462E">
        <w:rPr>
          <w:noProof/>
        </w:rPr>
        <w:t xml:space="preserve"> with voting rights</w:t>
      </w:r>
      <w:r w:rsidR="001A462E" w:rsidRPr="00777BC3">
        <w:rPr>
          <w:noProof/>
        </w:rPr>
        <w:t>.</w:t>
      </w:r>
    </w:p>
    <w:p w14:paraId="703FB97C" w14:textId="77777777" w:rsidR="001A462E" w:rsidRPr="00777BC3" w:rsidRDefault="001A462E" w:rsidP="001A462E">
      <w:pPr>
        <w:rPr>
          <w:noProof/>
        </w:rPr>
      </w:pPr>
    </w:p>
    <w:p w14:paraId="57BBB8B7" w14:textId="77777777" w:rsidR="001A462E" w:rsidRPr="00777BC3" w:rsidRDefault="001A462E" w:rsidP="001A462E">
      <w:pPr>
        <w:jc w:val="center"/>
        <w:rPr>
          <w:b/>
          <w:bCs/>
          <w:noProof/>
        </w:rPr>
      </w:pPr>
      <w:r w:rsidRPr="00777BC3">
        <w:rPr>
          <w:b/>
          <w:bCs/>
          <w:noProof/>
        </w:rPr>
        <w:t>Section 3</w:t>
      </w:r>
      <w:r w:rsidRPr="00777BC3">
        <w:rPr>
          <w:b/>
          <w:bCs/>
          <w:noProof/>
        </w:rPr>
        <w:br/>
        <w:t>Executive Director</w:t>
      </w:r>
    </w:p>
    <w:p w14:paraId="57AA2942" w14:textId="77777777" w:rsidR="001A462E" w:rsidRPr="00777BC3" w:rsidRDefault="001A462E" w:rsidP="001A462E">
      <w:pPr>
        <w:pStyle w:val="Titrearticle"/>
        <w:rPr>
          <w:noProof/>
        </w:rPr>
      </w:pPr>
      <w:r w:rsidRPr="00777BC3">
        <w:rPr>
          <w:noProof/>
        </w:rPr>
        <w:t>Article 31</w:t>
      </w:r>
      <w:r w:rsidRPr="00777BC3">
        <w:rPr>
          <w:noProof/>
        </w:rPr>
        <w:br/>
        <w:t>Appointment, dismissal and extension of the term of office</w:t>
      </w:r>
    </w:p>
    <w:p w14:paraId="35FDAE95" w14:textId="1CC41E71" w:rsidR="001A462E" w:rsidRPr="00777BC3" w:rsidRDefault="006D01CD" w:rsidP="006D01CD">
      <w:pPr>
        <w:pStyle w:val="ManualNumPar1"/>
        <w:rPr>
          <w:noProof/>
        </w:rPr>
      </w:pPr>
      <w:r w:rsidRPr="006D01CD">
        <w:rPr>
          <w:noProof/>
        </w:rPr>
        <w:t>1.</w:t>
      </w:r>
      <w:r w:rsidRPr="006D01CD">
        <w:rPr>
          <w:noProof/>
        </w:rPr>
        <w:tab/>
      </w:r>
      <w:r w:rsidR="001A462E" w:rsidRPr="00777BC3">
        <w:rPr>
          <w:noProof/>
        </w:rPr>
        <w:t xml:space="preserve">The Executive Director shall be appointed by the Management Board on the basis of merit and skills from a list of candidates proposed by the Commission, following an open and transparent and selection procedure. </w:t>
      </w:r>
    </w:p>
    <w:p w14:paraId="601F494B" w14:textId="40FBF3C8" w:rsidR="001A462E" w:rsidRPr="00777BC3" w:rsidRDefault="006D01CD" w:rsidP="006D01CD">
      <w:pPr>
        <w:pStyle w:val="ManualNumPar1"/>
        <w:rPr>
          <w:noProof/>
        </w:rPr>
      </w:pPr>
      <w:r w:rsidRPr="006D01CD">
        <w:rPr>
          <w:noProof/>
        </w:rPr>
        <w:t>2.</w:t>
      </w:r>
      <w:r w:rsidRPr="006D01CD">
        <w:rPr>
          <w:noProof/>
        </w:rPr>
        <w:tab/>
      </w:r>
      <w:r w:rsidR="001A462E" w:rsidRPr="00777BC3">
        <w:rPr>
          <w:noProof/>
        </w:rPr>
        <w:t>Before appointment, the candidate selected by the Management Board shall be invited to make a statement before the relevant committee of the European Parliament and to answer Members’ questions.</w:t>
      </w:r>
    </w:p>
    <w:p w14:paraId="2B4BA0CF" w14:textId="30B59403" w:rsidR="001A462E" w:rsidRDefault="006D01CD" w:rsidP="006D01CD">
      <w:pPr>
        <w:pStyle w:val="ManualNumPar1"/>
        <w:rPr>
          <w:noProof/>
        </w:rPr>
      </w:pPr>
      <w:r w:rsidRPr="006D01CD">
        <w:rPr>
          <w:noProof/>
        </w:rPr>
        <w:t>3.</w:t>
      </w:r>
      <w:r w:rsidRPr="006D01CD">
        <w:rPr>
          <w:noProof/>
        </w:rPr>
        <w:tab/>
      </w:r>
      <w:r w:rsidR="001A462E" w:rsidRPr="00777BC3">
        <w:rPr>
          <w:noProof/>
        </w:rPr>
        <w:t>The Executive Director shall be engaged as a temporary agent of ENISA under Article 2(a) of the Conditions of Employment.</w:t>
      </w:r>
    </w:p>
    <w:p w14:paraId="0F64E185" w14:textId="51FEA2BA" w:rsidR="001A462E" w:rsidRPr="00777BC3" w:rsidRDefault="006D01CD" w:rsidP="006D01CD">
      <w:pPr>
        <w:pStyle w:val="ManualNumPar1"/>
        <w:rPr>
          <w:noProof/>
        </w:rPr>
      </w:pPr>
      <w:r w:rsidRPr="006D01CD">
        <w:rPr>
          <w:noProof/>
        </w:rPr>
        <w:t>4.</w:t>
      </w:r>
      <w:r w:rsidRPr="006D01CD">
        <w:rPr>
          <w:noProof/>
        </w:rPr>
        <w:tab/>
      </w:r>
      <w:r w:rsidR="001A462E" w:rsidRPr="00777BC3">
        <w:rPr>
          <w:noProof/>
        </w:rPr>
        <w:t>For the purpose of concluding the contract with the Executive Director, ENISA shall be represented by the Chairperson of the Management Board.</w:t>
      </w:r>
    </w:p>
    <w:p w14:paraId="2C2C6743" w14:textId="0A7F5578" w:rsidR="001A462E" w:rsidRPr="00777BC3" w:rsidRDefault="006D01CD" w:rsidP="006D01CD">
      <w:pPr>
        <w:pStyle w:val="ManualNumPar1"/>
        <w:rPr>
          <w:noProof/>
        </w:rPr>
      </w:pPr>
      <w:r w:rsidRPr="006D01CD">
        <w:rPr>
          <w:noProof/>
        </w:rPr>
        <w:t>5.</w:t>
      </w:r>
      <w:r w:rsidRPr="006D01CD">
        <w:rPr>
          <w:noProof/>
        </w:rPr>
        <w:tab/>
      </w:r>
      <w:r w:rsidR="001A462E" w:rsidRPr="00777BC3">
        <w:rPr>
          <w:noProof/>
        </w:rPr>
        <w:t>The term of office of the Executive Director shall be five years. In due time before the end of that period, the Commission shall carry out an assessment that takes into account an evaluation of the performance of the Executive Director and ENISA’s future tasks and challenges.</w:t>
      </w:r>
    </w:p>
    <w:p w14:paraId="3E8234CE" w14:textId="31905E53" w:rsidR="001A462E" w:rsidRPr="00777BC3" w:rsidRDefault="006D01CD" w:rsidP="006D01CD">
      <w:pPr>
        <w:pStyle w:val="ManualNumPar1"/>
        <w:rPr>
          <w:noProof/>
        </w:rPr>
      </w:pPr>
      <w:r w:rsidRPr="006D01CD">
        <w:rPr>
          <w:noProof/>
        </w:rPr>
        <w:t>6.</w:t>
      </w:r>
      <w:r w:rsidRPr="006D01CD">
        <w:rPr>
          <w:noProof/>
        </w:rPr>
        <w:tab/>
      </w:r>
      <w:r w:rsidR="001A462E" w:rsidRPr="00777BC3">
        <w:rPr>
          <w:noProof/>
        </w:rPr>
        <w:t>The Management Board, acting on a proposal from the Commission which takes into account the assessment referred to in paragraph 5, may extend the term of office of the Executive Director once for no more than five years.</w:t>
      </w:r>
    </w:p>
    <w:p w14:paraId="243096E8" w14:textId="6FEB5107" w:rsidR="001A462E" w:rsidRPr="00777BC3" w:rsidRDefault="006D01CD" w:rsidP="006D01CD">
      <w:pPr>
        <w:pStyle w:val="ManualNumPar1"/>
        <w:rPr>
          <w:noProof/>
        </w:rPr>
      </w:pPr>
      <w:r w:rsidRPr="006D01CD">
        <w:rPr>
          <w:noProof/>
        </w:rPr>
        <w:t>7.</w:t>
      </w:r>
      <w:r w:rsidRPr="006D01CD">
        <w:rPr>
          <w:noProof/>
        </w:rPr>
        <w:tab/>
      </w:r>
      <w:r w:rsidR="001A462E" w:rsidRPr="00777BC3">
        <w:rPr>
          <w:noProof/>
        </w:rPr>
        <w:t>An Executive Director whose term of office has been extended may not participate in another selection procedure for the same post at the end of the overall period.</w:t>
      </w:r>
    </w:p>
    <w:p w14:paraId="771A1479" w14:textId="1DC37EFC" w:rsidR="001A462E" w:rsidRPr="00777BC3" w:rsidRDefault="006D01CD" w:rsidP="006D01CD">
      <w:pPr>
        <w:pStyle w:val="ManualNumPar1"/>
        <w:rPr>
          <w:noProof/>
        </w:rPr>
      </w:pPr>
      <w:r w:rsidRPr="006D01CD">
        <w:rPr>
          <w:noProof/>
        </w:rPr>
        <w:t>8.</w:t>
      </w:r>
      <w:r w:rsidRPr="006D01CD">
        <w:rPr>
          <w:noProof/>
        </w:rPr>
        <w:tab/>
      </w:r>
      <w:r w:rsidR="001A462E" w:rsidRPr="00777BC3">
        <w:rPr>
          <w:noProof/>
        </w:rPr>
        <w:t>The Management Board shall inform the European Parliament about its intention to extend the Executive Director’s term of office</w:t>
      </w:r>
      <w:r w:rsidR="001A462E">
        <w:rPr>
          <w:noProof/>
        </w:rPr>
        <w:t xml:space="preserve"> in accordance with paragraph 6</w:t>
      </w:r>
      <w:r w:rsidR="001A462E" w:rsidRPr="00777BC3">
        <w:rPr>
          <w:noProof/>
        </w:rPr>
        <w:t xml:space="preserve">. Within three months before any such extension, the Executive Director, if invited, shall make a statement before the relevant committee of the European Parliament and answer </w:t>
      </w:r>
      <w:r w:rsidR="001A462E">
        <w:rPr>
          <w:noProof/>
        </w:rPr>
        <w:t>m</w:t>
      </w:r>
      <w:r w:rsidR="001A462E" w:rsidRPr="00777BC3">
        <w:rPr>
          <w:noProof/>
        </w:rPr>
        <w:t>embers’ questions.</w:t>
      </w:r>
    </w:p>
    <w:p w14:paraId="3E907020" w14:textId="3B99FE74" w:rsidR="001A462E" w:rsidRPr="00777BC3" w:rsidRDefault="006D01CD" w:rsidP="006D01CD">
      <w:pPr>
        <w:pStyle w:val="ManualNumPar1"/>
        <w:rPr>
          <w:noProof/>
        </w:rPr>
      </w:pPr>
      <w:r w:rsidRPr="006D01CD">
        <w:rPr>
          <w:noProof/>
        </w:rPr>
        <w:t>9.</w:t>
      </w:r>
      <w:r w:rsidRPr="006D01CD">
        <w:rPr>
          <w:noProof/>
        </w:rPr>
        <w:tab/>
      </w:r>
      <w:r w:rsidR="001A462E" w:rsidRPr="00777BC3">
        <w:rPr>
          <w:noProof/>
        </w:rPr>
        <w:t>The Executive Director may be removed from office only upon a decision of the Management Board acting on a proposal from the Commission.</w:t>
      </w:r>
    </w:p>
    <w:p w14:paraId="462A535E" w14:textId="77777777" w:rsidR="001A462E" w:rsidRPr="00777BC3" w:rsidRDefault="001A462E" w:rsidP="001A462E">
      <w:pPr>
        <w:pStyle w:val="Titrearticle"/>
        <w:rPr>
          <w:noProof/>
        </w:rPr>
      </w:pPr>
      <w:r w:rsidRPr="00777BC3">
        <w:rPr>
          <w:noProof/>
        </w:rPr>
        <w:t>Article 32</w:t>
      </w:r>
      <w:r w:rsidRPr="00777BC3">
        <w:rPr>
          <w:noProof/>
        </w:rPr>
        <w:br/>
        <w:t>Tasks and responsibilities of the Executive Director</w:t>
      </w:r>
    </w:p>
    <w:p w14:paraId="60CD0B86" w14:textId="6BD092BB" w:rsidR="001A462E" w:rsidRPr="00777BC3" w:rsidRDefault="006D01CD" w:rsidP="006D01CD">
      <w:pPr>
        <w:pStyle w:val="ManualNumPar1"/>
        <w:rPr>
          <w:noProof/>
        </w:rPr>
      </w:pPr>
      <w:r w:rsidRPr="006D01CD">
        <w:rPr>
          <w:noProof/>
        </w:rPr>
        <w:t>1.</w:t>
      </w:r>
      <w:r w:rsidRPr="006D01CD">
        <w:rPr>
          <w:noProof/>
        </w:rPr>
        <w:tab/>
      </w:r>
      <w:r w:rsidR="001A462E" w:rsidRPr="00777BC3">
        <w:rPr>
          <w:noProof/>
        </w:rPr>
        <w:t xml:space="preserve">The Executive Director shall manage ENISA </w:t>
      </w:r>
      <w:r w:rsidR="001A462E">
        <w:rPr>
          <w:noProof/>
        </w:rPr>
        <w:t>and</w:t>
      </w:r>
      <w:r w:rsidR="001A462E" w:rsidRPr="00777BC3">
        <w:rPr>
          <w:noProof/>
        </w:rPr>
        <w:t xml:space="preserve"> shall be accountable to the Management Board.</w:t>
      </w:r>
    </w:p>
    <w:p w14:paraId="353FED5F" w14:textId="6D3A2CAB" w:rsidR="001A462E" w:rsidRPr="00777BC3" w:rsidRDefault="006D01CD" w:rsidP="006D01CD">
      <w:pPr>
        <w:pStyle w:val="ManualNumPar1"/>
        <w:rPr>
          <w:noProof/>
        </w:rPr>
      </w:pPr>
      <w:r w:rsidRPr="006D01CD">
        <w:rPr>
          <w:noProof/>
        </w:rPr>
        <w:t>2.</w:t>
      </w:r>
      <w:r w:rsidRPr="006D01CD">
        <w:rPr>
          <w:noProof/>
        </w:rPr>
        <w:tab/>
      </w:r>
      <w:r w:rsidR="001A462E" w:rsidRPr="00777BC3">
        <w:rPr>
          <w:noProof/>
        </w:rPr>
        <w:t xml:space="preserve">The Executive Director shall be independent in the performance of </w:t>
      </w:r>
      <w:r w:rsidR="001A462E">
        <w:rPr>
          <w:noProof/>
        </w:rPr>
        <w:t>their</w:t>
      </w:r>
      <w:r w:rsidR="001A462E" w:rsidRPr="00777BC3">
        <w:rPr>
          <w:noProof/>
        </w:rPr>
        <w:t xml:space="preserve"> tasks and shall neither seek nor take instructions from any government nor from any other body.</w:t>
      </w:r>
    </w:p>
    <w:p w14:paraId="7082193F" w14:textId="05FA451D" w:rsidR="001A462E" w:rsidRPr="00777BC3" w:rsidRDefault="006D01CD" w:rsidP="006D01CD">
      <w:pPr>
        <w:pStyle w:val="ManualNumPar1"/>
        <w:rPr>
          <w:noProof/>
        </w:rPr>
      </w:pPr>
      <w:r w:rsidRPr="006D01CD">
        <w:rPr>
          <w:noProof/>
        </w:rPr>
        <w:t>3.</w:t>
      </w:r>
      <w:r w:rsidRPr="006D01CD">
        <w:rPr>
          <w:noProof/>
        </w:rPr>
        <w:tab/>
      </w:r>
      <w:r w:rsidR="001A462E" w:rsidRPr="00777BC3">
        <w:rPr>
          <w:noProof/>
        </w:rPr>
        <w:t xml:space="preserve">The Executive Director shall report to the European Parliament on the performance of </w:t>
      </w:r>
      <w:r w:rsidR="001A462E">
        <w:rPr>
          <w:noProof/>
        </w:rPr>
        <w:t>their</w:t>
      </w:r>
      <w:r w:rsidR="001A462E" w:rsidRPr="00777BC3">
        <w:rPr>
          <w:noProof/>
        </w:rPr>
        <w:t xml:space="preserve"> tasks when invited to do so. The Council may invite the Executive Director to report on the performance of </w:t>
      </w:r>
      <w:r w:rsidR="001A462E">
        <w:rPr>
          <w:noProof/>
        </w:rPr>
        <w:t>their</w:t>
      </w:r>
      <w:r w:rsidR="001A462E" w:rsidRPr="00777BC3">
        <w:rPr>
          <w:noProof/>
        </w:rPr>
        <w:t xml:space="preserve"> tasks.</w:t>
      </w:r>
    </w:p>
    <w:p w14:paraId="4A0F6785" w14:textId="1F9082E5" w:rsidR="001A462E" w:rsidRPr="00777BC3" w:rsidRDefault="006D01CD" w:rsidP="006D01CD">
      <w:pPr>
        <w:pStyle w:val="ManualNumPar1"/>
        <w:rPr>
          <w:noProof/>
        </w:rPr>
      </w:pPr>
      <w:r w:rsidRPr="006D01CD">
        <w:rPr>
          <w:noProof/>
        </w:rPr>
        <w:t>4.</w:t>
      </w:r>
      <w:r w:rsidRPr="006D01CD">
        <w:rPr>
          <w:noProof/>
        </w:rPr>
        <w:tab/>
      </w:r>
      <w:r w:rsidR="001A462E" w:rsidRPr="00777BC3">
        <w:rPr>
          <w:noProof/>
        </w:rPr>
        <w:t>The Executive Director shall be the legal representative of ENISA.</w:t>
      </w:r>
    </w:p>
    <w:p w14:paraId="4C0326DE" w14:textId="0F50887B" w:rsidR="001A462E" w:rsidRPr="00777BC3" w:rsidRDefault="006D01CD" w:rsidP="006D01CD">
      <w:pPr>
        <w:pStyle w:val="ManualNumPar1"/>
        <w:rPr>
          <w:noProof/>
        </w:rPr>
      </w:pPr>
      <w:r w:rsidRPr="006D01CD">
        <w:rPr>
          <w:noProof/>
        </w:rPr>
        <w:t>5.</w:t>
      </w:r>
      <w:r w:rsidRPr="006D01CD">
        <w:rPr>
          <w:noProof/>
        </w:rPr>
        <w:tab/>
      </w:r>
      <w:r w:rsidR="001A462E" w:rsidRPr="00777BC3">
        <w:rPr>
          <w:noProof/>
        </w:rPr>
        <w:t>The Executive Director shall be responsible for the implementation of the tasks assigned to ENISA by this Regulation. In particular, the Executive Director shall:</w:t>
      </w:r>
    </w:p>
    <w:p w14:paraId="2FF6EC6A" w14:textId="2EC32433" w:rsidR="001A462E" w:rsidRPr="00777BC3" w:rsidRDefault="006D01CD" w:rsidP="006D01CD">
      <w:pPr>
        <w:pStyle w:val="Point1"/>
        <w:rPr>
          <w:noProof/>
        </w:rPr>
      </w:pPr>
      <w:r w:rsidRPr="006D01CD">
        <w:rPr>
          <w:noProof/>
        </w:rPr>
        <w:t>(a)</w:t>
      </w:r>
      <w:r w:rsidRPr="006D01CD">
        <w:rPr>
          <w:noProof/>
        </w:rPr>
        <w:tab/>
      </w:r>
      <w:r w:rsidR="001A462E" w:rsidRPr="00777BC3">
        <w:rPr>
          <w:noProof/>
        </w:rPr>
        <w:t>ensure the day-to-day administration of ENISA;</w:t>
      </w:r>
    </w:p>
    <w:p w14:paraId="2ED86936" w14:textId="41BDF094" w:rsidR="001A462E" w:rsidRPr="00777BC3" w:rsidRDefault="006D01CD" w:rsidP="006D01CD">
      <w:pPr>
        <w:pStyle w:val="Point1"/>
        <w:rPr>
          <w:noProof/>
        </w:rPr>
      </w:pPr>
      <w:r w:rsidRPr="006D01CD">
        <w:rPr>
          <w:noProof/>
        </w:rPr>
        <w:t>(b)</w:t>
      </w:r>
      <w:r w:rsidRPr="006D01CD">
        <w:rPr>
          <w:noProof/>
        </w:rPr>
        <w:tab/>
      </w:r>
      <w:r w:rsidR="001A462E" w:rsidRPr="00777BC3">
        <w:rPr>
          <w:noProof/>
        </w:rPr>
        <w:t>implement decisions adopted by the Management Board;</w:t>
      </w:r>
    </w:p>
    <w:p w14:paraId="3F491A21" w14:textId="10A5BFDB" w:rsidR="001A462E" w:rsidRPr="00777BC3" w:rsidRDefault="006D01CD" w:rsidP="006D01CD">
      <w:pPr>
        <w:pStyle w:val="Point1"/>
        <w:rPr>
          <w:noProof/>
        </w:rPr>
      </w:pPr>
      <w:r w:rsidRPr="006D01CD">
        <w:rPr>
          <w:noProof/>
        </w:rPr>
        <w:t>(c)</w:t>
      </w:r>
      <w:r w:rsidRPr="006D01CD">
        <w:rPr>
          <w:noProof/>
        </w:rPr>
        <w:tab/>
      </w:r>
      <w:r w:rsidR="001A462E" w:rsidRPr="00777BC3">
        <w:rPr>
          <w:noProof/>
        </w:rPr>
        <w:t>ensure compliance with the financial rules of ENISA;</w:t>
      </w:r>
    </w:p>
    <w:p w14:paraId="727C31D6" w14:textId="4D10980B" w:rsidR="001A462E" w:rsidRPr="00777BC3" w:rsidRDefault="006D01CD" w:rsidP="006D01CD">
      <w:pPr>
        <w:pStyle w:val="Point1"/>
        <w:rPr>
          <w:noProof/>
        </w:rPr>
      </w:pPr>
      <w:r w:rsidRPr="006D01CD">
        <w:rPr>
          <w:noProof/>
        </w:rPr>
        <w:t>(d)</w:t>
      </w:r>
      <w:r w:rsidRPr="006D01CD">
        <w:rPr>
          <w:noProof/>
        </w:rPr>
        <w:tab/>
      </w:r>
      <w:r w:rsidR="001A462E" w:rsidRPr="00777BC3">
        <w:rPr>
          <w:noProof/>
        </w:rPr>
        <w:t>prepare the draft single programming document and submit it to the Management Board for approval before its submission to the Commission for an opinion;</w:t>
      </w:r>
    </w:p>
    <w:p w14:paraId="2190D462" w14:textId="4BDF3567" w:rsidR="001A462E" w:rsidRPr="00777BC3" w:rsidRDefault="006D01CD" w:rsidP="006D01CD">
      <w:pPr>
        <w:pStyle w:val="Point1"/>
        <w:rPr>
          <w:noProof/>
        </w:rPr>
      </w:pPr>
      <w:r w:rsidRPr="006D01CD">
        <w:rPr>
          <w:noProof/>
        </w:rPr>
        <w:t>(e)</w:t>
      </w:r>
      <w:r w:rsidRPr="006D01CD">
        <w:rPr>
          <w:noProof/>
        </w:rPr>
        <w:tab/>
      </w:r>
      <w:r w:rsidR="001A462E" w:rsidRPr="00777BC3">
        <w:rPr>
          <w:noProof/>
        </w:rPr>
        <w:t>implement the single programming document and report to the Management Board on its implementation;</w:t>
      </w:r>
    </w:p>
    <w:p w14:paraId="4C306DF8" w14:textId="7499D076" w:rsidR="001A462E" w:rsidRPr="00777BC3" w:rsidRDefault="006D01CD" w:rsidP="006D01CD">
      <w:pPr>
        <w:pStyle w:val="Point1"/>
        <w:rPr>
          <w:noProof/>
        </w:rPr>
      </w:pPr>
      <w:r w:rsidRPr="006D01CD">
        <w:rPr>
          <w:noProof/>
        </w:rPr>
        <w:t>(f)</w:t>
      </w:r>
      <w:r w:rsidRPr="006D01CD">
        <w:rPr>
          <w:noProof/>
        </w:rPr>
        <w:tab/>
      </w:r>
      <w:r w:rsidR="001A462E" w:rsidRPr="00777BC3">
        <w:rPr>
          <w:noProof/>
        </w:rPr>
        <w:t>prepare ENISA’s consolidated annual activity report, including the implementation of ENISA’s annual work programme, and present it to the Management Board for assessment and adoption;</w:t>
      </w:r>
    </w:p>
    <w:p w14:paraId="78F7B009" w14:textId="48295474" w:rsidR="001A462E" w:rsidRPr="00777BC3" w:rsidRDefault="006D01CD" w:rsidP="006D01CD">
      <w:pPr>
        <w:pStyle w:val="Point1"/>
        <w:rPr>
          <w:noProof/>
        </w:rPr>
      </w:pPr>
      <w:r w:rsidRPr="006D01CD">
        <w:rPr>
          <w:noProof/>
        </w:rPr>
        <w:t>(g)</w:t>
      </w:r>
      <w:r w:rsidRPr="006D01CD">
        <w:rPr>
          <w:noProof/>
        </w:rPr>
        <w:tab/>
      </w:r>
      <w:r w:rsidR="001A462E" w:rsidRPr="00777BC3">
        <w:rPr>
          <w:noProof/>
        </w:rPr>
        <w:t>prepare an action plan that follows up on the conclusions of the retrospective evaluations of ENISA as referred to in Article</w:t>
      </w:r>
      <w:r w:rsidR="001A462E">
        <w:rPr>
          <w:noProof/>
        </w:rPr>
        <w:t xml:space="preserve"> 121</w:t>
      </w:r>
      <w:r w:rsidR="001A462E" w:rsidRPr="00777BC3">
        <w:rPr>
          <w:noProof/>
        </w:rPr>
        <w:t>, and reporting on progress every two years to the Commission;</w:t>
      </w:r>
    </w:p>
    <w:p w14:paraId="51294D84" w14:textId="7AD49371" w:rsidR="001A462E" w:rsidRPr="00777BC3" w:rsidRDefault="006D01CD" w:rsidP="006D01CD">
      <w:pPr>
        <w:pStyle w:val="Point1"/>
        <w:rPr>
          <w:noProof/>
        </w:rPr>
      </w:pPr>
      <w:r w:rsidRPr="006D01CD">
        <w:rPr>
          <w:noProof/>
        </w:rPr>
        <w:t>(h)</w:t>
      </w:r>
      <w:r w:rsidRPr="006D01CD">
        <w:rPr>
          <w:noProof/>
        </w:rPr>
        <w:tab/>
      </w:r>
      <w:r w:rsidR="001A462E" w:rsidRPr="00777BC3">
        <w:rPr>
          <w:noProof/>
        </w:rPr>
        <w:t>prepar</w:t>
      </w:r>
      <w:r w:rsidR="001A462E">
        <w:rPr>
          <w:noProof/>
        </w:rPr>
        <w:t>e</w:t>
      </w:r>
      <w:r w:rsidR="001A462E" w:rsidRPr="00777BC3">
        <w:rPr>
          <w:noProof/>
        </w:rPr>
        <w:t xml:space="preserve"> an action plan that follows up on conclusions of internal or external audit reports and evaluations, and from investigations of OLAF and of the EPPO and report on progress biannually to the Commission and regularly to the Management Board;</w:t>
      </w:r>
    </w:p>
    <w:p w14:paraId="388FB1B9" w14:textId="24876FB1" w:rsidR="001A462E" w:rsidRPr="00777BC3" w:rsidRDefault="006D01CD" w:rsidP="006D01CD">
      <w:pPr>
        <w:pStyle w:val="Point1"/>
        <w:rPr>
          <w:noProof/>
        </w:rPr>
      </w:pPr>
      <w:r w:rsidRPr="006D01CD">
        <w:rPr>
          <w:noProof/>
        </w:rPr>
        <w:t>(i)</w:t>
      </w:r>
      <w:r w:rsidRPr="006D01CD">
        <w:rPr>
          <w:noProof/>
        </w:rPr>
        <w:tab/>
      </w:r>
      <w:r w:rsidR="001A462E" w:rsidRPr="00777BC3">
        <w:rPr>
          <w:noProof/>
        </w:rPr>
        <w:t>prepare the draft financial rules applicable to ENISA as referred to in Article 50;</w:t>
      </w:r>
    </w:p>
    <w:p w14:paraId="7BA1C7D7" w14:textId="26D71683" w:rsidR="001A462E" w:rsidRPr="00777BC3" w:rsidRDefault="006D01CD" w:rsidP="006D01CD">
      <w:pPr>
        <w:pStyle w:val="Point1"/>
        <w:rPr>
          <w:noProof/>
        </w:rPr>
      </w:pPr>
      <w:r w:rsidRPr="006D01CD">
        <w:rPr>
          <w:noProof/>
        </w:rPr>
        <w:t>(j)</w:t>
      </w:r>
      <w:r w:rsidRPr="006D01CD">
        <w:rPr>
          <w:noProof/>
        </w:rPr>
        <w:tab/>
      </w:r>
      <w:r w:rsidR="001A462E" w:rsidRPr="00777BC3">
        <w:rPr>
          <w:noProof/>
        </w:rPr>
        <w:t>prepare ENISA’s draft statement of estimates of revenue and expenditure and implement its budget;</w:t>
      </w:r>
    </w:p>
    <w:p w14:paraId="087C87CF" w14:textId="13A7C902" w:rsidR="001A462E" w:rsidRPr="00777BC3" w:rsidRDefault="006D01CD" w:rsidP="006D01CD">
      <w:pPr>
        <w:pStyle w:val="Point1"/>
        <w:rPr>
          <w:noProof/>
        </w:rPr>
      </w:pPr>
      <w:r w:rsidRPr="006D01CD">
        <w:rPr>
          <w:noProof/>
        </w:rPr>
        <w:t>(k)</w:t>
      </w:r>
      <w:r w:rsidRPr="006D01CD">
        <w:rPr>
          <w:noProof/>
        </w:rPr>
        <w:tab/>
      </w:r>
      <w:r w:rsidR="001A462E" w:rsidRPr="00777BC3">
        <w:rPr>
          <w:noProof/>
        </w:rPr>
        <w:t>protect the financial interests of the Union by applying preventive measures against fraud, corruption and any other illegal activities, without prejudicing the investigative competence of OLAF and the EPPO, by effective checks and, if irregularities are detected, by recovering amounts wrongly paid and, where appropriate, by imposing effective, proportionate and dissuasive administrative and financial penalties;</w:t>
      </w:r>
    </w:p>
    <w:p w14:paraId="2C72B7B0" w14:textId="325C2297" w:rsidR="001A462E" w:rsidRPr="00777BC3" w:rsidRDefault="006D01CD" w:rsidP="006D01CD">
      <w:pPr>
        <w:pStyle w:val="Point1"/>
        <w:rPr>
          <w:noProof/>
        </w:rPr>
      </w:pPr>
      <w:r w:rsidRPr="006D01CD">
        <w:rPr>
          <w:noProof/>
        </w:rPr>
        <w:t>(l)</w:t>
      </w:r>
      <w:r w:rsidRPr="006D01CD">
        <w:rPr>
          <w:noProof/>
        </w:rPr>
        <w:tab/>
      </w:r>
      <w:r w:rsidR="001A462E" w:rsidRPr="00777BC3">
        <w:rPr>
          <w:noProof/>
        </w:rPr>
        <w:t>prepare an anti-fraud strategy, an efficiency gains and synergies strategy, a strategy for cooperation with third countries or international organisations and a strategy for the organisational management and internal control systems for ENISA, and present it to the Management Board for approval;</w:t>
      </w:r>
    </w:p>
    <w:p w14:paraId="47FDAA36" w14:textId="7CBB23DF" w:rsidR="001A462E" w:rsidRPr="00777BC3" w:rsidRDefault="006D01CD" w:rsidP="006D01CD">
      <w:pPr>
        <w:pStyle w:val="Point1"/>
        <w:rPr>
          <w:noProof/>
        </w:rPr>
      </w:pPr>
      <w:r w:rsidRPr="006D01CD">
        <w:rPr>
          <w:noProof/>
        </w:rPr>
        <w:t>(m)</w:t>
      </w:r>
      <w:r w:rsidRPr="006D01CD">
        <w:rPr>
          <w:noProof/>
        </w:rPr>
        <w:tab/>
      </w:r>
      <w:r w:rsidR="001A462E" w:rsidRPr="00777BC3">
        <w:rPr>
          <w:noProof/>
        </w:rPr>
        <w:t>develop and maintain contact with the business community and consumers’ organisations to ensure regular dialogue with relevant stakeholders;</w:t>
      </w:r>
    </w:p>
    <w:p w14:paraId="6977BA33" w14:textId="174CEA09" w:rsidR="001A462E" w:rsidRPr="00777BC3" w:rsidRDefault="006D01CD" w:rsidP="006D01CD">
      <w:pPr>
        <w:pStyle w:val="Point1"/>
        <w:rPr>
          <w:noProof/>
        </w:rPr>
      </w:pPr>
      <w:r w:rsidRPr="006D01CD">
        <w:rPr>
          <w:noProof/>
        </w:rPr>
        <w:t>(n)</w:t>
      </w:r>
      <w:r w:rsidRPr="006D01CD">
        <w:rPr>
          <w:noProof/>
        </w:rPr>
        <w:tab/>
      </w:r>
      <w:r w:rsidR="001A462E" w:rsidRPr="00777BC3">
        <w:rPr>
          <w:noProof/>
        </w:rPr>
        <w:t xml:space="preserve">exchange views and information regularly with </w:t>
      </w:r>
      <w:r w:rsidR="001A462E">
        <w:rPr>
          <w:noProof/>
        </w:rPr>
        <w:t xml:space="preserve">relevant </w:t>
      </w:r>
      <w:r w:rsidR="001A462E" w:rsidRPr="00777BC3">
        <w:rPr>
          <w:noProof/>
        </w:rPr>
        <w:t>Union entities regarding their activities relating to cybersecurity to ensure coherence in the implementation of Union policy</w:t>
      </w:r>
      <w:r w:rsidR="001A462E">
        <w:rPr>
          <w:noProof/>
        </w:rPr>
        <w:t xml:space="preserve"> in that field</w:t>
      </w:r>
      <w:r w:rsidR="001A462E" w:rsidRPr="00777BC3">
        <w:rPr>
          <w:noProof/>
        </w:rPr>
        <w:t>;</w:t>
      </w:r>
    </w:p>
    <w:p w14:paraId="312F158A" w14:textId="0A69C8E7" w:rsidR="001A462E" w:rsidRPr="00777BC3" w:rsidRDefault="006D01CD" w:rsidP="006D01CD">
      <w:pPr>
        <w:pStyle w:val="Point1"/>
        <w:rPr>
          <w:noProof/>
        </w:rPr>
      </w:pPr>
      <w:r w:rsidRPr="006D01CD">
        <w:rPr>
          <w:noProof/>
        </w:rPr>
        <w:t>(o)</w:t>
      </w:r>
      <w:r w:rsidRPr="006D01CD">
        <w:rPr>
          <w:noProof/>
        </w:rPr>
        <w:tab/>
      </w:r>
      <w:r w:rsidR="001A462E" w:rsidRPr="00777BC3">
        <w:rPr>
          <w:noProof/>
        </w:rPr>
        <w:t xml:space="preserve">promote diversity and gender balance </w:t>
      </w:r>
      <w:r w:rsidR="001A462E">
        <w:rPr>
          <w:noProof/>
        </w:rPr>
        <w:t>in</w:t>
      </w:r>
      <w:r w:rsidR="001A462E" w:rsidRPr="00777BC3">
        <w:rPr>
          <w:noProof/>
        </w:rPr>
        <w:t xml:space="preserve"> the recruitment of ENISA’s staff;</w:t>
      </w:r>
    </w:p>
    <w:p w14:paraId="765A0EE5" w14:textId="58DB383C" w:rsidR="001A462E" w:rsidRDefault="006D01CD" w:rsidP="006D01CD">
      <w:pPr>
        <w:pStyle w:val="Point1"/>
        <w:rPr>
          <w:noProof/>
        </w:rPr>
      </w:pPr>
      <w:r w:rsidRPr="006D01CD">
        <w:rPr>
          <w:noProof/>
        </w:rPr>
        <w:t>(p)</w:t>
      </w:r>
      <w:r w:rsidRPr="006D01CD">
        <w:rPr>
          <w:noProof/>
        </w:rPr>
        <w:tab/>
      </w:r>
      <w:r w:rsidR="001A462E">
        <w:rPr>
          <w:noProof/>
        </w:rPr>
        <w:t>adopt European individual cybersecurity skills attestation schemes, as referred to in Article 20(1);</w:t>
      </w:r>
    </w:p>
    <w:p w14:paraId="77FA5722" w14:textId="01F2C0CD" w:rsidR="001A462E" w:rsidRPr="00777BC3" w:rsidRDefault="006D01CD" w:rsidP="006D01CD">
      <w:pPr>
        <w:pStyle w:val="Point1"/>
        <w:rPr>
          <w:noProof/>
        </w:rPr>
      </w:pPr>
      <w:r w:rsidRPr="006D01CD">
        <w:rPr>
          <w:noProof/>
        </w:rPr>
        <w:t>(q)</w:t>
      </w:r>
      <w:r w:rsidRPr="006D01CD">
        <w:rPr>
          <w:noProof/>
        </w:rPr>
        <w:tab/>
      </w:r>
      <w:r w:rsidR="001A462E" w:rsidRPr="00777BC3">
        <w:rPr>
          <w:noProof/>
        </w:rPr>
        <w:t>adopt decisions with respect to applicants to becom</w:t>
      </w:r>
      <w:r w:rsidR="001A462E">
        <w:rPr>
          <w:noProof/>
        </w:rPr>
        <w:t>e</w:t>
      </w:r>
      <w:r w:rsidR="001A462E" w:rsidRPr="00777BC3">
        <w:rPr>
          <w:noProof/>
        </w:rPr>
        <w:t xml:space="preserve"> authorised </w:t>
      </w:r>
      <w:r w:rsidR="001A462E">
        <w:rPr>
          <w:noProof/>
        </w:rPr>
        <w:t>attestation</w:t>
      </w:r>
      <w:r w:rsidR="001A462E" w:rsidRPr="00777BC3">
        <w:rPr>
          <w:noProof/>
        </w:rPr>
        <w:t xml:space="preserve"> providers or to renew their authorisation, as referred to in Article 22(3);</w:t>
      </w:r>
    </w:p>
    <w:p w14:paraId="59ED9B93" w14:textId="38452857" w:rsidR="001A462E" w:rsidRPr="00777BC3" w:rsidRDefault="006D01CD" w:rsidP="006D01CD">
      <w:pPr>
        <w:pStyle w:val="Point1"/>
        <w:rPr>
          <w:noProof/>
        </w:rPr>
      </w:pPr>
      <w:r w:rsidRPr="006D01CD">
        <w:rPr>
          <w:noProof/>
        </w:rPr>
        <w:t>(r)</w:t>
      </w:r>
      <w:r w:rsidRPr="006D01CD">
        <w:rPr>
          <w:noProof/>
        </w:rPr>
        <w:tab/>
      </w:r>
      <w:r w:rsidR="001A462E" w:rsidRPr="00777BC3">
        <w:rPr>
          <w:noProof/>
        </w:rPr>
        <w:t>carry out other tasks assigned to the Executive Director by this Regulation.</w:t>
      </w:r>
    </w:p>
    <w:p w14:paraId="0B7649B8" w14:textId="2BE982A1" w:rsidR="001A462E" w:rsidRPr="00777BC3" w:rsidRDefault="006D01CD" w:rsidP="006D01CD">
      <w:pPr>
        <w:pStyle w:val="ManualNumPar1"/>
        <w:rPr>
          <w:noProof/>
        </w:rPr>
      </w:pPr>
      <w:r w:rsidRPr="006D01CD">
        <w:rPr>
          <w:noProof/>
        </w:rPr>
        <w:t>6.</w:t>
      </w:r>
      <w:r w:rsidRPr="006D01CD">
        <w:rPr>
          <w:noProof/>
        </w:rPr>
        <w:tab/>
      </w:r>
      <w:r w:rsidR="001A462E" w:rsidRPr="00777BC3">
        <w:rPr>
          <w:noProof/>
        </w:rPr>
        <w:t>Where necessary and within ENISA’s objectives and tasks, the Executive Director may set up ad hoc working groups composed of experts, including experts from the Member States’ competent authorities. The Executive Director shall inform the Management Board in advance thereof. The procedures regarding in particular the composition of the working groups, the appointment of the experts of the working groups by the Executive Director and the operation of the working groups shall be specified in ENISA’s internal rules of operation.</w:t>
      </w:r>
    </w:p>
    <w:p w14:paraId="53F6E039" w14:textId="7712EBB5" w:rsidR="001A462E" w:rsidRPr="00777BC3" w:rsidRDefault="006D01CD" w:rsidP="006D01CD">
      <w:pPr>
        <w:pStyle w:val="ManualNumPar1"/>
        <w:rPr>
          <w:noProof/>
        </w:rPr>
      </w:pPr>
      <w:r w:rsidRPr="006D01CD">
        <w:rPr>
          <w:noProof/>
        </w:rPr>
        <w:t>7.</w:t>
      </w:r>
      <w:r w:rsidRPr="006D01CD">
        <w:rPr>
          <w:noProof/>
        </w:rPr>
        <w:tab/>
      </w:r>
      <w:r w:rsidR="001A462E" w:rsidRPr="00777BC3">
        <w:rPr>
          <w:noProof/>
        </w:rPr>
        <w:t>Where necessary for the purpose of carrying out ENISA’s tasks in an efficient and effective manner and based on an appropriate cost-benefit analysis, the Executive Director may decide to establish one or more local offices in one or more Member States. Before deciding to establish a local office, the Executive Director shall seek the opinion of the Member States concerned, including the Member State in which the seat of ENISA is located, and shall obtain the prior consent of the Commission and the Management Board. In cases of disagreement during the consultation process between the Executive Director and the Member States concerned, the issue shall be brought to the Council for discussion. The aggregate number of staff in all local offices shall be kept to a minimum and shall not exceed 40% of the total number of ENISA’s staff located in the Member State in which the seat of ENISA is located. The number of the staff in each local office shall not exceed 10% of the total number of ENISA’s staff located in the Member State in which the seat of ENISA is located.</w:t>
      </w:r>
    </w:p>
    <w:p w14:paraId="4104D661" w14:textId="051E50EB" w:rsidR="001A462E" w:rsidRPr="00777BC3" w:rsidRDefault="006D01CD" w:rsidP="006D01CD">
      <w:pPr>
        <w:pStyle w:val="ManualNumPar1"/>
        <w:rPr>
          <w:noProof/>
        </w:rPr>
      </w:pPr>
      <w:r w:rsidRPr="006D01CD">
        <w:rPr>
          <w:noProof/>
        </w:rPr>
        <w:t>8.</w:t>
      </w:r>
      <w:r w:rsidRPr="006D01CD">
        <w:rPr>
          <w:noProof/>
        </w:rPr>
        <w:tab/>
      </w:r>
      <w:r w:rsidR="001A462E" w:rsidRPr="00777BC3">
        <w:rPr>
          <w:noProof/>
        </w:rPr>
        <w:t>The decision establishing a local office shall specify the scope of the activities to be carried out at the local office in a manner that avoids unnecessary costs and duplication of administrative functions of ENISA.</w:t>
      </w:r>
    </w:p>
    <w:p w14:paraId="71A121C0" w14:textId="77777777" w:rsidR="001A462E" w:rsidRPr="00777BC3" w:rsidRDefault="001A462E" w:rsidP="001A462E">
      <w:pPr>
        <w:jc w:val="center"/>
        <w:rPr>
          <w:b/>
          <w:bCs/>
          <w:noProof/>
        </w:rPr>
      </w:pPr>
    </w:p>
    <w:p w14:paraId="4D98ACC6" w14:textId="77777777" w:rsidR="001A462E" w:rsidRPr="00777BC3" w:rsidRDefault="001A462E" w:rsidP="001A462E">
      <w:pPr>
        <w:jc w:val="center"/>
        <w:rPr>
          <w:b/>
          <w:bCs/>
          <w:noProof/>
        </w:rPr>
      </w:pPr>
      <w:r w:rsidRPr="00777BC3">
        <w:rPr>
          <w:b/>
          <w:bCs/>
          <w:noProof/>
        </w:rPr>
        <w:t>Section 4</w:t>
      </w:r>
      <w:r w:rsidRPr="00777BC3">
        <w:rPr>
          <w:b/>
          <w:bCs/>
          <w:noProof/>
        </w:rPr>
        <w:br/>
        <w:t>Deputy Executive Director</w:t>
      </w:r>
    </w:p>
    <w:p w14:paraId="752902AA" w14:textId="77777777" w:rsidR="001A462E" w:rsidRPr="00777BC3" w:rsidRDefault="001A462E" w:rsidP="001A462E">
      <w:pPr>
        <w:pStyle w:val="Titrearticle"/>
        <w:rPr>
          <w:noProof/>
        </w:rPr>
      </w:pPr>
      <w:r w:rsidRPr="00777BC3">
        <w:rPr>
          <w:noProof/>
        </w:rPr>
        <w:t>Article 33</w:t>
      </w:r>
      <w:r w:rsidRPr="00777BC3">
        <w:rPr>
          <w:noProof/>
        </w:rPr>
        <w:br/>
        <w:t>Deputy Executive Director</w:t>
      </w:r>
    </w:p>
    <w:p w14:paraId="415832B0" w14:textId="20F8D55F" w:rsidR="001A462E" w:rsidRPr="00777BC3" w:rsidRDefault="006D01CD" w:rsidP="006D01CD">
      <w:pPr>
        <w:pStyle w:val="ManualNumPar1"/>
        <w:rPr>
          <w:noProof/>
        </w:rPr>
      </w:pPr>
      <w:r w:rsidRPr="006D01CD">
        <w:rPr>
          <w:noProof/>
        </w:rPr>
        <w:t>1.</w:t>
      </w:r>
      <w:r w:rsidRPr="006D01CD">
        <w:rPr>
          <w:noProof/>
        </w:rPr>
        <w:tab/>
      </w:r>
      <w:r w:rsidR="001A462E" w:rsidRPr="00777BC3">
        <w:rPr>
          <w:noProof/>
        </w:rPr>
        <w:t>The Management Board may decide to create a function of a Deputy Executive Director to assist the Executive Director.</w:t>
      </w:r>
    </w:p>
    <w:p w14:paraId="6F9D5863" w14:textId="0F53E806" w:rsidR="001A462E" w:rsidRPr="00777BC3" w:rsidRDefault="006D01CD" w:rsidP="006D01CD">
      <w:pPr>
        <w:pStyle w:val="ManualNumPar1"/>
        <w:rPr>
          <w:noProof/>
        </w:rPr>
      </w:pPr>
      <w:r w:rsidRPr="006D01CD">
        <w:rPr>
          <w:noProof/>
        </w:rPr>
        <w:t>2.</w:t>
      </w:r>
      <w:r w:rsidRPr="006D01CD">
        <w:rPr>
          <w:noProof/>
        </w:rPr>
        <w:tab/>
      </w:r>
      <w:r w:rsidR="001A462E" w:rsidRPr="00777BC3">
        <w:rPr>
          <w:noProof/>
        </w:rPr>
        <w:t>Where the Management Board decides to create a function of a Deputy Executive Director, the provisions of Article 31 shall apply to the Deputy Executive Director accordingly.</w:t>
      </w:r>
    </w:p>
    <w:p w14:paraId="0254AEA0" w14:textId="77777777" w:rsidR="001A462E" w:rsidRPr="00777BC3" w:rsidRDefault="001A462E" w:rsidP="001A462E">
      <w:pPr>
        <w:pStyle w:val="Titrearticle"/>
        <w:rPr>
          <w:noProof/>
        </w:rPr>
      </w:pPr>
      <w:r w:rsidRPr="00777BC3">
        <w:rPr>
          <w:noProof/>
        </w:rPr>
        <w:t>Article 34</w:t>
      </w:r>
      <w:r w:rsidRPr="00777BC3">
        <w:rPr>
          <w:noProof/>
        </w:rPr>
        <w:br/>
        <w:t>Tasks and responsibilities of the Deputy Executive Director</w:t>
      </w:r>
    </w:p>
    <w:p w14:paraId="05BBEFE5" w14:textId="77777777" w:rsidR="001A462E" w:rsidRPr="00777BC3" w:rsidRDefault="001A462E" w:rsidP="001A462E">
      <w:pPr>
        <w:rPr>
          <w:noProof/>
        </w:rPr>
      </w:pPr>
      <w:r>
        <w:rPr>
          <w:noProof/>
        </w:rPr>
        <w:t>T</w:t>
      </w:r>
      <w:r w:rsidRPr="00777BC3">
        <w:rPr>
          <w:noProof/>
        </w:rPr>
        <w:t>he Deputy Executive Director shall assist the Executive Director in manag</w:t>
      </w:r>
      <w:r>
        <w:rPr>
          <w:noProof/>
        </w:rPr>
        <w:t>ing</w:t>
      </w:r>
      <w:r w:rsidRPr="00777BC3">
        <w:rPr>
          <w:noProof/>
        </w:rPr>
        <w:t xml:space="preserve"> ENISA and in </w:t>
      </w:r>
      <w:r>
        <w:rPr>
          <w:noProof/>
        </w:rPr>
        <w:t>carrying out</w:t>
      </w:r>
      <w:r w:rsidRPr="00777BC3">
        <w:rPr>
          <w:noProof/>
        </w:rPr>
        <w:t xml:space="preserve"> the tasks referred to in Article 32. If the Executive Director is absent or indisposed, or the post is vacant, the Deputy Executive Director shall take </w:t>
      </w:r>
      <w:r>
        <w:rPr>
          <w:noProof/>
        </w:rPr>
        <w:t>their</w:t>
      </w:r>
      <w:r w:rsidRPr="00777BC3">
        <w:rPr>
          <w:noProof/>
        </w:rPr>
        <w:t xml:space="preserve"> place </w:t>
      </w:r>
      <w:r>
        <w:rPr>
          <w:noProof/>
        </w:rPr>
        <w:t xml:space="preserve">during the time of absence or </w:t>
      </w:r>
      <w:r w:rsidRPr="00777BC3">
        <w:rPr>
          <w:noProof/>
        </w:rPr>
        <w:t>until the post is filled.</w:t>
      </w:r>
    </w:p>
    <w:p w14:paraId="15EEC76A" w14:textId="77777777" w:rsidR="00EB4995" w:rsidRDefault="00EB4995" w:rsidP="001A462E">
      <w:pPr>
        <w:jc w:val="center"/>
        <w:rPr>
          <w:b/>
          <w:bCs/>
          <w:noProof/>
        </w:rPr>
      </w:pPr>
    </w:p>
    <w:p w14:paraId="0464DFDB" w14:textId="77777777" w:rsidR="001A462E" w:rsidRPr="00777BC3" w:rsidRDefault="001A462E" w:rsidP="001A462E">
      <w:pPr>
        <w:jc w:val="center"/>
        <w:rPr>
          <w:b/>
          <w:bCs/>
          <w:noProof/>
        </w:rPr>
      </w:pPr>
      <w:r w:rsidRPr="00777BC3">
        <w:rPr>
          <w:b/>
          <w:bCs/>
          <w:noProof/>
        </w:rPr>
        <w:t>Section 5</w:t>
      </w:r>
      <w:r w:rsidRPr="00777BC3">
        <w:rPr>
          <w:b/>
          <w:bCs/>
          <w:noProof/>
        </w:rPr>
        <w:br/>
        <w:t>ENISA Advisory Group</w:t>
      </w:r>
    </w:p>
    <w:p w14:paraId="2CEC7B30" w14:textId="77777777" w:rsidR="001A462E" w:rsidRPr="00777BC3" w:rsidRDefault="001A462E" w:rsidP="001A462E">
      <w:pPr>
        <w:pStyle w:val="Titrearticle"/>
        <w:rPr>
          <w:noProof/>
        </w:rPr>
      </w:pPr>
      <w:r w:rsidRPr="00777BC3">
        <w:rPr>
          <w:noProof/>
        </w:rPr>
        <w:t>Article 35</w:t>
      </w:r>
      <w:r w:rsidRPr="00777BC3">
        <w:rPr>
          <w:noProof/>
        </w:rPr>
        <w:br/>
        <w:t>ENISA Advisory Group</w:t>
      </w:r>
    </w:p>
    <w:p w14:paraId="073E9920" w14:textId="71A984AD" w:rsidR="001A462E" w:rsidRPr="00777BC3" w:rsidRDefault="006D01CD" w:rsidP="006D01CD">
      <w:pPr>
        <w:pStyle w:val="ManualNumPar1"/>
        <w:rPr>
          <w:noProof/>
        </w:rPr>
      </w:pPr>
      <w:r w:rsidRPr="006D01CD">
        <w:rPr>
          <w:noProof/>
        </w:rPr>
        <w:t>1.</w:t>
      </w:r>
      <w:r w:rsidRPr="006D01CD">
        <w:rPr>
          <w:noProof/>
        </w:rPr>
        <w:tab/>
      </w:r>
      <w:r w:rsidR="001A462E" w:rsidRPr="00777BC3">
        <w:rPr>
          <w:noProof/>
        </w:rPr>
        <w:t>The Management Board, acting on a proposal from the Executive Director, shall establish in a transparent manner the ENISA Advisory Group</w:t>
      </w:r>
      <w:r w:rsidR="001A462E">
        <w:rPr>
          <w:noProof/>
        </w:rPr>
        <w:t xml:space="preserve">. The </w:t>
      </w:r>
      <w:r w:rsidR="001A462E" w:rsidRPr="00777BC3">
        <w:rPr>
          <w:noProof/>
        </w:rPr>
        <w:t>ENISA Advisory Group</w:t>
      </w:r>
      <w:r w:rsidR="001A462E">
        <w:rPr>
          <w:noProof/>
        </w:rPr>
        <w:t xml:space="preserve"> shall be</w:t>
      </w:r>
      <w:r w:rsidR="001A462E" w:rsidRPr="00777BC3">
        <w:rPr>
          <w:noProof/>
        </w:rPr>
        <w:t xml:space="preserve"> composed of recognised experts representing relevant stakeholders, such as the cybersecurity industry, ICT industry, SMEs, entities operating in sectors listed in Annexes I and II to Directive (EU) 2022/2555, manufacturers of products with digital elements</w:t>
      </w:r>
      <w:r w:rsidR="001A462E">
        <w:rPr>
          <w:noProof/>
        </w:rPr>
        <w:t xml:space="preserve"> and open-source software stewards</w:t>
      </w:r>
      <w:r w:rsidR="001A462E" w:rsidRPr="00777BC3">
        <w:rPr>
          <w:noProof/>
        </w:rPr>
        <w:t xml:space="preserve"> within the meaning of Regulation (EU) 2024/2847, conformity assessment bodies notified under the European Cybersecurity Certification Framework </w:t>
      </w:r>
      <w:r w:rsidR="001A462E">
        <w:rPr>
          <w:noProof/>
        </w:rPr>
        <w:t xml:space="preserve">referred to in Article 93 </w:t>
      </w:r>
      <w:r w:rsidR="001A462E" w:rsidRPr="00777BC3">
        <w:rPr>
          <w:noProof/>
        </w:rPr>
        <w:t>and Regulation (EU) 2024/2847, entities operating in the area of electronic identification means, consumer groups, academic experts in the field of cybersecurity, European standardisation organisations, as well as law enforcement and data protection supervisory authorities. Those recognised experts shall be nationals of Member States. The Management Board shall aim to ensure an appropriate gender and geographical balance, as well as a balance between the different stakeholder groups.</w:t>
      </w:r>
    </w:p>
    <w:p w14:paraId="078510B2" w14:textId="3E7A3755" w:rsidR="001A462E" w:rsidRPr="00777BC3" w:rsidRDefault="006D01CD" w:rsidP="006D01CD">
      <w:pPr>
        <w:pStyle w:val="ManualNumPar1"/>
        <w:rPr>
          <w:noProof/>
        </w:rPr>
      </w:pPr>
      <w:r w:rsidRPr="006D01CD">
        <w:rPr>
          <w:noProof/>
        </w:rPr>
        <w:t>2.</w:t>
      </w:r>
      <w:r w:rsidRPr="006D01CD">
        <w:rPr>
          <w:noProof/>
        </w:rPr>
        <w:tab/>
      </w:r>
      <w:r w:rsidR="001A462E" w:rsidRPr="00777BC3">
        <w:rPr>
          <w:noProof/>
        </w:rPr>
        <w:t>Procedures for the ENISA Advisory Group, in particular regarding its composition, the proposal by the Executive Director referred to in paragraph 1, the number and appointment of its members and the operation of the ENISA Advisory Group, shall be specified in ENISA’s internal rules of operation and shall be made public.</w:t>
      </w:r>
    </w:p>
    <w:p w14:paraId="16DE3101" w14:textId="697812E8" w:rsidR="001A462E" w:rsidRPr="00777BC3" w:rsidRDefault="006D01CD" w:rsidP="006D01CD">
      <w:pPr>
        <w:pStyle w:val="ManualNumPar1"/>
        <w:rPr>
          <w:noProof/>
        </w:rPr>
      </w:pPr>
      <w:r w:rsidRPr="006D01CD">
        <w:rPr>
          <w:noProof/>
        </w:rPr>
        <w:t>3.</w:t>
      </w:r>
      <w:r w:rsidRPr="006D01CD">
        <w:rPr>
          <w:noProof/>
        </w:rPr>
        <w:tab/>
      </w:r>
      <w:r w:rsidR="001A462E" w:rsidRPr="00777BC3">
        <w:rPr>
          <w:noProof/>
        </w:rPr>
        <w:t>The ENISA Advisory Group shall be chaired by the Executive Director or by any person whom the Executive Director appoints on a case-by-case basis.</w:t>
      </w:r>
    </w:p>
    <w:p w14:paraId="650AB543" w14:textId="22EFED87" w:rsidR="001A462E" w:rsidRPr="00777BC3" w:rsidRDefault="006D01CD" w:rsidP="006D01CD">
      <w:pPr>
        <w:pStyle w:val="ManualNumPar1"/>
        <w:rPr>
          <w:noProof/>
        </w:rPr>
      </w:pPr>
      <w:r w:rsidRPr="006D01CD">
        <w:rPr>
          <w:noProof/>
        </w:rPr>
        <w:t>4.</w:t>
      </w:r>
      <w:r w:rsidRPr="006D01CD">
        <w:rPr>
          <w:noProof/>
        </w:rPr>
        <w:tab/>
      </w:r>
      <w:r w:rsidR="001A462E" w:rsidRPr="00777BC3">
        <w:rPr>
          <w:noProof/>
        </w:rPr>
        <w:t>The term of office of the members of the ENISA Advisory Group shall be two</w:t>
      </w:r>
      <w:r w:rsidR="001A462E">
        <w:rPr>
          <w:noProof/>
        </w:rPr>
        <w:t xml:space="preserve"> </w:t>
      </w:r>
      <w:r w:rsidR="001A462E" w:rsidRPr="00777BC3">
        <w:rPr>
          <w:noProof/>
        </w:rPr>
        <w:t>and</w:t>
      </w:r>
      <w:r w:rsidR="001A462E">
        <w:rPr>
          <w:noProof/>
        </w:rPr>
        <w:t xml:space="preserve"> </w:t>
      </w:r>
      <w:r w:rsidR="001A462E" w:rsidRPr="00777BC3">
        <w:rPr>
          <w:noProof/>
        </w:rPr>
        <w:t>a</w:t>
      </w:r>
      <w:r w:rsidR="001A462E">
        <w:rPr>
          <w:noProof/>
        </w:rPr>
        <w:t xml:space="preserve"> </w:t>
      </w:r>
      <w:r w:rsidR="001A462E" w:rsidRPr="00777BC3">
        <w:rPr>
          <w:noProof/>
        </w:rPr>
        <w:t xml:space="preserve">half years and shall be renewable once. Members of the Management Board shall not be members of the ENISA Advisory Group. </w:t>
      </w:r>
      <w:r w:rsidR="001A462E">
        <w:rPr>
          <w:noProof/>
        </w:rPr>
        <w:t>Experts</w:t>
      </w:r>
      <w:r w:rsidR="001A462E" w:rsidRPr="00777BC3">
        <w:rPr>
          <w:noProof/>
        </w:rPr>
        <w:t xml:space="preserve"> from the Commission and </w:t>
      </w:r>
      <w:r w:rsidR="001A462E">
        <w:rPr>
          <w:noProof/>
        </w:rPr>
        <w:t>experts from</w:t>
      </w:r>
      <w:r w:rsidR="001A462E" w:rsidRPr="00777BC3">
        <w:rPr>
          <w:noProof/>
        </w:rPr>
        <w:t xml:space="preserve"> the Member States shall be entitled to be present at the meetings of the ENISA Advisory Group and to participate in its work. </w:t>
      </w:r>
      <w:r w:rsidR="001A462E">
        <w:rPr>
          <w:noProof/>
        </w:rPr>
        <w:t>The Executive Director may invite r</w:t>
      </w:r>
      <w:r w:rsidR="001A462E" w:rsidRPr="00777BC3">
        <w:rPr>
          <w:noProof/>
        </w:rPr>
        <w:t xml:space="preserve">epresentatives of other bodies </w:t>
      </w:r>
      <w:r w:rsidR="001A462E">
        <w:rPr>
          <w:noProof/>
        </w:rPr>
        <w:t>that</w:t>
      </w:r>
      <w:r w:rsidR="001A462E" w:rsidRPr="00777BC3">
        <w:rPr>
          <w:noProof/>
        </w:rPr>
        <w:t xml:space="preserve"> are not members of the ENISA Advisory Group, to attend the meetings of the ENISA Advisory Group and to participate in its work.</w:t>
      </w:r>
    </w:p>
    <w:p w14:paraId="66D8AEE1" w14:textId="77E18D20" w:rsidR="001A462E" w:rsidRPr="00777BC3" w:rsidRDefault="006D01CD" w:rsidP="006D01CD">
      <w:pPr>
        <w:pStyle w:val="ManualNumPar1"/>
        <w:rPr>
          <w:noProof/>
        </w:rPr>
      </w:pPr>
      <w:r w:rsidRPr="006D01CD">
        <w:rPr>
          <w:noProof/>
        </w:rPr>
        <w:t>5.</w:t>
      </w:r>
      <w:r w:rsidRPr="006D01CD">
        <w:rPr>
          <w:noProof/>
        </w:rPr>
        <w:tab/>
      </w:r>
      <w:r w:rsidR="001A462E" w:rsidRPr="00777BC3">
        <w:rPr>
          <w:noProof/>
        </w:rPr>
        <w:t xml:space="preserve">The ENISA Advisory Group shall advise ENISA in respect of the performance of ENISA’s tasks, except </w:t>
      </w:r>
      <w:r w:rsidR="001A462E">
        <w:rPr>
          <w:noProof/>
        </w:rPr>
        <w:t>for</w:t>
      </w:r>
      <w:r w:rsidR="001A462E" w:rsidRPr="00777BC3">
        <w:rPr>
          <w:noProof/>
        </w:rPr>
        <w:t xml:space="preserve"> the application of the provisions of Titles III, IV and V of this Regulation. It shall in particular advise the Executive Director on the drawing up of a proposal for ENISA’s annual work programme, and on ensuring communication with the relevant stakeholders on issues related to the annual work programme.</w:t>
      </w:r>
    </w:p>
    <w:p w14:paraId="21B9E6AD" w14:textId="49485B40" w:rsidR="001A462E" w:rsidRPr="00777BC3" w:rsidRDefault="006D01CD" w:rsidP="006D01CD">
      <w:pPr>
        <w:pStyle w:val="ManualNumPar1"/>
        <w:rPr>
          <w:noProof/>
        </w:rPr>
      </w:pPr>
      <w:r w:rsidRPr="006D01CD">
        <w:rPr>
          <w:noProof/>
        </w:rPr>
        <w:t>6.</w:t>
      </w:r>
      <w:r w:rsidRPr="006D01CD">
        <w:rPr>
          <w:noProof/>
        </w:rPr>
        <w:tab/>
      </w:r>
      <w:r w:rsidR="001A462E" w:rsidRPr="00777BC3">
        <w:rPr>
          <w:noProof/>
        </w:rPr>
        <w:t>The ENISA Advisory Group shall inform the Management Board of its activities on a regular basis.</w:t>
      </w:r>
    </w:p>
    <w:p w14:paraId="73D334C4" w14:textId="4550D6AC" w:rsidR="001A462E" w:rsidRPr="00777BC3" w:rsidRDefault="006D01CD" w:rsidP="006D01CD">
      <w:pPr>
        <w:pStyle w:val="ManualNumPar1"/>
        <w:rPr>
          <w:noProof/>
        </w:rPr>
      </w:pPr>
      <w:r w:rsidRPr="006D01CD">
        <w:rPr>
          <w:noProof/>
        </w:rPr>
        <w:t>7.</w:t>
      </w:r>
      <w:r w:rsidRPr="006D01CD">
        <w:rPr>
          <w:noProof/>
        </w:rPr>
        <w:tab/>
      </w:r>
      <w:r w:rsidR="001A462E" w:rsidRPr="00777BC3">
        <w:rPr>
          <w:noProof/>
        </w:rPr>
        <w:t>ENISA shall provide the logistic</w:t>
      </w:r>
      <w:r w:rsidR="001A462E">
        <w:rPr>
          <w:noProof/>
        </w:rPr>
        <w:t>al</w:t>
      </w:r>
      <w:r w:rsidR="001A462E" w:rsidRPr="00777BC3">
        <w:rPr>
          <w:noProof/>
        </w:rPr>
        <w:t xml:space="preserve"> support necessary for the ENISA Advisory Group and provide a secretariat for its meetings.</w:t>
      </w:r>
    </w:p>
    <w:p w14:paraId="089C2CB5" w14:textId="77777777" w:rsidR="00BB4658" w:rsidRDefault="00BB4658" w:rsidP="001A462E">
      <w:pPr>
        <w:jc w:val="center"/>
        <w:rPr>
          <w:b/>
          <w:bCs/>
          <w:noProof/>
        </w:rPr>
      </w:pPr>
    </w:p>
    <w:p w14:paraId="6A6BC5A3" w14:textId="77777777" w:rsidR="001A462E" w:rsidRPr="00777BC3" w:rsidRDefault="001A462E" w:rsidP="001A462E">
      <w:pPr>
        <w:jc w:val="center"/>
        <w:rPr>
          <w:b/>
          <w:bCs/>
          <w:noProof/>
        </w:rPr>
      </w:pPr>
      <w:r w:rsidRPr="00777BC3">
        <w:rPr>
          <w:b/>
          <w:bCs/>
          <w:noProof/>
        </w:rPr>
        <w:t>Section 6</w:t>
      </w:r>
      <w:r w:rsidRPr="00777BC3">
        <w:rPr>
          <w:b/>
          <w:bCs/>
          <w:noProof/>
        </w:rPr>
        <w:br/>
        <w:t>Board of Appeal</w:t>
      </w:r>
    </w:p>
    <w:p w14:paraId="4389ECA9" w14:textId="77777777" w:rsidR="001A462E" w:rsidRPr="00777BC3" w:rsidRDefault="001A462E" w:rsidP="001A462E">
      <w:pPr>
        <w:pStyle w:val="Titrearticle"/>
        <w:rPr>
          <w:noProof/>
        </w:rPr>
      </w:pPr>
      <w:r w:rsidRPr="00777BC3">
        <w:rPr>
          <w:noProof/>
        </w:rPr>
        <w:t>Article 36</w:t>
      </w:r>
      <w:r w:rsidRPr="00777BC3">
        <w:rPr>
          <w:noProof/>
        </w:rPr>
        <w:br/>
        <w:t>Creation and composition of the Board of Appeal</w:t>
      </w:r>
    </w:p>
    <w:p w14:paraId="1D48DF32" w14:textId="41ADD854" w:rsidR="001A462E" w:rsidRPr="00777BC3" w:rsidRDefault="006D01CD" w:rsidP="006D01CD">
      <w:pPr>
        <w:pStyle w:val="ManualNumPar1"/>
        <w:rPr>
          <w:noProof/>
        </w:rPr>
      </w:pPr>
      <w:r w:rsidRPr="006D01CD">
        <w:rPr>
          <w:noProof/>
        </w:rPr>
        <w:t>1.</w:t>
      </w:r>
      <w:r w:rsidRPr="006D01CD">
        <w:rPr>
          <w:noProof/>
        </w:rPr>
        <w:tab/>
      </w:r>
      <w:r w:rsidR="001A462E" w:rsidRPr="00777BC3">
        <w:rPr>
          <w:noProof/>
        </w:rPr>
        <w:t>ENISA shall establish a Board of Appeal by a decision of the Management Board.</w:t>
      </w:r>
    </w:p>
    <w:p w14:paraId="0FA745CD" w14:textId="6E800E34" w:rsidR="001A462E" w:rsidRPr="00777BC3" w:rsidRDefault="006D01CD" w:rsidP="006D01CD">
      <w:pPr>
        <w:pStyle w:val="ManualNumPar1"/>
        <w:rPr>
          <w:noProof/>
        </w:rPr>
      </w:pPr>
      <w:r w:rsidRPr="006D01CD">
        <w:rPr>
          <w:noProof/>
        </w:rPr>
        <w:t>2.</w:t>
      </w:r>
      <w:r w:rsidRPr="006D01CD">
        <w:rPr>
          <w:noProof/>
        </w:rPr>
        <w:tab/>
      </w:r>
      <w:r w:rsidR="001A462E" w:rsidRPr="00777BC3">
        <w:rPr>
          <w:noProof/>
        </w:rPr>
        <w:t xml:space="preserve">The Board of Appeal shall be composed of a Chairperson and three other members. Each member of the Board of Appeal shall have an alternate. The alternate shall represent the member in </w:t>
      </w:r>
      <w:r w:rsidR="001A462E">
        <w:rPr>
          <w:noProof/>
        </w:rPr>
        <w:t>their</w:t>
      </w:r>
      <w:r w:rsidR="001A462E" w:rsidRPr="00777BC3">
        <w:rPr>
          <w:noProof/>
        </w:rPr>
        <w:t xml:space="preserve"> absence.</w:t>
      </w:r>
    </w:p>
    <w:p w14:paraId="1F2D8BA3" w14:textId="38C4BC7E" w:rsidR="001A462E" w:rsidRPr="00777BC3" w:rsidRDefault="006D01CD" w:rsidP="006D01CD">
      <w:pPr>
        <w:pStyle w:val="ManualNumPar1"/>
        <w:rPr>
          <w:noProof/>
        </w:rPr>
      </w:pPr>
      <w:r w:rsidRPr="006D01CD">
        <w:rPr>
          <w:noProof/>
        </w:rPr>
        <w:t>3.</w:t>
      </w:r>
      <w:r w:rsidRPr="006D01CD">
        <w:rPr>
          <w:noProof/>
        </w:rPr>
        <w:tab/>
      </w:r>
      <w:r w:rsidR="001A462E" w:rsidRPr="00777BC3">
        <w:rPr>
          <w:noProof/>
        </w:rPr>
        <w:t>The Management Board shall appoint the Chairperson, the other members and their alternates from a list of qualified candidates established by the Commission.</w:t>
      </w:r>
      <w:r w:rsidR="001A462E">
        <w:rPr>
          <w:noProof/>
        </w:rPr>
        <w:t xml:space="preserve"> The list of qualified candidates shall be valid for four years.</w:t>
      </w:r>
      <w:r w:rsidR="001A462E" w:rsidRPr="005E0B23">
        <w:rPr>
          <w:noProof/>
        </w:rPr>
        <w:t xml:space="preserve"> </w:t>
      </w:r>
      <w:r w:rsidR="001A462E">
        <w:rPr>
          <w:noProof/>
        </w:rPr>
        <w:t xml:space="preserve">The validity of this list </w:t>
      </w:r>
      <w:r w:rsidR="001A462E" w:rsidRPr="00777BC3">
        <w:rPr>
          <w:noProof/>
        </w:rPr>
        <w:t xml:space="preserve">may be </w:t>
      </w:r>
      <w:r w:rsidR="001A462E">
        <w:rPr>
          <w:noProof/>
        </w:rPr>
        <w:t>extended</w:t>
      </w:r>
      <w:r w:rsidR="001A462E" w:rsidRPr="00777BC3">
        <w:rPr>
          <w:noProof/>
        </w:rPr>
        <w:t xml:space="preserve"> by the Management Board for additional four-year periods acting on a proposal from the Commission.</w:t>
      </w:r>
    </w:p>
    <w:p w14:paraId="3152AE9A" w14:textId="75898BCA" w:rsidR="001A462E" w:rsidRPr="00777BC3" w:rsidRDefault="006D01CD" w:rsidP="006D01CD">
      <w:pPr>
        <w:pStyle w:val="ManualNumPar1"/>
        <w:rPr>
          <w:noProof/>
        </w:rPr>
      </w:pPr>
      <w:r w:rsidRPr="006D01CD">
        <w:rPr>
          <w:noProof/>
        </w:rPr>
        <w:t>4.</w:t>
      </w:r>
      <w:r w:rsidRPr="006D01CD">
        <w:rPr>
          <w:noProof/>
        </w:rPr>
        <w:tab/>
      </w:r>
      <w:r w:rsidR="001A462E" w:rsidRPr="00777BC3">
        <w:rPr>
          <w:noProof/>
        </w:rPr>
        <w:t>Where the Board of Appeal considers that the nature of the appeal so requires, it may request the Management Board to appoint two additional members and their alternates from the list referred to in paragraph 3.</w:t>
      </w:r>
    </w:p>
    <w:p w14:paraId="4C01213D" w14:textId="6593E372" w:rsidR="001A462E" w:rsidRPr="00777BC3" w:rsidRDefault="006D01CD" w:rsidP="006D01CD">
      <w:pPr>
        <w:pStyle w:val="ManualNumPar1"/>
        <w:rPr>
          <w:noProof/>
        </w:rPr>
      </w:pPr>
      <w:r w:rsidRPr="006D01CD">
        <w:rPr>
          <w:noProof/>
        </w:rPr>
        <w:t>5.</w:t>
      </w:r>
      <w:r w:rsidRPr="006D01CD">
        <w:rPr>
          <w:noProof/>
        </w:rPr>
        <w:tab/>
      </w:r>
      <w:r w:rsidR="001A462E" w:rsidRPr="00777BC3">
        <w:rPr>
          <w:noProof/>
        </w:rPr>
        <w:t>The Board of Appeal shall adopt and make public its rules of procedure.</w:t>
      </w:r>
    </w:p>
    <w:p w14:paraId="6264EC16" w14:textId="77777777" w:rsidR="001A462E" w:rsidRPr="00777BC3" w:rsidRDefault="001A462E" w:rsidP="001A462E">
      <w:pPr>
        <w:pStyle w:val="Titrearticle"/>
        <w:rPr>
          <w:noProof/>
        </w:rPr>
      </w:pPr>
      <w:r w:rsidRPr="00777BC3">
        <w:rPr>
          <w:noProof/>
        </w:rPr>
        <w:t>Article 37</w:t>
      </w:r>
      <w:r w:rsidRPr="00777BC3">
        <w:rPr>
          <w:noProof/>
        </w:rPr>
        <w:br/>
        <w:t>Members of the Board of Appeal</w:t>
      </w:r>
    </w:p>
    <w:p w14:paraId="54C1FA68" w14:textId="62B219C7" w:rsidR="001A462E" w:rsidRPr="00777BC3" w:rsidRDefault="006D01CD" w:rsidP="006D01CD">
      <w:pPr>
        <w:pStyle w:val="ManualNumPar1"/>
        <w:rPr>
          <w:noProof/>
        </w:rPr>
      </w:pPr>
      <w:r w:rsidRPr="006D01CD">
        <w:rPr>
          <w:noProof/>
        </w:rPr>
        <w:t>1.</w:t>
      </w:r>
      <w:r w:rsidRPr="006D01CD">
        <w:rPr>
          <w:noProof/>
        </w:rPr>
        <w:tab/>
      </w:r>
      <w:r w:rsidR="001A462E" w:rsidRPr="00777BC3">
        <w:rPr>
          <w:noProof/>
        </w:rPr>
        <w:t xml:space="preserve">The term of office of the members and alternates of the Board of Appeal shall be four years. Their term of office may be </w:t>
      </w:r>
      <w:r w:rsidR="001A462E">
        <w:rPr>
          <w:noProof/>
        </w:rPr>
        <w:t>renewed</w:t>
      </w:r>
      <w:r w:rsidR="001A462E" w:rsidRPr="00777BC3">
        <w:rPr>
          <w:noProof/>
        </w:rPr>
        <w:t xml:space="preserve"> by the Management Board for additional four-year periods acting on a proposal from the Commission.</w:t>
      </w:r>
    </w:p>
    <w:p w14:paraId="30B04FA2" w14:textId="79AA6868" w:rsidR="001A462E" w:rsidRPr="00777BC3" w:rsidRDefault="006D01CD" w:rsidP="006D01CD">
      <w:pPr>
        <w:pStyle w:val="ManualNumPar1"/>
        <w:rPr>
          <w:noProof/>
        </w:rPr>
      </w:pPr>
      <w:r w:rsidRPr="006D01CD">
        <w:rPr>
          <w:noProof/>
        </w:rPr>
        <w:t>2.</w:t>
      </w:r>
      <w:r w:rsidRPr="006D01CD">
        <w:rPr>
          <w:noProof/>
        </w:rPr>
        <w:tab/>
      </w:r>
      <w:r w:rsidR="001A462E" w:rsidRPr="00777BC3">
        <w:rPr>
          <w:noProof/>
        </w:rPr>
        <w:t xml:space="preserve">The members of the Board of Appeal shall be independent and shall not perform any other duties within ENISA. In making their decisions they shall neither seek nor take instructions from </w:t>
      </w:r>
      <w:r w:rsidR="001A462E" w:rsidRPr="001B7819">
        <w:rPr>
          <w:noProof/>
        </w:rPr>
        <w:t>any government</w:t>
      </w:r>
      <w:r w:rsidR="001A462E">
        <w:rPr>
          <w:noProof/>
        </w:rPr>
        <w:t>,</w:t>
      </w:r>
      <w:r w:rsidR="001A462E" w:rsidRPr="001B7819" w:rsidDel="00542189">
        <w:rPr>
          <w:noProof/>
        </w:rPr>
        <w:t xml:space="preserve"> </w:t>
      </w:r>
      <w:r w:rsidR="001A462E" w:rsidRPr="001B7819">
        <w:rPr>
          <w:noProof/>
        </w:rPr>
        <w:t>any other body</w:t>
      </w:r>
      <w:r w:rsidR="001A462E">
        <w:rPr>
          <w:noProof/>
        </w:rPr>
        <w:t xml:space="preserve"> or any private entity</w:t>
      </w:r>
      <w:r w:rsidR="001A462E" w:rsidRPr="00777BC3">
        <w:rPr>
          <w:noProof/>
        </w:rPr>
        <w:t>.</w:t>
      </w:r>
    </w:p>
    <w:p w14:paraId="76EBCA3F" w14:textId="7E7F6DF6" w:rsidR="001A462E" w:rsidRPr="00777BC3" w:rsidRDefault="006D01CD" w:rsidP="006D01CD">
      <w:pPr>
        <w:pStyle w:val="ManualNumPar1"/>
        <w:rPr>
          <w:noProof/>
        </w:rPr>
      </w:pPr>
      <w:r w:rsidRPr="006D01CD">
        <w:rPr>
          <w:noProof/>
        </w:rPr>
        <w:t>3.</w:t>
      </w:r>
      <w:r w:rsidRPr="006D01CD">
        <w:rPr>
          <w:noProof/>
        </w:rPr>
        <w:tab/>
      </w:r>
      <w:r w:rsidR="001A462E" w:rsidRPr="00777BC3">
        <w:rPr>
          <w:noProof/>
        </w:rPr>
        <w:t>The members of the Board of Appeal shall not be removed from office or from the list of qualified candidates during their term of office, unless there are serious grounds for such removal and the Management Board takes a decision to that effect, acting on a proposal from the Commission.</w:t>
      </w:r>
    </w:p>
    <w:p w14:paraId="4EBACF44" w14:textId="77777777" w:rsidR="001A462E" w:rsidRPr="00777BC3" w:rsidRDefault="001A462E" w:rsidP="001A462E">
      <w:pPr>
        <w:pStyle w:val="Titrearticle"/>
        <w:rPr>
          <w:noProof/>
        </w:rPr>
      </w:pPr>
      <w:r w:rsidRPr="00777BC3">
        <w:rPr>
          <w:noProof/>
        </w:rPr>
        <w:t>Article 38</w:t>
      </w:r>
      <w:r w:rsidRPr="00777BC3">
        <w:rPr>
          <w:noProof/>
        </w:rPr>
        <w:br/>
        <w:t>Exclusion and objection</w:t>
      </w:r>
    </w:p>
    <w:p w14:paraId="6FAE519F" w14:textId="298C17F2" w:rsidR="001A462E" w:rsidRPr="00777BC3" w:rsidRDefault="006D01CD" w:rsidP="006D01CD">
      <w:pPr>
        <w:pStyle w:val="ManualNumPar1"/>
        <w:rPr>
          <w:noProof/>
        </w:rPr>
      </w:pPr>
      <w:r w:rsidRPr="006D01CD">
        <w:rPr>
          <w:noProof/>
        </w:rPr>
        <w:t>1.</w:t>
      </w:r>
      <w:r w:rsidRPr="006D01CD">
        <w:rPr>
          <w:noProof/>
        </w:rPr>
        <w:tab/>
      </w:r>
      <w:r w:rsidR="001A462E" w:rsidRPr="00777BC3">
        <w:rPr>
          <w:noProof/>
        </w:rPr>
        <w:t>The members of the Board of Appeal shall not take part in any appeal proceedings if they have any personal interest in the proceedings, if they have previously been involved as representatives of one of the parties to the proceedings, or if they participated in the adoption of the decision under appeal.</w:t>
      </w:r>
    </w:p>
    <w:p w14:paraId="0D7E2C83" w14:textId="7A0EEC4C" w:rsidR="001A462E" w:rsidRPr="00777BC3" w:rsidRDefault="006D01CD" w:rsidP="006D01CD">
      <w:pPr>
        <w:pStyle w:val="ManualNumPar1"/>
        <w:rPr>
          <w:noProof/>
        </w:rPr>
      </w:pPr>
      <w:r w:rsidRPr="006D01CD">
        <w:rPr>
          <w:noProof/>
        </w:rPr>
        <w:t>2.</w:t>
      </w:r>
      <w:r w:rsidRPr="006D01CD">
        <w:rPr>
          <w:noProof/>
        </w:rPr>
        <w:tab/>
      </w:r>
      <w:r w:rsidR="001A462E" w:rsidRPr="00777BC3">
        <w:rPr>
          <w:noProof/>
        </w:rPr>
        <w:t xml:space="preserve">If, for one of the reasons listed in paragraph 1 or for any other reason, a member of a Board of Appeal considers that </w:t>
      </w:r>
      <w:r w:rsidR="001A462E">
        <w:rPr>
          <w:noProof/>
        </w:rPr>
        <w:t>they</w:t>
      </w:r>
      <w:r w:rsidR="001A462E" w:rsidRPr="00777BC3">
        <w:rPr>
          <w:noProof/>
        </w:rPr>
        <w:t xml:space="preserve"> should not take part in any appeal proceeding, </w:t>
      </w:r>
      <w:r w:rsidR="001A462E">
        <w:rPr>
          <w:noProof/>
        </w:rPr>
        <w:t>they</w:t>
      </w:r>
      <w:r w:rsidR="001A462E" w:rsidRPr="00777BC3">
        <w:rPr>
          <w:noProof/>
        </w:rPr>
        <w:t xml:space="preserve"> shall inform the Board of Appeal accordingly.</w:t>
      </w:r>
    </w:p>
    <w:p w14:paraId="3C7E58DC" w14:textId="3F494CAA" w:rsidR="001A462E" w:rsidRPr="00777BC3" w:rsidRDefault="006D01CD" w:rsidP="006D01CD">
      <w:pPr>
        <w:pStyle w:val="ManualNumPar1"/>
        <w:rPr>
          <w:noProof/>
        </w:rPr>
      </w:pPr>
      <w:r w:rsidRPr="006D01CD">
        <w:rPr>
          <w:noProof/>
        </w:rPr>
        <w:t>3.</w:t>
      </w:r>
      <w:r w:rsidRPr="006D01CD">
        <w:rPr>
          <w:noProof/>
        </w:rPr>
        <w:tab/>
      </w:r>
      <w:r w:rsidR="001A462E" w:rsidRPr="00777BC3">
        <w:rPr>
          <w:noProof/>
        </w:rPr>
        <w:t xml:space="preserve">A party to the appeal proceedings may object to any member of a Board of Appeal on any of the grounds </w:t>
      </w:r>
      <w:r w:rsidR="001A462E">
        <w:rPr>
          <w:noProof/>
        </w:rPr>
        <w:t>listed</w:t>
      </w:r>
      <w:r w:rsidR="001A462E" w:rsidRPr="00777BC3">
        <w:rPr>
          <w:noProof/>
        </w:rPr>
        <w:t xml:space="preserve"> in paragraph 1, or if the member is suspected of partiality. Any such objection shall not be admissible if, while being aware of a reason for objecting, the party to the appeal proceedings has taken a procedural step. No objection may be based on the nationality of members</w:t>
      </w:r>
      <w:r w:rsidR="001A462E">
        <w:rPr>
          <w:noProof/>
        </w:rPr>
        <w:t xml:space="preserve"> of the Board of Appeal</w:t>
      </w:r>
      <w:r w:rsidR="001A462E" w:rsidRPr="00777BC3">
        <w:rPr>
          <w:noProof/>
        </w:rPr>
        <w:t>.</w:t>
      </w:r>
    </w:p>
    <w:p w14:paraId="5623BD66" w14:textId="1F13379D" w:rsidR="001A462E" w:rsidRPr="00777BC3" w:rsidRDefault="006D01CD" w:rsidP="006D01CD">
      <w:pPr>
        <w:pStyle w:val="ManualNumPar1"/>
        <w:rPr>
          <w:noProof/>
        </w:rPr>
      </w:pPr>
      <w:r w:rsidRPr="006D01CD">
        <w:rPr>
          <w:noProof/>
        </w:rPr>
        <w:t>4.</w:t>
      </w:r>
      <w:r w:rsidRPr="006D01CD">
        <w:rPr>
          <w:noProof/>
        </w:rPr>
        <w:tab/>
      </w:r>
      <w:r w:rsidR="001A462E" w:rsidRPr="00777BC3">
        <w:rPr>
          <w:noProof/>
        </w:rPr>
        <w:t xml:space="preserve">The Board of Appeal shall decide as to the action to be taken in the cases specified in paragraphs 2 and 3 without the participation of the member concerned. For the purposes of taking that decision, the member concerned shall be replaced on the Board of Appeal by </w:t>
      </w:r>
      <w:r w:rsidR="001A462E">
        <w:rPr>
          <w:noProof/>
        </w:rPr>
        <w:t>their</w:t>
      </w:r>
      <w:r w:rsidR="001A462E" w:rsidRPr="00777BC3">
        <w:rPr>
          <w:noProof/>
        </w:rPr>
        <w:t xml:space="preserve"> alternate.</w:t>
      </w:r>
    </w:p>
    <w:p w14:paraId="3425C4DA" w14:textId="77777777" w:rsidR="001A462E" w:rsidRPr="00777BC3" w:rsidRDefault="001A462E" w:rsidP="001A462E">
      <w:pPr>
        <w:pStyle w:val="Titrearticle"/>
        <w:rPr>
          <w:noProof/>
        </w:rPr>
      </w:pPr>
      <w:r w:rsidRPr="00777BC3">
        <w:rPr>
          <w:noProof/>
        </w:rPr>
        <w:t>Article 39</w:t>
      </w:r>
      <w:r w:rsidRPr="00777BC3">
        <w:rPr>
          <w:noProof/>
        </w:rPr>
        <w:br/>
        <w:t>Appeals against decisions and failures to act</w:t>
      </w:r>
    </w:p>
    <w:p w14:paraId="27FDAE06" w14:textId="0CAB34BF" w:rsidR="001A462E" w:rsidRDefault="006D01CD" w:rsidP="006D01CD">
      <w:pPr>
        <w:pStyle w:val="ManualNumPar1"/>
        <w:rPr>
          <w:noProof/>
        </w:rPr>
      </w:pPr>
      <w:r w:rsidRPr="006D01CD">
        <w:rPr>
          <w:noProof/>
        </w:rPr>
        <w:t>1.</w:t>
      </w:r>
      <w:r w:rsidRPr="006D01CD">
        <w:rPr>
          <w:noProof/>
        </w:rPr>
        <w:tab/>
      </w:r>
      <w:r w:rsidR="001A462E" w:rsidRPr="00777BC3">
        <w:rPr>
          <w:noProof/>
        </w:rPr>
        <w:t>An appeal may be brought before the Board of Appeal against</w:t>
      </w:r>
      <w:r w:rsidR="001A462E">
        <w:rPr>
          <w:noProof/>
        </w:rPr>
        <w:t>:</w:t>
      </w:r>
    </w:p>
    <w:p w14:paraId="4A09D2F4" w14:textId="138C692A" w:rsidR="001A462E" w:rsidRDefault="006D01CD" w:rsidP="006D01CD">
      <w:pPr>
        <w:pStyle w:val="Point1"/>
        <w:rPr>
          <w:noProof/>
        </w:rPr>
      </w:pPr>
      <w:r w:rsidRPr="006D01CD">
        <w:rPr>
          <w:noProof/>
        </w:rPr>
        <w:t>(a)</w:t>
      </w:r>
      <w:r w:rsidRPr="006D01CD">
        <w:rPr>
          <w:noProof/>
        </w:rPr>
        <w:tab/>
      </w:r>
      <w:r w:rsidR="001A462E" w:rsidRPr="00777BC3">
        <w:rPr>
          <w:noProof/>
        </w:rPr>
        <w:t xml:space="preserve">decisions </w:t>
      </w:r>
      <w:r w:rsidR="001A462E">
        <w:rPr>
          <w:noProof/>
        </w:rPr>
        <w:t>adopted</w:t>
      </w:r>
      <w:r w:rsidR="001A462E" w:rsidRPr="00777BC3">
        <w:rPr>
          <w:noProof/>
        </w:rPr>
        <w:t xml:space="preserve"> by ENISA pursuant to Article 22(3)</w:t>
      </w:r>
      <w:r w:rsidR="001A462E">
        <w:rPr>
          <w:noProof/>
        </w:rPr>
        <w:t>;</w:t>
      </w:r>
    </w:p>
    <w:p w14:paraId="75EEAC03" w14:textId="24EC2D23" w:rsidR="001A462E" w:rsidRPr="00777BC3" w:rsidRDefault="006D01CD" w:rsidP="006D01CD">
      <w:pPr>
        <w:pStyle w:val="Point1"/>
        <w:rPr>
          <w:noProof/>
        </w:rPr>
      </w:pPr>
      <w:r w:rsidRPr="006D01CD">
        <w:rPr>
          <w:noProof/>
        </w:rPr>
        <w:t>(b)</w:t>
      </w:r>
      <w:r w:rsidRPr="006D01CD">
        <w:rPr>
          <w:noProof/>
        </w:rPr>
        <w:tab/>
      </w:r>
      <w:r w:rsidR="001A462E" w:rsidRPr="00777BC3">
        <w:rPr>
          <w:noProof/>
        </w:rPr>
        <w:t>ENISA</w:t>
      </w:r>
      <w:r w:rsidR="001A462E">
        <w:rPr>
          <w:noProof/>
        </w:rPr>
        <w:t>’s failure</w:t>
      </w:r>
      <w:r w:rsidR="001A462E" w:rsidRPr="00777BC3">
        <w:rPr>
          <w:noProof/>
        </w:rPr>
        <w:t xml:space="preserve"> to act within the applicable time limits laid down in Article 22(4</w:t>
      </w:r>
      <w:r w:rsidR="0074565D">
        <w:rPr>
          <w:noProof/>
        </w:rPr>
        <w:t>)</w:t>
      </w:r>
      <w:r w:rsidR="001A462E" w:rsidRPr="00777BC3">
        <w:rPr>
          <w:noProof/>
        </w:rPr>
        <w:t xml:space="preserve">. </w:t>
      </w:r>
    </w:p>
    <w:p w14:paraId="6049D2F8" w14:textId="2DF180EF" w:rsidR="001A462E" w:rsidRPr="00FE65B0" w:rsidRDefault="006D01CD" w:rsidP="006D01CD">
      <w:pPr>
        <w:pStyle w:val="ManualNumPar1"/>
        <w:rPr>
          <w:noProof/>
        </w:rPr>
      </w:pPr>
      <w:r w:rsidRPr="006D01CD">
        <w:rPr>
          <w:noProof/>
        </w:rPr>
        <w:t>2.</w:t>
      </w:r>
      <w:r w:rsidRPr="006D01CD">
        <w:rPr>
          <w:noProof/>
        </w:rPr>
        <w:tab/>
      </w:r>
      <w:r w:rsidR="001A462E" w:rsidRPr="00FE65B0">
        <w:rPr>
          <w:noProof/>
        </w:rPr>
        <w:t>An appeal brought pursuant to paragraph 1 shall be subject to interlocutory revision in accordance with Article 41 before being put to the Board of Appeal for examination.</w:t>
      </w:r>
    </w:p>
    <w:p w14:paraId="0B2F52E2" w14:textId="1E6F4688" w:rsidR="001A462E" w:rsidRPr="00777BC3" w:rsidRDefault="006D01CD" w:rsidP="006D01CD">
      <w:pPr>
        <w:pStyle w:val="ManualNumPar1"/>
        <w:rPr>
          <w:noProof/>
        </w:rPr>
      </w:pPr>
      <w:r w:rsidRPr="006D01CD">
        <w:rPr>
          <w:noProof/>
        </w:rPr>
        <w:t>3.</w:t>
      </w:r>
      <w:r w:rsidRPr="006D01CD">
        <w:rPr>
          <w:noProof/>
        </w:rPr>
        <w:tab/>
      </w:r>
      <w:r w:rsidR="001A462E" w:rsidRPr="00777BC3">
        <w:rPr>
          <w:noProof/>
        </w:rPr>
        <w:t>An appeal brought pursuant to paragraph 1 shall not have a suspens</w:t>
      </w:r>
      <w:r w:rsidR="001A462E">
        <w:rPr>
          <w:noProof/>
        </w:rPr>
        <w:t>ive</w:t>
      </w:r>
      <w:r w:rsidR="001A462E" w:rsidRPr="00777BC3">
        <w:rPr>
          <w:noProof/>
        </w:rPr>
        <w:t xml:space="preserve"> effect.</w:t>
      </w:r>
    </w:p>
    <w:p w14:paraId="318B52F6" w14:textId="77777777" w:rsidR="001A462E" w:rsidRPr="00777BC3" w:rsidRDefault="001A462E" w:rsidP="001A462E">
      <w:pPr>
        <w:pStyle w:val="Titrearticle"/>
        <w:rPr>
          <w:noProof/>
        </w:rPr>
      </w:pPr>
      <w:r w:rsidRPr="00777BC3">
        <w:rPr>
          <w:noProof/>
        </w:rPr>
        <w:t>Article 40</w:t>
      </w:r>
      <w:r w:rsidRPr="00777BC3">
        <w:rPr>
          <w:noProof/>
        </w:rPr>
        <w:br/>
        <w:t>Persons entitled to appeal, time limit and form</w:t>
      </w:r>
    </w:p>
    <w:p w14:paraId="48FA7D4F" w14:textId="324F11EC" w:rsidR="001A462E" w:rsidRDefault="006D01CD" w:rsidP="006D01CD">
      <w:pPr>
        <w:pStyle w:val="ManualNumPar1"/>
        <w:rPr>
          <w:noProof/>
        </w:rPr>
      </w:pPr>
      <w:r w:rsidRPr="006D01CD">
        <w:rPr>
          <w:noProof/>
        </w:rPr>
        <w:t>1.</w:t>
      </w:r>
      <w:r w:rsidRPr="006D01CD">
        <w:rPr>
          <w:noProof/>
        </w:rPr>
        <w:tab/>
      </w:r>
      <w:r w:rsidR="001A462E" w:rsidRPr="00777BC3">
        <w:rPr>
          <w:noProof/>
        </w:rPr>
        <w:t>Applicants within the meaning of Article 21(3) may appeal against</w:t>
      </w:r>
    </w:p>
    <w:p w14:paraId="4CA626A6" w14:textId="6A67FC83" w:rsidR="001A462E" w:rsidRDefault="006D01CD" w:rsidP="006D01CD">
      <w:pPr>
        <w:pStyle w:val="Point1"/>
        <w:rPr>
          <w:noProof/>
        </w:rPr>
      </w:pPr>
      <w:r w:rsidRPr="006D01CD">
        <w:rPr>
          <w:noProof/>
        </w:rPr>
        <w:t>(a)</w:t>
      </w:r>
      <w:r w:rsidRPr="006D01CD">
        <w:rPr>
          <w:noProof/>
        </w:rPr>
        <w:tab/>
      </w:r>
      <w:r w:rsidR="001A462E" w:rsidRPr="00777BC3">
        <w:rPr>
          <w:noProof/>
        </w:rPr>
        <w:t>a decision of ENISA addressed to them, pursuant to Article 22(3)</w:t>
      </w:r>
      <w:r w:rsidR="003166C1">
        <w:rPr>
          <w:noProof/>
        </w:rPr>
        <w:t>;</w:t>
      </w:r>
    </w:p>
    <w:p w14:paraId="1D259E2D" w14:textId="6CF4121E" w:rsidR="001A462E" w:rsidRPr="00777BC3" w:rsidRDefault="006D01CD" w:rsidP="006D01CD">
      <w:pPr>
        <w:pStyle w:val="Point1"/>
        <w:rPr>
          <w:noProof/>
        </w:rPr>
      </w:pPr>
      <w:r w:rsidRPr="006D01CD">
        <w:rPr>
          <w:noProof/>
        </w:rPr>
        <w:t>(b)</w:t>
      </w:r>
      <w:r w:rsidRPr="006D01CD">
        <w:rPr>
          <w:noProof/>
        </w:rPr>
        <w:tab/>
      </w:r>
      <w:r w:rsidR="001A462E" w:rsidRPr="00777BC3">
        <w:rPr>
          <w:noProof/>
        </w:rPr>
        <w:t>ENISA</w:t>
      </w:r>
      <w:r w:rsidR="001A462E">
        <w:rPr>
          <w:noProof/>
        </w:rPr>
        <w:t xml:space="preserve">’s failure </w:t>
      </w:r>
      <w:r w:rsidR="001A462E" w:rsidRPr="00777BC3">
        <w:rPr>
          <w:noProof/>
        </w:rPr>
        <w:t xml:space="preserve">to act </w:t>
      </w:r>
      <w:r w:rsidR="001A462E">
        <w:rPr>
          <w:noProof/>
        </w:rPr>
        <w:t xml:space="preserve">in respect of an application submitted by them to ENISA </w:t>
      </w:r>
      <w:r w:rsidR="001A462E" w:rsidRPr="00777BC3">
        <w:rPr>
          <w:noProof/>
        </w:rPr>
        <w:t xml:space="preserve">within the applicable time limits </w:t>
      </w:r>
      <w:r w:rsidR="001A462E">
        <w:rPr>
          <w:noProof/>
        </w:rPr>
        <w:t>laid down</w:t>
      </w:r>
      <w:r w:rsidR="001A462E" w:rsidRPr="00777BC3">
        <w:rPr>
          <w:noProof/>
        </w:rPr>
        <w:t xml:space="preserve"> in Article 22(4).</w:t>
      </w:r>
    </w:p>
    <w:p w14:paraId="4731DF17" w14:textId="6C289BF6" w:rsidR="001A462E" w:rsidRPr="00BC5518" w:rsidRDefault="006D01CD" w:rsidP="006D01CD">
      <w:pPr>
        <w:pStyle w:val="ManualNumPar1"/>
        <w:rPr>
          <w:noProof/>
        </w:rPr>
      </w:pPr>
      <w:r w:rsidRPr="006D01CD">
        <w:rPr>
          <w:noProof/>
        </w:rPr>
        <w:t>2.</w:t>
      </w:r>
      <w:r w:rsidRPr="006D01CD">
        <w:rPr>
          <w:noProof/>
        </w:rPr>
        <w:tab/>
      </w:r>
      <w:r w:rsidR="001A462E" w:rsidRPr="00376F66">
        <w:rPr>
          <w:noProof/>
        </w:rPr>
        <w:t>In the case referred to in paragraph 1, point (a),</w:t>
      </w:r>
      <w:r w:rsidR="001A462E">
        <w:rPr>
          <w:noProof/>
        </w:rPr>
        <w:t xml:space="preserve"> t</w:t>
      </w:r>
      <w:r w:rsidR="001A462E" w:rsidRPr="00777BC3">
        <w:rPr>
          <w:noProof/>
        </w:rPr>
        <w:t xml:space="preserve">he appeal, together with the statement of grounds thereof, shall be filed in writing in accordance with the rules of procedure referred to in Article 36(5) within </w:t>
      </w:r>
      <w:r w:rsidR="001A462E">
        <w:rPr>
          <w:noProof/>
        </w:rPr>
        <w:t>two</w:t>
      </w:r>
      <w:r w:rsidR="001A462E" w:rsidRPr="00777BC3">
        <w:rPr>
          <w:noProof/>
        </w:rPr>
        <w:t xml:space="preserve"> months of notification of the decision to the applicant concerned, </w:t>
      </w:r>
      <w:r w:rsidR="001A462E" w:rsidRPr="00BC5518">
        <w:rPr>
          <w:noProof/>
        </w:rPr>
        <w:t xml:space="preserve">or, </w:t>
      </w:r>
      <w:r w:rsidR="001A462E" w:rsidRPr="00DC6238">
        <w:rPr>
          <w:noProof/>
        </w:rPr>
        <w:t xml:space="preserve">in the absence thereof, </w:t>
      </w:r>
      <w:r w:rsidR="001A462E" w:rsidRPr="00BC5518">
        <w:rPr>
          <w:noProof/>
        </w:rPr>
        <w:t xml:space="preserve">of the day on which </w:t>
      </w:r>
      <w:r w:rsidR="001A462E" w:rsidRPr="00DC6238">
        <w:rPr>
          <w:noProof/>
        </w:rPr>
        <w:t>the decision</w:t>
      </w:r>
      <w:r w:rsidR="001A462E" w:rsidRPr="00BC5518">
        <w:rPr>
          <w:noProof/>
        </w:rPr>
        <w:t xml:space="preserve"> came to the knowledge of </w:t>
      </w:r>
      <w:r w:rsidR="001A462E" w:rsidRPr="00DC6238">
        <w:rPr>
          <w:noProof/>
        </w:rPr>
        <w:t xml:space="preserve">the </w:t>
      </w:r>
      <w:r w:rsidR="001A462E" w:rsidRPr="00BC5518">
        <w:rPr>
          <w:noProof/>
        </w:rPr>
        <w:t>applicant.</w:t>
      </w:r>
    </w:p>
    <w:p w14:paraId="5F485EC7" w14:textId="104CC4DA" w:rsidR="001A462E" w:rsidRPr="00777BC3" w:rsidRDefault="006D01CD" w:rsidP="006D01CD">
      <w:pPr>
        <w:pStyle w:val="ManualNumPar1"/>
        <w:rPr>
          <w:noProof/>
        </w:rPr>
      </w:pPr>
      <w:r w:rsidRPr="006D01CD">
        <w:rPr>
          <w:noProof/>
        </w:rPr>
        <w:t>3.</w:t>
      </w:r>
      <w:r w:rsidRPr="006D01CD">
        <w:rPr>
          <w:noProof/>
        </w:rPr>
        <w:tab/>
      </w:r>
      <w:r w:rsidR="001A462E">
        <w:rPr>
          <w:noProof/>
        </w:rPr>
        <w:t>In the case referred to in paragraph 1, point (b), the appeal</w:t>
      </w:r>
      <w:r w:rsidR="001A462E" w:rsidRPr="00777BC3">
        <w:rPr>
          <w:noProof/>
        </w:rPr>
        <w:t xml:space="preserve"> shall be filed with ENISA in writing </w:t>
      </w:r>
      <w:r w:rsidR="001A462E" w:rsidRPr="00E367A2">
        <w:rPr>
          <w:noProof/>
        </w:rPr>
        <w:t>in accordance with the rules of procedure referred to in Article 36(5)</w:t>
      </w:r>
      <w:r w:rsidR="001A462E" w:rsidRPr="00777BC3">
        <w:rPr>
          <w:noProof/>
        </w:rPr>
        <w:t xml:space="preserve"> within </w:t>
      </w:r>
      <w:r w:rsidR="001A462E">
        <w:rPr>
          <w:noProof/>
        </w:rPr>
        <w:t>two</w:t>
      </w:r>
      <w:r w:rsidR="001A462E" w:rsidRPr="00777BC3">
        <w:rPr>
          <w:noProof/>
        </w:rPr>
        <w:t xml:space="preserve"> months of the </w:t>
      </w:r>
      <w:r w:rsidR="001A462E">
        <w:rPr>
          <w:noProof/>
        </w:rPr>
        <w:t>day of</w:t>
      </w:r>
      <w:r w:rsidR="001A462E" w:rsidRPr="00777BC3">
        <w:rPr>
          <w:noProof/>
        </w:rPr>
        <w:t xml:space="preserve"> expiry of the time limit set out in Article</w:t>
      </w:r>
      <w:r w:rsidR="001A462E">
        <w:rPr>
          <w:noProof/>
        </w:rPr>
        <w:t xml:space="preserve"> 22(4)</w:t>
      </w:r>
      <w:r w:rsidR="001A462E" w:rsidRPr="00777BC3">
        <w:rPr>
          <w:noProof/>
        </w:rPr>
        <w:t>.</w:t>
      </w:r>
    </w:p>
    <w:p w14:paraId="7668E7EF" w14:textId="77777777" w:rsidR="001A462E" w:rsidRPr="00777BC3" w:rsidRDefault="001A462E" w:rsidP="001A462E">
      <w:pPr>
        <w:pStyle w:val="Titrearticle"/>
        <w:rPr>
          <w:noProof/>
        </w:rPr>
      </w:pPr>
      <w:r w:rsidRPr="00777BC3">
        <w:rPr>
          <w:noProof/>
        </w:rPr>
        <w:t>Article 41</w:t>
      </w:r>
      <w:r w:rsidRPr="00777BC3">
        <w:rPr>
          <w:noProof/>
        </w:rPr>
        <w:br/>
        <w:t>Interlocutory revision</w:t>
      </w:r>
    </w:p>
    <w:p w14:paraId="3196AE64" w14:textId="299E167E" w:rsidR="001A462E" w:rsidRPr="00777BC3" w:rsidRDefault="006D01CD" w:rsidP="006D01CD">
      <w:pPr>
        <w:pStyle w:val="ManualNumPar1"/>
        <w:rPr>
          <w:noProof/>
        </w:rPr>
      </w:pPr>
      <w:r w:rsidRPr="006D01CD">
        <w:rPr>
          <w:noProof/>
        </w:rPr>
        <w:t>1.</w:t>
      </w:r>
      <w:r w:rsidRPr="006D01CD">
        <w:rPr>
          <w:noProof/>
        </w:rPr>
        <w:tab/>
      </w:r>
      <w:r w:rsidR="001A462E" w:rsidRPr="00777BC3">
        <w:rPr>
          <w:noProof/>
        </w:rPr>
        <w:t xml:space="preserve">If ENISA considers the appeal to be admissible and well founded, it shall rectify the decision or failure to act referred to in Article 40(1). </w:t>
      </w:r>
    </w:p>
    <w:p w14:paraId="7CAD01D3" w14:textId="1EFEA21E" w:rsidR="001A462E" w:rsidRPr="00777BC3" w:rsidRDefault="006D01CD" w:rsidP="006D01CD">
      <w:pPr>
        <w:pStyle w:val="ManualNumPar1"/>
        <w:rPr>
          <w:noProof/>
        </w:rPr>
      </w:pPr>
      <w:r w:rsidRPr="006D01CD">
        <w:rPr>
          <w:noProof/>
        </w:rPr>
        <w:t>2.</w:t>
      </w:r>
      <w:r w:rsidRPr="006D01CD">
        <w:rPr>
          <w:noProof/>
        </w:rPr>
        <w:tab/>
      </w:r>
      <w:r w:rsidR="001A462E" w:rsidRPr="00777BC3">
        <w:rPr>
          <w:noProof/>
        </w:rPr>
        <w:t>If</w:t>
      </w:r>
      <w:r w:rsidR="001A462E">
        <w:rPr>
          <w:noProof/>
        </w:rPr>
        <w:t xml:space="preserve"> ENISA does not rectify</w:t>
      </w:r>
      <w:r w:rsidR="001A462E" w:rsidRPr="00777BC3">
        <w:rPr>
          <w:noProof/>
        </w:rPr>
        <w:t xml:space="preserve"> the decision within </w:t>
      </w:r>
      <w:r w:rsidR="001A462E">
        <w:rPr>
          <w:noProof/>
        </w:rPr>
        <w:t>one</w:t>
      </w:r>
      <w:r w:rsidR="001A462E" w:rsidRPr="00777BC3">
        <w:rPr>
          <w:noProof/>
        </w:rPr>
        <w:t xml:space="preserve"> month after receipt of the appeal, </w:t>
      </w:r>
      <w:r w:rsidR="001A462E">
        <w:rPr>
          <w:noProof/>
        </w:rPr>
        <w:t>it</w:t>
      </w:r>
      <w:r w:rsidR="001A462E" w:rsidRPr="00777BC3">
        <w:rPr>
          <w:noProof/>
        </w:rPr>
        <w:t xml:space="preserve"> shall </w:t>
      </w:r>
      <w:r w:rsidR="001A462E">
        <w:rPr>
          <w:noProof/>
        </w:rPr>
        <w:t>immediately</w:t>
      </w:r>
      <w:r w:rsidR="001A462E" w:rsidRPr="00777BC3">
        <w:rPr>
          <w:noProof/>
        </w:rPr>
        <w:t xml:space="preserve"> decide whether to suspend the application of its decision and shall refer the appeal to the Board of Appeal.</w:t>
      </w:r>
    </w:p>
    <w:p w14:paraId="142BF125" w14:textId="77777777" w:rsidR="001A462E" w:rsidRPr="00777BC3" w:rsidRDefault="001A462E" w:rsidP="001A462E">
      <w:pPr>
        <w:pStyle w:val="Titrearticle"/>
        <w:rPr>
          <w:noProof/>
        </w:rPr>
      </w:pPr>
      <w:r w:rsidRPr="00777BC3">
        <w:rPr>
          <w:noProof/>
        </w:rPr>
        <w:t>Article 42</w:t>
      </w:r>
      <w:r w:rsidRPr="00777BC3">
        <w:rPr>
          <w:noProof/>
        </w:rPr>
        <w:br/>
        <w:t>Examination of decisions on appeals</w:t>
      </w:r>
    </w:p>
    <w:p w14:paraId="74CEC4B9" w14:textId="3BC8BCC5" w:rsidR="001A462E" w:rsidRPr="00777BC3" w:rsidRDefault="006D01CD" w:rsidP="006D01CD">
      <w:pPr>
        <w:pStyle w:val="ManualNumPar1"/>
        <w:rPr>
          <w:noProof/>
        </w:rPr>
      </w:pPr>
      <w:r w:rsidRPr="006D01CD">
        <w:rPr>
          <w:noProof/>
        </w:rPr>
        <w:t>1.</w:t>
      </w:r>
      <w:r w:rsidRPr="006D01CD">
        <w:rPr>
          <w:noProof/>
        </w:rPr>
        <w:tab/>
      </w:r>
      <w:r w:rsidR="001A462E" w:rsidRPr="00777BC3">
        <w:rPr>
          <w:noProof/>
        </w:rPr>
        <w:t xml:space="preserve">The Board of Appeal shall decide within </w:t>
      </w:r>
      <w:r w:rsidR="001A462E">
        <w:rPr>
          <w:noProof/>
        </w:rPr>
        <w:t>three</w:t>
      </w:r>
      <w:r w:rsidR="001A462E" w:rsidRPr="00777BC3">
        <w:rPr>
          <w:noProof/>
        </w:rPr>
        <w:t xml:space="preserve"> months of the appeal being filed whether to grant or refuse that appeal. When examining an appeal, the Board of Appeal shall act within the deadlines laid down in its rules of procedure. It shall, as often as necessary, invite the parties to the appeal proceedings to file, within specified time limits, observations on its notifications or on communications from other parties to the appeal proceedings. Parties to the appeal proceedings shall be entitled to make oral representations.</w:t>
      </w:r>
    </w:p>
    <w:p w14:paraId="3B5DD475" w14:textId="714694D6" w:rsidR="001A462E" w:rsidRPr="00777BC3" w:rsidRDefault="006D01CD" w:rsidP="006D01CD">
      <w:pPr>
        <w:pStyle w:val="ManualNumPar1"/>
        <w:rPr>
          <w:noProof/>
        </w:rPr>
      </w:pPr>
      <w:r w:rsidRPr="006D01CD">
        <w:rPr>
          <w:noProof/>
        </w:rPr>
        <w:t>2.</w:t>
      </w:r>
      <w:r w:rsidRPr="006D01CD">
        <w:rPr>
          <w:noProof/>
        </w:rPr>
        <w:tab/>
      </w:r>
      <w:r w:rsidR="001A462E" w:rsidRPr="00777BC3">
        <w:rPr>
          <w:noProof/>
        </w:rPr>
        <w:t>Where the Board of Appeal finds that the grounds for appeal are founded, it shall remit the case to ENISA. ENISA shall take its final decision in compliance with the findings of the Board of Appeal and shall provide a statement of reasons for that decision. ENISA shall inform the parties to the appeal proceedings accordingly.</w:t>
      </w:r>
    </w:p>
    <w:p w14:paraId="19AC7209" w14:textId="77777777" w:rsidR="001A462E" w:rsidRPr="00777BC3" w:rsidRDefault="001A462E" w:rsidP="001A462E">
      <w:pPr>
        <w:pStyle w:val="Titrearticle"/>
        <w:rPr>
          <w:noProof/>
        </w:rPr>
      </w:pPr>
      <w:r w:rsidRPr="00777BC3">
        <w:rPr>
          <w:noProof/>
        </w:rPr>
        <w:t>Article 43</w:t>
      </w:r>
      <w:r w:rsidRPr="00777BC3">
        <w:rPr>
          <w:noProof/>
        </w:rPr>
        <w:br/>
        <w:t>Actions before the Court of Justice of the European Union</w:t>
      </w:r>
    </w:p>
    <w:p w14:paraId="079F7B78" w14:textId="087E5319" w:rsidR="001A462E" w:rsidRPr="00777BC3" w:rsidRDefault="006D01CD" w:rsidP="006D01CD">
      <w:pPr>
        <w:pStyle w:val="ManualNumPar1"/>
        <w:rPr>
          <w:noProof/>
        </w:rPr>
      </w:pPr>
      <w:r w:rsidRPr="006D01CD">
        <w:rPr>
          <w:noProof/>
        </w:rPr>
        <w:t>1.</w:t>
      </w:r>
      <w:r w:rsidRPr="006D01CD">
        <w:rPr>
          <w:noProof/>
        </w:rPr>
        <w:tab/>
      </w:r>
      <w:r w:rsidR="001A462E" w:rsidRPr="00777BC3">
        <w:rPr>
          <w:noProof/>
        </w:rPr>
        <w:t xml:space="preserve">Actions for the annulment of decisions of ENISA </w:t>
      </w:r>
      <w:r w:rsidR="001A462E">
        <w:rPr>
          <w:noProof/>
        </w:rPr>
        <w:t>adopted</w:t>
      </w:r>
      <w:r w:rsidR="001A462E" w:rsidRPr="00777BC3">
        <w:rPr>
          <w:noProof/>
        </w:rPr>
        <w:t xml:space="preserve"> pursuant to Article 22(3), or </w:t>
      </w:r>
      <w:r w:rsidR="001A462E">
        <w:rPr>
          <w:noProof/>
        </w:rPr>
        <w:t>actions</w:t>
      </w:r>
      <w:r w:rsidR="001A462E" w:rsidRPr="00777BC3">
        <w:rPr>
          <w:noProof/>
        </w:rPr>
        <w:t xml:space="preserve"> for failure to act within the applicable time limits pursuant to Article 22(4), may be brought before the Court of Justice of the European Union</w:t>
      </w:r>
      <w:r w:rsidR="001A462E">
        <w:rPr>
          <w:noProof/>
        </w:rPr>
        <w:t xml:space="preserve">, </w:t>
      </w:r>
      <w:r w:rsidR="001A462E" w:rsidRPr="00777BC3">
        <w:rPr>
          <w:noProof/>
        </w:rPr>
        <w:t xml:space="preserve">after the appeal procedure within ENISA </w:t>
      </w:r>
      <w:r w:rsidR="001A462E">
        <w:rPr>
          <w:noProof/>
        </w:rPr>
        <w:t xml:space="preserve">laid down </w:t>
      </w:r>
      <w:r w:rsidR="001A462E" w:rsidRPr="00777BC3">
        <w:rPr>
          <w:noProof/>
        </w:rPr>
        <w:t>in  Article</w:t>
      </w:r>
      <w:r w:rsidR="001A462E">
        <w:rPr>
          <w:noProof/>
        </w:rPr>
        <w:t>s</w:t>
      </w:r>
      <w:r w:rsidR="001A462E" w:rsidRPr="00777BC3">
        <w:rPr>
          <w:noProof/>
        </w:rPr>
        <w:t xml:space="preserve"> 39 </w:t>
      </w:r>
      <w:r w:rsidR="001A462E">
        <w:rPr>
          <w:noProof/>
        </w:rPr>
        <w:t>to 42</w:t>
      </w:r>
      <w:r w:rsidR="001A462E" w:rsidRPr="00777BC3">
        <w:rPr>
          <w:noProof/>
        </w:rPr>
        <w:t xml:space="preserve"> has been exhausted</w:t>
      </w:r>
      <w:r w:rsidR="001A462E">
        <w:rPr>
          <w:noProof/>
        </w:rPr>
        <w:t xml:space="preserve"> or in the event of failure to act within the applicable time limit pursuant to Article 41(2)</w:t>
      </w:r>
      <w:r w:rsidR="001A462E" w:rsidRPr="00777BC3">
        <w:rPr>
          <w:noProof/>
        </w:rPr>
        <w:t>.</w:t>
      </w:r>
    </w:p>
    <w:p w14:paraId="0C5066EA" w14:textId="29F07326" w:rsidR="001A462E" w:rsidRPr="00777BC3" w:rsidRDefault="006D01CD" w:rsidP="006D01CD">
      <w:pPr>
        <w:pStyle w:val="ManualNumPar1"/>
        <w:rPr>
          <w:noProof/>
        </w:rPr>
      </w:pPr>
      <w:r w:rsidRPr="006D01CD">
        <w:rPr>
          <w:noProof/>
        </w:rPr>
        <w:t>2.</w:t>
      </w:r>
      <w:r w:rsidRPr="006D01CD">
        <w:rPr>
          <w:noProof/>
        </w:rPr>
        <w:tab/>
      </w:r>
      <w:r w:rsidR="001A462E" w:rsidRPr="00777BC3">
        <w:rPr>
          <w:noProof/>
        </w:rPr>
        <w:t>ENISA shall take all necessary measures to comply with the judgment of the Court of Justice of the European Union.</w:t>
      </w:r>
    </w:p>
    <w:p w14:paraId="0388DAF4" w14:textId="77777777" w:rsidR="001A462E" w:rsidRPr="00777BC3" w:rsidRDefault="001A462E" w:rsidP="001A462E">
      <w:pPr>
        <w:rPr>
          <w:noProof/>
        </w:rPr>
      </w:pPr>
    </w:p>
    <w:p w14:paraId="3444821B" w14:textId="77777777" w:rsidR="001A462E" w:rsidRPr="00777BC3" w:rsidRDefault="001A462E" w:rsidP="001A462E">
      <w:pPr>
        <w:jc w:val="center"/>
        <w:rPr>
          <w:b/>
          <w:bCs/>
          <w:noProof/>
        </w:rPr>
      </w:pPr>
      <w:r w:rsidRPr="00777BC3">
        <w:rPr>
          <w:b/>
          <w:bCs/>
          <w:noProof/>
        </w:rPr>
        <w:t>Section 7</w:t>
      </w:r>
      <w:r w:rsidRPr="00777BC3">
        <w:rPr>
          <w:b/>
          <w:bCs/>
          <w:noProof/>
        </w:rPr>
        <w:br/>
        <w:t>Operations</w:t>
      </w:r>
    </w:p>
    <w:p w14:paraId="434019E1" w14:textId="77777777" w:rsidR="001A462E" w:rsidRPr="00777BC3" w:rsidRDefault="001A462E" w:rsidP="001A462E">
      <w:pPr>
        <w:pStyle w:val="Titrearticle"/>
        <w:rPr>
          <w:noProof/>
        </w:rPr>
      </w:pPr>
      <w:r w:rsidRPr="00777BC3">
        <w:rPr>
          <w:noProof/>
        </w:rPr>
        <w:t>Article 44</w:t>
      </w:r>
      <w:r w:rsidRPr="00777BC3">
        <w:rPr>
          <w:noProof/>
        </w:rPr>
        <w:br/>
        <w:t xml:space="preserve">Single </w:t>
      </w:r>
      <w:r>
        <w:rPr>
          <w:noProof/>
        </w:rPr>
        <w:t>p</w:t>
      </w:r>
      <w:r w:rsidRPr="00777BC3">
        <w:rPr>
          <w:noProof/>
        </w:rPr>
        <w:t xml:space="preserve">rogramming </w:t>
      </w:r>
      <w:r>
        <w:rPr>
          <w:noProof/>
        </w:rPr>
        <w:t>d</w:t>
      </w:r>
      <w:r w:rsidRPr="00777BC3">
        <w:rPr>
          <w:noProof/>
        </w:rPr>
        <w:t>ocument</w:t>
      </w:r>
    </w:p>
    <w:p w14:paraId="0D2D9EF0" w14:textId="627126F5" w:rsidR="001A462E" w:rsidRPr="00777BC3" w:rsidRDefault="006D01CD" w:rsidP="006D01CD">
      <w:pPr>
        <w:pStyle w:val="ManualNumPar1"/>
        <w:rPr>
          <w:noProof/>
        </w:rPr>
      </w:pPr>
      <w:r w:rsidRPr="006D01CD">
        <w:rPr>
          <w:noProof/>
        </w:rPr>
        <w:t>1.</w:t>
      </w:r>
      <w:r w:rsidRPr="006D01CD">
        <w:rPr>
          <w:noProof/>
        </w:rPr>
        <w:tab/>
      </w:r>
      <w:r w:rsidR="001A462E" w:rsidRPr="00777BC3">
        <w:rPr>
          <w:noProof/>
        </w:rPr>
        <w:t xml:space="preserve">ENISA shall operate in accordance with a single programming document containing its annual and multiannual </w:t>
      </w:r>
      <w:r w:rsidR="001A462E">
        <w:rPr>
          <w:noProof/>
        </w:rPr>
        <w:t>work programme</w:t>
      </w:r>
      <w:r w:rsidR="001A462E" w:rsidRPr="00777BC3">
        <w:rPr>
          <w:noProof/>
        </w:rPr>
        <w:t>, which shall include all of its planned activities.</w:t>
      </w:r>
    </w:p>
    <w:p w14:paraId="2A371AA1" w14:textId="1D305672" w:rsidR="001A462E" w:rsidRPr="00777BC3" w:rsidRDefault="006D01CD" w:rsidP="006D01CD">
      <w:pPr>
        <w:pStyle w:val="ManualNumPar1"/>
        <w:rPr>
          <w:noProof/>
        </w:rPr>
      </w:pPr>
      <w:r w:rsidRPr="006D01CD">
        <w:rPr>
          <w:noProof/>
        </w:rPr>
        <w:t>2.</w:t>
      </w:r>
      <w:r w:rsidRPr="006D01CD">
        <w:rPr>
          <w:noProof/>
        </w:rPr>
        <w:tab/>
      </w:r>
      <w:r w:rsidR="001A462E" w:rsidRPr="00777BC3">
        <w:rPr>
          <w:noProof/>
        </w:rPr>
        <w:t>Each year, the Executive Director shall draw up a draft single programming document</w:t>
      </w:r>
      <w:r w:rsidR="001A462E">
        <w:rPr>
          <w:noProof/>
        </w:rPr>
        <w:t>, as referred to in paragraph 1,</w:t>
      </w:r>
      <w:r w:rsidR="001A462E" w:rsidRPr="00777BC3">
        <w:rPr>
          <w:noProof/>
        </w:rPr>
        <w:t xml:space="preserve"> with the corresponding financial and human resources planning in accordance with Article 32 of Commission Delegated Regulation (EU) 2019/715</w:t>
      </w:r>
      <w:r w:rsidR="001A462E">
        <w:rPr>
          <w:rStyle w:val="FootnoteReference"/>
          <w:noProof/>
        </w:rPr>
        <w:footnoteReference w:id="75"/>
      </w:r>
      <w:r w:rsidR="001A462E" w:rsidRPr="00777BC3">
        <w:rPr>
          <w:noProof/>
        </w:rPr>
        <w:t xml:space="preserve"> and taking into account the guidelines set by the Commission.</w:t>
      </w:r>
    </w:p>
    <w:p w14:paraId="1F056A3B" w14:textId="62DB96AD" w:rsidR="001A462E" w:rsidRPr="00777BC3" w:rsidRDefault="006D01CD" w:rsidP="006D01CD">
      <w:pPr>
        <w:pStyle w:val="ManualNumPar1"/>
        <w:rPr>
          <w:noProof/>
        </w:rPr>
      </w:pPr>
      <w:r w:rsidRPr="006D01CD">
        <w:rPr>
          <w:noProof/>
        </w:rPr>
        <w:t>3.</w:t>
      </w:r>
      <w:r w:rsidRPr="006D01CD">
        <w:rPr>
          <w:noProof/>
        </w:rPr>
        <w:tab/>
      </w:r>
      <w:r w:rsidR="001A462E" w:rsidRPr="00777BC3">
        <w:rPr>
          <w:noProof/>
        </w:rPr>
        <w:t>By 30 November each year, the Management Board shall adopt the single programming document referred to in paragraph 1, taking into account the opinion of the Commission</w:t>
      </w:r>
      <w:r w:rsidR="001A462E" w:rsidRPr="001155CF">
        <w:rPr>
          <w:noProof/>
        </w:rPr>
        <w:t xml:space="preserve"> referred to in Article 32(7) of Delegated Regulation (EU) 2019/715</w:t>
      </w:r>
      <w:r w:rsidR="001A462E" w:rsidRPr="00777BC3">
        <w:rPr>
          <w:noProof/>
        </w:rPr>
        <w:t>. If the Management Board decides not to take into account any elements of the opinion of the Commission, it shall provide thorough justification for that decision. The Management Board shall forward the single programming document to the European Parliament, to the Council and to the Commission by 31 January of the following year, as well as any subsequently updated versions of that document.</w:t>
      </w:r>
    </w:p>
    <w:p w14:paraId="2DC927CF" w14:textId="12A519CD" w:rsidR="001A462E" w:rsidRPr="00777BC3" w:rsidRDefault="006D01CD" w:rsidP="006D01CD">
      <w:pPr>
        <w:pStyle w:val="ManualNumPar1"/>
        <w:rPr>
          <w:noProof/>
        </w:rPr>
      </w:pPr>
      <w:r w:rsidRPr="006D01CD">
        <w:rPr>
          <w:noProof/>
        </w:rPr>
        <w:t>4.</w:t>
      </w:r>
      <w:r w:rsidRPr="006D01CD">
        <w:rPr>
          <w:noProof/>
        </w:rPr>
        <w:tab/>
      </w:r>
      <w:r w:rsidR="001A462E" w:rsidRPr="00777BC3">
        <w:rPr>
          <w:noProof/>
        </w:rPr>
        <w:t>The single programming document shall become final after the definitive adoption of the general budget of the Union and shall be adjusted as necessary.</w:t>
      </w:r>
    </w:p>
    <w:p w14:paraId="190909E4" w14:textId="579F3AF1" w:rsidR="001A462E" w:rsidRPr="00777BC3" w:rsidRDefault="006D01CD" w:rsidP="006D01CD">
      <w:pPr>
        <w:pStyle w:val="ManualNumPar1"/>
        <w:rPr>
          <w:noProof/>
        </w:rPr>
      </w:pPr>
      <w:r w:rsidRPr="006D01CD">
        <w:rPr>
          <w:noProof/>
        </w:rPr>
        <w:t>5.</w:t>
      </w:r>
      <w:r w:rsidRPr="006D01CD">
        <w:rPr>
          <w:noProof/>
        </w:rPr>
        <w:tab/>
      </w:r>
      <w:r w:rsidR="001A462E" w:rsidRPr="00777BC3">
        <w:rPr>
          <w:noProof/>
        </w:rPr>
        <w:t>The annual work programme shall comprise detailed objectives and expected results including performance indicators. It shall also contain a description of the actions to be financed and an indication of the financial and human resources allocated to each action, in accordance with the principles of activity-based budgeting and management. The annual work programme shall be coherent with the multiannual work programme referred to in paragraph 7. It shall clearly indicate tasks that have been added, changed or deleted in comparison with the previous financial year.</w:t>
      </w:r>
    </w:p>
    <w:p w14:paraId="0ACD3391" w14:textId="29811213" w:rsidR="001A462E" w:rsidRPr="00777BC3" w:rsidRDefault="006D01CD" w:rsidP="006D01CD">
      <w:pPr>
        <w:pStyle w:val="ManualNumPar1"/>
        <w:rPr>
          <w:noProof/>
        </w:rPr>
      </w:pPr>
      <w:r w:rsidRPr="006D01CD">
        <w:rPr>
          <w:noProof/>
        </w:rPr>
        <w:t>6.</w:t>
      </w:r>
      <w:r w:rsidRPr="006D01CD">
        <w:rPr>
          <w:noProof/>
        </w:rPr>
        <w:tab/>
      </w:r>
      <w:r w:rsidR="001A462E" w:rsidRPr="00777BC3">
        <w:rPr>
          <w:noProof/>
        </w:rPr>
        <w:t>The Management Board shall amend the adopted annual work programme when a new task is assigned to ENISA. Any substantial amendments to the annual work programme shall be adopted by the same procedure as for the initial annual work programme. The Management Board may delegate the power to make non-substantial amendments to the annual work programme to the Executive Director.</w:t>
      </w:r>
    </w:p>
    <w:p w14:paraId="7D3FFCF1" w14:textId="376E9CC5" w:rsidR="001A462E" w:rsidRPr="00777BC3" w:rsidRDefault="006D01CD" w:rsidP="006D01CD">
      <w:pPr>
        <w:pStyle w:val="ManualNumPar1"/>
        <w:rPr>
          <w:noProof/>
        </w:rPr>
      </w:pPr>
      <w:r w:rsidRPr="006D01CD">
        <w:rPr>
          <w:noProof/>
        </w:rPr>
        <w:t>7.</w:t>
      </w:r>
      <w:r w:rsidRPr="006D01CD">
        <w:rPr>
          <w:noProof/>
        </w:rPr>
        <w:tab/>
      </w:r>
      <w:r w:rsidR="001A462E" w:rsidRPr="00777BC3">
        <w:rPr>
          <w:noProof/>
        </w:rPr>
        <w:t>The multiannual work programme shall set out the overall strategic programming including objectives, expected results and performance indicators. It shall also set out the resource programming including multiannual budget and staff.</w:t>
      </w:r>
    </w:p>
    <w:p w14:paraId="1AD79D64" w14:textId="3E755C9C" w:rsidR="001A462E" w:rsidRPr="00777BC3" w:rsidRDefault="006D01CD" w:rsidP="006D01CD">
      <w:pPr>
        <w:pStyle w:val="ManualNumPar1"/>
        <w:rPr>
          <w:noProof/>
        </w:rPr>
      </w:pPr>
      <w:r w:rsidRPr="006D01CD">
        <w:rPr>
          <w:noProof/>
        </w:rPr>
        <w:t>8.</w:t>
      </w:r>
      <w:r w:rsidRPr="006D01CD">
        <w:rPr>
          <w:noProof/>
        </w:rPr>
        <w:tab/>
      </w:r>
      <w:r w:rsidR="001A462E" w:rsidRPr="00777BC3">
        <w:rPr>
          <w:noProof/>
        </w:rPr>
        <w:t xml:space="preserve">The resource programming shall be updated annually. The strategic programming shall be updated where appropriate and in particular where necessary to address the outcome of the evaluation referred to in Article </w:t>
      </w:r>
      <w:r w:rsidR="001A462E">
        <w:rPr>
          <w:noProof/>
        </w:rPr>
        <w:t>1</w:t>
      </w:r>
      <w:r w:rsidR="00533BCD">
        <w:rPr>
          <w:noProof/>
        </w:rPr>
        <w:t>20</w:t>
      </w:r>
      <w:r w:rsidR="001A462E" w:rsidRPr="00777BC3">
        <w:rPr>
          <w:noProof/>
        </w:rPr>
        <w:t>.</w:t>
      </w:r>
    </w:p>
    <w:p w14:paraId="5CBDD846" w14:textId="77777777" w:rsidR="001A462E" w:rsidRPr="00777BC3" w:rsidRDefault="001A462E" w:rsidP="001A462E">
      <w:pPr>
        <w:rPr>
          <w:noProof/>
        </w:rPr>
      </w:pPr>
    </w:p>
    <w:p w14:paraId="7A1ED230" w14:textId="77777777" w:rsidR="001A462E" w:rsidRPr="00D45456" w:rsidRDefault="001A462E" w:rsidP="001A462E">
      <w:pPr>
        <w:jc w:val="center"/>
        <w:rPr>
          <w:b/>
          <w:bCs/>
          <w:i/>
          <w:iCs/>
          <w:noProof/>
          <w:lang w:val="en-IE"/>
        </w:rPr>
      </w:pPr>
      <w:r w:rsidRPr="00D45456">
        <w:rPr>
          <w:b/>
          <w:bCs/>
          <w:i/>
          <w:iCs/>
          <w:noProof/>
        </w:rPr>
        <w:t>CHAPTER IV</w:t>
      </w:r>
      <w:r w:rsidRPr="00D45456">
        <w:rPr>
          <w:b/>
          <w:bCs/>
          <w:i/>
          <w:iCs/>
          <w:noProof/>
        </w:rPr>
        <w:br/>
      </w:r>
      <w:r w:rsidRPr="00D45456">
        <w:rPr>
          <w:b/>
          <w:bCs/>
          <w:i/>
          <w:iCs/>
          <w:noProof/>
          <w:lang w:val="en-IE"/>
        </w:rPr>
        <w:t>Establishment and structure of ENISA’s budget</w:t>
      </w:r>
    </w:p>
    <w:p w14:paraId="0B7276B3" w14:textId="77777777" w:rsidR="001A462E" w:rsidRPr="00777BC3" w:rsidRDefault="001A462E" w:rsidP="001A462E">
      <w:pPr>
        <w:pStyle w:val="Titrearticle"/>
        <w:rPr>
          <w:noProof/>
        </w:rPr>
      </w:pPr>
      <w:r w:rsidRPr="00777BC3">
        <w:rPr>
          <w:noProof/>
        </w:rPr>
        <w:t>Article 45</w:t>
      </w:r>
      <w:r w:rsidRPr="00777BC3">
        <w:rPr>
          <w:noProof/>
        </w:rPr>
        <w:br/>
        <w:t>Establishment of ENISA’s budget</w:t>
      </w:r>
    </w:p>
    <w:p w14:paraId="41405CDC" w14:textId="079D73EF" w:rsidR="001A462E" w:rsidRPr="00777BC3" w:rsidRDefault="006D01CD" w:rsidP="006D01CD">
      <w:pPr>
        <w:pStyle w:val="ManualNumPar1"/>
        <w:rPr>
          <w:noProof/>
        </w:rPr>
      </w:pPr>
      <w:r w:rsidRPr="006D01CD">
        <w:rPr>
          <w:noProof/>
        </w:rPr>
        <w:t>1.</w:t>
      </w:r>
      <w:r w:rsidRPr="006D01CD">
        <w:rPr>
          <w:noProof/>
        </w:rPr>
        <w:tab/>
      </w:r>
      <w:r w:rsidR="001A462E" w:rsidRPr="00777BC3">
        <w:rPr>
          <w:noProof/>
        </w:rPr>
        <w:t>Each year, the Executive Director shall draw up a provisional draft estimate of ENISA’s revenue and expenditure for the following financial year, including the establishment plan, and shall send it to the Management Board.</w:t>
      </w:r>
    </w:p>
    <w:p w14:paraId="5D3747BA" w14:textId="52545067" w:rsidR="001A462E" w:rsidRPr="00777BC3" w:rsidRDefault="006D01CD" w:rsidP="006D01CD">
      <w:pPr>
        <w:pStyle w:val="ManualNumPar1"/>
        <w:rPr>
          <w:noProof/>
        </w:rPr>
      </w:pPr>
      <w:r w:rsidRPr="006D01CD">
        <w:rPr>
          <w:noProof/>
        </w:rPr>
        <w:t>2.</w:t>
      </w:r>
      <w:r w:rsidRPr="006D01CD">
        <w:rPr>
          <w:noProof/>
        </w:rPr>
        <w:tab/>
      </w:r>
      <w:r w:rsidR="001A462E" w:rsidRPr="00777BC3">
        <w:rPr>
          <w:noProof/>
        </w:rPr>
        <w:t xml:space="preserve">The provisional draft estimate shall be based on the objectives and expected results of the annual </w:t>
      </w:r>
      <w:r w:rsidR="001A462E">
        <w:rPr>
          <w:noProof/>
        </w:rPr>
        <w:t>work programme</w:t>
      </w:r>
      <w:r w:rsidR="001A462E" w:rsidRPr="00777BC3">
        <w:rPr>
          <w:noProof/>
        </w:rPr>
        <w:t>, and shall take into account the financial resources necessary to achieve those objectives and expected results, in accordance with the principle of sound financial management and performance.</w:t>
      </w:r>
    </w:p>
    <w:p w14:paraId="2CC78250" w14:textId="5C7D69E5" w:rsidR="001A462E" w:rsidRPr="00777BC3" w:rsidRDefault="006D01CD" w:rsidP="006D01CD">
      <w:pPr>
        <w:pStyle w:val="ManualNumPar1"/>
        <w:rPr>
          <w:noProof/>
        </w:rPr>
      </w:pPr>
      <w:r w:rsidRPr="006D01CD">
        <w:rPr>
          <w:noProof/>
        </w:rPr>
        <w:t>3.</w:t>
      </w:r>
      <w:r w:rsidRPr="006D01CD">
        <w:rPr>
          <w:noProof/>
        </w:rPr>
        <w:tab/>
      </w:r>
      <w:r w:rsidR="001A462E" w:rsidRPr="00777BC3">
        <w:rPr>
          <w:noProof/>
        </w:rPr>
        <w:t>On the basis of the provisional draft estimate, the Management Board shall adopt a draft estimate of ENISA’s revenue and expenditure for the following financial year, and shall send it to the Commission by 31 January each year.</w:t>
      </w:r>
    </w:p>
    <w:p w14:paraId="7CDF056F" w14:textId="1C113DD2" w:rsidR="001A462E" w:rsidRPr="00777BC3" w:rsidRDefault="006D01CD" w:rsidP="006D01CD">
      <w:pPr>
        <w:pStyle w:val="ManualNumPar1"/>
        <w:rPr>
          <w:noProof/>
        </w:rPr>
      </w:pPr>
      <w:r w:rsidRPr="006D01CD">
        <w:rPr>
          <w:noProof/>
        </w:rPr>
        <w:t>4.</w:t>
      </w:r>
      <w:r w:rsidRPr="006D01CD">
        <w:rPr>
          <w:noProof/>
        </w:rPr>
        <w:tab/>
      </w:r>
      <w:r w:rsidR="001A462E" w:rsidRPr="00777BC3">
        <w:rPr>
          <w:noProof/>
        </w:rPr>
        <w:t>The Commission shall send the draft estimate to the budgetary authority together with the draft general budget of the Union. The draft estimate shall also be made available to ENISA.</w:t>
      </w:r>
    </w:p>
    <w:p w14:paraId="12E07361" w14:textId="654B7D42" w:rsidR="001A462E" w:rsidRPr="00777BC3" w:rsidRDefault="006D01CD" w:rsidP="006D01CD">
      <w:pPr>
        <w:pStyle w:val="ManualNumPar1"/>
        <w:rPr>
          <w:noProof/>
        </w:rPr>
      </w:pPr>
      <w:r w:rsidRPr="006D01CD">
        <w:rPr>
          <w:noProof/>
        </w:rPr>
        <w:t>5.</w:t>
      </w:r>
      <w:r w:rsidRPr="006D01CD">
        <w:rPr>
          <w:noProof/>
        </w:rPr>
        <w:tab/>
      </w:r>
      <w:r w:rsidR="001A462E" w:rsidRPr="00777BC3">
        <w:rPr>
          <w:noProof/>
        </w:rPr>
        <w:t xml:space="preserve">On the basis of the draft estimate, the Commission shall enter in the draft general budget of the Union the estimates it considers to be necessary for the establishment plan and the amount of the contribution to be charged to the general budget of the Union, which it shall </w:t>
      </w:r>
      <w:r w:rsidR="001A462E">
        <w:rPr>
          <w:noProof/>
        </w:rPr>
        <w:t>submit to</w:t>
      </w:r>
      <w:r w:rsidR="001A462E" w:rsidRPr="00777BC3">
        <w:rPr>
          <w:noProof/>
        </w:rPr>
        <w:t xml:space="preserve"> the budgetary authority in accordance with Articles 313 and 314 TFEU.</w:t>
      </w:r>
    </w:p>
    <w:p w14:paraId="47B7140C" w14:textId="173848BF" w:rsidR="001A462E" w:rsidRPr="00777BC3" w:rsidRDefault="006D01CD" w:rsidP="006D01CD">
      <w:pPr>
        <w:pStyle w:val="ManualNumPar1"/>
        <w:rPr>
          <w:noProof/>
        </w:rPr>
      </w:pPr>
      <w:r w:rsidRPr="006D01CD">
        <w:rPr>
          <w:noProof/>
        </w:rPr>
        <w:t>6.</w:t>
      </w:r>
      <w:r w:rsidRPr="006D01CD">
        <w:rPr>
          <w:noProof/>
        </w:rPr>
        <w:tab/>
      </w:r>
      <w:r w:rsidR="001A462E" w:rsidRPr="00777BC3">
        <w:rPr>
          <w:noProof/>
        </w:rPr>
        <w:t>The budgetary authority shall authorise the appropriations for the contribution from the general budget of the Union to ENISA.</w:t>
      </w:r>
    </w:p>
    <w:p w14:paraId="5588F8F5" w14:textId="6D4550C3" w:rsidR="001A462E" w:rsidRPr="00777BC3" w:rsidRDefault="006D01CD" w:rsidP="006D01CD">
      <w:pPr>
        <w:pStyle w:val="ManualNumPar1"/>
        <w:rPr>
          <w:noProof/>
        </w:rPr>
      </w:pPr>
      <w:r w:rsidRPr="006D01CD">
        <w:rPr>
          <w:noProof/>
        </w:rPr>
        <w:t>7.</w:t>
      </w:r>
      <w:r w:rsidRPr="006D01CD">
        <w:rPr>
          <w:noProof/>
        </w:rPr>
        <w:tab/>
      </w:r>
      <w:r w:rsidR="001A462E" w:rsidRPr="00777BC3">
        <w:rPr>
          <w:noProof/>
        </w:rPr>
        <w:t xml:space="preserve">The budgetary authority shall adopt ENISA’s establishment plan. </w:t>
      </w:r>
    </w:p>
    <w:p w14:paraId="02C3BEBA" w14:textId="38353BD6" w:rsidR="001A462E" w:rsidRPr="00777BC3" w:rsidRDefault="006D01CD" w:rsidP="006D01CD">
      <w:pPr>
        <w:pStyle w:val="ManualNumPar1"/>
        <w:rPr>
          <w:noProof/>
        </w:rPr>
      </w:pPr>
      <w:r w:rsidRPr="006D01CD">
        <w:rPr>
          <w:noProof/>
        </w:rPr>
        <w:t>8.</w:t>
      </w:r>
      <w:r w:rsidRPr="006D01CD">
        <w:rPr>
          <w:noProof/>
        </w:rPr>
        <w:tab/>
      </w:r>
      <w:r w:rsidR="001A462E" w:rsidRPr="00777BC3">
        <w:rPr>
          <w:noProof/>
        </w:rPr>
        <w:t>The Management Board shall adopt ENISA’s budget. It shall become final following the final adoption of the general budget of the Union, and, if necessary, it shall be adjusted accordingly.</w:t>
      </w:r>
    </w:p>
    <w:p w14:paraId="2A789261" w14:textId="0CC33782" w:rsidR="001A462E" w:rsidRPr="00777BC3" w:rsidRDefault="006D01CD" w:rsidP="006D01CD">
      <w:pPr>
        <w:pStyle w:val="ManualNumPar1"/>
        <w:rPr>
          <w:noProof/>
        </w:rPr>
      </w:pPr>
      <w:r w:rsidRPr="006D01CD">
        <w:rPr>
          <w:noProof/>
        </w:rPr>
        <w:t>9.</w:t>
      </w:r>
      <w:r w:rsidRPr="006D01CD">
        <w:rPr>
          <w:noProof/>
        </w:rPr>
        <w:tab/>
      </w:r>
      <w:r w:rsidR="001A462E" w:rsidRPr="00777BC3">
        <w:rPr>
          <w:noProof/>
        </w:rPr>
        <w:t>For any building project likely to have significant implications for the budget of ENISA, Delegated Regulation (EU) 2019/715 shall apply.</w:t>
      </w:r>
    </w:p>
    <w:p w14:paraId="6E945E8B" w14:textId="77777777" w:rsidR="001A462E" w:rsidRPr="00777BC3" w:rsidRDefault="001A462E" w:rsidP="001A462E">
      <w:pPr>
        <w:pStyle w:val="Titrearticle"/>
        <w:rPr>
          <w:noProof/>
        </w:rPr>
      </w:pPr>
      <w:r w:rsidRPr="00777BC3">
        <w:rPr>
          <w:noProof/>
        </w:rPr>
        <w:t>Article 46</w:t>
      </w:r>
      <w:r w:rsidRPr="00777BC3">
        <w:rPr>
          <w:noProof/>
        </w:rPr>
        <w:br/>
        <w:t>Structure of ENISA’s budget</w:t>
      </w:r>
    </w:p>
    <w:p w14:paraId="4CFBDA07" w14:textId="694EBD5B" w:rsidR="001A462E" w:rsidRPr="00777BC3" w:rsidRDefault="006D01CD" w:rsidP="006D01CD">
      <w:pPr>
        <w:pStyle w:val="ManualNumPar1"/>
        <w:rPr>
          <w:noProof/>
        </w:rPr>
      </w:pPr>
      <w:r w:rsidRPr="006D01CD">
        <w:rPr>
          <w:noProof/>
        </w:rPr>
        <w:t>1.</w:t>
      </w:r>
      <w:r w:rsidRPr="006D01CD">
        <w:rPr>
          <w:noProof/>
        </w:rPr>
        <w:tab/>
      </w:r>
      <w:r w:rsidR="001A462E" w:rsidRPr="00777BC3">
        <w:rPr>
          <w:noProof/>
        </w:rPr>
        <w:t>Estimates of all revenue and expenditure of ENISA shall be prepared each financial year and shall be shown in ENISA’s budget. The financial year shall correspond to the calendar year.</w:t>
      </w:r>
    </w:p>
    <w:p w14:paraId="74E82F28" w14:textId="49D77275" w:rsidR="001A462E" w:rsidRPr="00777BC3" w:rsidRDefault="006D01CD" w:rsidP="006D01CD">
      <w:pPr>
        <w:pStyle w:val="ManualNumPar1"/>
        <w:rPr>
          <w:noProof/>
        </w:rPr>
      </w:pPr>
      <w:r w:rsidRPr="006D01CD">
        <w:rPr>
          <w:noProof/>
        </w:rPr>
        <w:t>2.</w:t>
      </w:r>
      <w:r w:rsidRPr="006D01CD">
        <w:rPr>
          <w:noProof/>
        </w:rPr>
        <w:tab/>
      </w:r>
      <w:r w:rsidR="001A462E" w:rsidRPr="00777BC3">
        <w:rPr>
          <w:noProof/>
        </w:rPr>
        <w:t>ENISA’s budget shall be balanced in terms of revenue and expenditure.</w:t>
      </w:r>
    </w:p>
    <w:p w14:paraId="0A6611F6" w14:textId="0A99D044" w:rsidR="001A462E" w:rsidRPr="00777BC3" w:rsidRDefault="006D01CD" w:rsidP="006D01CD">
      <w:pPr>
        <w:pStyle w:val="ManualNumPar1"/>
        <w:rPr>
          <w:noProof/>
        </w:rPr>
      </w:pPr>
      <w:r w:rsidRPr="006D01CD">
        <w:rPr>
          <w:noProof/>
        </w:rPr>
        <w:t>3.</w:t>
      </w:r>
      <w:r w:rsidRPr="006D01CD">
        <w:rPr>
          <w:noProof/>
        </w:rPr>
        <w:tab/>
      </w:r>
      <w:r w:rsidR="001A462E" w:rsidRPr="00777BC3">
        <w:rPr>
          <w:noProof/>
        </w:rPr>
        <w:t>Without prejudice to other resources, ENISA’s revenue shall be composed of:</w:t>
      </w:r>
    </w:p>
    <w:p w14:paraId="08CBCABC" w14:textId="5BA601A4" w:rsidR="001A462E" w:rsidRPr="00777BC3" w:rsidRDefault="006D01CD" w:rsidP="006D01CD">
      <w:pPr>
        <w:pStyle w:val="Point1"/>
        <w:rPr>
          <w:noProof/>
        </w:rPr>
      </w:pPr>
      <w:r w:rsidRPr="006D01CD">
        <w:rPr>
          <w:noProof/>
        </w:rPr>
        <w:t>(a)</w:t>
      </w:r>
      <w:r w:rsidRPr="006D01CD">
        <w:rPr>
          <w:noProof/>
        </w:rPr>
        <w:tab/>
      </w:r>
      <w:r w:rsidR="001A462E" w:rsidRPr="00777BC3">
        <w:rPr>
          <w:noProof/>
        </w:rPr>
        <w:t>a contribution from the Union entered in the general budget of the Union;</w:t>
      </w:r>
    </w:p>
    <w:p w14:paraId="0D2D42E6" w14:textId="2BBF0EC2" w:rsidR="001A462E" w:rsidRPr="00777BC3" w:rsidRDefault="006D01CD" w:rsidP="006D01CD">
      <w:pPr>
        <w:pStyle w:val="Point1"/>
        <w:rPr>
          <w:noProof/>
        </w:rPr>
      </w:pPr>
      <w:r w:rsidRPr="006D01CD">
        <w:rPr>
          <w:noProof/>
        </w:rPr>
        <w:t>(b)</w:t>
      </w:r>
      <w:r w:rsidRPr="006D01CD">
        <w:rPr>
          <w:noProof/>
        </w:rPr>
        <w:tab/>
      </w:r>
      <w:r w:rsidR="001A462E" w:rsidRPr="00777BC3">
        <w:rPr>
          <w:noProof/>
        </w:rPr>
        <w:t>revenue assigned to specific items of expenditure in accordance with its financial rules referred to in Article 50;</w:t>
      </w:r>
    </w:p>
    <w:p w14:paraId="1C6C38AA" w14:textId="4228A141" w:rsidR="001A462E" w:rsidRPr="00777BC3" w:rsidRDefault="006D01CD" w:rsidP="006D01CD">
      <w:pPr>
        <w:pStyle w:val="Point1"/>
        <w:rPr>
          <w:noProof/>
        </w:rPr>
      </w:pPr>
      <w:r w:rsidRPr="006D01CD">
        <w:rPr>
          <w:noProof/>
        </w:rPr>
        <w:t>(c)</w:t>
      </w:r>
      <w:r w:rsidRPr="006D01CD">
        <w:rPr>
          <w:noProof/>
        </w:rPr>
        <w:tab/>
      </w:r>
      <w:r w:rsidR="001A462E" w:rsidRPr="00777BC3">
        <w:rPr>
          <w:noProof/>
        </w:rPr>
        <w:t xml:space="preserve">Union funding in the form of contribution agreements or </w:t>
      </w:r>
      <w:r w:rsidR="001A462E" w:rsidRPr="00DC6238">
        <w:rPr>
          <w:i/>
          <w:iCs/>
          <w:noProof/>
        </w:rPr>
        <w:t>ad hoc</w:t>
      </w:r>
      <w:r w:rsidR="001A462E" w:rsidRPr="00777BC3">
        <w:rPr>
          <w:noProof/>
        </w:rPr>
        <w:t xml:space="preserve"> grants in accordance with ENISA’s financial rules referred to in Article 50 and with the provisions of the relevant instruments supporting the policies of the Union;</w:t>
      </w:r>
    </w:p>
    <w:p w14:paraId="7EC693B1" w14:textId="134E6941" w:rsidR="001A462E" w:rsidRPr="00777BC3" w:rsidRDefault="006D01CD" w:rsidP="006D01CD">
      <w:pPr>
        <w:pStyle w:val="Point1"/>
        <w:rPr>
          <w:noProof/>
        </w:rPr>
      </w:pPr>
      <w:r w:rsidRPr="006D01CD">
        <w:rPr>
          <w:noProof/>
        </w:rPr>
        <w:t>(d)</w:t>
      </w:r>
      <w:r w:rsidRPr="006D01CD">
        <w:rPr>
          <w:noProof/>
        </w:rPr>
        <w:tab/>
      </w:r>
      <w:r w:rsidR="001A462E" w:rsidRPr="00777BC3">
        <w:rPr>
          <w:noProof/>
        </w:rPr>
        <w:t xml:space="preserve">the fees </w:t>
      </w:r>
      <w:r w:rsidR="001A462E">
        <w:rPr>
          <w:noProof/>
        </w:rPr>
        <w:t>levied on the</w:t>
      </w:r>
      <w:r w:rsidR="001A462E" w:rsidRPr="00777BC3">
        <w:rPr>
          <w:noProof/>
        </w:rPr>
        <w:t xml:space="preserve"> applicants </w:t>
      </w:r>
      <w:r w:rsidR="001A462E">
        <w:rPr>
          <w:noProof/>
        </w:rPr>
        <w:t>for</w:t>
      </w:r>
      <w:r w:rsidR="001A462E" w:rsidRPr="00777BC3">
        <w:rPr>
          <w:noProof/>
        </w:rPr>
        <w:t xml:space="preserve"> activities related to European individual cybersecurity skills attestation schemes referred to in Article </w:t>
      </w:r>
      <w:r w:rsidR="001A462E">
        <w:rPr>
          <w:noProof/>
        </w:rPr>
        <w:t>22</w:t>
      </w:r>
      <w:r w:rsidR="001A462E" w:rsidRPr="00777BC3">
        <w:rPr>
          <w:noProof/>
        </w:rPr>
        <w:t>(1);</w:t>
      </w:r>
    </w:p>
    <w:p w14:paraId="231CE783" w14:textId="3619B556" w:rsidR="001A462E" w:rsidRPr="00777BC3" w:rsidRDefault="006D01CD" w:rsidP="006D01CD">
      <w:pPr>
        <w:pStyle w:val="Point1"/>
        <w:rPr>
          <w:noProof/>
        </w:rPr>
      </w:pPr>
      <w:r w:rsidRPr="006D01CD">
        <w:rPr>
          <w:noProof/>
        </w:rPr>
        <w:t>(e)</w:t>
      </w:r>
      <w:r w:rsidRPr="006D01CD">
        <w:rPr>
          <w:noProof/>
        </w:rPr>
        <w:tab/>
      </w:r>
      <w:r w:rsidR="001A462E" w:rsidRPr="00777BC3">
        <w:rPr>
          <w:noProof/>
        </w:rPr>
        <w:t xml:space="preserve">the fees </w:t>
      </w:r>
      <w:r w:rsidR="001A462E">
        <w:rPr>
          <w:noProof/>
        </w:rPr>
        <w:t>levied on the</w:t>
      </w:r>
      <w:r w:rsidR="001A462E" w:rsidRPr="00777BC3">
        <w:rPr>
          <w:noProof/>
        </w:rPr>
        <w:t xml:space="preserve"> conformity assessment bodies for</w:t>
      </w:r>
      <w:r w:rsidR="001A462E">
        <w:rPr>
          <w:noProof/>
        </w:rPr>
        <w:t xml:space="preserve"> participation in and</w:t>
      </w:r>
      <w:r w:rsidR="001A462E" w:rsidRPr="00777BC3">
        <w:rPr>
          <w:noProof/>
        </w:rPr>
        <w:t xml:space="preserve"> issuance of European cybersecurity certificates under a European cybersecurity certification scheme referred to in Article 47(2);</w:t>
      </w:r>
    </w:p>
    <w:p w14:paraId="26EA49F5" w14:textId="5DB9A5C7" w:rsidR="001A462E" w:rsidRPr="00777BC3" w:rsidRDefault="006D01CD" w:rsidP="006D01CD">
      <w:pPr>
        <w:pStyle w:val="Point1"/>
        <w:rPr>
          <w:noProof/>
        </w:rPr>
      </w:pPr>
      <w:r w:rsidRPr="006D01CD">
        <w:rPr>
          <w:noProof/>
        </w:rPr>
        <w:t>(f)</w:t>
      </w:r>
      <w:r w:rsidRPr="006D01CD">
        <w:rPr>
          <w:noProof/>
        </w:rPr>
        <w:tab/>
      </w:r>
      <w:r w:rsidR="001A462E" w:rsidRPr="00777BC3">
        <w:rPr>
          <w:noProof/>
        </w:rPr>
        <w:t xml:space="preserve">the fees </w:t>
      </w:r>
      <w:r w:rsidR="001A462E">
        <w:rPr>
          <w:noProof/>
        </w:rPr>
        <w:t>levied on</w:t>
      </w:r>
      <w:r w:rsidR="001A462E" w:rsidRPr="00777BC3">
        <w:rPr>
          <w:noProof/>
        </w:rPr>
        <w:t xml:space="preserve"> public authorities or private bodies for testing tools as referred to in Article 47(3); </w:t>
      </w:r>
    </w:p>
    <w:p w14:paraId="05240CC8" w14:textId="6023EFF6" w:rsidR="001A462E" w:rsidRPr="00777BC3" w:rsidRDefault="006D01CD" w:rsidP="006D01CD">
      <w:pPr>
        <w:pStyle w:val="Point1"/>
        <w:rPr>
          <w:noProof/>
        </w:rPr>
      </w:pPr>
      <w:r w:rsidRPr="006D01CD">
        <w:rPr>
          <w:noProof/>
        </w:rPr>
        <w:t>(g)</w:t>
      </w:r>
      <w:r w:rsidRPr="006D01CD">
        <w:rPr>
          <w:noProof/>
        </w:rPr>
        <w:tab/>
      </w:r>
      <w:r w:rsidR="001A462E" w:rsidRPr="00777BC3">
        <w:rPr>
          <w:noProof/>
        </w:rPr>
        <w:t>any contribution from third countries participating in the work of ENISA, as provided for in Article 70(4);</w:t>
      </w:r>
    </w:p>
    <w:p w14:paraId="530B00CA" w14:textId="6D6BEB04" w:rsidR="001A462E" w:rsidRPr="00777BC3" w:rsidRDefault="006D01CD" w:rsidP="006D01CD">
      <w:pPr>
        <w:pStyle w:val="Point1"/>
        <w:rPr>
          <w:noProof/>
        </w:rPr>
      </w:pPr>
      <w:r w:rsidRPr="006D01CD">
        <w:rPr>
          <w:noProof/>
        </w:rPr>
        <w:t>(h)</w:t>
      </w:r>
      <w:r w:rsidRPr="006D01CD">
        <w:rPr>
          <w:noProof/>
        </w:rPr>
        <w:tab/>
      </w:r>
      <w:r w:rsidR="001A462E" w:rsidRPr="00777BC3">
        <w:rPr>
          <w:noProof/>
        </w:rPr>
        <w:t>any voluntary contributions from Member States in money or in kind.</w:t>
      </w:r>
    </w:p>
    <w:p w14:paraId="682A1EB2" w14:textId="7418907C" w:rsidR="001A462E" w:rsidRPr="00777BC3" w:rsidRDefault="006D01CD" w:rsidP="006D01CD">
      <w:pPr>
        <w:pStyle w:val="ManualNumPar1"/>
        <w:rPr>
          <w:noProof/>
        </w:rPr>
      </w:pPr>
      <w:r w:rsidRPr="006D01CD">
        <w:rPr>
          <w:noProof/>
        </w:rPr>
        <w:t>4.</w:t>
      </w:r>
      <w:r w:rsidRPr="006D01CD">
        <w:rPr>
          <w:noProof/>
        </w:rPr>
        <w:tab/>
      </w:r>
      <w:r w:rsidR="001A462E" w:rsidRPr="00777BC3">
        <w:rPr>
          <w:noProof/>
        </w:rPr>
        <w:t>Member States that provide voluntary contributions</w:t>
      </w:r>
      <w:r w:rsidR="001A462E">
        <w:rPr>
          <w:noProof/>
        </w:rPr>
        <w:t>, as referred to in</w:t>
      </w:r>
      <w:r w:rsidR="001A462E" w:rsidRPr="00777BC3">
        <w:rPr>
          <w:noProof/>
        </w:rPr>
        <w:t xml:space="preserve"> </w:t>
      </w:r>
      <w:r w:rsidR="001A462E">
        <w:rPr>
          <w:noProof/>
        </w:rPr>
        <w:t xml:space="preserve">paragraph 3, </w:t>
      </w:r>
      <w:r w:rsidR="001A462E" w:rsidRPr="00777BC3">
        <w:rPr>
          <w:noProof/>
        </w:rPr>
        <w:t>point (g) shall not claim any specific right or service as a result thereof.</w:t>
      </w:r>
    </w:p>
    <w:p w14:paraId="32E88049" w14:textId="3B422880" w:rsidR="001A462E" w:rsidRPr="00777BC3" w:rsidRDefault="006D01CD" w:rsidP="006D01CD">
      <w:pPr>
        <w:pStyle w:val="ManualNumPar1"/>
        <w:rPr>
          <w:noProof/>
        </w:rPr>
      </w:pPr>
      <w:r w:rsidRPr="006D01CD">
        <w:rPr>
          <w:noProof/>
        </w:rPr>
        <w:t>5.</w:t>
      </w:r>
      <w:r w:rsidRPr="006D01CD">
        <w:rPr>
          <w:noProof/>
        </w:rPr>
        <w:tab/>
      </w:r>
      <w:r w:rsidR="001A462E" w:rsidRPr="00777BC3">
        <w:rPr>
          <w:noProof/>
        </w:rPr>
        <w:t>The expenditure of ENISA shall include staff remuneration, administrative and infrastructure expenses, and operational expenditure.</w:t>
      </w:r>
    </w:p>
    <w:p w14:paraId="1C8E4065" w14:textId="77777777" w:rsidR="001A462E" w:rsidRPr="00777BC3" w:rsidRDefault="001A462E" w:rsidP="001A462E">
      <w:pPr>
        <w:pStyle w:val="Titrearticle"/>
        <w:rPr>
          <w:noProof/>
        </w:rPr>
      </w:pPr>
      <w:r w:rsidRPr="00777BC3">
        <w:rPr>
          <w:noProof/>
        </w:rPr>
        <w:t>Article 47</w:t>
      </w:r>
      <w:r w:rsidRPr="00777BC3">
        <w:rPr>
          <w:noProof/>
        </w:rPr>
        <w:br/>
        <w:t xml:space="preserve">Fees </w:t>
      </w:r>
    </w:p>
    <w:p w14:paraId="18492E4C" w14:textId="04A4A45D" w:rsidR="001A462E" w:rsidRPr="00777BC3" w:rsidRDefault="006D01CD" w:rsidP="006D01CD">
      <w:pPr>
        <w:pStyle w:val="ManualNumPar1"/>
        <w:rPr>
          <w:noProof/>
        </w:rPr>
      </w:pPr>
      <w:r w:rsidRPr="006D01CD">
        <w:rPr>
          <w:noProof/>
        </w:rPr>
        <w:t>1.</w:t>
      </w:r>
      <w:r w:rsidRPr="006D01CD">
        <w:rPr>
          <w:noProof/>
        </w:rPr>
        <w:tab/>
      </w:r>
      <w:r w:rsidR="001A462E">
        <w:rPr>
          <w:noProof/>
        </w:rPr>
        <w:t xml:space="preserve">In relation to each European attestation scheme activity referred to in Article 22(1), the following </w:t>
      </w:r>
      <w:r w:rsidR="001A462E" w:rsidRPr="00777BC3">
        <w:rPr>
          <w:noProof/>
        </w:rPr>
        <w:t xml:space="preserve">fees shall be levied </w:t>
      </w:r>
      <w:r w:rsidR="001A462E">
        <w:rPr>
          <w:noProof/>
        </w:rPr>
        <w:t xml:space="preserve">towards applicants within the meaning of Article 21(3) </w:t>
      </w:r>
      <w:r w:rsidR="00C679E3">
        <w:rPr>
          <w:noProof/>
        </w:rPr>
        <w:t xml:space="preserve">or to authorised attestation providers </w:t>
      </w:r>
      <w:r w:rsidR="001A462E" w:rsidRPr="00777BC3">
        <w:rPr>
          <w:noProof/>
        </w:rPr>
        <w:t xml:space="preserve">to </w:t>
      </w:r>
      <w:r w:rsidR="001A462E">
        <w:rPr>
          <w:noProof/>
        </w:rPr>
        <w:t xml:space="preserve">contribute to </w:t>
      </w:r>
      <w:r w:rsidR="001A462E" w:rsidRPr="00777BC3">
        <w:rPr>
          <w:noProof/>
        </w:rPr>
        <w:t>cover</w:t>
      </w:r>
      <w:r w:rsidR="001A462E">
        <w:rPr>
          <w:noProof/>
        </w:rPr>
        <w:t>ing</w:t>
      </w:r>
      <w:r w:rsidR="001A462E" w:rsidRPr="00777BC3">
        <w:rPr>
          <w:noProof/>
        </w:rPr>
        <w:t xml:space="preserve"> the full costs of</w:t>
      </w:r>
      <w:r w:rsidR="001A462E">
        <w:rPr>
          <w:noProof/>
        </w:rPr>
        <w:t xml:space="preserve"> the activities performed by ENISA</w:t>
      </w:r>
      <w:r w:rsidR="001A462E" w:rsidRPr="00777BC3">
        <w:rPr>
          <w:noProof/>
        </w:rPr>
        <w:t>:</w:t>
      </w:r>
    </w:p>
    <w:p w14:paraId="4A81D7A6" w14:textId="1F93D023" w:rsidR="001A462E" w:rsidRPr="00777BC3" w:rsidRDefault="006D01CD" w:rsidP="006D01CD">
      <w:pPr>
        <w:pStyle w:val="Point1"/>
        <w:rPr>
          <w:noProof/>
        </w:rPr>
      </w:pPr>
      <w:r w:rsidRPr="006D01CD">
        <w:rPr>
          <w:noProof/>
        </w:rPr>
        <w:t>(a)</w:t>
      </w:r>
      <w:r w:rsidRPr="006D01CD">
        <w:rPr>
          <w:noProof/>
        </w:rPr>
        <w:tab/>
      </w:r>
      <w:r w:rsidR="001A462E">
        <w:rPr>
          <w:noProof/>
        </w:rPr>
        <w:t xml:space="preserve">issuing authorisations following </w:t>
      </w:r>
      <w:r w:rsidR="001A462E" w:rsidRPr="00777BC3">
        <w:rPr>
          <w:noProof/>
        </w:rPr>
        <w:t xml:space="preserve">examination of </w:t>
      </w:r>
      <w:r w:rsidR="00C679E3">
        <w:rPr>
          <w:noProof/>
        </w:rPr>
        <w:t>the requirements laid down in Article 21(3) and (4)</w:t>
      </w:r>
      <w:r w:rsidR="001A462E">
        <w:rPr>
          <w:noProof/>
        </w:rPr>
        <w:t xml:space="preserve">, </w:t>
      </w:r>
      <w:r w:rsidR="00C679E3">
        <w:rPr>
          <w:noProof/>
        </w:rPr>
        <w:t>including conducting evaluations</w:t>
      </w:r>
      <w:r w:rsidR="001A462E" w:rsidRPr="00777BC3">
        <w:rPr>
          <w:noProof/>
        </w:rPr>
        <w:t>;</w:t>
      </w:r>
    </w:p>
    <w:p w14:paraId="723AE46D" w14:textId="3C443436" w:rsidR="001A462E" w:rsidRPr="00777BC3" w:rsidRDefault="006D01CD" w:rsidP="006D01CD">
      <w:pPr>
        <w:pStyle w:val="Point1"/>
        <w:rPr>
          <w:noProof/>
        </w:rPr>
      </w:pPr>
      <w:r w:rsidRPr="006D01CD">
        <w:rPr>
          <w:noProof/>
        </w:rPr>
        <w:t>(b)</w:t>
      </w:r>
      <w:r w:rsidRPr="006D01CD">
        <w:rPr>
          <w:noProof/>
        </w:rPr>
        <w:tab/>
      </w:r>
      <w:r w:rsidR="001A462E" w:rsidRPr="00777BC3">
        <w:rPr>
          <w:noProof/>
        </w:rPr>
        <w:t>yearly maintenance of the authorisation</w:t>
      </w:r>
      <w:r w:rsidR="001A462E">
        <w:rPr>
          <w:noProof/>
        </w:rPr>
        <w:t>;</w:t>
      </w:r>
    </w:p>
    <w:p w14:paraId="585A23BB" w14:textId="05B64365" w:rsidR="001A462E" w:rsidRPr="00777BC3" w:rsidRDefault="006D01CD" w:rsidP="006D01CD">
      <w:pPr>
        <w:pStyle w:val="Point1"/>
        <w:rPr>
          <w:noProof/>
        </w:rPr>
      </w:pPr>
      <w:r w:rsidRPr="006D01CD">
        <w:rPr>
          <w:noProof/>
        </w:rPr>
        <w:t>(c)</w:t>
      </w:r>
      <w:r w:rsidRPr="006D01CD">
        <w:rPr>
          <w:noProof/>
        </w:rPr>
        <w:tab/>
      </w:r>
      <w:r w:rsidR="001A462E">
        <w:rPr>
          <w:noProof/>
        </w:rPr>
        <w:t xml:space="preserve">renewing </w:t>
      </w:r>
      <w:r w:rsidR="001A462E" w:rsidRPr="00777BC3">
        <w:rPr>
          <w:noProof/>
        </w:rPr>
        <w:t xml:space="preserve">authorisations </w:t>
      </w:r>
      <w:r w:rsidR="001A462E">
        <w:rPr>
          <w:noProof/>
        </w:rPr>
        <w:t>for</w:t>
      </w:r>
      <w:r w:rsidR="001A462E" w:rsidRPr="00777BC3">
        <w:rPr>
          <w:noProof/>
        </w:rPr>
        <w:t xml:space="preserve"> providers of European individual cybersecurity </w:t>
      </w:r>
      <w:r w:rsidR="001A462E">
        <w:rPr>
          <w:noProof/>
        </w:rPr>
        <w:t xml:space="preserve">skills </w:t>
      </w:r>
      <w:r w:rsidR="001A462E" w:rsidRPr="00777BC3">
        <w:rPr>
          <w:noProof/>
        </w:rPr>
        <w:t xml:space="preserve">attestations, including </w:t>
      </w:r>
      <w:r w:rsidR="001A462E">
        <w:rPr>
          <w:noProof/>
        </w:rPr>
        <w:t>conducting evaluations</w:t>
      </w:r>
      <w:r w:rsidR="0071281F">
        <w:rPr>
          <w:noProof/>
        </w:rPr>
        <w:t>.</w:t>
      </w:r>
    </w:p>
    <w:p w14:paraId="151999C6" w14:textId="326FCA72" w:rsidR="001A462E" w:rsidRDefault="006D01CD" w:rsidP="006D01CD">
      <w:pPr>
        <w:pStyle w:val="ManualNumPar1"/>
        <w:rPr>
          <w:noProof/>
        </w:rPr>
      </w:pPr>
      <w:r w:rsidRPr="006D01CD">
        <w:rPr>
          <w:noProof/>
        </w:rPr>
        <w:t>2.</w:t>
      </w:r>
      <w:r w:rsidRPr="006D01CD">
        <w:rPr>
          <w:noProof/>
        </w:rPr>
        <w:tab/>
      </w:r>
      <w:r w:rsidR="001A462E" w:rsidRPr="00777BC3">
        <w:rPr>
          <w:noProof/>
        </w:rPr>
        <w:t xml:space="preserve">In relation to certification, </w:t>
      </w:r>
      <w:r w:rsidR="001A462E">
        <w:rPr>
          <w:noProof/>
        </w:rPr>
        <w:t xml:space="preserve">the following </w:t>
      </w:r>
      <w:r w:rsidR="001A462E" w:rsidRPr="00777BC3">
        <w:rPr>
          <w:noProof/>
        </w:rPr>
        <w:t>fee</w:t>
      </w:r>
      <w:r w:rsidR="001A462E">
        <w:rPr>
          <w:noProof/>
        </w:rPr>
        <w:t>s</w:t>
      </w:r>
      <w:r w:rsidR="001A462E" w:rsidRPr="00777BC3">
        <w:rPr>
          <w:noProof/>
        </w:rPr>
        <w:t xml:space="preserve"> shall be levied </w:t>
      </w:r>
      <w:r w:rsidR="001A462E">
        <w:rPr>
          <w:noProof/>
        </w:rPr>
        <w:t xml:space="preserve">on the conformity assessment bodies for the </w:t>
      </w:r>
      <w:r w:rsidR="001A462E" w:rsidRPr="00777BC3">
        <w:rPr>
          <w:noProof/>
        </w:rPr>
        <w:t xml:space="preserve">maintenance of European cybersecurity certification schemes </w:t>
      </w:r>
      <w:r w:rsidR="001A462E">
        <w:rPr>
          <w:noProof/>
        </w:rPr>
        <w:t>under</w:t>
      </w:r>
      <w:r w:rsidR="001A462E" w:rsidRPr="00777BC3">
        <w:rPr>
          <w:noProof/>
        </w:rPr>
        <w:t xml:space="preserve"> which European cybersecurity certificates are issued</w:t>
      </w:r>
      <w:r w:rsidR="001A462E">
        <w:rPr>
          <w:noProof/>
        </w:rPr>
        <w:t xml:space="preserve">, in particular: </w:t>
      </w:r>
    </w:p>
    <w:p w14:paraId="122CF66E" w14:textId="142D8C65" w:rsidR="001A462E" w:rsidRDefault="006D01CD" w:rsidP="006D01CD">
      <w:pPr>
        <w:pStyle w:val="Point1"/>
        <w:rPr>
          <w:noProof/>
        </w:rPr>
      </w:pPr>
      <w:r w:rsidRPr="006D01CD">
        <w:rPr>
          <w:noProof/>
        </w:rPr>
        <w:t>(a)</w:t>
      </w:r>
      <w:r w:rsidRPr="006D01CD">
        <w:rPr>
          <w:noProof/>
        </w:rPr>
        <w:tab/>
      </w:r>
      <w:r w:rsidR="001A462E">
        <w:rPr>
          <w:noProof/>
        </w:rPr>
        <w:t xml:space="preserve">an annual fee for the participation in a European cybersecurity certification scheme;   </w:t>
      </w:r>
    </w:p>
    <w:p w14:paraId="61F6A7F6" w14:textId="454C1E27" w:rsidR="001A462E" w:rsidRDefault="006D01CD" w:rsidP="006D01CD">
      <w:pPr>
        <w:pStyle w:val="Point1"/>
        <w:rPr>
          <w:noProof/>
        </w:rPr>
      </w:pPr>
      <w:r w:rsidRPr="006D01CD">
        <w:rPr>
          <w:noProof/>
        </w:rPr>
        <w:t>(b)</w:t>
      </w:r>
      <w:r w:rsidRPr="006D01CD">
        <w:rPr>
          <w:noProof/>
        </w:rPr>
        <w:tab/>
      </w:r>
      <w:r w:rsidR="001A462E">
        <w:rPr>
          <w:noProof/>
        </w:rPr>
        <w:t>a fee for issuance of European cybersecurity certificates under European cybersecurity certification schemes.</w:t>
      </w:r>
    </w:p>
    <w:p w14:paraId="4E966594" w14:textId="77777777" w:rsidR="001A462E" w:rsidRPr="007C769E" w:rsidRDefault="001A462E" w:rsidP="00B30C85">
      <w:pPr>
        <w:pStyle w:val="Text1"/>
        <w:rPr>
          <w:noProof/>
        </w:rPr>
      </w:pPr>
      <w:r>
        <w:rPr>
          <w:noProof/>
        </w:rPr>
        <w:t xml:space="preserve">The fees referred to in point b) shall be levied when the conformity assessment body submits European cybersecurity certificates to ENISA for publication on their website pursuant to Article 79. </w:t>
      </w:r>
    </w:p>
    <w:p w14:paraId="7AC3B71A" w14:textId="354C259F" w:rsidR="001A462E" w:rsidRPr="00D40500" w:rsidRDefault="006D01CD" w:rsidP="006D01CD">
      <w:pPr>
        <w:pStyle w:val="ManualNumPar1"/>
        <w:rPr>
          <w:noProof/>
        </w:rPr>
      </w:pPr>
      <w:r w:rsidRPr="006D01CD">
        <w:rPr>
          <w:noProof/>
        </w:rPr>
        <w:t>3.</w:t>
      </w:r>
      <w:r w:rsidRPr="006D01CD">
        <w:rPr>
          <w:noProof/>
        </w:rPr>
        <w:tab/>
      </w:r>
      <w:r w:rsidR="001A462E" w:rsidRPr="00777BC3">
        <w:rPr>
          <w:noProof/>
        </w:rPr>
        <w:t xml:space="preserve">In relation to testing tools referred to in Article 15(1), </w:t>
      </w:r>
      <w:r w:rsidR="001A462E">
        <w:rPr>
          <w:noProof/>
        </w:rPr>
        <w:t xml:space="preserve">a </w:t>
      </w:r>
      <w:r w:rsidR="001A462E" w:rsidRPr="00777BC3">
        <w:rPr>
          <w:noProof/>
        </w:rPr>
        <w:t xml:space="preserve">fee shall be levied </w:t>
      </w:r>
      <w:r w:rsidR="001A462E">
        <w:rPr>
          <w:noProof/>
        </w:rPr>
        <w:t xml:space="preserve">on any public authority or private body </w:t>
      </w:r>
      <w:r w:rsidR="001A462E" w:rsidRPr="00777BC3">
        <w:rPr>
          <w:noProof/>
        </w:rPr>
        <w:t xml:space="preserve">for </w:t>
      </w:r>
      <w:r w:rsidR="001A462E">
        <w:rPr>
          <w:noProof/>
        </w:rPr>
        <w:t>their use</w:t>
      </w:r>
      <w:r w:rsidR="001A462E" w:rsidRPr="00777BC3">
        <w:rPr>
          <w:noProof/>
        </w:rPr>
        <w:t xml:space="preserve">. </w:t>
      </w:r>
    </w:p>
    <w:p w14:paraId="41546691" w14:textId="5BA71E8E" w:rsidR="00E015D2" w:rsidRDefault="006D01CD" w:rsidP="006D01CD">
      <w:pPr>
        <w:pStyle w:val="ManualNumPar1"/>
        <w:rPr>
          <w:noProof/>
        </w:rPr>
      </w:pPr>
      <w:r w:rsidRPr="006D01CD">
        <w:rPr>
          <w:noProof/>
        </w:rPr>
        <w:t>4.</w:t>
      </w:r>
      <w:r w:rsidRPr="006D01CD">
        <w:rPr>
          <w:noProof/>
        </w:rPr>
        <w:tab/>
      </w:r>
      <w:r w:rsidR="001A462E" w:rsidRPr="00777BC3" w:rsidDel="00AA08DE">
        <w:rPr>
          <w:noProof/>
        </w:rPr>
        <w:t>F</w:t>
      </w:r>
      <w:r w:rsidR="001A462E" w:rsidRPr="00777BC3">
        <w:rPr>
          <w:noProof/>
        </w:rPr>
        <w:t>ees shall be expressed and payable in euro.</w:t>
      </w:r>
      <w:r w:rsidR="001A462E">
        <w:rPr>
          <w:noProof/>
        </w:rPr>
        <w:t xml:space="preserve"> </w:t>
      </w:r>
    </w:p>
    <w:p w14:paraId="5DEFA7E8" w14:textId="0EAE9C19" w:rsidR="001A462E" w:rsidRPr="00777BC3" w:rsidRDefault="006D01CD" w:rsidP="006D01CD">
      <w:pPr>
        <w:pStyle w:val="ManualNumPar1"/>
        <w:rPr>
          <w:noProof/>
        </w:rPr>
      </w:pPr>
      <w:r w:rsidRPr="006D01CD">
        <w:rPr>
          <w:noProof/>
        </w:rPr>
        <w:t>5.</w:t>
      </w:r>
      <w:r w:rsidRPr="006D01CD">
        <w:rPr>
          <w:noProof/>
        </w:rPr>
        <w:tab/>
      </w:r>
      <w:r w:rsidR="001A462E" w:rsidRPr="00777BC3">
        <w:rPr>
          <w:noProof/>
        </w:rPr>
        <w:t xml:space="preserve">The Commission shall adopt implementing acts laying down detailed rules relating to </w:t>
      </w:r>
      <w:r w:rsidR="001A462E">
        <w:rPr>
          <w:noProof/>
        </w:rPr>
        <w:t xml:space="preserve">determining the </w:t>
      </w:r>
      <w:r w:rsidR="001A462E" w:rsidRPr="00777BC3">
        <w:rPr>
          <w:noProof/>
        </w:rPr>
        <w:t xml:space="preserve">fees </w:t>
      </w:r>
      <w:r w:rsidR="001A462E">
        <w:rPr>
          <w:noProof/>
        </w:rPr>
        <w:t xml:space="preserve">to be </w:t>
      </w:r>
      <w:r w:rsidR="001A462E" w:rsidRPr="00777BC3">
        <w:rPr>
          <w:noProof/>
        </w:rPr>
        <w:t xml:space="preserve">levied by ENISA, specifying in particular the </w:t>
      </w:r>
      <w:r w:rsidR="001A462E" w:rsidRPr="00287D23">
        <w:rPr>
          <w:noProof/>
        </w:rPr>
        <w:t xml:space="preserve">estimated costs attributable to each of the </w:t>
      </w:r>
      <w:r w:rsidR="001A462E" w:rsidRPr="00777BC3">
        <w:rPr>
          <w:noProof/>
        </w:rPr>
        <w:t xml:space="preserve">matters for which fees pursuant to paragraphs 1, 2 and 3 are </w:t>
      </w:r>
      <w:r w:rsidR="001A462E">
        <w:rPr>
          <w:noProof/>
        </w:rPr>
        <w:t>chargeable</w:t>
      </w:r>
      <w:r w:rsidR="001A462E" w:rsidRPr="00777BC3">
        <w:rPr>
          <w:noProof/>
        </w:rPr>
        <w:t xml:space="preserve">, and the </w:t>
      </w:r>
      <w:r w:rsidR="001A462E">
        <w:rPr>
          <w:noProof/>
        </w:rPr>
        <w:t xml:space="preserve">individual fee amounts chargeable, as well as </w:t>
      </w:r>
      <w:r w:rsidR="001A462E" w:rsidRPr="00777BC3">
        <w:rPr>
          <w:noProof/>
        </w:rPr>
        <w:t xml:space="preserve"> the way</w:t>
      </w:r>
      <w:r w:rsidR="001A462E">
        <w:rPr>
          <w:noProof/>
        </w:rPr>
        <w:t>s and conditions under which the fees should be</w:t>
      </w:r>
      <w:r w:rsidR="001A462E" w:rsidRPr="00777BC3">
        <w:rPr>
          <w:noProof/>
        </w:rPr>
        <w:t xml:space="preserve"> paid. Those implementing acts shall be adopted in accordance with the examination procedure referred to in Article</w:t>
      </w:r>
      <w:r w:rsidR="001A462E">
        <w:rPr>
          <w:noProof/>
        </w:rPr>
        <w:t xml:space="preserve"> 11</w:t>
      </w:r>
      <w:r w:rsidR="00533BCD">
        <w:rPr>
          <w:noProof/>
        </w:rPr>
        <w:t>8</w:t>
      </w:r>
      <w:r w:rsidR="001A462E">
        <w:rPr>
          <w:noProof/>
        </w:rPr>
        <w:t>(2)</w:t>
      </w:r>
      <w:r w:rsidR="001A462E" w:rsidRPr="00777BC3">
        <w:rPr>
          <w:noProof/>
        </w:rPr>
        <w:t xml:space="preserve">. The Commission shall </w:t>
      </w:r>
      <w:r w:rsidR="001A462E">
        <w:rPr>
          <w:noProof/>
        </w:rPr>
        <w:t>consult</w:t>
      </w:r>
      <w:r w:rsidR="001A462E" w:rsidRPr="00777BC3">
        <w:rPr>
          <w:noProof/>
        </w:rPr>
        <w:t xml:space="preserve"> ENISA </w:t>
      </w:r>
      <w:r w:rsidR="001A462E">
        <w:rPr>
          <w:noProof/>
        </w:rPr>
        <w:t>when</w:t>
      </w:r>
      <w:r w:rsidR="001A462E" w:rsidRPr="00777BC3">
        <w:rPr>
          <w:noProof/>
        </w:rPr>
        <w:t xml:space="preserve"> preparing those draft implementing acts.</w:t>
      </w:r>
    </w:p>
    <w:p w14:paraId="4E096A50" w14:textId="157D9AF6" w:rsidR="0074565D" w:rsidRDefault="006D01CD" w:rsidP="006D01CD">
      <w:pPr>
        <w:pStyle w:val="ManualNumPar1"/>
        <w:rPr>
          <w:noProof/>
        </w:rPr>
      </w:pPr>
      <w:r w:rsidRPr="006D01CD">
        <w:rPr>
          <w:noProof/>
        </w:rPr>
        <w:t>6.</w:t>
      </w:r>
      <w:r w:rsidRPr="006D01CD">
        <w:rPr>
          <w:noProof/>
        </w:rPr>
        <w:tab/>
      </w:r>
      <w:r w:rsidR="001A462E">
        <w:rPr>
          <w:noProof/>
        </w:rPr>
        <w:t>The f</w:t>
      </w:r>
      <w:r w:rsidR="001A462E" w:rsidRPr="00777BC3">
        <w:rPr>
          <w:noProof/>
        </w:rPr>
        <w:t xml:space="preserve">ees  </w:t>
      </w:r>
      <w:r w:rsidR="001A462E">
        <w:rPr>
          <w:noProof/>
        </w:rPr>
        <w:t>determined by the implementing acts referred in paragraph 5</w:t>
      </w:r>
      <w:r w:rsidR="001A462E" w:rsidRPr="00777BC3">
        <w:rPr>
          <w:noProof/>
        </w:rPr>
        <w:t xml:space="preserve"> shall be</w:t>
      </w:r>
      <w:r w:rsidR="001A462E">
        <w:rPr>
          <w:noProof/>
        </w:rPr>
        <w:t xml:space="preserve"> set out in advance to </w:t>
      </w:r>
      <w:r w:rsidR="001A462E" w:rsidRPr="00777BC3">
        <w:rPr>
          <w:noProof/>
        </w:rPr>
        <w:t xml:space="preserve">be proportionate to the </w:t>
      </w:r>
      <w:r w:rsidR="001A462E">
        <w:rPr>
          <w:noProof/>
        </w:rPr>
        <w:t xml:space="preserve">estimated </w:t>
      </w:r>
      <w:r w:rsidR="001A462E" w:rsidRPr="00777BC3">
        <w:rPr>
          <w:noProof/>
        </w:rPr>
        <w:t>costs of the activit</w:t>
      </w:r>
      <w:r w:rsidR="001A462E">
        <w:rPr>
          <w:noProof/>
        </w:rPr>
        <w:t xml:space="preserve">ies performed </w:t>
      </w:r>
      <w:r w:rsidR="001A462E" w:rsidRPr="00777BC3">
        <w:rPr>
          <w:noProof/>
        </w:rPr>
        <w:t>or service</w:t>
      </w:r>
      <w:r w:rsidR="001A462E">
        <w:rPr>
          <w:noProof/>
        </w:rPr>
        <w:t>s</w:t>
      </w:r>
      <w:r w:rsidR="001A462E" w:rsidRPr="00777BC3">
        <w:rPr>
          <w:noProof/>
        </w:rPr>
        <w:t xml:space="preserve"> delivered as </w:t>
      </w:r>
      <w:r w:rsidR="001A462E">
        <w:rPr>
          <w:noProof/>
        </w:rPr>
        <w:t>determined</w:t>
      </w:r>
      <w:r w:rsidR="001A462E" w:rsidRPr="00777BC3">
        <w:rPr>
          <w:noProof/>
        </w:rPr>
        <w:t xml:space="preserve"> in a cost-effective way and shall be sufficient to cover those costs. All expenditure of ENISA attributed to staff involved in activities referred to in paragraphs 1, 2 and 3 shall be reflected in th</w:t>
      </w:r>
      <w:r w:rsidR="001A462E">
        <w:rPr>
          <w:noProof/>
        </w:rPr>
        <w:t>e</w:t>
      </w:r>
      <w:r w:rsidR="001A462E" w:rsidRPr="00777BC3">
        <w:rPr>
          <w:noProof/>
        </w:rPr>
        <w:t xml:space="preserve"> cost</w:t>
      </w:r>
      <w:r w:rsidR="001A462E">
        <w:rPr>
          <w:noProof/>
        </w:rPr>
        <w:t>s to cover</w:t>
      </w:r>
      <w:r w:rsidR="001A462E" w:rsidRPr="00777BC3">
        <w:rPr>
          <w:noProof/>
        </w:rPr>
        <w:t>. Fees shall be set at such a level as to avoid a deficit or a significant accumulation of surplus in ENISA’s budget. Budgetary surpluses generated through fees shall</w:t>
      </w:r>
      <w:r w:rsidR="001A462E">
        <w:rPr>
          <w:noProof/>
        </w:rPr>
        <w:t xml:space="preserve"> be carried over to</w:t>
      </w:r>
      <w:r w:rsidR="001A462E" w:rsidRPr="00777BC3">
        <w:rPr>
          <w:noProof/>
        </w:rPr>
        <w:t xml:space="preserve"> </w:t>
      </w:r>
      <w:r w:rsidR="00AF7D86">
        <w:rPr>
          <w:noProof/>
        </w:rPr>
        <w:t xml:space="preserve">fund activities of ENISA, in particular </w:t>
      </w:r>
      <w:r w:rsidR="001A462E" w:rsidRPr="00777BC3">
        <w:rPr>
          <w:noProof/>
        </w:rPr>
        <w:t>future activities related to fees</w:t>
      </w:r>
      <w:r w:rsidR="001A462E">
        <w:rPr>
          <w:noProof/>
        </w:rPr>
        <w:t>,</w:t>
      </w:r>
      <w:r w:rsidR="001A462E" w:rsidRPr="00777BC3">
        <w:rPr>
          <w:noProof/>
        </w:rPr>
        <w:t xml:space="preserve"> or offset </w:t>
      </w:r>
      <w:r w:rsidR="001A462E">
        <w:rPr>
          <w:noProof/>
        </w:rPr>
        <w:t xml:space="preserve">the </w:t>
      </w:r>
      <w:r w:rsidR="001A462E" w:rsidRPr="00777BC3">
        <w:rPr>
          <w:noProof/>
        </w:rPr>
        <w:t>losses</w:t>
      </w:r>
      <w:r w:rsidR="001A462E">
        <w:rPr>
          <w:noProof/>
        </w:rPr>
        <w:t xml:space="preserve"> incurred</w:t>
      </w:r>
      <w:r w:rsidR="001A462E" w:rsidRPr="00777BC3">
        <w:rPr>
          <w:noProof/>
        </w:rPr>
        <w:t>. If a significant positive balance in the budget, resulting from activities covered by fees, becomes recurrent, or if a significant negative balance results from the provision of the services covered by fees, the Commission shall</w:t>
      </w:r>
      <w:r w:rsidR="001A462E">
        <w:rPr>
          <w:noProof/>
        </w:rPr>
        <w:t xml:space="preserve"> amend the implementing acts referred to in paragraph 5 to </w:t>
      </w:r>
      <w:r w:rsidR="001A462E" w:rsidRPr="00777BC3">
        <w:rPr>
          <w:noProof/>
        </w:rPr>
        <w:t xml:space="preserve">revise the method for calculating the fees in accordance with </w:t>
      </w:r>
      <w:r w:rsidR="001A462E">
        <w:rPr>
          <w:noProof/>
        </w:rPr>
        <w:t>Article 11</w:t>
      </w:r>
      <w:r w:rsidR="00533BCD">
        <w:rPr>
          <w:noProof/>
        </w:rPr>
        <w:t>8</w:t>
      </w:r>
      <w:r w:rsidR="001A462E">
        <w:rPr>
          <w:noProof/>
        </w:rPr>
        <w:t>(2)</w:t>
      </w:r>
      <w:r w:rsidR="001A462E" w:rsidRPr="00777BC3">
        <w:rPr>
          <w:noProof/>
        </w:rPr>
        <w:t>.</w:t>
      </w:r>
    </w:p>
    <w:p w14:paraId="5A4062A4" w14:textId="77777777" w:rsidR="001A462E" w:rsidRPr="00777BC3" w:rsidRDefault="001A462E" w:rsidP="0074565D">
      <w:pPr>
        <w:pStyle w:val="Text1"/>
        <w:rPr>
          <w:noProof/>
        </w:rPr>
      </w:pPr>
      <w:r w:rsidRPr="00777BC3">
        <w:rPr>
          <w:noProof/>
        </w:rPr>
        <w:t xml:space="preserve">The amount of the fees for the tasks </w:t>
      </w:r>
      <w:r>
        <w:rPr>
          <w:noProof/>
        </w:rPr>
        <w:t>referred to</w:t>
      </w:r>
      <w:r w:rsidRPr="00777BC3">
        <w:rPr>
          <w:noProof/>
        </w:rPr>
        <w:t xml:space="preserve"> in paragraph 1 shall be fixed at such a level as to ensure that the revenue in respect thereof </w:t>
      </w:r>
      <w:r>
        <w:rPr>
          <w:noProof/>
        </w:rPr>
        <w:t>sufficiently contributes to</w:t>
      </w:r>
      <w:r w:rsidRPr="00777BC3">
        <w:rPr>
          <w:noProof/>
        </w:rPr>
        <w:t xml:space="preserve"> cover the  cost</w:t>
      </w:r>
      <w:r>
        <w:rPr>
          <w:noProof/>
        </w:rPr>
        <w:t>s</w:t>
      </w:r>
      <w:r w:rsidRPr="00777BC3">
        <w:rPr>
          <w:noProof/>
        </w:rPr>
        <w:t xml:space="preserve"> of the activities related </w:t>
      </w:r>
      <w:r>
        <w:rPr>
          <w:noProof/>
        </w:rPr>
        <w:t>to the development</w:t>
      </w:r>
      <w:r w:rsidRPr="00777BC3">
        <w:rPr>
          <w:noProof/>
        </w:rPr>
        <w:t xml:space="preserve"> and maintenance</w:t>
      </w:r>
      <w:r>
        <w:rPr>
          <w:noProof/>
        </w:rPr>
        <w:t xml:space="preserve"> of</w:t>
      </w:r>
      <w:r w:rsidRPr="00777BC3">
        <w:rPr>
          <w:noProof/>
        </w:rPr>
        <w:t xml:space="preserve"> European individual attestation schemes</w:t>
      </w:r>
      <w:r>
        <w:rPr>
          <w:noProof/>
        </w:rPr>
        <w:t>,</w:t>
      </w:r>
      <w:r w:rsidRPr="00777BC3">
        <w:rPr>
          <w:noProof/>
        </w:rPr>
        <w:t xml:space="preserve"> the processing</w:t>
      </w:r>
      <w:r>
        <w:rPr>
          <w:noProof/>
        </w:rPr>
        <w:t xml:space="preserve"> of applications</w:t>
      </w:r>
      <w:r w:rsidRPr="00777BC3">
        <w:rPr>
          <w:noProof/>
        </w:rPr>
        <w:t xml:space="preserve"> and </w:t>
      </w:r>
      <w:r>
        <w:rPr>
          <w:noProof/>
        </w:rPr>
        <w:t>the</w:t>
      </w:r>
      <w:r w:rsidRPr="00777BC3">
        <w:rPr>
          <w:noProof/>
        </w:rPr>
        <w:t xml:space="preserve"> deliver</w:t>
      </w:r>
      <w:r>
        <w:rPr>
          <w:noProof/>
        </w:rPr>
        <w:t>y</w:t>
      </w:r>
      <w:r w:rsidRPr="00777BC3">
        <w:rPr>
          <w:noProof/>
        </w:rPr>
        <w:t xml:space="preserve"> and renewal of authorisations and </w:t>
      </w:r>
      <w:r>
        <w:rPr>
          <w:noProof/>
        </w:rPr>
        <w:t xml:space="preserve">the necessary for those </w:t>
      </w:r>
      <w:r w:rsidRPr="00777BC3">
        <w:rPr>
          <w:noProof/>
        </w:rPr>
        <w:t>oversight activities by ENISA.</w:t>
      </w:r>
    </w:p>
    <w:p w14:paraId="731516C6" w14:textId="77777777" w:rsidR="001A462E" w:rsidRPr="00777BC3" w:rsidRDefault="001A462E" w:rsidP="0074565D">
      <w:pPr>
        <w:pStyle w:val="Text1"/>
        <w:rPr>
          <w:noProof/>
        </w:rPr>
      </w:pPr>
      <w:r w:rsidRPr="00777BC3">
        <w:rPr>
          <w:noProof/>
        </w:rPr>
        <w:t xml:space="preserve">The amount of the fees for the tasks referred to in paragraph 2 shall be fixed at such a level as to ensure that the revenue in respect thereof </w:t>
      </w:r>
      <w:r>
        <w:rPr>
          <w:noProof/>
        </w:rPr>
        <w:t xml:space="preserve">sufficiently contributes to </w:t>
      </w:r>
      <w:r w:rsidRPr="00777BC3">
        <w:rPr>
          <w:noProof/>
        </w:rPr>
        <w:t>cover the full cost</w:t>
      </w:r>
      <w:r>
        <w:rPr>
          <w:noProof/>
        </w:rPr>
        <w:t>s</w:t>
      </w:r>
      <w:r w:rsidRPr="00777BC3">
        <w:rPr>
          <w:noProof/>
        </w:rPr>
        <w:t xml:space="preserve"> of the activities related to maintaining the European cybersecurity certification schemes set out in Article 75. </w:t>
      </w:r>
    </w:p>
    <w:p w14:paraId="0B17AB09" w14:textId="77777777" w:rsidR="001A462E" w:rsidRPr="00777BC3" w:rsidRDefault="001A462E" w:rsidP="0074565D">
      <w:pPr>
        <w:pStyle w:val="Text1"/>
        <w:rPr>
          <w:noProof/>
        </w:rPr>
      </w:pPr>
      <w:r w:rsidRPr="00777BC3">
        <w:rPr>
          <w:noProof/>
        </w:rPr>
        <w:t xml:space="preserve">The amount of the fees for the tasks referred to in paragraph 3 shall be fixed at such a level as to ensure that the revenue in respect thereof </w:t>
      </w:r>
      <w:r>
        <w:rPr>
          <w:noProof/>
        </w:rPr>
        <w:t xml:space="preserve">sufficiently contributes to </w:t>
      </w:r>
      <w:r w:rsidRPr="00777BC3">
        <w:rPr>
          <w:noProof/>
        </w:rPr>
        <w:t>cover the cost</w:t>
      </w:r>
      <w:r>
        <w:rPr>
          <w:noProof/>
        </w:rPr>
        <w:t>s</w:t>
      </w:r>
      <w:r w:rsidRPr="00777BC3">
        <w:rPr>
          <w:noProof/>
        </w:rPr>
        <w:t xml:space="preserve"> of the activities related to the provision of testing tools as set out in Article 15(1). </w:t>
      </w:r>
    </w:p>
    <w:p w14:paraId="26092A8C" w14:textId="3D0F780F" w:rsidR="001A462E" w:rsidRDefault="006D01CD" w:rsidP="006D01CD">
      <w:pPr>
        <w:pStyle w:val="ManualNumPar1"/>
        <w:rPr>
          <w:noProof/>
        </w:rPr>
      </w:pPr>
      <w:r w:rsidRPr="006D01CD">
        <w:rPr>
          <w:noProof/>
        </w:rPr>
        <w:t>7.</w:t>
      </w:r>
      <w:r w:rsidRPr="006D01CD">
        <w:rPr>
          <w:noProof/>
        </w:rPr>
        <w:tab/>
      </w:r>
      <w:r w:rsidR="001A462E" w:rsidRPr="00777BC3">
        <w:rPr>
          <w:noProof/>
        </w:rPr>
        <w:t xml:space="preserve">ENISA shall </w:t>
      </w:r>
      <w:r w:rsidR="001A462E">
        <w:rPr>
          <w:noProof/>
        </w:rPr>
        <w:t>provide</w:t>
      </w:r>
      <w:r w:rsidR="001A462E" w:rsidRPr="00777BC3">
        <w:rPr>
          <w:noProof/>
        </w:rPr>
        <w:t xml:space="preserve"> a report on the fees levied and their impact on </w:t>
      </w:r>
      <w:r w:rsidR="001A462E">
        <w:rPr>
          <w:noProof/>
        </w:rPr>
        <w:t>its</w:t>
      </w:r>
      <w:r w:rsidR="001A462E" w:rsidRPr="00777BC3">
        <w:rPr>
          <w:noProof/>
        </w:rPr>
        <w:t xml:space="preserve"> budget as part of the procedure for the presentation of accounts laid down in Article 50.</w:t>
      </w:r>
    </w:p>
    <w:p w14:paraId="48B21221" w14:textId="1058E32A" w:rsidR="001A462E" w:rsidRPr="00DB00F9" w:rsidRDefault="006D01CD" w:rsidP="006D01CD">
      <w:pPr>
        <w:pStyle w:val="ManualNumPar1"/>
        <w:rPr>
          <w:noProof/>
        </w:rPr>
      </w:pPr>
      <w:r w:rsidRPr="006D01CD">
        <w:rPr>
          <w:noProof/>
        </w:rPr>
        <w:t>8.</w:t>
      </w:r>
      <w:r w:rsidRPr="006D01CD">
        <w:rPr>
          <w:noProof/>
        </w:rPr>
        <w:tab/>
      </w:r>
      <w:r w:rsidR="001A462E">
        <w:rPr>
          <w:noProof/>
        </w:rPr>
        <w:t>ENISA shall put in place a set of indicators to measure the workload, effectiveness and efficiency in relation to activities financed through fees. ENISA shall adapt its staff planning and management of resources related to fees accordingly to be able to adequately respond to such demand and to any fluctuations in revenue from fees. ENISA shall share the report with the Commission, which the Commission may use for the purpose of the evaluation referred to in Article 1</w:t>
      </w:r>
      <w:r w:rsidR="00B830C9">
        <w:rPr>
          <w:noProof/>
        </w:rPr>
        <w:t>20</w:t>
      </w:r>
      <w:r w:rsidR="001A462E">
        <w:rPr>
          <w:noProof/>
        </w:rPr>
        <w:t>(1).</w:t>
      </w:r>
    </w:p>
    <w:p w14:paraId="726E4A96" w14:textId="77777777" w:rsidR="001A462E" w:rsidRPr="00777BC3" w:rsidRDefault="001A462E" w:rsidP="001A462E">
      <w:pPr>
        <w:pStyle w:val="Titrearticle"/>
        <w:rPr>
          <w:noProof/>
        </w:rPr>
      </w:pPr>
      <w:r w:rsidRPr="00777BC3">
        <w:rPr>
          <w:noProof/>
        </w:rPr>
        <w:t>Article 48</w:t>
      </w:r>
      <w:r w:rsidRPr="00777BC3">
        <w:rPr>
          <w:noProof/>
        </w:rPr>
        <w:br/>
        <w:t>Implementation of ENISA’s budget</w:t>
      </w:r>
    </w:p>
    <w:p w14:paraId="0C304B17" w14:textId="67D2782A" w:rsidR="001A462E" w:rsidRPr="00777BC3" w:rsidRDefault="006D01CD" w:rsidP="006D01CD">
      <w:pPr>
        <w:pStyle w:val="ManualNumPar1"/>
        <w:rPr>
          <w:noProof/>
        </w:rPr>
      </w:pPr>
      <w:r w:rsidRPr="006D01CD">
        <w:rPr>
          <w:noProof/>
        </w:rPr>
        <w:t>1.</w:t>
      </w:r>
      <w:r w:rsidRPr="006D01CD">
        <w:rPr>
          <w:noProof/>
        </w:rPr>
        <w:tab/>
      </w:r>
      <w:r w:rsidR="001A462E" w:rsidRPr="00777BC3">
        <w:rPr>
          <w:noProof/>
        </w:rPr>
        <w:t>The Executive Director shall be responsible for the implementation of ENISA’s budget</w:t>
      </w:r>
      <w:r w:rsidR="001A462E">
        <w:rPr>
          <w:noProof/>
        </w:rPr>
        <w:t xml:space="preserve"> and shall act as authorising officer</w:t>
      </w:r>
      <w:r w:rsidR="001A462E" w:rsidRPr="00777BC3">
        <w:rPr>
          <w:noProof/>
        </w:rPr>
        <w:t>.</w:t>
      </w:r>
    </w:p>
    <w:p w14:paraId="33BD68BB" w14:textId="62D6DC68" w:rsidR="001A462E" w:rsidRPr="00777BC3" w:rsidRDefault="006D01CD" w:rsidP="006D01CD">
      <w:pPr>
        <w:pStyle w:val="ManualNumPar1"/>
        <w:rPr>
          <w:noProof/>
        </w:rPr>
      </w:pPr>
      <w:r w:rsidRPr="006D01CD">
        <w:rPr>
          <w:noProof/>
        </w:rPr>
        <w:t>2.</w:t>
      </w:r>
      <w:r w:rsidRPr="006D01CD">
        <w:rPr>
          <w:noProof/>
        </w:rPr>
        <w:tab/>
      </w:r>
      <w:r w:rsidR="001A462E" w:rsidRPr="00777BC3">
        <w:rPr>
          <w:noProof/>
        </w:rPr>
        <w:t>The Commission’s internal auditor shall exercise the same powers over ENISA as over Commission departments.</w:t>
      </w:r>
    </w:p>
    <w:p w14:paraId="04678A54" w14:textId="2B43CB31" w:rsidR="001A462E" w:rsidRPr="00777BC3" w:rsidRDefault="006D01CD" w:rsidP="006D01CD">
      <w:pPr>
        <w:pStyle w:val="ManualNumPar1"/>
        <w:rPr>
          <w:noProof/>
        </w:rPr>
      </w:pPr>
      <w:r w:rsidRPr="006D01CD">
        <w:rPr>
          <w:noProof/>
        </w:rPr>
        <w:t>3.</w:t>
      </w:r>
      <w:r w:rsidRPr="006D01CD">
        <w:rPr>
          <w:noProof/>
        </w:rPr>
        <w:tab/>
      </w:r>
      <w:r w:rsidR="001A462E" w:rsidRPr="00777BC3">
        <w:rPr>
          <w:noProof/>
        </w:rPr>
        <w:t>Each year, the Executive Director shall send to the budgetary authority all information relevant to the findings of evaluation procedures.</w:t>
      </w:r>
    </w:p>
    <w:p w14:paraId="13327B6E" w14:textId="77777777" w:rsidR="001A462E" w:rsidRPr="00777BC3" w:rsidRDefault="001A462E" w:rsidP="001A462E">
      <w:pPr>
        <w:pStyle w:val="Titrearticle"/>
        <w:rPr>
          <w:noProof/>
        </w:rPr>
      </w:pPr>
      <w:r w:rsidRPr="00777BC3">
        <w:rPr>
          <w:noProof/>
        </w:rPr>
        <w:t>Article 49</w:t>
      </w:r>
      <w:r w:rsidRPr="00777BC3">
        <w:rPr>
          <w:noProof/>
        </w:rPr>
        <w:br/>
        <w:t>Presentation of accounts and discharge</w:t>
      </w:r>
    </w:p>
    <w:p w14:paraId="12B5E64F" w14:textId="4C110F66" w:rsidR="001A462E" w:rsidRPr="00777BC3" w:rsidRDefault="006D01CD" w:rsidP="006D01CD">
      <w:pPr>
        <w:pStyle w:val="ManualNumPar1"/>
        <w:rPr>
          <w:noProof/>
        </w:rPr>
      </w:pPr>
      <w:r w:rsidRPr="006D01CD">
        <w:rPr>
          <w:noProof/>
        </w:rPr>
        <w:t>1.</w:t>
      </w:r>
      <w:r w:rsidRPr="006D01CD">
        <w:rPr>
          <w:noProof/>
        </w:rPr>
        <w:tab/>
      </w:r>
      <w:r w:rsidR="001A462E" w:rsidRPr="00777BC3">
        <w:rPr>
          <w:noProof/>
        </w:rPr>
        <w:t>ENISA’s accounting officer shall send the provisional accounts for the financial year (year N) to the Commission’s accounting officer and to the Court of Auditors by 1 March of the following financial year (year N + 1).</w:t>
      </w:r>
    </w:p>
    <w:p w14:paraId="675112C7" w14:textId="4B09A523" w:rsidR="001A462E" w:rsidRPr="00777BC3" w:rsidRDefault="006D01CD" w:rsidP="006D01CD">
      <w:pPr>
        <w:pStyle w:val="ManualNumPar1"/>
        <w:rPr>
          <w:noProof/>
        </w:rPr>
      </w:pPr>
      <w:r w:rsidRPr="006D01CD">
        <w:rPr>
          <w:noProof/>
        </w:rPr>
        <w:t>2.</w:t>
      </w:r>
      <w:r w:rsidRPr="006D01CD">
        <w:rPr>
          <w:noProof/>
        </w:rPr>
        <w:tab/>
      </w:r>
      <w:r w:rsidR="001A462E" w:rsidRPr="00777BC3">
        <w:rPr>
          <w:noProof/>
        </w:rPr>
        <w:t>ENISA’s accounting officer shall also provide the required accounting information for consolidation purposes to the Commission’s accounting officer, in the manner and format required by the latter by 1 March of year N + 1.</w:t>
      </w:r>
    </w:p>
    <w:p w14:paraId="2C4A5155" w14:textId="29DE2A4D" w:rsidR="001A462E" w:rsidRPr="00777BC3" w:rsidRDefault="006D01CD" w:rsidP="006D01CD">
      <w:pPr>
        <w:pStyle w:val="ManualNumPar1"/>
        <w:rPr>
          <w:noProof/>
        </w:rPr>
      </w:pPr>
      <w:r w:rsidRPr="006D01CD">
        <w:rPr>
          <w:noProof/>
        </w:rPr>
        <w:t>3.</w:t>
      </w:r>
      <w:r w:rsidRPr="006D01CD">
        <w:rPr>
          <w:noProof/>
        </w:rPr>
        <w:tab/>
      </w:r>
      <w:r w:rsidR="001A462E" w:rsidRPr="00777BC3">
        <w:rPr>
          <w:noProof/>
        </w:rPr>
        <w:t>ENISA shall send the report on the budgetary and financial management for year N to the European Parliament, the Council, the Commission and the Court of Auditors by 31 March of year N + 1.</w:t>
      </w:r>
    </w:p>
    <w:p w14:paraId="3A1EF914" w14:textId="16DFFC49" w:rsidR="001A462E" w:rsidRPr="00777BC3" w:rsidRDefault="006D01CD" w:rsidP="006D01CD">
      <w:pPr>
        <w:pStyle w:val="ManualNumPar1"/>
        <w:rPr>
          <w:noProof/>
        </w:rPr>
      </w:pPr>
      <w:r w:rsidRPr="006D01CD">
        <w:rPr>
          <w:noProof/>
        </w:rPr>
        <w:t>4.</w:t>
      </w:r>
      <w:r w:rsidRPr="006D01CD">
        <w:rPr>
          <w:noProof/>
        </w:rPr>
        <w:tab/>
      </w:r>
      <w:r w:rsidR="001A462E" w:rsidRPr="00777BC3">
        <w:rPr>
          <w:noProof/>
        </w:rPr>
        <w:t xml:space="preserve">On receipt of the Court of Auditor’s observations on ENISA’s provisional accounts for year N, </w:t>
      </w:r>
      <w:r w:rsidR="001A462E">
        <w:rPr>
          <w:noProof/>
        </w:rPr>
        <w:t>ENISA</w:t>
      </w:r>
      <w:r w:rsidR="001A462E" w:rsidRPr="00777BC3">
        <w:rPr>
          <w:noProof/>
        </w:rPr>
        <w:t xml:space="preserve">’s accounting officer shall draw up ENISA’s final accounts </w:t>
      </w:r>
      <w:r w:rsidR="001A462E">
        <w:rPr>
          <w:noProof/>
        </w:rPr>
        <w:t>on their</w:t>
      </w:r>
      <w:r w:rsidR="001A462E" w:rsidRPr="00777BC3">
        <w:rPr>
          <w:noProof/>
        </w:rPr>
        <w:t xml:space="preserve"> own responsibility. The Executive Director shall submit them to the Management Board for an opinion.</w:t>
      </w:r>
    </w:p>
    <w:p w14:paraId="51464DE1" w14:textId="6A5963D2" w:rsidR="001A462E" w:rsidRPr="00777BC3" w:rsidRDefault="006D01CD" w:rsidP="006D01CD">
      <w:pPr>
        <w:pStyle w:val="ManualNumPar1"/>
        <w:rPr>
          <w:noProof/>
        </w:rPr>
      </w:pPr>
      <w:r w:rsidRPr="006D01CD">
        <w:rPr>
          <w:noProof/>
        </w:rPr>
        <w:t>5.</w:t>
      </w:r>
      <w:r w:rsidRPr="006D01CD">
        <w:rPr>
          <w:noProof/>
        </w:rPr>
        <w:tab/>
      </w:r>
      <w:r w:rsidR="001A462E" w:rsidRPr="00777BC3">
        <w:rPr>
          <w:noProof/>
        </w:rPr>
        <w:t>The Management Board shall deliver an opinion on ENISA’s final accounts for year N.</w:t>
      </w:r>
    </w:p>
    <w:p w14:paraId="112693DF" w14:textId="5CE222AE" w:rsidR="001A462E" w:rsidRPr="00777BC3" w:rsidRDefault="006D01CD" w:rsidP="006D01CD">
      <w:pPr>
        <w:pStyle w:val="ManualNumPar1"/>
        <w:rPr>
          <w:noProof/>
        </w:rPr>
      </w:pPr>
      <w:r w:rsidRPr="006D01CD">
        <w:rPr>
          <w:noProof/>
        </w:rPr>
        <w:t>6.</w:t>
      </w:r>
      <w:r w:rsidRPr="006D01CD">
        <w:rPr>
          <w:noProof/>
        </w:rPr>
        <w:tab/>
      </w:r>
      <w:r w:rsidR="001A462E" w:rsidRPr="00777BC3">
        <w:rPr>
          <w:noProof/>
        </w:rPr>
        <w:t>ENISA’s accounting officer shall, by 1 July of year N + 1 send the final accounts for year N to the European Parliament, the Council, the Commission and the Court of Auditors, together with the Management Board’s opinion.</w:t>
      </w:r>
    </w:p>
    <w:p w14:paraId="10039168" w14:textId="12BC4CFC" w:rsidR="001A462E" w:rsidRPr="00777BC3" w:rsidRDefault="006D01CD" w:rsidP="006D01CD">
      <w:pPr>
        <w:pStyle w:val="ManualNumPar1"/>
        <w:rPr>
          <w:noProof/>
        </w:rPr>
      </w:pPr>
      <w:r w:rsidRPr="006D01CD">
        <w:rPr>
          <w:noProof/>
        </w:rPr>
        <w:t>7.</w:t>
      </w:r>
      <w:r w:rsidRPr="006D01CD">
        <w:rPr>
          <w:noProof/>
        </w:rPr>
        <w:tab/>
      </w:r>
      <w:r w:rsidR="001A462E" w:rsidRPr="00777BC3">
        <w:rPr>
          <w:noProof/>
        </w:rPr>
        <w:t xml:space="preserve">A link to the </w:t>
      </w:r>
      <w:r w:rsidR="001A462E">
        <w:rPr>
          <w:noProof/>
        </w:rPr>
        <w:t xml:space="preserve">web </w:t>
      </w:r>
      <w:r w:rsidR="001A462E" w:rsidRPr="00777BC3">
        <w:rPr>
          <w:noProof/>
        </w:rPr>
        <w:t xml:space="preserve">pages containing </w:t>
      </w:r>
      <w:r w:rsidR="001A462E">
        <w:rPr>
          <w:noProof/>
        </w:rPr>
        <w:t>ENISA’s</w:t>
      </w:r>
      <w:r w:rsidR="001A462E" w:rsidRPr="00777BC3">
        <w:rPr>
          <w:noProof/>
        </w:rPr>
        <w:t xml:space="preserve"> final accounts shall be published in the Official Journal of the European Union by 15 November of year N + 1.</w:t>
      </w:r>
    </w:p>
    <w:p w14:paraId="73EDE984" w14:textId="0E0C8E50" w:rsidR="001A462E" w:rsidRPr="00777BC3" w:rsidRDefault="006D01CD" w:rsidP="006D01CD">
      <w:pPr>
        <w:pStyle w:val="ManualNumPar1"/>
        <w:rPr>
          <w:noProof/>
        </w:rPr>
      </w:pPr>
      <w:r w:rsidRPr="006D01CD">
        <w:rPr>
          <w:noProof/>
        </w:rPr>
        <w:t>8.</w:t>
      </w:r>
      <w:r w:rsidRPr="006D01CD">
        <w:rPr>
          <w:noProof/>
        </w:rPr>
        <w:tab/>
      </w:r>
      <w:r w:rsidR="001A462E" w:rsidRPr="00777BC3">
        <w:rPr>
          <w:noProof/>
        </w:rPr>
        <w:t>The Executive Director shall send to the Court of Auditors, by 30 September of year N + 1, a reply to the observations made in its annual report. The Executive Director shall also send th</w:t>
      </w:r>
      <w:r w:rsidR="001A462E">
        <w:rPr>
          <w:noProof/>
        </w:rPr>
        <w:t>at</w:t>
      </w:r>
      <w:r w:rsidR="001A462E" w:rsidRPr="00777BC3">
        <w:rPr>
          <w:noProof/>
        </w:rPr>
        <w:t xml:space="preserve"> reply to the Management Board and to the Commission.</w:t>
      </w:r>
    </w:p>
    <w:p w14:paraId="092469A3" w14:textId="1BEDD4E1" w:rsidR="001A462E" w:rsidRPr="00777BC3" w:rsidRDefault="006D01CD" w:rsidP="006D01CD">
      <w:pPr>
        <w:pStyle w:val="ManualNumPar1"/>
        <w:rPr>
          <w:noProof/>
        </w:rPr>
      </w:pPr>
      <w:r w:rsidRPr="006D01CD">
        <w:rPr>
          <w:noProof/>
        </w:rPr>
        <w:t>9.</w:t>
      </w:r>
      <w:r w:rsidRPr="006D01CD">
        <w:rPr>
          <w:noProof/>
        </w:rPr>
        <w:tab/>
      </w:r>
      <w:r w:rsidR="001A462E" w:rsidRPr="00777BC3">
        <w:rPr>
          <w:noProof/>
        </w:rPr>
        <w:t>The Executive Director shall submit to the European Parliament, at the latter’s request, any information required for the smooth application of the discharge procedure for year N, in accordance with Article 267(3) of Regulation (EU, Euratom) 2024/2509 of the European Parliament and of the Council.</w:t>
      </w:r>
    </w:p>
    <w:p w14:paraId="54F54F48" w14:textId="17C92DC6" w:rsidR="001A462E" w:rsidRPr="00777BC3" w:rsidRDefault="006D01CD" w:rsidP="006D01CD">
      <w:pPr>
        <w:pStyle w:val="ManualNumPar1"/>
        <w:rPr>
          <w:noProof/>
        </w:rPr>
      </w:pPr>
      <w:r w:rsidRPr="006D01CD">
        <w:rPr>
          <w:noProof/>
        </w:rPr>
        <w:t>10.</w:t>
      </w:r>
      <w:r w:rsidRPr="006D01CD">
        <w:rPr>
          <w:noProof/>
        </w:rPr>
        <w:tab/>
      </w:r>
      <w:r w:rsidR="001A462E" w:rsidRPr="00777BC3">
        <w:rPr>
          <w:noProof/>
        </w:rPr>
        <w:t>On a recommendation from the Council acting by qualified majority, the European Parliament shall, before 15 May of year N + 2, give a discharge to the Executive Director in respect of the implementation of the budget for year N.</w:t>
      </w:r>
    </w:p>
    <w:p w14:paraId="61EF586B" w14:textId="77777777" w:rsidR="001A462E" w:rsidRPr="00777BC3" w:rsidRDefault="001A462E" w:rsidP="001A462E">
      <w:pPr>
        <w:pStyle w:val="Titrearticle"/>
        <w:rPr>
          <w:noProof/>
        </w:rPr>
      </w:pPr>
      <w:r w:rsidRPr="00777BC3">
        <w:rPr>
          <w:noProof/>
        </w:rPr>
        <w:t>Article 50</w:t>
      </w:r>
      <w:r w:rsidRPr="00777BC3">
        <w:rPr>
          <w:noProof/>
        </w:rPr>
        <w:br/>
        <w:t>Financial rules</w:t>
      </w:r>
    </w:p>
    <w:p w14:paraId="361FE3DA" w14:textId="6AD21053" w:rsidR="001A462E" w:rsidRPr="00777BC3" w:rsidRDefault="006D01CD" w:rsidP="006D01CD">
      <w:pPr>
        <w:pStyle w:val="ManualNumPar1"/>
        <w:rPr>
          <w:noProof/>
        </w:rPr>
      </w:pPr>
      <w:r w:rsidRPr="006D01CD">
        <w:rPr>
          <w:noProof/>
        </w:rPr>
        <w:t>1.</w:t>
      </w:r>
      <w:r w:rsidRPr="006D01CD">
        <w:rPr>
          <w:noProof/>
        </w:rPr>
        <w:tab/>
      </w:r>
      <w:r w:rsidR="001A462E" w:rsidRPr="00777BC3">
        <w:rPr>
          <w:noProof/>
        </w:rPr>
        <w:t>The financial rules applicable to ENISA shall be adopted by the Management Board after consulting the Commission. They shall not depart from Delegated Regulation (EU) 2019/715 unless such a departure is specifically required for the operation of ENISA and the Commission has given its prior consent.</w:t>
      </w:r>
    </w:p>
    <w:p w14:paraId="0074FA04" w14:textId="6ADE3CDE" w:rsidR="001A462E" w:rsidRPr="00777BC3" w:rsidRDefault="006D01CD" w:rsidP="006D01CD">
      <w:pPr>
        <w:pStyle w:val="ManualNumPar1"/>
        <w:rPr>
          <w:noProof/>
        </w:rPr>
      </w:pPr>
      <w:r w:rsidRPr="006D01CD">
        <w:rPr>
          <w:noProof/>
        </w:rPr>
        <w:t>2.</w:t>
      </w:r>
      <w:r w:rsidRPr="006D01CD">
        <w:rPr>
          <w:noProof/>
        </w:rPr>
        <w:tab/>
      </w:r>
      <w:r w:rsidR="001A462E" w:rsidRPr="00777BC3">
        <w:rPr>
          <w:noProof/>
        </w:rPr>
        <w:t xml:space="preserve">ENISA shall establish and implement its budget in </w:t>
      </w:r>
      <w:r w:rsidR="001A462E">
        <w:rPr>
          <w:noProof/>
        </w:rPr>
        <w:t>accordance</w:t>
      </w:r>
      <w:r w:rsidR="001A462E" w:rsidRPr="00777BC3">
        <w:rPr>
          <w:noProof/>
        </w:rPr>
        <w:t xml:space="preserve"> with its financial rules and Regulation (EU, Euratom) 2024/2509.</w:t>
      </w:r>
    </w:p>
    <w:p w14:paraId="22A81A6F" w14:textId="77777777" w:rsidR="001A462E" w:rsidRPr="00777BC3" w:rsidRDefault="001A462E" w:rsidP="001A462E">
      <w:pPr>
        <w:pStyle w:val="Titrearticle"/>
        <w:rPr>
          <w:noProof/>
        </w:rPr>
      </w:pPr>
      <w:r w:rsidRPr="00777BC3">
        <w:rPr>
          <w:noProof/>
        </w:rPr>
        <w:t>Article 51</w:t>
      </w:r>
      <w:r w:rsidRPr="00777BC3">
        <w:rPr>
          <w:noProof/>
        </w:rPr>
        <w:br/>
        <w:t>Combating fraud</w:t>
      </w:r>
    </w:p>
    <w:p w14:paraId="260AE9E5" w14:textId="4A9FADE0" w:rsidR="001A462E" w:rsidRPr="00777BC3" w:rsidRDefault="006D01CD" w:rsidP="006D01CD">
      <w:pPr>
        <w:pStyle w:val="ManualNumPar1"/>
        <w:rPr>
          <w:noProof/>
        </w:rPr>
      </w:pPr>
      <w:r w:rsidRPr="006D01CD">
        <w:rPr>
          <w:noProof/>
        </w:rPr>
        <w:t>1.</w:t>
      </w:r>
      <w:r w:rsidRPr="006D01CD">
        <w:rPr>
          <w:noProof/>
        </w:rPr>
        <w:tab/>
      </w:r>
      <w:r w:rsidR="001A462E" w:rsidRPr="00777BC3">
        <w:rPr>
          <w:noProof/>
        </w:rPr>
        <w:t xml:space="preserve">In order to combat fraud, corruption and other unlawful activities, the provisions of Regulation (EU, Euratom) No 883/2013 of the European Parliament and of the Council </w:t>
      </w:r>
      <w:r w:rsidR="001A462E">
        <w:rPr>
          <w:rStyle w:val="FootnoteReference"/>
          <w:noProof/>
        </w:rPr>
        <w:footnoteReference w:id="76"/>
      </w:r>
      <w:r w:rsidR="00B66003">
        <w:rPr>
          <w:noProof/>
        </w:rPr>
        <w:t xml:space="preserve"> </w:t>
      </w:r>
      <w:r w:rsidR="001A462E" w:rsidRPr="00777BC3">
        <w:rPr>
          <w:noProof/>
        </w:rPr>
        <w:t>shall apply without restriction</w:t>
      </w:r>
      <w:r w:rsidR="001A462E">
        <w:rPr>
          <w:noProof/>
        </w:rPr>
        <w:t xml:space="preserve"> to the activities of ENISA</w:t>
      </w:r>
      <w:r w:rsidR="001A462E" w:rsidRPr="00777BC3">
        <w:rPr>
          <w:noProof/>
        </w:rPr>
        <w:t>.</w:t>
      </w:r>
    </w:p>
    <w:p w14:paraId="0BBBC5CE" w14:textId="6F1D1AF2" w:rsidR="001A462E" w:rsidRPr="00777BC3" w:rsidRDefault="006D01CD" w:rsidP="006D01CD">
      <w:pPr>
        <w:pStyle w:val="ManualNumPar1"/>
        <w:rPr>
          <w:noProof/>
        </w:rPr>
      </w:pPr>
      <w:r w:rsidRPr="006D01CD">
        <w:rPr>
          <w:noProof/>
        </w:rPr>
        <w:t>2.</w:t>
      </w:r>
      <w:r w:rsidRPr="006D01CD">
        <w:rPr>
          <w:noProof/>
        </w:rPr>
        <w:tab/>
      </w:r>
      <w:r w:rsidR="001A462E">
        <w:rPr>
          <w:noProof/>
        </w:rPr>
        <w:t>ENISA</w:t>
      </w:r>
      <w:r w:rsidR="001A462E" w:rsidRPr="00777BC3">
        <w:rPr>
          <w:noProof/>
        </w:rPr>
        <w:t xml:space="preserve"> shall accede to the Interinstitutional Agreement of 25 May 1999 between the European Parliament, the Council of the European Union and the Commission of the European Communities concerning internal investigations by the European Anti-</w:t>
      </w:r>
      <w:r w:rsidR="001A462E">
        <w:rPr>
          <w:noProof/>
        </w:rPr>
        <w:t>F</w:t>
      </w:r>
      <w:r w:rsidR="001A462E" w:rsidRPr="00777BC3">
        <w:rPr>
          <w:noProof/>
        </w:rPr>
        <w:t>raud Office (OLAF)</w:t>
      </w:r>
      <w:r w:rsidR="001A462E">
        <w:rPr>
          <w:rStyle w:val="FootnoteReference"/>
          <w:noProof/>
        </w:rPr>
        <w:footnoteReference w:id="77"/>
      </w:r>
      <w:r w:rsidR="001A462E" w:rsidRPr="00777BC3">
        <w:rPr>
          <w:noProof/>
        </w:rPr>
        <w:t xml:space="preserve"> within six months from </w:t>
      </w:r>
      <w:r w:rsidR="001A462E" w:rsidRPr="00777BC3">
        <w:rPr>
          <w:i/>
          <w:iCs/>
          <w:noProof/>
        </w:rPr>
        <w:t xml:space="preserve">[OP please insert the exact date, as referred to in Art. 127] </w:t>
      </w:r>
      <w:r w:rsidR="001A462E" w:rsidRPr="00777BC3">
        <w:rPr>
          <w:noProof/>
        </w:rPr>
        <w:t>and shall adopt the appropriate provisions applicable to its staff using the template set out in the Annex to that Agreement.</w:t>
      </w:r>
    </w:p>
    <w:p w14:paraId="3DA0363B" w14:textId="26358ADE" w:rsidR="001A462E" w:rsidRPr="00777BC3" w:rsidRDefault="006D01CD" w:rsidP="006D01CD">
      <w:pPr>
        <w:pStyle w:val="ManualNumPar1"/>
        <w:rPr>
          <w:noProof/>
        </w:rPr>
      </w:pPr>
      <w:r w:rsidRPr="006D01CD">
        <w:rPr>
          <w:noProof/>
        </w:rPr>
        <w:t>3.</w:t>
      </w:r>
      <w:r w:rsidRPr="006D01CD">
        <w:rPr>
          <w:noProof/>
        </w:rPr>
        <w:tab/>
      </w:r>
      <w:r w:rsidR="001A462E" w:rsidRPr="00777BC3">
        <w:rPr>
          <w:noProof/>
        </w:rPr>
        <w:t>The Court of Auditors shall have the power of audit, on the basis of documents and on</w:t>
      </w:r>
      <w:r w:rsidR="001A462E">
        <w:rPr>
          <w:noProof/>
        </w:rPr>
        <w:t>-</w:t>
      </w:r>
      <w:r w:rsidR="001A462E" w:rsidRPr="00777BC3">
        <w:rPr>
          <w:noProof/>
        </w:rPr>
        <w:t>the</w:t>
      </w:r>
      <w:r w:rsidR="001A462E">
        <w:rPr>
          <w:noProof/>
        </w:rPr>
        <w:t>-</w:t>
      </w:r>
      <w:r w:rsidR="001A462E" w:rsidRPr="00777BC3">
        <w:rPr>
          <w:noProof/>
        </w:rPr>
        <w:t>spot</w:t>
      </w:r>
      <w:r w:rsidR="001A462E">
        <w:rPr>
          <w:noProof/>
        </w:rPr>
        <w:t xml:space="preserve"> checks</w:t>
      </w:r>
      <w:r w:rsidR="001A462E" w:rsidRPr="00777BC3">
        <w:rPr>
          <w:noProof/>
        </w:rPr>
        <w:t>, over all grant beneficiaries, contractors and subcontractors who have received Union funds from ENISA.</w:t>
      </w:r>
    </w:p>
    <w:p w14:paraId="464D5514" w14:textId="0B7554A5" w:rsidR="001A462E" w:rsidRPr="00777BC3" w:rsidRDefault="006D01CD" w:rsidP="006D01CD">
      <w:pPr>
        <w:pStyle w:val="ManualNumPar1"/>
        <w:rPr>
          <w:noProof/>
        </w:rPr>
      </w:pPr>
      <w:r w:rsidRPr="006D01CD">
        <w:rPr>
          <w:noProof/>
        </w:rPr>
        <w:t>4.</w:t>
      </w:r>
      <w:r w:rsidRPr="006D01CD">
        <w:rPr>
          <w:noProof/>
        </w:rPr>
        <w:tab/>
      </w:r>
      <w:r w:rsidR="001A462E" w:rsidRPr="00777BC3">
        <w:rPr>
          <w:noProof/>
        </w:rPr>
        <w:t xml:space="preserve">OLAF may carry out investigations, including on-the-spot checks and inspections with a view to establishing whether there has been fraud, corruption or any other illegal activity affecting the financial interests of the Union in connection with a grant or a contract funded by </w:t>
      </w:r>
      <w:r w:rsidR="001A462E">
        <w:rPr>
          <w:noProof/>
        </w:rPr>
        <w:t>ENISA</w:t>
      </w:r>
      <w:r w:rsidR="001A462E" w:rsidRPr="00777BC3">
        <w:rPr>
          <w:noProof/>
        </w:rPr>
        <w:t>, in accordance with the provisions and procedures laid down in Regulation (EU, Euratom) No 883/2013 and Council Regulation (Euratom, EC) No 2185/96</w:t>
      </w:r>
      <w:r w:rsidR="001A462E">
        <w:rPr>
          <w:rStyle w:val="FootnoteReference"/>
          <w:noProof/>
        </w:rPr>
        <w:footnoteReference w:id="78"/>
      </w:r>
      <w:r w:rsidR="001A462E" w:rsidRPr="00777BC3">
        <w:rPr>
          <w:noProof/>
        </w:rPr>
        <w:t>.</w:t>
      </w:r>
    </w:p>
    <w:p w14:paraId="1FC5C81E" w14:textId="5507131E" w:rsidR="001A462E" w:rsidRPr="00777BC3" w:rsidRDefault="006D01CD" w:rsidP="006D01CD">
      <w:pPr>
        <w:pStyle w:val="ManualNumPar1"/>
        <w:rPr>
          <w:noProof/>
        </w:rPr>
      </w:pPr>
      <w:r w:rsidRPr="006D01CD">
        <w:rPr>
          <w:noProof/>
        </w:rPr>
        <w:t>5.</w:t>
      </w:r>
      <w:r w:rsidRPr="006D01CD">
        <w:rPr>
          <w:noProof/>
        </w:rPr>
        <w:tab/>
      </w:r>
      <w:r w:rsidR="001A462E" w:rsidRPr="00777BC3">
        <w:rPr>
          <w:noProof/>
        </w:rPr>
        <w:t>Without prejudice to paragraphs 1</w:t>
      </w:r>
      <w:r w:rsidR="001A462E">
        <w:rPr>
          <w:noProof/>
        </w:rPr>
        <w:t>to</w:t>
      </w:r>
      <w:r w:rsidR="001A462E" w:rsidRPr="00777BC3">
        <w:rPr>
          <w:noProof/>
        </w:rPr>
        <w:t xml:space="preserve"> 4, working agreements with third countries and international organisations, contracts, grant agreements and grant decisions of </w:t>
      </w:r>
      <w:r w:rsidR="001A462E">
        <w:rPr>
          <w:noProof/>
        </w:rPr>
        <w:t>ENISA</w:t>
      </w:r>
      <w:r w:rsidR="001A462E" w:rsidRPr="00777BC3">
        <w:rPr>
          <w:noProof/>
        </w:rPr>
        <w:t xml:space="preserve"> shall contain provisions expressly empowering the Court of Auditors and OLAF to conduct such audits and investigations, according to their respective competenc</w:t>
      </w:r>
      <w:r w:rsidR="001A462E">
        <w:rPr>
          <w:noProof/>
        </w:rPr>
        <w:t>i</w:t>
      </w:r>
      <w:r w:rsidR="001A462E" w:rsidRPr="00777BC3">
        <w:rPr>
          <w:noProof/>
        </w:rPr>
        <w:t xml:space="preserve">es. </w:t>
      </w:r>
    </w:p>
    <w:p w14:paraId="019AF74D" w14:textId="27E34627" w:rsidR="001A462E" w:rsidRPr="00777BC3" w:rsidRDefault="006D01CD" w:rsidP="006D01CD">
      <w:pPr>
        <w:pStyle w:val="ManualNumPar1"/>
        <w:rPr>
          <w:noProof/>
        </w:rPr>
      </w:pPr>
      <w:r w:rsidRPr="006D01CD">
        <w:rPr>
          <w:noProof/>
        </w:rPr>
        <w:t>6.</w:t>
      </w:r>
      <w:r w:rsidRPr="006D01CD">
        <w:rPr>
          <w:noProof/>
        </w:rPr>
        <w:tab/>
      </w:r>
      <w:r w:rsidR="001A462E" w:rsidRPr="00777BC3">
        <w:rPr>
          <w:noProof/>
        </w:rPr>
        <w:t xml:space="preserve">In accordance with </w:t>
      </w:r>
      <w:r w:rsidR="001A462E">
        <w:rPr>
          <w:noProof/>
        </w:rPr>
        <w:t>Council</w:t>
      </w:r>
      <w:r w:rsidR="001A462E" w:rsidRPr="00777BC3">
        <w:rPr>
          <w:noProof/>
        </w:rPr>
        <w:t xml:space="preserve"> Regulation (EU) 2017/1939, the EPPO may investigate and prosecute fraud and other illegal activities affecting the financial interests of the Union as provided for in Directive (EU) 2017/1371</w:t>
      </w:r>
      <w:r w:rsidR="001A462E">
        <w:rPr>
          <w:noProof/>
        </w:rPr>
        <w:t xml:space="preserve"> of the European Parliament and of the Council</w:t>
      </w:r>
      <w:r w:rsidR="001A462E">
        <w:rPr>
          <w:rStyle w:val="FootnoteReference"/>
          <w:noProof/>
        </w:rPr>
        <w:footnoteReference w:id="79"/>
      </w:r>
      <w:r w:rsidR="001A462E" w:rsidRPr="00777BC3">
        <w:rPr>
          <w:noProof/>
        </w:rPr>
        <w:t>.</w:t>
      </w:r>
    </w:p>
    <w:p w14:paraId="310DF4A1" w14:textId="77777777" w:rsidR="001A462E" w:rsidRPr="00777BC3" w:rsidRDefault="001A462E" w:rsidP="001A462E">
      <w:pPr>
        <w:pStyle w:val="Titrearticle"/>
        <w:rPr>
          <w:noProof/>
        </w:rPr>
      </w:pPr>
      <w:r w:rsidRPr="00777BC3">
        <w:rPr>
          <w:noProof/>
        </w:rPr>
        <w:t>Article 52</w:t>
      </w:r>
      <w:r w:rsidRPr="00777BC3">
        <w:rPr>
          <w:noProof/>
        </w:rPr>
        <w:br/>
        <w:t>Declaration of interests</w:t>
      </w:r>
    </w:p>
    <w:p w14:paraId="7F6E8C0B" w14:textId="5FB46DC0" w:rsidR="001A462E" w:rsidRPr="00777BC3" w:rsidRDefault="006D01CD" w:rsidP="006D01CD">
      <w:pPr>
        <w:pStyle w:val="ManualNumPar1"/>
        <w:rPr>
          <w:noProof/>
        </w:rPr>
      </w:pPr>
      <w:r w:rsidRPr="006D01CD">
        <w:rPr>
          <w:noProof/>
        </w:rPr>
        <w:t>1.</w:t>
      </w:r>
      <w:r w:rsidRPr="006D01CD">
        <w:rPr>
          <w:noProof/>
        </w:rPr>
        <w:tab/>
      </w:r>
      <w:r w:rsidR="001A462E" w:rsidRPr="00777BC3">
        <w:rPr>
          <w:noProof/>
        </w:rPr>
        <w:t>Members of the Management Board, the Executive Director, the Deputy Executive Director, and officials seconded by Member States on a temporary basis, shall each make a declaration of commitments and a declaration indicating the absence or presence of any direct or indirect interest which might be considered to be prejudicial to their independence. The declarations shall be accurate and complete, shall be made annually in writing, and shall be updated whenever necessary.</w:t>
      </w:r>
    </w:p>
    <w:p w14:paraId="4EFF793E" w14:textId="3F5CA1B5" w:rsidR="001A462E" w:rsidRPr="00777BC3" w:rsidRDefault="006D01CD" w:rsidP="006D01CD">
      <w:pPr>
        <w:pStyle w:val="ManualNumPar1"/>
        <w:rPr>
          <w:noProof/>
        </w:rPr>
      </w:pPr>
      <w:r w:rsidRPr="006D01CD">
        <w:rPr>
          <w:noProof/>
        </w:rPr>
        <w:t>2.</w:t>
      </w:r>
      <w:r w:rsidRPr="006D01CD">
        <w:rPr>
          <w:noProof/>
        </w:rPr>
        <w:tab/>
      </w:r>
      <w:r w:rsidR="001A462E" w:rsidRPr="00777BC3">
        <w:rPr>
          <w:noProof/>
        </w:rPr>
        <w:t xml:space="preserve">Members of the Management Board, the Executive Director, the Deputy Executive Director, external experts participating in </w:t>
      </w:r>
      <w:r w:rsidR="001A462E" w:rsidRPr="00DC6238">
        <w:rPr>
          <w:i/>
          <w:iCs/>
          <w:noProof/>
        </w:rPr>
        <w:t>ad hoc</w:t>
      </w:r>
      <w:r w:rsidR="001A462E" w:rsidRPr="00777BC3">
        <w:rPr>
          <w:noProof/>
        </w:rPr>
        <w:t xml:space="preserve"> working groups, shall each accurately and completely declare, at the latest at the start of each meeting, any interest which might be considered to be prejudicial to their independence in relation to the items on the agenda, and shall abstain from participating in the discussion of and voting on such items.</w:t>
      </w:r>
    </w:p>
    <w:p w14:paraId="39DB2FB1" w14:textId="07897510" w:rsidR="001A462E" w:rsidRPr="00777BC3" w:rsidRDefault="006D01CD" w:rsidP="006D01CD">
      <w:pPr>
        <w:pStyle w:val="ManualNumPar1"/>
        <w:rPr>
          <w:noProof/>
        </w:rPr>
      </w:pPr>
      <w:r w:rsidRPr="006D01CD">
        <w:rPr>
          <w:noProof/>
        </w:rPr>
        <w:t>3.</w:t>
      </w:r>
      <w:r w:rsidRPr="006D01CD">
        <w:rPr>
          <w:noProof/>
        </w:rPr>
        <w:tab/>
      </w:r>
      <w:r w:rsidR="001A462E" w:rsidRPr="00777BC3">
        <w:rPr>
          <w:noProof/>
        </w:rPr>
        <w:t>ENISA shall lay down, in its internal rules of operation, the practical arrangements for the rules on declarations of interest referred to in paragraphs 1 and 2.</w:t>
      </w:r>
    </w:p>
    <w:p w14:paraId="28C16FEB" w14:textId="77777777" w:rsidR="001A462E" w:rsidRPr="00777BC3" w:rsidRDefault="001A462E" w:rsidP="001A462E">
      <w:pPr>
        <w:pStyle w:val="Titrearticle"/>
        <w:rPr>
          <w:noProof/>
        </w:rPr>
      </w:pPr>
      <w:r w:rsidRPr="00777BC3">
        <w:rPr>
          <w:noProof/>
        </w:rPr>
        <w:t>Article 53</w:t>
      </w:r>
      <w:r w:rsidRPr="00777BC3">
        <w:rPr>
          <w:noProof/>
        </w:rPr>
        <w:br/>
        <w:t>Transparency</w:t>
      </w:r>
    </w:p>
    <w:p w14:paraId="1FEF6350" w14:textId="0B8BA6C4" w:rsidR="001A462E" w:rsidRPr="00777BC3" w:rsidRDefault="006D01CD" w:rsidP="006D01CD">
      <w:pPr>
        <w:pStyle w:val="ManualNumPar1"/>
        <w:rPr>
          <w:noProof/>
        </w:rPr>
      </w:pPr>
      <w:r w:rsidRPr="006D01CD">
        <w:rPr>
          <w:noProof/>
        </w:rPr>
        <w:t>1.</w:t>
      </w:r>
      <w:r w:rsidRPr="006D01CD">
        <w:rPr>
          <w:noProof/>
        </w:rPr>
        <w:tab/>
      </w:r>
      <w:r w:rsidR="001A462E" w:rsidRPr="00777BC3">
        <w:rPr>
          <w:noProof/>
        </w:rPr>
        <w:t>ENISA shall carry out its activities with a high level of transparency and in accordance with Article 55.</w:t>
      </w:r>
    </w:p>
    <w:p w14:paraId="3DC1BED7" w14:textId="71EF7C97" w:rsidR="001A462E" w:rsidRPr="00777BC3" w:rsidRDefault="006D01CD" w:rsidP="006D01CD">
      <w:pPr>
        <w:pStyle w:val="ManualNumPar1"/>
        <w:rPr>
          <w:noProof/>
        </w:rPr>
      </w:pPr>
      <w:r w:rsidRPr="006D01CD">
        <w:rPr>
          <w:noProof/>
        </w:rPr>
        <w:t>2.</w:t>
      </w:r>
      <w:r w:rsidRPr="006D01CD">
        <w:rPr>
          <w:noProof/>
        </w:rPr>
        <w:tab/>
      </w:r>
      <w:r w:rsidR="001A462E" w:rsidRPr="00777BC3">
        <w:rPr>
          <w:noProof/>
        </w:rPr>
        <w:t>ENISA shall ensure that the public and any interested parties are provided with appropriate, objective, reliable and easily accessible information, in particular with regard to the results of its work. It shall also make public</w:t>
      </w:r>
      <w:r w:rsidR="001A462E">
        <w:rPr>
          <w:noProof/>
        </w:rPr>
        <w:t>ly available</w:t>
      </w:r>
      <w:r w:rsidR="001A462E" w:rsidRPr="00777BC3">
        <w:rPr>
          <w:noProof/>
        </w:rPr>
        <w:t xml:space="preserve"> the declarations of interest made in accordance with Article 52.</w:t>
      </w:r>
    </w:p>
    <w:p w14:paraId="4CC32295" w14:textId="2FD3F875" w:rsidR="001A462E" w:rsidRPr="00777BC3" w:rsidRDefault="006D01CD" w:rsidP="006D01CD">
      <w:pPr>
        <w:pStyle w:val="ManualNumPar1"/>
        <w:rPr>
          <w:noProof/>
        </w:rPr>
      </w:pPr>
      <w:r w:rsidRPr="006D01CD">
        <w:rPr>
          <w:noProof/>
        </w:rPr>
        <w:t>3.</w:t>
      </w:r>
      <w:r w:rsidRPr="006D01CD">
        <w:rPr>
          <w:noProof/>
        </w:rPr>
        <w:tab/>
      </w:r>
      <w:r w:rsidR="001A462E" w:rsidRPr="00777BC3">
        <w:rPr>
          <w:noProof/>
        </w:rPr>
        <w:t>The Management Board, acting on a proposal from the Executive Director, may authorise interested parties to observe the proceedings of some of ENISA’s activities.</w:t>
      </w:r>
    </w:p>
    <w:p w14:paraId="75129E38" w14:textId="02A284F9" w:rsidR="001A462E" w:rsidRPr="00777BC3" w:rsidRDefault="006D01CD" w:rsidP="006D01CD">
      <w:pPr>
        <w:pStyle w:val="ManualNumPar1"/>
        <w:rPr>
          <w:noProof/>
        </w:rPr>
      </w:pPr>
      <w:r w:rsidRPr="006D01CD">
        <w:rPr>
          <w:noProof/>
        </w:rPr>
        <w:t>4.</w:t>
      </w:r>
      <w:r w:rsidRPr="006D01CD">
        <w:rPr>
          <w:noProof/>
        </w:rPr>
        <w:tab/>
      </w:r>
      <w:r w:rsidR="001A462E" w:rsidRPr="00777BC3">
        <w:rPr>
          <w:noProof/>
        </w:rPr>
        <w:t>ENISA shall lay down, in its internal rules of operation, the practical arrangements for implementing the transparency rules referred to in paragraphs 1 and 2.</w:t>
      </w:r>
    </w:p>
    <w:p w14:paraId="664CC05B" w14:textId="77777777" w:rsidR="001A462E" w:rsidRPr="00777BC3" w:rsidRDefault="001A462E" w:rsidP="001A462E">
      <w:pPr>
        <w:pStyle w:val="Titrearticle"/>
        <w:rPr>
          <w:noProof/>
        </w:rPr>
      </w:pPr>
      <w:r w:rsidRPr="00777BC3">
        <w:rPr>
          <w:noProof/>
        </w:rPr>
        <w:t>Article 54</w:t>
      </w:r>
      <w:r w:rsidRPr="00777BC3">
        <w:rPr>
          <w:noProof/>
        </w:rPr>
        <w:br/>
        <w:t>Confidentiality within ENISA</w:t>
      </w:r>
    </w:p>
    <w:p w14:paraId="297C4032" w14:textId="60FA6FDE" w:rsidR="001A462E" w:rsidRPr="00777BC3" w:rsidRDefault="006D01CD" w:rsidP="006D01CD">
      <w:pPr>
        <w:pStyle w:val="ManualNumPar1"/>
        <w:rPr>
          <w:noProof/>
        </w:rPr>
      </w:pPr>
      <w:r w:rsidRPr="006D01CD">
        <w:rPr>
          <w:noProof/>
        </w:rPr>
        <w:t>1.</w:t>
      </w:r>
      <w:r w:rsidRPr="006D01CD">
        <w:rPr>
          <w:noProof/>
        </w:rPr>
        <w:tab/>
      </w:r>
      <w:r w:rsidR="001A462E" w:rsidRPr="00777BC3">
        <w:rPr>
          <w:noProof/>
        </w:rPr>
        <w:t xml:space="preserve">Without prejudice to Article 55, ENISA shall not </w:t>
      </w:r>
      <w:r w:rsidR="001A462E">
        <w:rPr>
          <w:noProof/>
        </w:rPr>
        <w:t>disclose</w:t>
      </w:r>
      <w:r w:rsidR="001A462E" w:rsidRPr="00777BC3">
        <w:rPr>
          <w:noProof/>
        </w:rPr>
        <w:t xml:space="preserve"> to third parties information that it processes or receives in relation to which a reasoned request for confidential treatment has been made.</w:t>
      </w:r>
    </w:p>
    <w:p w14:paraId="1EB78F8A" w14:textId="577FE82A" w:rsidR="001A462E" w:rsidRPr="00777BC3" w:rsidRDefault="006D01CD" w:rsidP="006D01CD">
      <w:pPr>
        <w:pStyle w:val="ManualNumPar1"/>
        <w:rPr>
          <w:noProof/>
        </w:rPr>
      </w:pPr>
      <w:r w:rsidRPr="006D01CD">
        <w:rPr>
          <w:noProof/>
        </w:rPr>
        <w:t>2.</w:t>
      </w:r>
      <w:r w:rsidRPr="006D01CD">
        <w:rPr>
          <w:noProof/>
        </w:rPr>
        <w:tab/>
      </w:r>
      <w:r w:rsidR="001A462E" w:rsidRPr="00777BC3">
        <w:rPr>
          <w:noProof/>
        </w:rPr>
        <w:t xml:space="preserve">Members of the Management Board, the Executive Director, the Deputy Executive Director, the members of the ENISA Advisory Group, external experts participating in </w:t>
      </w:r>
      <w:r w:rsidR="001A462E" w:rsidRPr="00DC6238">
        <w:rPr>
          <w:i/>
          <w:iCs/>
          <w:noProof/>
        </w:rPr>
        <w:t>ad hoc</w:t>
      </w:r>
      <w:r w:rsidR="001A462E" w:rsidRPr="00777BC3">
        <w:rPr>
          <w:noProof/>
        </w:rPr>
        <w:t xml:space="preserve"> working groups, and members of the staff of ENISA, including officials seconded by Member States on a temporary basis, shall comply with the confidentiality requirements of Article 339 TFEU, even after their duties have ceased.</w:t>
      </w:r>
    </w:p>
    <w:p w14:paraId="030A5EA7" w14:textId="3B58C4BA" w:rsidR="001A462E" w:rsidRPr="00777BC3" w:rsidRDefault="006D01CD" w:rsidP="006D01CD">
      <w:pPr>
        <w:pStyle w:val="ManualNumPar1"/>
        <w:rPr>
          <w:noProof/>
        </w:rPr>
      </w:pPr>
      <w:r w:rsidRPr="006D01CD">
        <w:rPr>
          <w:noProof/>
        </w:rPr>
        <w:t>3.</w:t>
      </w:r>
      <w:r w:rsidRPr="006D01CD">
        <w:rPr>
          <w:noProof/>
        </w:rPr>
        <w:tab/>
      </w:r>
      <w:r w:rsidR="001A462E" w:rsidRPr="00777BC3">
        <w:rPr>
          <w:noProof/>
        </w:rPr>
        <w:t>ENISA shall lay down, in its internal rules of operation, the practical arrangements for implementing the confidentiality rules referred to in paragraphs 1 and 2.</w:t>
      </w:r>
    </w:p>
    <w:p w14:paraId="3FDDE504" w14:textId="77777777" w:rsidR="001A462E" w:rsidRPr="00777BC3" w:rsidRDefault="001A462E" w:rsidP="001A462E">
      <w:pPr>
        <w:pStyle w:val="Titrearticle"/>
        <w:rPr>
          <w:noProof/>
        </w:rPr>
      </w:pPr>
      <w:r w:rsidRPr="00777BC3">
        <w:rPr>
          <w:noProof/>
        </w:rPr>
        <w:t>Article 55</w:t>
      </w:r>
      <w:r w:rsidRPr="00777BC3">
        <w:rPr>
          <w:noProof/>
        </w:rPr>
        <w:br/>
        <w:t>Access to documents</w:t>
      </w:r>
    </w:p>
    <w:p w14:paraId="3EA794B6" w14:textId="585476A7" w:rsidR="001A462E" w:rsidRPr="00777BC3" w:rsidRDefault="006D01CD" w:rsidP="006D01CD">
      <w:pPr>
        <w:pStyle w:val="ManualNumPar1"/>
        <w:rPr>
          <w:noProof/>
        </w:rPr>
      </w:pPr>
      <w:r w:rsidRPr="006D01CD">
        <w:rPr>
          <w:noProof/>
        </w:rPr>
        <w:t>1.</w:t>
      </w:r>
      <w:r w:rsidRPr="006D01CD">
        <w:rPr>
          <w:noProof/>
        </w:rPr>
        <w:tab/>
      </w:r>
      <w:r w:rsidR="001A462E" w:rsidRPr="00777BC3">
        <w:rPr>
          <w:noProof/>
        </w:rPr>
        <w:t>Regulation (EC) No 1049/2001 shall apply to documents held by ENISA.</w:t>
      </w:r>
    </w:p>
    <w:p w14:paraId="3E00D4D2" w14:textId="1A2D564D" w:rsidR="001A462E" w:rsidRPr="00777BC3" w:rsidRDefault="006D01CD" w:rsidP="006D01CD">
      <w:pPr>
        <w:pStyle w:val="ManualNumPar1"/>
        <w:rPr>
          <w:noProof/>
        </w:rPr>
      </w:pPr>
      <w:r w:rsidRPr="006D01CD">
        <w:rPr>
          <w:noProof/>
        </w:rPr>
        <w:t>2.</w:t>
      </w:r>
      <w:r w:rsidRPr="006D01CD">
        <w:rPr>
          <w:noProof/>
        </w:rPr>
        <w:tab/>
      </w:r>
      <w:r w:rsidR="001A462E" w:rsidRPr="00777BC3">
        <w:rPr>
          <w:noProof/>
        </w:rPr>
        <w:t>The Management Board shall adopt arrangements for implementing Regulation (EC) No 1049/2001.</w:t>
      </w:r>
    </w:p>
    <w:p w14:paraId="40F159CD" w14:textId="6F68951C" w:rsidR="001A462E" w:rsidRPr="00777BC3" w:rsidRDefault="006D01CD" w:rsidP="006D01CD">
      <w:pPr>
        <w:pStyle w:val="ManualNumPar1"/>
        <w:rPr>
          <w:noProof/>
        </w:rPr>
      </w:pPr>
      <w:r w:rsidRPr="006D01CD">
        <w:rPr>
          <w:noProof/>
        </w:rPr>
        <w:t>3.</w:t>
      </w:r>
      <w:r w:rsidRPr="006D01CD">
        <w:rPr>
          <w:noProof/>
        </w:rPr>
        <w:tab/>
      </w:r>
      <w:r w:rsidR="001A462E" w:rsidRPr="00777BC3">
        <w:rPr>
          <w:noProof/>
        </w:rPr>
        <w:t>Decisions taken by ENISA pursuant to Article 8 of Regulation (EC) No 1049/2001 may be the subject of a complaint to the European Ombudsman under Article 228 TFEU or of an action before the Court of Justice of the European Union under Article 263 TFEU.</w:t>
      </w:r>
    </w:p>
    <w:p w14:paraId="060EDB54" w14:textId="77777777" w:rsidR="003B72DC" w:rsidRDefault="003B72DC" w:rsidP="001A462E">
      <w:pPr>
        <w:jc w:val="center"/>
        <w:rPr>
          <w:b/>
          <w:bCs/>
          <w:i/>
          <w:iCs/>
          <w:noProof/>
        </w:rPr>
      </w:pPr>
    </w:p>
    <w:p w14:paraId="0300CE6E" w14:textId="77777777" w:rsidR="001A462E" w:rsidRPr="00D45456" w:rsidRDefault="001A462E" w:rsidP="001A462E">
      <w:pPr>
        <w:jc w:val="center"/>
        <w:rPr>
          <w:b/>
          <w:bCs/>
          <w:i/>
          <w:iCs/>
          <w:noProof/>
        </w:rPr>
      </w:pPr>
      <w:r w:rsidRPr="00D45456">
        <w:rPr>
          <w:b/>
          <w:bCs/>
          <w:i/>
          <w:iCs/>
          <w:noProof/>
        </w:rPr>
        <w:t>CHAPTER V</w:t>
      </w:r>
      <w:r w:rsidRPr="00D45456">
        <w:rPr>
          <w:b/>
          <w:bCs/>
          <w:i/>
          <w:iCs/>
          <w:noProof/>
        </w:rPr>
        <w:br/>
        <w:t>Staff and Liaison Officers</w:t>
      </w:r>
    </w:p>
    <w:p w14:paraId="50FC0C2E" w14:textId="77777777" w:rsidR="001A462E" w:rsidRPr="00777BC3" w:rsidRDefault="001A462E" w:rsidP="001A462E">
      <w:pPr>
        <w:pStyle w:val="Titrearticle"/>
        <w:rPr>
          <w:noProof/>
        </w:rPr>
      </w:pPr>
      <w:r w:rsidRPr="00777BC3">
        <w:rPr>
          <w:noProof/>
        </w:rPr>
        <w:t>Article 56</w:t>
      </w:r>
      <w:r w:rsidRPr="00777BC3">
        <w:rPr>
          <w:noProof/>
        </w:rPr>
        <w:br/>
        <w:t>General provisions</w:t>
      </w:r>
    </w:p>
    <w:p w14:paraId="706C1FB8" w14:textId="0B3AF228" w:rsidR="001A462E" w:rsidRPr="00777BC3" w:rsidRDefault="006D01CD" w:rsidP="006D01CD">
      <w:pPr>
        <w:pStyle w:val="ManualNumPar1"/>
        <w:rPr>
          <w:noProof/>
        </w:rPr>
      </w:pPr>
      <w:r w:rsidRPr="006D01CD">
        <w:rPr>
          <w:noProof/>
        </w:rPr>
        <w:t>1.</w:t>
      </w:r>
      <w:r w:rsidRPr="006D01CD">
        <w:rPr>
          <w:noProof/>
        </w:rPr>
        <w:tab/>
      </w:r>
      <w:r w:rsidR="001A462E" w:rsidRPr="00777BC3">
        <w:rPr>
          <w:noProof/>
        </w:rPr>
        <w:t>The Staff Regulations of Officials and the Conditions of Employment of Other Servants, as well as the rules adopted by agreement between the Union institutions for giving effect to the Staff Regulations of Officials and the Conditions of Employment of Other Servants shall apply to the staff of ENISA.</w:t>
      </w:r>
    </w:p>
    <w:p w14:paraId="7F09D2F8" w14:textId="4B33546F" w:rsidR="001A462E" w:rsidRPr="00777BC3" w:rsidRDefault="006D01CD" w:rsidP="006D01CD">
      <w:pPr>
        <w:pStyle w:val="ManualNumPar1"/>
        <w:rPr>
          <w:noProof/>
        </w:rPr>
      </w:pPr>
      <w:r w:rsidRPr="006D01CD">
        <w:rPr>
          <w:noProof/>
        </w:rPr>
        <w:t>2.</w:t>
      </w:r>
      <w:r w:rsidRPr="006D01CD">
        <w:rPr>
          <w:noProof/>
        </w:rPr>
        <w:tab/>
      </w:r>
      <w:r w:rsidR="001A462E" w:rsidRPr="00777BC3">
        <w:rPr>
          <w:noProof/>
        </w:rPr>
        <w:t>The staff of ENISA, liaison officers and seconded national experts to ENISA shall undergo appropriate security clearance procedure.</w:t>
      </w:r>
    </w:p>
    <w:p w14:paraId="36EF817C" w14:textId="77777777" w:rsidR="001A462E" w:rsidRPr="00777BC3" w:rsidRDefault="001A462E" w:rsidP="001A462E">
      <w:pPr>
        <w:pStyle w:val="Titrearticle"/>
        <w:rPr>
          <w:noProof/>
        </w:rPr>
      </w:pPr>
      <w:r w:rsidRPr="00777BC3">
        <w:rPr>
          <w:noProof/>
        </w:rPr>
        <w:t>Article 57</w:t>
      </w:r>
      <w:r w:rsidRPr="00777BC3">
        <w:rPr>
          <w:noProof/>
        </w:rPr>
        <w:br/>
        <w:t>Privileges and immunities</w:t>
      </w:r>
    </w:p>
    <w:p w14:paraId="1D474299" w14:textId="77777777" w:rsidR="001A462E" w:rsidRPr="00777BC3" w:rsidRDefault="001A462E" w:rsidP="001A462E">
      <w:pPr>
        <w:rPr>
          <w:noProof/>
        </w:rPr>
      </w:pPr>
      <w:r w:rsidRPr="00777BC3">
        <w:rPr>
          <w:noProof/>
        </w:rPr>
        <w:t xml:space="preserve">Protocol No 7 on the privileges and immunities of the European Union, annexed to the </w:t>
      </w:r>
      <w:r>
        <w:rPr>
          <w:noProof/>
        </w:rPr>
        <w:t>TFEU</w:t>
      </w:r>
      <w:r w:rsidRPr="00777BC3">
        <w:rPr>
          <w:noProof/>
        </w:rPr>
        <w:t>, shall apply to ENISA and its staff.</w:t>
      </w:r>
    </w:p>
    <w:p w14:paraId="51D2A52C" w14:textId="77777777" w:rsidR="001A462E" w:rsidRPr="00777BC3" w:rsidRDefault="001A462E" w:rsidP="001A462E">
      <w:pPr>
        <w:pStyle w:val="Titrearticle"/>
        <w:rPr>
          <w:noProof/>
        </w:rPr>
      </w:pPr>
      <w:r w:rsidRPr="00777BC3">
        <w:rPr>
          <w:noProof/>
        </w:rPr>
        <w:t>Article 58</w:t>
      </w:r>
      <w:r w:rsidRPr="00777BC3">
        <w:rPr>
          <w:noProof/>
        </w:rPr>
        <w:br/>
        <w:t xml:space="preserve">Liaison </w:t>
      </w:r>
      <w:r>
        <w:rPr>
          <w:noProof/>
        </w:rPr>
        <w:t>o</w:t>
      </w:r>
      <w:r w:rsidRPr="00777BC3">
        <w:rPr>
          <w:noProof/>
        </w:rPr>
        <w:t>fficers</w:t>
      </w:r>
    </w:p>
    <w:p w14:paraId="19176EAA" w14:textId="4067F432" w:rsidR="001A462E" w:rsidRPr="00777BC3" w:rsidRDefault="00251A65" w:rsidP="006D01CD">
      <w:pPr>
        <w:pStyle w:val="ManualNumPar1"/>
        <w:rPr>
          <w:noProof/>
        </w:rPr>
      </w:pPr>
      <w:r>
        <w:rPr>
          <w:noProof/>
        </w:rPr>
        <w:t>1</w:t>
      </w:r>
      <w:r w:rsidR="006D01CD" w:rsidRPr="006D01CD">
        <w:rPr>
          <w:noProof/>
        </w:rPr>
        <w:t>.</w:t>
      </w:r>
      <w:r w:rsidR="006D01CD" w:rsidRPr="006D01CD">
        <w:rPr>
          <w:noProof/>
        </w:rPr>
        <w:tab/>
      </w:r>
      <w:r w:rsidR="2501643C">
        <w:rPr>
          <w:noProof/>
        </w:rPr>
        <w:t>Each Member State shall designate at least two liaison officers from a national competent authority designated pursuant to Article 8(1) of Directive (EU) 2022/2555 as seconded national experts to ENISA to work at its seat or its local office, in accordance with Article 59(2). The Commission may also designate a liaison officer.</w:t>
      </w:r>
    </w:p>
    <w:p w14:paraId="32FD35E4" w14:textId="6F1003B8" w:rsidR="001A462E" w:rsidRPr="00777BC3" w:rsidRDefault="00251A65" w:rsidP="006D01CD">
      <w:pPr>
        <w:pStyle w:val="ManualNumPar1"/>
        <w:rPr>
          <w:noProof/>
        </w:rPr>
      </w:pPr>
      <w:r>
        <w:rPr>
          <w:noProof/>
        </w:rPr>
        <w:t>2</w:t>
      </w:r>
      <w:r w:rsidR="006D01CD" w:rsidRPr="006D01CD">
        <w:rPr>
          <w:noProof/>
        </w:rPr>
        <w:t>.</w:t>
      </w:r>
      <w:r w:rsidR="006D01CD" w:rsidRPr="006D01CD">
        <w:rPr>
          <w:noProof/>
        </w:rPr>
        <w:tab/>
      </w:r>
      <w:r w:rsidR="001A462E" w:rsidRPr="00777BC3">
        <w:rPr>
          <w:noProof/>
        </w:rPr>
        <w:t xml:space="preserve">Liaison </w:t>
      </w:r>
      <w:r w:rsidR="001A462E">
        <w:rPr>
          <w:noProof/>
        </w:rPr>
        <w:t>o</w:t>
      </w:r>
      <w:r w:rsidR="001A462E" w:rsidRPr="00777BC3">
        <w:rPr>
          <w:noProof/>
        </w:rPr>
        <w:t xml:space="preserve">fficers shall contribute to executing the tasks of ENISA, including by facilitating operational cooperation and exchange of information </w:t>
      </w:r>
      <w:r w:rsidR="001A462E">
        <w:rPr>
          <w:noProof/>
        </w:rPr>
        <w:t xml:space="preserve">as referred to </w:t>
      </w:r>
      <w:r w:rsidR="001A462E" w:rsidRPr="00777BC3">
        <w:rPr>
          <w:noProof/>
        </w:rPr>
        <w:t xml:space="preserve">in Article 11. Liaison </w:t>
      </w:r>
      <w:r w:rsidR="001A462E">
        <w:rPr>
          <w:noProof/>
        </w:rPr>
        <w:t>o</w:t>
      </w:r>
      <w:r w:rsidR="001A462E" w:rsidRPr="00777BC3">
        <w:rPr>
          <w:noProof/>
        </w:rPr>
        <w:t>fficers shall also support ENISA in disseminating information about its activities, findings and recommendations to relevant stakeholders across the Union. They shall also act as national contact points for questions from their Member States and relating to their Member States, either by answering those questions directly or by liaising with their national administrations.</w:t>
      </w:r>
    </w:p>
    <w:p w14:paraId="37094644" w14:textId="546B96B7" w:rsidR="001A462E" w:rsidRPr="00777BC3" w:rsidRDefault="00251A65" w:rsidP="006D01CD">
      <w:pPr>
        <w:pStyle w:val="ManualNumPar1"/>
        <w:rPr>
          <w:noProof/>
        </w:rPr>
      </w:pPr>
      <w:r>
        <w:rPr>
          <w:noProof/>
        </w:rPr>
        <w:t>3</w:t>
      </w:r>
      <w:r w:rsidR="006D01CD" w:rsidRPr="006D01CD">
        <w:rPr>
          <w:noProof/>
        </w:rPr>
        <w:t>.</w:t>
      </w:r>
      <w:r w:rsidR="006D01CD" w:rsidRPr="006D01CD">
        <w:rPr>
          <w:noProof/>
        </w:rPr>
        <w:tab/>
      </w:r>
      <w:r w:rsidR="001A462E" w:rsidRPr="00777BC3">
        <w:rPr>
          <w:noProof/>
        </w:rPr>
        <w:t xml:space="preserve">Liaison </w:t>
      </w:r>
      <w:r w:rsidR="001A462E">
        <w:rPr>
          <w:noProof/>
        </w:rPr>
        <w:t>o</w:t>
      </w:r>
      <w:r w:rsidR="001A462E" w:rsidRPr="00777BC3">
        <w:rPr>
          <w:noProof/>
        </w:rPr>
        <w:t>fficers designated by their Member State</w:t>
      </w:r>
      <w:r w:rsidR="001A462E">
        <w:rPr>
          <w:noProof/>
        </w:rPr>
        <w:t>s</w:t>
      </w:r>
      <w:r w:rsidR="001A462E" w:rsidRPr="00777BC3">
        <w:rPr>
          <w:noProof/>
        </w:rPr>
        <w:t xml:space="preserve"> shall be entitled to request and receive all relevant information from their Member States, as provided for by this Regulation, while fully respecting the </w:t>
      </w:r>
      <w:r w:rsidR="001A462E">
        <w:rPr>
          <w:noProof/>
        </w:rPr>
        <w:t xml:space="preserve">national </w:t>
      </w:r>
      <w:r w:rsidR="001A462E" w:rsidRPr="00777BC3">
        <w:rPr>
          <w:noProof/>
        </w:rPr>
        <w:t xml:space="preserve">law </w:t>
      </w:r>
      <w:r w:rsidR="001A462E">
        <w:rPr>
          <w:noProof/>
        </w:rPr>
        <w:t>and the Member State’s</w:t>
      </w:r>
      <w:r w:rsidR="001A462E" w:rsidRPr="00777BC3">
        <w:rPr>
          <w:noProof/>
        </w:rPr>
        <w:t xml:space="preserve"> practice</w:t>
      </w:r>
      <w:r w:rsidR="001A462E">
        <w:rPr>
          <w:noProof/>
        </w:rPr>
        <w:t>s</w:t>
      </w:r>
      <w:r w:rsidR="001A462E" w:rsidRPr="00777BC3">
        <w:rPr>
          <w:noProof/>
        </w:rPr>
        <w:t>, in particular as regards data protection and confidentiality.</w:t>
      </w:r>
    </w:p>
    <w:p w14:paraId="79D981C1" w14:textId="77777777" w:rsidR="001A462E" w:rsidRPr="00777BC3" w:rsidRDefault="001A462E" w:rsidP="001A462E">
      <w:pPr>
        <w:pStyle w:val="Titrearticle"/>
        <w:rPr>
          <w:noProof/>
        </w:rPr>
      </w:pPr>
      <w:r w:rsidRPr="00777BC3">
        <w:rPr>
          <w:noProof/>
        </w:rPr>
        <w:t>Article 59</w:t>
      </w:r>
      <w:r w:rsidRPr="00777BC3">
        <w:rPr>
          <w:noProof/>
        </w:rPr>
        <w:br/>
        <w:t>Seconded national experts and other staff</w:t>
      </w:r>
    </w:p>
    <w:p w14:paraId="2853CE43" w14:textId="3E81C179" w:rsidR="001A462E" w:rsidRPr="00777BC3" w:rsidRDefault="00251A65" w:rsidP="006D01CD">
      <w:pPr>
        <w:pStyle w:val="ManualNumPar1"/>
        <w:rPr>
          <w:noProof/>
        </w:rPr>
      </w:pPr>
      <w:r>
        <w:rPr>
          <w:noProof/>
        </w:rPr>
        <w:t>1</w:t>
      </w:r>
      <w:r w:rsidR="006D01CD" w:rsidRPr="006D01CD">
        <w:rPr>
          <w:noProof/>
        </w:rPr>
        <w:t>.</w:t>
      </w:r>
      <w:r w:rsidR="006D01CD" w:rsidRPr="006D01CD">
        <w:rPr>
          <w:noProof/>
        </w:rPr>
        <w:tab/>
      </w:r>
      <w:r w:rsidR="2501643C">
        <w:rPr>
          <w:noProof/>
        </w:rPr>
        <w:t>ENISA may make use of seconded national experts or other staff not employed by ENISA, in any areas of its work. The Staff Regulations and the Conditions of Employment shall not apply to such staff.</w:t>
      </w:r>
    </w:p>
    <w:p w14:paraId="321CB1A3" w14:textId="12E81461" w:rsidR="001A462E" w:rsidRPr="00777BC3" w:rsidRDefault="00251A65" w:rsidP="006D01CD">
      <w:pPr>
        <w:pStyle w:val="ManualNumPar1"/>
        <w:rPr>
          <w:noProof/>
        </w:rPr>
      </w:pPr>
      <w:r>
        <w:rPr>
          <w:noProof/>
        </w:rPr>
        <w:t>2</w:t>
      </w:r>
      <w:r w:rsidR="006D01CD" w:rsidRPr="006D01CD">
        <w:rPr>
          <w:noProof/>
        </w:rPr>
        <w:t>.</w:t>
      </w:r>
      <w:r w:rsidR="006D01CD" w:rsidRPr="006D01CD">
        <w:rPr>
          <w:noProof/>
        </w:rPr>
        <w:tab/>
      </w:r>
      <w:r w:rsidR="001A462E" w:rsidRPr="00777BC3">
        <w:rPr>
          <w:noProof/>
        </w:rPr>
        <w:t xml:space="preserve">The Management Board shall adopt a decision laying down rules on the secondment of national experts, including </w:t>
      </w:r>
      <w:r w:rsidR="001A462E">
        <w:rPr>
          <w:noProof/>
        </w:rPr>
        <w:t>l</w:t>
      </w:r>
      <w:r w:rsidR="001A462E" w:rsidRPr="00777BC3">
        <w:rPr>
          <w:noProof/>
        </w:rPr>
        <w:t xml:space="preserve">iaison </w:t>
      </w:r>
      <w:r w:rsidR="001A462E">
        <w:rPr>
          <w:noProof/>
        </w:rPr>
        <w:t>o</w:t>
      </w:r>
      <w:r w:rsidR="001A462E" w:rsidRPr="00777BC3">
        <w:rPr>
          <w:noProof/>
        </w:rPr>
        <w:t>fficers, to ENISA.</w:t>
      </w:r>
    </w:p>
    <w:p w14:paraId="11D79721" w14:textId="77777777" w:rsidR="001A462E" w:rsidRPr="00777BC3" w:rsidRDefault="001A462E" w:rsidP="001A462E">
      <w:pPr>
        <w:rPr>
          <w:noProof/>
        </w:rPr>
      </w:pPr>
    </w:p>
    <w:p w14:paraId="16CD8975" w14:textId="77777777" w:rsidR="001A462E" w:rsidRPr="00D45456" w:rsidRDefault="001A462E" w:rsidP="001A462E">
      <w:pPr>
        <w:jc w:val="center"/>
        <w:rPr>
          <w:b/>
          <w:bCs/>
          <w:i/>
          <w:iCs/>
          <w:noProof/>
        </w:rPr>
      </w:pPr>
      <w:r w:rsidRPr="00D45456">
        <w:rPr>
          <w:b/>
          <w:bCs/>
          <w:i/>
          <w:iCs/>
          <w:noProof/>
        </w:rPr>
        <w:t>CHAPTER VI</w:t>
      </w:r>
      <w:r w:rsidRPr="00D45456">
        <w:rPr>
          <w:b/>
          <w:bCs/>
          <w:i/>
          <w:iCs/>
          <w:noProof/>
        </w:rPr>
        <w:br/>
        <w:t>GENERAL PROVISIONS CONCERNING ENISA</w:t>
      </w:r>
    </w:p>
    <w:p w14:paraId="661F1762" w14:textId="77777777" w:rsidR="001A462E" w:rsidRPr="00777BC3" w:rsidRDefault="001A462E" w:rsidP="001A462E">
      <w:pPr>
        <w:pStyle w:val="Titrearticle"/>
        <w:rPr>
          <w:noProof/>
        </w:rPr>
      </w:pPr>
      <w:r w:rsidRPr="00777BC3">
        <w:rPr>
          <w:noProof/>
        </w:rPr>
        <w:t>Article 60</w:t>
      </w:r>
      <w:r w:rsidRPr="00777BC3">
        <w:rPr>
          <w:noProof/>
        </w:rPr>
        <w:br/>
        <w:t>Legal status of ENISA</w:t>
      </w:r>
    </w:p>
    <w:p w14:paraId="51D0E830" w14:textId="7F0FBAFF" w:rsidR="001A462E" w:rsidRPr="00777BC3" w:rsidRDefault="006D01CD" w:rsidP="006D01CD">
      <w:pPr>
        <w:pStyle w:val="ManualNumPar1"/>
        <w:rPr>
          <w:noProof/>
        </w:rPr>
      </w:pPr>
      <w:r w:rsidRPr="006D01CD">
        <w:rPr>
          <w:noProof/>
        </w:rPr>
        <w:t>1.</w:t>
      </w:r>
      <w:r w:rsidRPr="006D01CD">
        <w:rPr>
          <w:noProof/>
        </w:rPr>
        <w:tab/>
      </w:r>
      <w:r w:rsidR="001A462E" w:rsidRPr="00777BC3">
        <w:rPr>
          <w:noProof/>
        </w:rPr>
        <w:t xml:space="preserve">ENISA </w:t>
      </w:r>
      <w:r w:rsidR="001A462E">
        <w:rPr>
          <w:noProof/>
        </w:rPr>
        <w:t>shall be</w:t>
      </w:r>
      <w:r w:rsidR="001A462E" w:rsidRPr="00777BC3">
        <w:rPr>
          <w:noProof/>
        </w:rPr>
        <w:t xml:space="preserve"> a body of the Union with legal personality.</w:t>
      </w:r>
    </w:p>
    <w:p w14:paraId="56684E41" w14:textId="6E8F0069" w:rsidR="001A462E" w:rsidRPr="00777BC3" w:rsidRDefault="006D01CD" w:rsidP="006D01CD">
      <w:pPr>
        <w:pStyle w:val="ManualNumPar1"/>
        <w:rPr>
          <w:noProof/>
        </w:rPr>
      </w:pPr>
      <w:r w:rsidRPr="006D01CD">
        <w:rPr>
          <w:noProof/>
        </w:rPr>
        <w:t>2.</w:t>
      </w:r>
      <w:r w:rsidRPr="006D01CD">
        <w:rPr>
          <w:noProof/>
        </w:rPr>
        <w:tab/>
      </w:r>
      <w:r w:rsidR="001A462E" w:rsidRPr="00777BC3">
        <w:rPr>
          <w:noProof/>
        </w:rPr>
        <w:t xml:space="preserve">In each Member State, ENISA shall enjoy the most extensive legal capacity accorded to legal persons under </w:t>
      </w:r>
      <w:r w:rsidR="001A462E">
        <w:rPr>
          <w:noProof/>
        </w:rPr>
        <w:t>that</w:t>
      </w:r>
      <w:r w:rsidR="001A462E" w:rsidRPr="00777BC3">
        <w:rPr>
          <w:noProof/>
        </w:rPr>
        <w:t xml:space="preserve"> Member State</w:t>
      </w:r>
      <w:r w:rsidR="001A462E">
        <w:rPr>
          <w:noProof/>
        </w:rPr>
        <w:t>’s national</w:t>
      </w:r>
      <w:r w:rsidR="001A462E" w:rsidRPr="00777BC3">
        <w:rPr>
          <w:noProof/>
        </w:rPr>
        <w:t xml:space="preserve"> law. It may, in particular, acquire or dispose of movable and immovable property and be a party to legal proceedings.</w:t>
      </w:r>
    </w:p>
    <w:p w14:paraId="7A8F0520" w14:textId="56F776A2" w:rsidR="001A462E" w:rsidRPr="00777BC3" w:rsidRDefault="006D01CD" w:rsidP="006D01CD">
      <w:pPr>
        <w:pStyle w:val="ManualNumPar1"/>
        <w:rPr>
          <w:noProof/>
        </w:rPr>
      </w:pPr>
      <w:r w:rsidRPr="006D01CD">
        <w:rPr>
          <w:noProof/>
        </w:rPr>
        <w:t>3.</w:t>
      </w:r>
      <w:r w:rsidRPr="006D01CD">
        <w:rPr>
          <w:noProof/>
        </w:rPr>
        <w:tab/>
      </w:r>
      <w:r w:rsidR="001A462E" w:rsidRPr="00777BC3">
        <w:rPr>
          <w:noProof/>
        </w:rPr>
        <w:t>ENISA shall be represented by the Executive Director.</w:t>
      </w:r>
    </w:p>
    <w:p w14:paraId="5BC4A3F2" w14:textId="77777777" w:rsidR="001A462E" w:rsidRPr="00777BC3" w:rsidRDefault="001A462E" w:rsidP="001A462E">
      <w:pPr>
        <w:pStyle w:val="Titrearticle"/>
        <w:rPr>
          <w:noProof/>
        </w:rPr>
      </w:pPr>
      <w:r w:rsidRPr="00777BC3">
        <w:rPr>
          <w:noProof/>
        </w:rPr>
        <w:t>Article 61</w:t>
      </w:r>
      <w:r w:rsidRPr="00777BC3">
        <w:rPr>
          <w:noProof/>
        </w:rPr>
        <w:br/>
        <w:t>Seat</w:t>
      </w:r>
    </w:p>
    <w:p w14:paraId="21D2568E" w14:textId="77777777" w:rsidR="001A462E" w:rsidRPr="00777BC3" w:rsidRDefault="001A462E" w:rsidP="001A462E">
      <w:pPr>
        <w:rPr>
          <w:noProof/>
        </w:rPr>
      </w:pPr>
      <w:r w:rsidRPr="00777BC3">
        <w:rPr>
          <w:noProof/>
        </w:rPr>
        <w:t>ENISA shall have its seat in Athens, Greece.</w:t>
      </w:r>
    </w:p>
    <w:p w14:paraId="1D4F3EAF" w14:textId="77777777" w:rsidR="001A462E" w:rsidRPr="00777BC3" w:rsidRDefault="001A462E" w:rsidP="001A462E">
      <w:pPr>
        <w:pStyle w:val="Titrearticle"/>
        <w:rPr>
          <w:noProof/>
        </w:rPr>
      </w:pPr>
      <w:r w:rsidRPr="00777BC3">
        <w:rPr>
          <w:noProof/>
        </w:rPr>
        <w:t>Article 62</w:t>
      </w:r>
      <w:r w:rsidRPr="00777BC3">
        <w:rPr>
          <w:noProof/>
        </w:rPr>
        <w:br/>
        <w:t>Headquarters Agreement and operating conditions</w:t>
      </w:r>
    </w:p>
    <w:p w14:paraId="042482CA" w14:textId="1F708003" w:rsidR="001A462E" w:rsidRPr="00777BC3" w:rsidRDefault="006D01CD" w:rsidP="006D01CD">
      <w:pPr>
        <w:pStyle w:val="ManualNumPar1"/>
        <w:rPr>
          <w:noProof/>
        </w:rPr>
      </w:pPr>
      <w:r w:rsidRPr="006D01CD">
        <w:rPr>
          <w:noProof/>
        </w:rPr>
        <w:t>1.</w:t>
      </w:r>
      <w:r w:rsidRPr="006D01CD">
        <w:rPr>
          <w:noProof/>
        </w:rPr>
        <w:tab/>
      </w:r>
      <w:r w:rsidR="001A462E" w:rsidRPr="00777BC3">
        <w:rPr>
          <w:noProof/>
        </w:rPr>
        <w:t>The necessary arrangements concerning the accommodation to be provided for ENISA in the host Member State and the facilities to be made available by that Member State together with the specific rules applicable in the host Member State to the Executive Director, members of the Management Board, ENISA’s staff and members of their families shall be laid down in a headquarters agreement between ENISA and the host Member State, concluded after obtaining the approval of the Management Board.</w:t>
      </w:r>
    </w:p>
    <w:p w14:paraId="07BA303D" w14:textId="24139CBB" w:rsidR="001A462E" w:rsidRPr="00777BC3" w:rsidRDefault="006D01CD" w:rsidP="006D01CD">
      <w:pPr>
        <w:pStyle w:val="ManualNumPar1"/>
        <w:rPr>
          <w:noProof/>
        </w:rPr>
      </w:pPr>
      <w:r w:rsidRPr="006D01CD">
        <w:rPr>
          <w:noProof/>
        </w:rPr>
        <w:t>2.</w:t>
      </w:r>
      <w:r w:rsidRPr="006D01CD">
        <w:rPr>
          <w:noProof/>
        </w:rPr>
        <w:tab/>
      </w:r>
      <w:r w:rsidR="001A462E" w:rsidRPr="00777BC3">
        <w:rPr>
          <w:noProof/>
        </w:rPr>
        <w:t>ENISA’s host Member State shall provide the best possible conditions for ensuring the proper functioning of ENISA, taking into account the accessibility of the location, the existence of adequate education facilities for the children of staff members, appropriate access to the labour market, social security and medical care for both children and spouses of staff members.</w:t>
      </w:r>
    </w:p>
    <w:p w14:paraId="0CD95820" w14:textId="77777777" w:rsidR="001A462E" w:rsidRPr="00777BC3" w:rsidRDefault="001A462E" w:rsidP="001A462E">
      <w:pPr>
        <w:pStyle w:val="Titrearticle"/>
        <w:rPr>
          <w:noProof/>
        </w:rPr>
      </w:pPr>
      <w:r w:rsidRPr="00777BC3">
        <w:rPr>
          <w:noProof/>
        </w:rPr>
        <w:t>Article 63</w:t>
      </w:r>
      <w:r w:rsidRPr="00777BC3">
        <w:rPr>
          <w:noProof/>
        </w:rPr>
        <w:br/>
        <w:t>Administrative control</w:t>
      </w:r>
    </w:p>
    <w:p w14:paraId="09166D70" w14:textId="77777777" w:rsidR="001A462E" w:rsidRPr="00777BC3" w:rsidRDefault="001A462E" w:rsidP="001A462E">
      <w:pPr>
        <w:rPr>
          <w:noProof/>
        </w:rPr>
      </w:pPr>
      <w:r w:rsidRPr="00777BC3">
        <w:rPr>
          <w:noProof/>
        </w:rPr>
        <w:t>The operations of ENISA shall be supervised by the European Ombudsman in accordance with Article 228 TFEU.</w:t>
      </w:r>
    </w:p>
    <w:p w14:paraId="3C7122CD" w14:textId="77777777" w:rsidR="001A462E" w:rsidRPr="00777BC3" w:rsidRDefault="001A462E" w:rsidP="001A462E">
      <w:pPr>
        <w:pStyle w:val="Titrearticle"/>
        <w:rPr>
          <w:noProof/>
        </w:rPr>
      </w:pPr>
      <w:r w:rsidRPr="00777BC3">
        <w:rPr>
          <w:noProof/>
        </w:rPr>
        <w:t>Article 64</w:t>
      </w:r>
      <w:r w:rsidRPr="00777BC3">
        <w:rPr>
          <w:noProof/>
        </w:rPr>
        <w:br/>
        <w:t>Liability of ENISA</w:t>
      </w:r>
    </w:p>
    <w:p w14:paraId="5B50E664" w14:textId="183E2B66" w:rsidR="001A462E" w:rsidRPr="00777BC3" w:rsidRDefault="006D01CD" w:rsidP="006D01CD">
      <w:pPr>
        <w:pStyle w:val="ManualNumPar1"/>
        <w:rPr>
          <w:noProof/>
        </w:rPr>
      </w:pPr>
      <w:r w:rsidRPr="006D01CD">
        <w:rPr>
          <w:noProof/>
        </w:rPr>
        <w:t>1.</w:t>
      </w:r>
      <w:r w:rsidRPr="006D01CD">
        <w:rPr>
          <w:noProof/>
        </w:rPr>
        <w:tab/>
      </w:r>
      <w:r w:rsidR="001A462E" w:rsidRPr="00777BC3">
        <w:rPr>
          <w:noProof/>
        </w:rPr>
        <w:t>The contractual liability of ENISA shall be governed by the law applicable to the contract in question.</w:t>
      </w:r>
    </w:p>
    <w:p w14:paraId="49A374F3" w14:textId="46E34796" w:rsidR="001A462E" w:rsidRPr="00777BC3" w:rsidRDefault="006D01CD" w:rsidP="006D01CD">
      <w:pPr>
        <w:pStyle w:val="ManualNumPar1"/>
        <w:rPr>
          <w:noProof/>
        </w:rPr>
      </w:pPr>
      <w:r w:rsidRPr="006D01CD">
        <w:rPr>
          <w:noProof/>
        </w:rPr>
        <w:t>2.</w:t>
      </w:r>
      <w:r w:rsidRPr="006D01CD">
        <w:rPr>
          <w:noProof/>
        </w:rPr>
        <w:tab/>
      </w:r>
      <w:r w:rsidR="001A462E" w:rsidRPr="00777BC3">
        <w:rPr>
          <w:noProof/>
        </w:rPr>
        <w:t>The Court of Justice of the European Union shall have jurisdiction to give judgment pursuant to any arbitration clause contained in a contract concluded by ENISA.</w:t>
      </w:r>
    </w:p>
    <w:p w14:paraId="1ECA7A54" w14:textId="091006D8" w:rsidR="001A462E" w:rsidRPr="00777BC3" w:rsidRDefault="006D01CD" w:rsidP="006D01CD">
      <w:pPr>
        <w:pStyle w:val="ManualNumPar1"/>
        <w:rPr>
          <w:noProof/>
        </w:rPr>
      </w:pPr>
      <w:r w:rsidRPr="006D01CD">
        <w:rPr>
          <w:noProof/>
        </w:rPr>
        <w:t>3.</w:t>
      </w:r>
      <w:r w:rsidRPr="006D01CD">
        <w:rPr>
          <w:noProof/>
        </w:rPr>
        <w:tab/>
      </w:r>
      <w:r w:rsidR="001A462E" w:rsidRPr="00777BC3">
        <w:rPr>
          <w:noProof/>
        </w:rPr>
        <w:t>In the case of non-contractual liability, ENISA shall make good any damage caused by it or its staff in the performance of their duties, in accordance with the general principles common to the laws of the Member States.</w:t>
      </w:r>
    </w:p>
    <w:p w14:paraId="58C39925" w14:textId="6C4AB509" w:rsidR="001A462E" w:rsidRPr="00777BC3" w:rsidRDefault="006D01CD" w:rsidP="006D01CD">
      <w:pPr>
        <w:pStyle w:val="ManualNumPar1"/>
        <w:rPr>
          <w:noProof/>
        </w:rPr>
      </w:pPr>
      <w:r w:rsidRPr="006D01CD">
        <w:rPr>
          <w:noProof/>
        </w:rPr>
        <w:t>4.</w:t>
      </w:r>
      <w:r w:rsidRPr="006D01CD">
        <w:rPr>
          <w:noProof/>
        </w:rPr>
        <w:tab/>
      </w:r>
      <w:r w:rsidR="001A462E" w:rsidRPr="00777BC3">
        <w:rPr>
          <w:noProof/>
        </w:rPr>
        <w:t>The Court of Justice of the European Union shall have jurisdiction in disputes overcompensation for damages referred to in paragraph 3.</w:t>
      </w:r>
    </w:p>
    <w:p w14:paraId="62D6F5DC" w14:textId="532FCFFB" w:rsidR="001A462E" w:rsidRPr="00777BC3" w:rsidRDefault="006D01CD" w:rsidP="006D01CD">
      <w:pPr>
        <w:pStyle w:val="ManualNumPar1"/>
        <w:rPr>
          <w:noProof/>
        </w:rPr>
      </w:pPr>
      <w:r w:rsidRPr="006D01CD">
        <w:rPr>
          <w:noProof/>
        </w:rPr>
        <w:t>5.</w:t>
      </w:r>
      <w:r w:rsidRPr="006D01CD">
        <w:rPr>
          <w:noProof/>
        </w:rPr>
        <w:tab/>
      </w:r>
      <w:r w:rsidR="001A462E" w:rsidRPr="00777BC3">
        <w:rPr>
          <w:noProof/>
        </w:rPr>
        <w:t>The personal liability of ENISA’s staff towards ENISA shall be governed by the provisions laid down in the Staff Regulations or Conditions of Employment applicable to them.</w:t>
      </w:r>
    </w:p>
    <w:p w14:paraId="6BA2D575" w14:textId="77777777" w:rsidR="001A462E" w:rsidRPr="00777BC3" w:rsidRDefault="001A462E" w:rsidP="001A462E">
      <w:pPr>
        <w:pStyle w:val="Titrearticle"/>
        <w:rPr>
          <w:noProof/>
        </w:rPr>
      </w:pPr>
      <w:r w:rsidRPr="00777BC3">
        <w:rPr>
          <w:noProof/>
        </w:rPr>
        <w:t>Article 65</w:t>
      </w:r>
      <w:r w:rsidRPr="00777BC3">
        <w:rPr>
          <w:noProof/>
        </w:rPr>
        <w:br/>
        <w:t>Language arrangements</w:t>
      </w:r>
    </w:p>
    <w:p w14:paraId="60E3CFDB" w14:textId="1387936F" w:rsidR="001A462E" w:rsidRPr="00777BC3" w:rsidRDefault="006D01CD" w:rsidP="006D01CD">
      <w:pPr>
        <w:pStyle w:val="ManualNumPar1"/>
        <w:rPr>
          <w:noProof/>
        </w:rPr>
      </w:pPr>
      <w:r w:rsidRPr="006D01CD">
        <w:rPr>
          <w:noProof/>
        </w:rPr>
        <w:t>1.</w:t>
      </w:r>
      <w:r w:rsidRPr="006D01CD">
        <w:rPr>
          <w:noProof/>
        </w:rPr>
        <w:tab/>
      </w:r>
      <w:r w:rsidR="001A462E" w:rsidRPr="00777BC3">
        <w:rPr>
          <w:noProof/>
        </w:rPr>
        <w:t>Council Regulation No 1</w:t>
      </w:r>
      <w:r w:rsidR="001A462E">
        <w:rPr>
          <w:rStyle w:val="FootnoteReference"/>
          <w:noProof/>
        </w:rPr>
        <w:footnoteReference w:id="80"/>
      </w:r>
      <w:r w:rsidR="001A462E" w:rsidRPr="00777BC3">
        <w:rPr>
          <w:noProof/>
        </w:rPr>
        <w:t xml:space="preserve"> shall apply to ENISA. The Member States and the other bodies appointed by the Member States may address ENISA and receive a reply in the official language of the institutions of the Union that they choose.</w:t>
      </w:r>
    </w:p>
    <w:p w14:paraId="1EA9E332" w14:textId="752E7D3D" w:rsidR="001A462E" w:rsidRPr="00777BC3" w:rsidRDefault="006D01CD" w:rsidP="006D01CD">
      <w:pPr>
        <w:pStyle w:val="ManualNumPar1"/>
        <w:rPr>
          <w:noProof/>
        </w:rPr>
      </w:pPr>
      <w:r w:rsidRPr="006D01CD">
        <w:rPr>
          <w:noProof/>
        </w:rPr>
        <w:t>2.</w:t>
      </w:r>
      <w:r w:rsidRPr="006D01CD">
        <w:rPr>
          <w:noProof/>
        </w:rPr>
        <w:tab/>
      </w:r>
      <w:r w:rsidR="001A462E" w:rsidRPr="00777BC3">
        <w:rPr>
          <w:noProof/>
        </w:rPr>
        <w:t>Translation and all other linguistic services required for the functioning of ENISA, other than interpretation, shall be provided by the Translation Centre for the Bodies of the European Union.</w:t>
      </w:r>
    </w:p>
    <w:p w14:paraId="767DB872" w14:textId="77777777" w:rsidR="001A462E" w:rsidRPr="00777BC3" w:rsidRDefault="001A462E" w:rsidP="001A462E">
      <w:pPr>
        <w:pStyle w:val="Titrearticle"/>
        <w:rPr>
          <w:noProof/>
        </w:rPr>
      </w:pPr>
      <w:r w:rsidRPr="00777BC3">
        <w:rPr>
          <w:noProof/>
        </w:rPr>
        <w:t>Article 66</w:t>
      </w:r>
      <w:r w:rsidRPr="00777BC3">
        <w:rPr>
          <w:noProof/>
        </w:rPr>
        <w:br/>
        <w:t>Protection of personal data</w:t>
      </w:r>
    </w:p>
    <w:p w14:paraId="5019F1F6" w14:textId="67E91DF0" w:rsidR="001A462E" w:rsidRPr="00777BC3" w:rsidRDefault="006D01CD" w:rsidP="006D01CD">
      <w:pPr>
        <w:pStyle w:val="ManualNumPar1"/>
        <w:rPr>
          <w:noProof/>
        </w:rPr>
      </w:pPr>
      <w:r w:rsidRPr="006D01CD">
        <w:rPr>
          <w:noProof/>
        </w:rPr>
        <w:t>1.</w:t>
      </w:r>
      <w:r w:rsidRPr="006D01CD">
        <w:rPr>
          <w:noProof/>
        </w:rPr>
        <w:tab/>
      </w:r>
      <w:r w:rsidR="001A462E" w:rsidRPr="00777BC3">
        <w:rPr>
          <w:noProof/>
        </w:rPr>
        <w:t>The processing of personal data by ENISA shall be subject to Regulation (EU) 2018/1725.</w:t>
      </w:r>
    </w:p>
    <w:p w14:paraId="0E6450A6" w14:textId="326BAD6E" w:rsidR="001A462E" w:rsidRPr="00777BC3" w:rsidRDefault="006D01CD" w:rsidP="006D01CD">
      <w:pPr>
        <w:pStyle w:val="ManualNumPar1"/>
        <w:rPr>
          <w:noProof/>
        </w:rPr>
      </w:pPr>
      <w:r w:rsidRPr="006D01CD">
        <w:rPr>
          <w:noProof/>
        </w:rPr>
        <w:t>2.</w:t>
      </w:r>
      <w:r w:rsidRPr="006D01CD">
        <w:rPr>
          <w:noProof/>
        </w:rPr>
        <w:tab/>
      </w:r>
      <w:r w:rsidR="001A462E" w:rsidRPr="00777BC3">
        <w:rPr>
          <w:noProof/>
        </w:rPr>
        <w:t>The Management Board shall adopt implementing rules as referred to in Article 45(3) of Regulation (EU) 2018/1725. The Management Board may adopt additional measures necessary for the application of Regulation (EU) 2018/1725 by ENISA.</w:t>
      </w:r>
    </w:p>
    <w:p w14:paraId="3976A175" w14:textId="77777777" w:rsidR="001A462E" w:rsidRPr="00777BC3" w:rsidRDefault="001A462E" w:rsidP="001A462E">
      <w:pPr>
        <w:pStyle w:val="Titrearticle"/>
        <w:rPr>
          <w:noProof/>
        </w:rPr>
      </w:pPr>
      <w:r w:rsidRPr="00777BC3">
        <w:rPr>
          <w:noProof/>
        </w:rPr>
        <w:t>Article 67</w:t>
      </w:r>
      <w:r w:rsidRPr="00777BC3">
        <w:rPr>
          <w:noProof/>
        </w:rPr>
        <w:br/>
        <w:t>Security rules on the protection of sensitive non-classified information and classified information</w:t>
      </w:r>
    </w:p>
    <w:p w14:paraId="171CE557" w14:textId="77777777" w:rsidR="001A462E" w:rsidRPr="00777BC3" w:rsidRDefault="001A462E" w:rsidP="001A462E">
      <w:pPr>
        <w:rPr>
          <w:noProof/>
        </w:rPr>
      </w:pPr>
      <w:r>
        <w:rPr>
          <w:noProof/>
        </w:rPr>
        <w:t>In agreement with</w:t>
      </w:r>
      <w:r w:rsidRPr="00777BC3">
        <w:rPr>
          <w:noProof/>
        </w:rPr>
        <w:t xml:space="preserve"> the Commission, ENISA shall adopt security rules applying the security principles contained in the Commission’s security rules for protecting sensitive non-classified information and EUCI, as set out in Decisions (EU, Euratom) 2015/443</w:t>
      </w:r>
      <w:r>
        <w:rPr>
          <w:rStyle w:val="FootnoteReference"/>
          <w:noProof/>
        </w:rPr>
        <w:footnoteReference w:id="81"/>
      </w:r>
      <w:r w:rsidRPr="00777BC3">
        <w:rPr>
          <w:noProof/>
        </w:rPr>
        <w:t xml:space="preserve"> and 2015/444</w:t>
      </w:r>
      <w:r>
        <w:rPr>
          <w:rStyle w:val="FootnoteReference"/>
          <w:noProof/>
        </w:rPr>
        <w:footnoteReference w:id="82"/>
      </w:r>
      <w:r w:rsidRPr="00777BC3">
        <w:rPr>
          <w:noProof/>
        </w:rPr>
        <w:t xml:space="preserve">. </w:t>
      </w:r>
      <w:r>
        <w:rPr>
          <w:noProof/>
        </w:rPr>
        <w:t>Those</w:t>
      </w:r>
      <w:r w:rsidRPr="00777BC3">
        <w:rPr>
          <w:noProof/>
        </w:rPr>
        <w:t xml:space="preserve"> security rules shall include provisions for the exchange, processing and storage of such information.</w:t>
      </w:r>
      <w:r w:rsidRPr="00FD6371">
        <w:rPr>
          <w:noProof/>
        </w:rPr>
        <w:t xml:space="preserve"> </w:t>
      </w:r>
    </w:p>
    <w:p w14:paraId="4A96FA4B" w14:textId="77777777" w:rsidR="001A462E" w:rsidRPr="00777BC3" w:rsidRDefault="001A462E" w:rsidP="001A462E">
      <w:pPr>
        <w:pStyle w:val="Titrearticle"/>
        <w:rPr>
          <w:noProof/>
        </w:rPr>
      </w:pPr>
      <w:r w:rsidRPr="00777BC3">
        <w:rPr>
          <w:noProof/>
        </w:rPr>
        <w:t>Article 68</w:t>
      </w:r>
      <w:r w:rsidRPr="00777BC3">
        <w:rPr>
          <w:noProof/>
        </w:rPr>
        <w:br/>
        <w:t>Cooperation with Union entities and national authorities</w:t>
      </w:r>
    </w:p>
    <w:p w14:paraId="1D0CF839" w14:textId="381FAE3A" w:rsidR="001A462E" w:rsidRPr="00777BC3" w:rsidRDefault="006D01CD" w:rsidP="006D01CD">
      <w:pPr>
        <w:pStyle w:val="ManualNumPar1"/>
        <w:rPr>
          <w:noProof/>
        </w:rPr>
      </w:pPr>
      <w:r w:rsidRPr="006D01CD">
        <w:rPr>
          <w:noProof/>
        </w:rPr>
        <w:t>1.</w:t>
      </w:r>
      <w:r w:rsidRPr="006D01CD">
        <w:rPr>
          <w:noProof/>
        </w:rPr>
        <w:tab/>
      </w:r>
      <w:r w:rsidR="001A462E" w:rsidRPr="00777BC3">
        <w:rPr>
          <w:noProof/>
        </w:rPr>
        <w:t xml:space="preserve">To ensure consistency, </w:t>
      </w:r>
      <w:r w:rsidR="001A462E">
        <w:rPr>
          <w:noProof/>
        </w:rPr>
        <w:t>create</w:t>
      </w:r>
      <w:r w:rsidR="001A462E" w:rsidRPr="00777BC3">
        <w:rPr>
          <w:noProof/>
        </w:rPr>
        <w:t xml:space="preserve"> synergies and address issues of common concern, ENISA shall cooperate on matters related to cybersecurity with CERT-EU and relevant Union entities, including Europol, </w:t>
      </w:r>
      <w:r w:rsidR="001A462E">
        <w:rPr>
          <w:noProof/>
        </w:rPr>
        <w:t xml:space="preserve">the </w:t>
      </w:r>
      <w:r w:rsidR="001A462E" w:rsidRPr="00777BC3">
        <w:rPr>
          <w:noProof/>
        </w:rPr>
        <w:t>European Cybersecurity Industrial, Technology and Research Competence Centre established pursuant to Regulation (EU) 2021/887, and the European Data Protection Board established pursuant to Article 68(1) of Regulation (EU) 2016/679.</w:t>
      </w:r>
    </w:p>
    <w:p w14:paraId="159B688B" w14:textId="777AABD9" w:rsidR="001A462E" w:rsidRPr="00777BC3" w:rsidRDefault="006D01CD" w:rsidP="006D01CD">
      <w:pPr>
        <w:pStyle w:val="ManualNumPar1"/>
        <w:rPr>
          <w:noProof/>
        </w:rPr>
      </w:pPr>
      <w:r w:rsidRPr="006D01CD">
        <w:rPr>
          <w:noProof/>
        </w:rPr>
        <w:t>2.</w:t>
      </w:r>
      <w:r w:rsidRPr="006D01CD">
        <w:rPr>
          <w:noProof/>
        </w:rPr>
        <w:tab/>
      </w:r>
      <w:r w:rsidR="001A462E" w:rsidRPr="00777BC3">
        <w:rPr>
          <w:noProof/>
        </w:rPr>
        <w:t xml:space="preserve">The cooperation referred to in paragraph 1 may be </w:t>
      </w:r>
      <w:r w:rsidR="001A462E">
        <w:rPr>
          <w:noProof/>
        </w:rPr>
        <w:t>ensured</w:t>
      </w:r>
      <w:r w:rsidR="001A462E" w:rsidRPr="00777BC3">
        <w:rPr>
          <w:noProof/>
        </w:rPr>
        <w:t xml:space="preserve"> by means of:</w:t>
      </w:r>
    </w:p>
    <w:p w14:paraId="06065B11" w14:textId="782D2894" w:rsidR="001A462E" w:rsidRPr="00777BC3" w:rsidRDefault="006D01CD" w:rsidP="006D01CD">
      <w:pPr>
        <w:pStyle w:val="Point1"/>
        <w:rPr>
          <w:noProof/>
        </w:rPr>
      </w:pPr>
      <w:r w:rsidRPr="006D01CD">
        <w:rPr>
          <w:noProof/>
        </w:rPr>
        <w:t>(a)</w:t>
      </w:r>
      <w:r w:rsidRPr="006D01CD">
        <w:rPr>
          <w:noProof/>
        </w:rPr>
        <w:tab/>
      </w:r>
      <w:r w:rsidR="001A462E" w:rsidRPr="00777BC3">
        <w:rPr>
          <w:noProof/>
        </w:rPr>
        <w:t>the exchange of know-how and best practices;</w:t>
      </w:r>
    </w:p>
    <w:p w14:paraId="3CE041FD" w14:textId="40A0E991" w:rsidR="001A462E" w:rsidRPr="00777BC3" w:rsidRDefault="006D01CD" w:rsidP="006D01CD">
      <w:pPr>
        <w:pStyle w:val="Point1"/>
        <w:rPr>
          <w:noProof/>
        </w:rPr>
      </w:pPr>
      <w:r w:rsidRPr="006D01CD">
        <w:rPr>
          <w:noProof/>
        </w:rPr>
        <w:t>(b)</w:t>
      </w:r>
      <w:r w:rsidRPr="006D01CD">
        <w:rPr>
          <w:noProof/>
        </w:rPr>
        <w:tab/>
      </w:r>
      <w:r w:rsidR="001A462E" w:rsidRPr="00777BC3">
        <w:rPr>
          <w:noProof/>
        </w:rPr>
        <w:t>the provision of advice and issu</w:t>
      </w:r>
      <w:r w:rsidR="001A462E">
        <w:rPr>
          <w:noProof/>
        </w:rPr>
        <w:t>ance</w:t>
      </w:r>
      <w:r w:rsidR="001A462E" w:rsidRPr="00777BC3">
        <w:rPr>
          <w:noProof/>
        </w:rPr>
        <w:t xml:space="preserve"> of guidance on matters related to cybersecurity;</w:t>
      </w:r>
    </w:p>
    <w:p w14:paraId="02506433" w14:textId="569581C9" w:rsidR="001A462E" w:rsidRPr="00777BC3" w:rsidRDefault="006D01CD" w:rsidP="006D01CD">
      <w:pPr>
        <w:pStyle w:val="Point1"/>
        <w:rPr>
          <w:noProof/>
        </w:rPr>
      </w:pPr>
      <w:r w:rsidRPr="006D01CD">
        <w:rPr>
          <w:noProof/>
        </w:rPr>
        <w:t>(c)</w:t>
      </w:r>
      <w:r w:rsidRPr="006D01CD">
        <w:rPr>
          <w:noProof/>
        </w:rPr>
        <w:tab/>
      </w:r>
      <w:r w:rsidR="001A462E" w:rsidRPr="00777BC3">
        <w:rPr>
          <w:noProof/>
        </w:rPr>
        <w:t>the establishment of practical arrangements for the execution of specific tasks, after consulting the Commission.</w:t>
      </w:r>
    </w:p>
    <w:p w14:paraId="6120B179" w14:textId="1D68BFDF" w:rsidR="001A462E" w:rsidRPr="00777BC3" w:rsidRDefault="006D01CD" w:rsidP="006D01CD">
      <w:pPr>
        <w:pStyle w:val="ManualNumPar1"/>
        <w:rPr>
          <w:noProof/>
        </w:rPr>
      </w:pPr>
      <w:r w:rsidRPr="006D01CD">
        <w:rPr>
          <w:noProof/>
        </w:rPr>
        <w:t>3.</w:t>
      </w:r>
      <w:r w:rsidRPr="006D01CD">
        <w:rPr>
          <w:noProof/>
        </w:rPr>
        <w:tab/>
      </w:r>
      <w:r w:rsidR="001A462E" w:rsidRPr="00777BC3">
        <w:rPr>
          <w:noProof/>
        </w:rPr>
        <w:t>ENISA shall engage in a structured cooperation</w:t>
      </w:r>
      <w:r w:rsidR="001A462E">
        <w:rPr>
          <w:noProof/>
        </w:rPr>
        <w:t xml:space="preserve"> with CERT-EU</w:t>
      </w:r>
      <w:r w:rsidR="001A462E" w:rsidRPr="00777BC3">
        <w:rPr>
          <w:noProof/>
        </w:rPr>
        <w:t xml:space="preserve">, in particular on matters related to capacity-building, operational cooperation, and long-term strategic analyses of cyber threats. </w:t>
      </w:r>
    </w:p>
    <w:p w14:paraId="3E454A99" w14:textId="6B079840" w:rsidR="001A462E" w:rsidRPr="00777BC3" w:rsidRDefault="006D01CD" w:rsidP="006D01CD">
      <w:pPr>
        <w:pStyle w:val="ManualNumPar1"/>
        <w:rPr>
          <w:noProof/>
        </w:rPr>
      </w:pPr>
      <w:r w:rsidRPr="006D01CD">
        <w:rPr>
          <w:noProof/>
        </w:rPr>
        <w:t>4.</w:t>
      </w:r>
      <w:r w:rsidRPr="006D01CD">
        <w:rPr>
          <w:noProof/>
        </w:rPr>
        <w:tab/>
      </w:r>
      <w:r w:rsidR="001A462E" w:rsidRPr="00777BC3">
        <w:rPr>
          <w:noProof/>
        </w:rPr>
        <w:t>ENISA shall cooperate and exchange information with relevant market surveillance and supervisory authorities designated under Union legislation</w:t>
      </w:r>
      <w:r w:rsidR="001A462E">
        <w:rPr>
          <w:noProof/>
        </w:rPr>
        <w:t xml:space="preserve"> in the field of cybersecurity</w:t>
      </w:r>
      <w:r w:rsidR="001A462E" w:rsidRPr="00777BC3">
        <w:rPr>
          <w:noProof/>
        </w:rPr>
        <w:t>, including Regulation (EU) 2024/2847.</w:t>
      </w:r>
    </w:p>
    <w:p w14:paraId="034B9FAF" w14:textId="77777777" w:rsidR="001A462E" w:rsidRPr="00777BC3" w:rsidRDefault="001A462E" w:rsidP="001A462E">
      <w:pPr>
        <w:pStyle w:val="Titrearticle"/>
        <w:rPr>
          <w:noProof/>
        </w:rPr>
      </w:pPr>
      <w:r w:rsidRPr="00777BC3">
        <w:rPr>
          <w:noProof/>
        </w:rPr>
        <w:t>Article 69</w:t>
      </w:r>
      <w:r w:rsidRPr="00777BC3">
        <w:rPr>
          <w:noProof/>
        </w:rPr>
        <w:br/>
        <w:t>Cooperation with stakeholders</w:t>
      </w:r>
    </w:p>
    <w:p w14:paraId="0739B6B9" w14:textId="214B9108" w:rsidR="001A462E" w:rsidRPr="00777BC3" w:rsidRDefault="006D01CD" w:rsidP="006D01CD">
      <w:pPr>
        <w:pStyle w:val="ManualNumPar1"/>
        <w:rPr>
          <w:noProof/>
        </w:rPr>
      </w:pPr>
      <w:r w:rsidRPr="006D01CD">
        <w:rPr>
          <w:noProof/>
        </w:rPr>
        <w:t>1.</w:t>
      </w:r>
      <w:r w:rsidRPr="006D01CD">
        <w:rPr>
          <w:noProof/>
        </w:rPr>
        <w:tab/>
      </w:r>
      <w:r w:rsidR="001A462E" w:rsidRPr="00777BC3">
        <w:rPr>
          <w:noProof/>
        </w:rPr>
        <w:t xml:space="preserve">Where necessary to achieve the objectives </w:t>
      </w:r>
      <w:r w:rsidR="001A462E">
        <w:rPr>
          <w:noProof/>
        </w:rPr>
        <w:t>of</w:t>
      </w:r>
      <w:r w:rsidR="001A462E" w:rsidRPr="00777BC3">
        <w:rPr>
          <w:noProof/>
        </w:rPr>
        <w:t xml:space="preserve"> this Regulation, ENISA shall cooperate with relevant stakeholders, such as the cybersecurity industry, </w:t>
      </w:r>
      <w:r w:rsidR="001A462E">
        <w:rPr>
          <w:noProof/>
        </w:rPr>
        <w:t xml:space="preserve">the </w:t>
      </w:r>
      <w:r w:rsidR="001A462E" w:rsidRPr="00777BC3">
        <w:rPr>
          <w:noProof/>
        </w:rPr>
        <w:t xml:space="preserve">ICT industry, SMEs, entities operating in sectors listed in Annexes I and II to Directive (EU) 2022/2555, manufacturers, importers or distributors of products with digital elements within the meaning of Regulation (EU) 2024/2847, conformity assessment bodies notified under the European </w:t>
      </w:r>
      <w:r w:rsidR="001A462E">
        <w:rPr>
          <w:noProof/>
        </w:rPr>
        <w:t>c</w:t>
      </w:r>
      <w:r w:rsidR="001A462E" w:rsidRPr="00777BC3">
        <w:rPr>
          <w:noProof/>
        </w:rPr>
        <w:t xml:space="preserve">ybersecurity </w:t>
      </w:r>
      <w:r w:rsidR="001A462E">
        <w:rPr>
          <w:noProof/>
        </w:rPr>
        <w:t>c</w:t>
      </w:r>
      <w:r w:rsidR="001A462E" w:rsidRPr="00777BC3">
        <w:rPr>
          <w:noProof/>
        </w:rPr>
        <w:t xml:space="preserve">ertification </w:t>
      </w:r>
      <w:r w:rsidR="001A462E">
        <w:rPr>
          <w:noProof/>
        </w:rPr>
        <w:t>f</w:t>
      </w:r>
      <w:r w:rsidR="001A462E" w:rsidRPr="00777BC3">
        <w:rPr>
          <w:noProof/>
        </w:rPr>
        <w:t>ramework and Regulation (EU) 2024/2847, entities operating in the area of electronic identification means, consumer groups, and academic experts in the field of cybersecurity. To that end, ENISA may establish public-private partnerships.</w:t>
      </w:r>
    </w:p>
    <w:p w14:paraId="4C2388E3" w14:textId="15DB835F" w:rsidR="001A462E" w:rsidRPr="00777BC3" w:rsidRDefault="006D01CD" w:rsidP="006D01CD">
      <w:pPr>
        <w:pStyle w:val="ManualNumPar1"/>
        <w:rPr>
          <w:noProof/>
        </w:rPr>
      </w:pPr>
      <w:r w:rsidRPr="006D01CD">
        <w:rPr>
          <w:noProof/>
        </w:rPr>
        <w:t>2.</w:t>
      </w:r>
      <w:r w:rsidRPr="006D01CD">
        <w:rPr>
          <w:noProof/>
        </w:rPr>
        <w:tab/>
      </w:r>
      <w:r w:rsidR="001A462E" w:rsidRPr="00777BC3">
        <w:rPr>
          <w:noProof/>
        </w:rPr>
        <w:t>ENISA shall, in consultation with the Commission, support cooperation between notified conformity assessment bodies</w:t>
      </w:r>
      <w:r w:rsidR="001A462E">
        <w:rPr>
          <w:noProof/>
        </w:rPr>
        <w:t xml:space="preserve"> pursuant to Article 93</w:t>
      </w:r>
      <w:r w:rsidR="001A462E" w:rsidRPr="00777BC3">
        <w:rPr>
          <w:noProof/>
        </w:rPr>
        <w:t>. In particular, it may establish a group of notified conformity assessment bodies for sharing of best practices</w:t>
      </w:r>
      <w:r w:rsidR="001A462E">
        <w:rPr>
          <w:noProof/>
        </w:rPr>
        <w:t xml:space="preserve">, creating synergies with other relevant Union legislation, in particular </w:t>
      </w:r>
      <w:r w:rsidR="001A462E" w:rsidRPr="00777BC3">
        <w:rPr>
          <w:noProof/>
        </w:rPr>
        <w:t>Regulation (EU) 2024/2847.</w:t>
      </w:r>
    </w:p>
    <w:p w14:paraId="0A474759" w14:textId="77777777" w:rsidR="001A462E" w:rsidRPr="00777BC3" w:rsidRDefault="001A462E" w:rsidP="001A462E">
      <w:pPr>
        <w:pStyle w:val="Titrearticle"/>
        <w:rPr>
          <w:noProof/>
        </w:rPr>
      </w:pPr>
      <w:r w:rsidRPr="00777BC3">
        <w:rPr>
          <w:noProof/>
        </w:rPr>
        <w:t>Article 70</w:t>
      </w:r>
      <w:r w:rsidRPr="00777BC3">
        <w:rPr>
          <w:noProof/>
        </w:rPr>
        <w:br/>
        <w:t>Cooperation with third countries and international organisations</w:t>
      </w:r>
    </w:p>
    <w:p w14:paraId="6B88D22F" w14:textId="15987C0C" w:rsidR="001A462E" w:rsidRPr="00777BC3" w:rsidRDefault="006D01CD" w:rsidP="006D01CD">
      <w:pPr>
        <w:pStyle w:val="ManualNumPar1"/>
        <w:rPr>
          <w:noProof/>
        </w:rPr>
      </w:pPr>
      <w:r w:rsidRPr="006D01CD">
        <w:rPr>
          <w:noProof/>
        </w:rPr>
        <w:t>1.</w:t>
      </w:r>
      <w:r w:rsidRPr="006D01CD">
        <w:rPr>
          <w:noProof/>
        </w:rPr>
        <w:tab/>
      </w:r>
      <w:r w:rsidR="001A462E" w:rsidRPr="00777BC3">
        <w:rPr>
          <w:noProof/>
        </w:rPr>
        <w:t xml:space="preserve">To the extent necessary to achieve the objectives </w:t>
      </w:r>
      <w:r w:rsidR="001A462E">
        <w:rPr>
          <w:noProof/>
        </w:rPr>
        <w:t>of</w:t>
      </w:r>
      <w:r w:rsidR="001A462E" w:rsidRPr="00777BC3">
        <w:rPr>
          <w:noProof/>
        </w:rPr>
        <w:t xml:space="preserve"> this Regulation, ENISA may cooperate with the competent authorities of third countries or with international organisations or both, in line with </w:t>
      </w:r>
      <w:r w:rsidR="001A462E">
        <w:rPr>
          <w:noProof/>
        </w:rPr>
        <w:t xml:space="preserve">the </w:t>
      </w:r>
      <w:r w:rsidR="001A462E" w:rsidRPr="00777BC3">
        <w:rPr>
          <w:noProof/>
        </w:rPr>
        <w:t>priorities of the Union. To that end, ENISA may establish working arrangements with the authorities of third countries and international organisations, subject to the prior approval of the Commission. Those working arrangements shall not create legal obligations incumbent on the Union and its Member States.</w:t>
      </w:r>
    </w:p>
    <w:p w14:paraId="7AF43F65" w14:textId="31B55C08" w:rsidR="001A462E" w:rsidRPr="00777BC3" w:rsidRDefault="006D01CD" w:rsidP="006D01CD">
      <w:pPr>
        <w:pStyle w:val="ManualNumPar1"/>
        <w:rPr>
          <w:noProof/>
        </w:rPr>
      </w:pPr>
      <w:r w:rsidRPr="006D01CD">
        <w:rPr>
          <w:noProof/>
        </w:rPr>
        <w:t>2.</w:t>
      </w:r>
      <w:r w:rsidRPr="006D01CD">
        <w:rPr>
          <w:noProof/>
        </w:rPr>
        <w:tab/>
      </w:r>
      <w:r w:rsidR="001A462E" w:rsidRPr="00777BC3">
        <w:rPr>
          <w:noProof/>
        </w:rPr>
        <w:t>The Management Board shall adopt a strategy for relations with third countries and international organisations concerning matters for which ENISA is competent and in line with the priorities referred to in paragraph 1. The Commission shall ensure that ENISA operates within its mandate and the existing institutional framework by concluding appropriate working arrangements with the Executive Director.</w:t>
      </w:r>
    </w:p>
    <w:p w14:paraId="0730FC4F" w14:textId="7BCAE4B8" w:rsidR="001A462E" w:rsidRPr="00777BC3" w:rsidRDefault="006D01CD" w:rsidP="006D01CD">
      <w:pPr>
        <w:pStyle w:val="ManualNumPar1"/>
        <w:rPr>
          <w:noProof/>
        </w:rPr>
      </w:pPr>
      <w:r w:rsidRPr="006D01CD">
        <w:rPr>
          <w:noProof/>
        </w:rPr>
        <w:t>3.</w:t>
      </w:r>
      <w:r w:rsidRPr="006D01CD">
        <w:rPr>
          <w:noProof/>
        </w:rPr>
        <w:tab/>
      </w:r>
      <w:r w:rsidR="001A462E" w:rsidRPr="00777BC3">
        <w:rPr>
          <w:noProof/>
        </w:rPr>
        <w:t xml:space="preserve">To support cooperation with third countries, in particular countries that are candidates for accession to the Union, ENISA may deliver </w:t>
      </w:r>
      <w:r w:rsidR="001A462E">
        <w:rPr>
          <w:noProof/>
        </w:rPr>
        <w:t xml:space="preserve">its capacity-building </w:t>
      </w:r>
      <w:r w:rsidR="001A462E" w:rsidRPr="00777BC3">
        <w:rPr>
          <w:noProof/>
        </w:rPr>
        <w:t>expertise</w:t>
      </w:r>
      <w:r w:rsidR="001A462E">
        <w:rPr>
          <w:noProof/>
        </w:rPr>
        <w:t>, in particular</w:t>
      </w:r>
      <w:r w:rsidR="001A462E" w:rsidRPr="00777BC3">
        <w:rPr>
          <w:noProof/>
        </w:rPr>
        <w:t xml:space="preserve"> in the following areas:</w:t>
      </w:r>
    </w:p>
    <w:p w14:paraId="7D4C047D" w14:textId="43ADC0D1" w:rsidR="001A462E" w:rsidRPr="00777BC3" w:rsidRDefault="006D01CD" w:rsidP="006D01CD">
      <w:pPr>
        <w:pStyle w:val="Point1"/>
        <w:rPr>
          <w:noProof/>
        </w:rPr>
      </w:pPr>
      <w:r w:rsidRPr="006D01CD">
        <w:rPr>
          <w:noProof/>
        </w:rPr>
        <w:t>(a)</w:t>
      </w:r>
      <w:r w:rsidRPr="006D01CD">
        <w:rPr>
          <w:noProof/>
        </w:rPr>
        <w:tab/>
      </w:r>
      <w:r w:rsidR="001A462E" w:rsidRPr="00210A1D">
        <w:rPr>
          <w:noProof/>
        </w:rPr>
        <w:t>assessment of the level of maturity of cybersecurity capabilities and resources</w:t>
      </w:r>
      <w:r w:rsidR="001A462E" w:rsidRPr="00777BC3">
        <w:rPr>
          <w:noProof/>
        </w:rPr>
        <w:t>;</w:t>
      </w:r>
    </w:p>
    <w:p w14:paraId="68552C8A" w14:textId="6480FE6E" w:rsidR="001A462E" w:rsidRPr="00777BC3" w:rsidRDefault="006D01CD" w:rsidP="006D01CD">
      <w:pPr>
        <w:pStyle w:val="Point1"/>
        <w:rPr>
          <w:noProof/>
        </w:rPr>
      </w:pPr>
      <w:r w:rsidRPr="006D01CD">
        <w:rPr>
          <w:noProof/>
        </w:rPr>
        <w:t>(b)</w:t>
      </w:r>
      <w:r w:rsidRPr="006D01CD">
        <w:rPr>
          <w:noProof/>
        </w:rPr>
        <w:tab/>
      </w:r>
      <w:r w:rsidR="001A462E" w:rsidRPr="00777BC3">
        <w:rPr>
          <w:noProof/>
        </w:rPr>
        <w:t xml:space="preserve">growth and enhancement of the cybersecurity workforce, including </w:t>
      </w:r>
      <w:r w:rsidR="001A462E">
        <w:rPr>
          <w:noProof/>
        </w:rPr>
        <w:t xml:space="preserve">by </w:t>
      </w:r>
      <w:r w:rsidR="001A462E" w:rsidRPr="00777BC3">
        <w:rPr>
          <w:noProof/>
        </w:rPr>
        <w:t>promoti</w:t>
      </w:r>
      <w:r w:rsidR="001A462E">
        <w:rPr>
          <w:noProof/>
        </w:rPr>
        <w:t>ng</w:t>
      </w:r>
      <w:r w:rsidR="001A462E" w:rsidRPr="00777BC3">
        <w:rPr>
          <w:noProof/>
        </w:rPr>
        <w:t xml:space="preserve"> the </w:t>
      </w:r>
      <w:r w:rsidR="001A462E">
        <w:rPr>
          <w:noProof/>
        </w:rPr>
        <w:t>ECSF</w:t>
      </w:r>
      <w:r w:rsidR="001A462E" w:rsidRPr="00777BC3">
        <w:rPr>
          <w:noProof/>
        </w:rPr>
        <w:t xml:space="preserve"> and the European individual cybersecurity skills attestation schemes, and providing learning and training activities; </w:t>
      </w:r>
    </w:p>
    <w:p w14:paraId="269A9129" w14:textId="013EE26C" w:rsidR="001A462E" w:rsidRPr="00777BC3" w:rsidRDefault="006D01CD" w:rsidP="006D01CD">
      <w:pPr>
        <w:pStyle w:val="Point1"/>
        <w:rPr>
          <w:noProof/>
        </w:rPr>
      </w:pPr>
      <w:r w:rsidRPr="006D01CD">
        <w:rPr>
          <w:noProof/>
        </w:rPr>
        <w:t>(c)</w:t>
      </w:r>
      <w:r w:rsidRPr="006D01CD">
        <w:rPr>
          <w:noProof/>
        </w:rPr>
        <w:tab/>
      </w:r>
      <w:r w:rsidR="001A462E" w:rsidRPr="00777BC3">
        <w:rPr>
          <w:noProof/>
        </w:rPr>
        <w:t>supporting the planning and execution of cybersecurity exercises.</w:t>
      </w:r>
    </w:p>
    <w:p w14:paraId="12BFA25F" w14:textId="26FE34DE" w:rsidR="00942FA2" w:rsidRDefault="006D01CD" w:rsidP="006D01CD">
      <w:pPr>
        <w:pStyle w:val="ManualNumPar1"/>
        <w:rPr>
          <w:noProof/>
        </w:rPr>
      </w:pPr>
      <w:r w:rsidRPr="006D01CD">
        <w:rPr>
          <w:noProof/>
        </w:rPr>
        <w:t>4.</w:t>
      </w:r>
      <w:r w:rsidRPr="006D01CD">
        <w:rPr>
          <w:noProof/>
        </w:rPr>
        <w:tab/>
      </w:r>
      <w:r w:rsidR="001A462E" w:rsidRPr="00777BC3">
        <w:rPr>
          <w:noProof/>
        </w:rPr>
        <w:t xml:space="preserve">ENISA shall be open to the participation of third countries </w:t>
      </w:r>
      <w:r w:rsidR="001A462E">
        <w:rPr>
          <w:noProof/>
        </w:rPr>
        <w:t>in ENISA’s work</w:t>
      </w:r>
      <w:r w:rsidR="001A462E" w:rsidRPr="00777BC3">
        <w:rPr>
          <w:noProof/>
        </w:rPr>
        <w:t xml:space="preserve"> that have concluded agreements with the Union to that effect. Under the relevant provisions of agreements concluded between third countries and the Union, working arrangements shall be established, subject to prior approval of the Commission, specifying in particular the nature, extent and manner in which those third countries are to participate in ENISA’s work, and shall include provisions relating to participation in the initiatives undertaken by ENISA, to financial contributions and to staff. As regards staff matters, those working arrangements shall comply with the Staff Regulations and Conditions of Employment in any event.</w:t>
      </w:r>
    </w:p>
    <w:p w14:paraId="5CC4CD22" w14:textId="78210D0A" w:rsidR="00AA1F01" w:rsidRPr="00D41517" w:rsidRDefault="006D01CD" w:rsidP="006D01CD">
      <w:pPr>
        <w:pStyle w:val="ManualNumPar1"/>
        <w:rPr>
          <w:noProof/>
        </w:rPr>
      </w:pPr>
      <w:r w:rsidRPr="006D01CD">
        <w:rPr>
          <w:noProof/>
        </w:rPr>
        <w:t>5.</w:t>
      </w:r>
      <w:r w:rsidRPr="006D01CD">
        <w:rPr>
          <w:noProof/>
        </w:rPr>
        <w:tab/>
      </w:r>
      <w:r w:rsidR="001A462E" w:rsidRPr="00777BC3">
        <w:rPr>
          <w:noProof/>
        </w:rPr>
        <w:t xml:space="preserve">ENISA shall regularly report to the Council and the Commission on the implementation of the working arrangements </w:t>
      </w:r>
      <w:r w:rsidR="001A462E">
        <w:rPr>
          <w:noProof/>
        </w:rPr>
        <w:t>referred to in</w:t>
      </w:r>
      <w:r w:rsidR="001A462E" w:rsidRPr="00777BC3">
        <w:rPr>
          <w:noProof/>
        </w:rPr>
        <w:t xml:space="preserve"> paragraphs 1 and 4.</w:t>
      </w:r>
    </w:p>
    <w:p w14:paraId="04FE7B27" w14:textId="77777777" w:rsidR="00AA1F01" w:rsidRDefault="00AA1F01" w:rsidP="00AA1F01">
      <w:pPr>
        <w:jc w:val="center"/>
        <w:rPr>
          <w:noProof/>
        </w:rPr>
      </w:pPr>
    </w:p>
    <w:p w14:paraId="31C74CED" w14:textId="77777777" w:rsidR="00AA1F01" w:rsidRPr="00455894" w:rsidRDefault="00AA1F01" w:rsidP="00AA1F01">
      <w:pPr>
        <w:jc w:val="center"/>
        <w:rPr>
          <w:b/>
          <w:bCs/>
          <w:noProof/>
        </w:rPr>
      </w:pPr>
      <w:r w:rsidRPr="00455894">
        <w:rPr>
          <w:b/>
          <w:bCs/>
          <w:noProof/>
        </w:rPr>
        <w:t>TITLE III</w:t>
      </w:r>
    </w:p>
    <w:p w14:paraId="45DEFE0F" w14:textId="77777777" w:rsidR="00AA1F01" w:rsidRPr="00455894" w:rsidRDefault="00AA1F01" w:rsidP="00AA1F01">
      <w:pPr>
        <w:jc w:val="center"/>
        <w:rPr>
          <w:b/>
          <w:bCs/>
          <w:noProof/>
        </w:rPr>
      </w:pPr>
      <w:r>
        <w:rPr>
          <w:b/>
          <w:bCs/>
          <w:noProof/>
        </w:rPr>
        <w:t xml:space="preserve">EUROPEAN </w:t>
      </w:r>
      <w:r w:rsidRPr="00DE705A">
        <w:rPr>
          <w:b/>
          <w:bCs/>
          <w:noProof/>
        </w:rPr>
        <w:t>CYBERSECURITY CERTIFICATION FRAMEWORK</w:t>
      </w:r>
    </w:p>
    <w:p w14:paraId="16C556C0" w14:textId="77777777" w:rsidR="00AA1F01" w:rsidRDefault="00AA1F01" w:rsidP="00AA1F01">
      <w:pPr>
        <w:jc w:val="center"/>
        <w:rPr>
          <w:b/>
          <w:bCs/>
          <w:noProof/>
        </w:rPr>
      </w:pPr>
    </w:p>
    <w:p w14:paraId="2B9DBA4D" w14:textId="77777777" w:rsidR="00AA1F01" w:rsidRPr="00D45456" w:rsidRDefault="00AA1F01" w:rsidP="00AA1F01">
      <w:pPr>
        <w:jc w:val="center"/>
        <w:rPr>
          <w:b/>
          <w:bCs/>
          <w:i/>
          <w:iCs/>
          <w:noProof/>
        </w:rPr>
      </w:pPr>
      <w:r w:rsidRPr="00D45456">
        <w:rPr>
          <w:b/>
          <w:bCs/>
          <w:i/>
          <w:iCs/>
          <w:noProof/>
        </w:rPr>
        <w:t>CHAPTER I</w:t>
      </w:r>
      <w:r>
        <w:rPr>
          <w:b/>
          <w:bCs/>
          <w:i/>
          <w:iCs/>
          <w:noProof/>
        </w:rPr>
        <w:br/>
      </w:r>
      <w:r w:rsidRPr="00D45456">
        <w:rPr>
          <w:b/>
          <w:bCs/>
          <w:i/>
          <w:iCs/>
          <w:noProof/>
        </w:rPr>
        <w:t xml:space="preserve">Objectives, </w:t>
      </w:r>
      <w:r>
        <w:rPr>
          <w:b/>
          <w:bCs/>
          <w:i/>
          <w:iCs/>
          <w:noProof/>
        </w:rPr>
        <w:t>S</w:t>
      </w:r>
      <w:r w:rsidRPr="00D45456">
        <w:rPr>
          <w:b/>
          <w:bCs/>
          <w:i/>
          <w:iCs/>
          <w:noProof/>
        </w:rPr>
        <w:t xml:space="preserve">cope and </w:t>
      </w:r>
      <w:r>
        <w:rPr>
          <w:b/>
          <w:bCs/>
          <w:i/>
          <w:iCs/>
          <w:noProof/>
        </w:rPr>
        <w:t>P</w:t>
      </w:r>
      <w:r w:rsidRPr="00D45456">
        <w:rPr>
          <w:b/>
          <w:bCs/>
          <w:i/>
          <w:iCs/>
          <w:noProof/>
        </w:rPr>
        <w:t>rocedures</w:t>
      </w:r>
    </w:p>
    <w:p w14:paraId="5D00D870" w14:textId="77777777" w:rsidR="00AA1F01" w:rsidRDefault="00AA1F01" w:rsidP="00AA1F01">
      <w:pPr>
        <w:pStyle w:val="Titrearticle"/>
        <w:rPr>
          <w:noProof/>
        </w:rPr>
      </w:pPr>
      <w:r>
        <w:rPr>
          <w:noProof/>
        </w:rPr>
        <w:t>Article 71</w:t>
      </w:r>
      <w:r>
        <w:rPr>
          <w:noProof/>
        </w:rPr>
        <w:br/>
        <w:t xml:space="preserve">Objectives and scope of the European cybersecurity </w:t>
      </w:r>
      <w:r w:rsidRPr="00455894">
        <w:rPr>
          <w:noProof/>
        </w:rPr>
        <w:t>certification framework</w:t>
      </w:r>
    </w:p>
    <w:p w14:paraId="047C30EF" w14:textId="0EDD92E2" w:rsidR="00AA1F01" w:rsidRDefault="006D01CD" w:rsidP="006D01CD">
      <w:pPr>
        <w:pStyle w:val="ManualNumPar1"/>
        <w:rPr>
          <w:rFonts w:eastAsia="Times New Roman"/>
          <w:noProof/>
          <w:color w:val="000000"/>
          <w:lang w:eastAsia="en-IE"/>
        </w:rPr>
      </w:pPr>
      <w:r w:rsidRPr="006D01CD">
        <w:rPr>
          <w:noProof/>
        </w:rPr>
        <w:t>1.</w:t>
      </w:r>
      <w:r w:rsidRPr="006D01CD">
        <w:rPr>
          <w:noProof/>
        </w:rPr>
        <w:tab/>
      </w:r>
      <w:r w:rsidR="00AA1F01" w:rsidRPr="00455894">
        <w:rPr>
          <w:noProof/>
          <w:lang w:eastAsia="en-IE"/>
        </w:rPr>
        <w:t xml:space="preserve">The European cybersecurity certification framework shall be established with a view </w:t>
      </w:r>
      <w:r w:rsidR="00AA1F01">
        <w:rPr>
          <w:noProof/>
          <w:lang w:eastAsia="en-IE"/>
        </w:rPr>
        <w:t>of</w:t>
      </w:r>
      <w:r w:rsidR="00AA1F01" w:rsidRPr="00455894">
        <w:rPr>
          <w:noProof/>
          <w:lang w:eastAsia="en-IE"/>
        </w:rPr>
        <w:t xml:space="preserve"> creating a digital single market for ICT products, ICT services, ICT processes, managed security services </w:t>
      </w:r>
      <w:r w:rsidR="00AA1F01">
        <w:rPr>
          <w:noProof/>
          <w:lang w:eastAsia="en-IE"/>
        </w:rPr>
        <w:t>and</w:t>
      </w:r>
      <w:r w:rsidR="00AA1F01" w:rsidRPr="00455894">
        <w:rPr>
          <w:noProof/>
          <w:lang w:eastAsia="en-IE"/>
        </w:rPr>
        <w:t xml:space="preserve"> entities</w:t>
      </w:r>
      <w:r w:rsidR="00AA1F01">
        <w:rPr>
          <w:noProof/>
          <w:lang w:eastAsia="en-IE"/>
        </w:rPr>
        <w:t>. To that end, it shall</w:t>
      </w:r>
      <w:r w:rsidR="00AA1F01" w:rsidRPr="00455894">
        <w:rPr>
          <w:noProof/>
          <w:lang w:eastAsia="en-IE"/>
        </w:rPr>
        <w:t xml:space="preserve"> increas</w:t>
      </w:r>
      <w:r w:rsidR="00AA1F01">
        <w:rPr>
          <w:noProof/>
          <w:lang w:eastAsia="en-IE"/>
        </w:rPr>
        <w:t>e</w:t>
      </w:r>
      <w:r w:rsidR="00AA1F01" w:rsidRPr="00455894">
        <w:rPr>
          <w:noProof/>
          <w:lang w:eastAsia="en-IE"/>
        </w:rPr>
        <w:t xml:space="preserve"> the level of cybersecurity within the Union and enabl</w:t>
      </w:r>
      <w:r w:rsidR="00AA1F01">
        <w:rPr>
          <w:noProof/>
          <w:lang w:eastAsia="en-IE"/>
        </w:rPr>
        <w:t>e</w:t>
      </w:r>
      <w:r w:rsidR="00AA1F01" w:rsidRPr="00455894">
        <w:rPr>
          <w:noProof/>
          <w:lang w:eastAsia="en-IE"/>
        </w:rPr>
        <w:t xml:space="preserve"> a harmonised approach to European cybersecurity </w:t>
      </w:r>
      <w:r w:rsidR="00AA1F01" w:rsidRPr="00800DBA">
        <w:rPr>
          <w:noProof/>
        </w:rPr>
        <w:t>certification</w:t>
      </w:r>
      <w:r w:rsidR="00AA1F01" w:rsidRPr="00455894">
        <w:rPr>
          <w:noProof/>
          <w:lang w:eastAsia="en-IE"/>
        </w:rPr>
        <w:t xml:space="preserve"> schemes as well as leverag</w:t>
      </w:r>
      <w:r w:rsidR="00AA1F01">
        <w:rPr>
          <w:noProof/>
          <w:lang w:eastAsia="en-IE"/>
        </w:rPr>
        <w:t xml:space="preserve">e </w:t>
      </w:r>
      <w:r w:rsidR="00AA1F01" w:rsidRPr="00455894">
        <w:rPr>
          <w:noProof/>
          <w:lang w:eastAsia="en-IE"/>
        </w:rPr>
        <w:t>certification to facilitate compliance with applicable Union legislation.</w:t>
      </w:r>
    </w:p>
    <w:p w14:paraId="2B6DF80C" w14:textId="788B30D7" w:rsidR="00AA1F01" w:rsidRPr="000B1D92" w:rsidRDefault="006D01CD" w:rsidP="006D01CD">
      <w:pPr>
        <w:pStyle w:val="ManualNumPar1"/>
        <w:rPr>
          <w:noProof/>
          <w:lang w:eastAsia="en-IE"/>
        </w:rPr>
      </w:pPr>
      <w:r w:rsidRPr="006D01CD">
        <w:rPr>
          <w:noProof/>
        </w:rPr>
        <w:t>2.</w:t>
      </w:r>
      <w:r w:rsidRPr="006D01CD">
        <w:rPr>
          <w:noProof/>
        </w:rPr>
        <w:tab/>
      </w:r>
      <w:r w:rsidR="00AA1F01" w:rsidRPr="000B1D92">
        <w:rPr>
          <w:noProof/>
          <w:lang w:eastAsia="en-IE"/>
        </w:rPr>
        <w:t>The European cybersecurity certification framework shall provide for a mechanism to establish European cybersecurity certification schemes and</w:t>
      </w:r>
      <w:r w:rsidR="00AA1F01">
        <w:rPr>
          <w:noProof/>
          <w:lang w:eastAsia="en-IE"/>
        </w:rPr>
        <w:t xml:space="preserve"> to attest the following</w:t>
      </w:r>
      <w:r w:rsidR="00AA1F01" w:rsidRPr="000B1D92">
        <w:rPr>
          <w:noProof/>
          <w:lang w:eastAsia="en-IE"/>
        </w:rPr>
        <w:t>:</w:t>
      </w:r>
    </w:p>
    <w:p w14:paraId="34D1B92E" w14:textId="05E68BBB" w:rsidR="00AA1F01" w:rsidRPr="000B1D92" w:rsidRDefault="006D01CD" w:rsidP="006D01CD">
      <w:pPr>
        <w:pStyle w:val="Point1"/>
        <w:rPr>
          <w:noProof/>
        </w:rPr>
      </w:pPr>
      <w:r w:rsidRPr="006D01CD">
        <w:rPr>
          <w:noProof/>
        </w:rPr>
        <w:t>(a)</w:t>
      </w:r>
      <w:r w:rsidRPr="006D01CD">
        <w:rPr>
          <w:noProof/>
        </w:rPr>
        <w:tab/>
      </w:r>
      <w:r w:rsidR="00AA1F01" w:rsidRPr="000B1D92">
        <w:rPr>
          <w:noProof/>
        </w:rPr>
        <w:t>that the ICT</w:t>
      </w:r>
      <w:r w:rsidR="00AA1F01" w:rsidRPr="000B1D92">
        <w:rPr>
          <w:rFonts w:hint="eastAsia"/>
          <w:noProof/>
        </w:rPr>
        <w:t> </w:t>
      </w:r>
      <w:r w:rsidR="00AA1F01" w:rsidRPr="000B1D92">
        <w:rPr>
          <w:noProof/>
        </w:rPr>
        <w:t>products, ICT services and ICT processes that have been evaluated in accordance with such schemes comply with specified security requirements for the purpose of protecting the availability, authenticity, integrity or confidentiality of stored or transmitted or processed data or the functions or services offered by, or accessible via, those products, services and processes throughout their lifecycle;</w:t>
      </w:r>
    </w:p>
    <w:p w14:paraId="6CB9E4DD" w14:textId="3BBABCB7" w:rsidR="00AA1F01" w:rsidRPr="000B1D92" w:rsidRDefault="006D01CD" w:rsidP="006D01CD">
      <w:pPr>
        <w:pStyle w:val="Point1"/>
        <w:rPr>
          <w:noProof/>
        </w:rPr>
      </w:pPr>
      <w:r w:rsidRPr="006D01CD">
        <w:rPr>
          <w:noProof/>
        </w:rPr>
        <w:t>(b)</w:t>
      </w:r>
      <w:r w:rsidRPr="006D01CD">
        <w:rPr>
          <w:noProof/>
        </w:rPr>
        <w:tab/>
      </w:r>
      <w:r w:rsidR="00AA1F01" w:rsidRPr="000B1D92">
        <w:rPr>
          <w:noProof/>
        </w:rPr>
        <w:t>that managed security services that have been evaluated in accordance with such schemes comply with specified security requirements for the purpose of protecting the availability, authenticity, integrity and confidentiality of data which are accessed, processed, stored or transmitted in relation to the provision of those services, and that those services are provided continuously with the requisite competence, expertise and experience by staff with a</w:t>
      </w:r>
      <w:r w:rsidR="00AA1F01" w:rsidRPr="000B1D92">
        <w:rPr>
          <w:rFonts w:hint="eastAsia"/>
          <w:noProof/>
        </w:rPr>
        <w:t> </w:t>
      </w:r>
      <w:r w:rsidR="00AA1F01" w:rsidRPr="000B1D92">
        <w:rPr>
          <w:noProof/>
        </w:rPr>
        <w:t>sufficient and appropriate level of relevant technical knowledge and professional integrity;</w:t>
      </w:r>
    </w:p>
    <w:p w14:paraId="328DD33E" w14:textId="4C9643FA" w:rsidR="00AA1F01" w:rsidRPr="000B1D92" w:rsidRDefault="006D01CD" w:rsidP="006D01CD">
      <w:pPr>
        <w:pStyle w:val="Point1"/>
        <w:rPr>
          <w:noProof/>
        </w:rPr>
      </w:pPr>
      <w:r w:rsidRPr="006D01CD">
        <w:rPr>
          <w:noProof/>
        </w:rPr>
        <w:t>(c)</w:t>
      </w:r>
      <w:r w:rsidRPr="006D01CD">
        <w:rPr>
          <w:noProof/>
        </w:rPr>
        <w:tab/>
      </w:r>
      <w:r w:rsidR="00AA1F01" w:rsidRPr="000B1D92">
        <w:rPr>
          <w:noProof/>
        </w:rPr>
        <w:t xml:space="preserve">that the cyber posture of an entity </w:t>
      </w:r>
      <w:r w:rsidR="00AA1F01">
        <w:rPr>
          <w:noProof/>
        </w:rPr>
        <w:t>that</w:t>
      </w:r>
      <w:r w:rsidR="00AA1F01" w:rsidRPr="000B1D92">
        <w:rPr>
          <w:noProof/>
        </w:rPr>
        <w:t xml:space="preserve"> has been evaluated in accordance with such schemes compl</w:t>
      </w:r>
      <w:r w:rsidR="00AA1F01">
        <w:rPr>
          <w:noProof/>
        </w:rPr>
        <w:t>ies</w:t>
      </w:r>
      <w:r w:rsidR="00AA1F01" w:rsidRPr="000B1D92">
        <w:rPr>
          <w:noProof/>
        </w:rPr>
        <w:t xml:space="preserve"> with specified cybersecurity requirements.</w:t>
      </w:r>
    </w:p>
    <w:p w14:paraId="05EDCD2A" w14:textId="3CCAD691" w:rsidR="00AA1F01" w:rsidRPr="00455894" w:rsidRDefault="006D01CD" w:rsidP="006D01CD">
      <w:pPr>
        <w:pStyle w:val="ManualNumPar1"/>
        <w:rPr>
          <w:noProof/>
          <w:lang w:eastAsia="en-IE"/>
        </w:rPr>
      </w:pPr>
      <w:r w:rsidRPr="006D01CD">
        <w:rPr>
          <w:noProof/>
        </w:rPr>
        <w:t>3.</w:t>
      </w:r>
      <w:r w:rsidRPr="006D01CD">
        <w:rPr>
          <w:noProof/>
        </w:rPr>
        <w:tab/>
      </w:r>
      <w:r w:rsidR="00AA1F01" w:rsidRPr="00455894">
        <w:rPr>
          <w:noProof/>
          <w:lang w:eastAsia="en-IE"/>
        </w:rPr>
        <w:t xml:space="preserve">European cybersecurity certification shall be voluntary, unless otherwise specified </w:t>
      </w:r>
      <w:r w:rsidR="00AA1F01">
        <w:rPr>
          <w:noProof/>
          <w:lang w:eastAsia="en-IE"/>
        </w:rPr>
        <w:t>in</w:t>
      </w:r>
      <w:r w:rsidR="00AA1F01" w:rsidRPr="00455894">
        <w:rPr>
          <w:noProof/>
          <w:lang w:eastAsia="en-IE"/>
        </w:rPr>
        <w:t xml:space="preserve"> Union or </w:t>
      </w:r>
      <w:r w:rsidR="00AA1F01">
        <w:rPr>
          <w:noProof/>
          <w:lang w:eastAsia="en-IE"/>
        </w:rPr>
        <w:t>national</w:t>
      </w:r>
      <w:r w:rsidR="00AA1F01" w:rsidRPr="00455894">
        <w:rPr>
          <w:noProof/>
          <w:lang w:eastAsia="en-IE"/>
        </w:rPr>
        <w:t xml:space="preserve"> law.</w:t>
      </w:r>
    </w:p>
    <w:p w14:paraId="0EE47D5B" w14:textId="0E8C70AA" w:rsidR="00AA1F01" w:rsidRPr="00455894" w:rsidRDefault="006D01CD" w:rsidP="006D01CD">
      <w:pPr>
        <w:pStyle w:val="ManualNumPar1"/>
        <w:rPr>
          <w:noProof/>
          <w:lang w:eastAsia="en-IE"/>
        </w:rPr>
      </w:pPr>
      <w:r w:rsidRPr="006D01CD">
        <w:rPr>
          <w:noProof/>
        </w:rPr>
        <w:t>4.</w:t>
      </w:r>
      <w:r w:rsidRPr="006D01CD">
        <w:rPr>
          <w:noProof/>
        </w:rPr>
        <w:tab/>
      </w:r>
      <w:r w:rsidR="00AA1F01" w:rsidRPr="00455894">
        <w:rPr>
          <w:noProof/>
          <w:lang w:eastAsia="en-IE"/>
        </w:rPr>
        <w:t xml:space="preserve">A European cybersecurity certificate </w:t>
      </w:r>
      <w:r w:rsidR="00AA1F01">
        <w:rPr>
          <w:noProof/>
          <w:lang w:eastAsia="en-IE"/>
        </w:rPr>
        <w:t xml:space="preserve">and </w:t>
      </w:r>
      <w:r w:rsidR="00AA1F01" w:rsidRPr="000B1D92">
        <w:rPr>
          <w:noProof/>
          <w:lang w:eastAsia="en-IE"/>
        </w:rPr>
        <w:t xml:space="preserve">EU statement of conformity </w:t>
      </w:r>
      <w:r w:rsidR="00AA1F01" w:rsidRPr="00455894">
        <w:rPr>
          <w:noProof/>
          <w:lang w:eastAsia="en-IE"/>
        </w:rPr>
        <w:t xml:space="preserve">issued </w:t>
      </w:r>
      <w:r w:rsidR="00AA1F01">
        <w:rPr>
          <w:noProof/>
          <w:lang w:eastAsia="en-IE"/>
        </w:rPr>
        <w:t>under</w:t>
      </w:r>
      <w:r w:rsidR="00AA1F01" w:rsidRPr="00455894">
        <w:rPr>
          <w:noProof/>
          <w:lang w:eastAsia="en-IE"/>
        </w:rPr>
        <w:t xml:space="preserve"> the European cybersecurity certification framework shall be </w:t>
      </w:r>
      <w:r w:rsidR="00AA1F01">
        <w:rPr>
          <w:noProof/>
          <w:lang w:eastAsia="en-IE"/>
        </w:rPr>
        <w:t xml:space="preserve">automatically </w:t>
      </w:r>
      <w:r w:rsidR="00AA1F01" w:rsidRPr="00455894">
        <w:rPr>
          <w:noProof/>
          <w:lang w:eastAsia="en-IE"/>
        </w:rPr>
        <w:t>recognised in all Member States.</w:t>
      </w:r>
    </w:p>
    <w:p w14:paraId="6EA9CF44" w14:textId="77777777" w:rsidR="00AA1F01" w:rsidRPr="00455894" w:rsidRDefault="00AA1F01" w:rsidP="00AA1F01">
      <w:pPr>
        <w:pStyle w:val="Titrearticle"/>
        <w:rPr>
          <w:noProof/>
          <w:lang w:eastAsia="en-IE"/>
        </w:rPr>
      </w:pPr>
      <w:r w:rsidRPr="00455894">
        <w:rPr>
          <w:noProof/>
          <w:lang w:eastAsia="en-IE"/>
        </w:rPr>
        <w:t>Article 72</w:t>
      </w:r>
      <w:r w:rsidRPr="00455894">
        <w:rPr>
          <w:noProof/>
          <w:lang w:eastAsia="en-IE"/>
        </w:rPr>
        <w:br/>
        <w:t xml:space="preserve">Public information and consultation </w:t>
      </w:r>
    </w:p>
    <w:p w14:paraId="03816149" w14:textId="122773A6" w:rsidR="00AA1F01" w:rsidRPr="00455894" w:rsidRDefault="006D01CD" w:rsidP="006D01CD">
      <w:pPr>
        <w:pStyle w:val="ManualNumPar1"/>
        <w:rPr>
          <w:noProof/>
          <w:lang w:eastAsia="en-IE"/>
        </w:rPr>
      </w:pPr>
      <w:r w:rsidRPr="006D01CD">
        <w:rPr>
          <w:noProof/>
        </w:rPr>
        <w:t>1.</w:t>
      </w:r>
      <w:r w:rsidRPr="006D01CD">
        <w:rPr>
          <w:noProof/>
        </w:rPr>
        <w:tab/>
      </w:r>
      <w:r w:rsidR="00AA1F01">
        <w:rPr>
          <w:noProof/>
          <w:lang w:eastAsia="en-IE"/>
        </w:rPr>
        <w:t>At least once a year, t</w:t>
      </w:r>
      <w:r w:rsidR="00AA1F01" w:rsidRPr="00455894">
        <w:rPr>
          <w:noProof/>
          <w:lang w:eastAsia="en-IE"/>
        </w:rPr>
        <w:t>he Commission shall organise, with the support of ENISA, a European Cybersecurity Certification Assembly, inviting ECCG members and other relevant experts from Member States, relevant experts from Union entities and relevant stakeholders to discuss strategic priorities for harmonisation in the area of cybersecurity certification.</w:t>
      </w:r>
    </w:p>
    <w:p w14:paraId="157DF17B" w14:textId="7FFC6E7B" w:rsidR="00AA1F01" w:rsidRDefault="006D01CD" w:rsidP="006D01CD">
      <w:pPr>
        <w:pStyle w:val="ManualNumPar1"/>
        <w:rPr>
          <w:noProof/>
          <w:lang w:eastAsia="en-IE"/>
        </w:rPr>
      </w:pPr>
      <w:r w:rsidRPr="006D01CD">
        <w:rPr>
          <w:noProof/>
        </w:rPr>
        <w:t>2.</w:t>
      </w:r>
      <w:r w:rsidRPr="006D01CD">
        <w:rPr>
          <w:noProof/>
        </w:rPr>
        <w:tab/>
      </w:r>
      <w:r w:rsidR="00AA1F01" w:rsidRPr="00455894">
        <w:rPr>
          <w:noProof/>
          <w:lang w:eastAsia="en-IE"/>
        </w:rPr>
        <w:t>The Commission shall maintain and regularly update a dedicated website providing information on the following aspects:</w:t>
      </w:r>
    </w:p>
    <w:p w14:paraId="1BA5CBDC" w14:textId="18C2B091" w:rsidR="00AA1F01" w:rsidRPr="00455894" w:rsidRDefault="006D01CD" w:rsidP="006D01CD">
      <w:pPr>
        <w:pStyle w:val="Point1"/>
        <w:rPr>
          <w:noProof/>
          <w:lang w:eastAsia="en-IE"/>
        </w:rPr>
      </w:pPr>
      <w:r w:rsidRPr="006D01CD">
        <w:rPr>
          <w:noProof/>
        </w:rPr>
        <w:t>(a)</w:t>
      </w:r>
      <w:r w:rsidRPr="006D01CD">
        <w:rPr>
          <w:noProof/>
        </w:rPr>
        <w:tab/>
      </w:r>
      <w:r w:rsidR="00AA1F01" w:rsidRPr="00455894">
        <w:rPr>
          <w:noProof/>
        </w:rPr>
        <w:t xml:space="preserve">European cybersecurity certification schemes </w:t>
      </w:r>
      <w:r w:rsidR="00AA1F01">
        <w:rPr>
          <w:noProof/>
        </w:rPr>
        <w:t>requested for</w:t>
      </w:r>
      <w:r w:rsidR="00AA1F01" w:rsidRPr="00455894">
        <w:rPr>
          <w:noProof/>
        </w:rPr>
        <w:t xml:space="preserve"> development</w:t>
      </w:r>
      <w:r w:rsidR="00AA1F01">
        <w:rPr>
          <w:noProof/>
        </w:rPr>
        <w:t xml:space="preserve"> pursuant to Article 73</w:t>
      </w:r>
      <w:r w:rsidR="00AA1F01" w:rsidRPr="00455894">
        <w:rPr>
          <w:noProof/>
        </w:rPr>
        <w:t xml:space="preserve">; </w:t>
      </w:r>
    </w:p>
    <w:p w14:paraId="428A7809" w14:textId="678FF54E" w:rsidR="00AA1F01" w:rsidRPr="00BF3CD9" w:rsidRDefault="006D01CD" w:rsidP="006D01CD">
      <w:pPr>
        <w:pStyle w:val="Point1"/>
        <w:rPr>
          <w:noProof/>
        </w:rPr>
      </w:pPr>
      <w:r w:rsidRPr="006D01CD">
        <w:rPr>
          <w:noProof/>
        </w:rPr>
        <w:t>(b)</w:t>
      </w:r>
      <w:r w:rsidRPr="006D01CD">
        <w:rPr>
          <w:noProof/>
        </w:rPr>
        <w:tab/>
      </w:r>
      <w:r w:rsidR="00AA1F01" w:rsidRPr="00BF3CD9">
        <w:rPr>
          <w:noProof/>
        </w:rPr>
        <w:t>strategic priorities for harmonisation of ICT products, ICT services, ICT processes, managed security services</w:t>
      </w:r>
      <w:r w:rsidR="00AA1F01">
        <w:rPr>
          <w:noProof/>
        </w:rPr>
        <w:t>, cyber posture of entities</w:t>
      </w:r>
      <w:r w:rsidR="00AA1F01" w:rsidRPr="00BF3CD9">
        <w:rPr>
          <w:noProof/>
        </w:rPr>
        <w:t xml:space="preserve"> or security requirements of Union legislation, including potential areas for which a European cybersecurity certification scheme might be requested.</w:t>
      </w:r>
    </w:p>
    <w:p w14:paraId="552BC530" w14:textId="24623B76" w:rsidR="00AA1F01" w:rsidRPr="00455894" w:rsidRDefault="006D01CD" w:rsidP="006D01CD">
      <w:pPr>
        <w:pStyle w:val="ManualNumPar1"/>
        <w:rPr>
          <w:noProof/>
          <w:lang w:eastAsia="en-IE"/>
        </w:rPr>
      </w:pPr>
      <w:r w:rsidRPr="006D01CD">
        <w:rPr>
          <w:noProof/>
        </w:rPr>
        <w:t>3.</w:t>
      </w:r>
      <w:r w:rsidRPr="006D01CD">
        <w:rPr>
          <w:noProof/>
        </w:rPr>
        <w:tab/>
      </w:r>
      <w:r w:rsidR="00AA1F01" w:rsidRPr="00455894">
        <w:rPr>
          <w:noProof/>
          <w:lang w:eastAsia="en-IE"/>
        </w:rPr>
        <w:t xml:space="preserve">The Commission shall make publicly available </w:t>
      </w:r>
      <w:r w:rsidR="00AA1F01">
        <w:rPr>
          <w:noProof/>
          <w:lang w:eastAsia="en-IE"/>
        </w:rPr>
        <w:t>on</w:t>
      </w:r>
      <w:r w:rsidR="00AA1F01" w:rsidRPr="00455894">
        <w:rPr>
          <w:noProof/>
          <w:lang w:eastAsia="en-IE"/>
        </w:rPr>
        <w:t xml:space="preserve"> the website referred to in paragraph 2</w:t>
      </w:r>
      <w:r w:rsidR="00AA1F01">
        <w:rPr>
          <w:noProof/>
          <w:lang w:eastAsia="en-IE"/>
        </w:rPr>
        <w:t xml:space="preserve"> of this Article </w:t>
      </w:r>
      <w:r w:rsidR="00AA1F01" w:rsidRPr="00455894">
        <w:rPr>
          <w:noProof/>
          <w:lang w:eastAsia="en-IE"/>
        </w:rPr>
        <w:t>the information on its request to ENISA to prepare a candidate scheme as referred to in Article 7</w:t>
      </w:r>
      <w:r w:rsidR="00AA1F01" w:rsidRPr="00455894">
        <w:rPr>
          <w:noProof/>
          <w:color w:val="000000" w:themeColor="text1"/>
          <w:lang w:eastAsia="en-IE"/>
        </w:rPr>
        <w:t xml:space="preserve">3 and its decision to accept, reject or discontinue a candidate scheme transmitted by ENISA </w:t>
      </w:r>
      <w:r w:rsidR="00AA1F01">
        <w:rPr>
          <w:noProof/>
          <w:color w:val="000000" w:themeColor="text1"/>
          <w:lang w:eastAsia="en-IE"/>
        </w:rPr>
        <w:t xml:space="preserve">in accordance with </w:t>
      </w:r>
      <w:r w:rsidR="00AA1F01" w:rsidRPr="00455894">
        <w:rPr>
          <w:noProof/>
          <w:color w:val="000000" w:themeColor="text1"/>
          <w:lang w:eastAsia="en-IE"/>
        </w:rPr>
        <w:t>Article 74</w:t>
      </w:r>
      <w:r w:rsidR="00AA1F01" w:rsidRPr="00455894">
        <w:rPr>
          <w:noProof/>
          <w:lang w:eastAsia="en-IE"/>
        </w:rPr>
        <w:t>(7)</w:t>
      </w:r>
      <w:r w:rsidR="00AA1F01">
        <w:rPr>
          <w:noProof/>
          <w:lang w:eastAsia="en-IE"/>
        </w:rPr>
        <w:t>.</w:t>
      </w:r>
    </w:p>
    <w:p w14:paraId="0B38AD10" w14:textId="31E474D1" w:rsidR="00AA1F01" w:rsidRPr="00455894" w:rsidRDefault="006D01CD" w:rsidP="006D01CD">
      <w:pPr>
        <w:pStyle w:val="ManualNumPar1"/>
        <w:rPr>
          <w:noProof/>
          <w:color w:val="000000"/>
          <w:lang w:eastAsia="en-IE"/>
        </w:rPr>
      </w:pPr>
      <w:r w:rsidRPr="006D01CD">
        <w:rPr>
          <w:noProof/>
        </w:rPr>
        <w:t>4.</w:t>
      </w:r>
      <w:r w:rsidRPr="006D01CD">
        <w:rPr>
          <w:noProof/>
        </w:rPr>
        <w:tab/>
      </w:r>
      <w:r w:rsidR="00AA1F01" w:rsidRPr="00455894">
        <w:rPr>
          <w:noProof/>
          <w:color w:val="000000"/>
          <w:lang w:eastAsia="en-IE"/>
        </w:rPr>
        <w:t>During the preparation of a candidate scheme by ENISA pursuant to Article 7</w:t>
      </w:r>
      <w:r w:rsidR="00AA1F01" w:rsidRPr="00455894">
        <w:rPr>
          <w:noProof/>
          <w:lang w:eastAsia="en-IE"/>
        </w:rPr>
        <w:t>4, the European Parliament</w:t>
      </w:r>
      <w:r w:rsidR="00EE3A51">
        <w:rPr>
          <w:noProof/>
          <w:lang w:eastAsia="en-IE"/>
        </w:rPr>
        <w:t xml:space="preserve"> and</w:t>
      </w:r>
      <w:r w:rsidR="00AA1F01" w:rsidRPr="00455894">
        <w:rPr>
          <w:noProof/>
          <w:lang w:eastAsia="en-IE"/>
        </w:rPr>
        <w:t xml:space="preserve"> the Council may request the Commission, in its capacity as chair of the ECCG, and ENISA to present relevant information on </w:t>
      </w:r>
      <w:r w:rsidR="00AA1F01">
        <w:rPr>
          <w:noProof/>
          <w:lang w:eastAsia="en-IE"/>
        </w:rPr>
        <w:t>the</w:t>
      </w:r>
      <w:r w:rsidR="00AA1F01" w:rsidRPr="00455894">
        <w:rPr>
          <w:noProof/>
          <w:lang w:eastAsia="en-IE"/>
        </w:rPr>
        <w:t> draft candidate scheme. Upon the request of the European Parliament or the Council, ENISA, in agreement with the Commission and without prejudice to Article 54</w:t>
      </w:r>
      <w:r w:rsidR="00AA1F01" w:rsidRPr="00455894">
        <w:rPr>
          <w:noProof/>
          <w:color w:val="000000"/>
          <w:lang w:eastAsia="en-IE"/>
        </w:rPr>
        <w:t>, may make available to the European Parliament and to the Council relevant parts of a draft candidate scheme in a manner appropriate to the confidentiality level required, and where appropriate in a restricted manner.</w:t>
      </w:r>
    </w:p>
    <w:p w14:paraId="18540480" w14:textId="304943A4" w:rsidR="00AA1F01" w:rsidRPr="00455894" w:rsidRDefault="006D01CD" w:rsidP="006D01CD">
      <w:pPr>
        <w:pStyle w:val="ManualNumPar1"/>
        <w:rPr>
          <w:noProof/>
        </w:rPr>
      </w:pPr>
      <w:r w:rsidRPr="006D01CD">
        <w:rPr>
          <w:noProof/>
        </w:rPr>
        <w:t>5.</w:t>
      </w:r>
      <w:r w:rsidRPr="006D01CD">
        <w:rPr>
          <w:noProof/>
        </w:rPr>
        <w:tab/>
      </w:r>
      <w:r w:rsidR="00AA1F01">
        <w:rPr>
          <w:noProof/>
          <w:lang w:eastAsia="en-IE"/>
        </w:rPr>
        <w:t>T</w:t>
      </w:r>
      <w:r w:rsidR="00AA1F01" w:rsidRPr="00455894">
        <w:rPr>
          <w:noProof/>
          <w:lang w:eastAsia="en-IE"/>
        </w:rPr>
        <w:t>he European Parliament</w:t>
      </w:r>
      <w:r w:rsidR="00EE3A51">
        <w:rPr>
          <w:noProof/>
          <w:lang w:eastAsia="en-IE"/>
        </w:rPr>
        <w:t xml:space="preserve"> and</w:t>
      </w:r>
      <w:r w:rsidR="00AA1F01" w:rsidRPr="00455894">
        <w:rPr>
          <w:noProof/>
          <w:lang w:eastAsia="en-IE"/>
        </w:rPr>
        <w:t xml:space="preserve"> the Council may invite the Commission and ENISA to discuss matters concerning the implementation of European cybersecurity certification schemes for ICT products, ICT services, ICT processes, managed security services or cyber posture of entities.</w:t>
      </w:r>
    </w:p>
    <w:p w14:paraId="6A3D5320" w14:textId="77777777" w:rsidR="00AA1F01" w:rsidRDefault="00AA1F01" w:rsidP="00AA1F01">
      <w:pPr>
        <w:pStyle w:val="Titrearticle"/>
        <w:rPr>
          <w:noProof/>
          <w:lang w:eastAsia="en-IE"/>
        </w:rPr>
      </w:pPr>
      <w:r>
        <w:rPr>
          <w:noProof/>
          <w:lang w:eastAsia="en-IE"/>
        </w:rPr>
        <w:t>Article 73</w:t>
      </w:r>
      <w:r>
        <w:rPr>
          <w:noProof/>
          <w:lang w:eastAsia="en-IE"/>
        </w:rPr>
        <w:br/>
        <w:t>Requests for a European cybersecurity certification scheme</w:t>
      </w:r>
    </w:p>
    <w:p w14:paraId="4DAAEE68" w14:textId="72AB4A2B" w:rsidR="00AA1F01" w:rsidRPr="00455894" w:rsidRDefault="006D01CD" w:rsidP="006D01CD">
      <w:pPr>
        <w:pStyle w:val="ManualNumPar1"/>
        <w:rPr>
          <w:noProof/>
          <w:lang w:eastAsia="en-IE"/>
        </w:rPr>
      </w:pPr>
      <w:r w:rsidRPr="006D01CD">
        <w:rPr>
          <w:noProof/>
        </w:rPr>
        <w:t>1.</w:t>
      </w:r>
      <w:r w:rsidRPr="006D01CD">
        <w:rPr>
          <w:noProof/>
        </w:rPr>
        <w:tab/>
      </w:r>
      <w:r w:rsidR="00AA1F01" w:rsidRPr="00455894">
        <w:rPr>
          <w:noProof/>
          <w:lang w:eastAsia="en-IE"/>
        </w:rPr>
        <w:t xml:space="preserve">The Commission may request ENISA to prepare a candidate European cybersecurity certification scheme for </w:t>
      </w:r>
      <w:r w:rsidR="00AA1F01" w:rsidRPr="00455894">
        <w:rPr>
          <w:noProof/>
          <w:color w:val="000000" w:themeColor="text1"/>
          <w:lang w:eastAsia="en-IE"/>
        </w:rPr>
        <w:t xml:space="preserve">ICT products, ICT services, ICT processes, managed security services or cyber posture of </w:t>
      </w:r>
      <w:r w:rsidR="00AA1F01" w:rsidRPr="00455894">
        <w:rPr>
          <w:noProof/>
          <w:lang w:eastAsia="en-IE"/>
        </w:rPr>
        <w:t>entities.</w:t>
      </w:r>
    </w:p>
    <w:p w14:paraId="3188E852" w14:textId="72744C98" w:rsidR="00AA1F01" w:rsidRDefault="006D01CD" w:rsidP="006D01CD">
      <w:pPr>
        <w:pStyle w:val="ManualNumPar1"/>
        <w:rPr>
          <w:noProof/>
          <w:lang w:eastAsia="en-IE"/>
        </w:rPr>
      </w:pPr>
      <w:r w:rsidRPr="006D01CD">
        <w:rPr>
          <w:noProof/>
        </w:rPr>
        <w:t>2.</w:t>
      </w:r>
      <w:r w:rsidRPr="006D01CD">
        <w:rPr>
          <w:noProof/>
        </w:rPr>
        <w:tab/>
      </w:r>
      <w:r w:rsidR="00AA1F01">
        <w:rPr>
          <w:noProof/>
          <w:lang w:eastAsia="en-IE"/>
        </w:rPr>
        <w:t>In duly justified cases, the ECCG may suggest to the Commission to put forward a request referred to in paragraph 1.</w:t>
      </w:r>
    </w:p>
    <w:p w14:paraId="6C4551C7" w14:textId="6539B8D2" w:rsidR="00AA1F01" w:rsidRDefault="006D01CD" w:rsidP="006D01CD">
      <w:pPr>
        <w:pStyle w:val="ManualNumPar1"/>
        <w:rPr>
          <w:noProof/>
          <w:lang w:eastAsia="en-IE"/>
        </w:rPr>
      </w:pPr>
      <w:r w:rsidRPr="006D01CD">
        <w:rPr>
          <w:noProof/>
        </w:rPr>
        <w:t>3.</w:t>
      </w:r>
      <w:r w:rsidRPr="006D01CD">
        <w:rPr>
          <w:noProof/>
        </w:rPr>
        <w:tab/>
      </w:r>
      <w:r w:rsidR="00AA1F01">
        <w:rPr>
          <w:noProof/>
          <w:lang w:eastAsia="en-IE"/>
        </w:rPr>
        <w:t>The request referred to in paragraph 1 shall detail the purpose, scope and modalities of meeting relevant security objectives and elements set out in Articles 80 and 81. The request shall also specify the development plan of the candidate European cybersecurity certification scheme and relevant technical specifications to be referenced or defined in the scheme.</w:t>
      </w:r>
    </w:p>
    <w:p w14:paraId="3A5F1DC7" w14:textId="3D439862" w:rsidR="00AA1F01" w:rsidRDefault="006D01CD" w:rsidP="006D01CD">
      <w:pPr>
        <w:pStyle w:val="ManualNumPar1"/>
        <w:rPr>
          <w:noProof/>
          <w:lang w:eastAsia="en-IE"/>
        </w:rPr>
      </w:pPr>
      <w:r w:rsidRPr="006D01CD">
        <w:rPr>
          <w:noProof/>
        </w:rPr>
        <w:t>4.</w:t>
      </w:r>
      <w:r w:rsidRPr="006D01CD">
        <w:rPr>
          <w:noProof/>
        </w:rPr>
        <w:tab/>
      </w:r>
      <w:r w:rsidR="00AA1F01">
        <w:rPr>
          <w:noProof/>
          <w:lang w:eastAsia="en-IE"/>
        </w:rPr>
        <w:t xml:space="preserve">When preparing the request referred to in paragraph 1, the Commission shall duly consult ENISA and the ECCG as well as take into account the views of all relevant stakeholders and other Union entities, including, where applicable, those that are relevant under Union legislation in which a European cybersecurity certification scheme is </w:t>
      </w:r>
      <w:r w:rsidR="00AA1F01" w:rsidRPr="00261EEC">
        <w:rPr>
          <w:rFonts w:eastAsia="Times New Roman"/>
          <w:noProof/>
          <w:color w:val="333333"/>
          <w:lang w:eastAsia="en-IE"/>
        </w:rPr>
        <w:t>demonstrat</w:t>
      </w:r>
      <w:r w:rsidR="00AA1F01">
        <w:rPr>
          <w:rFonts w:eastAsia="Times New Roman"/>
          <w:noProof/>
          <w:color w:val="333333"/>
          <w:lang w:eastAsia="en-IE"/>
        </w:rPr>
        <w:t>ing</w:t>
      </w:r>
      <w:r w:rsidR="00AA1F01" w:rsidRPr="00261EEC">
        <w:rPr>
          <w:rFonts w:eastAsia="Times New Roman"/>
          <w:noProof/>
          <w:color w:val="333333"/>
          <w:lang w:eastAsia="en-IE"/>
        </w:rPr>
        <w:t xml:space="preserve"> compliance </w:t>
      </w:r>
      <w:r w:rsidR="00AA1F01">
        <w:rPr>
          <w:rFonts w:eastAsia="Times New Roman"/>
          <w:noProof/>
          <w:color w:val="333333"/>
          <w:lang w:eastAsia="en-IE"/>
        </w:rPr>
        <w:t xml:space="preserve">and </w:t>
      </w:r>
      <w:r w:rsidR="00AA1F01">
        <w:rPr>
          <w:noProof/>
          <w:lang w:eastAsia="en-IE"/>
        </w:rPr>
        <w:t>providing presumption of conformity.</w:t>
      </w:r>
    </w:p>
    <w:p w14:paraId="6E063714" w14:textId="77777777" w:rsidR="00AA1F01" w:rsidRDefault="00AA1F01" w:rsidP="00AA1F01">
      <w:pPr>
        <w:pStyle w:val="Titrearticle"/>
        <w:rPr>
          <w:noProof/>
          <w:lang w:eastAsia="en-IE"/>
        </w:rPr>
      </w:pPr>
      <w:r>
        <w:rPr>
          <w:noProof/>
          <w:lang w:eastAsia="en-IE"/>
        </w:rPr>
        <w:t>Article 74</w:t>
      </w:r>
      <w:r>
        <w:rPr>
          <w:noProof/>
          <w:lang w:eastAsia="en-IE"/>
        </w:rPr>
        <w:br/>
      </w:r>
      <w:r w:rsidRPr="00BF3CD9">
        <w:rPr>
          <w:noProof/>
          <w:lang w:eastAsia="en-IE"/>
        </w:rPr>
        <w:t>Preparation and adoption of European cybersecurity certification scheme</w:t>
      </w:r>
      <w:r>
        <w:rPr>
          <w:noProof/>
          <w:lang w:eastAsia="en-IE"/>
        </w:rPr>
        <w:t>s</w:t>
      </w:r>
    </w:p>
    <w:p w14:paraId="7F7BE7A8" w14:textId="579D0131" w:rsidR="00AA1F01" w:rsidRPr="00BF3CD9" w:rsidRDefault="006D01CD" w:rsidP="006D01CD">
      <w:pPr>
        <w:pStyle w:val="ManualNumPar1"/>
        <w:rPr>
          <w:noProof/>
          <w:lang w:eastAsia="en-IE"/>
        </w:rPr>
      </w:pPr>
      <w:r w:rsidRPr="006D01CD">
        <w:rPr>
          <w:noProof/>
        </w:rPr>
        <w:t>1.</w:t>
      </w:r>
      <w:r w:rsidRPr="006D01CD">
        <w:rPr>
          <w:noProof/>
        </w:rPr>
        <w:tab/>
      </w:r>
      <w:r w:rsidR="00AA1F01">
        <w:rPr>
          <w:noProof/>
          <w:lang w:eastAsia="en-IE"/>
        </w:rPr>
        <w:t xml:space="preserve">No later than 12 months after receiving a request </w:t>
      </w:r>
      <w:r w:rsidR="00AA1F01" w:rsidRPr="00BF3CD9">
        <w:rPr>
          <w:noProof/>
          <w:lang w:eastAsia="en-IE"/>
        </w:rPr>
        <w:t>from the Commission pursuant to Article 73</w:t>
      </w:r>
      <w:r w:rsidR="00AA1F01" w:rsidRPr="00BF3CD9">
        <w:rPr>
          <w:noProof/>
          <w:color w:val="000000" w:themeColor="text1"/>
          <w:lang w:eastAsia="en-IE"/>
        </w:rPr>
        <w:t xml:space="preserve">, </w:t>
      </w:r>
      <w:r w:rsidR="00AA1F01">
        <w:rPr>
          <w:noProof/>
          <w:color w:val="000000" w:themeColor="text1"/>
          <w:lang w:eastAsia="en-IE"/>
        </w:rPr>
        <w:t xml:space="preserve">unless otherwise specified in the request, </w:t>
      </w:r>
      <w:r w:rsidR="00AA1F01" w:rsidRPr="00BF3CD9">
        <w:rPr>
          <w:noProof/>
          <w:color w:val="000000" w:themeColor="text1"/>
          <w:lang w:eastAsia="en-IE"/>
        </w:rPr>
        <w:t xml:space="preserve">ENISA shall prepare </w:t>
      </w:r>
      <w:r w:rsidR="00AA1F01" w:rsidRPr="00BF3CD9">
        <w:rPr>
          <w:noProof/>
          <w:lang w:eastAsia="en-IE"/>
        </w:rPr>
        <w:t xml:space="preserve">a candidate European cybersecurity certification scheme </w:t>
      </w:r>
      <w:r w:rsidR="00AA1F01">
        <w:rPr>
          <w:noProof/>
          <w:color w:val="000000" w:themeColor="text1"/>
          <w:lang w:eastAsia="en-IE"/>
        </w:rPr>
        <w:t>that</w:t>
      </w:r>
      <w:r w:rsidR="00AA1F01" w:rsidRPr="00BF3CD9">
        <w:rPr>
          <w:noProof/>
          <w:color w:val="000000" w:themeColor="text1"/>
          <w:lang w:eastAsia="en-IE"/>
        </w:rPr>
        <w:t xml:space="preserve"> mee</w:t>
      </w:r>
      <w:r w:rsidR="00AA1F01" w:rsidRPr="00BF3CD9">
        <w:rPr>
          <w:noProof/>
          <w:lang w:eastAsia="en-IE"/>
        </w:rPr>
        <w:t>ts the requirements set out in Articles 80</w:t>
      </w:r>
      <w:r w:rsidR="00AA1F01">
        <w:rPr>
          <w:noProof/>
          <w:lang w:eastAsia="en-IE"/>
        </w:rPr>
        <w:t xml:space="preserve"> and</w:t>
      </w:r>
      <w:r w:rsidR="00AA1F01" w:rsidRPr="00BF3CD9">
        <w:rPr>
          <w:noProof/>
          <w:lang w:eastAsia="en-IE"/>
        </w:rPr>
        <w:t xml:space="preserve"> 81</w:t>
      </w:r>
      <w:r w:rsidR="00AA1F01">
        <w:rPr>
          <w:noProof/>
          <w:color w:val="000000" w:themeColor="text1"/>
          <w:lang w:eastAsia="en-IE"/>
        </w:rPr>
        <w:t>.</w:t>
      </w:r>
    </w:p>
    <w:p w14:paraId="4F731FBA" w14:textId="00304A3F" w:rsidR="00AA1F01" w:rsidRPr="00BF3CD9" w:rsidRDefault="006D01CD" w:rsidP="006D01CD">
      <w:pPr>
        <w:pStyle w:val="ManualNumPar1"/>
        <w:rPr>
          <w:noProof/>
          <w:lang w:eastAsia="en-IE"/>
        </w:rPr>
      </w:pPr>
      <w:r w:rsidRPr="006D01CD">
        <w:rPr>
          <w:noProof/>
        </w:rPr>
        <w:t>2.</w:t>
      </w:r>
      <w:r w:rsidRPr="006D01CD">
        <w:rPr>
          <w:noProof/>
        </w:rPr>
        <w:tab/>
      </w:r>
      <w:r w:rsidR="00AA1F01" w:rsidRPr="00BF3CD9">
        <w:rPr>
          <w:noProof/>
          <w:lang w:eastAsia="en-IE"/>
        </w:rPr>
        <w:t xml:space="preserve">For </w:t>
      </w:r>
      <w:r w:rsidR="00AA1F01" w:rsidRPr="00213387">
        <w:rPr>
          <w:noProof/>
          <w:lang w:eastAsia="en-IE"/>
        </w:rPr>
        <w:t>the preparation of</w:t>
      </w:r>
      <w:r w:rsidR="00AA1F01">
        <w:rPr>
          <w:noProof/>
          <w:lang w:eastAsia="en-IE"/>
        </w:rPr>
        <w:t xml:space="preserve"> </w:t>
      </w:r>
      <w:r w:rsidR="00AA1F01" w:rsidRPr="00BF3CD9">
        <w:rPr>
          <w:noProof/>
          <w:lang w:eastAsia="en-IE"/>
        </w:rPr>
        <w:t>each candidate scheme, ENISA shall establish an ad hoc working group in accordance with Article 3</w:t>
      </w:r>
      <w:r w:rsidR="00AA1F01" w:rsidRPr="00BF3CD9">
        <w:rPr>
          <w:noProof/>
          <w:color w:val="000000" w:themeColor="text1"/>
          <w:lang w:eastAsia="en-IE"/>
        </w:rPr>
        <w:t>2(6) for the purpose of providing ENISA with expertise</w:t>
      </w:r>
      <w:r w:rsidR="00AA1F01">
        <w:rPr>
          <w:noProof/>
          <w:color w:val="000000" w:themeColor="text1"/>
          <w:lang w:eastAsia="en-IE"/>
        </w:rPr>
        <w:t xml:space="preserve"> advice</w:t>
      </w:r>
      <w:r w:rsidR="00AA1F01" w:rsidRPr="00BF3CD9">
        <w:rPr>
          <w:noProof/>
          <w:color w:val="000000" w:themeColor="text1"/>
          <w:lang w:eastAsia="en-IE"/>
        </w:rPr>
        <w:t>.</w:t>
      </w:r>
    </w:p>
    <w:p w14:paraId="0E94FA9D" w14:textId="110822EB" w:rsidR="00AA1F01" w:rsidRPr="00BF3CD9" w:rsidRDefault="006D01CD" w:rsidP="006D01CD">
      <w:pPr>
        <w:pStyle w:val="ManualNumPar1"/>
        <w:rPr>
          <w:noProof/>
          <w:color w:val="000000" w:themeColor="text1"/>
          <w:lang w:eastAsia="en-IE"/>
        </w:rPr>
      </w:pPr>
      <w:r w:rsidRPr="006D01CD">
        <w:rPr>
          <w:noProof/>
        </w:rPr>
        <w:t>3.</w:t>
      </w:r>
      <w:r w:rsidRPr="006D01CD">
        <w:rPr>
          <w:noProof/>
        </w:rPr>
        <w:tab/>
      </w:r>
      <w:r w:rsidR="00AA1F01">
        <w:rPr>
          <w:noProof/>
          <w:lang w:eastAsia="en-IE"/>
        </w:rPr>
        <w:t xml:space="preserve">When preparing the candidate scheme, </w:t>
      </w:r>
      <w:r w:rsidR="00AA1F01" w:rsidRPr="00BF3CD9">
        <w:rPr>
          <w:noProof/>
          <w:lang w:eastAsia="en-IE"/>
        </w:rPr>
        <w:t xml:space="preserve">ENISA shall closely cooperate with the ECCG. The ECCG shall provide ENISA with assistance and expert advice in relation to the preparation of the </w:t>
      </w:r>
      <w:r w:rsidR="00AA1F01" w:rsidRPr="00BF3CD9">
        <w:rPr>
          <w:noProof/>
          <w:color w:val="000000" w:themeColor="text1"/>
          <w:lang w:eastAsia="en-IE"/>
        </w:rPr>
        <w:t>candidate scheme and, where applicable, supporting technical specifications.</w:t>
      </w:r>
    </w:p>
    <w:p w14:paraId="045F1CED" w14:textId="6FB1BF63" w:rsidR="00AA1F01" w:rsidRPr="00BF3CD9" w:rsidRDefault="006D01CD" w:rsidP="006D01CD">
      <w:pPr>
        <w:pStyle w:val="ManualNumPar1"/>
        <w:rPr>
          <w:noProof/>
          <w:lang w:eastAsia="en-IE"/>
        </w:rPr>
      </w:pPr>
      <w:r w:rsidRPr="006D01CD">
        <w:rPr>
          <w:noProof/>
        </w:rPr>
        <w:t>4.</w:t>
      </w:r>
      <w:r w:rsidRPr="006D01CD">
        <w:rPr>
          <w:noProof/>
        </w:rPr>
        <w:tab/>
      </w:r>
      <w:r w:rsidR="00AA1F01" w:rsidRPr="00BF3CD9">
        <w:rPr>
          <w:noProof/>
          <w:lang w:eastAsia="en-IE"/>
        </w:rPr>
        <w:t xml:space="preserve">When preparing </w:t>
      </w:r>
      <w:r w:rsidR="00AA1F01">
        <w:rPr>
          <w:noProof/>
          <w:lang w:eastAsia="en-IE"/>
        </w:rPr>
        <w:t>the candidate scheme</w:t>
      </w:r>
      <w:r w:rsidR="00AA1F01" w:rsidRPr="00BF3CD9">
        <w:rPr>
          <w:noProof/>
          <w:color w:val="000000" w:themeColor="text1"/>
          <w:lang w:eastAsia="en-IE"/>
        </w:rPr>
        <w:t>, including, where applicable, supporting technical specifications</w:t>
      </w:r>
      <w:r w:rsidR="00AA1F01" w:rsidRPr="00BF3CD9">
        <w:rPr>
          <w:noProof/>
          <w:lang w:eastAsia="en-IE"/>
        </w:rPr>
        <w:t xml:space="preserve">, ENISA shall consult stakeholders </w:t>
      </w:r>
      <w:r w:rsidR="00AA1F01" w:rsidRPr="00BF3CD9">
        <w:rPr>
          <w:noProof/>
          <w:color w:val="000000" w:themeColor="text1"/>
          <w:lang w:eastAsia="en-IE"/>
        </w:rPr>
        <w:t>in a</w:t>
      </w:r>
      <w:r w:rsidR="00AA1F01">
        <w:rPr>
          <w:noProof/>
          <w:color w:val="000000" w:themeColor="text1"/>
          <w:lang w:eastAsia="en-IE"/>
        </w:rPr>
        <w:t xml:space="preserve"> </w:t>
      </w:r>
      <w:r w:rsidR="00AA1F01" w:rsidRPr="00BF3CD9">
        <w:rPr>
          <w:noProof/>
          <w:color w:val="000000" w:themeColor="text1"/>
          <w:lang w:eastAsia="en-IE"/>
        </w:rPr>
        <w:t xml:space="preserve">timely manner </w:t>
      </w:r>
      <w:r w:rsidR="00AA1F01" w:rsidRPr="00BF3CD9">
        <w:rPr>
          <w:noProof/>
          <w:lang w:eastAsia="en-IE"/>
        </w:rPr>
        <w:t xml:space="preserve">by means of a formal, open, transparent and inclusive consultation process. ENISA shall also cooperate </w:t>
      </w:r>
      <w:r w:rsidR="00AA1F01" w:rsidRPr="00EE7C1B">
        <w:rPr>
          <w:noProof/>
          <w:lang w:eastAsia="en-IE"/>
        </w:rPr>
        <w:t xml:space="preserve">with relevant public authorities </w:t>
      </w:r>
      <w:r w:rsidR="00AA1F01">
        <w:rPr>
          <w:noProof/>
          <w:lang w:eastAsia="en-IE"/>
        </w:rPr>
        <w:t>in the</w:t>
      </w:r>
      <w:r w:rsidR="00AA1F01" w:rsidRPr="00EE7C1B">
        <w:rPr>
          <w:noProof/>
          <w:lang w:eastAsia="en-IE"/>
        </w:rPr>
        <w:t xml:space="preserve"> Member States and with relevant Union entities</w:t>
      </w:r>
      <w:r w:rsidR="00AA1F01">
        <w:rPr>
          <w:noProof/>
          <w:lang w:eastAsia="en-IE"/>
        </w:rPr>
        <w:t xml:space="preserve"> </w:t>
      </w:r>
      <w:r w:rsidR="00AA1F01" w:rsidRPr="00BF3CD9">
        <w:rPr>
          <w:noProof/>
          <w:lang w:eastAsia="en-IE"/>
        </w:rPr>
        <w:t xml:space="preserve">to gather their expert advice in relation to the preparation of the </w:t>
      </w:r>
      <w:r w:rsidR="00AA1F01" w:rsidRPr="00BF3CD9">
        <w:rPr>
          <w:noProof/>
          <w:color w:val="000000" w:themeColor="text1"/>
          <w:lang w:eastAsia="en-IE"/>
        </w:rPr>
        <w:t>candidate scheme and, where applicable, supporting technical specifications</w:t>
      </w:r>
      <w:r w:rsidR="00AA1F01" w:rsidRPr="00BF3CD9">
        <w:rPr>
          <w:noProof/>
          <w:lang w:eastAsia="en-IE"/>
        </w:rPr>
        <w:t xml:space="preserve">. When transmitting the candidate scheme to the Commission pursuant to paragraph 6, </w:t>
      </w:r>
      <w:r w:rsidR="00AA1F01">
        <w:rPr>
          <w:noProof/>
          <w:lang w:eastAsia="en-IE"/>
        </w:rPr>
        <w:t>ENISA</w:t>
      </w:r>
      <w:r w:rsidR="00AA1F01" w:rsidRPr="00BF3CD9">
        <w:rPr>
          <w:noProof/>
          <w:lang w:eastAsia="en-IE"/>
        </w:rPr>
        <w:t xml:space="preserve"> shall describe the manner in which it has complied with this paragraph. </w:t>
      </w:r>
    </w:p>
    <w:p w14:paraId="4FE552F0" w14:textId="011A7972" w:rsidR="00AA1F01" w:rsidRPr="00BF3CD9" w:rsidRDefault="006D01CD" w:rsidP="006D01CD">
      <w:pPr>
        <w:pStyle w:val="ManualNumPar1"/>
        <w:rPr>
          <w:noProof/>
          <w:lang w:eastAsia="en-IE"/>
        </w:rPr>
      </w:pPr>
      <w:r w:rsidRPr="006D01CD">
        <w:rPr>
          <w:noProof/>
        </w:rPr>
        <w:t>5.</w:t>
      </w:r>
      <w:r w:rsidRPr="006D01CD">
        <w:rPr>
          <w:noProof/>
        </w:rPr>
        <w:tab/>
      </w:r>
      <w:r w:rsidR="00AA1F01" w:rsidRPr="00BF3CD9">
        <w:rPr>
          <w:noProof/>
          <w:lang w:eastAsia="en-IE"/>
        </w:rPr>
        <w:t>Before transmitting the candidate scheme and, where applicable, supporting technical specifications, to the Commission, ENISA shall request members of the ECCG to provide written opinion</w:t>
      </w:r>
      <w:r w:rsidR="00AA1F01">
        <w:rPr>
          <w:noProof/>
          <w:lang w:eastAsia="en-IE"/>
        </w:rPr>
        <w:t>s</w:t>
      </w:r>
      <w:r w:rsidR="00AA1F01" w:rsidRPr="00BF3CD9">
        <w:rPr>
          <w:noProof/>
          <w:lang w:eastAsia="en-IE"/>
        </w:rPr>
        <w:t xml:space="preserve"> on the candidate scheme. The opinion</w:t>
      </w:r>
      <w:r w:rsidR="00AA1F01">
        <w:rPr>
          <w:noProof/>
          <w:lang w:eastAsia="en-IE"/>
        </w:rPr>
        <w:t>s</w:t>
      </w:r>
      <w:r w:rsidR="00AA1F01" w:rsidRPr="00BF3CD9">
        <w:rPr>
          <w:noProof/>
          <w:lang w:eastAsia="en-IE"/>
        </w:rPr>
        <w:t xml:space="preserve"> shall be provided</w:t>
      </w:r>
      <w:r w:rsidR="00AA1F01" w:rsidRPr="00BF3CD9" w:rsidDel="00292DB0">
        <w:rPr>
          <w:noProof/>
          <w:lang w:eastAsia="en-IE"/>
        </w:rPr>
        <w:t xml:space="preserve"> </w:t>
      </w:r>
      <w:r w:rsidR="00AA1F01" w:rsidRPr="00BF3CD9">
        <w:rPr>
          <w:noProof/>
          <w:lang w:eastAsia="en-IE"/>
        </w:rPr>
        <w:t>no later than 30 days from</w:t>
      </w:r>
      <w:r w:rsidR="00AA1F01">
        <w:rPr>
          <w:noProof/>
          <w:lang w:eastAsia="en-IE"/>
        </w:rPr>
        <w:t xml:space="preserve"> date of the</w:t>
      </w:r>
      <w:r w:rsidR="00AA1F01" w:rsidRPr="00BF3CD9">
        <w:rPr>
          <w:noProof/>
          <w:lang w:eastAsia="en-IE"/>
        </w:rPr>
        <w:t xml:space="preserve"> request. ENISA shall take </w:t>
      </w:r>
      <w:r w:rsidR="00AA1F01">
        <w:rPr>
          <w:noProof/>
          <w:lang w:eastAsia="en-IE"/>
        </w:rPr>
        <w:t xml:space="preserve">the </w:t>
      </w:r>
      <w:r w:rsidR="00AA1F01" w:rsidRPr="00BF3CD9">
        <w:rPr>
          <w:noProof/>
          <w:lang w:eastAsia="en-IE"/>
        </w:rPr>
        <w:t>utmost account of the opinion</w:t>
      </w:r>
      <w:r w:rsidR="00AA1F01">
        <w:rPr>
          <w:noProof/>
          <w:lang w:eastAsia="en-IE"/>
        </w:rPr>
        <w:t>s</w:t>
      </w:r>
      <w:r w:rsidR="00AA1F01" w:rsidRPr="00BF3CD9">
        <w:rPr>
          <w:noProof/>
          <w:lang w:eastAsia="en-IE"/>
        </w:rPr>
        <w:t xml:space="preserve"> of the ECCG members. </w:t>
      </w:r>
      <w:r w:rsidR="00AA1F01">
        <w:rPr>
          <w:noProof/>
          <w:lang w:eastAsia="en-IE"/>
        </w:rPr>
        <w:t>T</w:t>
      </w:r>
      <w:r w:rsidR="00AA1F01" w:rsidRPr="00BF3CD9">
        <w:rPr>
          <w:noProof/>
          <w:lang w:eastAsia="en-IE"/>
        </w:rPr>
        <w:t>he absence of such opinion</w:t>
      </w:r>
      <w:r w:rsidR="00AA1F01">
        <w:rPr>
          <w:noProof/>
          <w:lang w:eastAsia="en-IE"/>
        </w:rPr>
        <w:t>s</w:t>
      </w:r>
      <w:r w:rsidR="00AA1F01" w:rsidRPr="00BF3CD9">
        <w:rPr>
          <w:noProof/>
          <w:lang w:eastAsia="en-IE"/>
        </w:rPr>
        <w:t xml:space="preserve"> </w:t>
      </w:r>
      <w:r w:rsidR="00AA1F01">
        <w:rPr>
          <w:noProof/>
          <w:lang w:eastAsia="en-IE"/>
        </w:rPr>
        <w:t xml:space="preserve">shall not </w:t>
      </w:r>
      <w:r w:rsidR="00AA1F01" w:rsidRPr="00BF3CD9">
        <w:rPr>
          <w:noProof/>
          <w:lang w:eastAsia="en-IE"/>
        </w:rPr>
        <w:t xml:space="preserve">prevent ENISA from transmitting the candidate scheme to the Commission. </w:t>
      </w:r>
    </w:p>
    <w:p w14:paraId="2BABACC9" w14:textId="5A4E18CE" w:rsidR="00AA1F01" w:rsidRPr="00BF3CD9" w:rsidRDefault="006D01CD" w:rsidP="006D01CD">
      <w:pPr>
        <w:pStyle w:val="ManualNumPar1"/>
        <w:rPr>
          <w:i/>
          <w:noProof/>
          <w:lang w:eastAsia="en-IE"/>
        </w:rPr>
      </w:pPr>
      <w:r w:rsidRPr="006D01CD">
        <w:rPr>
          <w:noProof/>
        </w:rPr>
        <w:t>6.</w:t>
      </w:r>
      <w:r w:rsidRPr="006D01CD">
        <w:rPr>
          <w:noProof/>
        </w:rPr>
        <w:tab/>
      </w:r>
      <w:r w:rsidR="00AA1F01" w:rsidRPr="0074565D">
        <w:rPr>
          <w:noProof/>
          <w:lang w:eastAsia="en-IE"/>
        </w:rPr>
        <w:t>E</w:t>
      </w:r>
      <w:r w:rsidR="00AA1F01" w:rsidRPr="00BF3CD9">
        <w:rPr>
          <w:noProof/>
          <w:lang w:eastAsia="en-IE"/>
        </w:rPr>
        <w:t>NISA shall transmit the candidate scheme to the Commission no later than 60 days from the date of the request referred to in paragraph 5.</w:t>
      </w:r>
    </w:p>
    <w:p w14:paraId="74106E90" w14:textId="53EA305C" w:rsidR="00AA1F01" w:rsidRPr="00BF3CD9" w:rsidRDefault="006D01CD" w:rsidP="006D01CD">
      <w:pPr>
        <w:pStyle w:val="ManualNumPar1"/>
        <w:rPr>
          <w:noProof/>
          <w:color w:val="000000"/>
          <w:lang w:eastAsia="en-IE"/>
        </w:rPr>
      </w:pPr>
      <w:r w:rsidRPr="006D01CD">
        <w:rPr>
          <w:noProof/>
        </w:rPr>
        <w:t>7.</w:t>
      </w:r>
      <w:r w:rsidRPr="006D01CD">
        <w:rPr>
          <w:noProof/>
        </w:rPr>
        <w:tab/>
      </w:r>
      <w:r w:rsidR="00AA1F01">
        <w:rPr>
          <w:noProof/>
          <w:lang w:eastAsia="en-IE"/>
        </w:rPr>
        <w:t>When receiving</w:t>
      </w:r>
      <w:r w:rsidR="00AA1F01" w:rsidRPr="00BF3CD9">
        <w:rPr>
          <w:noProof/>
          <w:lang w:eastAsia="en-IE"/>
        </w:rPr>
        <w:t xml:space="preserve"> the candidate schem</w:t>
      </w:r>
      <w:r w:rsidR="00AA1F01">
        <w:rPr>
          <w:noProof/>
          <w:lang w:eastAsia="en-IE"/>
        </w:rPr>
        <w:t>e</w:t>
      </w:r>
      <w:r w:rsidR="00AA1F01" w:rsidRPr="00BF3CD9">
        <w:rPr>
          <w:noProof/>
          <w:lang w:eastAsia="en-IE"/>
        </w:rPr>
        <w:t xml:space="preserve">, the Commission shall evaluate whether the scheme corresponds to the request </w:t>
      </w:r>
      <w:r w:rsidR="00AA1F01">
        <w:rPr>
          <w:noProof/>
          <w:lang w:eastAsia="en-IE"/>
        </w:rPr>
        <w:t>made</w:t>
      </w:r>
      <w:r w:rsidR="00AA1F01" w:rsidRPr="00BF3CD9">
        <w:rPr>
          <w:noProof/>
          <w:lang w:eastAsia="en-IE"/>
        </w:rPr>
        <w:t xml:space="preserve"> in accordance with Article 73</w:t>
      </w:r>
      <w:r w:rsidR="00AA1F01">
        <w:rPr>
          <w:noProof/>
          <w:lang w:eastAsia="en-IE"/>
        </w:rPr>
        <w:t>. W</w:t>
      </w:r>
      <w:r w:rsidR="00AA1F01" w:rsidRPr="00BF3CD9">
        <w:rPr>
          <w:noProof/>
          <w:lang w:eastAsia="en-IE"/>
        </w:rPr>
        <w:t xml:space="preserve">ithin 30 days of the date of transmission of that candidate scheme </w:t>
      </w:r>
      <w:r w:rsidR="00AA1F01">
        <w:rPr>
          <w:noProof/>
          <w:lang w:eastAsia="en-IE"/>
        </w:rPr>
        <w:t>the Commission shall take</w:t>
      </w:r>
      <w:r w:rsidR="00AA1F01" w:rsidRPr="00BF3CD9">
        <w:rPr>
          <w:noProof/>
          <w:lang w:eastAsia="en-IE"/>
        </w:rPr>
        <w:t xml:space="preserve"> one of the following actions: </w:t>
      </w:r>
    </w:p>
    <w:p w14:paraId="356E7875" w14:textId="7DEEF998" w:rsidR="00AA1F01" w:rsidRPr="00BF3CD9" w:rsidRDefault="006D01CD" w:rsidP="006D01CD">
      <w:pPr>
        <w:pStyle w:val="Point1"/>
        <w:rPr>
          <w:noProof/>
        </w:rPr>
      </w:pPr>
      <w:r w:rsidRPr="006D01CD">
        <w:rPr>
          <w:noProof/>
        </w:rPr>
        <w:t>(a)</w:t>
      </w:r>
      <w:r w:rsidRPr="006D01CD">
        <w:rPr>
          <w:noProof/>
        </w:rPr>
        <w:tab/>
      </w:r>
      <w:r w:rsidR="00AA1F01" w:rsidRPr="00BF3CD9">
        <w:rPr>
          <w:noProof/>
        </w:rPr>
        <w:t>accept the candidate scheme;</w:t>
      </w:r>
    </w:p>
    <w:p w14:paraId="6A0FFAF1" w14:textId="02CFEE20" w:rsidR="00AA1F01" w:rsidRPr="00BF3CD9" w:rsidRDefault="006D01CD" w:rsidP="006D01CD">
      <w:pPr>
        <w:pStyle w:val="Point1"/>
        <w:rPr>
          <w:noProof/>
        </w:rPr>
      </w:pPr>
      <w:r w:rsidRPr="006D01CD">
        <w:rPr>
          <w:noProof/>
        </w:rPr>
        <w:t>(b)</w:t>
      </w:r>
      <w:r w:rsidRPr="006D01CD">
        <w:rPr>
          <w:noProof/>
        </w:rPr>
        <w:tab/>
      </w:r>
      <w:r w:rsidR="00AA1F01" w:rsidRPr="00BF3CD9">
        <w:rPr>
          <w:noProof/>
        </w:rPr>
        <w:t xml:space="preserve">return the candidate scheme to ENISA for revision together with a justification </w:t>
      </w:r>
      <w:r w:rsidR="00AA1F01">
        <w:rPr>
          <w:noProof/>
        </w:rPr>
        <w:t xml:space="preserve">for this return </w:t>
      </w:r>
      <w:r w:rsidR="00AA1F01" w:rsidRPr="00BF3CD9">
        <w:rPr>
          <w:noProof/>
        </w:rPr>
        <w:t xml:space="preserve">and a </w:t>
      </w:r>
      <w:r w:rsidR="00AA1F01">
        <w:rPr>
          <w:noProof/>
        </w:rPr>
        <w:t>deadline</w:t>
      </w:r>
      <w:r w:rsidR="00AA1F01" w:rsidRPr="00BF3CD9">
        <w:rPr>
          <w:noProof/>
        </w:rPr>
        <w:t xml:space="preserve"> not exceeding 90 days, within which ENISA shall provide </w:t>
      </w:r>
      <w:r w:rsidR="00AA1F01">
        <w:rPr>
          <w:noProof/>
        </w:rPr>
        <w:t>a</w:t>
      </w:r>
      <w:r w:rsidR="00AA1F01" w:rsidRPr="00BF3CD9">
        <w:rPr>
          <w:noProof/>
        </w:rPr>
        <w:t xml:space="preserve"> revised candidate scheme; </w:t>
      </w:r>
    </w:p>
    <w:p w14:paraId="021AD29C" w14:textId="7502ADBC" w:rsidR="00AA1F01" w:rsidRPr="00BF3CD9" w:rsidRDefault="006D01CD" w:rsidP="006D01CD">
      <w:pPr>
        <w:pStyle w:val="Point1"/>
        <w:rPr>
          <w:noProof/>
        </w:rPr>
      </w:pPr>
      <w:r w:rsidRPr="006D01CD">
        <w:rPr>
          <w:noProof/>
        </w:rPr>
        <w:t>(c)</w:t>
      </w:r>
      <w:r w:rsidRPr="006D01CD">
        <w:rPr>
          <w:noProof/>
        </w:rPr>
        <w:tab/>
      </w:r>
      <w:r w:rsidR="00AA1F01" w:rsidRPr="00BF3CD9">
        <w:rPr>
          <w:noProof/>
        </w:rPr>
        <w:t xml:space="preserve">discontinue the </w:t>
      </w:r>
      <w:r w:rsidR="00AA1F01">
        <w:rPr>
          <w:noProof/>
        </w:rPr>
        <w:t>candidate</w:t>
      </w:r>
      <w:r w:rsidR="00AA1F01" w:rsidRPr="00BF3CD9">
        <w:rPr>
          <w:noProof/>
        </w:rPr>
        <w:t xml:space="preserve"> scheme. </w:t>
      </w:r>
    </w:p>
    <w:p w14:paraId="5A0E6317" w14:textId="76C169BF" w:rsidR="00AA1F01" w:rsidRPr="00BF3CD9" w:rsidRDefault="006D01CD" w:rsidP="006D01CD">
      <w:pPr>
        <w:pStyle w:val="ManualNumPar1"/>
        <w:rPr>
          <w:noProof/>
          <w:color w:val="000000"/>
          <w:lang w:eastAsia="en-IE"/>
        </w:rPr>
      </w:pPr>
      <w:r w:rsidRPr="006D01CD">
        <w:rPr>
          <w:noProof/>
        </w:rPr>
        <w:t>8.</w:t>
      </w:r>
      <w:r w:rsidRPr="006D01CD">
        <w:rPr>
          <w:noProof/>
        </w:rPr>
        <w:tab/>
      </w:r>
      <w:r w:rsidR="00AA1F01" w:rsidRPr="00BF3CD9">
        <w:rPr>
          <w:noProof/>
          <w:lang w:eastAsia="en-IE"/>
        </w:rPr>
        <w:t>Where the Commission returns a candidate scheme to ENISA for revision</w:t>
      </w:r>
      <w:r w:rsidR="00AA1F01">
        <w:rPr>
          <w:noProof/>
          <w:lang w:eastAsia="en-IE"/>
        </w:rPr>
        <w:t xml:space="preserve"> in accordance with paragraph 7, point (b)</w:t>
      </w:r>
      <w:r w:rsidR="00AA1F01" w:rsidRPr="00BF3CD9">
        <w:rPr>
          <w:noProof/>
          <w:lang w:eastAsia="en-IE"/>
        </w:rPr>
        <w:t>, paragraphs 4, 5 and 7 shall apply accordingly.</w:t>
      </w:r>
    </w:p>
    <w:p w14:paraId="74FC60F1" w14:textId="3EB66805" w:rsidR="00AA1F01" w:rsidRPr="00BF3CD9" w:rsidRDefault="006D01CD" w:rsidP="006D01CD">
      <w:pPr>
        <w:pStyle w:val="ManualNumPar1"/>
        <w:rPr>
          <w:noProof/>
          <w:lang w:eastAsia="en-IE"/>
        </w:rPr>
      </w:pPr>
      <w:r w:rsidRPr="006D01CD">
        <w:rPr>
          <w:noProof/>
        </w:rPr>
        <w:t>9.</w:t>
      </w:r>
      <w:r w:rsidRPr="006D01CD">
        <w:rPr>
          <w:noProof/>
        </w:rPr>
        <w:tab/>
      </w:r>
      <w:r w:rsidR="00AA1F01" w:rsidRPr="00BF3CD9">
        <w:rPr>
          <w:noProof/>
          <w:lang w:eastAsia="en-IE"/>
        </w:rPr>
        <w:t xml:space="preserve">The Commission, based on the accepted candidate scheme prepared by ENISA, </w:t>
      </w:r>
      <w:r w:rsidR="00AA1F01">
        <w:rPr>
          <w:noProof/>
          <w:lang w:eastAsia="en-IE"/>
        </w:rPr>
        <w:t xml:space="preserve">is empowered to </w:t>
      </w:r>
      <w:r w:rsidR="00AA1F01" w:rsidRPr="00BF3CD9">
        <w:rPr>
          <w:noProof/>
          <w:lang w:eastAsia="en-IE"/>
        </w:rPr>
        <w:t>adopt implementing act</w:t>
      </w:r>
      <w:r w:rsidR="00AA1F01">
        <w:rPr>
          <w:noProof/>
          <w:lang w:eastAsia="en-IE"/>
        </w:rPr>
        <w:t>s</w:t>
      </w:r>
      <w:r w:rsidR="00AA1F01" w:rsidRPr="00BF3CD9">
        <w:rPr>
          <w:noProof/>
          <w:lang w:eastAsia="en-IE"/>
        </w:rPr>
        <w:t xml:space="preserve"> providing for a European cybersecurity certification scheme for ICT products, ICT services, ICT processes, managed security services or cyber posture of entities </w:t>
      </w:r>
      <w:r w:rsidR="00AA1F01">
        <w:rPr>
          <w:noProof/>
          <w:lang w:eastAsia="en-IE"/>
        </w:rPr>
        <w:t>that</w:t>
      </w:r>
      <w:r w:rsidR="00AA1F01" w:rsidRPr="00BF3CD9">
        <w:rPr>
          <w:noProof/>
          <w:lang w:eastAsia="en-IE"/>
        </w:rPr>
        <w:t xml:space="preserve"> meets the requirements set out in Articles 80</w:t>
      </w:r>
      <w:r w:rsidR="00AA1F01">
        <w:rPr>
          <w:noProof/>
          <w:lang w:eastAsia="en-IE"/>
        </w:rPr>
        <w:t xml:space="preserve"> and</w:t>
      </w:r>
      <w:r w:rsidR="00AA1F01" w:rsidRPr="00BF3CD9">
        <w:rPr>
          <w:noProof/>
          <w:lang w:eastAsia="en-IE"/>
        </w:rPr>
        <w:t xml:space="preserve"> 81. </w:t>
      </w:r>
      <w:r w:rsidR="00AA1F01">
        <w:rPr>
          <w:noProof/>
          <w:lang w:eastAsia="en-IE"/>
        </w:rPr>
        <w:t>That</w:t>
      </w:r>
      <w:r w:rsidR="00AA1F01" w:rsidRPr="00BF3CD9">
        <w:rPr>
          <w:noProof/>
          <w:lang w:eastAsia="en-IE"/>
        </w:rPr>
        <w:t xml:space="preserve"> implementing act shall be adopted in accordance with the examination procedure referred to in Article</w:t>
      </w:r>
      <w:r w:rsidR="00AA1F01">
        <w:rPr>
          <w:noProof/>
          <w:lang w:eastAsia="en-IE"/>
        </w:rPr>
        <w:t xml:space="preserve"> 1</w:t>
      </w:r>
      <w:r w:rsidR="00704681">
        <w:rPr>
          <w:noProof/>
          <w:lang w:eastAsia="en-IE"/>
        </w:rPr>
        <w:t>1</w:t>
      </w:r>
      <w:r w:rsidR="00B830C9">
        <w:rPr>
          <w:noProof/>
          <w:lang w:eastAsia="en-IE"/>
        </w:rPr>
        <w:t>8</w:t>
      </w:r>
      <w:r w:rsidR="00AA1F01">
        <w:rPr>
          <w:noProof/>
          <w:lang w:eastAsia="en-IE"/>
        </w:rPr>
        <w:t>(2)</w:t>
      </w:r>
      <w:r w:rsidR="00AA1F01" w:rsidRPr="00BF3CD9">
        <w:rPr>
          <w:noProof/>
          <w:lang w:eastAsia="en-IE"/>
        </w:rPr>
        <w:t xml:space="preserve">. </w:t>
      </w:r>
    </w:p>
    <w:p w14:paraId="111FEA80" w14:textId="2FFE0299" w:rsidR="00AA1F01" w:rsidRDefault="006D01CD" w:rsidP="006D01CD">
      <w:pPr>
        <w:pStyle w:val="ManualNumPar1"/>
        <w:rPr>
          <w:noProof/>
          <w:lang w:eastAsia="en-IE"/>
        </w:rPr>
      </w:pPr>
      <w:r w:rsidRPr="006D01CD">
        <w:rPr>
          <w:noProof/>
        </w:rPr>
        <w:t>10.</w:t>
      </w:r>
      <w:r w:rsidRPr="006D01CD">
        <w:rPr>
          <w:noProof/>
        </w:rPr>
        <w:tab/>
      </w:r>
      <w:r w:rsidR="00AA1F01">
        <w:rPr>
          <w:noProof/>
          <w:lang w:eastAsia="en-IE"/>
        </w:rPr>
        <w:t>T</w:t>
      </w:r>
      <w:r w:rsidR="00AA1F01" w:rsidRPr="00BF3CD9">
        <w:rPr>
          <w:noProof/>
          <w:lang w:eastAsia="en-IE"/>
        </w:rPr>
        <w:t>he Commission may reference technical specifications developed by ENISA in the implementing act</w:t>
      </w:r>
      <w:r w:rsidR="00AA1F01">
        <w:rPr>
          <w:noProof/>
          <w:lang w:eastAsia="en-IE"/>
        </w:rPr>
        <w:t>s</w:t>
      </w:r>
      <w:r w:rsidR="00AA1F01" w:rsidRPr="00BF3CD9">
        <w:rPr>
          <w:noProof/>
          <w:lang w:eastAsia="en-IE"/>
        </w:rPr>
        <w:t xml:space="preserve"> referred to in paragraph 9</w:t>
      </w:r>
      <w:r w:rsidR="00AA1F01">
        <w:rPr>
          <w:noProof/>
          <w:lang w:eastAsia="en-IE"/>
        </w:rPr>
        <w:t xml:space="preserve"> of this Article, i</w:t>
      </w:r>
      <w:r w:rsidR="00AA1F01" w:rsidRPr="00BF3CD9">
        <w:rPr>
          <w:noProof/>
          <w:lang w:eastAsia="en-IE"/>
        </w:rPr>
        <w:t xml:space="preserve">n accordance with Articles 18 and 77. </w:t>
      </w:r>
    </w:p>
    <w:p w14:paraId="1073E82D" w14:textId="5BCF04F5" w:rsidR="00AA1F01" w:rsidRDefault="006D01CD" w:rsidP="006D01CD">
      <w:pPr>
        <w:pStyle w:val="ManualNumPar1"/>
        <w:rPr>
          <w:noProof/>
          <w:lang w:eastAsia="en-IE"/>
        </w:rPr>
      </w:pPr>
      <w:r w:rsidRPr="006D01CD">
        <w:rPr>
          <w:noProof/>
        </w:rPr>
        <w:t>11.</w:t>
      </w:r>
      <w:r w:rsidRPr="006D01CD">
        <w:rPr>
          <w:noProof/>
        </w:rPr>
        <w:tab/>
      </w:r>
      <w:r w:rsidR="00AA1F01">
        <w:rPr>
          <w:noProof/>
          <w:lang w:eastAsia="en-IE"/>
        </w:rPr>
        <w:t>T</w:t>
      </w:r>
      <w:r w:rsidR="00AA1F01" w:rsidRPr="00BF3CD9">
        <w:rPr>
          <w:noProof/>
          <w:lang w:eastAsia="en-IE"/>
        </w:rPr>
        <w:t>he Commission may specify the conditions for the international</w:t>
      </w:r>
      <w:r w:rsidR="00AA1F01">
        <w:rPr>
          <w:noProof/>
          <w:lang w:eastAsia="en-IE"/>
        </w:rPr>
        <w:t xml:space="preserve"> </w:t>
      </w:r>
      <w:r w:rsidR="00AA1F01" w:rsidRPr="00BF3CD9">
        <w:rPr>
          <w:noProof/>
          <w:lang w:eastAsia="en-IE"/>
        </w:rPr>
        <w:t>recognition of European cybersecurity certificates</w:t>
      </w:r>
      <w:r w:rsidR="00AA1F01">
        <w:rPr>
          <w:noProof/>
          <w:lang w:eastAsia="en-IE"/>
        </w:rPr>
        <w:t>, in</w:t>
      </w:r>
      <w:r w:rsidR="00AA1F01" w:rsidRPr="00BF3CD9">
        <w:rPr>
          <w:noProof/>
          <w:lang w:eastAsia="en-IE"/>
        </w:rPr>
        <w:t xml:space="preserve"> the implementing acts </w:t>
      </w:r>
      <w:r w:rsidR="00AA1F01">
        <w:rPr>
          <w:noProof/>
          <w:lang w:eastAsia="en-IE"/>
        </w:rPr>
        <w:t xml:space="preserve">referred </w:t>
      </w:r>
      <w:r w:rsidR="00AA1F01" w:rsidRPr="00BF3CD9">
        <w:rPr>
          <w:noProof/>
          <w:lang w:eastAsia="en-IE"/>
        </w:rPr>
        <w:t xml:space="preserve">to </w:t>
      </w:r>
      <w:r w:rsidR="00AA1F01">
        <w:rPr>
          <w:noProof/>
          <w:lang w:eastAsia="en-IE"/>
        </w:rPr>
        <w:t xml:space="preserve">in </w:t>
      </w:r>
      <w:r w:rsidR="00AA1F01" w:rsidRPr="00BF3CD9">
        <w:rPr>
          <w:noProof/>
          <w:lang w:eastAsia="en-IE"/>
        </w:rPr>
        <w:t>paragraph 9 of this Article</w:t>
      </w:r>
      <w:r w:rsidR="00AA1F01">
        <w:rPr>
          <w:noProof/>
          <w:lang w:eastAsia="en-IE"/>
        </w:rPr>
        <w:t>, in accordance with</w:t>
      </w:r>
      <w:r w:rsidR="00AA1F01" w:rsidRPr="00BF3CD9">
        <w:rPr>
          <w:noProof/>
          <w:lang w:eastAsia="en-IE"/>
        </w:rPr>
        <w:t xml:space="preserve"> </w:t>
      </w:r>
      <w:r w:rsidR="00AA1F01">
        <w:rPr>
          <w:noProof/>
          <w:lang w:eastAsia="en-IE"/>
        </w:rPr>
        <w:t>Article 87.</w:t>
      </w:r>
    </w:p>
    <w:p w14:paraId="499EB840" w14:textId="77777777" w:rsidR="00AA1F01" w:rsidRDefault="00AA1F01" w:rsidP="00AA1F01">
      <w:pPr>
        <w:pStyle w:val="Titrearticle"/>
        <w:rPr>
          <w:noProof/>
          <w:lang w:eastAsia="en-IE"/>
        </w:rPr>
      </w:pPr>
      <w:r>
        <w:rPr>
          <w:noProof/>
          <w:lang w:eastAsia="en-IE"/>
        </w:rPr>
        <w:t xml:space="preserve">Article </w:t>
      </w:r>
      <w:r w:rsidRPr="00BF3CD9">
        <w:rPr>
          <w:noProof/>
          <w:lang w:eastAsia="en-IE"/>
        </w:rPr>
        <w:t>75</w:t>
      </w:r>
      <w:r>
        <w:rPr>
          <w:noProof/>
          <w:lang w:eastAsia="en-IE"/>
        </w:rPr>
        <w:br/>
      </w:r>
      <w:r w:rsidRPr="00BF3CD9">
        <w:rPr>
          <w:noProof/>
          <w:lang w:eastAsia="en-IE"/>
        </w:rPr>
        <w:t>Maintenance of a European cybersecurity certification scheme</w:t>
      </w:r>
    </w:p>
    <w:p w14:paraId="690F480A" w14:textId="6F319286" w:rsidR="00AA1F01" w:rsidRPr="00BF3CD9" w:rsidRDefault="006D01CD" w:rsidP="006D01CD">
      <w:pPr>
        <w:pStyle w:val="ManualNumPar1"/>
        <w:rPr>
          <w:i/>
          <w:iCs/>
          <w:noProof/>
          <w:color w:val="000000"/>
          <w:lang w:eastAsia="en-IE"/>
        </w:rPr>
      </w:pPr>
      <w:r w:rsidRPr="006D01CD">
        <w:rPr>
          <w:noProof/>
        </w:rPr>
        <w:t>1.</w:t>
      </w:r>
      <w:r w:rsidRPr="006D01CD">
        <w:rPr>
          <w:noProof/>
        </w:rPr>
        <w:tab/>
      </w:r>
      <w:r w:rsidR="00AA1F01" w:rsidRPr="66B014E3">
        <w:rPr>
          <w:noProof/>
          <w:lang w:eastAsia="en-IE"/>
        </w:rPr>
        <w:t xml:space="preserve">Each </w:t>
      </w:r>
      <w:r w:rsidR="00AA1F01">
        <w:rPr>
          <w:noProof/>
          <w:lang w:eastAsia="en-IE"/>
        </w:rPr>
        <w:t xml:space="preserve">European cybersecurity certification </w:t>
      </w:r>
      <w:r w:rsidR="00AA1F01" w:rsidRPr="66B014E3">
        <w:rPr>
          <w:noProof/>
          <w:lang w:eastAsia="en-IE"/>
        </w:rPr>
        <w:t xml:space="preserve">scheme shall </w:t>
      </w:r>
      <w:r w:rsidR="00AA1F01">
        <w:rPr>
          <w:noProof/>
          <w:lang w:eastAsia="en-IE"/>
        </w:rPr>
        <w:t>establish</w:t>
      </w:r>
      <w:r w:rsidR="00AA1F01" w:rsidRPr="66B014E3">
        <w:rPr>
          <w:noProof/>
          <w:lang w:eastAsia="en-IE"/>
        </w:rPr>
        <w:t xml:space="preserve"> a maintenance strategy</w:t>
      </w:r>
      <w:r w:rsidR="00AA1F01">
        <w:rPr>
          <w:noProof/>
          <w:lang w:eastAsia="en-IE"/>
        </w:rPr>
        <w:t>.</w:t>
      </w:r>
      <w:r w:rsidR="00AA1F01" w:rsidRPr="66B014E3">
        <w:rPr>
          <w:noProof/>
          <w:lang w:eastAsia="en-IE"/>
        </w:rPr>
        <w:t xml:space="preserve"> </w:t>
      </w:r>
      <w:r w:rsidR="00AA1F01">
        <w:rPr>
          <w:noProof/>
          <w:lang w:eastAsia="en-IE"/>
        </w:rPr>
        <w:t>The maintenance strategy</w:t>
      </w:r>
      <w:r w:rsidR="00AA1F01" w:rsidRPr="00C453F9">
        <w:rPr>
          <w:noProof/>
          <w:lang w:eastAsia="en-IE"/>
        </w:rPr>
        <w:t xml:space="preserve"> shall</w:t>
      </w:r>
      <w:r w:rsidR="00AA1F01" w:rsidRPr="66B014E3">
        <w:rPr>
          <w:noProof/>
          <w:lang w:eastAsia="en-IE"/>
        </w:rPr>
        <w:t xml:space="preserve"> outline expectations </w:t>
      </w:r>
      <w:r w:rsidR="00AA1F01">
        <w:rPr>
          <w:noProof/>
          <w:lang w:eastAsia="en-IE"/>
        </w:rPr>
        <w:t>with regard to</w:t>
      </w:r>
      <w:r w:rsidR="00AA1F01" w:rsidRPr="66B014E3">
        <w:rPr>
          <w:noProof/>
          <w:lang w:eastAsia="en-IE"/>
        </w:rPr>
        <w:t xml:space="preserve"> maintenance activities, in particular those related to the standards or technical specifications referenced in the scheme and </w:t>
      </w:r>
      <w:r w:rsidR="00AA1F01">
        <w:rPr>
          <w:noProof/>
          <w:lang w:eastAsia="en-IE"/>
        </w:rPr>
        <w:t xml:space="preserve">to the </w:t>
      </w:r>
      <w:r w:rsidR="00AA1F01" w:rsidRPr="66B014E3">
        <w:rPr>
          <w:noProof/>
          <w:lang w:eastAsia="en-IE"/>
        </w:rPr>
        <w:t>interaction with relevant stakeholders.</w:t>
      </w:r>
    </w:p>
    <w:p w14:paraId="0A4B8AD7" w14:textId="6C46B243" w:rsidR="00AA1F01" w:rsidRPr="00BF3CD9" w:rsidRDefault="006D01CD" w:rsidP="006D01CD">
      <w:pPr>
        <w:pStyle w:val="ManualNumPar1"/>
        <w:rPr>
          <w:i/>
          <w:noProof/>
          <w:color w:val="000000"/>
          <w:lang w:eastAsia="en-IE"/>
        </w:rPr>
      </w:pPr>
      <w:r w:rsidRPr="006D01CD">
        <w:rPr>
          <w:noProof/>
        </w:rPr>
        <w:t>2.</w:t>
      </w:r>
      <w:r w:rsidRPr="006D01CD">
        <w:rPr>
          <w:noProof/>
        </w:rPr>
        <w:tab/>
      </w:r>
      <w:r w:rsidR="00AA1F01" w:rsidRPr="66B014E3">
        <w:rPr>
          <w:noProof/>
          <w:lang w:eastAsia="en-IE"/>
        </w:rPr>
        <w:t xml:space="preserve">ENISA, in cooperation with the Commission and </w:t>
      </w:r>
      <w:r w:rsidR="00AA1F01">
        <w:rPr>
          <w:noProof/>
          <w:lang w:eastAsia="en-IE"/>
        </w:rPr>
        <w:t>supported by</w:t>
      </w:r>
      <w:r w:rsidR="00AA1F01" w:rsidRPr="66B014E3">
        <w:rPr>
          <w:noProof/>
          <w:lang w:eastAsia="en-IE"/>
        </w:rPr>
        <w:t xml:space="preserve"> the ECCG and its relevant maintenance sub-group, shall ensure the maintenance of European cybersecurity certification schemes, including in view of the possible review of such schemes by the Commission. </w:t>
      </w:r>
      <w:r w:rsidR="00AA1F01" w:rsidRPr="00BF3CD9">
        <w:rPr>
          <w:bCs/>
          <w:iCs/>
          <w:noProof/>
          <w:lang w:eastAsia="en-IE"/>
        </w:rPr>
        <w:t xml:space="preserve">ENISA shall cooperate and exchange information with relevant Union entities and groups in relation to maintenance activities. </w:t>
      </w:r>
    </w:p>
    <w:p w14:paraId="0F1A2077" w14:textId="57798741" w:rsidR="00AA1F01" w:rsidRPr="00BF3CD9" w:rsidRDefault="006D01CD" w:rsidP="006D01CD">
      <w:pPr>
        <w:pStyle w:val="ManualNumPar1"/>
        <w:rPr>
          <w:i/>
          <w:noProof/>
          <w:color w:val="000000"/>
          <w:lang w:eastAsia="en-IE"/>
        </w:rPr>
      </w:pPr>
      <w:r w:rsidRPr="006D01CD">
        <w:rPr>
          <w:noProof/>
        </w:rPr>
        <w:t>3.</w:t>
      </w:r>
      <w:r w:rsidRPr="006D01CD">
        <w:rPr>
          <w:noProof/>
        </w:rPr>
        <w:tab/>
      </w:r>
      <w:r w:rsidR="00AA1F01" w:rsidRPr="66B014E3">
        <w:rPr>
          <w:noProof/>
          <w:lang w:eastAsia="en-IE"/>
        </w:rPr>
        <w:t xml:space="preserve">ENISA may organise the involvement of the private sector for the maintenance of </w:t>
      </w:r>
      <w:r w:rsidR="00AA1F01">
        <w:rPr>
          <w:noProof/>
          <w:lang w:eastAsia="en-IE"/>
        </w:rPr>
        <w:t>a</w:t>
      </w:r>
      <w:r w:rsidR="00AA1F01" w:rsidRPr="66B014E3">
        <w:rPr>
          <w:noProof/>
          <w:lang w:eastAsia="en-IE"/>
        </w:rPr>
        <w:t xml:space="preserve"> scheme in the form of an ad</w:t>
      </w:r>
      <w:r w:rsidR="00AA1F01">
        <w:rPr>
          <w:noProof/>
          <w:lang w:eastAsia="en-IE"/>
        </w:rPr>
        <w:t xml:space="preserve"> </w:t>
      </w:r>
      <w:r w:rsidR="00AA1F01" w:rsidRPr="66B014E3">
        <w:rPr>
          <w:noProof/>
          <w:lang w:eastAsia="en-IE"/>
        </w:rPr>
        <w:t>hoc working group in accordance with the maintenance strategy referred to in paragraph 1</w:t>
      </w:r>
      <w:r w:rsidR="00AA1F01">
        <w:rPr>
          <w:noProof/>
          <w:lang w:eastAsia="en-IE"/>
        </w:rPr>
        <w:t>.</w:t>
      </w:r>
    </w:p>
    <w:p w14:paraId="785C3E35" w14:textId="624DA32B" w:rsidR="00AA1F01" w:rsidRPr="00BF3CD9" w:rsidRDefault="006D01CD" w:rsidP="006D01CD">
      <w:pPr>
        <w:pStyle w:val="ManualNumPar1"/>
        <w:rPr>
          <w:noProof/>
          <w:lang w:eastAsia="en-IE"/>
        </w:rPr>
      </w:pPr>
      <w:r w:rsidRPr="006D01CD">
        <w:rPr>
          <w:noProof/>
        </w:rPr>
        <w:t>4.</w:t>
      </w:r>
      <w:r w:rsidRPr="006D01CD">
        <w:rPr>
          <w:noProof/>
        </w:rPr>
        <w:tab/>
      </w:r>
      <w:r w:rsidR="00AA1F01">
        <w:rPr>
          <w:noProof/>
          <w:lang w:eastAsia="en-IE"/>
        </w:rPr>
        <w:t>The m</w:t>
      </w:r>
      <w:r w:rsidR="00AA1F01" w:rsidRPr="00164577">
        <w:rPr>
          <w:noProof/>
          <w:lang w:eastAsia="en-IE"/>
        </w:rPr>
        <w:t>aintenance</w:t>
      </w:r>
      <w:r w:rsidR="00AA1F01">
        <w:rPr>
          <w:noProof/>
          <w:lang w:eastAsia="en-IE"/>
        </w:rPr>
        <w:t xml:space="preserve"> activities</w:t>
      </w:r>
      <w:r w:rsidR="00AA1F01" w:rsidRPr="00BF3CD9">
        <w:rPr>
          <w:noProof/>
          <w:lang w:eastAsia="en-IE"/>
        </w:rPr>
        <w:t xml:space="preserve"> of European cybersecurity certification schemes shall include</w:t>
      </w:r>
      <w:r w:rsidR="00AA1F01">
        <w:rPr>
          <w:noProof/>
          <w:lang w:eastAsia="en-IE"/>
        </w:rPr>
        <w:t xml:space="preserve"> the following</w:t>
      </w:r>
      <w:r w:rsidR="00AA1F01" w:rsidRPr="00BF3CD9">
        <w:rPr>
          <w:noProof/>
          <w:lang w:eastAsia="en-IE"/>
        </w:rPr>
        <w:t>:</w:t>
      </w:r>
    </w:p>
    <w:p w14:paraId="05CB7450" w14:textId="6DD011F4" w:rsidR="00AA1F01" w:rsidRPr="00BF3CD9" w:rsidRDefault="006D01CD" w:rsidP="006D01CD">
      <w:pPr>
        <w:pStyle w:val="Point1"/>
        <w:rPr>
          <w:noProof/>
        </w:rPr>
      </w:pPr>
      <w:r w:rsidRPr="006D01CD">
        <w:rPr>
          <w:noProof/>
        </w:rPr>
        <w:t>(a)</w:t>
      </w:r>
      <w:r w:rsidRPr="006D01CD">
        <w:rPr>
          <w:noProof/>
        </w:rPr>
        <w:tab/>
      </w:r>
      <w:r w:rsidR="00AA1F01" w:rsidRPr="00BF3CD9">
        <w:rPr>
          <w:noProof/>
        </w:rPr>
        <w:t xml:space="preserve">the preparation, update and endorsement of technical specifications and guidelines to support the harmonised and uniform operation of </w:t>
      </w:r>
      <w:r w:rsidR="00AA1F01">
        <w:rPr>
          <w:noProof/>
        </w:rPr>
        <w:t xml:space="preserve">the </w:t>
      </w:r>
      <w:r w:rsidR="00AA1F01" w:rsidRPr="00BF3CD9">
        <w:rPr>
          <w:noProof/>
        </w:rPr>
        <w:t>schemes;</w:t>
      </w:r>
    </w:p>
    <w:p w14:paraId="6939DAAE" w14:textId="5B2D2422" w:rsidR="00AA1F01" w:rsidRPr="00BF3CD9" w:rsidRDefault="006D01CD" w:rsidP="006D01CD">
      <w:pPr>
        <w:pStyle w:val="Point1"/>
        <w:rPr>
          <w:noProof/>
        </w:rPr>
      </w:pPr>
      <w:r w:rsidRPr="006D01CD">
        <w:rPr>
          <w:noProof/>
        </w:rPr>
        <w:t>(b)</w:t>
      </w:r>
      <w:r w:rsidRPr="006D01CD">
        <w:rPr>
          <w:noProof/>
        </w:rPr>
        <w:tab/>
      </w:r>
      <w:r w:rsidR="00AA1F01" w:rsidRPr="00BF3CD9">
        <w:rPr>
          <w:noProof/>
        </w:rPr>
        <w:t>the identification of standards or technical specifications that are relevant to the scheme;</w:t>
      </w:r>
    </w:p>
    <w:p w14:paraId="6B873933" w14:textId="65893117" w:rsidR="00AA1F01" w:rsidRPr="00BF3CD9" w:rsidRDefault="006D01CD" w:rsidP="006D01CD">
      <w:pPr>
        <w:pStyle w:val="Point1"/>
        <w:rPr>
          <w:noProof/>
        </w:rPr>
      </w:pPr>
      <w:r w:rsidRPr="006D01CD">
        <w:rPr>
          <w:noProof/>
        </w:rPr>
        <w:t>(c)</w:t>
      </w:r>
      <w:r w:rsidRPr="006D01CD">
        <w:rPr>
          <w:noProof/>
        </w:rPr>
        <w:tab/>
      </w:r>
      <w:r w:rsidR="00AA1F01" w:rsidRPr="00BF3CD9">
        <w:rPr>
          <w:noProof/>
        </w:rPr>
        <w:t xml:space="preserve">interactions and, where relevant, </w:t>
      </w:r>
      <w:r w:rsidR="00AA1F01">
        <w:rPr>
          <w:noProof/>
        </w:rPr>
        <w:t xml:space="preserve">the </w:t>
      </w:r>
      <w:r w:rsidR="00AA1F01" w:rsidRPr="00BF3CD9">
        <w:rPr>
          <w:noProof/>
        </w:rPr>
        <w:t xml:space="preserve">establishment of liaisons, with relevant stakeholders, including European or international standardisation organisations, </w:t>
      </w:r>
      <w:r w:rsidR="00AA1F01" w:rsidRPr="00BF3CD9" w:rsidDel="00D41C8B">
        <w:rPr>
          <w:noProof/>
        </w:rPr>
        <w:t xml:space="preserve">including </w:t>
      </w:r>
      <w:r w:rsidR="00AA1F01" w:rsidRPr="00BF3CD9">
        <w:rPr>
          <w:noProof/>
        </w:rPr>
        <w:t xml:space="preserve">for the purpose of </w:t>
      </w:r>
      <w:r w:rsidR="00AA1F01">
        <w:rPr>
          <w:noProof/>
        </w:rPr>
        <w:t>making</w:t>
      </w:r>
      <w:r w:rsidR="00AA1F01" w:rsidRPr="00BF3CD9">
        <w:rPr>
          <w:noProof/>
        </w:rPr>
        <w:t xml:space="preserve"> or receiving technical contributions;</w:t>
      </w:r>
    </w:p>
    <w:p w14:paraId="3DAA3A43" w14:textId="1658BE4C" w:rsidR="00AA1F01" w:rsidRPr="00BF3CD9" w:rsidRDefault="006D01CD" w:rsidP="006D01CD">
      <w:pPr>
        <w:pStyle w:val="Point1"/>
        <w:rPr>
          <w:noProof/>
        </w:rPr>
      </w:pPr>
      <w:r w:rsidRPr="006D01CD">
        <w:rPr>
          <w:noProof/>
        </w:rPr>
        <w:t>(d)</w:t>
      </w:r>
      <w:r w:rsidRPr="006D01CD">
        <w:rPr>
          <w:noProof/>
        </w:rPr>
        <w:tab/>
      </w:r>
      <w:r w:rsidR="00AA1F01">
        <w:rPr>
          <w:noProof/>
        </w:rPr>
        <w:t xml:space="preserve">the issuance of </w:t>
      </w:r>
      <w:r w:rsidR="00AA1F01" w:rsidRPr="00BF3CD9">
        <w:rPr>
          <w:noProof/>
        </w:rPr>
        <w:t xml:space="preserve">recommendations to the Commission on necessary improvements and updates to the schemes, including in view of a possible review of </w:t>
      </w:r>
      <w:r w:rsidR="00AA1F01">
        <w:rPr>
          <w:noProof/>
        </w:rPr>
        <w:t xml:space="preserve">the </w:t>
      </w:r>
      <w:r w:rsidR="00AA1F01" w:rsidRPr="00BF3CD9">
        <w:rPr>
          <w:noProof/>
        </w:rPr>
        <w:t>schemes;</w:t>
      </w:r>
    </w:p>
    <w:p w14:paraId="4689E2FF" w14:textId="641BB76D" w:rsidR="00AA1F01" w:rsidRPr="00BF3CD9" w:rsidRDefault="006D01CD" w:rsidP="006D01CD">
      <w:pPr>
        <w:pStyle w:val="Point1"/>
        <w:rPr>
          <w:noProof/>
        </w:rPr>
      </w:pPr>
      <w:r w:rsidRPr="006D01CD">
        <w:rPr>
          <w:noProof/>
        </w:rPr>
        <w:t>(e)</w:t>
      </w:r>
      <w:r w:rsidRPr="006D01CD">
        <w:rPr>
          <w:noProof/>
        </w:rPr>
        <w:tab/>
      </w:r>
      <w:r w:rsidR="00AA1F01" w:rsidRPr="00BF3CD9">
        <w:rPr>
          <w:noProof/>
        </w:rPr>
        <w:t xml:space="preserve">the exchange of information related to the practical implementation of the schemes between Member States; </w:t>
      </w:r>
    </w:p>
    <w:p w14:paraId="32D6357E" w14:textId="02A08BB1" w:rsidR="00AA1F01" w:rsidRPr="00BF3CD9" w:rsidRDefault="006D01CD" w:rsidP="006D01CD">
      <w:pPr>
        <w:pStyle w:val="Point1"/>
        <w:rPr>
          <w:noProof/>
        </w:rPr>
      </w:pPr>
      <w:r w:rsidRPr="006D01CD">
        <w:rPr>
          <w:noProof/>
        </w:rPr>
        <w:t>(f)</w:t>
      </w:r>
      <w:r w:rsidRPr="006D01CD">
        <w:rPr>
          <w:noProof/>
        </w:rPr>
        <w:tab/>
      </w:r>
      <w:r w:rsidR="00AA1F01" w:rsidRPr="00BF3CD9">
        <w:rPr>
          <w:noProof/>
        </w:rPr>
        <w:t>contribution</w:t>
      </w:r>
      <w:r w:rsidR="00AA1F01">
        <w:rPr>
          <w:noProof/>
        </w:rPr>
        <w:t>s</w:t>
      </w:r>
      <w:r w:rsidR="00AA1F01" w:rsidRPr="00BF3CD9">
        <w:rPr>
          <w:noProof/>
        </w:rPr>
        <w:t xml:space="preserve"> to peer review and peer assessment mechanisms and analys</w:t>
      </w:r>
      <w:r w:rsidR="00AA1F01">
        <w:rPr>
          <w:noProof/>
        </w:rPr>
        <w:t>e</w:t>
      </w:r>
      <w:r w:rsidR="00AA1F01" w:rsidRPr="00BF3CD9">
        <w:rPr>
          <w:noProof/>
        </w:rPr>
        <w:t xml:space="preserve">s of the outcome </w:t>
      </w:r>
      <w:r w:rsidR="00AA1F01">
        <w:rPr>
          <w:noProof/>
        </w:rPr>
        <w:t>of such assessments to</w:t>
      </w:r>
      <w:r w:rsidR="00AA1F01" w:rsidRPr="00BF3CD9">
        <w:rPr>
          <w:noProof/>
        </w:rPr>
        <w:t xml:space="preserve"> improv</w:t>
      </w:r>
      <w:r w:rsidR="00AA1F01">
        <w:rPr>
          <w:noProof/>
        </w:rPr>
        <w:t>e</w:t>
      </w:r>
      <w:r w:rsidR="00AA1F01" w:rsidRPr="00BF3CD9">
        <w:rPr>
          <w:noProof/>
        </w:rPr>
        <w:t xml:space="preserve"> the operation of the schemes and </w:t>
      </w:r>
      <w:r w:rsidR="00AA1F01">
        <w:rPr>
          <w:noProof/>
        </w:rPr>
        <w:t xml:space="preserve">support </w:t>
      </w:r>
      <w:r w:rsidR="00AA1F01" w:rsidRPr="00BF3CD9">
        <w:rPr>
          <w:noProof/>
        </w:rPr>
        <w:t>their possible review.</w:t>
      </w:r>
    </w:p>
    <w:p w14:paraId="5ECEE8FB" w14:textId="7D0D4F1A" w:rsidR="00AA1F01" w:rsidRDefault="006D01CD" w:rsidP="006D01CD">
      <w:pPr>
        <w:pStyle w:val="ManualNumPar1"/>
        <w:rPr>
          <w:noProof/>
          <w:lang w:eastAsia="en-IE"/>
        </w:rPr>
      </w:pPr>
      <w:r w:rsidRPr="006D01CD">
        <w:rPr>
          <w:noProof/>
        </w:rPr>
        <w:t>5.</w:t>
      </w:r>
      <w:r w:rsidRPr="006D01CD">
        <w:rPr>
          <w:noProof/>
        </w:rPr>
        <w:tab/>
      </w:r>
      <w:r w:rsidR="00AA1F01" w:rsidRPr="66B014E3">
        <w:rPr>
          <w:noProof/>
          <w:lang w:eastAsia="en-IE"/>
        </w:rPr>
        <w:t xml:space="preserve">The ECCG may issue an opinion on the maintenance of </w:t>
      </w:r>
      <w:r w:rsidR="00AA1F01">
        <w:rPr>
          <w:noProof/>
          <w:lang w:eastAsia="en-IE"/>
        </w:rPr>
        <w:t xml:space="preserve">European cybersecurity certification </w:t>
      </w:r>
      <w:r w:rsidR="00AA1F01" w:rsidRPr="66B014E3">
        <w:rPr>
          <w:noProof/>
          <w:lang w:eastAsia="en-IE"/>
        </w:rPr>
        <w:t>schemes.</w:t>
      </w:r>
    </w:p>
    <w:p w14:paraId="42CCC697" w14:textId="77777777" w:rsidR="00AA1F01" w:rsidRPr="00164577" w:rsidRDefault="00AA1F01" w:rsidP="00AA1F01">
      <w:pPr>
        <w:pStyle w:val="Titrearticle"/>
        <w:rPr>
          <w:noProof/>
          <w:color w:val="000000"/>
          <w:lang w:eastAsia="en-IE"/>
        </w:rPr>
      </w:pPr>
      <w:r>
        <w:rPr>
          <w:noProof/>
          <w:lang w:eastAsia="en-IE"/>
        </w:rPr>
        <w:t>Article 76</w:t>
      </w:r>
      <w:r>
        <w:rPr>
          <w:iCs/>
          <w:noProof/>
          <w:lang w:eastAsia="en-IE"/>
        </w:rPr>
        <w:br/>
      </w:r>
      <w:r w:rsidRPr="001A761D">
        <w:rPr>
          <w:iCs/>
          <w:noProof/>
          <w:lang w:eastAsia="en-IE"/>
        </w:rPr>
        <w:t>Evaluation</w:t>
      </w:r>
      <w:r>
        <w:rPr>
          <w:iCs/>
          <w:noProof/>
          <w:lang w:eastAsia="en-IE"/>
        </w:rPr>
        <w:t xml:space="preserve">, </w:t>
      </w:r>
      <w:r w:rsidRPr="66B014E3">
        <w:rPr>
          <w:noProof/>
          <w:lang w:eastAsia="en-IE"/>
        </w:rPr>
        <w:t xml:space="preserve">review </w:t>
      </w:r>
      <w:r>
        <w:rPr>
          <w:noProof/>
          <w:lang w:eastAsia="en-IE"/>
        </w:rPr>
        <w:t xml:space="preserve">and withdrawal </w:t>
      </w:r>
      <w:r w:rsidRPr="66B014E3">
        <w:rPr>
          <w:noProof/>
          <w:lang w:eastAsia="en-IE"/>
        </w:rPr>
        <w:t>of a European cybersecurity certification scheme</w:t>
      </w:r>
    </w:p>
    <w:p w14:paraId="44EB6DCA" w14:textId="01F3B256" w:rsidR="00AA1F01" w:rsidRDefault="006D01CD" w:rsidP="006D01CD">
      <w:pPr>
        <w:pStyle w:val="ManualNumPar1"/>
        <w:rPr>
          <w:noProof/>
          <w:lang w:eastAsia="en-IE"/>
        </w:rPr>
      </w:pPr>
      <w:r w:rsidRPr="006D01CD">
        <w:rPr>
          <w:noProof/>
        </w:rPr>
        <w:t>1.</w:t>
      </w:r>
      <w:r w:rsidRPr="006D01CD">
        <w:rPr>
          <w:noProof/>
        </w:rPr>
        <w:tab/>
      </w:r>
      <w:r w:rsidR="00AA1F01" w:rsidRPr="00164577">
        <w:rPr>
          <w:noProof/>
          <w:lang w:eastAsia="en-IE"/>
        </w:rPr>
        <w:t xml:space="preserve">At least every </w:t>
      </w:r>
      <w:r w:rsidR="00AA1F01" w:rsidRPr="00BF3CD9">
        <w:rPr>
          <w:noProof/>
          <w:color w:val="000000" w:themeColor="text1"/>
          <w:lang w:eastAsia="en-IE"/>
        </w:rPr>
        <w:t xml:space="preserve">four </w:t>
      </w:r>
      <w:r w:rsidR="00AA1F01" w:rsidRPr="00164577">
        <w:rPr>
          <w:noProof/>
          <w:lang w:eastAsia="en-IE"/>
        </w:rPr>
        <w:t>years following the</w:t>
      </w:r>
      <w:r w:rsidR="00AA1F01">
        <w:rPr>
          <w:noProof/>
          <w:lang w:eastAsia="en-IE"/>
        </w:rPr>
        <w:t xml:space="preserve"> entry into</w:t>
      </w:r>
      <w:r w:rsidR="00AA1F01" w:rsidRPr="00164577">
        <w:rPr>
          <w:noProof/>
          <w:lang w:eastAsia="en-IE"/>
        </w:rPr>
        <w:t xml:space="preserve"> application of a </w:t>
      </w:r>
      <w:r w:rsidR="00AA1F01">
        <w:rPr>
          <w:noProof/>
          <w:lang w:eastAsia="en-IE"/>
        </w:rPr>
        <w:t xml:space="preserve">European cybersecurity certification </w:t>
      </w:r>
      <w:r w:rsidR="00AA1F01" w:rsidRPr="00164577">
        <w:rPr>
          <w:noProof/>
          <w:lang w:eastAsia="en-IE"/>
        </w:rPr>
        <w:t>scheme, ENISA shall evaluate</w:t>
      </w:r>
      <w:r w:rsidR="00AA1F01" w:rsidRPr="00BF3CD9">
        <w:rPr>
          <w:noProof/>
          <w:color w:val="000000" w:themeColor="text1"/>
          <w:lang w:eastAsia="en-IE"/>
        </w:rPr>
        <w:t xml:space="preserve"> the</w:t>
      </w:r>
      <w:r w:rsidR="00AA1F01" w:rsidRPr="00164577">
        <w:rPr>
          <w:noProof/>
          <w:lang w:eastAsia="en-IE"/>
        </w:rPr>
        <w:t xml:space="preserve"> </w:t>
      </w:r>
      <w:r w:rsidR="00AA1F01" w:rsidRPr="00BF3CD9">
        <w:rPr>
          <w:noProof/>
          <w:color w:val="000000" w:themeColor="text1"/>
          <w:lang w:eastAsia="en-IE"/>
        </w:rPr>
        <w:t xml:space="preserve">impact and effectiveness of </w:t>
      </w:r>
      <w:r w:rsidR="00AA1F01">
        <w:rPr>
          <w:noProof/>
          <w:lang w:eastAsia="en-IE"/>
        </w:rPr>
        <w:t>that</w:t>
      </w:r>
      <w:r w:rsidR="00AA1F01" w:rsidRPr="00164577">
        <w:rPr>
          <w:noProof/>
          <w:lang w:eastAsia="en-IE"/>
        </w:rPr>
        <w:t xml:space="preserve"> scheme,</w:t>
      </w:r>
      <w:r w:rsidR="00AA1F01" w:rsidRPr="00BF3CD9">
        <w:rPr>
          <w:noProof/>
          <w:color w:val="000000" w:themeColor="text1"/>
          <w:lang w:eastAsia="en-IE"/>
        </w:rPr>
        <w:t xml:space="preserve"> in cooperation</w:t>
      </w:r>
      <w:r w:rsidR="00AA1F01">
        <w:rPr>
          <w:noProof/>
          <w:lang w:eastAsia="en-IE"/>
        </w:rPr>
        <w:t xml:space="preserve"> </w:t>
      </w:r>
      <w:r w:rsidR="00AA1F01" w:rsidRPr="00BF3CD9">
        <w:rPr>
          <w:noProof/>
          <w:color w:val="000000" w:themeColor="text1"/>
          <w:lang w:eastAsia="en-IE"/>
        </w:rPr>
        <w:t>with the relevant maintenance sub-group of the ECCG, and by</w:t>
      </w:r>
      <w:r w:rsidR="00AA1F01" w:rsidRPr="00164577">
        <w:rPr>
          <w:noProof/>
          <w:lang w:eastAsia="en-IE"/>
        </w:rPr>
        <w:t xml:space="preserve"> taking into account the feedback received from </w:t>
      </w:r>
      <w:r w:rsidR="00AA1F01" w:rsidRPr="00BF3CD9">
        <w:rPr>
          <w:noProof/>
          <w:color w:val="000000" w:themeColor="text1"/>
          <w:lang w:eastAsia="en-IE"/>
        </w:rPr>
        <w:t xml:space="preserve">stakeholders. ENISA shall </w:t>
      </w:r>
      <w:r w:rsidR="00AA1F01">
        <w:rPr>
          <w:noProof/>
          <w:color w:val="000000" w:themeColor="text1"/>
          <w:lang w:eastAsia="en-IE"/>
        </w:rPr>
        <w:t>conduct</w:t>
      </w:r>
      <w:r w:rsidR="00AA1F01" w:rsidRPr="00BF3CD9">
        <w:rPr>
          <w:noProof/>
          <w:color w:val="000000" w:themeColor="text1"/>
          <w:lang w:eastAsia="en-IE"/>
        </w:rPr>
        <w:t xml:space="preserve"> the evaluation by carrying out </w:t>
      </w:r>
      <w:r w:rsidR="00AA1F01">
        <w:rPr>
          <w:noProof/>
          <w:color w:val="000000" w:themeColor="text1"/>
          <w:lang w:eastAsia="en-IE"/>
        </w:rPr>
        <w:t xml:space="preserve">the </w:t>
      </w:r>
      <w:r w:rsidR="00AA1F01" w:rsidRPr="00164577">
        <w:rPr>
          <w:noProof/>
          <w:lang w:eastAsia="en-IE"/>
        </w:rPr>
        <w:t>market analysis in</w:t>
      </w:r>
      <w:r w:rsidR="00AA1F01" w:rsidRPr="00BF3CD9">
        <w:rPr>
          <w:noProof/>
          <w:color w:val="000000" w:themeColor="text1"/>
          <w:lang w:eastAsia="en-IE"/>
        </w:rPr>
        <w:t xml:space="preserve"> accordance with</w:t>
      </w:r>
      <w:r w:rsidR="00AA1F01" w:rsidRPr="00BF3CD9">
        <w:rPr>
          <w:noProof/>
          <w:lang w:eastAsia="en-IE"/>
        </w:rPr>
        <w:t xml:space="preserve"> Article </w:t>
      </w:r>
      <w:r w:rsidR="00AA1F01" w:rsidRPr="00BF3CD9">
        <w:rPr>
          <w:noProof/>
          <w:color w:val="000000" w:themeColor="text1"/>
          <w:lang w:eastAsia="en-IE"/>
        </w:rPr>
        <w:t>8</w:t>
      </w:r>
      <w:r w:rsidR="00AA1F01" w:rsidRPr="00BF3CD9">
        <w:rPr>
          <w:noProof/>
          <w:lang w:eastAsia="en-IE"/>
        </w:rPr>
        <w:t>(1).</w:t>
      </w:r>
    </w:p>
    <w:p w14:paraId="16DFBD8B" w14:textId="768C5DB4" w:rsidR="00263941" w:rsidRDefault="006D01CD" w:rsidP="006D01CD">
      <w:pPr>
        <w:pStyle w:val="ManualNumPar1"/>
        <w:rPr>
          <w:noProof/>
          <w:lang w:eastAsia="en-IE"/>
        </w:rPr>
      </w:pPr>
      <w:r w:rsidRPr="006D01CD">
        <w:rPr>
          <w:noProof/>
        </w:rPr>
        <w:t>2.</w:t>
      </w:r>
      <w:r w:rsidRPr="006D01CD">
        <w:rPr>
          <w:noProof/>
        </w:rPr>
        <w:tab/>
      </w:r>
      <w:r w:rsidR="00AA1F01" w:rsidRPr="00BF3CD9">
        <w:rPr>
          <w:noProof/>
          <w:lang w:eastAsia="en-IE"/>
        </w:rPr>
        <w:t xml:space="preserve">Following the evaluation referred to in paragraph 1, the Commission may </w:t>
      </w:r>
      <w:r w:rsidR="00AA1F01">
        <w:rPr>
          <w:noProof/>
          <w:lang w:eastAsia="en-IE"/>
        </w:rPr>
        <w:t xml:space="preserve">review or </w:t>
      </w:r>
      <w:r w:rsidR="00AA1F01" w:rsidRPr="00BF3CD9">
        <w:rPr>
          <w:noProof/>
          <w:lang w:eastAsia="en-IE"/>
        </w:rPr>
        <w:t xml:space="preserve">withdraw </w:t>
      </w:r>
      <w:r w:rsidR="00522872">
        <w:rPr>
          <w:noProof/>
          <w:lang w:eastAsia="en-IE"/>
        </w:rPr>
        <w:t xml:space="preserve">implementing acts providing for </w:t>
      </w:r>
      <w:r w:rsidR="00AA1F01" w:rsidRPr="00BF3CD9">
        <w:rPr>
          <w:noProof/>
          <w:lang w:eastAsia="en-IE"/>
        </w:rPr>
        <w:t>a European cybersecurity certification scheme</w:t>
      </w:r>
      <w:r w:rsidR="00522872">
        <w:rPr>
          <w:noProof/>
          <w:lang w:eastAsia="en-IE"/>
        </w:rPr>
        <w:t xml:space="preserve"> pursuant to Article 74(9)</w:t>
      </w:r>
      <w:r w:rsidR="00AA1F01" w:rsidRPr="00BF3CD9">
        <w:rPr>
          <w:noProof/>
          <w:lang w:eastAsia="en-IE"/>
        </w:rPr>
        <w:t>.</w:t>
      </w:r>
    </w:p>
    <w:p w14:paraId="20774B33" w14:textId="304C34A5" w:rsidR="00AA1F01" w:rsidRPr="00263941" w:rsidRDefault="006D01CD" w:rsidP="006D01CD">
      <w:pPr>
        <w:pStyle w:val="ManualNumPar1"/>
        <w:rPr>
          <w:noProof/>
          <w:color w:val="000000" w:themeColor="text1"/>
          <w:lang w:eastAsia="en-IE"/>
        </w:rPr>
      </w:pPr>
      <w:r w:rsidRPr="006D01CD">
        <w:rPr>
          <w:noProof/>
        </w:rPr>
        <w:t>3.</w:t>
      </w:r>
      <w:r w:rsidRPr="006D01CD">
        <w:rPr>
          <w:noProof/>
        </w:rPr>
        <w:tab/>
      </w:r>
      <w:r w:rsidR="00AA1F01" w:rsidRPr="00263941">
        <w:rPr>
          <w:noProof/>
          <w:lang w:eastAsia="en-IE"/>
        </w:rPr>
        <w:t xml:space="preserve">When reviewing or withdrawing European cybersecurity certification schemes, the Commission shall consult ENISA, the ECCG and its relevant maintenance sub-group, as well as take into account the views of relevant stakeholders and other Union entities. </w:t>
      </w:r>
    </w:p>
    <w:p w14:paraId="1B8CA4DE" w14:textId="4BEBCE0A" w:rsidR="00AA1F01" w:rsidRPr="00BF3CD9" w:rsidDel="00E83021" w:rsidRDefault="006D01CD" w:rsidP="006D01CD">
      <w:pPr>
        <w:pStyle w:val="ManualNumPar1"/>
        <w:rPr>
          <w:noProof/>
          <w:lang w:eastAsia="en-IE"/>
        </w:rPr>
      </w:pPr>
      <w:r w:rsidRPr="006D01CD">
        <w:rPr>
          <w:noProof/>
        </w:rPr>
        <w:t>4.</w:t>
      </w:r>
      <w:r w:rsidRPr="006D01CD">
        <w:rPr>
          <w:noProof/>
        </w:rPr>
        <w:tab/>
      </w:r>
      <w:r w:rsidR="00AA1F01" w:rsidRPr="00BF3CD9">
        <w:rPr>
          <w:noProof/>
          <w:lang w:eastAsia="en-IE"/>
        </w:rPr>
        <w:t xml:space="preserve">The ECCG may issue an opinion on the review </w:t>
      </w:r>
      <w:r w:rsidR="00AA1F01">
        <w:rPr>
          <w:noProof/>
          <w:lang w:eastAsia="en-IE"/>
        </w:rPr>
        <w:t>or withdrawal</w:t>
      </w:r>
      <w:r w:rsidR="00AA1F01" w:rsidRPr="00BF3CD9">
        <w:rPr>
          <w:noProof/>
          <w:lang w:eastAsia="en-IE"/>
        </w:rPr>
        <w:t xml:space="preserve"> of a European cybersecurity certification scheme. The Commission shall take due account of it when reviewing </w:t>
      </w:r>
      <w:r w:rsidR="00AA1F01">
        <w:rPr>
          <w:noProof/>
          <w:lang w:eastAsia="en-IE"/>
        </w:rPr>
        <w:t>or withdrawing</w:t>
      </w:r>
      <w:r w:rsidR="00AA1F01" w:rsidRPr="00BF3CD9">
        <w:rPr>
          <w:noProof/>
          <w:lang w:eastAsia="en-IE"/>
        </w:rPr>
        <w:t xml:space="preserve"> the European cybersecurity certification scheme. </w:t>
      </w:r>
    </w:p>
    <w:p w14:paraId="7D9D9B1B" w14:textId="77777777" w:rsidR="00AA1F01" w:rsidRPr="00164577" w:rsidRDefault="00AA1F01" w:rsidP="00AA1F01">
      <w:pPr>
        <w:pStyle w:val="Titrearticle"/>
        <w:rPr>
          <w:noProof/>
          <w:lang w:eastAsia="en-IE"/>
        </w:rPr>
      </w:pPr>
      <w:r w:rsidRPr="00164577">
        <w:rPr>
          <w:noProof/>
          <w:lang w:eastAsia="en-IE"/>
        </w:rPr>
        <w:t xml:space="preserve">Article </w:t>
      </w:r>
      <w:r>
        <w:rPr>
          <w:noProof/>
          <w:lang w:eastAsia="en-IE"/>
        </w:rPr>
        <w:t>7</w:t>
      </w:r>
      <w:r w:rsidRPr="66B014E3">
        <w:rPr>
          <w:noProof/>
          <w:color w:val="000000" w:themeColor="text1"/>
          <w:lang w:eastAsia="en-IE"/>
        </w:rPr>
        <w:t>7</w:t>
      </w:r>
      <w:r>
        <w:rPr>
          <w:noProof/>
          <w:lang w:eastAsia="en-IE"/>
        </w:rPr>
        <w:br/>
      </w:r>
      <w:r w:rsidRPr="00C513DB">
        <w:rPr>
          <w:noProof/>
          <w:lang w:eastAsia="en-IE"/>
        </w:rPr>
        <w:t>Technical specifications in European cybersecurity certification schemes</w:t>
      </w:r>
      <w:r w:rsidRPr="00164577">
        <w:rPr>
          <w:noProof/>
          <w:lang w:eastAsia="en-IE"/>
        </w:rPr>
        <w:t xml:space="preserve"> </w:t>
      </w:r>
    </w:p>
    <w:p w14:paraId="22545F6F" w14:textId="5B2C41F9" w:rsidR="00AA1F01" w:rsidRPr="00EC0B0C" w:rsidRDefault="006D01CD" w:rsidP="006D01CD">
      <w:pPr>
        <w:pStyle w:val="ManualNumPar1"/>
        <w:rPr>
          <w:noProof/>
          <w:lang w:eastAsia="en-IE"/>
        </w:rPr>
      </w:pPr>
      <w:r w:rsidRPr="006D01CD">
        <w:rPr>
          <w:noProof/>
        </w:rPr>
        <w:t>1.</w:t>
      </w:r>
      <w:r w:rsidRPr="006D01CD">
        <w:rPr>
          <w:noProof/>
        </w:rPr>
        <w:tab/>
      </w:r>
      <w:r w:rsidR="00AA1F01" w:rsidRPr="66B014E3">
        <w:rPr>
          <w:noProof/>
          <w:lang w:eastAsia="en-IE"/>
        </w:rPr>
        <w:t>ENISA may develop technical specifications in view of a future</w:t>
      </w:r>
      <w:r w:rsidR="00AA1F01">
        <w:rPr>
          <w:noProof/>
          <w:lang w:eastAsia="en-IE"/>
        </w:rPr>
        <w:t xml:space="preserve"> European cybersecurity certification</w:t>
      </w:r>
      <w:r w:rsidR="00AA1F01" w:rsidRPr="66B014E3">
        <w:rPr>
          <w:noProof/>
          <w:lang w:eastAsia="en-IE"/>
        </w:rPr>
        <w:t xml:space="preserve"> scheme or in support of the maintenance of</w:t>
      </w:r>
      <w:r w:rsidR="00AA1F01">
        <w:rPr>
          <w:noProof/>
          <w:lang w:eastAsia="en-IE"/>
        </w:rPr>
        <w:t xml:space="preserve"> a</w:t>
      </w:r>
      <w:r w:rsidR="00AA1F01" w:rsidRPr="66B014E3">
        <w:rPr>
          <w:noProof/>
          <w:lang w:eastAsia="en-IE"/>
        </w:rPr>
        <w:t xml:space="preserve"> European cybersecurity certification scheme.</w:t>
      </w:r>
    </w:p>
    <w:p w14:paraId="19DDEC49" w14:textId="5C704C4E" w:rsidR="00AA1F01" w:rsidRPr="00BF3CD9" w:rsidRDefault="006D01CD" w:rsidP="006D01CD">
      <w:pPr>
        <w:pStyle w:val="ManualNumPar1"/>
        <w:rPr>
          <w:noProof/>
          <w:lang w:eastAsia="en-IE"/>
        </w:rPr>
      </w:pPr>
      <w:r w:rsidRPr="006D01CD">
        <w:rPr>
          <w:noProof/>
        </w:rPr>
        <w:t>2.</w:t>
      </w:r>
      <w:r w:rsidRPr="006D01CD">
        <w:rPr>
          <w:noProof/>
        </w:rPr>
        <w:tab/>
      </w:r>
      <w:r w:rsidR="00AA1F01">
        <w:rPr>
          <w:noProof/>
          <w:lang w:eastAsia="en-IE"/>
        </w:rPr>
        <w:t>The</w:t>
      </w:r>
      <w:r w:rsidR="00AA1F01" w:rsidRPr="66B014E3">
        <w:rPr>
          <w:noProof/>
          <w:lang w:eastAsia="en-IE"/>
        </w:rPr>
        <w:t xml:space="preserve"> technical specifications</w:t>
      </w:r>
      <w:r w:rsidR="00AA1F01">
        <w:rPr>
          <w:noProof/>
          <w:lang w:eastAsia="en-IE"/>
        </w:rPr>
        <w:t xml:space="preserve"> referred to in paragraph 1 of this Article shall be developed</w:t>
      </w:r>
      <w:r w:rsidR="00AA1F01" w:rsidRPr="66B014E3">
        <w:rPr>
          <w:noProof/>
          <w:lang w:eastAsia="en-IE"/>
        </w:rPr>
        <w:t xml:space="preserve"> in a timely manner, with the support of the ECCG and its maintenance sub-group</w:t>
      </w:r>
      <w:r w:rsidR="00AA1F01">
        <w:rPr>
          <w:noProof/>
          <w:lang w:eastAsia="en-IE"/>
        </w:rPr>
        <w:t>s</w:t>
      </w:r>
      <w:r w:rsidR="00AA1F01" w:rsidRPr="66B014E3">
        <w:rPr>
          <w:noProof/>
          <w:lang w:eastAsia="en-IE"/>
        </w:rPr>
        <w:t xml:space="preserve"> and, where applicable, the corresponding ad hoc working </w:t>
      </w:r>
      <w:r w:rsidR="00AA1F01" w:rsidRPr="00BF3CD9">
        <w:rPr>
          <w:noProof/>
          <w:lang w:eastAsia="en-IE"/>
        </w:rPr>
        <w:t>group as referred to in Article 75</w:t>
      </w:r>
      <w:r w:rsidR="00AA1F01">
        <w:rPr>
          <w:noProof/>
          <w:lang w:eastAsia="en-IE"/>
        </w:rPr>
        <w:t>(3)</w:t>
      </w:r>
      <w:r w:rsidR="00AA1F01" w:rsidRPr="00BF3CD9">
        <w:rPr>
          <w:noProof/>
          <w:lang w:eastAsia="en-IE"/>
        </w:rPr>
        <w:t xml:space="preserve">. </w:t>
      </w:r>
      <w:r w:rsidR="00AA1F01">
        <w:rPr>
          <w:noProof/>
          <w:lang w:eastAsia="en-IE"/>
        </w:rPr>
        <w:t xml:space="preserve">For this purpose, </w:t>
      </w:r>
      <w:r w:rsidR="00AA1F01" w:rsidRPr="00BF3CD9">
        <w:rPr>
          <w:noProof/>
          <w:lang w:eastAsia="en-IE"/>
        </w:rPr>
        <w:t xml:space="preserve">ENISA shall also seek contributions from relevant stakeholder groups </w:t>
      </w:r>
      <w:r w:rsidR="00AA1F01">
        <w:rPr>
          <w:noProof/>
          <w:lang w:eastAsia="en-IE"/>
        </w:rPr>
        <w:t>taking into account</w:t>
      </w:r>
      <w:r w:rsidR="00AA1F01" w:rsidRPr="00BF3CD9">
        <w:rPr>
          <w:noProof/>
          <w:lang w:eastAsia="en-IE"/>
        </w:rPr>
        <w:t xml:space="preserve"> the maintenance strategy </w:t>
      </w:r>
      <w:r w:rsidR="00AA1F01">
        <w:rPr>
          <w:noProof/>
          <w:lang w:eastAsia="en-IE"/>
        </w:rPr>
        <w:t>referred to in</w:t>
      </w:r>
      <w:r w:rsidR="00AA1F01" w:rsidRPr="00BF3CD9">
        <w:rPr>
          <w:noProof/>
          <w:lang w:eastAsia="en-IE"/>
        </w:rPr>
        <w:t xml:space="preserve"> Article </w:t>
      </w:r>
      <w:r w:rsidR="00AA1F01">
        <w:rPr>
          <w:noProof/>
          <w:lang w:eastAsia="en-IE"/>
        </w:rPr>
        <w:t>75(1).</w:t>
      </w:r>
      <w:r w:rsidR="00AA1F01" w:rsidRPr="00BF3CD9">
        <w:rPr>
          <w:noProof/>
          <w:lang w:eastAsia="en-IE"/>
        </w:rPr>
        <w:t xml:space="preserve"> </w:t>
      </w:r>
    </w:p>
    <w:p w14:paraId="4AF622B8" w14:textId="0C3806FA" w:rsidR="006354A4" w:rsidRDefault="006D01CD" w:rsidP="006D01CD">
      <w:pPr>
        <w:pStyle w:val="ManualNumPar1"/>
        <w:rPr>
          <w:noProof/>
          <w:lang w:eastAsia="en-IE"/>
        </w:rPr>
      </w:pPr>
      <w:r w:rsidRPr="006D01CD">
        <w:rPr>
          <w:noProof/>
        </w:rPr>
        <w:t>3.</w:t>
      </w:r>
      <w:r w:rsidRPr="006D01CD">
        <w:rPr>
          <w:noProof/>
        </w:rPr>
        <w:tab/>
      </w:r>
      <w:r w:rsidR="00AA1F01">
        <w:rPr>
          <w:noProof/>
          <w:lang w:eastAsia="en-IE"/>
        </w:rPr>
        <w:t>Where technical specifications are</w:t>
      </w:r>
      <w:r w:rsidR="00AA1F01" w:rsidRPr="00BF3CD9">
        <w:rPr>
          <w:noProof/>
          <w:lang w:eastAsia="en-IE"/>
        </w:rPr>
        <w:t xml:space="preserve"> reference</w:t>
      </w:r>
      <w:r w:rsidR="00AA1F01">
        <w:rPr>
          <w:noProof/>
          <w:lang w:eastAsia="en-IE"/>
        </w:rPr>
        <w:t>d</w:t>
      </w:r>
      <w:r w:rsidR="00AA1F01" w:rsidRPr="00BF3CD9">
        <w:rPr>
          <w:noProof/>
          <w:lang w:eastAsia="en-IE"/>
        </w:rPr>
        <w:t xml:space="preserve"> in a European cybersecurity certification scheme</w:t>
      </w:r>
      <w:r w:rsidR="00AA1F01">
        <w:rPr>
          <w:noProof/>
          <w:lang w:eastAsia="en-IE"/>
        </w:rPr>
        <w:t xml:space="preserve"> </w:t>
      </w:r>
      <w:r w:rsidR="00AA1F01" w:rsidRPr="00BF3CD9">
        <w:rPr>
          <w:noProof/>
          <w:lang w:eastAsia="en-IE"/>
        </w:rPr>
        <w:t xml:space="preserve">as </w:t>
      </w:r>
      <w:r w:rsidR="00AA1F01">
        <w:rPr>
          <w:noProof/>
          <w:lang w:eastAsia="en-IE"/>
        </w:rPr>
        <w:t>referred to in</w:t>
      </w:r>
      <w:r w:rsidR="00AA1F01" w:rsidRPr="00BF3CD9">
        <w:rPr>
          <w:noProof/>
          <w:lang w:eastAsia="en-IE"/>
        </w:rPr>
        <w:t xml:space="preserve"> Article 74</w:t>
      </w:r>
      <w:r w:rsidR="00AA1F01">
        <w:rPr>
          <w:noProof/>
          <w:lang w:eastAsia="en-IE"/>
        </w:rPr>
        <w:t>(</w:t>
      </w:r>
      <w:r w:rsidR="00AA1F01" w:rsidRPr="00BF3CD9">
        <w:rPr>
          <w:noProof/>
          <w:lang w:eastAsia="en-IE"/>
        </w:rPr>
        <w:t>10</w:t>
      </w:r>
      <w:r w:rsidR="00AA1F01">
        <w:rPr>
          <w:noProof/>
          <w:lang w:eastAsia="en-IE"/>
        </w:rPr>
        <w:t>)</w:t>
      </w:r>
      <w:r w:rsidR="00AA1F01" w:rsidRPr="00BF3CD9">
        <w:rPr>
          <w:noProof/>
          <w:lang w:eastAsia="en-IE"/>
        </w:rPr>
        <w:t xml:space="preserve">, </w:t>
      </w:r>
      <w:r w:rsidR="00AA1F01">
        <w:rPr>
          <w:noProof/>
          <w:lang w:eastAsia="en-IE"/>
        </w:rPr>
        <w:t>they</w:t>
      </w:r>
      <w:r w:rsidR="00AA1F01" w:rsidRPr="00BF3CD9">
        <w:rPr>
          <w:noProof/>
          <w:lang w:eastAsia="en-IE"/>
        </w:rPr>
        <w:t xml:space="preserve"> shall be made available on the website referred </w:t>
      </w:r>
      <w:r w:rsidR="00AA1F01">
        <w:rPr>
          <w:noProof/>
          <w:lang w:eastAsia="en-IE"/>
        </w:rPr>
        <w:t xml:space="preserve">to </w:t>
      </w:r>
      <w:r w:rsidR="00AA1F01" w:rsidRPr="00BF3CD9">
        <w:rPr>
          <w:noProof/>
          <w:lang w:eastAsia="en-IE"/>
        </w:rPr>
        <w:t xml:space="preserve">in Article 79. </w:t>
      </w:r>
    </w:p>
    <w:p w14:paraId="71BE6084" w14:textId="796AAB3C" w:rsidR="00AA1F01" w:rsidRPr="00AC40EC" w:rsidRDefault="006D01CD" w:rsidP="006D01CD">
      <w:pPr>
        <w:pStyle w:val="ManualNumPar1"/>
        <w:rPr>
          <w:noProof/>
          <w:lang w:eastAsia="en-IE"/>
        </w:rPr>
      </w:pPr>
      <w:r w:rsidRPr="006D01CD">
        <w:rPr>
          <w:noProof/>
        </w:rPr>
        <w:t>4.</w:t>
      </w:r>
      <w:r w:rsidRPr="006D01CD">
        <w:rPr>
          <w:noProof/>
        </w:rPr>
        <w:tab/>
      </w:r>
      <w:r w:rsidR="00AA1F01" w:rsidRPr="00BF3CD9">
        <w:rPr>
          <w:noProof/>
          <w:lang w:eastAsia="en-IE"/>
        </w:rPr>
        <w:t xml:space="preserve">In duly justified cases, in particular where </w:t>
      </w:r>
      <w:r w:rsidR="00AA1F01">
        <w:rPr>
          <w:noProof/>
          <w:lang w:eastAsia="en-IE"/>
        </w:rPr>
        <w:t xml:space="preserve">the </w:t>
      </w:r>
      <w:r w:rsidR="00AA1F01" w:rsidRPr="00BF3CD9">
        <w:rPr>
          <w:noProof/>
          <w:lang w:eastAsia="en-IE"/>
        </w:rPr>
        <w:t xml:space="preserve">technical specifications contain information </w:t>
      </w:r>
      <w:r w:rsidR="00544BB1">
        <w:rPr>
          <w:noProof/>
          <w:lang w:eastAsia="en-IE"/>
        </w:rPr>
        <w:t xml:space="preserve">that </w:t>
      </w:r>
      <w:r w:rsidR="00AA1F01" w:rsidRPr="00BF3CD9">
        <w:rPr>
          <w:noProof/>
          <w:lang w:eastAsia="en-IE"/>
        </w:rPr>
        <w:t>could compromise the security of certified ICT products, ICT services, ICT processes</w:t>
      </w:r>
      <w:r w:rsidR="00AA1F01">
        <w:rPr>
          <w:noProof/>
          <w:lang w:eastAsia="en-IE"/>
        </w:rPr>
        <w:t>,</w:t>
      </w:r>
      <w:r w:rsidR="00AA1F01" w:rsidRPr="00BF3CD9">
        <w:rPr>
          <w:noProof/>
          <w:lang w:eastAsia="en-IE"/>
        </w:rPr>
        <w:t xml:space="preserve"> managed security servi</w:t>
      </w:r>
      <w:r w:rsidR="00AA1F01" w:rsidRPr="00BF3CD9">
        <w:rPr>
          <w:noProof/>
        </w:rPr>
        <w:t>ces</w:t>
      </w:r>
      <w:r w:rsidR="00AA1F01">
        <w:rPr>
          <w:noProof/>
        </w:rPr>
        <w:t xml:space="preserve"> or cyber posture of entities</w:t>
      </w:r>
      <w:r w:rsidR="00AA1F01" w:rsidRPr="00BF3CD9">
        <w:rPr>
          <w:noProof/>
        </w:rPr>
        <w:t xml:space="preserve">, </w:t>
      </w:r>
      <w:r w:rsidR="00AA1F01">
        <w:rPr>
          <w:noProof/>
        </w:rPr>
        <w:t>they</w:t>
      </w:r>
      <w:r w:rsidR="00AA1F01" w:rsidRPr="00BF3CD9">
        <w:rPr>
          <w:noProof/>
        </w:rPr>
        <w:t xml:space="preserve"> </w:t>
      </w:r>
      <w:r w:rsidR="00AA1F01" w:rsidRPr="00BF3CD9">
        <w:rPr>
          <w:noProof/>
          <w:lang w:eastAsia="en-IE"/>
        </w:rPr>
        <w:t>shall be distributed only to those stakeholders concerned</w:t>
      </w:r>
      <w:r w:rsidR="00AA1F01" w:rsidRPr="66B014E3">
        <w:rPr>
          <w:noProof/>
          <w:lang w:eastAsia="en-IE"/>
        </w:rPr>
        <w:t xml:space="preserve"> by the requirements of the scheme.</w:t>
      </w:r>
      <w:r w:rsidR="006354A4">
        <w:rPr>
          <w:noProof/>
          <w:lang w:eastAsia="en-IE"/>
        </w:rPr>
        <w:t xml:space="preserve"> Such </w:t>
      </w:r>
      <w:r w:rsidR="00775CAC">
        <w:rPr>
          <w:noProof/>
          <w:lang w:eastAsia="en-IE"/>
        </w:rPr>
        <w:t>technical specifications</w:t>
      </w:r>
      <w:r w:rsidR="006354A4">
        <w:rPr>
          <w:noProof/>
          <w:lang w:eastAsia="en-IE"/>
        </w:rPr>
        <w:t xml:space="preserve"> shall not </w:t>
      </w:r>
      <w:r w:rsidR="002F5A90">
        <w:rPr>
          <w:noProof/>
          <w:lang w:eastAsia="en-IE"/>
        </w:rPr>
        <w:t>be reference</w:t>
      </w:r>
      <w:r w:rsidR="00E537A5">
        <w:rPr>
          <w:noProof/>
          <w:lang w:eastAsia="en-IE"/>
        </w:rPr>
        <w:t>d</w:t>
      </w:r>
      <w:r w:rsidR="002F5A90">
        <w:rPr>
          <w:noProof/>
          <w:lang w:eastAsia="en-IE"/>
        </w:rPr>
        <w:t xml:space="preserve"> </w:t>
      </w:r>
      <w:r w:rsidR="002F5A90" w:rsidRPr="00BF3CD9">
        <w:rPr>
          <w:noProof/>
          <w:lang w:eastAsia="en-IE"/>
        </w:rPr>
        <w:t>in a European cybersecurity certification scheme</w:t>
      </w:r>
      <w:r w:rsidR="002F5A90">
        <w:rPr>
          <w:noProof/>
          <w:lang w:eastAsia="en-IE"/>
        </w:rPr>
        <w:t xml:space="preserve"> </w:t>
      </w:r>
      <w:r w:rsidR="002F5A90" w:rsidRPr="00BF3CD9">
        <w:rPr>
          <w:noProof/>
          <w:lang w:eastAsia="en-IE"/>
        </w:rPr>
        <w:t xml:space="preserve">as </w:t>
      </w:r>
      <w:r w:rsidR="002F5A90">
        <w:rPr>
          <w:noProof/>
          <w:lang w:eastAsia="en-IE"/>
        </w:rPr>
        <w:t>referred to in</w:t>
      </w:r>
      <w:r w:rsidR="002F5A90" w:rsidRPr="00BF3CD9">
        <w:rPr>
          <w:noProof/>
          <w:lang w:eastAsia="en-IE"/>
        </w:rPr>
        <w:t xml:space="preserve"> Article 74</w:t>
      </w:r>
      <w:r w:rsidR="002F5A90">
        <w:rPr>
          <w:noProof/>
          <w:lang w:eastAsia="en-IE"/>
        </w:rPr>
        <w:t>(</w:t>
      </w:r>
      <w:r w:rsidR="002F5A90" w:rsidRPr="00BF3CD9">
        <w:rPr>
          <w:noProof/>
          <w:lang w:eastAsia="en-IE"/>
        </w:rPr>
        <w:t>10</w:t>
      </w:r>
      <w:r w:rsidR="002F5A90">
        <w:rPr>
          <w:noProof/>
          <w:lang w:eastAsia="en-IE"/>
        </w:rPr>
        <w:t>).</w:t>
      </w:r>
    </w:p>
    <w:p w14:paraId="2F89AA68" w14:textId="77777777" w:rsidR="00AA1F01" w:rsidRPr="00164577" w:rsidRDefault="00AA1F01" w:rsidP="00AA1F01">
      <w:pPr>
        <w:pStyle w:val="Titrearticle"/>
        <w:rPr>
          <w:noProof/>
          <w:lang w:eastAsia="en-IE"/>
        </w:rPr>
      </w:pPr>
      <w:r w:rsidRPr="66B014E3">
        <w:rPr>
          <w:noProof/>
          <w:color w:val="000000" w:themeColor="text1"/>
          <w:lang w:eastAsia="en-IE"/>
        </w:rPr>
        <w:t>Article 78</w:t>
      </w:r>
      <w:r>
        <w:rPr>
          <w:noProof/>
          <w:lang w:eastAsia="en-IE"/>
        </w:rPr>
        <w:br/>
      </w:r>
      <w:r w:rsidR="00522872">
        <w:rPr>
          <w:noProof/>
          <w:lang w:eastAsia="en-IE"/>
        </w:rPr>
        <w:t>Facilitation of compliance</w:t>
      </w:r>
      <w:r w:rsidRPr="66B014E3">
        <w:rPr>
          <w:noProof/>
          <w:lang w:eastAsia="en-IE"/>
        </w:rPr>
        <w:t xml:space="preserve"> with Union legislation</w:t>
      </w:r>
    </w:p>
    <w:p w14:paraId="4F5B1466" w14:textId="00E557EC" w:rsidR="00AA1F01" w:rsidRPr="00BF3CD9" w:rsidRDefault="006D01CD" w:rsidP="006D01CD">
      <w:pPr>
        <w:pStyle w:val="ManualNumPar1"/>
        <w:rPr>
          <w:noProof/>
          <w:lang w:eastAsia="en-IE"/>
        </w:rPr>
      </w:pPr>
      <w:r w:rsidRPr="006D01CD">
        <w:rPr>
          <w:noProof/>
        </w:rPr>
        <w:t>1.</w:t>
      </w:r>
      <w:r w:rsidRPr="006D01CD">
        <w:rPr>
          <w:noProof/>
        </w:rPr>
        <w:tab/>
      </w:r>
      <w:r w:rsidR="00AA1F01" w:rsidRPr="00BF3CD9">
        <w:rPr>
          <w:noProof/>
          <w:lang w:eastAsia="en-IE"/>
        </w:rPr>
        <w:t xml:space="preserve">Where a specific Union legal act so provides, a certificate issued under a European cybersecurity certification scheme </w:t>
      </w:r>
      <w:r w:rsidR="00AA1F01">
        <w:rPr>
          <w:noProof/>
          <w:lang w:eastAsia="en-IE"/>
        </w:rPr>
        <w:t>shall</w:t>
      </w:r>
      <w:r w:rsidR="00AA1F01" w:rsidRPr="00E336B1">
        <w:rPr>
          <w:noProof/>
          <w:lang w:eastAsia="en-IE"/>
        </w:rPr>
        <w:t xml:space="preserve"> </w:t>
      </w:r>
      <w:r w:rsidR="00AA1F01">
        <w:rPr>
          <w:noProof/>
          <w:lang w:eastAsia="en-IE"/>
        </w:rPr>
        <w:t xml:space="preserve">demonstrate compliance and </w:t>
      </w:r>
      <w:r w:rsidR="00AA1F01" w:rsidRPr="00E336B1">
        <w:rPr>
          <w:noProof/>
          <w:lang w:eastAsia="en-IE"/>
        </w:rPr>
        <w:t>confer a presumption of conformity with corresponding requirements set out in that legal act</w:t>
      </w:r>
      <w:r w:rsidR="00AA1F01" w:rsidRPr="00BF3CD9">
        <w:rPr>
          <w:noProof/>
          <w:lang w:eastAsia="en-IE"/>
        </w:rPr>
        <w:t>.</w:t>
      </w:r>
    </w:p>
    <w:p w14:paraId="742A64DE" w14:textId="585646C2" w:rsidR="00AA1F01" w:rsidRPr="00BF3CD9" w:rsidRDefault="006D01CD" w:rsidP="006D01CD">
      <w:pPr>
        <w:pStyle w:val="ManualNumPar1"/>
        <w:rPr>
          <w:noProof/>
          <w:lang w:eastAsia="en-IE"/>
        </w:rPr>
      </w:pPr>
      <w:r w:rsidRPr="006D01CD">
        <w:rPr>
          <w:noProof/>
        </w:rPr>
        <w:t>2.</w:t>
      </w:r>
      <w:r w:rsidRPr="006D01CD">
        <w:rPr>
          <w:noProof/>
        </w:rPr>
        <w:tab/>
      </w:r>
      <w:r w:rsidR="00AA1F01" w:rsidRPr="00BF3CD9">
        <w:rPr>
          <w:noProof/>
          <w:lang w:eastAsia="en-IE"/>
        </w:rPr>
        <w:t xml:space="preserve">Evaluation activities </w:t>
      </w:r>
      <w:r w:rsidR="00AA1F01">
        <w:rPr>
          <w:noProof/>
          <w:lang w:eastAsia="en-IE"/>
        </w:rPr>
        <w:t>under a</w:t>
      </w:r>
      <w:r w:rsidR="00AA1F01" w:rsidRPr="00BF3CD9">
        <w:rPr>
          <w:noProof/>
          <w:lang w:eastAsia="en-IE"/>
        </w:rPr>
        <w:t xml:space="preserve"> European cybersecurity certification scheme shall be </w:t>
      </w:r>
      <w:r w:rsidR="00AA1F01">
        <w:rPr>
          <w:noProof/>
          <w:lang w:eastAsia="en-IE"/>
        </w:rPr>
        <w:t>consistent</w:t>
      </w:r>
      <w:r w:rsidR="00AA1F01" w:rsidRPr="00BF3CD9">
        <w:rPr>
          <w:noProof/>
          <w:lang w:eastAsia="en-IE"/>
        </w:rPr>
        <w:t xml:space="preserve"> with the corresponding </w:t>
      </w:r>
      <w:r w:rsidR="00AA1F01" w:rsidRPr="0072367B">
        <w:rPr>
          <w:noProof/>
          <w:lang w:eastAsia="en-IE"/>
        </w:rPr>
        <w:t xml:space="preserve">Union legal act setting out the </w:t>
      </w:r>
      <w:r w:rsidR="00AA1F01">
        <w:rPr>
          <w:noProof/>
          <w:lang w:eastAsia="en-IE"/>
        </w:rPr>
        <w:t>demonstration of compliance and the</w:t>
      </w:r>
      <w:r w:rsidR="00AA1F01" w:rsidRPr="0072367B">
        <w:rPr>
          <w:noProof/>
          <w:lang w:eastAsia="en-IE"/>
        </w:rPr>
        <w:t xml:space="preserve"> presumption of conformity</w:t>
      </w:r>
      <w:r w:rsidR="00AA1F01" w:rsidRPr="00BF3CD9">
        <w:rPr>
          <w:noProof/>
          <w:lang w:eastAsia="en-IE"/>
        </w:rPr>
        <w:t xml:space="preserve">. Where such evaluation activities are not specified in the corresponding Union legal act, the scheme shall specify </w:t>
      </w:r>
      <w:r w:rsidR="00AA1F01">
        <w:rPr>
          <w:noProof/>
          <w:lang w:eastAsia="en-IE"/>
        </w:rPr>
        <w:t>them</w:t>
      </w:r>
      <w:r w:rsidR="00AA1F01" w:rsidRPr="00BF3CD9">
        <w:rPr>
          <w:noProof/>
          <w:lang w:eastAsia="en-IE"/>
        </w:rPr>
        <w:t>. A conformity assessment for</w:t>
      </w:r>
      <w:r w:rsidR="00AA1F01">
        <w:rPr>
          <w:noProof/>
          <w:lang w:eastAsia="en-IE"/>
        </w:rPr>
        <w:t xml:space="preserve"> certification granting</w:t>
      </w:r>
      <w:r w:rsidR="00AA1F01" w:rsidRPr="00BF3CD9">
        <w:rPr>
          <w:noProof/>
          <w:lang w:eastAsia="en-IE"/>
        </w:rPr>
        <w:t xml:space="preserve"> the presumption of conformity with requirements </w:t>
      </w:r>
      <w:r w:rsidR="00AA1F01">
        <w:rPr>
          <w:noProof/>
          <w:lang w:eastAsia="en-IE"/>
        </w:rPr>
        <w:t>set out in</w:t>
      </w:r>
      <w:r w:rsidR="00AA1F01" w:rsidRPr="00BF3CD9">
        <w:rPr>
          <w:noProof/>
          <w:lang w:eastAsia="en-IE"/>
        </w:rPr>
        <w:t xml:space="preserve"> Union legislation shall be conducted by a third-party body.</w:t>
      </w:r>
    </w:p>
    <w:p w14:paraId="196C945C" w14:textId="097493C9" w:rsidR="00AA1F01" w:rsidRDefault="006D01CD" w:rsidP="006D01CD">
      <w:pPr>
        <w:pStyle w:val="ManualNumPar1"/>
        <w:rPr>
          <w:noProof/>
          <w:lang w:eastAsia="en-IE"/>
        </w:rPr>
      </w:pPr>
      <w:r w:rsidRPr="006D01CD">
        <w:rPr>
          <w:noProof/>
        </w:rPr>
        <w:t>3.</w:t>
      </w:r>
      <w:r w:rsidRPr="006D01CD">
        <w:rPr>
          <w:noProof/>
        </w:rPr>
        <w:tab/>
      </w:r>
      <w:r w:rsidR="00AA1F01" w:rsidRPr="00BF3CD9">
        <w:rPr>
          <w:noProof/>
          <w:lang w:eastAsia="en-IE"/>
        </w:rPr>
        <w:t xml:space="preserve">In the absence of harmonised Union legislation, </w:t>
      </w:r>
      <w:r w:rsidR="00AA1F01">
        <w:rPr>
          <w:noProof/>
          <w:lang w:eastAsia="en-IE"/>
        </w:rPr>
        <w:t>national</w:t>
      </w:r>
      <w:r w:rsidR="00AA1F01" w:rsidRPr="00BF3CD9">
        <w:rPr>
          <w:noProof/>
          <w:lang w:eastAsia="en-IE"/>
        </w:rPr>
        <w:t xml:space="preserve"> law may also provide that a European cybersecurity certification scheme may be used for </w:t>
      </w:r>
      <w:r w:rsidR="00AA1F01">
        <w:rPr>
          <w:noProof/>
          <w:lang w:eastAsia="en-IE"/>
        </w:rPr>
        <w:t xml:space="preserve">demonstrating the compliance and </w:t>
      </w:r>
      <w:r w:rsidR="00AA1F01" w:rsidRPr="00BF3CD9">
        <w:rPr>
          <w:noProof/>
          <w:lang w:eastAsia="en-IE"/>
        </w:rPr>
        <w:t xml:space="preserve">establishing the presumption of conformity </w:t>
      </w:r>
      <w:r w:rsidR="00AA1F01" w:rsidRPr="006E0AF3">
        <w:rPr>
          <w:noProof/>
          <w:lang w:eastAsia="en-IE"/>
        </w:rPr>
        <w:t>with specific legal requirements set out in national law</w:t>
      </w:r>
      <w:r w:rsidR="00AA1F01" w:rsidRPr="00BF3CD9">
        <w:rPr>
          <w:noProof/>
          <w:lang w:eastAsia="en-IE"/>
        </w:rPr>
        <w:t>.</w:t>
      </w:r>
    </w:p>
    <w:p w14:paraId="75843CB3" w14:textId="77777777" w:rsidR="00AA1F01" w:rsidRPr="000B1D92" w:rsidRDefault="00AA1F01" w:rsidP="00AA1F01">
      <w:pPr>
        <w:pStyle w:val="Titrearticle"/>
        <w:rPr>
          <w:noProof/>
          <w:lang w:eastAsia="en-IE"/>
        </w:rPr>
      </w:pPr>
      <w:r w:rsidRPr="00164577">
        <w:rPr>
          <w:noProof/>
          <w:lang w:eastAsia="en-IE"/>
        </w:rPr>
        <w:t xml:space="preserve">Article </w:t>
      </w:r>
      <w:r>
        <w:rPr>
          <w:noProof/>
          <w:lang w:eastAsia="en-IE"/>
        </w:rPr>
        <w:t>79</w:t>
      </w:r>
      <w:r>
        <w:rPr>
          <w:noProof/>
          <w:lang w:eastAsia="en-IE"/>
        </w:rPr>
        <w:br/>
        <w:t xml:space="preserve">Uptake of </w:t>
      </w:r>
      <w:r w:rsidRPr="000B1D92">
        <w:rPr>
          <w:noProof/>
          <w:lang w:eastAsia="en-IE"/>
        </w:rPr>
        <w:t>European cybersecurity certification schemes</w:t>
      </w:r>
      <w:r>
        <w:rPr>
          <w:noProof/>
          <w:lang w:eastAsia="en-IE"/>
        </w:rPr>
        <w:t>, ENISA w</w:t>
      </w:r>
      <w:r w:rsidRPr="000B1D92">
        <w:rPr>
          <w:noProof/>
          <w:lang w:eastAsia="en-IE"/>
        </w:rPr>
        <w:t>ebsite and publication of certificates</w:t>
      </w:r>
    </w:p>
    <w:p w14:paraId="6D199077" w14:textId="0D762BA2" w:rsidR="00AA1F01" w:rsidRDefault="006D01CD" w:rsidP="006D01CD">
      <w:pPr>
        <w:pStyle w:val="ManualNumPar1"/>
        <w:rPr>
          <w:noProof/>
        </w:rPr>
      </w:pPr>
      <w:r w:rsidRPr="006D01CD">
        <w:rPr>
          <w:noProof/>
        </w:rPr>
        <w:t>1.</w:t>
      </w:r>
      <w:r w:rsidRPr="006D01CD">
        <w:rPr>
          <w:noProof/>
        </w:rPr>
        <w:tab/>
      </w:r>
      <w:r w:rsidR="00AA1F01">
        <w:rPr>
          <w:noProof/>
        </w:rPr>
        <w:t xml:space="preserve">ENISA shall organise activities to promote the uptake of adopted European cybersecurity certification schemes, including by maintaining the website referred to in paragraph 2 of this Article. </w:t>
      </w:r>
    </w:p>
    <w:p w14:paraId="08C825BC" w14:textId="7682A80F" w:rsidR="00AA1F01" w:rsidRDefault="006D01CD" w:rsidP="006D01CD">
      <w:pPr>
        <w:pStyle w:val="ManualNumPar1"/>
        <w:rPr>
          <w:noProof/>
        </w:rPr>
      </w:pPr>
      <w:r w:rsidRPr="006D01CD">
        <w:rPr>
          <w:noProof/>
        </w:rPr>
        <w:t>2.</w:t>
      </w:r>
      <w:r w:rsidRPr="006D01CD">
        <w:rPr>
          <w:noProof/>
        </w:rPr>
        <w:tab/>
      </w:r>
      <w:r w:rsidR="00AA1F01" w:rsidRPr="000B1D92">
        <w:rPr>
          <w:noProof/>
        </w:rPr>
        <w:t xml:space="preserve">ENISA shall maintain and regularly update a dedicated website providing public information on </w:t>
      </w:r>
      <w:r w:rsidR="00AA1F01">
        <w:rPr>
          <w:noProof/>
        </w:rPr>
        <w:t>the following:</w:t>
      </w:r>
    </w:p>
    <w:p w14:paraId="015C648F" w14:textId="6C4A393C" w:rsidR="00AA1F01" w:rsidRDefault="006D01CD" w:rsidP="006D01CD">
      <w:pPr>
        <w:pStyle w:val="Point1"/>
        <w:rPr>
          <w:noProof/>
        </w:rPr>
      </w:pPr>
      <w:r w:rsidRPr="006D01CD">
        <w:rPr>
          <w:noProof/>
        </w:rPr>
        <w:t>(a)</w:t>
      </w:r>
      <w:r w:rsidRPr="006D01CD">
        <w:rPr>
          <w:noProof/>
        </w:rPr>
        <w:tab/>
      </w:r>
      <w:r w:rsidR="00AA1F01" w:rsidRPr="000B1D92">
        <w:rPr>
          <w:noProof/>
        </w:rPr>
        <w:t>European cybersecurity certification schemes</w:t>
      </w:r>
      <w:r w:rsidR="00AA1F01">
        <w:rPr>
          <w:noProof/>
        </w:rPr>
        <w:t>;</w:t>
      </w:r>
      <w:r w:rsidR="00AA1F01" w:rsidRPr="000B1D92">
        <w:rPr>
          <w:noProof/>
        </w:rPr>
        <w:t xml:space="preserve"> </w:t>
      </w:r>
    </w:p>
    <w:p w14:paraId="5D1C055B" w14:textId="6D839724" w:rsidR="003B763A" w:rsidRDefault="006D01CD" w:rsidP="006D01CD">
      <w:pPr>
        <w:pStyle w:val="Point1"/>
        <w:rPr>
          <w:noProof/>
        </w:rPr>
      </w:pPr>
      <w:r w:rsidRPr="006D01CD">
        <w:rPr>
          <w:noProof/>
        </w:rPr>
        <w:t>(b)</w:t>
      </w:r>
      <w:r w:rsidRPr="006D01CD">
        <w:rPr>
          <w:noProof/>
        </w:rPr>
        <w:tab/>
      </w:r>
      <w:r w:rsidR="003B763A" w:rsidRPr="000B1D92">
        <w:rPr>
          <w:noProof/>
        </w:rPr>
        <w:t xml:space="preserve">the fees associated with the maintenance of each </w:t>
      </w:r>
      <w:r w:rsidR="003B763A">
        <w:rPr>
          <w:noProof/>
        </w:rPr>
        <w:t xml:space="preserve">European cybersecurity certification </w:t>
      </w:r>
      <w:r w:rsidR="003B763A" w:rsidRPr="000B1D92">
        <w:rPr>
          <w:noProof/>
        </w:rPr>
        <w:t>scheme</w:t>
      </w:r>
      <w:r w:rsidR="003B763A">
        <w:rPr>
          <w:noProof/>
        </w:rPr>
        <w:t>;</w:t>
      </w:r>
    </w:p>
    <w:p w14:paraId="508A6B75" w14:textId="28129FA7" w:rsidR="00AA1F01" w:rsidRDefault="006D01CD" w:rsidP="006D01CD">
      <w:pPr>
        <w:pStyle w:val="Point1"/>
        <w:rPr>
          <w:noProof/>
        </w:rPr>
      </w:pPr>
      <w:r w:rsidRPr="006D01CD">
        <w:rPr>
          <w:noProof/>
        </w:rPr>
        <w:t>(c)</w:t>
      </w:r>
      <w:r w:rsidRPr="006D01CD">
        <w:rPr>
          <w:noProof/>
        </w:rPr>
        <w:tab/>
      </w:r>
      <w:r w:rsidR="00AA1F01">
        <w:rPr>
          <w:noProof/>
        </w:rPr>
        <w:t xml:space="preserve">relevant ENISA technical specifications; </w:t>
      </w:r>
    </w:p>
    <w:p w14:paraId="69495978" w14:textId="0CEE2BCA" w:rsidR="00AA1F01" w:rsidRDefault="006D01CD" w:rsidP="006D01CD">
      <w:pPr>
        <w:pStyle w:val="Point1"/>
        <w:rPr>
          <w:noProof/>
        </w:rPr>
      </w:pPr>
      <w:r w:rsidRPr="006D01CD">
        <w:rPr>
          <w:noProof/>
        </w:rPr>
        <w:t>(d)</w:t>
      </w:r>
      <w:r w:rsidRPr="006D01CD">
        <w:rPr>
          <w:noProof/>
        </w:rPr>
        <w:tab/>
      </w:r>
      <w:r w:rsidR="00AA1F01" w:rsidRPr="000B1D92">
        <w:rPr>
          <w:noProof/>
        </w:rPr>
        <w:t xml:space="preserve">European cybersecurity certificates and EU statements of conformity, including information with regard to </w:t>
      </w:r>
      <w:r w:rsidR="00AA1F01">
        <w:rPr>
          <w:noProof/>
        </w:rPr>
        <w:t xml:space="preserve">such </w:t>
      </w:r>
      <w:r w:rsidR="00AA1F01" w:rsidRPr="000B1D92">
        <w:rPr>
          <w:noProof/>
        </w:rPr>
        <w:t>certificates and statements which are no longer valid,</w:t>
      </w:r>
      <w:r w:rsidR="00AA1F01">
        <w:rPr>
          <w:noProof/>
        </w:rPr>
        <w:t xml:space="preserve"> or which </w:t>
      </w:r>
      <w:r w:rsidR="00AA1F01" w:rsidRPr="000B1D92">
        <w:rPr>
          <w:noProof/>
        </w:rPr>
        <w:t xml:space="preserve">are suspended, withdrawn </w:t>
      </w:r>
      <w:r w:rsidR="00AA1F01">
        <w:rPr>
          <w:noProof/>
        </w:rPr>
        <w:t>or</w:t>
      </w:r>
      <w:r w:rsidR="00AA1F01" w:rsidRPr="000B1D92">
        <w:rPr>
          <w:noProof/>
        </w:rPr>
        <w:t xml:space="preserve"> expired</w:t>
      </w:r>
      <w:r w:rsidR="00AA1F01">
        <w:rPr>
          <w:noProof/>
        </w:rPr>
        <w:t>;</w:t>
      </w:r>
      <w:r w:rsidR="00AA1F01" w:rsidRPr="000B1D92">
        <w:rPr>
          <w:noProof/>
        </w:rPr>
        <w:t xml:space="preserve"> </w:t>
      </w:r>
    </w:p>
    <w:p w14:paraId="3DFA4076" w14:textId="77A4EB92" w:rsidR="00AA1F01" w:rsidRDefault="006D01CD" w:rsidP="006D01CD">
      <w:pPr>
        <w:pStyle w:val="Point1"/>
        <w:rPr>
          <w:noProof/>
        </w:rPr>
      </w:pPr>
      <w:r w:rsidRPr="006D01CD">
        <w:rPr>
          <w:noProof/>
        </w:rPr>
        <w:t>(e)</w:t>
      </w:r>
      <w:r w:rsidRPr="006D01CD">
        <w:rPr>
          <w:noProof/>
        </w:rPr>
        <w:tab/>
      </w:r>
      <w:r w:rsidR="00AA1F01" w:rsidRPr="000B1D92">
        <w:rPr>
          <w:noProof/>
        </w:rPr>
        <w:t>relevant supplementary cybersecurity information provided</w:t>
      </w:r>
      <w:r w:rsidR="00BE7F9B">
        <w:rPr>
          <w:noProof/>
        </w:rPr>
        <w:t xml:space="preserve"> </w:t>
      </w:r>
      <w:r w:rsidR="00AA1F01" w:rsidRPr="000B1D92">
        <w:rPr>
          <w:noProof/>
        </w:rPr>
        <w:t>in accordance with Article 84</w:t>
      </w:r>
      <w:r w:rsidR="00522872">
        <w:rPr>
          <w:noProof/>
        </w:rPr>
        <w:t>;</w:t>
      </w:r>
    </w:p>
    <w:p w14:paraId="4487CFF9" w14:textId="6835EBD3" w:rsidR="00522872" w:rsidRDefault="006D01CD" w:rsidP="006D01CD">
      <w:pPr>
        <w:pStyle w:val="Point1"/>
        <w:rPr>
          <w:noProof/>
        </w:rPr>
      </w:pPr>
      <w:r w:rsidRPr="006D01CD">
        <w:rPr>
          <w:noProof/>
        </w:rPr>
        <w:t>(f)</w:t>
      </w:r>
      <w:r w:rsidRPr="006D01CD">
        <w:rPr>
          <w:noProof/>
        </w:rPr>
        <w:tab/>
      </w:r>
      <w:r w:rsidR="00522872">
        <w:rPr>
          <w:noProof/>
        </w:rPr>
        <w:t>summaries of peer reviews pursuant to Article 89(7);</w:t>
      </w:r>
    </w:p>
    <w:p w14:paraId="29426CE2" w14:textId="1814921C" w:rsidR="00522872" w:rsidRPr="000B1D92" w:rsidRDefault="006D01CD" w:rsidP="006D01CD">
      <w:pPr>
        <w:pStyle w:val="Point1"/>
        <w:rPr>
          <w:noProof/>
        </w:rPr>
      </w:pPr>
      <w:r w:rsidRPr="006D01CD">
        <w:rPr>
          <w:noProof/>
        </w:rPr>
        <w:t>(g)</w:t>
      </w:r>
      <w:r w:rsidRPr="006D01CD">
        <w:rPr>
          <w:noProof/>
        </w:rPr>
        <w:tab/>
      </w:r>
      <w:r w:rsidR="00522872">
        <w:rPr>
          <w:noProof/>
        </w:rPr>
        <w:t>technical specifications referenced in a European cybersecurity certification scheme pursuant to Article 74(10).</w:t>
      </w:r>
    </w:p>
    <w:p w14:paraId="6ABAF2CD" w14:textId="49BAA339" w:rsidR="00AA1F01" w:rsidRPr="00946C73" w:rsidRDefault="006D01CD" w:rsidP="006D01CD">
      <w:pPr>
        <w:pStyle w:val="ManualNumPar1"/>
        <w:rPr>
          <w:noProof/>
        </w:rPr>
      </w:pPr>
      <w:r w:rsidRPr="006D01CD">
        <w:rPr>
          <w:noProof/>
        </w:rPr>
        <w:t>3.</w:t>
      </w:r>
      <w:r w:rsidRPr="006D01CD">
        <w:rPr>
          <w:noProof/>
        </w:rPr>
        <w:tab/>
      </w:r>
      <w:r w:rsidR="00AA1F01" w:rsidRPr="000B1D92">
        <w:rPr>
          <w:noProof/>
        </w:rPr>
        <w:t xml:space="preserve">Where applicable, the website referred to in paragraph </w:t>
      </w:r>
      <w:r w:rsidR="00AA1F01">
        <w:rPr>
          <w:noProof/>
        </w:rPr>
        <w:t>2</w:t>
      </w:r>
      <w:r w:rsidR="00AA1F01" w:rsidRPr="000B1D92">
        <w:rPr>
          <w:noProof/>
        </w:rPr>
        <w:t xml:space="preserve"> shall also indicate the national cybersecurity certification schemes that have been replaced by a European cybersecurity certification scheme.</w:t>
      </w:r>
    </w:p>
    <w:p w14:paraId="21019856" w14:textId="77777777" w:rsidR="00AA1F01" w:rsidRPr="00B143E1" w:rsidRDefault="00AA1F01" w:rsidP="00AA1F01">
      <w:pPr>
        <w:rPr>
          <w:noProof/>
        </w:rPr>
      </w:pPr>
    </w:p>
    <w:p w14:paraId="553DEA5E" w14:textId="77777777" w:rsidR="00AA1F01" w:rsidRPr="00D45456" w:rsidRDefault="00AA1F01" w:rsidP="00AA1F01">
      <w:pPr>
        <w:jc w:val="center"/>
        <w:rPr>
          <w:b/>
          <w:bCs/>
          <w:i/>
          <w:iCs/>
          <w:noProof/>
        </w:rPr>
      </w:pPr>
      <w:r w:rsidRPr="00D45456">
        <w:rPr>
          <w:b/>
          <w:bCs/>
          <w:i/>
          <w:iCs/>
          <w:noProof/>
        </w:rPr>
        <w:t>CHAPTER II</w:t>
      </w:r>
      <w:r>
        <w:rPr>
          <w:b/>
          <w:bCs/>
          <w:i/>
          <w:iCs/>
          <w:noProof/>
        </w:rPr>
        <w:br/>
      </w:r>
      <w:r w:rsidRPr="00D45456">
        <w:rPr>
          <w:b/>
          <w:bCs/>
          <w:i/>
          <w:iCs/>
          <w:noProof/>
        </w:rPr>
        <w:t xml:space="preserve">Content of European </w:t>
      </w:r>
      <w:r>
        <w:rPr>
          <w:b/>
          <w:bCs/>
          <w:i/>
          <w:iCs/>
          <w:noProof/>
        </w:rPr>
        <w:t>C</w:t>
      </w:r>
      <w:r w:rsidRPr="00D45456">
        <w:rPr>
          <w:b/>
          <w:bCs/>
          <w:i/>
          <w:iCs/>
          <w:noProof/>
        </w:rPr>
        <w:t xml:space="preserve">ybersecurity </w:t>
      </w:r>
      <w:r>
        <w:rPr>
          <w:b/>
          <w:bCs/>
          <w:i/>
          <w:iCs/>
          <w:noProof/>
        </w:rPr>
        <w:t>C</w:t>
      </w:r>
      <w:r w:rsidRPr="00D45456">
        <w:rPr>
          <w:b/>
          <w:bCs/>
          <w:i/>
          <w:iCs/>
          <w:noProof/>
        </w:rPr>
        <w:t xml:space="preserve">ertification </w:t>
      </w:r>
      <w:r>
        <w:rPr>
          <w:b/>
          <w:bCs/>
          <w:i/>
          <w:iCs/>
          <w:noProof/>
        </w:rPr>
        <w:t>S</w:t>
      </w:r>
      <w:r w:rsidRPr="00D45456">
        <w:rPr>
          <w:b/>
          <w:bCs/>
          <w:i/>
          <w:iCs/>
          <w:noProof/>
        </w:rPr>
        <w:t xml:space="preserve">chemes </w:t>
      </w:r>
    </w:p>
    <w:p w14:paraId="4354EACB" w14:textId="77777777" w:rsidR="00AA1F01" w:rsidRPr="00164577" w:rsidRDefault="00AA1F01" w:rsidP="00AA1F01">
      <w:pPr>
        <w:pStyle w:val="Titrearticle"/>
        <w:rPr>
          <w:noProof/>
          <w:lang w:eastAsia="en-IE"/>
        </w:rPr>
      </w:pPr>
      <w:r w:rsidRPr="00164577">
        <w:rPr>
          <w:noProof/>
          <w:lang w:eastAsia="en-IE"/>
        </w:rPr>
        <w:t xml:space="preserve">Article </w:t>
      </w:r>
      <w:r>
        <w:rPr>
          <w:noProof/>
          <w:lang w:eastAsia="en-IE"/>
        </w:rPr>
        <w:t>80</w:t>
      </w:r>
      <w:r>
        <w:rPr>
          <w:noProof/>
          <w:lang w:eastAsia="en-IE"/>
        </w:rPr>
        <w:br/>
      </w:r>
      <w:r w:rsidRPr="00C513DB">
        <w:rPr>
          <w:noProof/>
          <w:lang w:eastAsia="en-IE"/>
        </w:rPr>
        <w:t>Security objectives of European cybersecurity certification schemes</w:t>
      </w:r>
    </w:p>
    <w:p w14:paraId="2BC05500" w14:textId="228454EC" w:rsidR="00AA1F01" w:rsidRDefault="006D01CD" w:rsidP="006D01CD">
      <w:pPr>
        <w:pStyle w:val="ManualNumPar1"/>
        <w:rPr>
          <w:noProof/>
          <w:lang w:eastAsia="en-IE"/>
        </w:rPr>
      </w:pPr>
      <w:r w:rsidRPr="006D01CD">
        <w:rPr>
          <w:noProof/>
        </w:rPr>
        <w:t>1.</w:t>
      </w:r>
      <w:r w:rsidRPr="006D01CD">
        <w:rPr>
          <w:noProof/>
        </w:rPr>
        <w:tab/>
      </w:r>
      <w:r w:rsidR="00AA1F01" w:rsidRPr="00164577">
        <w:rPr>
          <w:noProof/>
          <w:lang w:eastAsia="en-IE"/>
        </w:rPr>
        <w:t>A European cybersecurity certification scheme</w:t>
      </w:r>
      <w:r w:rsidR="00AA1F01">
        <w:rPr>
          <w:noProof/>
          <w:lang w:eastAsia="en-IE"/>
        </w:rPr>
        <w:t xml:space="preserve"> </w:t>
      </w:r>
      <w:r w:rsidR="00AA1F01" w:rsidRPr="00164577">
        <w:rPr>
          <w:noProof/>
          <w:lang w:eastAsia="en-IE"/>
        </w:rPr>
        <w:t xml:space="preserve">shall </w:t>
      </w:r>
      <w:r w:rsidR="00AA1F01">
        <w:rPr>
          <w:noProof/>
          <w:lang w:eastAsia="en-IE"/>
        </w:rPr>
        <w:t>pursue</w:t>
      </w:r>
      <w:r w:rsidR="00AA1F01" w:rsidRPr="00164577">
        <w:rPr>
          <w:noProof/>
          <w:lang w:eastAsia="en-IE"/>
        </w:rPr>
        <w:t>, as applicable, the following security objectives</w:t>
      </w:r>
      <w:r w:rsidR="00AA1F01">
        <w:rPr>
          <w:noProof/>
          <w:lang w:eastAsia="en-IE"/>
        </w:rPr>
        <w:t xml:space="preserve">: </w:t>
      </w:r>
    </w:p>
    <w:p w14:paraId="0C89A005" w14:textId="1BABA276" w:rsidR="00AA1F01" w:rsidRDefault="006D01CD" w:rsidP="006D01CD">
      <w:pPr>
        <w:pStyle w:val="Point1"/>
        <w:rPr>
          <w:noProof/>
        </w:rPr>
      </w:pPr>
      <w:r w:rsidRPr="006D01CD">
        <w:rPr>
          <w:noProof/>
        </w:rPr>
        <w:t>(a)</w:t>
      </w:r>
      <w:r w:rsidRPr="006D01CD">
        <w:rPr>
          <w:noProof/>
        </w:rPr>
        <w:tab/>
      </w:r>
      <w:r w:rsidR="00AA1F01">
        <w:rPr>
          <w:noProof/>
        </w:rPr>
        <w:t xml:space="preserve">to ensure </w:t>
      </w:r>
      <w:r w:rsidR="00AA1F01" w:rsidRPr="00164577">
        <w:rPr>
          <w:noProof/>
        </w:rPr>
        <w:t>that ICT products, ICT services</w:t>
      </w:r>
      <w:r w:rsidR="00AA1F01">
        <w:rPr>
          <w:noProof/>
        </w:rPr>
        <w:t xml:space="preserve">, </w:t>
      </w:r>
      <w:r w:rsidR="00AA1F01" w:rsidRPr="00164577">
        <w:rPr>
          <w:noProof/>
        </w:rPr>
        <w:t>ICT processes and managed security services are secure by default and by design;</w:t>
      </w:r>
    </w:p>
    <w:p w14:paraId="16CC8A14" w14:textId="7848CB49" w:rsidR="00AA1F01" w:rsidRPr="00164577" w:rsidRDefault="006D01CD" w:rsidP="006D01CD">
      <w:pPr>
        <w:pStyle w:val="Point1"/>
        <w:rPr>
          <w:noProof/>
        </w:rPr>
      </w:pPr>
      <w:r w:rsidRPr="006D01CD">
        <w:rPr>
          <w:noProof/>
        </w:rPr>
        <w:t>(b)</w:t>
      </w:r>
      <w:r w:rsidRPr="006D01CD">
        <w:rPr>
          <w:noProof/>
        </w:rPr>
        <w:tab/>
      </w:r>
      <w:r w:rsidR="00AA1F01" w:rsidRPr="00164577">
        <w:rPr>
          <w:noProof/>
        </w:rPr>
        <w:t>to protect stored, transmitted or otherwise processed data against accidental or unauthorised storage, processing, access or disclosure</w:t>
      </w:r>
      <w:r w:rsidR="00AA1F01">
        <w:rPr>
          <w:noProof/>
        </w:rPr>
        <w:t xml:space="preserve"> </w:t>
      </w:r>
      <w:r w:rsidR="00AA1F01" w:rsidRPr="00376D30">
        <w:rPr>
          <w:noProof/>
        </w:rPr>
        <w:t xml:space="preserve">using </w:t>
      </w:r>
      <w:r w:rsidR="00AA1F01">
        <w:rPr>
          <w:noProof/>
        </w:rPr>
        <w:t>appropriate</w:t>
      </w:r>
      <w:r w:rsidR="00AA1F01" w:rsidRPr="00376D30">
        <w:rPr>
          <w:noProof/>
        </w:rPr>
        <w:t xml:space="preserve"> technical means</w:t>
      </w:r>
      <w:r w:rsidR="00AA1F01">
        <w:rPr>
          <w:noProof/>
        </w:rPr>
        <w:t xml:space="preserve">, </w:t>
      </w:r>
      <w:r w:rsidR="00AA1F01" w:rsidRPr="00E82459">
        <w:rPr>
          <w:noProof/>
        </w:rPr>
        <w:t>taking into account the entire lifecycle of the ICT product</w:t>
      </w:r>
      <w:r w:rsidR="00AA1F01">
        <w:rPr>
          <w:noProof/>
        </w:rPr>
        <w:t>s</w:t>
      </w:r>
      <w:r w:rsidR="00AA1F01" w:rsidRPr="00E82459">
        <w:rPr>
          <w:noProof/>
        </w:rPr>
        <w:t>, ICT services or ICT processes</w:t>
      </w:r>
      <w:r w:rsidR="00AA1F01" w:rsidRPr="00164577">
        <w:rPr>
          <w:noProof/>
        </w:rPr>
        <w:t>;</w:t>
      </w:r>
    </w:p>
    <w:p w14:paraId="3FD9E5D3" w14:textId="21BD5A95" w:rsidR="00AA1F01" w:rsidRPr="00164577" w:rsidRDefault="006D01CD" w:rsidP="006D01CD">
      <w:pPr>
        <w:pStyle w:val="Point1"/>
        <w:rPr>
          <w:noProof/>
        </w:rPr>
      </w:pPr>
      <w:r w:rsidRPr="006D01CD">
        <w:rPr>
          <w:noProof/>
        </w:rPr>
        <w:t>(c)</w:t>
      </w:r>
      <w:r w:rsidRPr="006D01CD">
        <w:rPr>
          <w:noProof/>
        </w:rPr>
        <w:tab/>
      </w:r>
      <w:r w:rsidR="00AA1F01" w:rsidRPr="00164577">
        <w:rPr>
          <w:noProof/>
        </w:rPr>
        <w:t>to</w:t>
      </w:r>
      <w:r w:rsidR="00AA1F01" w:rsidRPr="00164577" w:rsidDel="00376D30">
        <w:rPr>
          <w:noProof/>
        </w:rPr>
        <w:t xml:space="preserve"> </w:t>
      </w:r>
      <w:r w:rsidR="00AA1F01" w:rsidRPr="00376D30">
        <w:rPr>
          <w:noProof/>
        </w:rPr>
        <w:t>protect the integrity of stored, transmitted or otherwise processed</w:t>
      </w:r>
      <w:r w:rsidR="00AA1F01">
        <w:rPr>
          <w:noProof/>
        </w:rPr>
        <w:t xml:space="preserve">, </w:t>
      </w:r>
      <w:r w:rsidR="00AA1F01" w:rsidRPr="00376D30">
        <w:rPr>
          <w:noProof/>
        </w:rPr>
        <w:t>personal or other data</w:t>
      </w:r>
      <w:r w:rsidR="00AA1F01">
        <w:rPr>
          <w:noProof/>
        </w:rPr>
        <w:t xml:space="preserve">, </w:t>
      </w:r>
      <w:r w:rsidR="00AA1F01" w:rsidRPr="00376D30">
        <w:rPr>
          <w:noProof/>
        </w:rPr>
        <w:t>commands, progra</w:t>
      </w:r>
      <w:r w:rsidR="00AA1F01">
        <w:rPr>
          <w:noProof/>
        </w:rPr>
        <w:t>m</w:t>
      </w:r>
      <w:r w:rsidR="00AA1F01" w:rsidRPr="00376D30">
        <w:rPr>
          <w:noProof/>
        </w:rPr>
        <w:t>m</w:t>
      </w:r>
      <w:r w:rsidR="00AA1F01">
        <w:rPr>
          <w:noProof/>
        </w:rPr>
        <w:t>e</w:t>
      </w:r>
      <w:r w:rsidR="00AA1F01" w:rsidRPr="00376D30">
        <w:rPr>
          <w:noProof/>
        </w:rPr>
        <w:t>s and configuration</w:t>
      </w:r>
      <w:r w:rsidR="00AA1F01">
        <w:rPr>
          <w:noProof/>
        </w:rPr>
        <w:t>s</w:t>
      </w:r>
      <w:r w:rsidR="00AA1F01" w:rsidRPr="00376D30">
        <w:rPr>
          <w:noProof/>
        </w:rPr>
        <w:t xml:space="preserve"> against any manipulation or modification not authorised by the user, and report on corruptions</w:t>
      </w:r>
      <w:r w:rsidR="00AA1F01">
        <w:rPr>
          <w:noProof/>
        </w:rPr>
        <w:t xml:space="preserve">, </w:t>
      </w:r>
      <w:r w:rsidR="00AA1F01" w:rsidRPr="00E82459">
        <w:rPr>
          <w:noProof/>
        </w:rPr>
        <w:t>taking into account</w:t>
      </w:r>
      <w:r w:rsidR="00AA1F01" w:rsidRPr="00164577">
        <w:rPr>
          <w:noProof/>
        </w:rPr>
        <w:t xml:space="preserve"> the entire lifecycle of the ICT product</w:t>
      </w:r>
      <w:r w:rsidR="00AA1F01">
        <w:rPr>
          <w:noProof/>
        </w:rPr>
        <w:t>s</w:t>
      </w:r>
      <w:r w:rsidR="00AA1F01" w:rsidRPr="00164577">
        <w:rPr>
          <w:noProof/>
        </w:rPr>
        <w:t xml:space="preserve">, ICT </w:t>
      </w:r>
      <w:r w:rsidR="00AA1F01" w:rsidRPr="00E82459">
        <w:rPr>
          <w:noProof/>
        </w:rPr>
        <w:t>services</w:t>
      </w:r>
      <w:r w:rsidR="00AA1F01" w:rsidRPr="00164577">
        <w:rPr>
          <w:noProof/>
        </w:rPr>
        <w:t xml:space="preserve"> or ICT </w:t>
      </w:r>
      <w:r w:rsidR="00AA1F01" w:rsidRPr="00E82459">
        <w:rPr>
          <w:noProof/>
        </w:rPr>
        <w:t>processes</w:t>
      </w:r>
      <w:r w:rsidR="00AA1F01" w:rsidRPr="00164577">
        <w:rPr>
          <w:noProof/>
        </w:rPr>
        <w:t>;</w:t>
      </w:r>
    </w:p>
    <w:p w14:paraId="2552B136" w14:textId="73871F01" w:rsidR="00AA1F01" w:rsidRDefault="006D01CD" w:rsidP="006D01CD">
      <w:pPr>
        <w:pStyle w:val="Point1"/>
        <w:rPr>
          <w:noProof/>
        </w:rPr>
      </w:pPr>
      <w:r w:rsidRPr="006D01CD">
        <w:rPr>
          <w:noProof/>
        </w:rPr>
        <w:t>(d)</w:t>
      </w:r>
      <w:r w:rsidRPr="006D01CD">
        <w:rPr>
          <w:noProof/>
        </w:rPr>
        <w:tab/>
      </w:r>
      <w:r w:rsidR="00AA1F01">
        <w:rPr>
          <w:noProof/>
        </w:rPr>
        <w:t xml:space="preserve">to </w:t>
      </w:r>
      <w:r w:rsidR="00AA1F01" w:rsidRPr="004A56C9">
        <w:rPr>
          <w:noProof/>
        </w:rPr>
        <w:t>ensure protection from unauthorised access by</w:t>
      </w:r>
      <w:r w:rsidR="00AA1F01">
        <w:rPr>
          <w:noProof/>
        </w:rPr>
        <w:t xml:space="preserve"> means of</w:t>
      </w:r>
      <w:r w:rsidR="00AA1F01" w:rsidRPr="004A56C9">
        <w:rPr>
          <w:noProof/>
        </w:rPr>
        <w:t xml:space="preserve"> appropriate control mechanisms, including but not limited to authentication, identity or access management systems, and report on possible unauthorised access; </w:t>
      </w:r>
    </w:p>
    <w:p w14:paraId="70652B1F" w14:textId="769CAC33" w:rsidR="00AA1F01" w:rsidRDefault="006D01CD" w:rsidP="006D01CD">
      <w:pPr>
        <w:pStyle w:val="Point1"/>
        <w:rPr>
          <w:noProof/>
        </w:rPr>
      </w:pPr>
      <w:r w:rsidRPr="006D01CD">
        <w:rPr>
          <w:noProof/>
        </w:rPr>
        <w:t>(e)</w:t>
      </w:r>
      <w:r w:rsidRPr="006D01CD">
        <w:rPr>
          <w:noProof/>
        </w:rPr>
        <w:tab/>
      </w:r>
      <w:r w:rsidR="00AA1F01">
        <w:rPr>
          <w:noProof/>
        </w:rPr>
        <w:t xml:space="preserve">to </w:t>
      </w:r>
      <w:r w:rsidR="00AA1F01" w:rsidRPr="00164577">
        <w:rPr>
          <w:noProof/>
        </w:rPr>
        <w:t>identify and document components and vulnerabilities, including</w:t>
      </w:r>
      <w:r w:rsidR="00AA1F01">
        <w:rPr>
          <w:noProof/>
        </w:rPr>
        <w:t>,</w:t>
      </w:r>
      <w:r w:rsidR="00AA1F01" w:rsidRPr="00164577">
        <w:rPr>
          <w:noProof/>
        </w:rPr>
        <w:t xml:space="preserve"> where appropriate</w:t>
      </w:r>
      <w:r w:rsidR="00AA1F01">
        <w:rPr>
          <w:noProof/>
        </w:rPr>
        <w:t>,</w:t>
      </w:r>
      <w:r w:rsidR="00AA1F01" w:rsidRPr="00164577">
        <w:rPr>
          <w:noProof/>
        </w:rPr>
        <w:t xml:space="preserve"> by drawing up a software bill of materials covering at the very least the top-level dependencies;</w:t>
      </w:r>
      <w:r w:rsidR="00AA1F01">
        <w:rPr>
          <w:noProof/>
        </w:rPr>
        <w:t xml:space="preserve"> </w:t>
      </w:r>
    </w:p>
    <w:p w14:paraId="7434418A" w14:textId="24128C4A" w:rsidR="00AA1F01" w:rsidRPr="00164577" w:rsidRDefault="006D01CD" w:rsidP="006D01CD">
      <w:pPr>
        <w:pStyle w:val="Point1"/>
        <w:rPr>
          <w:noProof/>
        </w:rPr>
      </w:pPr>
      <w:r w:rsidRPr="006D01CD">
        <w:rPr>
          <w:noProof/>
        </w:rPr>
        <w:t>(f)</w:t>
      </w:r>
      <w:r w:rsidRPr="006D01CD">
        <w:rPr>
          <w:noProof/>
        </w:rPr>
        <w:tab/>
      </w:r>
      <w:r w:rsidR="00AA1F01" w:rsidRPr="00164577">
        <w:rPr>
          <w:noProof/>
        </w:rPr>
        <w:t xml:space="preserve">to </w:t>
      </w:r>
      <w:r w:rsidR="00AA1F01" w:rsidRPr="0092655B">
        <w:rPr>
          <w:noProof/>
        </w:rPr>
        <w:t>provide security</w:t>
      </w:r>
      <w:r w:rsidR="00AA1F01">
        <w:rPr>
          <w:noProof/>
        </w:rPr>
        <w:t>-</w:t>
      </w:r>
      <w:r w:rsidR="00AA1F01" w:rsidRPr="0092655B">
        <w:rPr>
          <w:noProof/>
        </w:rPr>
        <w:t xml:space="preserve">related information by recording and monitoring relevant internal </w:t>
      </w:r>
      <w:r w:rsidR="00AA1F01" w:rsidRPr="0092655B" w:rsidDel="005D1A69">
        <w:rPr>
          <w:noProof/>
        </w:rPr>
        <w:t>activity</w:t>
      </w:r>
      <w:r w:rsidR="00AA1F01" w:rsidRPr="0092655B">
        <w:rPr>
          <w:noProof/>
        </w:rPr>
        <w:t xml:space="preserve">, including access to or modification of data, services or functions, </w:t>
      </w:r>
      <w:r w:rsidR="00AA1F01">
        <w:rPr>
          <w:noProof/>
        </w:rPr>
        <w:t xml:space="preserve">where applicable, </w:t>
      </w:r>
      <w:r w:rsidR="00AA1F01" w:rsidRPr="0092655B">
        <w:rPr>
          <w:noProof/>
        </w:rPr>
        <w:t>with an opt-out mechanism for the user</w:t>
      </w:r>
      <w:r w:rsidR="00AA1F01">
        <w:rPr>
          <w:noProof/>
        </w:rPr>
        <w:t>;</w:t>
      </w:r>
    </w:p>
    <w:p w14:paraId="13C33FF3" w14:textId="09552FAC" w:rsidR="00AA1F01" w:rsidRPr="00164577" w:rsidRDefault="006D01CD" w:rsidP="006D01CD">
      <w:pPr>
        <w:pStyle w:val="Point1"/>
        <w:rPr>
          <w:noProof/>
        </w:rPr>
      </w:pPr>
      <w:r w:rsidRPr="006D01CD">
        <w:rPr>
          <w:noProof/>
        </w:rPr>
        <w:t>(g)</w:t>
      </w:r>
      <w:r w:rsidRPr="006D01CD">
        <w:rPr>
          <w:noProof/>
        </w:rPr>
        <w:tab/>
      </w:r>
      <w:r w:rsidR="00AA1F01" w:rsidRPr="00164577">
        <w:rPr>
          <w:noProof/>
        </w:rPr>
        <w:t xml:space="preserve">to verify that </w:t>
      </w:r>
      <w:r w:rsidR="00AA1F01" w:rsidRPr="00E17162">
        <w:rPr>
          <w:noProof/>
        </w:rPr>
        <w:t>ICT products, ICT services</w:t>
      </w:r>
      <w:r w:rsidR="00AA1F01">
        <w:rPr>
          <w:noProof/>
        </w:rPr>
        <w:t xml:space="preserve"> and</w:t>
      </w:r>
      <w:r w:rsidR="00AA1F01" w:rsidRPr="00E17162">
        <w:rPr>
          <w:noProof/>
        </w:rPr>
        <w:t xml:space="preserve"> ICT processes </w:t>
      </w:r>
      <w:r w:rsidR="00AA1F01" w:rsidRPr="00164577">
        <w:rPr>
          <w:noProof/>
        </w:rPr>
        <w:t>do not contain known exploitable vulnerabilities;</w:t>
      </w:r>
    </w:p>
    <w:p w14:paraId="447907A6" w14:textId="6508453D" w:rsidR="00AA1F01" w:rsidRPr="00164577" w:rsidRDefault="006D01CD" w:rsidP="006D01CD">
      <w:pPr>
        <w:pStyle w:val="Point1"/>
        <w:rPr>
          <w:noProof/>
        </w:rPr>
      </w:pPr>
      <w:r w:rsidRPr="006D01CD">
        <w:rPr>
          <w:noProof/>
        </w:rPr>
        <w:t>(h)</w:t>
      </w:r>
      <w:r w:rsidRPr="006D01CD">
        <w:rPr>
          <w:noProof/>
        </w:rPr>
        <w:tab/>
      </w:r>
      <w:r w:rsidR="00AA1F01">
        <w:rPr>
          <w:noProof/>
        </w:rPr>
        <w:t xml:space="preserve">to </w:t>
      </w:r>
      <w:r w:rsidR="00AA1F01" w:rsidRPr="00133E0C">
        <w:rPr>
          <w:noProof/>
        </w:rPr>
        <w:t xml:space="preserve">protect the availability of essential and basic functions, </w:t>
      </w:r>
      <w:r w:rsidR="00AA1F01">
        <w:rPr>
          <w:noProof/>
        </w:rPr>
        <w:t>including</w:t>
      </w:r>
      <w:r w:rsidR="00AA1F01" w:rsidRPr="00133E0C">
        <w:rPr>
          <w:noProof/>
        </w:rPr>
        <w:t xml:space="preserve"> after an incident, including through resilience and mitigation measures against denial-of-service attacks</w:t>
      </w:r>
      <w:r w:rsidR="00AA1F01" w:rsidRPr="00164577">
        <w:rPr>
          <w:noProof/>
        </w:rPr>
        <w:t>;</w:t>
      </w:r>
    </w:p>
    <w:p w14:paraId="722731E2" w14:textId="2C44C362" w:rsidR="00AA1F01" w:rsidRPr="00164577" w:rsidRDefault="006D01CD" w:rsidP="006D01CD">
      <w:pPr>
        <w:pStyle w:val="Point1"/>
        <w:rPr>
          <w:noProof/>
        </w:rPr>
      </w:pPr>
      <w:r w:rsidRPr="006D01CD">
        <w:rPr>
          <w:noProof/>
        </w:rPr>
        <w:t>(i)</w:t>
      </w:r>
      <w:r w:rsidRPr="006D01CD">
        <w:rPr>
          <w:noProof/>
        </w:rPr>
        <w:tab/>
      </w:r>
      <w:r w:rsidR="00AA1F01" w:rsidRPr="00164577">
        <w:rPr>
          <w:noProof/>
        </w:rPr>
        <w:t xml:space="preserve">to minimise the negative impact on </w:t>
      </w:r>
      <w:r w:rsidR="00AA1F01">
        <w:rPr>
          <w:noProof/>
        </w:rPr>
        <w:t>the availability of services provided by</w:t>
      </w:r>
      <w:r w:rsidR="00AA1F01" w:rsidRPr="00164577">
        <w:rPr>
          <w:noProof/>
        </w:rPr>
        <w:t xml:space="preserve"> other networks and devices in the event of a physical or technical incident;</w:t>
      </w:r>
    </w:p>
    <w:p w14:paraId="64B1AF59" w14:textId="2FAD73EB" w:rsidR="00AA1F01" w:rsidRPr="00164577" w:rsidRDefault="006D01CD" w:rsidP="006D01CD">
      <w:pPr>
        <w:pStyle w:val="Point1"/>
        <w:rPr>
          <w:noProof/>
        </w:rPr>
      </w:pPr>
      <w:r w:rsidRPr="006D01CD">
        <w:rPr>
          <w:noProof/>
        </w:rPr>
        <w:t>(j)</w:t>
      </w:r>
      <w:r w:rsidRPr="006D01CD">
        <w:rPr>
          <w:noProof/>
        </w:rPr>
        <w:tab/>
      </w:r>
      <w:r w:rsidR="00AA1F01">
        <w:rPr>
          <w:noProof/>
        </w:rPr>
        <w:t xml:space="preserve">to ensure </w:t>
      </w:r>
      <w:r w:rsidR="00AA1F01" w:rsidRPr="00164577">
        <w:rPr>
          <w:noProof/>
        </w:rPr>
        <w:t xml:space="preserve">that ICT products, ICT services and ICT processes are regularly tested and </w:t>
      </w:r>
      <w:r w:rsidR="00AA1F01">
        <w:rPr>
          <w:noProof/>
        </w:rPr>
        <w:t xml:space="preserve">their security </w:t>
      </w:r>
      <w:r w:rsidR="00AA1F01" w:rsidRPr="00164577">
        <w:rPr>
          <w:noProof/>
        </w:rPr>
        <w:t>reviewed;</w:t>
      </w:r>
    </w:p>
    <w:p w14:paraId="0FA0DA1A" w14:textId="139AAB61" w:rsidR="00AA1F01" w:rsidRPr="00164577" w:rsidRDefault="006D01CD" w:rsidP="006D01CD">
      <w:pPr>
        <w:pStyle w:val="Point1"/>
        <w:rPr>
          <w:noProof/>
        </w:rPr>
      </w:pPr>
      <w:r w:rsidRPr="006D01CD">
        <w:rPr>
          <w:noProof/>
        </w:rPr>
        <w:t>(k)</w:t>
      </w:r>
      <w:r w:rsidRPr="006D01CD">
        <w:rPr>
          <w:noProof/>
        </w:rPr>
        <w:tab/>
      </w:r>
      <w:r w:rsidR="00AA1F01">
        <w:rPr>
          <w:noProof/>
        </w:rPr>
        <w:t xml:space="preserve">to ensure </w:t>
      </w:r>
      <w:r w:rsidR="00AA1F01" w:rsidRPr="00164577">
        <w:rPr>
          <w:noProof/>
        </w:rPr>
        <w:t xml:space="preserve">that vulnerabilities are addressed and remediated without delay, including </w:t>
      </w:r>
      <w:r w:rsidR="00AA1F01">
        <w:rPr>
          <w:noProof/>
        </w:rPr>
        <w:t>through</w:t>
      </w:r>
      <w:r w:rsidR="00AA1F01" w:rsidRPr="00164577">
        <w:rPr>
          <w:noProof/>
        </w:rPr>
        <w:t xml:space="preserve"> security updates</w:t>
      </w:r>
      <w:r w:rsidR="00AA1F01">
        <w:rPr>
          <w:noProof/>
        </w:rPr>
        <w:t xml:space="preserve">, and that information about fixed vulnerabilities is shared and publicly disclosed, unless the risks of publication outweigh the security benefits; </w:t>
      </w:r>
    </w:p>
    <w:p w14:paraId="28DBD916" w14:textId="4A6158DB" w:rsidR="00AA1F01" w:rsidRDefault="006D01CD" w:rsidP="006D01CD">
      <w:pPr>
        <w:pStyle w:val="Point1"/>
        <w:rPr>
          <w:noProof/>
        </w:rPr>
      </w:pPr>
      <w:r w:rsidRPr="006D01CD">
        <w:rPr>
          <w:noProof/>
        </w:rPr>
        <w:t>(l)</w:t>
      </w:r>
      <w:r w:rsidRPr="006D01CD">
        <w:rPr>
          <w:noProof/>
        </w:rPr>
        <w:tab/>
      </w:r>
      <w:r w:rsidR="00AA1F01">
        <w:rPr>
          <w:noProof/>
        </w:rPr>
        <w:t xml:space="preserve">to ensure </w:t>
      </w:r>
      <w:r w:rsidR="00AA1F01" w:rsidRPr="00164577">
        <w:rPr>
          <w:noProof/>
        </w:rPr>
        <w:t>that a policy on coordinated vulnerability disclosure is in place</w:t>
      </w:r>
      <w:r w:rsidR="00AA1F01">
        <w:rPr>
          <w:noProof/>
        </w:rPr>
        <w:t>;</w:t>
      </w:r>
    </w:p>
    <w:p w14:paraId="1523D8F7" w14:textId="30305CB5" w:rsidR="00AA1F01" w:rsidRDefault="006D01CD" w:rsidP="006D01CD">
      <w:pPr>
        <w:pStyle w:val="Point1"/>
        <w:rPr>
          <w:noProof/>
        </w:rPr>
      </w:pPr>
      <w:r w:rsidRPr="006D01CD">
        <w:rPr>
          <w:noProof/>
        </w:rPr>
        <w:t>(m)</w:t>
      </w:r>
      <w:r w:rsidRPr="006D01CD">
        <w:rPr>
          <w:noProof/>
        </w:rPr>
        <w:tab/>
      </w:r>
      <w:r w:rsidR="00AA1F01">
        <w:rPr>
          <w:noProof/>
        </w:rPr>
        <w:t>to facilitate the sharing of information about potential vulnerabilities in ICT products, ICT services and ICT processes;</w:t>
      </w:r>
    </w:p>
    <w:p w14:paraId="1B474982" w14:textId="01157B85" w:rsidR="00AA1F01" w:rsidRPr="00164577" w:rsidRDefault="006D01CD" w:rsidP="006D01CD">
      <w:pPr>
        <w:pStyle w:val="Point1"/>
        <w:rPr>
          <w:noProof/>
        </w:rPr>
      </w:pPr>
      <w:r w:rsidRPr="006D01CD">
        <w:rPr>
          <w:noProof/>
        </w:rPr>
        <w:t>(n)</w:t>
      </w:r>
      <w:r w:rsidRPr="006D01CD">
        <w:rPr>
          <w:noProof/>
        </w:rPr>
        <w:tab/>
      </w:r>
      <w:r w:rsidR="00AA1F01" w:rsidRPr="00B42FD7">
        <w:rPr>
          <w:noProof/>
        </w:rPr>
        <w:t>to ensure that</w:t>
      </w:r>
      <w:r w:rsidR="00AA1F01" w:rsidRPr="000748F5">
        <w:rPr>
          <w:noProof/>
        </w:rPr>
        <w:t xml:space="preserve">, where security updates are available to address identified security issues, </w:t>
      </w:r>
      <w:r w:rsidR="00AA1F01">
        <w:rPr>
          <w:noProof/>
        </w:rPr>
        <w:t>those security updates</w:t>
      </w:r>
      <w:r w:rsidR="00AA1F01" w:rsidRPr="000748F5">
        <w:rPr>
          <w:noProof/>
        </w:rPr>
        <w:t xml:space="preserve"> are disseminated without delay</w:t>
      </w:r>
      <w:r w:rsidR="00AA1F01">
        <w:rPr>
          <w:noProof/>
        </w:rPr>
        <w:t>;</w:t>
      </w:r>
    </w:p>
    <w:p w14:paraId="18DBC889" w14:textId="19CA4DC0" w:rsidR="00AA1F01" w:rsidRDefault="006D01CD" w:rsidP="006D01CD">
      <w:pPr>
        <w:pStyle w:val="Point1"/>
        <w:rPr>
          <w:noProof/>
        </w:rPr>
      </w:pPr>
      <w:r w:rsidRPr="006D01CD">
        <w:rPr>
          <w:noProof/>
        </w:rPr>
        <w:t>(o)</w:t>
      </w:r>
      <w:r w:rsidRPr="006D01CD">
        <w:rPr>
          <w:noProof/>
        </w:rPr>
        <w:tab/>
      </w:r>
      <w:r w:rsidR="00AA1F01">
        <w:rPr>
          <w:noProof/>
        </w:rPr>
        <w:t xml:space="preserve">to ensure </w:t>
      </w:r>
      <w:r w:rsidR="00AA1F01" w:rsidRPr="000B1D92">
        <w:rPr>
          <w:noProof/>
        </w:rPr>
        <w:t>that the managed security services are provided with the requisite competence, expertise and experience, including that the staff tasked with providing those services have a sufficient and appropriate level of technical knowledge and competence in the specific field, sufficient and appropriate experience, and the highest degree of professional integrity;</w:t>
      </w:r>
    </w:p>
    <w:p w14:paraId="42A8EE1C" w14:textId="70737E89" w:rsidR="00AA1F01" w:rsidRPr="000B1D92" w:rsidRDefault="006D01CD" w:rsidP="006D01CD">
      <w:pPr>
        <w:pStyle w:val="Point1"/>
        <w:rPr>
          <w:noProof/>
        </w:rPr>
      </w:pPr>
      <w:r w:rsidRPr="006D01CD">
        <w:rPr>
          <w:noProof/>
        </w:rPr>
        <w:t>(p)</w:t>
      </w:r>
      <w:r w:rsidRPr="006D01CD">
        <w:rPr>
          <w:noProof/>
        </w:rPr>
        <w:tab/>
      </w:r>
      <w:r w:rsidR="00AA1F01">
        <w:rPr>
          <w:noProof/>
        </w:rPr>
        <w:t xml:space="preserve">to ensure </w:t>
      </w:r>
      <w:r w:rsidR="00AA1F01" w:rsidRPr="008D56FB">
        <w:rPr>
          <w:noProof/>
        </w:rPr>
        <w:t>that the ICT products, ICT services and ICT processes deployed in the provision of the managed security services are secure by design and by default and, where applicable, include the latest security updates and do not contain publicly known vulnerabilities</w:t>
      </w:r>
      <w:r w:rsidR="00AA1F01">
        <w:rPr>
          <w:noProof/>
        </w:rPr>
        <w:t>;</w:t>
      </w:r>
    </w:p>
    <w:p w14:paraId="65C386CE" w14:textId="311AE943" w:rsidR="00AA1F01" w:rsidRPr="000B1D92" w:rsidRDefault="006D01CD" w:rsidP="006D01CD">
      <w:pPr>
        <w:pStyle w:val="Point1"/>
        <w:rPr>
          <w:noProof/>
        </w:rPr>
      </w:pPr>
      <w:r w:rsidRPr="006D01CD">
        <w:rPr>
          <w:noProof/>
        </w:rPr>
        <w:t>(q)</w:t>
      </w:r>
      <w:r w:rsidRPr="006D01CD">
        <w:rPr>
          <w:noProof/>
        </w:rPr>
        <w:tab/>
      </w:r>
      <w:r w:rsidR="00AA1F01">
        <w:rPr>
          <w:noProof/>
        </w:rPr>
        <w:t xml:space="preserve">to ensure </w:t>
      </w:r>
      <w:r w:rsidR="00AA1F01" w:rsidRPr="000B1D92">
        <w:rPr>
          <w:noProof/>
        </w:rPr>
        <w:t xml:space="preserve">that the </w:t>
      </w:r>
      <w:r w:rsidR="00AA1F01">
        <w:rPr>
          <w:noProof/>
        </w:rPr>
        <w:t xml:space="preserve">certified </w:t>
      </w:r>
      <w:r w:rsidR="00AA1F01" w:rsidRPr="000B1D92">
        <w:rPr>
          <w:noProof/>
        </w:rPr>
        <w:t>entity has appropriate internal procedures in place to ensure that services are provided at a sufficient and appropriate level of quality;</w:t>
      </w:r>
    </w:p>
    <w:p w14:paraId="1917767D" w14:textId="4848EF8E" w:rsidR="00AA1F01" w:rsidRPr="00164577" w:rsidRDefault="006D01CD" w:rsidP="006D01CD">
      <w:pPr>
        <w:pStyle w:val="Point1"/>
        <w:rPr>
          <w:noProof/>
        </w:rPr>
      </w:pPr>
      <w:r w:rsidRPr="006D01CD">
        <w:rPr>
          <w:noProof/>
        </w:rPr>
        <w:t>(r)</w:t>
      </w:r>
      <w:r w:rsidRPr="006D01CD">
        <w:rPr>
          <w:noProof/>
        </w:rPr>
        <w:tab/>
      </w:r>
      <w:r w:rsidR="00AA1F01">
        <w:rPr>
          <w:noProof/>
        </w:rPr>
        <w:t xml:space="preserve">to ensure that </w:t>
      </w:r>
      <w:r w:rsidR="00AA1F01" w:rsidRPr="00164577">
        <w:rPr>
          <w:noProof/>
        </w:rPr>
        <w:t xml:space="preserve">the </w:t>
      </w:r>
      <w:r w:rsidR="00AA1F01">
        <w:rPr>
          <w:noProof/>
        </w:rPr>
        <w:t xml:space="preserve">certified </w:t>
      </w:r>
      <w:r w:rsidR="00AA1F01" w:rsidRPr="00164577">
        <w:rPr>
          <w:noProof/>
        </w:rPr>
        <w:t>entity</w:t>
      </w:r>
      <w:r w:rsidR="00AA1F01">
        <w:rPr>
          <w:noProof/>
        </w:rPr>
        <w:t xml:space="preserve"> is able </w:t>
      </w:r>
      <w:r w:rsidR="00AA1F01" w:rsidRPr="00164577">
        <w:rPr>
          <w:noProof/>
        </w:rPr>
        <w:t>to identify, protect</w:t>
      </w:r>
      <w:r w:rsidR="00AA1F01">
        <w:rPr>
          <w:noProof/>
        </w:rPr>
        <w:t xml:space="preserve"> against</w:t>
      </w:r>
      <w:r w:rsidR="00AA1F01" w:rsidRPr="00164577">
        <w:rPr>
          <w:noProof/>
        </w:rPr>
        <w:t>, detect, respond</w:t>
      </w:r>
      <w:r w:rsidR="00AA1F01">
        <w:rPr>
          <w:noProof/>
        </w:rPr>
        <w:t xml:space="preserve"> to</w:t>
      </w:r>
      <w:r w:rsidR="00AA1F01" w:rsidRPr="00164577">
        <w:rPr>
          <w:noProof/>
        </w:rPr>
        <w:t>, and recover from incident</w:t>
      </w:r>
      <w:r w:rsidR="00AA1F01">
        <w:rPr>
          <w:noProof/>
        </w:rPr>
        <w:t>s</w:t>
      </w:r>
      <w:r w:rsidR="00AA1F01" w:rsidRPr="00164577">
        <w:rPr>
          <w:noProof/>
        </w:rPr>
        <w:t xml:space="preserve">; </w:t>
      </w:r>
    </w:p>
    <w:p w14:paraId="3429513C" w14:textId="15891DCD" w:rsidR="00AA1F01" w:rsidRPr="00164577" w:rsidRDefault="006D01CD" w:rsidP="006D01CD">
      <w:pPr>
        <w:pStyle w:val="Point1"/>
        <w:rPr>
          <w:noProof/>
        </w:rPr>
      </w:pPr>
      <w:r w:rsidRPr="006D01CD">
        <w:rPr>
          <w:noProof/>
        </w:rPr>
        <w:t>(s)</w:t>
      </w:r>
      <w:r w:rsidRPr="006D01CD">
        <w:rPr>
          <w:noProof/>
        </w:rPr>
        <w:tab/>
      </w:r>
      <w:r w:rsidR="00AA1F01">
        <w:rPr>
          <w:noProof/>
        </w:rPr>
        <w:t xml:space="preserve">to ensure that </w:t>
      </w:r>
      <w:r w:rsidR="00AA1F01" w:rsidRPr="00164577">
        <w:rPr>
          <w:noProof/>
        </w:rPr>
        <w:t xml:space="preserve">the </w:t>
      </w:r>
      <w:r w:rsidR="00AA1F01">
        <w:rPr>
          <w:noProof/>
        </w:rPr>
        <w:t xml:space="preserve">certified </w:t>
      </w:r>
      <w:r w:rsidR="00AA1F01" w:rsidRPr="00164577">
        <w:rPr>
          <w:noProof/>
        </w:rPr>
        <w:t>entity</w:t>
      </w:r>
      <w:r w:rsidR="00AA1F01">
        <w:rPr>
          <w:noProof/>
        </w:rPr>
        <w:t xml:space="preserve"> is able to</w:t>
      </w:r>
      <w:r w:rsidR="00AA1F01" w:rsidRPr="00164577">
        <w:rPr>
          <w:noProof/>
        </w:rPr>
        <w:t xml:space="preserve"> manage the risks posed to the security of network and information systems </w:t>
      </w:r>
      <w:r w:rsidR="00AA1F01">
        <w:rPr>
          <w:noProof/>
        </w:rPr>
        <w:t>used by</w:t>
      </w:r>
      <w:r w:rsidR="00AA1F01" w:rsidRPr="00164577">
        <w:rPr>
          <w:noProof/>
        </w:rPr>
        <w:t xml:space="preserve"> the entity for its operations or for the provision of its services, and to prevent or minimise the impact of incidents on recipients of its services and on other services;</w:t>
      </w:r>
    </w:p>
    <w:p w14:paraId="301E2AA3" w14:textId="3DFC5D03" w:rsidR="00AA1F01" w:rsidRPr="00164577" w:rsidRDefault="006D01CD" w:rsidP="006D01CD">
      <w:pPr>
        <w:pStyle w:val="Point1"/>
        <w:rPr>
          <w:noProof/>
        </w:rPr>
      </w:pPr>
      <w:r w:rsidRPr="006D01CD">
        <w:rPr>
          <w:noProof/>
        </w:rPr>
        <w:t>(t)</w:t>
      </w:r>
      <w:r w:rsidRPr="006D01CD">
        <w:rPr>
          <w:noProof/>
        </w:rPr>
        <w:tab/>
      </w:r>
      <w:r w:rsidR="00AA1F01">
        <w:rPr>
          <w:noProof/>
        </w:rPr>
        <w:t xml:space="preserve">to ensure that </w:t>
      </w:r>
      <w:r w:rsidR="00AA1F01" w:rsidRPr="00164577">
        <w:rPr>
          <w:noProof/>
        </w:rPr>
        <w:t xml:space="preserve">the </w:t>
      </w:r>
      <w:r w:rsidR="00AA1F01">
        <w:rPr>
          <w:noProof/>
        </w:rPr>
        <w:t xml:space="preserve">certified </w:t>
      </w:r>
      <w:r w:rsidR="00AA1F01" w:rsidRPr="00164577">
        <w:rPr>
          <w:noProof/>
        </w:rPr>
        <w:t>entity</w:t>
      </w:r>
      <w:r w:rsidR="00AA1F01">
        <w:rPr>
          <w:noProof/>
        </w:rPr>
        <w:t xml:space="preserve"> is able </w:t>
      </w:r>
      <w:r w:rsidR="00AA1F01" w:rsidRPr="00164577">
        <w:rPr>
          <w:noProof/>
        </w:rPr>
        <w:t xml:space="preserve">to build, assure and review its operational integrity and reliability by ensuring, either directly or indirectly through the use of services provided by ICT third-party service providers, </w:t>
      </w:r>
      <w:r w:rsidR="00AA1F01">
        <w:rPr>
          <w:noProof/>
        </w:rPr>
        <w:t xml:space="preserve">that it has in place </w:t>
      </w:r>
      <w:r w:rsidR="00AA1F01" w:rsidRPr="00164577">
        <w:rPr>
          <w:noProof/>
        </w:rPr>
        <w:t xml:space="preserve">the full range of ICT-related capabilities needed to address the security of the network and information systems </w:t>
      </w:r>
      <w:r w:rsidR="00AA1F01">
        <w:rPr>
          <w:noProof/>
        </w:rPr>
        <w:t>that are used by the</w:t>
      </w:r>
      <w:r w:rsidR="00AA1F01" w:rsidRPr="00164577">
        <w:rPr>
          <w:noProof/>
        </w:rPr>
        <w:t xml:space="preserve"> entity, and </w:t>
      </w:r>
      <w:r w:rsidR="00AA1F01">
        <w:rPr>
          <w:noProof/>
        </w:rPr>
        <w:t>that</w:t>
      </w:r>
      <w:r w:rsidR="00AA1F01" w:rsidRPr="00164577">
        <w:rPr>
          <w:noProof/>
        </w:rPr>
        <w:t xml:space="preserve"> support the continued provision of services and their quality, including throughout disruptions;</w:t>
      </w:r>
    </w:p>
    <w:p w14:paraId="10567FC4" w14:textId="2630ECE2" w:rsidR="00AA1F01" w:rsidRPr="00164577" w:rsidRDefault="006D01CD" w:rsidP="006D01CD">
      <w:pPr>
        <w:pStyle w:val="Point1"/>
        <w:rPr>
          <w:noProof/>
        </w:rPr>
      </w:pPr>
      <w:r w:rsidRPr="006D01CD">
        <w:rPr>
          <w:noProof/>
        </w:rPr>
        <w:t>(u)</w:t>
      </w:r>
      <w:r w:rsidRPr="006D01CD">
        <w:rPr>
          <w:noProof/>
        </w:rPr>
        <w:tab/>
      </w:r>
      <w:r w:rsidR="00AA1F01">
        <w:rPr>
          <w:noProof/>
        </w:rPr>
        <w:t xml:space="preserve">to ensure that </w:t>
      </w:r>
      <w:r w:rsidR="00AA1F01" w:rsidRPr="00164577">
        <w:rPr>
          <w:noProof/>
        </w:rPr>
        <w:t xml:space="preserve">the </w:t>
      </w:r>
      <w:r w:rsidR="00AA1F01">
        <w:rPr>
          <w:noProof/>
        </w:rPr>
        <w:t xml:space="preserve">certified </w:t>
      </w:r>
      <w:r w:rsidR="00AA1F01" w:rsidRPr="00164577">
        <w:rPr>
          <w:noProof/>
        </w:rPr>
        <w:t>entit</w:t>
      </w:r>
      <w:r w:rsidR="00AA1F01">
        <w:rPr>
          <w:noProof/>
        </w:rPr>
        <w:t>y is able</w:t>
      </w:r>
      <w:r w:rsidR="00AA1F01" w:rsidRPr="00164577">
        <w:rPr>
          <w:noProof/>
        </w:rPr>
        <w:t xml:space="preserve"> to implement and maintain an information security management system;  </w:t>
      </w:r>
    </w:p>
    <w:p w14:paraId="61703FCB" w14:textId="0C5B50A1" w:rsidR="00AA1F01" w:rsidRPr="00164577" w:rsidRDefault="006D01CD" w:rsidP="006D01CD">
      <w:pPr>
        <w:pStyle w:val="Point1"/>
        <w:rPr>
          <w:noProof/>
        </w:rPr>
      </w:pPr>
      <w:r w:rsidRPr="006D01CD">
        <w:rPr>
          <w:noProof/>
        </w:rPr>
        <w:t>(v)</w:t>
      </w:r>
      <w:r w:rsidRPr="006D01CD">
        <w:rPr>
          <w:noProof/>
        </w:rPr>
        <w:tab/>
      </w:r>
      <w:r w:rsidR="00AA1F01" w:rsidRPr="00164577">
        <w:rPr>
          <w:noProof/>
        </w:rPr>
        <w:t xml:space="preserve">to resist any event that may compromise the availability, authenticity, integrity or confidentiality of stored, transmitted or processed data or of the services offered by, or accessible via, the network and information system used by </w:t>
      </w:r>
      <w:r w:rsidR="00AA1F01">
        <w:rPr>
          <w:noProof/>
        </w:rPr>
        <w:t xml:space="preserve">the </w:t>
      </w:r>
      <w:r w:rsidR="00AA1F01" w:rsidRPr="00164577">
        <w:rPr>
          <w:noProof/>
        </w:rPr>
        <w:t>entity, and to ensure the continued provision of services and their quality, including throughout disruptions;</w:t>
      </w:r>
    </w:p>
    <w:p w14:paraId="2A4C346D" w14:textId="0FA6C835" w:rsidR="00AA1F01" w:rsidRPr="00164577" w:rsidRDefault="006D01CD" w:rsidP="006D01CD">
      <w:pPr>
        <w:pStyle w:val="Point1"/>
        <w:rPr>
          <w:noProof/>
        </w:rPr>
      </w:pPr>
      <w:r w:rsidRPr="006D01CD">
        <w:rPr>
          <w:noProof/>
        </w:rPr>
        <w:t>(w)</w:t>
      </w:r>
      <w:r w:rsidRPr="006D01CD">
        <w:rPr>
          <w:noProof/>
        </w:rPr>
        <w:tab/>
      </w:r>
      <w:r w:rsidR="00AA1F01">
        <w:rPr>
          <w:noProof/>
        </w:rPr>
        <w:t xml:space="preserve">to ensure that </w:t>
      </w:r>
      <w:r w:rsidR="00AA1F01" w:rsidRPr="00164577">
        <w:rPr>
          <w:noProof/>
        </w:rPr>
        <w:t>the entit</w:t>
      </w:r>
      <w:r w:rsidR="00AA1F01">
        <w:rPr>
          <w:noProof/>
        </w:rPr>
        <w:t>y is able</w:t>
      </w:r>
      <w:r w:rsidR="00AA1F01" w:rsidRPr="00164577">
        <w:rPr>
          <w:noProof/>
        </w:rPr>
        <w:t xml:space="preserve"> to ensure the security of processing of personal data.</w:t>
      </w:r>
    </w:p>
    <w:p w14:paraId="4883FFBB" w14:textId="3E34EE4D" w:rsidR="00AA1F01" w:rsidRPr="00301BF5" w:rsidRDefault="006D01CD" w:rsidP="006D01CD">
      <w:pPr>
        <w:pStyle w:val="ManualNumPar1"/>
        <w:rPr>
          <w:noProof/>
          <w:lang w:eastAsia="en-IE"/>
        </w:rPr>
      </w:pPr>
      <w:r w:rsidRPr="006D01CD">
        <w:rPr>
          <w:noProof/>
        </w:rPr>
        <w:t>2.</w:t>
      </w:r>
      <w:r w:rsidRPr="006D01CD">
        <w:rPr>
          <w:noProof/>
        </w:rPr>
        <w:tab/>
      </w:r>
      <w:r w:rsidR="00AA1F01" w:rsidRPr="00E65C5B">
        <w:rPr>
          <w:noProof/>
          <w:lang w:eastAsia="en-IE"/>
        </w:rPr>
        <w:t xml:space="preserve">The Commission is empowered to adopt delegated acts in accordance with </w:t>
      </w:r>
      <w:r w:rsidR="00AA1F01" w:rsidRPr="004F37A8">
        <w:rPr>
          <w:noProof/>
          <w:lang w:eastAsia="en-IE"/>
        </w:rPr>
        <w:t>Article 1</w:t>
      </w:r>
      <w:r w:rsidR="00AA1F01">
        <w:rPr>
          <w:noProof/>
          <w:lang w:eastAsia="en-IE"/>
        </w:rPr>
        <w:t>1</w:t>
      </w:r>
      <w:r w:rsidR="00372503">
        <w:rPr>
          <w:noProof/>
          <w:lang w:eastAsia="en-IE"/>
        </w:rPr>
        <w:t>9</w:t>
      </w:r>
      <w:r w:rsidR="00AA1F01" w:rsidRPr="00E65C5B">
        <w:rPr>
          <w:noProof/>
          <w:lang w:eastAsia="en-IE"/>
        </w:rPr>
        <w:t xml:space="preserve"> </w:t>
      </w:r>
      <w:r w:rsidR="00AA1F01">
        <w:rPr>
          <w:noProof/>
          <w:lang w:eastAsia="en-IE"/>
        </w:rPr>
        <w:t>to amend</w:t>
      </w:r>
      <w:r w:rsidR="00AA1F01" w:rsidRPr="00E65C5B">
        <w:rPr>
          <w:noProof/>
          <w:lang w:eastAsia="en-IE"/>
        </w:rPr>
        <w:t xml:space="preserve"> </w:t>
      </w:r>
      <w:r w:rsidR="00AA1F01">
        <w:rPr>
          <w:noProof/>
          <w:lang w:eastAsia="en-IE"/>
        </w:rPr>
        <w:t xml:space="preserve">paragraph 1 of this Article by adding or modifying security objectives in order to ensure that they reflect the latest </w:t>
      </w:r>
      <w:r w:rsidR="00AA1F01">
        <w:rPr>
          <w:noProof/>
        </w:rPr>
        <w:t>technological development and new related threats as well as adoption of new Union legislation</w:t>
      </w:r>
      <w:r w:rsidR="00AA1F01">
        <w:rPr>
          <w:noProof/>
          <w:lang w:eastAsia="en-IE"/>
        </w:rPr>
        <w:t xml:space="preserve"> s</w:t>
      </w:r>
      <w:r w:rsidR="00AA1F01" w:rsidRPr="0072367B">
        <w:rPr>
          <w:noProof/>
          <w:lang w:eastAsia="en-IE"/>
        </w:rPr>
        <w:t xml:space="preserve">etting out the </w:t>
      </w:r>
      <w:r w:rsidR="00AA1F01">
        <w:rPr>
          <w:noProof/>
          <w:lang w:eastAsia="en-IE"/>
        </w:rPr>
        <w:t>demonstration of compliance and the</w:t>
      </w:r>
      <w:r w:rsidR="00AA1F01" w:rsidRPr="0072367B">
        <w:rPr>
          <w:noProof/>
          <w:lang w:eastAsia="en-IE"/>
        </w:rPr>
        <w:t xml:space="preserve"> presumption of conformity</w:t>
      </w:r>
      <w:r w:rsidR="00AA1F01">
        <w:rPr>
          <w:noProof/>
          <w:lang w:eastAsia="en-IE"/>
        </w:rPr>
        <w:t xml:space="preserve"> through European cybersecurity certification with relevant cybersecurity requirements of that legislation.</w:t>
      </w:r>
    </w:p>
    <w:p w14:paraId="0AF68360" w14:textId="2E16DD4F" w:rsidR="00AA1F01" w:rsidRPr="00E65C5B" w:rsidRDefault="006D01CD" w:rsidP="006D01CD">
      <w:pPr>
        <w:pStyle w:val="ManualNumPar1"/>
        <w:rPr>
          <w:noProof/>
        </w:rPr>
      </w:pPr>
      <w:r w:rsidRPr="006D01CD">
        <w:rPr>
          <w:noProof/>
        </w:rPr>
        <w:t>3.</w:t>
      </w:r>
      <w:r w:rsidRPr="006D01CD">
        <w:rPr>
          <w:noProof/>
        </w:rPr>
        <w:tab/>
      </w:r>
      <w:r w:rsidR="00AA1F01" w:rsidRPr="00AA2306">
        <w:rPr>
          <w:noProof/>
        </w:rPr>
        <w:t xml:space="preserve">A European cybersecurity certification scheme addressing products with digital elements </w:t>
      </w:r>
      <w:r w:rsidR="00AA1F01" w:rsidRPr="00E65C5B">
        <w:rPr>
          <w:noProof/>
        </w:rPr>
        <w:t>as</w:t>
      </w:r>
      <w:r w:rsidR="00AA1F01" w:rsidRPr="00AA2306">
        <w:rPr>
          <w:noProof/>
        </w:rPr>
        <w:t xml:space="preserve"> defined in Article 3, point (1), of Regulation (EU) 2024/2847</w:t>
      </w:r>
      <w:r w:rsidR="00AA1F01" w:rsidRPr="00AA2306">
        <w:rPr>
          <w:rFonts w:hint="eastAsia"/>
          <w:noProof/>
        </w:rPr>
        <w:t> </w:t>
      </w:r>
      <w:r w:rsidR="00AA1F01" w:rsidRPr="00AA2306">
        <w:rPr>
          <w:noProof/>
        </w:rPr>
        <w:t>shall be designed in alignment with the essential cybersecurity requirements set out in Annex I that Regulation and take into account available harmonised standards.</w:t>
      </w:r>
    </w:p>
    <w:p w14:paraId="2E1AB691" w14:textId="77777777" w:rsidR="00AA1F01" w:rsidRPr="00164577" w:rsidRDefault="00AA1F01" w:rsidP="00AA1F01">
      <w:pPr>
        <w:pStyle w:val="Titrearticle"/>
        <w:rPr>
          <w:noProof/>
          <w:lang w:eastAsia="en-IE"/>
        </w:rPr>
      </w:pPr>
      <w:r w:rsidRPr="00164577">
        <w:rPr>
          <w:noProof/>
          <w:lang w:eastAsia="en-IE"/>
        </w:rPr>
        <w:t xml:space="preserve">Article </w:t>
      </w:r>
      <w:r>
        <w:rPr>
          <w:noProof/>
          <w:lang w:eastAsia="en-IE"/>
        </w:rPr>
        <w:t>81</w:t>
      </w:r>
      <w:r>
        <w:rPr>
          <w:noProof/>
          <w:lang w:eastAsia="en-IE"/>
        </w:rPr>
        <w:br/>
      </w:r>
      <w:r w:rsidRPr="00C513DB">
        <w:rPr>
          <w:noProof/>
          <w:lang w:eastAsia="en-IE"/>
        </w:rPr>
        <w:t>Elements of European cybersecurity certification scheme</w:t>
      </w:r>
      <w:r>
        <w:rPr>
          <w:noProof/>
          <w:lang w:eastAsia="en-IE"/>
        </w:rPr>
        <w:t>s</w:t>
      </w:r>
    </w:p>
    <w:p w14:paraId="51DAB776" w14:textId="30545392" w:rsidR="00AA1F01" w:rsidRPr="00F566CA" w:rsidRDefault="006D01CD" w:rsidP="006D01CD">
      <w:pPr>
        <w:pStyle w:val="ManualNumPar1"/>
        <w:rPr>
          <w:noProof/>
          <w:lang w:eastAsia="en-IE"/>
        </w:rPr>
      </w:pPr>
      <w:r w:rsidRPr="006D01CD">
        <w:rPr>
          <w:noProof/>
        </w:rPr>
        <w:t>1.</w:t>
      </w:r>
      <w:r w:rsidRPr="006D01CD">
        <w:rPr>
          <w:noProof/>
        </w:rPr>
        <w:tab/>
      </w:r>
      <w:r w:rsidR="00AA1F01" w:rsidRPr="001A761D">
        <w:rPr>
          <w:noProof/>
          <w:lang w:eastAsia="en-IE"/>
        </w:rPr>
        <w:t>A European cybersecurity certification scheme shall include</w:t>
      </w:r>
      <w:r w:rsidR="00AA1F01" w:rsidRPr="002707ED">
        <w:rPr>
          <w:noProof/>
          <w:lang w:eastAsia="en-IE"/>
        </w:rPr>
        <w:t xml:space="preserve"> </w:t>
      </w:r>
      <w:r w:rsidR="00AA1F01" w:rsidRPr="001A761D">
        <w:rPr>
          <w:noProof/>
          <w:lang w:eastAsia="en-IE"/>
        </w:rPr>
        <w:t>at least the following:</w:t>
      </w:r>
    </w:p>
    <w:p w14:paraId="4EBCFB17" w14:textId="47B61BC6" w:rsidR="00AA1F01" w:rsidRPr="000B1D92" w:rsidRDefault="006D01CD" w:rsidP="006D01CD">
      <w:pPr>
        <w:pStyle w:val="Point1"/>
        <w:rPr>
          <w:noProof/>
        </w:rPr>
      </w:pPr>
      <w:r w:rsidRPr="006D01CD">
        <w:rPr>
          <w:noProof/>
        </w:rPr>
        <w:t>(a)</w:t>
      </w:r>
      <w:r w:rsidRPr="006D01CD">
        <w:rPr>
          <w:noProof/>
        </w:rPr>
        <w:tab/>
      </w:r>
      <w:r w:rsidR="00AA1F01" w:rsidRPr="000B1D92">
        <w:rPr>
          <w:noProof/>
        </w:rPr>
        <w:t>the subject matter and scope of the certification scheme, including the type or categories of ICT products, ICT services, ICT processes or managed security services</w:t>
      </w:r>
      <w:r w:rsidR="00770BFB">
        <w:rPr>
          <w:noProof/>
        </w:rPr>
        <w:t>, or</w:t>
      </w:r>
      <w:r w:rsidR="00AA1F01" w:rsidRPr="000B1D92">
        <w:rPr>
          <w:noProof/>
        </w:rPr>
        <w:t xml:space="preserve"> the entity’s assets</w:t>
      </w:r>
      <w:r w:rsidR="00AA1F01">
        <w:rPr>
          <w:noProof/>
        </w:rPr>
        <w:t>,</w:t>
      </w:r>
      <w:r w:rsidR="00AA1F01" w:rsidRPr="000B1D92">
        <w:rPr>
          <w:noProof/>
        </w:rPr>
        <w:t xml:space="preserve"> services and functions covered</w:t>
      </w:r>
      <w:r w:rsidR="00AA1F01">
        <w:rPr>
          <w:noProof/>
        </w:rPr>
        <w:t xml:space="preserve"> </w:t>
      </w:r>
      <w:r w:rsidR="00AA1F01" w:rsidRPr="000B1D92">
        <w:rPr>
          <w:noProof/>
        </w:rPr>
        <w:t>in scope of certification;</w:t>
      </w:r>
    </w:p>
    <w:p w14:paraId="42F9774C" w14:textId="0F792A77" w:rsidR="00AA1F01" w:rsidRDefault="006D01CD" w:rsidP="006D01CD">
      <w:pPr>
        <w:pStyle w:val="Point1"/>
        <w:rPr>
          <w:noProof/>
        </w:rPr>
      </w:pPr>
      <w:r w:rsidRPr="006D01CD">
        <w:rPr>
          <w:noProof/>
        </w:rPr>
        <w:t>(b)</w:t>
      </w:r>
      <w:r w:rsidRPr="006D01CD">
        <w:rPr>
          <w:noProof/>
        </w:rPr>
        <w:tab/>
      </w:r>
      <w:r w:rsidR="00AA1F01" w:rsidRPr="000B1D92">
        <w:rPr>
          <w:noProof/>
        </w:rPr>
        <w:t>a clear description of the purpose of the scheme and</w:t>
      </w:r>
      <w:r w:rsidR="00AA1F01">
        <w:rPr>
          <w:noProof/>
        </w:rPr>
        <w:t>,</w:t>
      </w:r>
      <w:r w:rsidR="00AA1F01" w:rsidRPr="000B1D92">
        <w:rPr>
          <w:noProof/>
        </w:rPr>
        <w:t xml:space="preserve"> where applicable</w:t>
      </w:r>
      <w:r w:rsidR="00AA1F01">
        <w:rPr>
          <w:noProof/>
        </w:rPr>
        <w:t xml:space="preserve"> and </w:t>
      </w:r>
      <w:r w:rsidR="00AA1F01" w:rsidRPr="000B1D92">
        <w:rPr>
          <w:noProof/>
        </w:rPr>
        <w:t xml:space="preserve">the identification of Union legislation </w:t>
      </w:r>
      <w:r w:rsidR="00AA1F01">
        <w:rPr>
          <w:noProof/>
        </w:rPr>
        <w:t>setting out</w:t>
      </w:r>
      <w:r w:rsidR="00AA1F01" w:rsidRPr="000B1D92">
        <w:rPr>
          <w:noProof/>
        </w:rPr>
        <w:t xml:space="preserve"> </w:t>
      </w:r>
      <w:r w:rsidR="00AA1F01" w:rsidRPr="000B1D92" w:rsidDel="002D4B9F">
        <w:rPr>
          <w:noProof/>
        </w:rPr>
        <w:t xml:space="preserve">requirements </w:t>
      </w:r>
      <w:r w:rsidR="00AA1F01">
        <w:rPr>
          <w:noProof/>
        </w:rPr>
        <w:t>for</w:t>
      </w:r>
      <w:r w:rsidR="00AA1F01" w:rsidRPr="000B1D92" w:rsidDel="002D4B9F">
        <w:rPr>
          <w:noProof/>
        </w:rPr>
        <w:t xml:space="preserve"> </w:t>
      </w:r>
      <w:r w:rsidR="00AA1F01" w:rsidRPr="000B1D92">
        <w:rPr>
          <w:noProof/>
        </w:rPr>
        <w:t xml:space="preserve">which </w:t>
      </w:r>
      <w:r w:rsidR="00AA1F01">
        <w:rPr>
          <w:noProof/>
        </w:rPr>
        <w:t>the</w:t>
      </w:r>
      <w:r w:rsidR="00AA1F01" w:rsidRPr="000B1D92">
        <w:rPr>
          <w:noProof/>
        </w:rPr>
        <w:t xml:space="preserve"> European cybersecurity </w:t>
      </w:r>
      <w:r w:rsidR="00AA1F01">
        <w:rPr>
          <w:noProof/>
        </w:rPr>
        <w:t>certificates</w:t>
      </w:r>
      <w:r w:rsidR="00AA1F01" w:rsidRPr="000B1D92">
        <w:rPr>
          <w:noProof/>
        </w:rPr>
        <w:t xml:space="preserve"> </w:t>
      </w:r>
      <w:r w:rsidR="00AA1F01">
        <w:rPr>
          <w:noProof/>
          <w:lang w:eastAsia="en-IE"/>
        </w:rPr>
        <w:t xml:space="preserve">demonstrate compliance and </w:t>
      </w:r>
      <w:r w:rsidR="00AA1F01" w:rsidRPr="00E336B1">
        <w:rPr>
          <w:noProof/>
          <w:lang w:eastAsia="en-IE"/>
        </w:rPr>
        <w:t>confer a presumption of conformity</w:t>
      </w:r>
      <w:r w:rsidR="00AA1F01" w:rsidRPr="000B1D92">
        <w:rPr>
          <w:noProof/>
        </w:rPr>
        <w:t>;</w:t>
      </w:r>
    </w:p>
    <w:p w14:paraId="7762858F" w14:textId="2A295A47" w:rsidR="00AA1F01" w:rsidRPr="000B1D92" w:rsidRDefault="006D01CD" w:rsidP="006D01CD">
      <w:pPr>
        <w:pStyle w:val="Point1"/>
        <w:rPr>
          <w:noProof/>
        </w:rPr>
      </w:pPr>
      <w:r w:rsidRPr="006D01CD">
        <w:rPr>
          <w:noProof/>
        </w:rPr>
        <w:t>(c)</w:t>
      </w:r>
      <w:r w:rsidRPr="006D01CD">
        <w:rPr>
          <w:noProof/>
        </w:rPr>
        <w:tab/>
      </w:r>
      <w:r w:rsidR="00AA1F01" w:rsidRPr="000B1D92">
        <w:rPr>
          <w:noProof/>
        </w:rPr>
        <w:t xml:space="preserve">the maintenance strategy specifying the approach to maintenance activities set out in Article 75; </w:t>
      </w:r>
    </w:p>
    <w:p w14:paraId="19AAAED2" w14:textId="42254087" w:rsidR="00AA1F01" w:rsidRPr="000B1D92" w:rsidRDefault="006D01CD" w:rsidP="006D01CD">
      <w:pPr>
        <w:pStyle w:val="Point1"/>
        <w:rPr>
          <w:noProof/>
        </w:rPr>
      </w:pPr>
      <w:r w:rsidRPr="006D01CD">
        <w:rPr>
          <w:noProof/>
        </w:rPr>
        <w:t>(d)</w:t>
      </w:r>
      <w:r w:rsidRPr="006D01CD">
        <w:rPr>
          <w:noProof/>
        </w:rPr>
        <w:tab/>
      </w:r>
      <w:r w:rsidR="00AA1F01" w:rsidRPr="000B1D92">
        <w:rPr>
          <w:noProof/>
        </w:rPr>
        <w:t>the specific cybersecurity requirements, evaluation criteria and methods to be used</w:t>
      </w:r>
      <w:r w:rsidR="00AA1F01">
        <w:rPr>
          <w:noProof/>
        </w:rPr>
        <w:t xml:space="preserve"> for evaluation of </w:t>
      </w:r>
      <w:r w:rsidR="00AA1F01" w:rsidRPr="001A761D">
        <w:rPr>
          <w:noProof/>
          <w:lang w:eastAsia="en-IE"/>
        </w:rPr>
        <w:t>ICT products, ICT services, ICT processes, managed security services or cyber posture of entities</w:t>
      </w:r>
      <w:r w:rsidR="00AA1F01" w:rsidRPr="000B1D92">
        <w:rPr>
          <w:noProof/>
        </w:rPr>
        <w:t xml:space="preserve">, and references to the international, European or national standards applied in the evaluation </w:t>
      </w:r>
      <w:r w:rsidR="00AA1F01">
        <w:rPr>
          <w:noProof/>
        </w:rPr>
        <w:t xml:space="preserve">of </w:t>
      </w:r>
      <w:r w:rsidR="00AA1F01" w:rsidRPr="001A761D">
        <w:rPr>
          <w:noProof/>
          <w:lang w:eastAsia="en-IE"/>
        </w:rPr>
        <w:t>ICT products, ICT services, ICT processes, managed security services or cyber posture of entities</w:t>
      </w:r>
      <w:r w:rsidR="00AA1F01">
        <w:rPr>
          <w:noProof/>
          <w:lang w:eastAsia="en-IE"/>
        </w:rPr>
        <w:t xml:space="preserve"> </w:t>
      </w:r>
      <w:r w:rsidR="00AA1F01" w:rsidRPr="000B1D92">
        <w:rPr>
          <w:noProof/>
        </w:rPr>
        <w:t xml:space="preserve">or, where such standards are not available or appropriate, to technical specifications drawn </w:t>
      </w:r>
      <w:r w:rsidR="00AA1F01">
        <w:rPr>
          <w:noProof/>
        </w:rPr>
        <w:t xml:space="preserve">up </w:t>
      </w:r>
      <w:r w:rsidR="00AA1F01" w:rsidRPr="000B1D92">
        <w:rPr>
          <w:noProof/>
        </w:rPr>
        <w:t>by ENISA pursuant to Article 77 or, if such specifications are not available, to other technical specifications;</w:t>
      </w:r>
    </w:p>
    <w:p w14:paraId="4401691C" w14:textId="28578F68" w:rsidR="00AA1F01" w:rsidRPr="000B1D92" w:rsidRDefault="006D01CD" w:rsidP="006D01CD">
      <w:pPr>
        <w:pStyle w:val="Point1"/>
        <w:rPr>
          <w:noProof/>
        </w:rPr>
      </w:pPr>
      <w:r w:rsidRPr="006D01CD">
        <w:rPr>
          <w:noProof/>
        </w:rPr>
        <w:t>(e)</w:t>
      </w:r>
      <w:r w:rsidRPr="006D01CD">
        <w:rPr>
          <w:noProof/>
        </w:rPr>
        <w:tab/>
      </w:r>
      <w:r w:rsidR="00AA1F01">
        <w:rPr>
          <w:noProof/>
        </w:rPr>
        <w:t xml:space="preserve">the </w:t>
      </w:r>
      <w:r w:rsidR="00AA1F01" w:rsidRPr="000B1D92">
        <w:rPr>
          <w:noProof/>
        </w:rPr>
        <w:t>maximum period of validity of European cybersecurity certificates issued under the scheme.</w:t>
      </w:r>
    </w:p>
    <w:p w14:paraId="052A2134" w14:textId="47FF4DC6" w:rsidR="00AA1F01" w:rsidRPr="00F566CA" w:rsidRDefault="006D01CD" w:rsidP="006D01CD">
      <w:pPr>
        <w:pStyle w:val="ManualNumPar1"/>
        <w:rPr>
          <w:noProof/>
          <w:lang w:eastAsia="en-IE"/>
        </w:rPr>
      </w:pPr>
      <w:r w:rsidRPr="006D01CD">
        <w:rPr>
          <w:noProof/>
        </w:rPr>
        <w:t>2.</w:t>
      </w:r>
      <w:r w:rsidRPr="006D01CD">
        <w:rPr>
          <w:noProof/>
        </w:rPr>
        <w:tab/>
      </w:r>
      <w:r w:rsidR="00AA1F01" w:rsidRPr="001A761D">
        <w:rPr>
          <w:noProof/>
          <w:lang w:eastAsia="en-IE"/>
        </w:rPr>
        <w:t>A European cybersecurity certification scheme shall include at least rules and condition</w:t>
      </w:r>
      <w:r w:rsidR="00AA1F01">
        <w:rPr>
          <w:noProof/>
          <w:lang w:eastAsia="en-IE"/>
        </w:rPr>
        <w:t>s concerning the following</w:t>
      </w:r>
      <w:r w:rsidR="00AA1F01" w:rsidRPr="001A761D">
        <w:rPr>
          <w:noProof/>
          <w:lang w:eastAsia="en-IE"/>
        </w:rPr>
        <w:t>:</w:t>
      </w:r>
    </w:p>
    <w:p w14:paraId="3C488D0D" w14:textId="2B67CBB9" w:rsidR="00AA1F01" w:rsidRPr="001A761D" w:rsidRDefault="006D01CD" w:rsidP="006D01CD">
      <w:pPr>
        <w:pStyle w:val="Point1"/>
        <w:rPr>
          <w:noProof/>
          <w:lang w:eastAsia="en-IE"/>
        </w:rPr>
      </w:pPr>
      <w:r w:rsidRPr="006D01CD">
        <w:rPr>
          <w:noProof/>
        </w:rPr>
        <w:t>(a)</w:t>
      </w:r>
      <w:r w:rsidRPr="006D01CD">
        <w:rPr>
          <w:noProof/>
        </w:rPr>
        <w:tab/>
      </w:r>
      <w:r w:rsidR="00AA1F01">
        <w:rPr>
          <w:noProof/>
          <w:lang w:eastAsia="en-IE"/>
        </w:rPr>
        <w:t>the</w:t>
      </w:r>
      <w:r w:rsidR="00AA1F01" w:rsidRPr="001A761D">
        <w:rPr>
          <w:noProof/>
          <w:lang w:eastAsia="en-IE"/>
        </w:rPr>
        <w:t xml:space="preserve"> monitoring </w:t>
      </w:r>
      <w:r w:rsidR="00AA1F01">
        <w:rPr>
          <w:noProof/>
          <w:lang w:eastAsia="en-IE"/>
        </w:rPr>
        <w:t xml:space="preserve">of </w:t>
      </w:r>
      <w:r w:rsidR="00AA1F01" w:rsidRPr="001A761D">
        <w:rPr>
          <w:noProof/>
          <w:lang w:eastAsia="en-IE"/>
        </w:rPr>
        <w:t xml:space="preserve">compliance of ICT products, ICT services, ICT processes, managed security services or cyber posture of entities with the requirements of the European cybersecurity certificates or the EU statements of conformity, including </w:t>
      </w:r>
      <w:r w:rsidR="00AA1F01">
        <w:rPr>
          <w:noProof/>
          <w:lang w:eastAsia="en-IE"/>
        </w:rPr>
        <w:t xml:space="preserve">the </w:t>
      </w:r>
      <w:r w:rsidR="00AA1F01" w:rsidRPr="001A761D">
        <w:rPr>
          <w:noProof/>
          <w:lang w:eastAsia="en-IE"/>
        </w:rPr>
        <w:t>mechanisms to demonstrate continued compliance with the specified cybersecurity requirements;</w:t>
      </w:r>
    </w:p>
    <w:p w14:paraId="4657F84D" w14:textId="2C0087D5" w:rsidR="00AA1F01" w:rsidRPr="001A761D" w:rsidRDefault="006D01CD" w:rsidP="006D01CD">
      <w:pPr>
        <w:pStyle w:val="Point1"/>
        <w:rPr>
          <w:noProof/>
          <w:lang w:eastAsia="en-IE"/>
        </w:rPr>
      </w:pPr>
      <w:r w:rsidRPr="006D01CD">
        <w:rPr>
          <w:noProof/>
        </w:rPr>
        <w:t>(b)</w:t>
      </w:r>
      <w:r w:rsidRPr="006D01CD">
        <w:rPr>
          <w:noProof/>
        </w:rPr>
        <w:tab/>
      </w:r>
      <w:r w:rsidR="00AA1F01">
        <w:rPr>
          <w:noProof/>
          <w:lang w:eastAsia="en-IE"/>
        </w:rPr>
        <w:t>the</w:t>
      </w:r>
      <w:r w:rsidR="00AA1F01" w:rsidRPr="001A761D">
        <w:rPr>
          <w:noProof/>
          <w:lang w:eastAsia="en-IE"/>
        </w:rPr>
        <w:t xml:space="preserve"> issuing, </w:t>
      </w:r>
      <w:r w:rsidR="00AA1F01" w:rsidRPr="778A7226">
        <w:rPr>
          <w:noProof/>
          <w:lang w:eastAsia="en-IE"/>
        </w:rPr>
        <w:t>confirming, withdrawing</w:t>
      </w:r>
      <w:r w:rsidR="00AA1F01" w:rsidRPr="001A761D">
        <w:rPr>
          <w:noProof/>
          <w:lang w:eastAsia="en-IE"/>
        </w:rPr>
        <w:t xml:space="preserve"> and renewing </w:t>
      </w:r>
      <w:r w:rsidR="00AA1F01">
        <w:rPr>
          <w:noProof/>
          <w:lang w:eastAsia="en-IE"/>
        </w:rPr>
        <w:t xml:space="preserve">of </w:t>
      </w:r>
      <w:r w:rsidR="00AA1F01" w:rsidRPr="001A761D">
        <w:rPr>
          <w:noProof/>
          <w:lang w:eastAsia="en-IE"/>
        </w:rPr>
        <w:t>the European cybersecurity certificates</w:t>
      </w:r>
      <w:r w:rsidR="00AA1F01">
        <w:rPr>
          <w:noProof/>
          <w:lang w:eastAsia="en-IE"/>
        </w:rPr>
        <w:t xml:space="preserve">, the </w:t>
      </w:r>
      <w:r w:rsidR="00AA1F01" w:rsidRPr="001A761D">
        <w:rPr>
          <w:noProof/>
          <w:lang w:eastAsia="en-IE"/>
        </w:rPr>
        <w:t>exten</w:t>
      </w:r>
      <w:r w:rsidR="00AA1F01">
        <w:rPr>
          <w:noProof/>
          <w:lang w:eastAsia="en-IE"/>
        </w:rPr>
        <w:t>sion</w:t>
      </w:r>
      <w:r w:rsidR="00AA1F01" w:rsidRPr="001A761D">
        <w:rPr>
          <w:noProof/>
          <w:lang w:eastAsia="en-IE"/>
        </w:rPr>
        <w:t xml:space="preserve"> or reduc</w:t>
      </w:r>
      <w:r w:rsidR="00AA1F01">
        <w:rPr>
          <w:noProof/>
          <w:lang w:eastAsia="en-IE"/>
        </w:rPr>
        <w:t>tion of</w:t>
      </w:r>
      <w:r w:rsidR="00AA1F01" w:rsidRPr="001A761D">
        <w:rPr>
          <w:noProof/>
          <w:lang w:eastAsia="en-IE"/>
        </w:rPr>
        <w:t xml:space="preserve"> the scope of certification and the recertification;</w:t>
      </w:r>
    </w:p>
    <w:p w14:paraId="37DD6DE0" w14:textId="7484F6E4" w:rsidR="00AA1F01" w:rsidRPr="001A761D" w:rsidRDefault="006D01CD" w:rsidP="006D01CD">
      <w:pPr>
        <w:pStyle w:val="Point1"/>
        <w:rPr>
          <w:noProof/>
          <w:lang w:eastAsia="en-IE"/>
        </w:rPr>
      </w:pPr>
      <w:r w:rsidRPr="006D01CD">
        <w:rPr>
          <w:noProof/>
        </w:rPr>
        <w:t>(c)</w:t>
      </w:r>
      <w:r w:rsidRPr="006D01CD">
        <w:rPr>
          <w:noProof/>
        </w:rPr>
        <w:tab/>
      </w:r>
      <w:r w:rsidR="00AA1F01" w:rsidRPr="001A761D">
        <w:rPr>
          <w:noProof/>
          <w:lang w:eastAsia="en-IE"/>
        </w:rPr>
        <w:t>the consequences for ICT products, ICT services, ICT processes, managed security services or entities that have been certified or for which an EU statement of conformity has been issued, but which do not comply with the requirements of the scheme;</w:t>
      </w:r>
    </w:p>
    <w:p w14:paraId="44CD044A" w14:textId="2A936B37" w:rsidR="00AA1F01" w:rsidRPr="001A761D" w:rsidRDefault="006D01CD" w:rsidP="006D01CD">
      <w:pPr>
        <w:pStyle w:val="Point1"/>
        <w:rPr>
          <w:noProof/>
          <w:lang w:eastAsia="en-IE"/>
        </w:rPr>
      </w:pPr>
      <w:r w:rsidRPr="006D01CD">
        <w:rPr>
          <w:noProof/>
        </w:rPr>
        <w:t>(d)</w:t>
      </w:r>
      <w:r w:rsidRPr="006D01CD">
        <w:rPr>
          <w:noProof/>
        </w:rPr>
        <w:tab/>
      </w:r>
      <w:r w:rsidR="00AA1F01" w:rsidRPr="001A761D">
        <w:rPr>
          <w:noProof/>
          <w:lang w:eastAsia="en-IE"/>
        </w:rPr>
        <w:t>how previously undetected cybersecurity vulnerabilities in ICT products, ICT services and ICT processes are to be reported and dealt with;</w:t>
      </w:r>
    </w:p>
    <w:p w14:paraId="082A6387" w14:textId="08AE8791" w:rsidR="00AA1F01" w:rsidRPr="001A761D" w:rsidRDefault="006D01CD" w:rsidP="006D01CD">
      <w:pPr>
        <w:pStyle w:val="Point1"/>
        <w:rPr>
          <w:noProof/>
          <w:lang w:eastAsia="en-IE"/>
        </w:rPr>
      </w:pPr>
      <w:r w:rsidRPr="006D01CD">
        <w:rPr>
          <w:noProof/>
        </w:rPr>
        <w:t>(e)</w:t>
      </w:r>
      <w:r w:rsidRPr="006D01CD">
        <w:rPr>
          <w:noProof/>
        </w:rPr>
        <w:tab/>
      </w:r>
      <w:r w:rsidR="00AA1F01" w:rsidRPr="001A761D">
        <w:rPr>
          <w:noProof/>
          <w:lang w:eastAsia="en-IE"/>
        </w:rPr>
        <w:t>the content and the format of the European cybersecurity certificates and the EU statements of conformity to be issued;</w:t>
      </w:r>
    </w:p>
    <w:p w14:paraId="5D38E0F2" w14:textId="72858E3C" w:rsidR="00AA1F01" w:rsidRPr="001A761D" w:rsidRDefault="006D01CD" w:rsidP="006D01CD">
      <w:pPr>
        <w:pStyle w:val="Point1"/>
        <w:rPr>
          <w:noProof/>
          <w:lang w:eastAsia="en-IE"/>
        </w:rPr>
      </w:pPr>
      <w:r w:rsidRPr="006D01CD">
        <w:rPr>
          <w:noProof/>
        </w:rPr>
        <w:t>(f)</w:t>
      </w:r>
      <w:r w:rsidRPr="006D01CD">
        <w:rPr>
          <w:noProof/>
        </w:rPr>
        <w:tab/>
      </w:r>
      <w:r w:rsidR="00AA1F01" w:rsidRPr="001A761D">
        <w:rPr>
          <w:noProof/>
          <w:lang w:eastAsia="en-IE"/>
        </w:rPr>
        <w:t xml:space="preserve">the period of availability of the EU statement of conformity, technical documentation, and all other relevant information to be made available by the manufacturer or provider of ICT products, ICT services, ICT processes or managed security services or </w:t>
      </w:r>
      <w:r w:rsidR="00AA1F01">
        <w:rPr>
          <w:noProof/>
          <w:lang w:eastAsia="en-IE"/>
        </w:rPr>
        <w:t xml:space="preserve">by </w:t>
      </w:r>
      <w:r w:rsidR="00AA1F01" w:rsidRPr="001A761D">
        <w:rPr>
          <w:noProof/>
          <w:lang w:eastAsia="en-IE"/>
        </w:rPr>
        <w:t xml:space="preserve">the entity the cyber posture </w:t>
      </w:r>
      <w:r w:rsidR="00AA1F01">
        <w:rPr>
          <w:noProof/>
          <w:lang w:eastAsia="en-IE"/>
        </w:rPr>
        <w:t>of which</w:t>
      </w:r>
      <w:r w:rsidR="00AA1F01" w:rsidRPr="001A761D">
        <w:rPr>
          <w:noProof/>
          <w:lang w:eastAsia="en-IE"/>
        </w:rPr>
        <w:t xml:space="preserve"> is subject </w:t>
      </w:r>
      <w:r w:rsidR="00AA1F01">
        <w:rPr>
          <w:noProof/>
          <w:lang w:eastAsia="en-IE"/>
        </w:rPr>
        <w:t>to</w:t>
      </w:r>
      <w:r w:rsidR="00AA1F01" w:rsidRPr="001A761D">
        <w:rPr>
          <w:noProof/>
          <w:lang w:eastAsia="en-IE"/>
        </w:rPr>
        <w:t xml:space="preserve"> certification;</w:t>
      </w:r>
    </w:p>
    <w:p w14:paraId="6A1A98E0" w14:textId="35900E68" w:rsidR="00AA1F01" w:rsidRPr="00F77C1C" w:rsidRDefault="006D01CD" w:rsidP="006D01CD">
      <w:pPr>
        <w:pStyle w:val="Point1"/>
        <w:rPr>
          <w:noProof/>
          <w:lang w:eastAsia="en-IE"/>
        </w:rPr>
      </w:pPr>
      <w:r w:rsidRPr="006D01CD">
        <w:rPr>
          <w:noProof/>
        </w:rPr>
        <w:t>(g)</w:t>
      </w:r>
      <w:r w:rsidRPr="006D01CD">
        <w:rPr>
          <w:noProof/>
        </w:rPr>
        <w:tab/>
      </w:r>
      <w:r w:rsidR="00AA1F01">
        <w:rPr>
          <w:noProof/>
          <w:lang w:eastAsia="en-IE"/>
        </w:rPr>
        <w:t>any</w:t>
      </w:r>
      <w:r w:rsidR="00AA1F01" w:rsidRPr="00A826AF">
        <w:rPr>
          <w:noProof/>
          <w:lang w:eastAsia="en-IE"/>
        </w:rPr>
        <w:t xml:space="preserve"> peer assessment mechanism</w:t>
      </w:r>
      <w:r w:rsidR="00AA1F01">
        <w:rPr>
          <w:noProof/>
          <w:lang w:eastAsia="en-IE"/>
        </w:rPr>
        <w:t>s</w:t>
      </w:r>
      <w:r w:rsidR="00AA1F01" w:rsidRPr="00A826AF">
        <w:rPr>
          <w:noProof/>
          <w:lang w:eastAsia="en-IE"/>
        </w:rPr>
        <w:t xml:space="preserve"> established </w:t>
      </w:r>
      <w:r w:rsidR="00AA1F01">
        <w:rPr>
          <w:noProof/>
          <w:lang w:eastAsia="en-IE"/>
        </w:rPr>
        <w:t>under the</w:t>
      </w:r>
      <w:r w:rsidR="00AA1F01" w:rsidRPr="00A826AF">
        <w:rPr>
          <w:noProof/>
          <w:lang w:eastAsia="en-IE"/>
        </w:rPr>
        <w:t xml:space="preserve"> scheme for authorities or bodies issuing European cybersecurity</w:t>
      </w:r>
      <w:r w:rsidR="00AA1F01">
        <w:rPr>
          <w:noProof/>
          <w:lang w:eastAsia="en-IE"/>
        </w:rPr>
        <w:t xml:space="preserve"> certificates</w:t>
      </w:r>
      <w:r w:rsidR="00AA1F01" w:rsidRPr="00A826AF">
        <w:rPr>
          <w:noProof/>
          <w:lang w:eastAsia="en-IE"/>
        </w:rPr>
        <w:t xml:space="preserve"> pursuant to Article </w:t>
      </w:r>
      <w:r w:rsidR="00AA1F01">
        <w:rPr>
          <w:noProof/>
          <w:lang w:eastAsia="en-IE"/>
        </w:rPr>
        <w:t>85</w:t>
      </w:r>
      <w:r w:rsidR="00AA1F01" w:rsidRPr="00A826AF">
        <w:rPr>
          <w:noProof/>
          <w:lang w:eastAsia="en-IE"/>
        </w:rPr>
        <w:t>(</w:t>
      </w:r>
      <w:r w:rsidR="00AA1F01">
        <w:rPr>
          <w:noProof/>
          <w:lang w:eastAsia="en-IE"/>
        </w:rPr>
        <w:t>4</w:t>
      </w:r>
      <w:r w:rsidR="00AA1F01" w:rsidRPr="00F77C1C">
        <w:rPr>
          <w:noProof/>
          <w:lang w:eastAsia="en-IE"/>
        </w:rPr>
        <w:t>)</w:t>
      </w:r>
      <w:r w:rsidR="00AA1F01">
        <w:rPr>
          <w:noProof/>
          <w:lang w:eastAsia="en-IE"/>
        </w:rPr>
        <w:t xml:space="preserve">, which </w:t>
      </w:r>
      <w:r w:rsidR="00AA1F01" w:rsidRPr="00F77C1C">
        <w:rPr>
          <w:noProof/>
          <w:lang w:eastAsia="en-IE"/>
        </w:rPr>
        <w:t xml:space="preserve">shall be without prejudice to the peer review provided for in Article </w:t>
      </w:r>
      <w:r w:rsidR="00AA1F01">
        <w:rPr>
          <w:noProof/>
          <w:lang w:eastAsia="en-IE"/>
        </w:rPr>
        <w:t>90</w:t>
      </w:r>
      <w:r w:rsidR="00AA1F01" w:rsidRPr="00F77C1C">
        <w:rPr>
          <w:noProof/>
          <w:lang w:eastAsia="en-IE"/>
        </w:rPr>
        <w:t>;</w:t>
      </w:r>
    </w:p>
    <w:p w14:paraId="1967B7F9" w14:textId="1F164CE1" w:rsidR="00AA1F01" w:rsidRPr="00F77C1C" w:rsidRDefault="006D01CD" w:rsidP="006D01CD">
      <w:pPr>
        <w:pStyle w:val="Point1"/>
        <w:rPr>
          <w:noProof/>
          <w:lang w:eastAsia="en-IE"/>
        </w:rPr>
      </w:pPr>
      <w:r w:rsidRPr="006D01CD">
        <w:rPr>
          <w:noProof/>
        </w:rPr>
        <w:t>(h)</w:t>
      </w:r>
      <w:r w:rsidRPr="006D01CD">
        <w:rPr>
          <w:noProof/>
        </w:rPr>
        <w:tab/>
      </w:r>
      <w:r w:rsidR="00AA1F01" w:rsidRPr="00164577">
        <w:rPr>
          <w:noProof/>
        </w:rPr>
        <w:t xml:space="preserve">the confidentiality of information and data obtained </w:t>
      </w:r>
      <w:r w:rsidR="00AA1F01">
        <w:rPr>
          <w:noProof/>
        </w:rPr>
        <w:t xml:space="preserve">by all parties </w:t>
      </w:r>
      <w:r w:rsidR="00AA1F01" w:rsidRPr="00164577">
        <w:rPr>
          <w:noProof/>
        </w:rPr>
        <w:t xml:space="preserve">in carrying out </w:t>
      </w:r>
      <w:r w:rsidR="00AA1F01">
        <w:rPr>
          <w:noProof/>
        </w:rPr>
        <w:t xml:space="preserve">tasks </w:t>
      </w:r>
      <w:r w:rsidR="00AA1F01" w:rsidRPr="00164577">
        <w:rPr>
          <w:noProof/>
        </w:rPr>
        <w:t xml:space="preserve">and </w:t>
      </w:r>
      <w:r w:rsidR="00AA1F01" w:rsidRPr="00F73ACD">
        <w:rPr>
          <w:noProof/>
        </w:rPr>
        <w:t>activities</w:t>
      </w:r>
      <w:r w:rsidR="00AA1F01">
        <w:rPr>
          <w:noProof/>
        </w:rPr>
        <w:t xml:space="preserve"> related to the implementation</w:t>
      </w:r>
      <w:r w:rsidR="00AA1F01" w:rsidRPr="00164577">
        <w:rPr>
          <w:noProof/>
        </w:rPr>
        <w:t xml:space="preserve"> of </w:t>
      </w:r>
      <w:r w:rsidR="00AA1F01">
        <w:rPr>
          <w:noProof/>
        </w:rPr>
        <w:t xml:space="preserve">the provisions set out in </w:t>
      </w:r>
      <w:r w:rsidR="00AA1F01" w:rsidRPr="00164577">
        <w:rPr>
          <w:noProof/>
        </w:rPr>
        <w:t xml:space="preserve">this </w:t>
      </w:r>
      <w:r w:rsidR="00AA1F01">
        <w:rPr>
          <w:noProof/>
        </w:rPr>
        <w:t>Title;</w:t>
      </w:r>
    </w:p>
    <w:p w14:paraId="3B0982D4" w14:textId="33D8CBFC" w:rsidR="00AA1F01" w:rsidRPr="001A761D" w:rsidRDefault="006D01CD" w:rsidP="006D01CD">
      <w:pPr>
        <w:pStyle w:val="Point1"/>
        <w:rPr>
          <w:noProof/>
          <w:lang w:eastAsia="en-IE"/>
        </w:rPr>
      </w:pPr>
      <w:r w:rsidRPr="006D01CD">
        <w:rPr>
          <w:noProof/>
        </w:rPr>
        <w:t>(i)</w:t>
      </w:r>
      <w:r w:rsidRPr="006D01CD">
        <w:rPr>
          <w:noProof/>
        </w:rPr>
        <w:tab/>
      </w:r>
      <w:r w:rsidR="00AA1F01">
        <w:rPr>
          <w:noProof/>
          <w:lang w:eastAsia="en-IE"/>
        </w:rPr>
        <w:t xml:space="preserve">the </w:t>
      </w:r>
      <w:r w:rsidR="00AA1F01" w:rsidRPr="001A761D">
        <w:rPr>
          <w:noProof/>
          <w:lang w:eastAsia="en-IE"/>
        </w:rPr>
        <w:t>format and procedures to be followed by manufacturers or providers of ICT products, ICT services or ICT processes in supplying and updating the supplementary cybersecurity information in accordance with Article 8</w:t>
      </w:r>
      <w:r w:rsidR="00AA1F01">
        <w:rPr>
          <w:noProof/>
          <w:lang w:eastAsia="en-IE"/>
        </w:rPr>
        <w:t>4</w:t>
      </w:r>
      <w:r w:rsidR="00AA1F01" w:rsidRPr="001A761D">
        <w:rPr>
          <w:noProof/>
          <w:lang w:eastAsia="en-IE"/>
        </w:rPr>
        <w:t>; and</w:t>
      </w:r>
    </w:p>
    <w:p w14:paraId="76ECE1C5" w14:textId="4CBFA836" w:rsidR="00AA1F01" w:rsidRDefault="006D01CD" w:rsidP="006D01CD">
      <w:pPr>
        <w:pStyle w:val="Point1"/>
        <w:rPr>
          <w:noProof/>
          <w:lang w:eastAsia="en-IE"/>
        </w:rPr>
      </w:pPr>
      <w:r w:rsidRPr="006D01CD">
        <w:rPr>
          <w:noProof/>
        </w:rPr>
        <w:t>(j)</w:t>
      </w:r>
      <w:r w:rsidRPr="006D01CD">
        <w:rPr>
          <w:noProof/>
        </w:rPr>
        <w:tab/>
      </w:r>
      <w:r w:rsidR="00AA1F01" w:rsidRPr="00A826AF">
        <w:rPr>
          <w:noProof/>
          <w:lang w:eastAsia="en-IE"/>
        </w:rPr>
        <w:t>the continuity of certification activities during</w:t>
      </w:r>
      <w:r w:rsidR="00AA1F01">
        <w:rPr>
          <w:noProof/>
          <w:lang w:eastAsia="en-IE"/>
        </w:rPr>
        <w:t xml:space="preserve"> extraordinary</w:t>
      </w:r>
      <w:r w:rsidR="00AA1F01" w:rsidRPr="00A826AF">
        <w:rPr>
          <w:noProof/>
          <w:lang w:eastAsia="en-IE"/>
        </w:rPr>
        <w:t xml:space="preserve"> crisis </w:t>
      </w:r>
      <w:r w:rsidR="00AA1F01">
        <w:rPr>
          <w:noProof/>
          <w:lang w:eastAsia="en-IE"/>
        </w:rPr>
        <w:t>situations</w:t>
      </w:r>
      <w:r w:rsidR="00AA1F01" w:rsidRPr="00A826AF">
        <w:rPr>
          <w:noProof/>
          <w:lang w:eastAsia="en-IE"/>
        </w:rPr>
        <w:t xml:space="preserve">, </w:t>
      </w:r>
      <w:r w:rsidR="00AA1F01">
        <w:rPr>
          <w:noProof/>
          <w:lang w:eastAsia="en-IE"/>
        </w:rPr>
        <w:t>that</w:t>
      </w:r>
      <w:r w:rsidR="00AA1F01" w:rsidRPr="00A826AF">
        <w:rPr>
          <w:noProof/>
          <w:lang w:eastAsia="en-IE"/>
        </w:rPr>
        <w:t xml:space="preserve"> </w:t>
      </w:r>
      <w:r w:rsidR="00AA1F01">
        <w:rPr>
          <w:noProof/>
          <w:lang w:eastAsia="en-IE"/>
        </w:rPr>
        <w:t>are unavoidable</w:t>
      </w:r>
      <w:r w:rsidR="00AA1F01" w:rsidRPr="00A826AF">
        <w:rPr>
          <w:noProof/>
          <w:lang w:eastAsia="en-IE"/>
        </w:rPr>
        <w:t xml:space="preserve"> and </w:t>
      </w:r>
      <w:r w:rsidR="00AA1F01">
        <w:rPr>
          <w:noProof/>
          <w:lang w:eastAsia="en-IE"/>
        </w:rPr>
        <w:t>hinder the possibility to apply</w:t>
      </w:r>
      <w:r w:rsidR="00AA1F01" w:rsidRPr="00A826AF">
        <w:rPr>
          <w:noProof/>
          <w:lang w:eastAsia="en-IE"/>
        </w:rPr>
        <w:t xml:space="preserve"> </w:t>
      </w:r>
      <w:r w:rsidR="00AA1F01">
        <w:rPr>
          <w:noProof/>
          <w:lang w:eastAsia="en-IE"/>
        </w:rPr>
        <w:t>the certification scheme</w:t>
      </w:r>
      <w:r w:rsidR="00AA1F01">
        <w:rPr>
          <w:noProof/>
        </w:rPr>
        <w:t>’</w:t>
      </w:r>
      <w:r w:rsidR="00AA1F01" w:rsidRPr="00164577">
        <w:rPr>
          <w:noProof/>
        </w:rPr>
        <w:t>s</w:t>
      </w:r>
      <w:r w:rsidR="00AA1F01">
        <w:rPr>
          <w:noProof/>
          <w:lang w:eastAsia="en-IE"/>
        </w:rPr>
        <w:t xml:space="preserve"> rules</w:t>
      </w:r>
      <w:r w:rsidR="00AA1F01" w:rsidRPr="00C2067D">
        <w:rPr>
          <w:noProof/>
          <w:lang w:eastAsia="en-IE"/>
        </w:rPr>
        <w:t>.</w:t>
      </w:r>
    </w:p>
    <w:p w14:paraId="789E2BD6" w14:textId="17E1CE9A" w:rsidR="00AA1F01" w:rsidRPr="009138D4" w:rsidRDefault="006D01CD" w:rsidP="006D01CD">
      <w:pPr>
        <w:pStyle w:val="ManualNumPar1"/>
        <w:rPr>
          <w:noProof/>
          <w:lang w:eastAsia="en-IE"/>
        </w:rPr>
      </w:pPr>
      <w:r w:rsidRPr="006D01CD">
        <w:rPr>
          <w:noProof/>
        </w:rPr>
        <w:t>3.</w:t>
      </w:r>
      <w:r w:rsidRPr="006D01CD">
        <w:rPr>
          <w:noProof/>
        </w:rPr>
        <w:tab/>
      </w:r>
      <w:r w:rsidR="00AA1F01" w:rsidRPr="00926915">
        <w:rPr>
          <w:noProof/>
          <w:lang w:eastAsia="en-IE"/>
        </w:rPr>
        <w:t xml:space="preserve">A European cybersecurity certification scheme shall, where </w:t>
      </w:r>
      <w:r w:rsidR="00AA1F01">
        <w:rPr>
          <w:noProof/>
          <w:lang w:eastAsia="en-IE"/>
        </w:rPr>
        <w:t>appropriate</w:t>
      </w:r>
      <w:r w:rsidR="00AA1F01" w:rsidRPr="00926915">
        <w:rPr>
          <w:noProof/>
          <w:lang w:eastAsia="en-IE"/>
        </w:rPr>
        <w:t>, also include the following:</w:t>
      </w:r>
    </w:p>
    <w:p w14:paraId="6704B8E3" w14:textId="70E4E2E8" w:rsidR="00AA1F01" w:rsidRDefault="006D01CD" w:rsidP="006D01CD">
      <w:pPr>
        <w:pStyle w:val="Point1"/>
        <w:rPr>
          <w:noProof/>
        </w:rPr>
      </w:pPr>
      <w:r w:rsidRPr="006D01CD">
        <w:rPr>
          <w:noProof/>
        </w:rPr>
        <w:t>(a)</w:t>
      </w:r>
      <w:r w:rsidRPr="006D01CD">
        <w:rPr>
          <w:noProof/>
        </w:rPr>
        <w:tab/>
      </w:r>
      <w:r w:rsidR="00AA1F01" w:rsidRPr="000B1D92">
        <w:rPr>
          <w:noProof/>
        </w:rPr>
        <w:t xml:space="preserve">one or more assurance levels and corresponding evaluation levels; </w:t>
      </w:r>
    </w:p>
    <w:p w14:paraId="3B35B7F4" w14:textId="50874813" w:rsidR="00AA1F01" w:rsidRPr="00AE2F4A" w:rsidRDefault="006D01CD" w:rsidP="006D01CD">
      <w:pPr>
        <w:pStyle w:val="Point1"/>
        <w:rPr>
          <w:noProof/>
        </w:rPr>
      </w:pPr>
      <w:r w:rsidRPr="006D01CD">
        <w:rPr>
          <w:noProof/>
        </w:rPr>
        <w:t>(b)</w:t>
      </w:r>
      <w:r w:rsidRPr="006D01CD">
        <w:rPr>
          <w:noProof/>
        </w:rPr>
        <w:tab/>
      </w:r>
      <w:r w:rsidR="00AA1F01" w:rsidRPr="000B1D92">
        <w:rPr>
          <w:noProof/>
        </w:rPr>
        <w:t>protection profiles to specify the security requirements that are applicable to a given category of ICT products, ICT services, ICT processes or managed security services;</w:t>
      </w:r>
    </w:p>
    <w:p w14:paraId="16DEDD2A" w14:textId="27C876EE" w:rsidR="00AA1F01" w:rsidRPr="006F0B2B" w:rsidRDefault="006D01CD" w:rsidP="006D01CD">
      <w:pPr>
        <w:pStyle w:val="Point1"/>
        <w:rPr>
          <w:noProof/>
        </w:rPr>
      </w:pPr>
      <w:r w:rsidRPr="006D01CD">
        <w:rPr>
          <w:noProof/>
        </w:rPr>
        <w:t>(c)</w:t>
      </w:r>
      <w:r w:rsidRPr="006D01CD">
        <w:rPr>
          <w:noProof/>
        </w:rPr>
        <w:tab/>
      </w:r>
      <w:r w:rsidR="00AA1F01" w:rsidRPr="000B1D92">
        <w:rPr>
          <w:noProof/>
        </w:rPr>
        <w:t xml:space="preserve">extension profiles </w:t>
      </w:r>
      <w:r w:rsidR="00AA1F01" w:rsidRPr="000B1D92" w:rsidDel="00714353">
        <w:rPr>
          <w:noProof/>
        </w:rPr>
        <w:t xml:space="preserve">to </w:t>
      </w:r>
      <w:r w:rsidR="00AA1F01" w:rsidRPr="000B1D92">
        <w:rPr>
          <w:noProof/>
        </w:rPr>
        <w:t xml:space="preserve">set out additional </w:t>
      </w:r>
      <w:r w:rsidR="00AA1F01">
        <w:rPr>
          <w:noProof/>
        </w:rPr>
        <w:t xml:space="preserve">security </w:t>
      </w:r>
      <w:r w:rsidR="00AA1F01" w:rsidRPr="000B1D92">
        <w:rPr>
          <w:noProof/>
        </w:rPr>
        <w:t>requirements, including, where applicable</w:t>
      </w:r>
      <w:r w:rsidR="00AA1F01" w:rsidRPr="006F0B2B">
        <w:rPr>
          <w:noProof/>
        </w:rPr>
        <w:t xml:space="preserve">, </w:t>
      </w:r>
      <w:r w:rsidR="00AA1F01" w:rsidRPr="00656CE3">
        <w:rPr>
          <w:noProof/>
        </w:rPr>
        <w:t>security requirements</w:t>
      </w:r>
      <w:r w:rsidR="00AA1F01" w:rsidRPr="006F0B2B">
        <w:rPr>
          <w:noProof/>
        </w:rPr>
        <w:t xml:space="preserve"> set out in national provisions transposing Union law;</w:t>
      </w:r>
    </w:p>
    <w:p w14:paraId="7ED75FB5" w14:textId="6EBB701A" w:rsidR="00AA1F01" w:rsidRPr="000B1D92" w:rsidRDefault="006D01CD" w:rsidP="006D01CD">
      <w:pPr>
        <w:pStyle w:val="Point1"/>
        <w:rPr>
          <w:noProof/>
        </w:rPr>
      </w:pPr>
      <w:r w:rsidRPr="006D01CD">
        <w:rPr>
          <w:noProof/>
        </w:rPr>
        <w:t>(d)</w:t>
      </w:r>
      <w:r w:rsidRPr="006D01CD">
        <w:rPr>
          <w:noProof/>
        </w:rPr>
        <w:tab/>
      </w:r>
      <w:r w:rsidR="00AA1F01" w:rsidRPr="000B1D92">
        <w:rPr>
          <w:noProof/>
        </w:rPr>
        <w:t xml:space="preserve">clarification on </w:t>
      </w:r>
      <w:r w:rsidR="00AA1F01">
        <w:rPr>
          <w:noProof/>
        </w:rPr>
        <w:t>which</w:t>
      </w:r>
      <w:r w:rsidR="00AA1F01" w:rsidRPr="000B1D92">
        <w:rPr>
          <w:noProof/>
        </w:rPr>
        <w:t xml:space="preserve"> conformity assessment activities, including calibration, testing, certification and inspection, for assurance level ‘high’, or for the purpose of </w:t>
      </w:r>
      <w:r w:rsidR="00770BFB">
        <w:rPr>
          <w:noProof/>
        </w:rPr>
        <w:t xml:space="preserve">demonstrating compliance and granting </w:t>
      </w:r>
      <w:r w:rsidR="00AA1F01" w:rsidRPr="000B1D92">
        <w:rPr>
          <w:noProof/>
        </w:rPr>
        <w:t xml:space="preserve">presumption of conformity, </w:t>
      </w:r>
      <w:r w:rsidR="00AA1F01">
        <w:rPr>
          <w:noProof/>
        </w:rPr>
        <w:t>are</w:t>
      </w:r>
      <w:r w:rsidR="00AA1F01" w:rsidRPr="000B1D92">
        <w:rPr>
          <w:noProof/>
        </w:rPr>
        <w:t xml:space="preserve"> permitted outside the European Economic Area (EEA);</w:t>
      </w:r>
    </w:p>
    <w:p w14:paraId="277F9F96" w14:textId="13423A18" w:rsidR="00AA1F01" w:rsidRPr="000B1D92" w:rsidRDefault="006D01CD" w:rsidP="006D01CD">
      <w:pPr>
        <w:pStyle w:val="Point1"/>
        <w:rPr>
          <w:noProof/>
        </w:rPr>
      </w:pPr>
      <w:r w:rsidRPr="006D01CD">
        <w:rPr>
          <w:noProof/>
        </w:rPr>
        <w:t>(e)</w:t>
      </w:r>
      <w:r w:rsidRPr="006D01CD">
        <w:rPr>
          <w:noProof/>
        </w:rPr>
        <w:tab/>
      </w:r>
      <w:r w:rsidR="00AA1F01" w:rsidRPr="000B1D92">
        <w:rPr>
          <w:noProof/>
        </w:rPr>
        <w:t>the identification of national or international cybersecurity certification schemes covering the same type or categories of ICT products, ICT services, ICT processes</w:t>
      </w:r>
      <w:r w:rsidR="00AA1F01">
        <w:rPr>
          <w:noProof/>
        </w:rPr>
        <w:t xml:space="preserve">, </w:t>
      </w:r>
      <w:r w:rsidR="00AA1F01" w:rsidRPr="000B1D92">
        <w:rPr>
          <w:noProof/>
        </w:rPr>
        <w:t>managed security services</w:t>
      </w:r>
      <w:r w:rsidR="00AA1F01">
        <w:rPr>
          <w:noProof/>
        </w:rPr>
        <w:t xml:space="preserve"> or cyber posture of entities</w:t>
      </w:r>
      <w:r w:rsidR="00AA1F01" w:rsidRPr="000B1D92">
        <w:rPr>
          <w:noProof/>
        </w:rPr>
        <w:t xml:space="preserve">; </w:t>
      </w:r>
    </w:p>
    <w:p w14:paraId="661A08A5" w14:textId="446FE21D" w:rsidR="00AA1F01" w:rsidRPr="000B1D92" w:rsidRDefault="006D01CD" w:rsidP="006D01CD">
      <w:pPr>
        <w:pStyle w:val="Point1"/>
        <w:rPr>
          <w:noProof/>
        </w:rPr>
      </w:pPr>
      <w:r w:rsidRPr="006D01CD">
        <w:rPr>
          <w:noProof/>
        </w:rPr>
        <w:t>(f)</w:t>
      </w:r>
      <w:r w:rsidRPr="006D01CD">
        <w:rPr>
          <w:noProof/>
        </w:rPr>
        <w:tab/>
      </w:r>
      <w:r w:rsidR="00AA1F01" w:rsidRPr="000B1D92">
        <w:rPr>
          <w:noProof/>
        </w:rPr>
        <w:t>additional or specific requirements to which conformity assessment bodies are subject in order to guarantee their technical competence to evaluate the cybersecurity requirements;</w:t>
      </w:r>
    </w:p>
    <w:p w14:paraId="0FCA82E7" w14:textId="22077161" w:rsidR="00AA1F01" w:rsidRPr="000B1D92" w:rsidRDefault="006D01CD" w:rsidP="006D01CD">
      <w:pPr>
        <w:pStyle w:val="Point1"/>
        <w:rPr>
          <w:noProof/>
        </w:rPr>
      </w:pPr>
      <w:r w:rsidRPr="006D01CD">
        <w:rPr>
          <w:noProof/>
        </w:rPr>
        <w:t>(g)</w:t>
      </w:r>
      <w:r w:rsidRPr="006D01CD">
        <w:rPr>
          <w:noProof/>
        </w:rPr>
        <w:tab/>
      </w:r>
      <w:r w:rsidR="00AA1F01" w:rsidRPr="000B1D92">
        <w:rPr>
          <w:noProof/>
        </w:rPr>
        <w:t>the information which is necessary for certification and which</w:t>
      </w:r>
      <w:r w:rsidR="00AA1F01">
        <w:rPr>
          <w:noProof/>
        </w:rPr>
        <w:t xml:space="preserve"> an applicant</w:t>
      </w:r>
      <w:r w:rsidR="00AA1F01" w:rsidRPr="000B1D92">
        <w:rPr>
          <w:noProof/>
        </w:rPr>
        <w:t xml:space="preserve"> is to </w:t>
      </w:r>
      <w:r w:rsidR="00770BFB">
        <w:rPr>
          <w:noProof/>
        </w:rPr>
        <w:t>provide</w:t>
      </w:r>
      <w:r w:rsidR="00AA1F01" w:rsidRPr="000B1D92">
        <w:rPr>
          <w:noProof/>
        </w:rPr>
        <w:t xml:space="preserve"> or otherwise ma</w:t>
      </w:r>
      <w:r w:rsidR="00AA1F01">
        <w:rPr>
          <w:noProof/>
        </w:rPr>
        <w:t>k</w:t>
      </w:r>
      <w:r w:rsidR="00AA1F01" w:rsidRPr="000B1D92">
        <w:rPr>
          <w:noProof/>
        </w:rPr>
        <w:t xml:space="preserve">e available to the conformity assessment bodies; </w:t>
      </w:r>
    </w:p>
    <w:p w14:paraId="670C8D0A" w14:textId="458BDF6F" w:rsidR="00AA1F01" w:rsidRDefault="006D01CD" w:rsidP="006D01CD">
      <w:pPr>
        <w:pStyle w:val="Point1"/>
        <w:rPr>
          <w:noProof/>
        </w:rPr>
      </w:pPr>
      <w:r w:rsidRPr="006D01CD">
        <w:rPr>
          <w:noProof/>
        </w:rPr>
        <w:t>(h)</w:t>
      </w:r>
      <w:r w:rsidRPr="006D01CD">
        <w:rPr>
          <w:noProof/>
        </w:rPr>
        <w:tab/>
      </w:r>
      <w:r w:rsidR="00AA1F01" w:rsidRPr="000B1D92">
        <w:rPr>
          <w:noProof/>
        </w:rPr>
        <w:t xml:space="preserve">marks or labels </w:t>
      </w:r>
      <w:r w:rsidR="00AA1F01" w:rsidRPr="00CC0AE0">
        <w:rPr>
          <w:noProof/>
        </w:rPr>
        <w:t>and the conditions</w:t>
      </w:r>
      <w:r w:rsidR="00AA1F01">
        <w:rPr>
          <w:noProof/>
        </w:rPr>
        <w:t xml:space="preserve"> </w:t>
      </w:r>
      <w:r w:rsidR="00AA1F01" w:rsidRPr="000B1D92">
        <w:rPr>
          <w:noProof/>
        </w:rPr>
        <w:t>under which such marks or labels may be used</w:t>
      </w:r>
      <w:r w:rsidR="00AA1F01">
        <w:rPr>
          <w:noProof/>
        </w:rPr>
        <w:t xml:space="preserve">; </w:t>
      </w:r>
    </w:p>
    <w:p w14:paraId="678BB084" w14:textId="725F1A96" w:rsidR="00AA1F01" w:rsidRPr="000B1D92" w:rsidRDefault="006D01CD" w:rsidP="006D01CD">
      <w:pPr>
        <w:pStyle w:val="Point1"/>
        <w:rPr>
          <w:noProof/>
        </w:rPr>
      </w:pPr>
      <w:r w:rsidRPr="006D01CD">
        <w:rPr>
          <w:noProof/>
        </w:rPr>
        <w:t>(i)</w:t>
      </w:r>
      <w:r w:rsidRPr="006D01CD">
        <w:rPr>
          <w:noProof/>
        </w:rPr>
        <w:tab/>
      </w:r>
      <w:r w:rsidR="00AA1F01" w:rsidRPr="000B1D92">
        <w:rPr>
          <w:noProof/>
        </w:rPr>
        <w:t xml:space="preserve">conditions for the international recognition of </w:t>
      </w:r>
      <w:r w:rsidR="002768C5">
        <w:rPr>
          <w:noProof/>
        </w:rPr>
        <w:t xml:space="preserve">European cybersecurity certificates in accordance with </w:t>
      </w:r>
      <w:r w:rsidR="00AA1F01" w:rsidRPr="000B1D92">
        <w:rPr>
          <w:noProof/>
        </w:rPr>
        <w:t>Article 8</w:t>
      </w:r>
      <w:r w:rsidR="00AA1F01">
        <w:rPr>
          <w:noProof/>
        </w:rPr>
        <w:t>7.</w:t>
      </w:r>
    </w:p>
    <w:p w14:paraId="74FFA9C4" w14:textId="6539B845" w:rsidR="00263941" w:rsidRDefault="006D01CD" w:rsidP="006D01CD">
      <w:pPr>
        <w:pStyle w:val="ManualNumPar1"/>
        <w:rPr>
          <w:noProof/>
        </w:rPr>
      </w:pPr>
      <w:r w:rsidRPr="006D01CD">
        <w:rPr>
          <w:noProof/>
        </w:rPr>
        <w:t>4.</w:t>
      </w:r>
      <w:r w:rsidRPr="006D01CD">
        <w:rPr>
          <w:noProof/>
        </w:rPr>
        <w:tab/>
      </w:r>
      <w:r w:rsidR="00AA1F01" w:rsidRPr="00E65C5B">
        <w:rPr>
          <w:noProof/>
          <w:lang w:eastAsia="en-IE"/>
        </w:rPr>
        <w:t xml:space="preserve">The specified requirements of the European cybersecurity certification scheme shall be consistent </w:t>
      </w:r>
      <w:r w:rsidR="00AA1F01">
        <w:rPr>
          <w:noProof/>
          <w:lang w:eastAsia="en-IE"/>
        </w:rPr>
        <w:t xml:space="preserve">with the </w:t>
      </w:r>
      <w:r w:rsidR="00AA1F01" w:rsidRPr="00E65C5B">
        <w:rPr>
          <w:noProof/>
          <w:lang w:eastAsia="en-IE"/>
        </w:rPr>
        <w:t xml:space="preserve">requirements </w:t>
      </w:r>
      <w:r w:rsidR="00AA1F01">
        <w:rPr>
          <w:noProof/>
          <w:lang w:eastAsia="en-IE"/>
        </w:rPr>
        <w:t>of</w:t>
      </w:r>
      <w:r w:rsidR="00AA1F01" w:rsidRPr="006272C8">
        <w:rPr>
          <w:noProof/>
          <w:lang w:eastAsia="en-IE"/>
        </w:rPr>
        <w:t xml:space="preserve"> Union </w:t>
      </w:r>
      <w:r w:rsidR="00AA1F01">
        <w:rPr>
          <w:noProof/>
          <w:lang w:eastAsia="en-IE"/>
        </w:rPr>
        <w:t>legislation</w:t>
      </w:r>
      <w:r w:rsidR="00AA1F01" w:rsidRPr="00E65C5B">
        <w:rPr>
          <w:noProof/>
          <w:lang w:eastAsia="en-IE"/>
        </w:rPr>
        <w:t>.</w:t>
      </w:r>
    </w:p>
    <w:p w14:paraId="0F20C109" w14:textId="7ED5A577" w:rsidR="00263941" w:rsidRDefault="006D01CD" w:rsidP="006D01CD">
      <w:pPr>
        <w:pStyle w:val="ManualNumPar1"/>
        <w:rPr>
          <w:noProof/>
        </w:rPr>
      </w:pPr>
      <w:r w:rsidRPr="006D01CD">
        <w:rPr>
          <w:noProof/>
        </w:rPr>
        <w:t>5.</w:t>
      </w:r>
      <w:r w:rsidRPr="006D01CD">
        <w:rPr>
          <w:noProof/>
        </w:rPr>
        <w:tab/>
      </w:r>
      <w:r w:rsidR="00AA1F01" w:rsidRPr="00164577">
        <w:rPr>
          <w:noProof/>
          <w:lang w:eastAsia="en-IE"/>
        </w:rPr>
        <w:t xml:space="preserve">The Commission </w:t>
      </w:r>
      <w:r w:rsidR="00AA1F01">
        <w:rPr>
          <w:noProof/>
          <w:lang w:eastAsia="en-IE"/>
        </w:rPr>
        <w:t>is empowered to</w:t>
      </w:r>
      <w:r w:rsidR="00AA1F01" w:rsidRPr="00164577">
        <w:rPr>
          <w:noProof/>
          <w:lang w:eastAsia="en-IE"/>
        </w:rPr>
        <w:t xml:space="preserve"> adopt implementing acts laying down common </w:t>
      </w:r>
      <w:r w:rsidR="00AA1F01" w:rsidRPr="00510CBB">
        <w:rPr>
          <w:noProof/>
          <w:lang w:eastAsia="en-IE"/>
        </w:rPr>
        <w:t xml:space="preserve">principles and </w:t>
      </w:r>
      <w:r w:rsidR="00AA1F01">
        <w:rPr>
          <w:noProof/>
          <w:lang w:eastAsia="en-IE"/>
        </w:rPr>
        <w:t>model</w:t>
      </w:r>
      <w:r w:rsidR="00AA1F01" w:rsidRPr="00510CBB">
        <w:rPr>
          <w:noProof/>
          <w:lang w:eastAsia="en-IE"/>
        </w:rPr>
        <w:t xml:space="preserve"> provisions </w:t>
      </w:r>
      <w:r w:rsidR="00AA1F01" w:rsidRPr="000079BD">
        <w:rPr>
          <w:noProof/>
          <w:lang w:eastAsia="en-IE"/>
        </w:rPr>
        <w:t>for elements set out in paragraph</w:t>
      </w:r>
      <w:r w:rsidR="00AA1F01">
        <w:rPr>
          <w:noProof/>
          <w:lang w:eastAsia="en-IE"/>
        </w:rPr>
        <w:t>s</w:t>
      </w:r>
      <w:r w:rsidR="00AA1F01" w:rsidRPr="000079BD">
        <w:rPr>
          <w:noProof/>
          <w:lang w:eastAsia="en-IE"/>
        </w:rPr>
        <w:t xml:space="preserve"> </w:t>
      </w:r>
      <w:r w:rsidR="00AA1F01">
        <w:rPr>
          <w:noProof/>
          <w:lang w:eastAsia="en-IE"/>
        </w:rPr>
        <w:t>1, 2 and 3</w:t>
      </w:r>
      <w:r w:rsidR="00AA1F01" w:rsidRPr="000079BD">
        <w:rPr>
          <w:noProof/>
          <w:lang w:eastAsia="en-IE"/>
        </w:rPr>
        <w:t xml:space="preserve"> across European cybersecurity certification schemes.</w:t>
      </w:r>
      <w:r w:rsidR="00AA1F01" w:rsidRPr="00164577">
        <w:rPr>
          <w:noProof/>
          <w:lang w:eastAsia="en-IE"/>
        </w:rPr>
        <w:t xml:space="preserve"> </w:t>
      </w:r>
      <w:r w:rsidR="00AA1F01">
        <w:rPr>
          <w:noProof/>
          <w:lang w:eastAsia="en-IE"/>
        </w:rPr>
        <w:t xml:space="preserve">Where appropriate and available, a </w:t>
      </w:r>
      <w:r w:rsidR="00AA1F01" w:rsidRPr="00010481">
        <w:rPr>
          <w:noProof/>
          <w:lang w:eastAsia="en-IE"/>
        </w:rPr>
        <w:t xml:space="preserve">European cybersecurity certification scheme </w:t>
      </w:r>
      <w:r w:rsidR="00AA1F01">
        <w:rPr>
          <w:noProof/>
          <w:lang w:eastAsia="en-IE"/>
        </w:rPr>
        <w:t>may include references to those principles and model provisions.</w:t>
      </w:r>
      <w:r w:rsidR="00AA1F01" w:rsidRPr="00164577">
        <w:rPr>
          <w:noProof/>
          <w:lang w:eastAsia="en-IE"/>
        </w:rPr>
        <w:t xml:space="preserve"> </w:t>
      </w:r>
    </w:p>
    <w:p w14:paraId="769A416B" w14:textId="055A9368" w:rsidR="00AA1F01" w:rsidRPr="00263941" w:rsidRDefault="006D01CD" w:rsidP="006D01CD">
      <w:pPr>
        <w:pStyle w:val="ManualNumPar1"/>
        <w:rPr>
          <w:noProof/>
          <w:color w:val="000000" w:themeColor="text1"/>
          <w:lang w:eastAsia="en-IE"/>
        </w:rPr>
      </w:pPr>
      <w:r w:rsidRPr="006D01CD">
        <w:rPr>
          <w:noProof/>
        </w:rPr>
        <w:t>6.</w:t>
      </w:r>
      <w:r w:rsidRPr="006D01CD">
        <w:rPr>
          <w:noProof/>
        </w:rPr>
        <w:tab/>
      </w:r>
      <w:r w:rsidR="00AA1F01">
        <w:rPr>
          <w:noProof/>
          <w:lang w:eastAsia="en-IE"/>
        </w:rPr>
        <w:t>The</w:t>
      </w:r>
      <w:r w:rsidR="00AA1F01" w:rsidRPr="00A115C7">
        <w:rPr>
          <w:noProof/>
          <w:lang w:eastAsia="en-IE"/>
        </w:rPr>
        <w:t xml:space="preserve"> implementing acts </w:t>
      </w:r>
      <w:r w:rsidR="00AA1F01">
        <w:rPr>
          <w:noProof/>
          <w:lang w:eastAsia="en-IE"/>
        </w:rPr>
        <w:t xml:space="preserve">referred to in </w:t>
      </w:r>
      <w:r w:rsidR="4CD3E3CD" w:rsidRPr="40475F2F">
        <w:rPr>
          <w:noProof/>
          <w:lang w:eastAsia="en-IE"/>
        </w:rPr>
        <w:t>paragraph 5</w:t>
      </w:r>
      <w:r w:rsidR="00AA1F01" w:rsidRPr="40475F2F">
        <w:rPr>
          <w:noProof/>
          <w:lang w:eastAsia="en-IE"/>
        </w:rPr>
        <w:t xml:space="preserve"> </w:t>
      </w:r>
      <w:r w:rsidR="00AA1F01" w:rsidRPr="00A115C7">
        <w:rPr>
          <w:noProof/>
          <w:lang w:eastAsia="en-IE"/>
        </w:rPr>
        <w:t xml:space="preserve">shall be adopted in accordance with the examination procedure referred to in </w:t>
      </w:r>
      <w:r w:rsidR="00AA1F01" w:rsidRPr="004F37A8">
        <w:rPr>
          <w:noProof/>
          <w:lang w:eastAsia="en-IE"/>
        </w:rPr>
        <w:t>Article 1</w:t>
      </w:r>
      <w:r w:rsidR="00704681">
        <w:rPr>
          <w:noProof/>
          <w:lang w:eastAsia="en-IE"/>
        </w:rPr>
        <w:t>1</w:t>
      </w:r>
      <w:r w:rsidR="00372503">
        <w:rPr>
          <w:noProof/>
          <w:lang w:eastAsia="en-IE"/>
        </w:rPr>
        <w:t>8</w:t>
      </w:r>
      <w:r w:rsidR="00AA1F01" w:rsidRPr="004F37A8">
        <w:rPr>
          <w:noProof/>
          <w:lang w:eastAsia="en-IE"/>
        </w:rPr>
        <w:t>(2).</w:t>
      </w:r>
      <w:r w:rsidR="00AA1F01" w:rsidRPr="00A115C7">
        <w:rPr>
          <w:noProof/>
          <w:lang w:eastAsia="en-IE"/>
        </w:rPr>
        <w:t xml:space="preserve"> </w:t>
      </w:r>
      <w:r w:rsidR="00AA1F01" w:rsidRPr="00263941">
        <w:rPr>
          <w:noProof/>
          <w:color w:val="000000" w:themeColor="text1"/>
          <w:lang w:eastAsia="en-IE"/>
        </w:rPr>
        <w:t xml:space="preserve">When developing or </w:t>
      </w:r>
      <w:r w:rsidR="00AA1F01" w:rsidRPr="00A115C7">
        <w:rPr>
          <w:noProof/>
          <w:lang w:eastAsia="en-IE"/>
        </w:rPr>
        <w:t xml:space="preserve">revising </w:t>
      </w:r>
      <w:r w:rsidR="00AA1F01">
        <w:rPr>
          <w:noProof/>
          <w:lang w:eastAsia="en-IE"/>
        </w:rPr>
        <w:t xml:space="preserve">the </w:t>
      </w:r>
      <w:r w:rsidR="00AA1F01" w:rsidRPr="00A115C7">
        <w:rPr>
          <w:noProof/>
          <w:lang w:eastAsia="en-IE"/>
        </w:rPr>
        <w:t xml:space="preserve">common </w:t>
      </w:r>
      <w:r w:rsidR="00AA1F01">
        <w:rPr>
          <w:noProof/>
          <w:lang w:eastAsia="en-IE"/>
        </w:rPr>
        <w:t>principles and model provisions for</w:t>
      </w:r>
      <w:r w:rsidR="00AA1F01" w:rsidRPr="00A115C7">
        <w:rPr>
          <w:noProof/>
          <w:lang w:eastAsia="en-IE"/>
        </w:rPr>
        <w:t xml:space="preserve"> the elements of European cybersecurity certification scheme</w:t>
      </w:r>
      <w:r w:rsidR="00AA1F01">
        <w:rPr>
          <w:noProof/>
          <w:lang w:eastAsia="en-IE"/>
        </w:rPr>
        <w:t>s</w:t>
      </w:r>
      <w:r w:rsidR="00AA1F01" w:rsidRPr="00263941">
        <w:rPr>
          <w:noProof/>
          <w:color w:val="000000" w:themeColor="text1"/>
          <w:lang w:eastAsia="en-IE"/>
        </w:rPr>
        <w:t>, the Commission shall</w:t>
      </w:r>
      <w:r w:rsidR="00AA1F01" w:rsidRPr="00A115C7">
        <w:rPr>
          <w:noProof/>
          <w:lang w:eastAsia="en-IE"/>
        </w:rPr>
        <w:t xml:space="preserve"> consult </w:t>
      </w:r>
      <w:r w:rsidR="00AA1F01" w:rsidRPr="000E7983">
        <w:rPr>
          <w:noProof/>
          <w:lang w:eastAsia="en-IE"/>
        </w:rPr>
        <w:t>ENISA</w:t>
      </w:r>
      <w:r w:rsidR="00AA1F01" w:rsidRPr="00A115C7">
        <w:rPr>
          <w:noProof/>
          <w:lang w:eastAsia="en-IE"/>
        </w:rPr>
        <w:t xml:space="preserve"> and</w:t>
      </w:r>
      <w:r w:rsidR="00AA1F01" w:rsidRPr="00263941">
        <w:rPr>
          <w:noProof/>
          <w:color w:val="000000" w:themeColor="text1"/>
          <w:lang w:eastAsia="en-IE"/>
        </w:rPr>
        <w:t xml:space="preserve"> take into account, as appropriate, views expressed by the ECCG, relevant stakeholders and other relevant bodies.</w:t>
      </w:r>
    </w:p>
    <w:p w14:paraId="16CCAD32" w14:textId="77777777" w:rsidR="00AA1F01" w:rsidRPr="00164577" w:rsidRDefault="00AA1F01" w:rsidP="00AA1F01">
      <w:pPr>
        <w:pStyle w:val="Titrearticle"/>
        <w:rPr>
          <w:noProof/>
          <w:lang w:eastAsia="en-IE"/>
        </w:rPr>
      </w:pPr>
      <w:r w:rsidRPr="00164577">
        <w:rPr>
          <w:noProof/>
          <w:lang w:eastAsia="en-IE"/>
        </w:rPr>
        <w:t xml:space="preserve">Article </w:t>
      </w:r>
      <w:r>
        <w:rPr>
          <w:noProof/>
          <w:lang w:eastAsia="en-IE"/>
        </w:rPr>
        <w:t>82</w:t>
      </w:r>
      <w:r>
        <w:rPr>
          <w:noProof/>
          <w:lang w:eastAsia="en-IE"/>
        </w:rPr>
        <w:br/>
      </w:r>
      <w:r w:rsidRPr="00C513DB">
        <w:rPr>
          <w:noProof/>
          <w:lang w:eastAsia="en-IE"/>
        </w:rPr>
        <w:t xml:space="preserve">Assurance </w:t>
      </w:r>
      <w:r>
        <w:rPr>
          <w:noProof/>
          <w:lang w:eastAsia="en-IE"/>
        </w:rPr>
        <w:t xml:space="preserve">and evaluation </w:t>
      </w:r>
      <w:r w:rsidRPr="00C513DB">
        <w:rPr>
          <w:noProof/>
          <w:lang w:eastAsia="en-IE"/>
        </w:rPr>
        <w:t>levels of European cybersecurity certification schemes</w:t>
      </w:r>
    </w:p>
    <w:p w14:paraId="451D0C70" w14:textId="4E67F624" w:rsidR="00AA1F01" w:rsidRPr="000B1D92" w:rsidRDefault="006D01CD" w:rsidP="006D01CD">
      <w:pPr>
        <w:pStyle w:val="ManualNumPar1"/>
        <w:rPr>
          <w:noProof/>
          <w:lang w:eastAsia="en-IE"/>
        </w:rPr>
      </w:pPr>
      <w:r w:rsidRPr="006D01CD">
        <w:rPr>
          <w:noProof/>
        </w:rPr>
        <w:t>1.</w:t>
      </w:r>
      <w:r w:rsidRPr="006D01CD">
        <w:rPr>
          <w:noProof/>
        </w:rPr>
        <w:tab/>
      </w:r>
      <w:r w:rsidR="00AA1F01" w:rsidRPr="000B1D92">
        <w:rPr>
          <w:noProof/>
          <w:lang w:eastAsia="en-IE"/>
        </w:rPr>
        <w:t xml:space="preserve">A European cybersecurity certification scheme may specify one or more of the following assurance levels for </w:t>
      </w:r>
      <w:r w:rsidR="00AA1F01" w:rsidRPr="000B1D92">
        <w:rPr>
          <w:noProof/>
          <w:color w:val="000000" w:themeColor="text1"/>
          <w:lang w:eastAsia="en-IE"/>
        </w:rPr>
        <w:t>ICT products, ICT services, ICT processes, managed security services or cyber posture of entities</w:t>
      </w:r>
      <w:r w:rsidR="00AA1F01" w:rsidRPr="000B1D92">
        <w:rPr>
          <w:noProof/>
          <w:lang w:eastAsia="en-IE"/>
        </w:rPr>
        <w:t xml:space="preserve">: “basic”, “substantial” or “high”. </w:t>
      </w:r>
      <w:r w:rsidR="00AA1F01">
        <w:rPr>
          <w:noProof/>
          <w:lang w:eastAsia="en-IE"/>
        </w:rPr>
        <w:t>Those assurance levels</w:t>
      </w:r>
      <w:r w:rsidR="00AA1F01" w:rsidRPr="000B1D92">
        <w:rPr>
          <w:noProof/>
          <w:lang w:eastAsia="en-IE"/>
        </w:rPr>
        <w:t xml:space="preserve"> shall be commensurate with the level of the risk associated with the intended use of the </w:t>
      </w:r>
      <w:r w:rsidR="00AA1F01" w:rsidRPr="000B1D92">
        <w:rPr>
          <w:noProof/>
          <w:color w:val="000000" w:themeColor="text1"/>
          <w:lang w:eastAsia="en-IE"/>
        </w:rPr>
        <w:t xml:space="preserve">ICT product, ICT service, ICT process, managed security </w:t>
      </w:r>
      <w:r w:rsidR="00AA1F01" w:rsidRPr="000B1D92" w:rsidDel="00187F86">
        <w:rPr>
          <w:noProof/>
          <w:color w:val="000000" w:themeColor="text1"/>
          <w:lang w:eastAsia="en-IE"/>
        </w:rPr>
        <w:t>service</w:t>
      </w:r>
      <w:r w:rsidR="00AA1F01" w:rsidRPr="000B1D92">
        <w:rPr>
          <w:noProof/>
          <w:lang w:eastAsia="en-IE"/>
        </w:rPr>
        <w:t>, or</w:t>
      </w:r>
      <w:r w:rsidR="00AA1F01">
        <w:rPr>
          <w:noProof/>
          <w:lang w:eastAsia="en-IE"/>
        </w:rPr>
        <w:t xml:space="preserve"> with</w:t>
      </w:r>
      <w:r w:rsidR="00AA1F01" w:rsidRPr="000B1D92">
        <w:rPr>
          <w:noProof/>
          <w:lang w:eastAsia="en-IE"/>
        </w:rPr>
        <w:t xml:space="preserve"> the nature of entities</w:t>
      </w:r>
      <w:r w:rsidR="00AA1F01">
        <w:rPr>
          <w:noProof/>
          <w:lang w:eastAsia="en-IE"/>
        </w:rPr>
        <w:t>, the cyber posture of which is subject to certification,</w:t>
      </w:r>
      <w:r w:rsidR="00AA1F01" w:rsidRPr="000B1D92">
        <w:rPr>
          <w:noProof/>
          <w:lang w:eastAsia="en-IE"/>
        </w:rPr>
        <w:t xml:space="preserve"> and their operational environment, in terms of the probability and impact of an incident.</w:t>
      </w:r>
    </w:p>
    <w:p w14:paraId="06730426" w14:textId="2B5A9DE4" w:rsidR="00AA1F01" w:rsidRPr="000B1D92" w:rsidRDefault="006D01CD" w:rsidP="006D01CD">
      <w:pPr>
        <w:pStyle w:val="ManualNumPar1"/>
        <w:rPr>
          <w:noProof/>
          <w:lang w:eastAsia="en-IE"/>
        </w:rPr>
      </w:pPr>
      <w:r w:rsidRPr="006D01CD">
        <w:rPr>
          <w:noProof/>
        </w:rPr>
        <w:t>2.</w:t>
      </w:r>
      <w:r w:rsidRPr="006D01CD">
        <w:rPr>
          <w:noProof/>
        </w:rPr>
        <w:tab/>
      </w:r>
      <w:r w:rsidR="00AA1F01" w:rsidRPr="000B1D92">
        <w:rPr>
          <w:noProof/>
          <w:lang w:eastAsia="en-IE"/>
        </w:rPr>
        <w:t xml:space="preserve">European cybersecurity certificates shall refer to any assurance level specified in the European cybersecurity certification scheme under which </w:t>
      </w:r>
      <w:r w:rsidR="00AA1F01">
        <w:rPr>
          <w:noProof/>
          <w:lang w:eastAsia="en-IE"/>
        </w:rPr>
        <w:t>those certificates</w:t>
      </w:r>
      <w:r w:rsidR="00AA1F01" w:rsidRPr="000B1D92">
        <w:rPr>
          <w:noProof/>
          <w:lang w:eastAsia="en-IE"/>
        </w:rPr>
        <w:t xml:space="preserve"> </w:t>
      </w:r>
      <w:r w:rsidR="00AA1F01">
        <w:rPr>
          <w:noProof/>
          <w:lang w:eastAsia="en-IE"/>
        </w:rPr>
        <w:t>are</w:t>
      </w:r>
      <w:r w:rsidR="00AA1F01" w:rsidRPr="000B1D92">
        <w:rPr>
          <w:noProof/>
          <w:lang w:eastAsia="en-IE"/>
        </w:rPr>
        <w:t xml:space="preserve"> issued.</w:t>
      </w:r>
      <w:r w:rsidR="00770BFB">
        <w:rPr>
          <w:noProof/>
          <w:lang w:eastAsia="en-IE"/>
        </w:rPr>
        <w:t xml:space="preserve"> EU statements of conformity shall refer to </w:t>
      </w:r>
      <w:r w:rsidR="00622B82">
        <w:rPr>
          <w:noProof/>
          <w:lang w:eastAsia="en-IE"/>
        </w:rPr>
        <w:t xml:space="preserve">the </w:t>
      </w:r>
      <w:r w:rsidR="00770BFB">
        <w:rPr>
          <w:noProof/>
          <w:lang w:eastAsia="en-IE"/>
        </w:rPr>
        <w:t>assurance level “basic”.</w:t>
      </w:r>
    </w:p>
    <w:p w14:paraId="0572E905" w14:textId="7758F923" w:rsidR="00AA1F01" w:rsidRPr="000B1D92" w:rsidRDefault="006D01CD" w:rsidP="006D01CD">
      <w:pPr>
        <w:pStyle w:val="ManualNumPar1"/>
        <w:rPr>
          <w:noProof/>
          <w:lang w:eastAsia="en-IE"/>
        </w:rPr>
      </w:pPr>
      <w:r w:rsidRPr="006D01CD">
        <w:rPr>
          <w:noProof/>
        </w:rPr>
        <w:t>3.</w:t>
      </w:r>
      <w:r w:rsidRPr="006D01CD">
        <w:rPr>
          <w:noProof/>
        </w:rPr>
        <w:tab/>
      </w:r>
      <w:r w:rsidR="00AA1F01" w:rsidRPr="000B1D92">
        <w:rPr>
          <w:noProof/>
          <w:lang w:eastAsia="en-IE"/>
        </w:rPr>
        <w:t>The security requirements corresponding to each assurance level shall be provided in the relevant European cybersecurity certification scheme, including the corresponding security controls and the corresponding evaluation that the ICT product, ICT service, ICT process, managed security service or cyber posture of entity is to undergo.</w:t>
      </w:r>
    </w:p>
    <w:p w14:paraId="246215AC" w14:textId="1C3D50FF" w:rsidR="00AA1F01" w:rsidRPr="000B1D92" w:rsidRDefault="006D01CD" w:rsidP="006D01CD">
      <w:pPr>
        <w:pStyle w:val="ManualNumPar1"/>
        <w:rPr>
          <w:noProof/>
          <w:lang w:eastAsia="en-IE"/>
        </w:rPr>
      </w:pPr>
      <w:r w:rsidRPr="006D01CD">
        <w:rPr>
          <w:noProof/>
        </w:rPr>
        <w:t>4.</w:t>
      </w:r>
      <w:r w:rsidRPr="006D01CD">
        <w:rPr>
          <w:noProof/>
        </w:rPr>
        <w:tab/>
      </w:r>
      <w:r w:rsidR="00AA1F01" w:rsidRPr="000B1D92">
        <w:rPr>
          <w:noProof/>
          <w:lang w:eastAsia="en-IE"/>
        </w:rPr>
        <w:t xml:space="preserve">The </w:t>
      </w:r>
      <w:r w:rsidR="00AA1F01">
        <w:rPr>
          <w:noProof/>
          <w:lang w:eastAsia="en-IE"/>
        </w:rPr>
        <w:t xml:space="preserve">European cybersecurity </w:t>
      </w:r>
      <w:r w:rsidR="00AA1F01" w:rsidRPr="000B1D92">
        <w:rPr>
          <w:noProof/>
          <w:lang w:eastAsia="en-IE"/>
        </w:rPr>
        <w:t>certificate or the EU statement of conformity shall refer to technical specifications, standards and procedures related thereto, including technical controls, the purpose of which is to decrease the risk of</w:t>
      </w:r>
      <w:r w:rsidR="00AA1F01">
        <w:rPr>
          <w:noProof/>
          <w:lang w:eastAsia="en-IE"/>
        </w:rPr>
        <w:t xml:space="preserve"> </w:t>
      </w:r>
      <w:r w:rsidR="00AA1F01" w:rsidRPr="000B1D92">
        <w:rPr>
          <w:noProof/>
          <w:lang w:eastAsia="en-IE"/>
        </w:rPr>
        <w:t>or to prevent cybersecurity incidents.</w:t>
      </w:r>
    </w:p>
    <w:p w14:paraId="61E62B71" w14:textId="08400CF2" w:rsidR="00AA1F01" w:rsidRPr="000B1D92" w:rsidRDefault="006D01CD" w:rsidP="006D01CD">
      <w:pPr>
        <w:pStyle w:val="ManualNumPar1"/>
        <w:rPr>
          <w:noProof/>
          <w:lang w:eastAsia="en-IE"/>
        </w:rPr>
      </w:pPr>
      <w:r w:rsidRPr="006D01CD">
        <w:rPr>
          <w:noProof/>
        </w:rPr>
        <w:t>5.</w:t>
      </w:r>
      <w:r w:rsidRPr="006D01CD">
        <w:rPr>
          <w:noProof/>
        </w:rPr>
        <w:tab/>
      </w:r>
      <w:r w:rsidR="00AA1F01" w:rsidRPr="000B1D92">
        <w:rPr>
          <w:noProof/>
          <w:lang w:eastAsia="en-IE"/>
        </w:rPr>
        <w:t>A European cybersecurity certificate or EU statement of conformity that refers to assurance level “basic” shall provide assurance that the ICT products, ICT services, ICT processes, managed security services or cyber posture of entities for which that certificate or that EU statement of conformity is issued meet the corresponding security requirements, including security controls, and that they have been evaluated at a level intended to minimise the known basic risks of incidents and cyberattacks. The evaluation activities to be undertaken shall include at least a review of</w:t>
      </w:r>
      <w:r w:rsidR="00AA1F01">
        <w:rPr>
          <w:noProof/>
          <w:lang w:eastAsia="en-IE"/>
        </w:rPr>
        <w:t xml:space="preserve"> the</w:t>
      </w:r>
      <w:r w:rsidR="00AA1F01" w:rsidRPr="000B1D92">
        <w:rPr>
          <w:noProof/>
          <w:lang w:eastAsia="en-IE"/>
        </w:rPr>
        <w:t xml:space="preserve"> technical documentation. Where such a review is not appropriate, substitute evaluation activities with equivalent effect shall be undertaken.</w:t>
      </w:r>
    </w:p>
    <w:p w14:paraId="561D8496" w14:textId="2094D1C4" w:rsidR="00AA1F01" w:rsidRPr="000B1D92" w:rsidRDefault="006D01CD" w:rsidP="006D01CD">
      <w:pPr>
        <w:pStyle w:val="ManualNumPar1"/>
        <w:rPr>
          <w:noProof/>
          <w:lang w:eastAsia="en-IE"/>
        </w:rPr>
      </w:pPr>
      <w:r w:rsidRPr="006D01CD">
        <w:rPr>
          <w:noProof/>
        </w:rPr>
        <w:t>6.</w:t>
      </w:r>
      <w:r w:rsidRPr="006D01CD">
        <w:rPr>
          <w:noProof/>
        </w:rPr>
        <w:tab/>
      </w:r>
      <w:r w:rsidR="00AA1F01" w:rsidRPr="000B1D92">
        <w:rPr>
          <w:noProof/>
          <w:lang w:eastAsia="en-IE"/>
        </w:rPr>
        <w:t xml:space="preserve">A European cybersecurity certificate that refers to assurance level “substantial” shall provide assurance that the ICT products, ICT services, ICT processes, managed security services or cyber posture of entities for which that certificate is issued meet the corresponding security requirements, including security controls, and that they have been evaluated at a level intended to </w:t>
      </w:r>
      <w:r w:rsidR="00AA1F01" w:rsidRPr="00443E34">
        <w:rPr>
          <w:noProof/>
          <w:lang w:eastAsia="en-IE"/>
        </w:rPr>
        <w:t>minimise known risks of incidents and cyberattacks</w:t>
      </w:r>
      <w:r w:rsidR="00AA1F01">
        <w:rPr>
          <w:noProof/>
          <w:lang w:eastAsia="en-IE"/>
        </w:rPr>
        <w:t xml:space="preserve"> </w:t>
      </w:r>
      <w:r w:rsidR="00AA1F01" w:rsidRPr="000B1D92">
        <w:rPr>
          <w:noProof/>
          <w:lang w:eastAsia="en-IE"/>
        </w:rPr>
        <w:t>and the risk of cyberattacks carried out by actors with limited skills and resources. The evaluation activities to be undertaken shall include at least a review to demonstrate the absence of publicly known vulnerabilities and testing to demonstrate that the ICT products, ICT services, ICT processes, managed security services or entities correctly implement the necessary security controls. Where any such evaluation activities are not appropriate, substitute evaluation activities with equivalent effect shall be undertaken.</w:t>
      </w:r>
    </w:p>
    <w:p w14:paraId="457455F8" w14:textId="4CD885A1" w:rsidR="00AA1F01" w:rsidRDefault="006D01CD" w:rsidP="006D01CD">
      <w:pPr>
        <w:pStyle w:val="ManualNumPar1"/>
        <w:rPr>
          <w:noProof/>
          <w:lang w:eastAsia="en-IE"/>
        </w:rPr>
      </w:pPr>
      <w:r w:rsidRPr="006D01CD">
        <w:rPr>
          <w:noProof/>
        </w:rPr>
        <w:t>7.</w:t>
      </w:r>
      <w:r w:rsidRPr="006D01CD">
        <w:rPr>
          <w:noProof/>
        </w:rPr>
        <w:tab/>
      </w:r>
      <w:r w:rsidR="00AA1F01" w:rsidRPr="000B1D92">
        <w:rPr>
          <w:noProof/>
          <w:lang w:eastAsia="en-IE"/>
        </w:rPr>
        <w:t xml:space="preserve">A European cybersecurity certificate that refers to assurance level “high” shall provide assurance that the ICT products, ICT services, ICT processes, managed security services or cyber posture of entities for which that certificate is issued meet the corresponding security requirements, including security controls, and that they have been evaluated at a level intended to minimise the risk of incidents and state-of-the-art cyberattacks carried out by actors with significant skills and resources. The evaluation activities to be undertaken shall include at least the following: </w:t>
      </w:r>
    </w:p>
    <w:p w14:paraId="1B12DF04" w14:textId="7CB87E77" w:rsidR="00AA1F01" w:rsidRDefault="006D01CD" w:rsidP="006D01CD">
      <w:pPr>
        <w:pStyle w:val="Point1"/>
        <w:rPr>
          <w:noProof/>
          <w:lang w:eastAsia="en-IE"/>
        </w:rPr>
      </w:pPr>
      <w:r w:rsidRPr="006D01CD">
        <w:rPr>
          <w:noProof/>
        </w:rPr>
        <w:t>(a)</w:t>
      </w:r>
      <w:r w:rsidRPr="006D01CD">
        <w:rPr>
          <w:noProof/>
        </w:rPr>
        <w:tab/>
      </w:r>
      <w:r w:rsidR="00AA1F01" w:rsidRPr="000B1D92">
        <w:rPr>
          <w:noProof/>
          <w:lang w:eastAsia="en-IE"/>
        </w:rPr>
        <w:t xml:space="preserve">a review to demonstrate the absence of publicly known vulnerabilities; </w:t>
      </w:r>
    </w:p>
    <w:p w14:paraId="3E0260B7" w14:textId="0B134130" w:rsidR="00AA1F01" w:rsidRDefault="006D01CD" w:rsidP="006D01CD">
      <w:pPr>
        <w:pStyle w:val="Point1"/>
        <w:rPr>
          <w:noProof/>
          <w:lang w:eastAsia="en-IE"/>
        </w:rPr>
      </w:pPr>
      <w:r w:rsidRPr="006D01CD">
        <w:rPr>
          <w:noProof/>
        </w:rPr>
        <w:t>(b)</w:t>
      </w:r>
      <w:r w:rsidRPr="006D01CD">
        <w:rPr>
          <w:noProof/>
        </w:rPr>
        <w:tab/>
      </w:r>
      <w:r w:rsidR="00AA1F01" w:rsidRPr="000B1D92">
        <w:rPr>
          <w:noProof/>
          <w:lang w:eastAsia="en-IE"/>
        </w:rPr>
        <w:t xml:space="preserve">testing to demonstrate that the ICT products, ICT services, ICT processes, managed security services or entities correctly implement the necessary security controls at the state of the art; </w:t>
      </w:r>
    </w:p>
    <w:p w14:paraId="7C451229" w14:textId="3CF12B34" w:rsidR="00AA1F01" w:rsidRDefault="006D01CD" w:rsidP="006D01CD">
      <w:pPr>
        <w:pStyle w:val="Point1"/>
        <w:rPr>
          <w:noProof/>
          <w:lang w:eastAsia="en-IE"/>
        </w:rPr>
      </w:pPr>
      <w:r w:rsidRPr="006D01CD">
        <w:rPr>
          <w:noProof/>
        </w:rPr>
        <w:t>(c)</w:t>
      </w:r>
      <w:r w:rsidRPr="006D01CD">
        <w:rPr>
          <w:noProof/>
        </w:rPr>
        <w:tab/>
      </w:r>
      <w:r w:rsidR="00AA1F01" w:rsidRPr="000B1D92">
        <w:rPr>
          <w:noProof/>
          <w:lang w:eastAsia="en-IE"/>
        </w:rPr>
        <w:t xml:space="preserve">an assessment of the resistance </w:t>
      </w:r>
      <w:r w:rsidR="00AA1F01">
        <w:rPr>
          <w:noProof/>
          <w:lang w:eastAsia="en-IE"/>
        </w:rPr>
        <w:t xml:space="preserve">of </w:t>
      </w:r>
      <w:r w:rsidR="00AA1F01" w:rsidRPr="00D2652B">
        <w:rPr>
          <w:noProof/>
          <w:lang w:eastAsia="en-IE"/>
        </w:rPr>
        <w:t xml:space="preserve">the ICT products, ICT services, ICT processes, managed security services or entities </w:t>
      </w:r>
      <w:r w:rsidR="00AA1F01" w:rsidRPr="000B1D92">
        <w:rPr>
          <w:noProof/>
          <w:lang w:eastAsia="en-IE"/>
        </w:rPr>
        <w:t xml:space="preserve">to skilled attackers, using, where relevant, </w:t>
      </w:r>
      <w:r w:rsidR="00AA1F01" w:rsidRPr="000B1D92">
        <w:rPr>
          <w:noProof/>
        </w:rPr>
        <w:t>penetration</w:t>
      </w:r>
      <w:r w:rsidR="00AA1F01" w:rsidRPr="000B1D92">
        <w:rPr>
          <w:noProof/>
          <w:lang w:eastAsia="en-IE"/>
        </w:rPr>
        <w:t xml:space="preserve"> testing. </w:t>
      </w:r>
    </w:p>
    <w:p w14:paraId="00D6AC41" w14:textId="77777777" w:rsidR="00AA1F01" w:rsidRPr="000B1D92" w:rsidRDefault="00AA1F01" w:rsidP="00B30C85">
      <w:pPr>
        <w:pStyle w:val="Text1"/>
        <w:rPr>
          <w:noProof/>
          <w:lang w:eastAsia="en-IE"/>
        </w:rPr>
      </w:pPr>
      <w:r w:rsidRPr="000B1D92">
        <w:rPr>
          <w:noProof/>
          <w:lang w:eastAsia="en-IE"/>
        </w:rPr>
        <w:t xml:space="preserve">Where any such evaluation activities are not appropriate, substitute activities with equivalent effect shall be undertaken. Any conformity assessment activities, including </w:t>
      </w:r>
      <w:r>
        <w:rPr>
          <w:noProof/>
          <w:lang w:eastAsia="en-IE"/>
        </w:rPr>
        <w:t xml:space="preserve">calibration, </w:t>
      </w:r>
      <w:r w:rsidRPr="000B1D92">
        <w:rPr>
          <w:noProof/>
          <w:lang w:eastAsia="en-IE"/>
        </w:rPr>
        <w:t>testing, certification and inspection, for assurance level ‘high’ shall be undertaken in the European Economic Area, unless otherwise provided for in a European cybersecurity certification scheme.</w:t>
      </w:r>
    </w:p>
    <w:p w14:paraId="469AE8BE" w14:textId="00C5BD05" w:rsidR="00AA1F01" w:rsidRPr="000B1D92" w:rsidRDefault="006D01CD" w:rsidP="006D01CD">
      <w:pPr>
        <w:pStyle w:val="ManualNumPar1"/>
        <w:rPr>
          <w:noProof/>
          <w:lang w:eastAsia="en-IE"/>
        </w:rPr>
      </w:pPr>
      <w:r w:rsidRPr="006D01CD">
        <w:rPr>
          <w:noProof/>
        </w:rPr>
        <w:t>8.</w:t>
      </w:r>
      <w:r w:rsidRPr="006D01CD">
        <w:rPr>
          <w:noProof/>
        </w:rPr>
        <w:tab/>
      </w:r>
      <w:r w:rsidR="00AA1F01" w:rsidRPr="000B1D92">
        <w:rPr>
          <w:noProof/>
          <w:lang w:eastAsia="en-IE"/>
        </w:rPr>
        <w:t xml:space="preserve">Where a European cybersecurity certification scheme is designed to </w:t>
      </w:r>
      <w:r w:rsidR="00AA1F01">
        <w:rPr>
          <w:noProof/>
          <w:lang w:eastAsia="en-IE"/>
        </w:rPr>
        <w:t>demonstrate compliance and</w:t>
      </w:r>
      <w:r w:rsidR="00AA1F01" w:rsidRPr="000B1D92">
        <w:rPr>
          <w:noProof/>
          <w:lang w:eastAsia="en-IE"/>
        </w:rPr>
        <w:t xml:space="preserve"> grant presumption of conformity with a specific Union legal act, a European cybersecurity certificate shall provide assurance that the certified ICT products, ICT services, ICT processes, managed security services or cyber posture of entities meet the corresponding cybersecurity requirements of that legal act. Any conformity assessment activities, including calibration, testing, certification and inspection, for the purpose of presumption of conformity shall be undertaken in the European Economic Area, unless otherwise provided </w:t>
      </w:r>
      <w:r w:rsidR="00AA1F01">
        <w:rPr>
          <w:noProof/>
          <w:lang w:eastAsia="en-IE"/>
        </w:rPr>
        <w:t>for in</w:t>
      </w:r>
      <w:r w:rsidR="00AA1F01" w:rsidRPr="000B1D92">
        <w:rPr>
          <w:noProof/>
          <w:lang w:eastAsia="en-IE"/>
        </w:rPr>
        <w:t xml:space="preserve"> a European cybersecurity certification scheme.</w:t>
      </w:r>
    </w:p>
    <w:p w14:paraId="3FDFA488" w14:textId="06122297" w:rsidR="00AA1F01" w:rsidRPr="000B1D92" w:rsidRDefault="006D01CD" w:rsidP="006D01CD">
      <w:pPr>
        <w:pStyle w:val="ManualNumPar1"/>
        <w:rPr>
          <w:noProof/>
          <w:lang w:eastAsia="en-IE"/>
        </w:rPr>
      </w:pPr>
      <w:r w:rsidRPr="006D01CD">
        <w:rPr>
          <w:noProof/>
        </w:rPr>
        <w:t>9.</w:t>
      </w:r>
      <w:r w:rsidRPr="006D01CD">
        <w:rPr>
          <w:noProof/>
        </w:rPr>
        <w:tab/>
      </w:r>
      <w:r w:rsidR="00AA1F01" w:rsidRPr="000B1D92">
        <w:rPr>
          <w:noProof/>
          <w:lang w:eastAsia="en-IE"/>
        </w:rPr>
        <w:t>A European cybersecurity certification scheme may specify several evaluation levels for a given assurance level. Each of the evaluation levels shall correspond to one of the assurance levels.</w:t>
      </w:r>
    </w:p>
    <w:p w14:paraId="01B7BCBE" w14:textId="77777777" w:rsidR="00AA1F01" w:rsidRPr="00164577" w:rsidRDefault="00AA1F01" w:rsidP="00AA1F01">
      <w:pPr>
        <w:pStyle w:val="Titrearticle"/>
        <w:rPr>
          <w:noProof/>
          <w:lang w:eastAsia="en-IE"/>
        </w:rPr>
      </w:pPr>
      <w:r w:rsidRPr="00164577">
        <w:rPr>
          <w:noProof/>
          <w:lang w:eastAsia="en-IE"/>
        </w:rPr>
        <w:t xml:space="preserve">Article </w:t>
      </w:r>
      <w:r>
        <w:rPr>
          <w:noProof/>
          <w:lang w:eastAsia="en-IE"/>
        </w:rPr>
        <w:t>83</w:t>
      </w:r>
      <w:r>
        <w:rPr>
          <w:noProof/>
          <w:lang w:eastAsia="en-IE"/>
        </w:rPr>
        <w:br/>
      </w:r>
      <w:r w:rsidRPr="00C513DB">
        <w:rPr>
          <w:noProof/>
          <w:lang w:eastAsia="en-IE"/>
        </w:rPr>
        <w:t>Conformity self-assessment</w:t>
      </w:r>
    </w:p>
    <w:p w14:paraId="00D07582" w14:textId="3DB28E84" w:rsidR="00AA1F01" w:rsidRPr="000B1D92" w:rsidRDefault="006D01CD" w:rsidP="006D01CD">
      <w:pPr>
        <w:pStyle w:val="ManualNumPar1"/>
        <w:rPr>
          <w:noProof/>
          <w:lang w:eastAsia="en-IE"/>
        </w:rPr>
      </w:pPr>
      <w:r w:rsidRPr="006D01CD">
        <w:rPr>
          <w:noProof/>
        </w:rPr>
        <w:t>1.</w:t>
      </w:r>
      <w:r w:rsidRPr="006D01CD">
        <w:rPr>
          <w:noProof/>
        </w:rPr>
        <w:tab/>
      </w:r>
      <w:r w:rsidR="00AA1F01" w:rsidRPr="000B1D92">
        <w:rPr>
          <w:noProof/>
          <w:lang w:eastAsia="en-IE"/>
        </w:rPr>
        <w:t xml:space="preserve">A European cybersecurity certification scheme may allow for conformity self-assessment under the sole responsibility of the manufacturer or provider of ICT products, ICT services, ICT processes, managed security services or the entity the cyber posture of which is subject </w:t>
      </w:r>
      <w:r w:rsidR="00AA1F01">
        <w:rPr>
          <w:noProof/>
          <w:lang w:eastAsia="en-IE"/>
        </w:rPr>
        <w:t>to</w:t>
      </w:r>
      <w:r w:rsidR="00AA1F01" w:rsidRPr="000B1D92">
        <w:rPr>
          <w:noProof/>
          <w:lang w:eastAsia="en-IE"/>
        </w:rPr>
        <w:t xml:space="preserve"> certification. Conformity self-assessment shall be permitted only in relation to ICT products, ICT services, ICT processes, managed security services or cyber posture of entities that present a low risk corresponding to assurance level “basic”. </w:t>
      </w:r>
    </w:p>
    <w:p w14:paraId="58389D59" w14:textId="321A8023" w:rsidR="00AA1F01" w:rsidRPr="000B1D92" w:rsidRDefault="006D01CD" w:rsidP="006D01CD">
      <w:pPr>
        <w:pStyle w:val="ManualNumPar1"/>
        <w:rPr>
          <w:noProof/>
          <w:lang w:eastAsia="en-IE"/>
        </w:rPr>
      </w:pPr>
      <w:r w:rsidRPr="006D01CD">
        <w:rPr>
          <w:noProof/>
        </w:rPr>
        <w:t>2.</w:t>
      </w:r>
      <w:r w:rsidRPr="006D01CD">
        <w:rPr>
          <w:noProof/>
        </w:rPr>
        <w:tab/>
      </w:r>
      <w:r w:rsidR="00AA1F01" w:rsidRPr="000B1D92">
        <w:rPr>
          <w:noProof/>
          <w:lang w:eastAsia="en-IE"/>
        </w:rPr>
        <w:t>The manufacturer or provider of ICT products, ICT services, ICT processes, managed security services or the entity the cyber posture of which is subject to certification may issue an EU statement of conformity stating that the fulfilment of the requirements set out in the</w:t>
      </w:r>
      <w:r w:rsidR="00AA1F01">
        <w:rPr>
          <w:noProof/>
          <w:lang w:eastAsia="en-IE"/>
        </w:rPr>
        <w:t xml:space="preserve"> European cybersecurity certification</w:t>
      </w:r>
      <w:r w:rsidR="00AA1F01" w:rsidRPr="000B1D92">
        <w:rPr>
          <w:noProof/>
          <w:lang w:eastAsia="en-IE"/>
        </w:rPr>
        <w:t xml:space="preserve"> scheme has been demonstrated. By issuing such a statement, th</w:t>
      </w:r>
      <w:r w:rsidR="00AA1F01">
        <w:rPr>
          <w:noProof/>
          <w:lang w:eastAsia="en-IE"/>
        </w:rPr>
        <w:t>at</w:t>
      </w:r>
      <w:r w:rsidR="00AA1F01" w:rsidRPr="000B1D92">
        <w:rPr>
          <w:noProof/>
          <w:lang w:eastAsia="en-IE"/>
        </w:rPr>
        <w:t xml:space="preserve"> manufacturer or provider or entity assume</w:t>
      </w:r>
      <w:r w:rsidR="00AA1F01">
        <w:rPr>
          <w:noProof/>
          <w:lang w:eastAsia="en-IE"/>
        </w:rPr>
        <w:t>s</w:t>
      </w:r>
      <w:r w:rsidR="00AA1F01" w:rsidRPr="000B1D92">
        <w:rPr>
          <w:noProof/>
          <w:lang w:eastAsia="en-IE"/>
        </w:rPr>
        <w:t xml:space="preserve"> responsibility for the compliance of the ICT product, ICT service, ICT process, managed security service or cyber posture with the requirements set out in that scheme.</w:t>
      </w:r>
    </w:p>
    <w:p w14:paraId="0EF934BF" w14:textId="36533B66" w:rsidR="00AA1F01" w:rsidRPr="000B1D92" w:rsidRDefault="006D01CD" w:rsidP="006D01CD">
      <w:pPr>
        <w:pStyle w:val="ManualNumPar1"/>
        <w:rPr>
          <w:noProof/>
          <w:lang w:eastAsia="en-IE"/>
        </w:rPr>
      </w:pPr>
      <w:r w:rsidRPr="006D01CD">
        <w:rPr>
          <w:noProof/>
        </w:rPr>
        <w:t>3.</w:t>
      </w:r>
      <w:r w:rsidRPr="006D01CD">
        <w:rPr>
          <w:noProof/>
        </w:rPr>
        <w:tab/>
      </w:r>
      <w:r w:rsidR="00AA1F01" w:rsidRPr="000B1D92">
        <w:rPr>
          <w:noProof/>
          <w:lang w:eastAsia="en-IE"/>
        </w:rPr>
        <w:t xml:space="preserve">The manufacturer or provider of ICT products, ICT services, ICT processes, managed security services or the entity the cyber posture of which is subject to certification shall make the EU statement of conformity, technical documentation, and all other relevant information relating to the conformity of the ICT products, ICT services, ICT processes, managed security services or cyber posture with the </w:t>
      </w:r>
      <w:r w:rsidR="00AA1F01">
        <w:rPr>
          <w:noProof/>
          <w:lang w:eastAsia="en-IE"/>
        </w:rPr>
        <w:t xml:space="preserve">European cybersecurity certification </w:t>
      </w:r>
      <w:r w:rsidR="00AA1F01" w:rsidRPr="000B1D92">
        <w:rPr>
          <w:noProof/>
          <w:lang w:eastAsia="en-IE"/>
        </w:rPr>
        <w:t xml:space="preserve">scheme available to the national cybersecurity certification authority designated pursuant to Article 89 for the period provided for in </w:t>
      </w:r>
      <w:r w:rsidR="00AA1F01">
        <w:rPr>
          <w:noProof/>
          <w:lang w:eastAsia="en-IE"/>
        </w:rPr>
        <w:t xml:space="preserve">that </w:t>
      </w:r>
      <w:r w:rsidR="00AA1F01" w:rsidRPr="000B1D92">
        <w:rPr>
          <w:noProof/>
          <w:lang w:eastAsia="en-IE"/>
        </w:rPr>
        <w:t xml:space="preserve">scheme. A copy of the EU statement of conformity shall be submitted </w:t>
      </w:r>
      <w:r w:rsidR="00AA1F01">
        <w:rPr>
          <w:noProof/>
          <w:lang w:eastAsia="en-IE"/>
        </w:rPr>
        <w:t xml:space="preserve">without undue delay </w:t>
      </w:r>
      <w:r w:rsidR="00AA1F01" w:rsidRPr="000B1D92">
        <w:rPr>
          <w:noProof/>
          <w:lang w:eastAsia="en-IE"/>
        </w:rPr>
        <w:t>to the national cybersecurity certification authority and to ENISA.</w:t>
      </w:r>
    </w:p>
    <w:p w14:paraId="09694CD2" w14:textId="77777777" w:rsidR="00AA1F01" w:rsidRPr="00164577" w:rsidRDefault="00AA1F01" w:rsidP="00AA1F01">
      <w:pPr>
        <w:pStyle w:val="Titrearticle"/>
        <w:rPr>
          <w:noProof/>
          <w:lang w:eastAsia="en-IE"/>
        </w:rPr>
      </w:pPr>
      <w:r w:rsidRPr="00164577">
        <w:rPr>
          <w:noProof/>
          <w:lang w:eastAsia="en-IE"/>
        </w:rPr>
        <w:t xml:space="preserve">Article </w:t>
      </w:r>
      <w:r>
        <w:rPr>
          <w:noProof/>
          <w:lang w:eastAsia="en-IE"/>
        </w:rPr>
        <w:t>84</w:t>
      </w:r>
      <w:r>
        <w:rPr>
          <w:noProof/>
          <w:lang w:eastAsia="en-IE"/>
        </w:rPr>
        <w:br/>
      </w:r>
      <w:r w:rsidRPr="00C513DB">
        <w:rPr>
          <w:noProof/>
          <w:lang w:eastAsia="en-IE"/>
        </w:rPr>
        <w:t>Supplementary cybersecurity information for certified ICT products, ICT services and ICT processes</w:t>
      </w:r>
    </w:p>
    <w:p w14:paraId="27B4C811" w14:textId="634A595D" w:rsidR="00AA1F01" w:rsidRPr="000B1D92" w:rsidRDefault="006D01CD" w:rsidP="006D01CD">
      <w:pPr>
        <w:pStyle w:val="ManualNumPar1"/>
        <w:rPr>
          <w:noProof/>
          <w:lang w:eastAsia="en-IE"/>
        </w:rPr>
      </w:pPr>
      <w:r w:rsidRPr="006D01CD">
        <w:rPr>
          <w:noProof/>
        </w:rPr>
        <w:t>1.</w:t>
      </w:r>
      <w:r w:rsidRPr="006D01CD">
        <w:rPr>
          <w:noProof/>
        </w:rPr>
        <w:tab/>
      </w:r>
      <w:r w:rsidR="00AA1F01" w:rsidRPr="000B1D92">
        <w:rPr>
          <w:noProof/>
          <w:lang w:eastAsia="en-IE"/>
        </w:rPr>
        <w:t xml:space="preserve">The </w:t>
      </w:r>
      <w:r w:rsidR="00AA1F01" w:rsidRPr="000B1D92">
        <w:rPr>
          <w:noProof/>
          <w:color w:val="000000" w:themeColor="text1"/>
        </w:rPr>
        <w:t xml:space="preserve">manufacturer or provider of ICT products, ICT services or ICT processes </w:t>
      </w:r>
      <w:r w:rsidR="00AA1F01" w:rsidRPr="000B1D92">
        <w:rPr>
          <w:noProof/>
          <w:lang w:eastAsia="en-IE"/>
        </w:rPr>
        <w:t>for which an EU statement of conformity or European cybersecurity certificate has been issued shall make available to the user the following supplementary cybersecurity information:</w:t>
      </w:r>
    </w:p>
    <w:p w14:paraId="5D6BFB5B" w14:textId="787CB576" w:rsidR="00AA1F01" w:rsidRPr="000B1D92" w:rsidRDefault="006D01CD" w:rsidP="006D01CD">
      <w:pPr>
        <w:pStyle w:val="Point1"/>
        <w:rPr>
          <w:noProof/>
          <w:lang w:eastAsia="en-IE"/>
        </w:rPr>
      </w:pPr>
      <w:r w:rsidRPr="006D01CD">
        <w:rPr>
          <w:noProof/>
        </w:rPr>
        <w:t>(a)</w:t>
      </w:r>
      <w:r w:rsidRPr="006D01CD">
        <w:rPr>
          <w:noProof/>
        </w:rPr>
        <w:tab/>
      </w:r>
      <w:r w:rsidR="00AA1F01" w:rsidRPr="000B1D92">
        <w:rPr>
          <w:noProof/>
          <w:lang w:eastAsia="en-IE"/>
        </w:rPr>
        <w:t>the intended purpose of the relevant ICT product, ICT service or ICT process, including the security environment provided by the manufacturer or provider;</w:t>
      </w:r>
    </w:p>
    <w:p w14:paraId="1296C155" w14:textId="3E7DBB06" w:rsidR="00AA1F01" w:rsidRPr="000B1D92" w:rsidRDefault="006D01CD" w:rsidP="006D01CD">
      <w:pPr>
        <w:pStyle w:val="Point1"/>
        <w:rPr>
          <w:noProof/>
          <w:lang w:eastAsia="en-IE"/>
        </w:rPr>
      </w:pPr>
      <w:r w:rsidRPr="006D01CD">
        <w:rPr>
          <w:noProof/>
        </w:rPr>
        <w:t>(b)</w:t>
      </w:r>
      <w:r w:rsidRPr="006D01CD">
        <w:rPr>
          <w:noProof/>
        </w:rPr>
        <w:tab/>
      </w:r>
      <w:r w:rsidR="00AA1F01" w:rsidRPr="000B1D92">
        <w:rPr>
          <w:noProof/>
          <w:lang w:eastAsia="en-IE"/>
        </w:rPr>
        <w:t>guidance and recommendations to assist users with the secure configuration, installation, deployment, operation and maintenance of the ICT products or ICT services;</w:t>
      </w:r>
    </w:p>
    <w:p w14:paraId="3C83833D" w14:textId="4DAE9B04" w:rsidR="00AA1F01" w:rsidRPr="000B1D92" w:rsidRDefault="006D01CD" w:rsidP="006D01CD">
      <w:pPr>
        <w:pStyle w:val="Point1"/>
        <w:rPr>
          <w:noProof/>
          <w:lang w:eastAsia="en-IE"/>
        </w:rPr>
      </w:pPr>
      <w:r w:rsidRPr="006D01CD">
        <w:rPr>
          <w:noProof/>
        </w:rPr>
        <w:t>(c)</w:t>
      </w:r>
      <w:r w:rsidRPr="006D01CD">
        <w:rPr>
          <w:noProof/>
        </w:rPr>
        <w:tab/>
      </w:r>
      <w:r w:rsidR="00AA1F01" w:rsidRPr="000B1D92">
        <w:rPr>
          <w:noProof/>
          <w:lang w:eastAsia="en-IE"/>
        </w:rPr>
        <w:t>the type of technical security support offered by the manufacturer or provider and the end date of the support period during which users can expect vulnerabilities to be handled and to receive security updates;</w:t>
      </w:r>
    </w:p>
    <w:p w14:paraId="1C4E9F31" w14:textId="1E160445" w:rsidR="00AA1F01" w:rsidRPr="000B1D92" w:rsidRDefault="006D01CD" w:rsidP="006D01CD">
      <w:pPr>
        <w:pStyle w:val="Point1"/>
        <w:rPr>
          <w:noProof/>
          <w:lang w:eastAsia="en-IE"/>
        </w:rPr>
      </w:pPr>
      <w:r w:rsidRPr="006D01CD">
        <w:rPr>
          <w:noProof/>
        </w:rPr>
        <w:t>(d)</w:t>
      </w:r>
      <w:r w:rsidRPr="006D01CD">
        <w:rPr>
          <w:noProof/>
        </w:rPr>
        <w:tab/>
      </w:r>
      <w:r w:rsidR="00AA1F01" w:rsidRPr="000B1D92">
        <w:rPr>
          <w:noProof/>
          <w:lang w:eastAsia="en-IE"/>
        </w:rPr>
        <w:t xml:space="preserve">if the manufacturer or provider decides to make available a software bill of materials to the user, information on where </w:t>
      </w:r>
      <w:r w:rsidR="00AA1F01">
        <w:rPr>
          <w:noProof/>
          <w:lang w:eastAsia="en-IE"/>
        </w:rPr>
        <w:t>that</w:t>
      </w:r>
      <w:r w:rsidR="00AA1F01" w:rsidRPr="000B1D92">
        <w:rPr>
          <w:noProof/>
          <w:lang w:eastAsia="en-IE"/>
        </w:rPr>
        <w:t xml:space="preserve"> can be accessed.</w:t>
      </w:r>
    </w:p>
    <w:p w14:paraId="0F3DE116" w14:textId="1D4FEBCE" w:rsidR="00AA1F01" w:rsidRPr="000B1D92" w:rsidRDefault="006D01CD" w:rsidP="006D01CD">
      <w:pPr>
        <w:pStyle w:val="ManualNumPar1"/>
        <w:rPr>
          <w:noProof/>
          <w:lang w:eastAsia="en-IE"/>
        </w:rPr>
      </w:pPr>
      <w:r w:rsidRPr="006D01CD">
        <w:rPr>
          <w:noProof/>
        </w:rPr>
        <w:t>2.</w:t>
      </w:r>
      <w:r w:rsidRPr="006D01CD">
        <w:rPr>
          <w:noProof/>
        </w:rPr>
        <w:tab/>
      </w:r>
      <w:r w:rsidR="00AA1F01" w:rsidRPr="000B1D92">
        <w:rPr>
          <w:noProof/>
          <w:lang w:eastAsia="en-IE"/>
        </w:rPr>
        <w:t>The manufacturer or provider of ICT products, ICT services or ICT processes for which an EU statement of conformity or European cybersecurity certificate has been issued shall make publicly available the following supplementary cybersecurity information:</w:t>
      </w:r>
    </w:p>
    <w:p w14:paraId="53F0CB01" w14:textId="5536405C" w:rsidR="00AA1F01" w:rsidRPr="000B1D92" w:rsidRDefault="006D01CD" w:rsidP="006D01CD">
      <w:pPr>
        <w:pStyle w:val="Point1"/>
        <w:rPr>
          <w:noProof/>
          <w:color w:val="000000"/>
          <w:lang w:eastAsia="en-IE"/>
        </w:rPr>
      </w:pPr>
      <w:r w:rsidRPr="006D01CD">
        <w:rPr>
          <w:noProof/>
        </w:rPr>
        <w:t>(a)</w:t>
      </w:r>
      <w:r w:rsidRPr="006D01CD">
        <w:rPr>
          <w:noProof/>
        </w:rPr>
        <w:tab/>
      </w:r>
      <w:r w:rsidR="00AA1F01" w:rsidRPr="000B1D92">
        <w:rPr>
          <w:noProof/>
          <w:lang w:eastAsia="en-IE"/>
        </w:rPr>
        <w:t>the single point of contact where information about vulnerabilities can be reported and received, and where the manufacturer’s policy on coordinated vulnerability disclosure can be found;</w:t>
      </w:r>
    </w:p>
    <w:p w14:paraId="57A8C02D" w14:textId="428DCE75" w:rsidR="00AA1F01" w:rsidRDefault="006D01CD" w:rsidP="006D01CD">
      <w:pPr>
        <w:pStyle w:val="Point1"/>
        <w:rPr>
          <w:noProof/>
          <w:lang w:eastAsia="en-IE"/>
        </w:rPr>
      </w:pPr>
      <w:r w:rsidRPr="006D01CD">
        <w:rPr>
          <w:noProof/>
        </w:rPr>
        <w:t>(b)</w:t>
      </w:r>
      <w:r w:rsidRPr="006D01CD">
        <w:rPr>
          <w:noProof/>
        </w:rPr>
        <w:tab/>
      </w:r>
      <w:r w:rsidR="00AA1F01" w:rsidRPr="000B1D92">
        <w:rPr>
          <w:noProof/>
          <w:lang w:eastAsia="en-IE"/>
        </w:rPr>
        <w:t>information about fixed vulnerabilities, including a description of the vulnerabilities</w:t>
      </w:r>
      <w:r w:rsidR="00770BFB">
        <w:rPr>
          <w:noProof/>
          <w:lang w:eastAsia="en-IE"/>
        </w:rPr>
        <w:t xml:space="preserve">, </w:t>
      </w:r>
      <w:r w:rsidR="00770BFB" w:rsidRPr="00770BFB">
        <w:rPr>
          <w:noProof/>
          <w:lang w:eastAsia="en-IE"/>
        </w:rPr>
        <w:t>including information allowing users to identify the product with digital elements affected, the impacts of the vulnerabilities, their severity</w:t>
      </w:r>
      <w:r w:rsidR="00770BFB">
        <w:rPr>
          <w:noProof/>
          <w:lang w:eastAsia="en-IE"/>
        </w:rPr>
        <w:t>,</w:t>
      </w:r>
      <w:r w:rsidR="00770BFB" w:rsidRPr="00770BFB">
        <w:rPr>
          <w:noProof/>
          <w:lang w:eastAsia="en-IE"/>
        </w:rPr>
        <w:t xml:space="preserve"> and clear and accessible information helping users to remediate the vulnerabilities; in duly justified cases, where manufacturers consider the security risks of publication to outweigh the security benefits, they may delay making public information regarding a fixed vulnerability until after users have been given the possibility to apply the relevant patch</w:t>
      </w:r>
      <w:r w:rsidR="00770BFB">
        <w:rPr>
          <w:noProof/>
          <w:lang w:eastAsia="en-IE"/>
        </w:rPr>
        <w:t>.</w:t>
      </w:r>
    </w:p>
    <w:p w14:paraId="7FE15DE1" w14:textId="05D7CADA" w:rsidR="00AA1F01" w:rsidRPr="000B1D92" w:rsidDel="009D2917" w:rsidRDefault="006D01CD" w:rsidP="006D01CD">
      <w:pPr>
        <w:pStyle w:val="ManualNumPar1"/>
        <w:rPr>
          <w:noProof/>
          <w:lang w:eastAsia="en-IE"/>
        </w:rPr>
      </w:pPr>
      <w:r w:rsidRPr="006D01CD">
        <w:rPr>
          <w:noProof/>
        </w:rPr>
        <w:t>3.</w:t>
      </w:r>
      <w:r w:rsidRPr="006D01CD">
        <w:rPr>
          <w:noProof/>
        </w:rPr>
        <w:tab/>
      </w:r>
      <w:r w:rsidR="00AA1F01" w:rsidRPr="000B1D92">
        <w:rPr>
          <w:noProof/>
          <w:lang w:eastAsia="en-IE"/>
        </w:rPr>
        <w:t xml:space="preserve">The information referred to in paragraphs 1 and 2 shall be available in electronic form and shall remain available and be updated as necessary </w:t>
      </w:r>
      <w:r w:rsidR="00AA1F01">
        <w:rPr>
          <w:noProof/>
          <w:lang w:eastAsia="en-IE"/>
        </w:rPr>
        <w:t xml:space="preserve">during the validity and </w:t>
      </w:r>
      <w:r w:rsidR="00AA1F01" w:rsidRPr="000B1D92">
        <w:rPr>
          <w:noProof/>
          <w:lang w:eastAsia="en-IE"/>
        </w:rPr>
        <w:t>at least for</w:t>
      </w:r>
      <w:r w:rsidR="00AA1F01">
        <w:rPr>
          <w:noProof/>
          <w:lang w:eastAsia="en-IE"/>
        </w:rPr>
        <w:t xml:space="preserve"> a period of</w:t>
      </w:r>
      <w:r w:rsidR="00AA1F01" w:rsidRPr="000B1D92">
        <w:rPr>
          <w:noProof/>
          <w:lang w:eastAsia="en-IE"/>
        </w:rPr>
        <w:t xml:space="preserve"> </w:t>
      </w:r>
      <w:r w:rsidR="00AA1F01">
        <w:rPr>
          <w:noProof/>
          <w:lang w:eastAsia="en-IE"/>
        </w:rPr>
        <w:t>five</w:t>
      </w:r>
      <w:r w:rsidR="00AA1F01" w:rsidRPr="000B1D92">
        <w:rPr>
          <w:noProof/>
          <w:lang w:eastAsia="en-IE"/>
        </w:rPr>
        <w:t xml:space="preserve"> years after the expiry or withdrawal of the relevant European cybersecurity certificate or EU statement of conformity. </w:t>
      </w:r>
    </w:p>
    <w:p w14:paraId="03DB7149" w14:textId="1E0A226F" w:rsidR="00AA1F01" w:rsidRPr="000B1D92" w:rsidDel="009D2917" w:rsidRDefault="006D01CD" w:rsidP="006D01CD">
      <w:pPr>
        <w:pStyle w:val="ManualNumPar1"/>
        <w:rPr>
          <w:noProof/>
          <w:lang w:eastAsia="en-IE"/>
        </w:rPr>
      </w:pPr>
      <w:r w:rsidRPr="006D01CD">
        <w:rPr>
          <w:noProof/>
        </w:rPr>
        <w:t>4.</w:t>
      </w:r>
      <w:r w:rsidRPr="006D01CD">
        <w:rPr>
          <w:noProof/>
        </w:rPr>
        <w:tab/>
      </w:r>
      <w:r w:rsidR="00AA1F01">
        <w:rPr>
          <w:noProof/>
          <w:lang w:eastAsia="en-IE"/>
        </w:rPr>
        <w:t xml:space="preserve">The obligations set out </w:t>
      </w:r>
      <w:r w:rsidR="00AA1F01" w:rsidRPr="000B1D92">
        <w:rPr>
          <w:noProof/>
          <w:lang w:eastAsia="en-IE"/>
        </w:rPr>
        <w:t xml:space="preserve">in paragraphs 1 and 2 shall not </w:t>
      </w:r>
      <w:r w:rsidR="00AA1F01">
        <w:rPr>
          <w:noProof/>
          <w:lang w:eastAsia="en-IE"/>
        </w:rPr>
        <w:t xml:space="preserve">apply where </w:t>
      </w:r>
      <w:r w:rsidR="00AA1F01" w:rsidRPr="000B1D92">
        <w:rPr>
          <w:noProof/>
          <w:lang w:eastAsia="en-IE"/>
        </w:rPr>
        <w:t>the security of the relevant ICT product, ICT service or ICT process</w:t>
      </w:r>
      <w:r w:rsidR="00AA1F01">
        <w:rPr>
          <w:noProof/>
          <w:lang w:eastAsia="en-IE"/>
        </w:rPr>
        <w:t xml:space="preserve"> might be compromised if the information is made publicly available</w:t>
      </w:r>
      <w:r w:rsidR="00AA1F01" w:rsidRPr="000B1D92">
        <w:rPr>
          <w:noProof/>
          <w:lang w:eastAsia="en-IE"/>
        </w:rPr>
        <w:t xml:space="preserve">. </w:t>
      </w:r>
    </w:p>
    <w:p w14:paraId="1495AA68" w14:textId="77777777" w:rsidR="00AA1F01" w:rsidRPr="00E65C5B" w:rsidRDefault="00AA1F01" w:rsidP="00AA1F01">
      <w:pPr>
        <w:rPr>
          <w:rFonts w:eastAsia="Times New Roman"/>
          <w:noProof/>
          <w:color w:val="000000"/>
          <w:lang w:eastAsia="en-IE"/>
        </w:rPr>
      </w:pPr>
    </w:p>
    <w:p w14:paraId="4CB703B0" w14:textId="77777777" w:rsidR="00AA1F01" w:rsidRPr="00D45456" w:rsidDel="009D2917" w:rsidRDefault="00AA1F01" w:rsidP="00AA1F01">
      <w:pPr>
        <w:jc w:val="center"/>
        <w:rPr>
          <w:b/>
          <w:bCs/>
          <w:i/>
          <w:iCs/>
          <w:noProof/>
        </w:rPr>
      </w:pPr>
      <w:r w:rsidRPr="00D45456">
        <w:rPr>
          <w:b/>
          <w:bCs/>
          <w:i/>
          <w:iCs/>
          <w:noProof/>
        </w:rPr>
        <w:t>CHAPTER III</w:t>
      </w:r>
      <w:r w:rsidRPr="00D45456">
        <w:rPr>
          <w:b/>
          <w:bCs/>
          <w:i/>
          <w:iCs/>
          <w:noProof/>
        </w:rPr>
        <w:br/>
        <w:t xml:space="preserve">Governance </w:t>
      </w:r>
      <w:r>
        <w:rPr>
          <w:b/>
          <w:bCs/>
          <w:i/>
          <w:iCs/>
          <w:noProof/>
        </w:rPr>
        <w:t>for the</w:t>
      </w:r>
      <w:r w:rsidRPr="00D45456">
        <w:rPr>
          <w:b/>
          <w:bCs/>
          <w:i/>
          <w:iCs/>
          <w:noProof/>
        </w:rPr>
        <w:t xml:space="preserve"> European </w:t>
      </w:r>
      <w:r>
        <w:rPr>
          <w:b/>
          <w:bCs/>
          <w:i/>
          <w:iCs/>
          <w:noProof/>
        </w:rPr>
        <w:t>C</w:t>
      </w:r>
      <w:r w:rsidRPr="00D45456">
        <w:rPr>
          <w:b/>
          <w:bCs/>
          <w:i/>
          <w:iCs/>
          <w:noProof/>
        </w:rPr>
        <w:t xml:space="preserve">ybersecurity </w:t>
      </w:r>
      <w:r>
        <w:rPr>
          <w:b/>
          <w:bCs/>
          <w:i/>
          <w:iCs/>
          <w:noProof/>
        </w:rPr>
        <w:t>C</w:t>
      </w:r>
      <w:r w:rsidRPr="00D45456">
        <w:rPr>
          <w:b/>
          <w:bCs/>
          <w:i/>
          <w:iCs/>
          <w:noProof/>
        </w:rPr>
        <w:t xml:space="preserve">ertification </w:t>
      </w:r>
      <w:r>
        <w:rPr>
          <w:b/>
          <w:bCs/>
          <w:i/>
          <w:iCs/>
          <w:noProof/>
        </w:rPr>
        <w:t>F</w:t>
      </w:r>
      <w:r w:rsidRPr="00D45456">
        <w:rPr>
          <w:b/>
          <w:bCs/>
          <w:i/>
          <w:iCs/>
          <w:noProof/>
        </w:rPr>
        <w:t>ramework</w:t>
      </w:r>
    </w:p>
    <w:p w14:paraId="241561B6" w14:textId="77777777" w:rsidR="00AA1F01" w:rsidRDefault="00AA1F01" w:rsidP="00AA1F01">
      <w:pPr>
        <w:jc w:val="center"/>
        <w:rPr>
          <w:b/>
          <w:bCs/>
          <w:noProof/>
        </w:rPr>
      </w:pPr>
    </w:p>
    <w:p w14:paraId="635256BC" w14:textId="77777777" w:rsidR="00AA1F01" w:rsidRPr="0079701A" w:rsidRDefault="00AA1F01" w:rsidP="00AA1F01">
      <w:pPr>
        <w:jc w:val="center"/>
        <w:rPr>
          <w:b/>
          <w:bCs/>
          <w:noProof/>
        </w:rPr>
      </w:pPr>
      <w:r w:rsidRPr="0079701A">
        <w:rPr>
          <w:b/>
          <w:bCs/>
          <w:noProof/>
        </w:rPr>
        <w:t>Section 1</w:t>
      </w:r>
      <w:r>
        <w:rPr>
          <w:b/>
          <w:bCs/>
          <w:noProof/>
        </w:rPr>
        <w:br/>
      </w:r>
      <w:r w:rsidRPr="0079701A">
        <w:rPr>
          <w:b/>
          <w:bCs/>
          <w:noProof/>
        </w:rPr>
        <w:t>General rules and management of European cybersecurity certification schemes</w:t>
      </w:r>
    </w:p>
    <w:p w14:paraId="68D65F68" w14:textId="77777777" w:rsidR="00AA1F01" w:rsidRPr="00E65C5B" w:rsidRDefault="00AA1F01" w:rsidP="00AA1F01">
      <w:pPr>
        <w:pStyle w:val="Titrearticle"/>
        <w:rPr>
          <w:noProof/>
          <w:lang w:eastAsia="en-IE"/>
        </w:rPr>
      </w:pPr>
      <w:r w:rsidRPr="00E65C5B">
        <w:rPr>
          <w:noProof/>
          <w:lang w:eastAsia="en-IE"/>
        </w:rPr>
        <w:t>Article 8</w:t>
      </w:r>
      <w:r>
        <w:rPr>
          <w:noProof/>
          <w:lang w:eastAsia="en-IE"/>
        </w:rPr>
        <w:t>5</w:t>
      </w:r>
      <w:r>
        <w:rPr>
          <w:noProof/>
          <w:lang w:eastAsia="en-IE"/>
        </w:rPr>
        <w:br/>
      </w:r>
      <w:r w:rsidRPr="00516EE9">
        <w:rPr>
          <w:noProof/>
          <w:lang w:eastAsia="en-IE"/>
        </w:rPr>
        <w:t>Issuance of</w:t>
      </w:r>
      <w:r w:rsidRPr="00E65C5B">
        <w:rPr>
          <w:noProof/>
          <w:lang w:eastAsia="en-IE"/>
        </w:rPr>
        <w:t xml:space="preserve"> European </w:t>
      </w:r>
      <w:r>
        <w:rPr>
          <w:bCs/>
          <w:noProof/>
          <w:lang w:eastAsia="en-IE"/>
        </w:rPr>
        <w:t>c</w:t>
      </w:r>
      <w:r w:rsidRPr="00E65C5B">
        <w:rPr>
          <w:bCs/>
          <w:noProof/>
          <w:lang w:eastAsia="en-IE"/>
        </w:rPr>
        <w:t>ybersecurity</w:t>
      </w:r>
      <w:r w:rsidRPr="00E65C5B">
        <w:rPr>
          <w:noProof/>
          <w:lang w:eastAsia="en-IE"/>
        </w:rPr>
        <w:t xml:space="preserve"> certificates</w:t>
      </w:r>
    </w:p>
    <w:p w14:paraId="03171551" w14:textId="297C3BAD" w:rsidR="00AA1F01" w:rsidRPr="006D3B52" w:rsidRDefault="006D01CD" w:rsidP="006D01CD">
      <w:pPr>
        <w:pStyle w:val="ManualNumPar1"/>
        <w:rPr>
          <w:noProof/>
          <w:lang w:eastAsia="en-IE"/>
        </w:rPr>
      </w:pPr>
      <w:r w:rsidRPr="006D01CD">
        <w:rPr>
          <w:noProof/>
        </w:rPr>
        <w:t>1.</w:t>
      </w:r>
      <w:r w:rsidRPr="006D01CD">
        <w:rPr>
          <w:noProof/>
        </w:rPr>
        <w:tab/>
      </w:r>
      <w:r w:rsidR="00AA1F01" w:rsidRPr="006D3B52">
        <w:rPr>
          <w:noProof/>
          <w:lang w:eastAsia="en-IE"/>
        </w:rPr>
        <w:t>ICT products, ICT services, ICT processes, managed security services or cyber posture of entities that have been certified under a European cybersecurity certification scheme shall be presumed to comply with the requirements of such scheme.</w:t>
      </w:r>
    </w:p>
    <w:p w14:paraId="2799738F" w14:textId="02E515A6" w:rsidR="00AA1F01" w:rsidRPr="006D3B52" w:rsidRDefault="006D01CD" w:rsidP="006D01CD">
      <w:pPr>
        <w:pStyle w:val="ManualNumPar1"/>
        <w:rPr>
          <w:noProof/>
          <w:lang w:eastAsia="en-IE"/>
        </w:rPr>
      </w:pPr>
      <w:r w:rsidRPr="006D01CD">
        <w:rPr>
          <w:noProof/>
        </w:rPr>
        <w:t>2.</w:t>
      </w:r>
      <w:r w:rsidRPr="006D01CD">
        <w:rPr>
          <w:noProof/>
        </w:rPr>
        <w:tab/>
      </w:r>
      <w:r w:rsidR="00AA1F01" w:rsidRPr="006D3B52">
        <w:rPr>
          <w:noProof/>
          <w:lang w:eastAsia="en-IE"/>
        </w:rPr>
        <w:t>The conformity assessment bodies referred to in Article 9</w:t>
      </w:r>
      <w:r w:rsidR="00AA1F01">
        <w:rPr>
          <w:noProof/>
          <w:lang w:eastAsia="en-IE"/>
        </w:rPr>
        <w:t>1</w:t>
      </w:r>
      <w:r w:rsidR="00AA1F01" w:rsidRPr="006D3B52">
        <w:rPr>
          <w:noProof/>
          <w:lang w:eastAsia="en-IE"/>
        </w:rPr>
        <w:t xml:space="preserve"> shall issue European cybersecurity certificates on the basis of criteria included in the European cybersecurity certification scheme adopted pursuant to</w:t>
      </w:r>
      <w:r w:rsidR="00AA1F01">
        <w:rPr>
          <w:noProof/>
          <w:lang w:eastAsia="en-IE"/>
        </w:rPr>
        <w:t xml:space="preserve"> </w:t>
      </w:r>
      <w:r w:rsidR="00AA1F01" w:rsidRPr="006D3B52">
        <w:rPr>
          <w:noProof/>
          <w:lang w:eastAsia="en-IE"/>
        </w:rPr>
        <w:t>Article 74.</w:t>
      </w:r>
    </w:p>
    <w:p w14:paraId="44F2F218" w14:textId="038E3DCA" w:rsidR="00AA1F01" w:rsidRPr="006D3B52" w:rsidRDefault="006D01CD" w:rsidP="006D01CD">
      <w:pPr>
        <w:pStyle w:val="ManualNumPar1"/>
        <w:rPr>
          <w:noProof/>
          <w:lang w:eastAsia="en-IE"/>
        </w:rPr>
      </w:pPr>
      <w:r w:rsidRPr="006D01CD">
        <w:rPr>
          <w:noProof/>
        </w:rPr>
        <w:t>3.</w:t>
      </w:r>
      <w:r w:rsidRPr="006D01CD">
        <w:rPr>
          <w:noProof/>
        </w:rPr>
        <w:tab/>
      </w:r>
      <w:r w:rsidR="00AA1F01" w:rsidRPr="006D3B52">
        <w:rPr>
          <w:noProof/>
          <w:lang w:eastAsia="en-IE"/>
        </w:rPr>
        <w:t xml:space="preserve">By way of derogation from paragraph 2, a European cybersecurity certification scheme may provide that European cybersecurity certificates resulting from that scheme are to be issued only by </w:t>
      </w:r>
      <w:r w:rsidR="00AA1F01">
        <w:rPr>
          <w:noProof/>
          <w:lang w:eastAsia="en-IE"/>
        </w:rPr>
        <w:t>one of the following</w:t>
      </w:r>
      <w:r w:rsidR="00AA1F01" w:rsidRPr="006D3B52">
        <w:rPr>
          <w:noProof/>
          <w:lang w:eastAsia="en-IE"/>
        </w:rPr>
        <w:t xml:space="preserve"> public bod</w:t>
      </w:r>
      <w:r w:rsidR="00AA1F01">
        <w:rPr>
          <w:noProof/>
          <w:lang w:eastAsia="en-IE"/>
        </w:rPr>
        <w:t>ies:</w:t>
      </w:r>
    </w:p>
    <w:p w14:paraId="373E5597" w14:textId="19F5BE32" w:rsidR="00AA1F01" w:rsidRPr="006D3B52" w:rsidRDefault="006D01CD" w:rsidP="006D01CD">
      <w:pPr>
        <w:pStyle w:val="Point1"/>
        <w:rPr>
          <w:noProof/>
          <w:lang w:eastAsia="en-IE"/>
        </w:rPr>
      </w:pPr>
      <w:r w:rsidRPr="006D01CD">
        <w:rPr>
          <w:noProof/>
        </w:rPr>
        <w:t>(a)</w:t>
      </w:r>
      <w:r w:rsidRPr="006D01CD">
        <w:rPr>
          <w:noProof/>
        </w:rPr>
        <w:tab/>
      </w:r>
      <w:r w:rsidR="00AA1F01" w:rsidRPr="006D3B52">
        <w:rPr>
          <w:noProof/>
          <w:lang w:eastAsia="en-IE"/>
        </w:rPr>
        <w:t>a national cybersecurity certification authority referred to in Article 8</w:t>
      </w:r>
      <w:r w:rsidR="00AA1F01">
        <w:rPr>
          <w:noProof/>
          <w:lang w:eastAsia="en-IE"/>
        </w:rPr>
        <w:t xml:space="preserve">8 </w:t>
      </w:r>
      <w:r w:rsidR="00AA1F01" w:rsidRPr="006D3B52">
        <w:rPr>
          <w:noProof/>
          <w:lang w:eastAsia="en-IE"/>
        </w:rPr>
        <w:t>that is accredited as a conformity assessment body pursuant to Article 9</w:t>
      </w:r>
      <w:r w:rsidR="00AA1F01">
        <w:rPr>
          <w:noProof/>
          <w:lang w:eastAsia="en-IE"/>
        </w:rPr>
        <w:t>1</w:t>
      </w:r>
      <w:r w:rsidR="00AA1F01" w:rsidRPr="006D3B52">
        <w:rPr>
          <w:noProof/>
          <w:lang w:eastAsia="en-IE"/>
        </w:rPr>
        <w:t xml:space="preserve">(1); </w:t>
      </w:r>
    </w:p>
    <w:p w14:paraId="6D6657A5" w14:textId="1F68FE6F" w:rsidR="00AA1F01" w:rsidRPr="006D3B52" w:rsidRDefault="006D01CD" w:rsidP="006D01CD">
      <w:pPr>
        <w:pStyle w:val="Point1"/>
        <w:rPr>
          <w:noProof/>
          <w:lang w:eastAsia="en-IE"/>
        </w:rPr>
      </w:pPr>
      <w:r w:rsidRPr="006D01CD">
        <w:rPr>
          <w:noProof/>
        </w:rPr>
        <w:t>(b)</w:t>
      </w:r>
      <w:r w:rsidRPr="006D01CD">
        <w:rPr>
          <w:noProof/>
        </w:rPr>
        <w:tab/>
      </w:r>
      <w:r w:rsidR="00AA1F01" w:rsidRPr="006D3B52">
        <w:rPr>
          <w:noProof/>
          <w:lang w:eastAsia="en-IE"/>
        </w:rPr>
        <w:t>a public body that is accredited as a conformity assessment body pursuant to Article 9</w:t>
      </w:r>
      <w:r w:rsidR="00AA1F01">
        <w:rPr>
          <w:noProof/>
          <w:lang w:eastAsia="en-IE"/>
        </w:rPr>
        <w:t>1</w:t>
      </w:r>
      <w:r w:rsidR="00AA1F01" w:rsidRPr="006D3B52">
        <w:rPr>
          <w:noProof/>
          <w:lang w:eastAsia="en-IE"/>
        </w:rPr>
        <w:t>(1).</w:t>
      </w:r>
    </w:p>
    <w:p w14:paraId="0A3D5453" w14:textId="5A8AF1BE" w:rsidR="00AA1F01" w:rsidRPr="006D3B52" w:rsidDel="00D97546" w:rsidRDefault="006D01CD" w:rsidP="006D01CD">
      <w:pPr>
        <w:pStyle w:val="ManualNumPar1"/>
        <w:rPr>
          <w:noProof/>
          <w:lang w:eastAsia="en-IE"/>
        </w:rPr>
      </w:pPr>
      <w:r w:rsidRPr="006D01CD">
        <w:rPr>
          <w:noProof/>
        </w:rPr>
        <w:t>4.</w:t>
      </w:r>
      <w:r w:rsidRPr="006D01CD">
        <w:rPr>
          <w:noProof/>
        </w:rPr>
        <w:tab/>
      </w:r>
      <w:r w:rsidR="00AA1F01" w:rsidRPr="006D3B52">
        <w:rPr>
          <w:noProof/>
          <w:lang w:eastAsia="en-IE"/>
        </w:rPr>
        <w:t>Where a European cybersecurity certification scheme adopted pursuant to Article 74 establishes assurance level ‘high’ or where such scheme specifies</w:t>
      </w:r>
      <w:r w:rsidR="00AA1F01">
        <w:rPr>
          <w:noProof/>
          <w:lang w:eastAsia="en-IE"/>
        </w:rPr>
        <w:t xml:space="preserve"> otherwise</w:t>
      </w:r>
      <w:r w:rsidR="00AA1F01" w:rsidRPr="006D3B52">
        <w:rPr>
          <w:noProof/>
          <w:lang w:eastAsia="en-IE"/>
        </w:rPr>
        <w:t xml:space="preserve">, the European cybersecurity certificate under that scheme is to be issued only by a national cybersecurity certification authority as referred to in Article </w:t>
      </w:r>
      <w:r w:rsidR="00AA1F01">
        <w:rPr>
          <w:noProof/>
          <w:lang w:eastAsia="en-IE"/>
        </w:rPr>
        <w:t>88</w:t>
      </w:r>
      <w:r w:rsidR="00AA1F01" w:rsidRPr="006D3B52">
        <w:rPr>
          <w:noProof/>
          <w:lang w:eastAsia="en-IE"/>
        </w:rPr>
        <w:t xml:space="preserve"> that is accredited as a conformity assessment body pursuant to Article 9</w:t>
      </w:r>
      <w:r w:rsidR="00AA1F01">
        <w:rPr>
          <w:noProof/>
          <w:lang w:eastAsia="en-IE"/>
        </w:rPr>
        <w:t>1</w:t>
      </w:r>
      <w:r w:rsidR="00AA1F01" w:rsidRPr="006D3B52">
        <w:rPr>
          <w:noProof/>
          <w:lang w:eastAsia="en-IE"/>
        </w:rPr>
        <w:t>(1) or, in the following cases:</w:t>
      </w:r>
    </w:p>
    <w:p w14:paraId="6DD89F89" w14:textId="0909DDB4" w:rsidR="00AA1F01" w:rsidRPr="006D3B52" w:rsidRDefault="006D01CD" w:rsidP="006D01CD">
      <w:pPr>
        <w:pStyle w:val="Point1"/>
        <w:rPr>
          <w:noProof/>
          <w:lang w:eastAsia="en-IE"/>
        </w:rPr>
      </w:pPr>
      <w:r w:rsidRPr="006D01CD">
        <w:rPr>
          <w:noProof/>
        </w:rPr>
        <w:t>(a)</w:t>
      </w:r>
      <w:r w:rsidRPr="006D01CD">
        <w:rPr>
          <w:noProof/>
        </w:rPr>
        <w:tab/>
      </w:r>
      <w:r w:rsidR="00AA1F01" w:rsidRPr="006D3B52">
        <w:rPr>
          <w:noProof/>
          <w:lang w:eastAsia="en-IE"/>
        </w:rPr>
        <w:t>by a conformity assessment body</w:t>
      </w:r>
      <w:r w:rsidR="00AA1F01">
        <w:rPr>
          <w:noProof/>
          <w:lang w:eastAsia="en-IE"/>
        </w:rPr>
        <w:t xml:space="preserve"> </w:t>
      </w:r>
      <w:r w:rsidR="00AA1F01" w:rsidRPr="006D3B52">
        <w:rPr>
          <w:noProof/>
          <w:lang w:eastAsia="en-IE"/>
        </w:rPr>
        <w:t>on the basis of a prior approval model; or</w:t>
      </w:r>
    </w:p>
    <w:p w14:paraId="2A6D2B21" w14:textId="52AE6FF5" w:rsidR="00AA1F01" w:rsidRPr="006D3B52" w:rsidRDefault="006D01CD" w:rsidP="006D01CD">
      <w:pPr>
        <w:pStyle w:val="Point1"/>
        <w:rPr>
          <w:noProof/>
          <w:lang w:eastAsia="en-IE"/>
        </w:rPr>
      </w:pPr>
      <w:r w:rsidRPr="006D01CD">
        <w:rPr>
          <w:noProof/>
        </w:rPr>
        <w:t>(b)</w:t>
      </w:r>
      <w:r w:rsidRPr="006D01CD">
        <w:rPr>
          <w:noProof/>
        </w:rPr>
        <w:tab/>
      </w:r>
      <w:r w:rsidR="00AA1F01" w:rsidRPr="006D3B52">
        <w:rPr>
          <w:noProof/>
          <w:lang w:eastAsia="en-IE"/>
        </w:rPr>
        <w:t>by a conformity assessment body</w:t>
      </w:r>
      <w:r w:rsidR="00AA1F01">
        <w:rPr>
          <w:noProof/>
          <w:lang w:eastAsia="en-IE"/>
        </w:rPr>
        <w:t xml:space="preserve"> </w:t>
      </w:r>
      <w:r w:rsidR="00AA1F01" w:rsidRPr="006D3B52">
        <w:rPr>
          <w:noProof/>
          <w:lang w:eastAsia="en-IE"/>
        </w:rPr>
        <w:t>on the basis of a general delegation model.</w:t>
      </w:r>
    </w:p>
    <w:p w14:paraId="391C5B3E" w14:textId="78DD08FB" w:rsidR="00AA1F01" w:rsidRPr="006D3B52" w:rsidRDefault="006D01CD" w:rsidP="006D01CD">
      <w:pPr>
        <w:pStyle w:val="ManualNumPar1"/>
        <w:rPr>
          <w:noProof/>
          <w:lang w:eastAsia="en-IE"/>
        </w:rPr>
      </w:pPr>
      <w:r w:rsidRPr="006D01CD">
        <w:rPr>
          <w:noProof/>
        </w:rPr>
        <w:t>5.</w:t>
      </w:r>
      <w:r w:rsidRPr="006D01CD">
        <w:rPr>
          <w:noProof/>
        </w:rPr>
        <w:tab/>
      </w:r>
      <w:r w:rsidR="00AA1F01" w:rsidRPr="006D3B52">
        <w:rPr>
          <w:noProof/>
          <w:lang w:eastAsia="en-IE"/>
        </w:rPr>
        <w:t xml:space="preserve">The Commission </w:t>
      </w:r>
      <w:r w:rsidR="00AA1F01">
        <w:rPr>
          <w:noProof/>
          <w:lang w:eastAsia="en-IE"/>
        </w:rPr>
        <w:t>is empowered to</w:t>
      </w:r>
      <w:r w:rsidR="00AA1F01" w:rsidRPr="006D3B52">
        <w:rPr>
          <w:noProof/>
          <w:lang w:eastAsia="en-IE"/>
        </w:rPr>
        <w:t xml:space="preserve"> adopt implementing acts specifying procedures for prior approval or general delegation models </w:t>
      </w:r>
      <w:r w:rsidR="00AA1F01">
        <w:rPr>
          <w:noProof/>
          <w:lang w:eastAsia="en-IE"/>
        </w:rPr>
        <w:t xml:space="preserve">referred to </w:t>
      </w:r>
      <w:r w:rsidR="00AA1F01" w:rsidRPr="006D3B52">
        <w:rPr>
          <w:noProof/>
          <w:lang w:eastAsia="en-IE"/>
        </w:rPr>
        <w:t>in paragraph 4</w:t>
      </w:r>
      <w:r w:rsidR="00AA1F01">
        <w:rPr>
          <w:noProof/>
          <w:lang w:eastAsia="en-IE"/>
        </w:rPr>
        <w:t xml:space="preserve"> of this Article</w:t>
      </w:r>
      <w:r w:rsidR="00AA1F01" w:rsidRPr="006D3B52">
        <w:rPr>
          <w:noProof/>
          <w:lang w:eastAsia="en-IE"/>
        </w:rPr>
        <w:t xml:space="preserve">. In the preparation process for those implementing acts, the Commission shall consult the ECCG. Those implementing acts shall be adopted in accordance with the examination procedure referred to in </w:t>
      </w:r>
      <w:r w:rsidR="00AA1F01" w:rsidRPr="004F37A8">
        <w:rPr>
          <w:noProof/>
          <w:lang w:eastAsia="en-IE"/>
        </w:rPr>
        <w:t>Article 1</w:t>
      </w:r>
      <w:r w:rsidR="00704681">
        <w:rPr>
          <w:noProof/>
          <w:lang w:eastAsia="en-IE"/>
        </w:rPr>
        <w:t>1</w:t>
      </w:r>
      <w:r w:rsidR="00D93456">
        <w:rPr>
          <w:noProof/>
          <w:lang w:eastAsia="en-IE"/>
        </w:rPr>
        <w:t>8</w:t>
      </w:r>
      <w:r w:rsidR="00AA1F01" w:rsidRPr="004F37A8">
        <w:rPr>
          <w:noProof/>
          <w:lang w:eastAsia="en-IE"/>
        </w:rPr>
        <w:t>(2).</w:t>
      </w:r>
    </w:p>
    <w:p w14:paraId="0FE53397" w14:textId="7C4B893E" w:rsidR="00AA1F01" w:rsidRPr="006D3B52" w:rsidRDefault="006D01CD" w:rsidP="006D01CD">
      <w:pPr>
        <w:pStyle w:val="ManualNumPar1"/>
        <w:rPr>
          <w:noProof/>
          <w:lang w:eastAsia="en-IE"/>
        </w:rPr>
      </w:pPr>
      <w:r w:rsidRPr="006D01CD">
        <w:rPr>
          <w:noProof/>
        </w:rPr>
        <w:t>6.</w:t>
      </w:r>
      <w:r w:rsidRPr="006D01CD">
        <w:rPr>
          <w:noProof/>
        </w:rPr>
        <w:tab/>
      </w:r>
      <w:r w:rsidR="00AA1F01" w:rsidRPr="006D3B52">
        <w:rPr>
          <w:noProof/>
          <w:lang w:eastAsia="en-IE"/>
        </w:rPr>
        <w:t>The natural or legal person who submits ICT products, ICT services, ICT processes or managed security services for certification</w:t>
      </w:r>
      <w:r w:rsidR="00AA1F01">
        <w:rPr>
          <w:noProof/>
          <w:lang w:eastAsia="en-IE"/>
        </w:rPr>
        <w:t>,</w:t>
      </w:r>
      <w:r w:rsidR="00AA1F01" w:rsidRPr="006D3B52">
        <w:rPr>
          <w:noProof/>
          <w:lang w:eastAsia="en-IE"/>
        </w:rPr>
        <w:t xml:space="preserve"> or the entity which applies for certification of its cyber posture</w:t>
      </w:r>
      <w:r w:rsidR="00AA1F01">
        <w:rPr>
          <w:noProof/>
          <w:lang w:eastAsia="en-IE"/>
        </w:rPr>
        <w:t>,</w:t>
      </w:r>
      <w:r w:rsidR="00AA1F01" w:rsidRPr="006D3B52">
        <w:rPr>
          <w:noProof/>
          <w:lang w:eastAsia="en-IE"/>
        </w:rPr>
        <w:t xml:space="preserve"> shall make available all information necessary to conduct the certification</w:t>
      </w:r>
      <w:r w:rsidR="00AA1F01">
        <w:rPr>
          <w:noProof/>
          <w:lang w:eastAsia="en-IE"/>
        </w:rPr>
        <w:t xml:space="preserve"> </w:t>
      </w:r>
      <w:r w:rsidR="00AA1F01" w:rsidRPr="006D3B52">
        <w:rPr>
          <w:noProof/>
          <w:lang w:eastAsia="en-IE"/>
        </w:rPr>
        <w:t>to the national cybersecurity certification authority designated pursuant to Article 89, where that authority is the body issuing the European cybersecurity certificate, or to the conformity assessment body referred to in Article 9</w:t>
      </w:r>
      <w:r w:rsidR="00AA1F01">
        <w:rPr>
          <w:noProof/>
          <w:lang w:eastAsia="en-IE"/>
        </w:rPr>
        <w:t>1</w:t>
      </w:r>
      <w:r w:rsidR="00AA1F01" w:rsidRPr="006D3B52">
        <w:rPr>
          <w:noProof/>
          <w:lang w:eastAsia="en-IE"/>
        </w:rPr>
        <w:t>.</w:t>
      </w:r>
    </w:p>
    <w:p w14:paraId="66F8E811" w14:textId="2CEF8845" w:rsidR="00AA1F01" w:rsidRPr="006D3B52" w:rsidRDefault="006D01CD" w:rsidP="006D01CD">
      <w:pPr>
        <w:pStyle w:val="ManualNumPar1"/>
        <w:rPr>
          <w:noProof/>
          <w:lang w:eastAsia="en-IE"/>
        </w:rPr>
      </w:pPr>
      <w:r w:rsidRPr="006D01CD">
        <w:rPr>
          <w:noProof/>
        </w:rPr>
        <w:t>7.</w:t>
      </w:r>
      <w:r w:rsidRPr="006D01CD">
        <w:rPr>
          <w:noProof/>
        </w:rPr>
        <w:tab/>
      </w:r>
      <w:r w:rsidR="00AA1F01" w:rsidRPr="006D3B52">
        <w:rPr>
          <w:noProof/>
          <w:lang w:eastAsia="en-IE"/>
        </w:rPr>
        <w:t xml:space="preserve">Conformity assessment bodies and, where applicable, national cybersecurity certification authorities shall inform ENISA without undue delay about their decisions </w:t>
      </w:r>
      <w:r w:rsidR="00AA1F01">
        <w:rPr>
          <w:noProof/>
          <w:lang w:eastAsia="en-IE"/>
        </w:rPr>
        <w:t>that</w:t>
      </w:r>
      <w:r w:rsidR="00AA1F01" w:rsidRPr="006D3B52">
        <w:rPr>
          <w:noProof/>
          <w:lang w:eastAsia="en-IE"/>
        </w:rPr>
        <w:t xml:space="preserve"> affect the status of European cybersecurity certificates and EU statements of conformity</w:t>
      </w:r>
      <w:r w:rsidR="002908E0">
        <w:rPr>
          <w:noProof/>
          <w:lang w:eastAsia="en-IE"/>
        </w:rPr>
        <w:t xml:space="preserve"> in accordance with Article 94</w:t>
      </w:r>
      <w:r w:rsidR="00AA1F01" w:rsidRPr="006D3B52">
        <w:rPr>
          <w:noProof/>
          <w:lang w:eastAsia="en-IE"/>
        </w:rPr>
        <w:t>.</w:t>
      </w:r>
    </w:p>
    <w:p w14:paraId="75EBC790" w14:textId="0AD1C7ED" w:rsidR="00AA1F01" w:rsidRDefault="006D01CD" w:rsidP="006D01CD">
      <w:pPr>
        <w:pStyle w:val="ManualNumPar1"/>
        <w:rPr>
          <w:noProof/>
          <w:lang w:eastAsia="en-IE"/>
        </w:rPr>
      </w:pPr>
      <w:r w:rsidRPr="006D01CD">
        <w:rPr>
          <w:noProof/>
        </w:rPr>
        <w:t>8.</w:t>
      </w:r>
      <w:r w:rsidRPr="006D01CD">
        <w:rPr>
          <w:noProof/>
        </w:rPr>
        <w:tab/>
      </w:r>
      <w:r w:rsidR="00AA1F01" w:rsidRPr="006D3B52">
        <w:rPr>
          <w:noProof/>
          <w:lang w:eastAsia="en-IE"/>
        </w:rPr>
        <w:t xml:space="preserve">The holder of a European cybersecurity certificate shall inform the </w:t>
      </w:r>
      <w:r w:rsidR="00AA1F01">
        <w:rPr>
          <w:noProof/>
          <w:lang w:eastAsia="en-IE"/>
        </w:rPr>
        <w:t>c</w:t>
      </w:r>
      <w:r w:rsidR="00AA1F01" w:rsidRPr="006D3B52">
        <w:rPr>
          <w:noProof/>
          <w:lang w:eastAsia="en-IE"/>
        </w:rPr>
        <w:t>onformity assessment bod</w:t>
      </w:r>
      <w:r w:rsidR="00AA1F01">
        <w:rPr>
          <w:noProof/>
          <w:lang w:eastAsia="en-IE"/>
        </w:rPr>
        <w:t>y</w:t>
      </w:r>
      <w:r w:rsidR="00AA1F01" w:rsidRPr="006D3B52">
        <w:rPr>
          <w:noProof/>
          <w:lang w:eastAsia="en-IE"/>
        </w:rPr>
        <w:t xml:space="preserve"> and, where applicable, national cybersecurity certification authorit</w:t>
      </w:r>
      <w:r w:rsidR="00AA1F01">
        <w:rPr>
          <w:noProof/>
          <w:lang w:eastAsia="en-IE"/>
        </w:rPr>
        <w:t xml:space="preserve">y, </w:t>
      </w:r>
      <w:r w:rsidR="00AA1F01" w:rsidRPr="006D3B52">
        <w:rPr>
          <w:noProof/>
          <w:lang w:eastAsia="en-IE"/>
        </w:rPr>
        <w:t>referred to in paragraph 7</w:t>
      </w:r>
      <w:r w:rsidR="00AA1F01">
        <w:rPr>
          <w:noProof/>
          <w:lang w:eastAsia="en-IE"/>
        </w:rPr>
        <w:t>,</w:t>
      </w:r>
      <w:r w:rsidR="00AA1F01" w:rsidRPr="006D3B52">
        <w:rPr>
          <w:noProof/>
          <w:lang w:eastAsia="en-IE"/>
        </w:rPr>
        <w:t xml:space="preserve"> of any subsequently detected vulnerabilities or nonconformities concerning </w:t>
      </w:r>
      <w:r w:rsidR="00AA1F01" w:rsidRPr="006D3B52" w:rsidDel="00B17831">
        <w:rPr>
          <w:noProof/>
          <w:lang w:eastAsia="en-IE"/>
        </w:rPr>
        <w:t xml:space="preserve">the </w:t>
      </w:r>
      <w:r w:rsidR="00AA1F01" w:rsidRPr="006D3B52">
        <w:rPr>
          <w:noProof/>
          <w:lang w:eastAsia="en-IE"/>
        </w:rPr>
        <w:t xml:space="preserve">certified ICT product, ICT service, ICT process, managed security service or cyber posture of entity that have a likely impact on its conformity with the certificate. That body shall forward that information without undue delay to the national cybersecurity certification authority concerned and assess the impact on the certificate in line with the </w:t>
      </w:r>
      <w:r w:rsidR="00AA1F01">
        <w:rPr>
          <w:rFonts w:eastAsia="Times New Roman"/>
          <w:noProof/>
          <w:color w:val="000000" w:themeColor="text1"/>
          <w:lang w:eastAsia="en-IE"/>
        </w:rPr>
        <w:t xml:space="preserve">scheme’s </w:t>
      </w:r>
      <w:r w:rsidR="00AA1F01" w:rsidRPr="2591136F">
        <w:rPr>
          <w:rFonts w:eastAsia="Times New Roman"/>
          <w:noProof/>
          <w:color w:val="000000" w:themeColor="text1"/>
          <w:lang w:eastAsia="en-IE"/>
        </w:rPr>
        <w:t xml:space="preserve">conditions </w:t>
      </w:r>
      <w:r w:rsidR="00AA1F01" w:rsidRPr="006D3B52">
        <w:rPr>
          <w:noProof/>
          <w:lang w:eastAsia="en-IE"/>
        </w:rPr>
        <w:t>as referred to in Article 81</w:t>
      </w:r>
      <w:r w:rsidR="00AA1F01">
        <w:rPr>
          <w:noProof/>
          <w:lang w:eastAsia="en-IE"/>
        </w:rPr>
        <w:t>(</w:t>
      </w:r>
      <w:r w:rsidR="00AA1F01" w:rsidRPr="006D3B52">
        <w:rPr>
          <w:noProof/>
          <w:lang w:eastAsia="en-IE"/>
        </w:rPr>
        <w:t>2</w:t>
      </w:r>
      <w:r w:rsidR="00AA1F01">
        <w:rPr>
          <w:noProof/>
          <w:lang w:eastAsia="en-IE"/>
        </w:rPr>
        <w:t>),</w:t>
      </w:r>
      <w:r w:rsidR="00AA1F01" w:rsidRPr="006D3B52">
        <w:rPr>
          <w:noProof/>
          <w:lang w:eastAsia="en-IE"/>
        </w:rPr>
        <w:t xml:space="preserve"> point (d).</w:t>
      </w:r>
    </w:p>
    <w:p w14:paraId="7153D506" w14:textId="71C417CB" w:rsidR="00EE7082" w:rsidRPr="00CE11BB" w:rsidRDefault="006D01CD" w:rsidP="006D01CD">
      <w:pPr>
        <w:pStyle w:val="ManualNumPar1"/>
        <w:rPr>
          <w:noProof/>
          <w:lang w:eastAsia="en-IE"/>
        </w:rPr>
      </w:pPr>
      <w:r w:rsidRPr="006D01CD">
        <w:rPr>
          <w:noProof/>
        </w:rPr>
        <w:t>9.</w:t>
      </w:r>
      <w:r w:rsidRPr="006D01CD">
        <w:rPr>
          <w:noProof/>
        </w:rPr>
        <w:tab/>
      </w:r>
      <w:r w:rsidR="00373B8E" w:rsidRPr="00373B8E">
        <w:rPr>
          <w:noProof/>
        </w:rPr>
        <w:t xml:space="preserve">For their certified ICT products, ICT services, ICT processes or managed security services identified, for their entirety or parts thereof, as key assets pursuant to Article 102, </w:t>
      </w:r>
      <w:r w:rsidR="00373B8E">
        <w:rPr>
          <w:noProof/>
        </w:rPr>
        <w:t>t</w:t>
      </w:r>
      <w:r w:rsidR="00CE11BB" w:rsidRPr="00CE11BB">
        <w:rPr>
          <w:noProof/>
        </w:rPr>
        <w:t>he holder</w:t>
      </w:r>
      <w:r w:rsidR="00373B8E">
        <w:rPr>
          <w:noProof/>
        </w:rPr>
        <w:t>s</w:t>
      </w:r>
      <w:r w:rsidR="00CE11BB" w:rsidRPr="00CE11BB">
        <w:rPr>
          <w:noProof/>
        </w:rPr>
        <w:t xml:space="preserve"> of a European cybersecurity certificate shall not use, install or otherwise integrate ICT components or components that include ICT components </w:t>
      </w:r>
      <w:r w:rsidR="00373B8E">
        <w:rPr>
          <w:noProof/>
        </w:rPr>
        <w:t xml:space="preserve">from </w:t>
      </w:r>
      <w:r w:rsidR="00F73D0C">
        <w:rPr>
          <w:noProof/>
        </w:rPr>
        <w:t>high-risk suppliers</w:t>
      </w:r>
      <w:r w:rsidR="00CE11BB" w:rsidRPr="00CE11BB">
        <w:rPr>
          <w:noProof/>
        </w:rPr>
        <w:t xml:space="preserve"> in certified ICT products, ICT services, ICT processes or managed security services.</w:t>
      </w:r>
    </w:p>
    <w:p w14:paraId="38202ECE" w14:textId="532C9E5C" w:rsidR="00AA1F01" w:rsidRDefault="006D01CD" w:rsidP="006D01CD">
      <w:pPr>
        <w:pStyle w:val="ManualNumPar1"/>
        <w:rPr>
          <w:noProof/>
          <w:lang w:eastAsia="en-IE"/>
        </w:rPr>
      </w:pPr>
      <w:r w:rsidRPr="006D01CD">
        <w:rPr>
          <w:noProof/>
        </w:rPr>
        <w:t>10.</w:t>
      </w:r>
      <w:r w:rsidRPr="006D01CD">
        <w:rPr>
          <w:noProof/>
        </w:rPr>
        <w:tab/>
      </w:r>
      <w:r w:rsidR="00AA1F01" w:rsidRPr="006D3B52">
        <w:rPr>
          <w:noProof/>
          <w:lang w:eastAsia="en-IE"/>
        </w:rPr>
        <w:t>A European cybersecurity certificate shall be issued for the period provided for in the European cybersecurity certification scheme and may be renewed, provided that the relevant requirements continue to be met</w:t>
      </w:r>
      <w:r w:rsidR="00AA1F01">
        <w:rPr>
          <w:noProof/>
          <w:lang w:eastAsia="en-IE"/>
        </w:rPr>
        <w:t xml:space="preserve">. </w:t>
      </w:r>
    </w:p>
    <w:p w14:paraId="45B076C4" w14:textId="19970F24" w:rsidR="00AA1F01" w:rsidRDefault="006D01CD" w:rsidP="006D01CD">
      <w:pPr>
        <w:pStyle w:val="ManualNumPar1"/>
        <w:rPr>
          <w:noProof/>
          <w:lang w:eastAsia="en-IE"/>
        </w:rPr>
      </w:pPr>
      <w:r w:rsidRPr="006D01CD">
        <w:rPr>
          <w:noProof/>
        </w:rPr>
        <w:t>11.</w:t>
      </w:r>
      <w:r w:rsidRPr="006D01CD">
        <w:rPr>
          <w:noProof/>
        </w:rPr>
        <w:tab/>
      </w:r>
      <w:r w:rsidR="00AA1F01">
        <w:rPr>
          <w:noProof/>
          <w:lang w:eastAsia="en-IE"/>
        </w:rPr>
        <w:t xml:space="preserve">The </w:t>
      </w:r>
      <w:r w:rsidR="00AA1F01" w:rsidRPr="006D3B52">
        <w:rPr>
          <w:noProof/>
          <w:lang w:eastAsia="en-IE"/>
        </w:rPr>
        <w:t xml:space="preserve">Commission shall </w:t>
      </w:r>
      <w:r w:rsidR="00700780">
        <w:rPr>
          <w:noProof/>
          <w:lang w:eastAsia="en-IE"/>
        </w:rPr>
        <w:t xml:space="preserve">cooperate with Member States </w:t>
      </w:r>
      <w:r w:rsidR="00BB145F">
        <w:rPr>
          <w:noProof/>
          <w:lang w:eastAsia="en-IE"/>
        </w:rPr>
        <w:t xml:space="preserve">to </w:t>
      </w:r>
      <w:r w:rsidR="004E4CE8">
        <w:rPr>
          <w:noProof/>
          <w:lang w:eastAsia="en-IE"/>
        </w:rPr>
        <w:t>ensure</w:t>
      </w:r>
      <w:r w:rsidR="00700780" w:rsidRPr="006D3B52">
        <w:rPr>
          <w:noProof/>
          <w:lang w:eastAsia="en-IE"/>
        </w:rPr>
        <w:t xml:space="preserve"> </w:t>
      </w:r>
      <w:r w:rsidR="00F47D0F">
        <w:rPr>
          <w:noProof/>
          <w:lang w:eastAsia="en-IE"/>
        </w:rPr>
        <w:t>the application</w:t>
      </w:r>
      <w:r w:rsidR="00976A61">
        <w:rPr>
          <w:noProof/>
          <w:lang w:eastAsia="en-IE"/>
        </w:rPr>
        <w:t xml:space="preserve"> of provisions related to</w:t>
      </w:r>
      <w:r w:rsidR="00AA1F01" w:rsidRPr="006D3B52">
        <w:rPr>
          <w:noProof/>
          <w:lang w:eastAsia="en-IE"/>
        </w:rPr>
        <w:t xml:space="preserve"> the </w:t>
      </w:r>
      <w:r w:rsidR="00AA1F01">
        <w:rPr>
          <w:noProof/>
          <w:lang w:eastAsia="en-IE"/>
        </w:rPr>
        <w:t>i</w:t>
      </w:r>
      <w:r w:rsidR="00AA1F01" w:rsidRPr="00516EE9">
        <w:rPr>
          <w:noProof/>
          <w:lang w:eastAsia="en-IE"/>
        </w:rPr>
        <w:t>ssuance of</w:t>
      </w:r>
      <w:r w:rsidR="00AA1F01" w:rsidRPr="00E65C5B">
        <w:rPr>
          <w:noProof/>
          <w:lang w:eastAsia="en-IE"/>
        </w:rPr>
        <w:t xml:space="preserve"> European </w:t>
      </w:r>
      <w:r w:rsidR="00AA1F01" w:rsidRPr="004A7B38">
        <w:rPr>
          <w:bCs/>
          <w:noProof/>
          <w:lang w:eastAsia="en-IE"/>
        </w:rPr>
        <w:t>cybersecurity</w:t>
      </w:r>
      <w:r w:rsidR="00AA1F01" w:rsidRPr="00E65C5B">
        <w:rPr>
          <w:noProof/>
          <w:lang w:eastAsia="en-IE"/>
        </w:rPr>
        <w:t xml:space="preserve"> certificates</w:t>
      </w:r>
      <w:r w:rsidR="00AA1F01" w:rsidRPr="006D3B52">
        <w:rPr>
          <w:noProof/>
          <w:lang w:eastAsia="en-IE"/>
        </w:rPr>
        <w:t xml:space="preserve"> </w:t>
      </w:r>
      <w:r w:rsidR="00AA1F01">
        <w:rPr>
          <w:noProof/>
          <w:lang w:eastAsia="en-IE"/>
        </w:rPr>
        <w:t xml:space="preserve">also in a view application of Article </w:t>
      </w:r>
      <w:r w:rsidR="00CE11BB">
        <w:rPr>
          <w:noProof/>
          <w:lang w:eastAsia="en-IE"/>
        </w:rPr>
        <w:t>100(4)</w:t>
      </w:r>
      <w:r w:rsidR="008507A9">
        <w:rPr>
          <w:noProof/>
          <w:lang w:eastAsia="en-IE"/>
        </w:rPr>
        <w:t>, point (b)</w:t>
      </w:r>
      <w:r w:rsidR="00AA1F01" w:rsidRPr="006D3B52">
        <w:rPr>
          <w:noProof/>
          <w:lang w:eastAsia="en-IE"/>
        </w:rPr>
        <w:t>. The</w:t>
      </w:r>
      <w:r w:rsidR="00AA1F01" w:rsidRPr="006D3B52" w:rsidDel="00526CE1">
        <w:rPr>
          <w:noProof/>
          <w:lang w:eastAsia="en-IE"/>
        </w:rPr>
        <w:t xml:space="preserve"> </w:t>
      </w:r>
      <w:r w:rsidR="00AA1F01" w:rsidRPr="006D3B52">
        <w:rPr>
          <w:noProof/>
          <w:lang w:eastAsia="en-IE"/>
        </w:rPr>
        <w:t xml:space="preserve">conformity assessment body and, where relevant, </w:t>
      </w:r>
      <w:r w:rsidR="00AA1F01">
        <w:rPr>
          <w:noProof/>
          <w:lang w:eastAsia="en-IE"/>
        </w:rPr>
        <w:t xml:space="preserve">the </w:t>
      </w:r>
      <w:r w:rsidR="00AA1F01" w:rsidRPr="006D3B52">
        <w:rPr>
          <w:noProof/>
          <w:lang w:eastAsia="en-IE"/>
        </w:rPr>
        <w:t>national cybersecurity certification authority shall provide the Commission, on request</w:t>
      </w:r>
      <w:r w:rsidR="00AA1F01">
        <w:rPr>
          <w:noProof/>
          <w:lang w:eastAsia="en-IE"/>
        </w:rPr>
        <w:t xml:space="preserve"> and without undue delay</w:t>
      </w:r>
      <w:r w:rsidR="00AA1F01" w:rsidRPr="006D3B52">
        <w:rPr>
          <w:noProof/>
          <w:lang w:eastAsia="en-IE"/>
        </w:rPr>
        <w:t>, with all information relating to the issuance of the relevant European cybersecurity certificates or EU statements of conformity.</w:t>
      </w:r>
    </w:p>
    <w:p w14:paraId="1DC9268E" w14:textId="77777777" w:rsidR="00AA1F01" w:rsidRPr="00164577" w:rsidRDefault="00AA1F01" w:rsidP="00AA1F01">
      <w:pPr>
        <w:pStyle w:val="Titrearticle"/>
        <w:rPr>
          <w:noProof/>
          <w:lang w:eastAsia="en-IE"/>
        </w:rPr>
      </w:pPr>
      <w:r w:rsidRPr="00164577">
        <w:rPr>
          <w:noProof/>
          <w:lang w:eastAsia="en-IE"/>
        </w:rPr>
        <w:t xml:space="preserve">Article </w:t>
      </w:r>
      <w:r>
        <w:rPr>
          <w:noProof/>
          <w:lang w:eastAsia="en-IE"/>
        </w:rPr>
        <w:t>86</w:t>
      </w:r>
      <w:r>
        <w:rPr>
          <w:noProof/>
          <w:lang w:eastAsia="en-IE"/>
        </w:rPr>
        <w:br/>
      </w:r>
      <w:r w:rsidRPr="00C513DB">
        <w:rPr>
          <w:noProof/>
          <w:lang w:eastAsia="en-IE"/>
        </w:rPr>
        <w:t>National cybersecurity certification schemes and certificates</w:t>
      </w:r>
    </w:p>
    <w:p w14:paraId="48D8D7E6" w14:textId="590E6DCC" w:rsidR="00AA1F01" w:rsidRPr="006D3B52" w:rsidRDefault="006D01CD" w:rsidP="006D01CD">
      <w:pPr>
        <w:pStyle w:val="ManualNumPar1"/>
        <w:rPr>
          <w:noProof/>
          <w:lang w:eastAsia="en-IE"/>
        </w:rPr>
      </w:pPr>
      <w:r w:rsidRPr="006D01CD">
        <w:rPr>
          <w:noProof/>
        </w:rPr>
        <w:t>1.</w:t>
      </w:r>
      <w:r w:rsidRPr="006D01CD">
        <w:rPr>
          <w:noProof/>
        </w:rPr>
        <w:tab/>
      </w:r>
      <w:r w:rsidR="00AA1F01">
        <w:rPr>
          <w:noProof/>
          <w:lang w:eastAsia="en-IE"/>
        </w:rPr>
        <w:t>N</w:t>
      </w:r>
      <w:r w:rsidR="00AA1F01" w:rsidRPr="006D3B52">
        <w:rPr>
          <w:noProof/>
          <w:lang w:eastAsia="en-IE"/>
        </w:rPr>
        <w:t>ational cybersecurity certification schemes, and the related procedures for the ICT products, ICT services, ICT processes,</w:t>
      </w:r>
      <w:r w:rsidR="00AA1F01" w:rsidRPr="006D3B52" w:rsidDel="00BD7AE2">
        <w:rPr>
          <w:noProof/>
          <w:lang w:eastAsia="en-IE"/>
        </w:rPr>
        <w:t xml:space="preserve"> </w:t>
      </w:r>
      <w:r w:rsidR="00AA1F01" w:rsidRPr="006D3B52">
        <w:rPr>
          <w:noProof/>
          <w:lang w:eastAsia="en-IE"/>
        </w:rPr>
        <w:t xml:space="preserve">managed security services and cyber </w:t>
      </w:r>
      <w:r w:rsidR="00AA1F01" w:rsidRPr="006D3B52">
        <w:rPr>
          <w:noProof/>
          <w:color w:val="000000" w:themeColor="text1"/>
          <w:lang w:eastAsia="en-IE"/>
        </w:rPr>
        <w:t>posture</w:t>
      </w:r>
      <w:r w:rsidR="00AA1F01" w:rsidRPr="006D3B52">
        <w:rPr>
          <w:noProof/>
          <w:lang w:eastAsia="en-IE"/>
        </w:rPr>
        <w:t xml:space="preserve"> of entities that are covered by the subject matter and scope of a European cybersecurity certification scheme shall cease to produce effects from the date established in the implementing act adopted pursuant to Article 74(9). National cybersecurity certification schemes and the related procedures for the ICT products, ICT services, ICT processes, managed security services and cyber posture of entities</w:t>
      </w:r>
      <w:r w:rsidR="00AA1F01" w:rsidRPr="006D3B52" w:rsidDel="00C50164">
        <w:rPr>
          <w:noProof/>
          <w:lang w:eastAsia="en-IE"/>
        </w:rPr>
        <w:t xml:space="preserve"> </w:t>
      </w:r>
      <w:r w:rsidR="00AA1F01" w:rsidRPr="006D3B52">
        <w:rPr>
          <w:noProof/>
          <w:lang w:eastAsia="en-IE"/>
        </w:rPr>
        <w:t>that are not covered by the subject matter and scope of a European cybersecurity certification scheme may continue to exist.</w:t>
      </w:r>
    </w:p>
    <w:p w14:paraId="41DF62E1" w14:textId="50D71893" w:rsidR="00AA1F01" w:rsidRPr="006D3B52" w:rsidRDefault="006D01CD" w:rsidP="006D01CD">
      <w:pPr>
        <w:pStyle w:val="ManualNumPar1"/>
        <w:rPr>
          <w:noProof/>
          <w:lang w:eastAsia="en-IE"/>
        </w:rPr>
      </w:pPr>
      <w:r w:rsidRPr="006D01CD">
        <w:rPr>
          <w:noProof/>
        </w:rPr>
        <w:t>2.</w:t>
      </w:r>
      <w:r w:rsidRPr="006D01CD">
        <w:rPr>
          <w:noProof/>
        </w:rPr>
        <w:tab/>
      </w:r>
      <w:r w:rsidR="00AA1F01" w:rsidRPr="006D3B52">
        <w:rPr>
          <w:noProof/>
          <w:lang w:eastAsia="en-IE"/>
        </w:rPr>
        <w:t>Member States shall not introduce new national cybersecurity certification schemes or related procedures for the ICT products, ICT services, ICT processes, managed security services and cyber posture of entities already covered by the subject matter and scope of a European cybersecurity certification scheme.</w:t>
      </w:r>
    </w:p>
    <w:p w14:paraId="31E120CA" w14:textId="42E47130" w:rsidR="00AA1F01" w:rsidRPr="006D3B52" w:rsidRDefault="006D01CD" w:rsidP="006D01CD">
      <w:pPr>
        <w:pStyle w:val="ManualNumPar1"/>
        <w:rPr>
          <w:noProof/>
          <w:lang w:eastAsia="en-IE"/>
        </w:rPr>
      </w:pPr>
      <w:r w:rsidRPr="006D01CD">
        <w:rPr>
          <w:noProof/>
        </w:rPr>
        <w:t>3.</w:t>
      </w:r>
      <w:r w:rsidRPr="006D01CD">
        <w:rPr>
          <w:noProof/>
        </w:rPr>
        <w:tab/>
      </w:r>
      <w:r w:rsidR="00AA1F01" w:rsidRPr="006D3B52">
        <w:rPr>
          <w:noProof/>
          <w:lang w:eastAsia="en-IE"/>
        </w:rPr>
        <w:t xml:space="preserve">Existing certificates that were issued under national cybersecurity certification schemes and are covered by </w:t>
      </w:r>
      <w:r w:rsidR="00AA1F01">
        <w:rPr>
          <w:noProof/>
          <w:lang w:eastAsia="en-IE"/>
        </w:rPr>
        <w:t xml:space="preserve">the subject matter and scope of </w:t>
      </w:r>
      <w:r w:rsidR="00AA1F01" w:rsidRPr="006D3B52">
        <w:rPr>
          <w:noProof/>
          <w:lang w:eastAsia="en-IE"/>
        </w:rPr>
        <w:t>a European cybersecurity certification scheme shall remain valid until their expiry date.</w:t>
      </w:r>
    </w:p>
    <w:p w14:paraId="24B3B110" w14:textId="24B806AA" w:rsidR="00AA1F01" w:rsidRPr="006D3B52" w:rsidRDefault="006D01CD" w:rsidP="006D01CD">
      <w:pPr>
        <w:pStyle w:val="ManualNumPar1"/>
        <w:rPr>
          <w:noProof/>
          <w:lang w:eastAsia="en-IE"/>
        </w:rPr>
      </w:pPr>
      <w:r w:rsidRPr="006D01CD">
        <w:rPr>
          <w:noProof/>
        </w:rPr>
        <w:t>4.</w:t>
      </w:r>
      <w:r w:rsidRPr="006D01CD">
        <w:rPr>
          <w:noProof/>
        </w:rPr>
        <w:tab/>
      </w:r>
      <w:r w:rsidR="00AA1F01" w:rsidRPr="006D3B52">
        <w:rPr>
          <w:noProof/>
          <w:lang w:eastAsia="en-IE"/>
        </w:rPr>
        <w:t>Member States shall notify the Commission and the ECCG before adopting new national cybersecurity certification schemes for ICT products, ICT services, ICT processes, managed security services and cyber posture of entities.</w:t>
      </w:r>
    </w:p>
    <w:p w14:paraId="1C9C77D3" w14:textId="38F18640" w:rsidR="00AA1F01" w:rsidRPr="006D3B52" w:rsidRDefault="006D01CD" w:rsidP="006D01CD">
      <w:pPr>
        <w:pStyle w:val="ManualNumPar1"/>
        <w:rPr>
          <w:noProof/>
          <w:lang w:eastAsia="en-IE"/>
        </w:rPr>
      </w:pPr>
      <w:r w:rsidRPr="006D01CD">
        <w:rPr>
          <w:noProof/>
        </w:rPr>
        <w:t>5.</w:t>
      </w:r>
      <w:r w:rsidRPr="006D01CD">
        <w:rPr>
          <w:noProof/>
        </w:rPr>
        <w:tab/>
      </w:r>
      <w:r w:rsidR="00AA1F01" w:rsidRPr="006D3B52">
        <w:rPr>
          <w:noProof/>
          <w:lang w:eastAsia="en-IE"/>
        </w:rPr>
        <w:t xml:space="preserve">The Commission may </w:t>
      </w:r>
      <w:r w:rsidR="00AA1F01">
        <w:rPr>
          <w:noProof/>
          <w:lang w:eastAsia="en-IE"/>
        </w:rPr>
        <w:t>suggest to</w:t>
      </w:r>
      <w:r w:rsidR="00AA1F01" w:rsidRPr="006D3B52">
        <w:rPr>
          <w:noProof/>
          <w:lang w:eastAsia="en-IE"/>
        </w:rPr>
        <w:t xml:space="preserve"> a Member State to withdraw a national cybersecurity certification scheme for ICT products, ICT services, ICT processes, managed security services </w:t>
      </w:r>
      <w:r w:rsidR="00AA1F01">
        <w:rPr>
          <w:noProof/>
          <w:lang w:eastAsia="en-IE"/>
        </w:rPr>
        <w:t>or</w:t>
      </w:r>
      <w:r w:rsidR="00AA1F01" w:rsidRPr="006D3B52">
        <w:rPr>
          <w:noProof/>
          <w:lang w:eastAsia="en-IE"/>
        </w:rPr>
        <w:t xml:space="preserve"> cyber posture of entities</w:t>
      </w:r>
      <w:r w:rsidR="00AA1F01" w:rsidRPr="006D3B52">
        <w:rPr>
          <w:noProof/>
        </w:rPr>
        <w:t xml:space="preserve">, where </w:t>
      </w:r>
      <w:r w:rsidR="00AA1F01">
        <w:rPr>
          <w:noProof/>
        </w:rPr>
        <w:t xml:space="preserve">the development of </w:t>
      </w:r>
      <w:r w:rsidR="00AA1F01" w:rsidRPr="006D3B52">
        <w:rPr>
          <w:noProof/>
        </w:rPr>
        <w:t xml:space="preserve">a European </w:t>
      </w:r>
      <w:r w:rsidR="00AA1F01" w:rsidRPr="006D3B52">
        <w:rPr>
          <w:noProof/>
          <w:lang w:eastAsia="en-IE"/>
        </w:rPr>
        <w:t xml:space="preserve">cybersecurity certification scheme </w:t>
      </w:r>
      <w:r w:rsidR="00AA1F01">
        <w:rPr>
          <w:noProof/>
          <w:lang w:eastAsia="en-IE"/>
        </w:rPr>
        <w:t xml:space="preserve">covering such products, services, processes or cyber posture </w:t>
      </w:r>
      <w:r w:rsidR="00AA1F01" w:rsidRPr="006D3B52">
        <w:rPr>
          <w:noProof/>
          <w:lang w:eastAsia="en-IE"/>
        </w:rPr>
        <w:t>has already been requested in accordance with Article 73,</w:t>
      </w:r>
      <w:r w:rsidR="00AA1F01" w:rsidRPr="006D3B52">
        <w:rPr>
          <w:noProof/>
        </w:rPr>
        <w:t xml:space="preserve"> </w:t>
      </w:r>
      <w:r w:rsidR="00AA1F01">
        <w:rPr>
          <w:noProof/>
        </w:rPr>
        <w:t>taking into account the development plan of such scheme.</w:t>
      </w:r>
    </w:p>
    <w:p w14:paraId="39AD984B" w14:textId="14360D50" w:rsidR="00AA1F01" w:rsidRPr="00164577" w:rsidRDefault="00AA1F01" w:rsidP="00AA1F01">
      <w:pPr>
        <w:pStyle w:val="Titrearticle"/>
        <w:rPr>
          <w:noProof/>
          <w:lang w:eastAsia="en-IE"/>
        </w:rPr>
      </w:pPr>
      <w:r w:rsidRPr="00164577">
        <w:rPr>
          <w:noProof/>
          <w:lang w:eastAsia="en-IE"/>
        </w:rPr>
        <w:t xml:space="preserve">Article </w:t>
      </w:r>
      <w:r>
        <w:rPr>
          <w:noProof/>
          <w:lang w:eastAsia="en-IE"/>
        </w:rPr>
        <w:t>87</w:t>
      </w:r>
      <w:r>
        <w:rPr>
          <w:noProof/>
          <w:lang w:eastAsia="en-IE"/>
        </w:rPr>
        <w:br/>
      </w:r>
      <w:r w:rsidRPr="00C513DB">
        <w:rPr>
          <w:noProof/>
          <w:lang w:eastAsia="en-IE"/>
        </w:rPr>
        <w:t>International recognition of European cybersecurity certificat</w:t>
      </w:r>
      <w:r w:rsidR="00A72FC0">
        <w:rPr>
          <w:noProof/>
          <w:lang w:eastAsia="en-IE"/>
        </w:rPr>
        <w:t>es</w:t>
      </w:r>
    </w:p>
    <w:p w14:paraId="53B84964" w14:textId="496B6AEB" w:rsidR="00AA1F01" w:rsidRPr="00E02657" w:rsidRDefault="006D01CD" w:rsidP="006D01CD">
      <w:pPr>
        <w:pStyle w:val="ManualNumPar1"/>
        <w:rPr>
          <w:noProof/>
          <w:lang w:eastAsia="en-IE"/>
        </w:rPr>
      </w:pPr>
      <w:r w:rsidRPr="006D01CD">
        <w:rPr>
          <w:noProof/>
        </w:rPr>
        <w:t>1.</w:t>
      </w:r>
      <w:r w:rsidRPr="006D01CD">
        <w:rPr>
          <w:noProof/>
        </w:rPr>
        <w:tab/>
      </w:r>
      <w:r w:rsidR="00AA1F01" w:rsidRPr="00F3399E" w:rsidDel="00BE3AFA">
        <w:rPr>
          <w:noProof/>
          <w:lang w:eastAsia="en-IE"/>
        </w:rPr>
        <w:t xml:space="preserve">Third </w:t>
      </w:r>
      <w:r w:rsidR="00AA1F01" w:rsidRPr="00F3399E">
        <w:rPr>
          <w:noProof/>
          <w:lang w:eastAsia="en-IE"/>
        </w:rPr>
        <w:t>country certificates of ICT products, ICT services, ICT processes, managed security services and cyber posture of entities may be recognised</w:t>
      </w:r>
      <w:r w:rsidR="00AA1F01">
        <w:rPr>
          <w:noProof/>
          <w:lang w:eastAsia="en-IE"/>
        </w:rPr>
        <w:t>, by means of an implementing act or through the conclusion of an agreement between the Union and the third country in question or an international organisation,</w:t>
      </w:r>
      <w:r w:rsidR="00AA1F01" w:rsidRPr="00F3399E">
        <w:rPr>
          <w:noProof/>
          <w:lang w:eastAsia="en-IE"/>
        </w:rPr>
        <w:t xml:space="preserve"> as equivalent to European cybersecurity certificates</w:t>
      </w:r>
      <w:r w:rsidR="00AA1F01">
        <w:rPr>
          <w:noProof/>
          <w:lang w:eastAsia="en-IE"/>
        </w:rPr>
        <w:t xml:space="preserve"> if </w:t>
      </w:r>
      <w:r w:rsidR="00AA1F01" w:rsidRPr="00F3399E">
        <w:rPr>
          <w:noProof/>
          <w:lang w:eastAsia="en-IE"/>
        </w:rPr>
        <w:t xml:space="preserve">the </w:t>
      </w:r>
      <w:r w:rsidR="00AA1F01">
        <w:rPr>
          <w:noProof/>
          <w:lang w:eastAsia="en-IE"/>
        </w:rPr>
        <w:t xml:space="preserve">requirements of the </w:t>
      </w:r>
      <w:r w:rsidR="00AA1F01" w:rsidRPr="00F3399E">
        <w:rPr>
          <w:noProof/>
          <w:lang w:eastAsia="en-IE"/>
        </w:rPr>
        <w:t xml:space="preserve">relevant </w:t>
      </w:r>
      <w:r w:rsidR="00AA1F01">
        <w:rPr>
          <w:noProof/>
          <w:lang w:eastAsia="en-IE"/>
        </w:rPr>
        <w:t xml:space="preserve">third country </w:t>
      </w:r>
      <w:r w:rsidR="00AA1F01" w:rsidRPr="00F3399E">
        <w:rPr>
          <w:noProof/>
          <w:lang w:eastAsia="en-IE"/>
        </w:rPr>
        <w:t xml:space="preserve">scheme </w:t>
      </w:r>
      <w:r w:rsidR="00AA1F01">
        <w:rPr>
          <w:noProof/>
          <w:lang w:eastAsia="en-IE"/>
        </w:rPr>
        <w:t xml:space="preserve">or international organisation scheme are considered </w:t>
      </w:r>
      <w:r w:rsidR="00AA1F01" w:rsidRPr="00F3399E">
        <w:rPr>
          <w:noProof/>
          <w:lang w:eastAsia="en-IE"/>
        </w:rPr>
        <w:t xml:space="preserve">equivalent </w:t>
      </w:r>
      <w:r w:rsidR="00AA1F01">
        <w:rPr>
          <w:noProof/>
          <w:lang w:eastAsia="en-IE"/>
        </w:rPr>
        <w:t xml:space="preserve">to those in European cybersecurity certification schemes. The Commission is empowered to adopt such implementing acts. </w:t>
      </w:r>
      <w:r w:rsidR="00AA1F01" w:rsidRPr="00F3399E">
        <w:rPr>
          <w:noProof/>
          <w:lang w:eastAsia="en-IE"/>
        </w:rPr>
        <w:t>Th</w:t>
      </w:r>
      <w:r w:rsidR="00AA1F01">
        <w:rPr>
          <w:noProof/>
          <w:lang w:eastAsia="en-IE"/>
        </w:rPr>
        <w:t>e</w:t>
      </w:r>
      <w:r w:rsidR="00AA1F01" w:rsidRPr="00F3399E">
        <w:rPr>
          <w:noProof/>
          <w:lang w:eastAsia="en-IE"/>
        </w:rPr>
        <w:t xml:space="preserve"> implementing acts shall be adopted in accordance with the examination procedure referred to in Article 1</w:t>
      </w:r>
      <w:r w:rsidR="00704681">
        <w:rPr>
          <w:noProof/>
          <w:lang w:eastAsia="en-IE"/>
        </w:rPr>
        <w:t>1</w:t>
      </w:r>
      <w:r w:rsidR="000C1F49">
        <w:rPr>
          <w:noProof/>
          <w:lang w:eastAsia="en-IE"/>
        </w:rPr>
        <w:t>8</w:t>
      </w:r>
      <w:r w:rsidR="00AA1F01" w:rsidRPr="00F3399E">
        <w:rPr>
          <w:noProof/>
          <w:lang w:eastAsia="en-IE"/>
        </w:rPr>
        <w:t xml:space="preserve">(2). </w:t>
      </w:r>
    </w:p>
    <w:p w14:paraId="5FE45A7E" w14:textId="37D6E066" w:rsidR="00AA1F01" w:rsidRDefault="006D01CD" w:rsidP="006D01CD">
      <w:pPr>
        <w:pStyle w:val="ManualNumPar1"/>
        <w:rPr>
          <w:noProof/>
          <w:color w:val="000000"/>
          <w:lang w:eastAsia="en-IE"/>
        </w:rPr>
      </w:pPr>
      <w:r w:rsidRPr="006D01CD">
        <w:rPr>
          <w:noProof/>
        </w:rPr>
        <w:t>2.</w:t>
      </w:r>
      <w:r w:rsidRPr="006D01CD">
        <w:rPr>
          <w:noProof/>
        </w:rPr>
        <w:tab/>
      </w:r>
      <w:r w:rsidR="00AA1F01" w:rsidRPr="006D3B52">
        <w:rPr>
          <w:noProof/>
          <w:color w:val="000000"/>
          <w:lang w:eastAsia="en-IE"/>
        </w:rPr>
        <w:t xml:space="preserve">The </w:t>
      </w:r>
      <w:r w:rsidR="00AA1F01" w:rsidRPr="7FD8ED97">
        <w:rPr>
          <w:noProof/>
          <w:lang w:eastAsia="en-IE"/>
        </w:rPr>
        <w:t>implementing acts and the agreement</w:t>
      </w:r>
      <w:r w:rsidR="00AA1F01">
        <w:rPr>
          <w:noProof/>
          <w:lang w:eastAsia="en-IE"/>
        </w:rPr>
        <w:t>s</w:t>
      </w:r>
      <w:r w:rsidR="00AA1F01" w:rsidRPr="7FD8ED97">
        <w:rPr>
          <w:noProof/>
          <w:lang w:eastAsia="en-IE"/>
        </w:rPr>
        <w:t xml:space="preserve"> referred to in paragraph 1</w:t>
      </w:r>
      <w:r w:rsidR="00AA1F01">
        <w:rPr>
          <w:noProof/>
          <w:lang w:eastAsia="en-IE"/>
        </w:rPr>
        <w:t xml:space="preserve"> shall be based on the conditions for international recognition of European cybersecurity certificat</w:t>
      </w:r>
      <w:r w:rsidR="00A72FC0">
        <w:rPr>
          <w:noProof/>
          <w:lang w:eastAsia="en-IE"/>
        </w:rPr>
        <w:t>es</w:t>
      </w:r>
      <w:r w:rsidR="00AA1F01">
        <w:rPr>
          <w:noProof/>
          <w:lang w:eastAsia="en-IE"/>
        </w:rPr>
        <w:t xml:space="preserve"> set out in accordance with Article 74(11)</w:t>
      </w:r>
      <w:r w:rsidR="00B8508B">
        <w:rPr>
          <w:noProof/>
          <w:lang w:eastAsia="en-IE"/>
        </w:rPr>
        <w:t>.</w:t>
      </w:r>
    </w:p>
    <w:p w14:paraId="56707375" w14:textId="76F533F3" w:rsidR="00AA1F01" w:rsidRPr="00656CE3" w:rsidRDefault="006D01CD" w:rsidP="006D01CD">
      <w:pPr>
        <w:pStyle w:val="ManualNumPar1"/>
        <w:rPr>
          <w:noProof/>
          <w:sz w:val="22"/>
          <w:lang w:val="en-US" w:eastAsia="en-IE"/>
        </w:rPr>
      </w:pPr>
      <w:r w:rsidRPr="006D01CD">
        <w:rPr>
          <w:noProof/>
        </w:rPr>
        <w:t>3.</w:t>
      </w:r>
      <w:r w:rsidRPr="006D01CD">
        <w:rPr>
          <w:noProof/>
        </w:rPr>
        <w:tab/>
      </w:r>
      <w:r w:rsidR="00AA1F01">
        <w:rPr>
          <w:noProof/>
          <w:lang w:eastAsia="en-IE"/>
        </w:rPr>
        <w:t>A</w:t>
      </w:r>
      <w:r w:rsidR="00AA1F01" w:rsidRPr="00F3399E">
        <w:rPr>
          <w:noProof/>
          <w:lang w:eastAsia="en-IE"/>
        </w:rPr>
        <w:t xml:space="preserve">greements </w:t>
      </w:r>
      <w:r w:rsidR="00AA1F01">
        <w:rPr>
          <w:noProof/>
          <w:lang w:eastAsia="en-IE"/>
        </w:rPr>
        <w:t xml:space="preserve">on the recognition of third country certificates </w:t>
      </w:r>
      <w:r w:rsidR="00AA1F01" w:rsidRPr="7FD8ED97">
        <w:rPr>
          <w:noProof/>
          <w:lang w:eastAsia="en-IE"/>
        </w:rPr>
        <w:t>or the international organisation</w:t>
      </w:r>
      <w:r w:rsidR="00AA1F01">
        <w:rPr>
          <w:noProof/>
          <w:lang w:eastAsia="en-IE"/>
        </w:rPr>
        <w:t xml:space="preserve"> certificates </w:t>
      </w:r>
      <w:r w:rsidR="00AA1F01" w:rsidRPr="00F3399E">
        <w:rPr>
          <w:noProof/>
          <w:lang w:eastAsia="en-IE"/>
        </w:rPr>
        <w:t xml:space="preserve">referred to in paragraph 1 shall </w:t>
      </w:r>
      <w:r w:rsidR="00AA1F01">
        <w:rPr>
          <w:noProof/>
          <w:lang w:eastAsia="en-IE"/>
        </w:rPr>
        <w:t>only be concluded if they also recognize European cybersecurity certificates as equivalent to the third country certific</w:t>
      </w:r>
      <w:r w:rsidR="00B376E6">
        <w:rPr>
          <w:noProof/>
          <w:lang w:eastAsia="en-IE"/>
        </w:rPr>
        <w:t>ate</w:t>
      </w:r>
      <w:r w:rsidR="001644A4">
        <w:rPr>
          <w:noProof/>
          <w:lang w:eastAsia="en-IE"/>
        </w:rPr>
        <w:t>s</w:t>
      </w:r>
      <w:r w:rsidR="00AA1F01">
        <w:rPr>
          <w:noProof/>
          <w:lang w:eastAsia="en-IE"/>
        </w:rPr>
        <w:t>.</w:t>
      </w:r>
    </w:p>
    <w:p w14:paraId="330A279F" w14:textId="77777777" w:rsidR="00AA1F01" w:rsidRPr="00164577" w:rsidRDefault="00AA1F01" w:rsidP="00AA1F01">
      <w:pPr>
        <w:pStyle w:val="Titrearticle"/>
        <w:rPr>
          <w:noProof/>
          <w:lang w:eastAsia="en-IE"/>
        </w:rPr>
      </w:pPr>
      <w:r w:rsidRPr="00164577">
        <w:rPr>
          <w:noProof/>
          <w:lang w:eastAsia="en-IE"/>
        </w:rPr>
        <w:t xml:space="preserve">Article </w:t>
      </w:r>
      <w:r>
        <w:rPr>
          <w:noProof/>
          <w:lang w:eastAsia="en-IE"/>
        </w:rPr>
        <w:t>88</w:t>
      </w:r>
      <w:bookmarkStart w:id="8" w:name="_Hlk196314203"/>
      <w:r>
        <w:rPr>
          <w:noProof/>
          <w:lang w:eastAsia="en-IE"/>
        </w:rPr>
        <w:br/>
      </w:r>
      <w:r w:rsidRPr="00C513DB">
        <w:rPr>
          <w:noProof/>
          <w:lang w:eastAsia="en-IE"/>
        </w:rPr>
        <w:t>National cybersecurity certification authorities</w:t>
      </w:r>
    </w:p>
    <w:bookmarkEnd w:id="8"/>
    <w:p w14:paraId="279EC99E" w14:textId="4D2747AA" w:rsidR="00AA1F01" w:rsidRPr="00594C09" w:rsidRDefault="006D01CD" w:rsidP="006D01CD">
      <w:pPr>
        <w:pStyle w:val="ManualNumPar1"/>
        <w:rPr>
          <w:noProof/>
          <w:lang w:eastAsia="en-IE"/>
        </w:rPr>
      </w:pPr>
      <w:r w:rsidRPr="006D01CD">
        <w:rPr>
          <w:noProof/>
        </w:rPr>
        <w:t>1.</w:t>
      </w:r>
      <w:r w:rsidRPr="006D01CD">
        <w:rPr>
          <w:noProof/>
        </w:rPr>
        <w:tab/>
      </w:r>
      <w:r w:rsidR="00AA1F01" w:rsidRPr="00594C09">
        <w:rPr>
          <w:noProof/>
          <w:lang w:eastAsia="en-IE"/>
        </w:rPr>
        <w:t xml:space="preserve">Each Member State shall designate one or more national cybersecurity certification authorities in its territory or, with the agreement of another Member State, one or more national </w:t>
      </w:r>
      <w:r w:rsidR="00AA1F01" w:rsidRPr="00594C09">
        <w:rPr>
          <w:noProof/>
        </w:rPr>
        <w:t>cybersecurity</w:t>
      </w:r>
      <w:r w:rsidR="00AA1F01" w:rsidRPr="00594C09">
        <w:rPr>
          <w:noProof/>
          <w:lang w:eastAsia="en-IE"/>
        </w:rPr>
        <w:t xml:space="preserve"> certification authorities in that other Member State to be responsible for the supervisory tasks in the designating Member State.</w:t>
      </w:r>
    </w:p>
    <w:p w14:paraId="11A9777C" w14:textId="521A11BC" w:rsidR="00AA1F01" w:rsidRPr="00594C09" w:rsidRDefault="006D01CD" w:rsidP="006D01CD">
      <w:pPr>
        <w:pStyle w:val="ManualNumPar1"/>
        <w:rPr>
          <w:noProof/>
          <w:lang w:eastAsia="en-IE"/>
        </w:rPr>
      </w:pPr>
      <w:r w:rsidRPr="006D01CD">
        <w:rPr>
          <w:noProof/>
        </w:rPr>
        <w:t>2.</w:t>
      </w:r>
      <w:r w:rsidRPr="006D01CD">
        <w:rPr>
          <w:noProof/>
        </w:rPr>
        <w:tab/>
      </w:r>
      <w:r w:rsidR="00AA1F01" w:rsidRPr="00594C09">
        <w:rPr>
          <w:noProof/>
          <w:lang w:eastAsia="en-IE"/>
        </w:rPr>
        <w:t>Each Member State shall inform the Commission of the identity of the designated national cybersecurity certification authorities. Where a Member State designates more than one authority, it shall also inform the Commission about the tasks assigned to each of those authorities.</w:t>
      </w:r>
    </w:p>
    <w:p w14:paraId="2D5995A8" w14:textId="70C1B3C2" w:rsidR="00AA1F01" w:rsidRPr="00594C09" w:rsidRDefault="006D01CD" w:rsidP="006D01CD">
      <w:pPr>
        <w:pStyle w:val="ManualNumPar1"/>
        <w:rPr>
          <w:noProof/>
          <w:lang w:eastAsia="en-IE"/>
        </w:rPr>
      </w:pPr>
      <w:r w:rsidRPr="006D01CD">
        <w:rPr>
          <w:noProof/>
        </w:rPr>
        <w:t>3.</w:t>
      </w:r>
      <w:r w:rsidRPr="006D01CD">
        <w:rPr>
          <w:noProof/>
        </w:rPr>
        <w:tab/>
      </w:r>
      <w:r w:rsidR="00AA1F01">
        <w:rPr>
          <w:noProof/>
          <w:lang w:eastAsia="en-IE"/>
        </w:rPr>
        <w:t>E</w:t>
      </w:r>
      <w:r w:rsidR="00AA1F01" w:rsidRPr="00594C09">
        <w:rPr>
          <w:noProof/>
          <w:lang w:eastAsia="en-IE"/>
        </w:rPr>
        <w:t xml:space="preserve">ach national cybersecurity certification authority shall be independent of the entities it supervises </w:t>
      </w:r>
      <w:r w:rsidR="00AA1F01">
        <w:rPr>
          <w:noProof/>
          <w:lang w:eastAsia="en-IE"/>
        </w:rPr>
        <w:t xml:space="preserve">with regard to </w:t>
      </w:r>
      <w:r w:rsidR="00AA1F01" w:rsidRPr="00594C09">
        <w:rPr>
          <w:noProof/>
          <w:lang w:eastAsia="en-IE"/>
        </w:rPr>
        <w:t>its organisation, funding decisions, legal structure and decision-making.</w:t>
      </w:r>
    </w:p>
    <w:p w14:paraId="60CF1E0E" w14:textId="78F52CB9" w:rsidR="00AA1F01" w:rsidRPr="00594C09" w:rsidRDefault="006D01CD" w:rsidP="006D01CD">
      <w:pPr>
        <w:pStyle w:val="ManualNumPar1"/>
        <w:rPr>
          <w:noProof/>
          <w:lang w:eastAsia="en-IE"/>
        </w:rPr>
      </w:pPr>
      <w:r w:rsidRPr="006D01CD">
        <w:rPr>
          <w:noProof/>
        </w:rPr>
        <w:t>4.</w:t>
      </w:r>
      <w:r w:rsidRPr="006D01CD">
        <w:rPr>
          <w:noProof/>
        </w:rPr>
        <w:tab/>
      </w:r>
      <w:r w:rsidR="00AA1F01">
        <w:rPr>
          <w:noProof/>
          <w:lang w:eastAsia="en-IE"/>
        </w:rPr>
        <w:t>T</w:t>
      </w:r>
      <w:r w:rsidR="00AA1F01" w:rsidRPr="00594C09">
        <w:rPr>
          <w:noProof/>
          <w:lang w:eastAsia="en-IE"/>
        </w:rPr>
        <w:t xml:space="preserve">he activities of the national cybersecurity certification authorities that relate to the issuance of European cybersecurity certificates </w:t>
      </w:r>
      <w:r w:rsidR="00AA1F01">
        <w:rPr>
          <w:noProof/>
          <w:lang w:eastAsia="en-IE"/>
        </w:rPr>
        <w:t>under</w:t>
      </w:r>
      <w:r w:rsidR="00AA1F01" w:rsidRPr="00594C09">
        <w:rPr>
          <w:noProof/>
          <w:lang w:eastAsia="en-IE"/>
        </w:rPr>
        <w:t xml:space="preserve"> this Regulation </w:t>
      </w:r>
      <w:r w:rsidR="00AA1F01">
        <w:rPr>
          <w:noProof/>
          <w:lang w:eastAsia="en-IE"/>
        </w:rPr>
        <w:t>shall be</w:t>
      </w:r>
      <w:r w:rsidR="00AA1F01" w:rsidRPr="00594C09">
        <w:rPr>
          <w:noProof/>
          <w:lang w:eastAsia="en-IE"/>
        </w:rPr>
        <w:t xml:space="preserve"> strictly separated from their supervisory activities set out in this Article and in Article 85(4)</w:t>
      </w:r>
      <w:r w:rsidR="00AA1F01">
        <w:rPr>
          <w:noProof/>
          <w:lang w:eastAsia="en-IE"/>
        </w:rPr>
        <w:t xml:space="preserve">, </w:t>
      </w:r>
      <w:r w:rsidR="00AA1F01" w:rsidRPr="00594C09">
        <w:rPr>
          <w:noProof/>
          <w:lang w:eastAsia="en-IE"/>
        </w:rPr>
        <w:t>points (a) and (b)</w:t>
      </w:r>
      <w:r w:rsidR="00AA1F01">
        <w:rPr>
          <w:noProof/>
          <w:lang w:eastAsia="en-IE"/>
        </w:rPr>
        <w:t>,</w:t>
      </w:r>
      <w:r w:rsidR="00AA1F01" w:rsidRPr="00594C09">
        <w:rPr>
          <w:noProof/>
          <w:lang w:eastAsia="en-IE"/>
        </w:rPr>
        <w:t xml:space="preserve"> and that those activities are carried out independently from each other.</w:t>
      </w:r>
    </w:p>
    <w:p w14:paraId="04C0D8A1" w14:textId="54A92B76" w:rsidR="00AA1F01" w:rsidRPr="00594C09" w:rsidRDefault="006D01CD" w:rsidP="006D01CD">
      <w:pPr>
        <w:pStyle w:val="ManualNumPar1"/>
        <w:rPr>
          <w:noProof/>
          <w:lang w:eastAsia="en-IE"/>
        </w:rPr>
      </w:pPr>
      <w:r w:rsidRPr="006D01CD">
        <w:rPr>
          <w:noProof/>
        </w:rPr>
        <w:t>5.</w:t>
      </w:r>
      <w:r w:rsidRPr="006D01CD">
        <w:rPr>
          <w:noProof/>
        </w:rPr>
        <w:tab/>
      </w:r>
      <w:r w:rsidR="00AA1F01" w:rsidRPr="00594C09">
        <w:rPr>
          <w:noProof/>
          <w:lang w:eastAsia="en-IE"/>
        </w:rPr>
        <w:t>Member States shall ensure that national cybersecurity certification authorities have adequate resources to exercise their powers and to carry out their tasks in an effective and efficient manner.</w:t>
      </w:r>
    </w:p>
    <w:p w14:paraId="75434E49" w14:textId="0BA50478" w:rsidR="00AA1F01" w:rsidRPr="00594C09" w:rsidRDefault="006D01CD" w:rsidP="006D01CD">
      <w:pPr>
        <w:pStyle w:val="ManualNumPar1"/>
        <w:rPr>
          <w:noProof/>
          <w:lang w:eastAsia="en-IE"/>
        </w:rPr>
      </w:pPr>
      <w:r w:rsidRPr="006D01CD">
        <w:rPr>
          <w:noProof/>
        </w:rPr>
        <w:t>6.</w:t>
      </w:r>
      <w:r w:rsidRPr="006D01CD">
        <w:rPr>
          <w:noProof/>
        </w:rPr>
        <w:tab/>
      </w:r>
      <w:r w:rsidR="00AA1F01" w:rsidRPr="00594C09">
        <w:rPr>
          <w:noProof/>
          <w:lang w:eastAsia="en-IE"/>
        </w:rPr>
        <w:t>National cybersecurity certification authorities shall</w:t>
      </w:r>
      <w:r w:rsidR="00AA1F01">
        <w:rPr>
          <w:noProof/>
          <w:lang w:eastAsia="en-IE"/>
        </w:rPr>
        <w:t xml:space="preserve"> have the following tasks</w:t>
      </w:r>
      <w:r w:rsidR="00AA1F01" w:rsidRPr="00594C09">
        <w:rPr>
          <w:noProof/>
          <w:lang w:eastAsia="en-IE"/>
        </w:rPr>
        <w:t>:</w:t>
      </w:r>
    </w:p>
    <w:p w14:paraId="321F3065" w14:textId="5041E96E" w:rsidR="00B8508B" w:rsidRDefault="006D01CD" w:rsidP="006D01CD">
      <w:pPr>
        <w:pStyle w:val="Point1"/>
        <w:rPr>
          <w:noProof/>
        </w:rPr>
      </w:pPr>
      <w:r w:rsidRPr="006D01CD">
        <w:rPr>
          <w:noProof/>
        </w:rPr>
        <w:t>(a)</w:t>
      </w:r>
      <w:r w:rsidRPr="006D01CD">
        <w:rPr>
          <w:noProof/>
        </w:rPr>
        <w:tab/>
      </w:r>
      <w:r w:rsidR="0009793B">
        <w:rPr>
          <w:noProof/>
        </w:rPr>
        <w:t>p</w:t>
      </w:r>
      <w:r w:rsidR="00B8508B">
        <w:rPr>
          <w:noProof/>
        </w:rPr>
        <w:t>articipate in the ECCG pu</w:t>
      </w:r>
      <w:r w:rsidR="00E015D2">
        <w:rPr>
          <w:noProof/>
        </w:rPr>
        <w:t>r</w:t>
      </w:r>
      <w:r w:rsidR="00B8508B">
        <w:rPr>
          <w:noProof/>
        </w:rPr>
        <w:t>suant to Article 90(2);</w:t>
      </w:r>
    </w:p>
    <w:p w14:paraId="71905F7D" w14:textId="13F244B1" w:rsidR="00AA1F01" w:rsidRPr="00594C09" w:rsidRDefault="006D01CD" w:rsidP="006D01CD">
      <w:pPr>
        <w:pStyle w:val="Point1"/>
        <w:rPr>
          <w:noProof/>
        </w:rPr>
      </w:pPr>
      <w:r w:rsidRPr="006D01CD">
        <w:rPr>
          <w:noProof/>
        </w:rPr>
        <w:t>(b)</w:t>
      </w:r>
      <w:r w:rsidRPr="006D01CD">
        <w:rPr>
          <w:noProof/>
        </w:rPr>
        <w:tab/>
      </w:r>
      <w:r w:rsidR="00AA1F01" w:rsidRPr="00594C09">
        <w:rPr>
          <w:noProof/>
        </w:rPr>
        <w:t>supervise and enforce rules included in European cybersecurity certification schemes pursuant to Article 81</w:t>
      </w:r>
      <w:r w:rsidR="00AA1F01">
        <w:rPr>
          <w:noProof/>
        </w:rPr>
        <w:t>(</w:t>
      </w:r>
      <w:r w:rsidR="00AA1F01" w:rsidRPr="00594C09">
        <w:rPr>
          <w:noProof/>
        </w:rPr>
        <w:t>2</w:t>
      </w:r>
      <w:r w:rsidR="00AA1F01">
        <w:rPr>
          <w:noProof/>
        </w:rPr>
        <w:t>)</w:t>
      </w:r>
      <w:r w:rsidR="00AA1F01" w:rsidRPr="00594C09">
        <w:rPr>
          <w:noProof/>
        </w:rPr>
        <w:t xml:space="preserve">, point (a), </w:t>
      </w:r>
      <w:r w:rsidR="00B8508B">
        <w:rPr>
          <w:noProof/>
        </w:rPr>
        <w:t>to ensure</w:t>
      </w:r>
      <w:r w:rsidR="00AA1F01" w:rsidRPr="00594C09">
        <w:rPr>
          <w:noProof/>
        </w:rPr>
        <w:t xml:space="preserve"> the compliance of ICT products, ICT services, ICT processes, managed security services</w:t>
      </w:r>
      <w:r w:rsidR="00AA1F01">
        <w:rPr>
          <w:noProof/>
        </w:rPr>
        <w:t xml:space="preserve"> and</w:t>
      </w:r>
      <w:r w:rsidR="00AA1F01" w:rsidRPr="00594C09">
        <w:rPr>
          <w:noProof/>
        </w:rPr>
        <w:t xml:space="preserve"> cyber posture of entities with the requirements of the European cybersecurity certificates that have been issued in their respective territories, in cooperation with relevant market surveillance or supervisory authorities, including, competent authorities under Directive (EU) 2022/2555 </w:t>
      </w:r>
      <w:r w:rsidR="00AA1F01">
        <w:rPr>
          <w:noProof/>
        </w:rPr>
        <w:t>of the European Parliament and of the Council</w:t>
      </w:r>
      <w:r w:rsidR="00AA1F01">
        <w:rPr>
          <w:rStyle w:val="FootnoteReference"/>
          <w:noProof/>
        </w:rPr>
        <w:footnoteReference w:id="83"/>
      </w:r>
      <w:r w:rsidR="00AA1F01">
        <w:rPr>
          <w:noProof/>
        </w:rPr>
        <w:t xml:space="preserve"> </w:t>
      </w:r>
      <w:r w:rsidR="00AA1F01" w:rsidRPr="00594C09">
        <w:rPr>
          <w:noProof/>
        </w:rPr>
        <w:t>or Regulation (EU) 2024/2847;</w:t>
      </w:r>
    </w:p>
    <w:p w14:paraId="4AAC4595" w14:textId="05E0964A" w:rsidR="00AA1F01" w:rsidRPr="00594C09" w:rsidRDefault="006D01CD" w:rsidP="006D01CD">
      <w:pPr>
        <w:pStyle w:val="Point1"/>
        <w:rPr>
          <w:noProof/>
        </w:rPr>
      </w:pPr>
      <w:r w:rsidRPr="006D01CD">
        <w:rPr>
          <w:noProof/>
        </w:rPr>
        <w:t>(c)</w:t>
      </w:r>
      <w:r w:rsidRPr="006D01CD">
        <w:rPr>
          <w:noProof/>
        </w:rPr>
        <w:tab/>
      </w:r>
      <w:r w:rsidR="00AA1F01" w:rsidRPr="00594C09">
        <w:rPr>
          <w:noProof/>
        </w:rPr>
        <w:t>monitor, in cooperation with relevant market surveillance authorities, compliance with and enforce the obligations of the manufacturers or providers of ICT products, ICT services, ICT processes, managed security services or entities the cyber posture of which is certified</w:t>
      </w:r>
      <w:r w:rsidR="00AA1F01">
        <w:rPr>
          <w:noProof/>
        </w:rPr>
        <w:t xml:space="preserve"> set out in this Regulation</w:t>
      </w:r>
      <w:r w:rsidR="00AA1F01" w:rsidRPr="00594C09">
        <w:rPr>
          <w:noProof/>
        </w:rPr>
        <w:t xml:space="preserve"> that are established in their respective territories and that carry out conformity self-assessment in the corresponding European cybersecurity certification scheme;</w:t>
      </w:r>
    </w:p>
    <w:p w14:paraId="4DF632AE" w14:textId="5A583B1C" w:rsidR="00AA1F01" w:rsidRDefault="006D01CD" w:rsidP="006D01CD">
      <w:pPr>
        <w:pStyle w:val="Point1"/>
        <w:rPr>
          <w:noProof/>
        </w:rPr>
      </w:pPr>
      <w:r w:rsidRPr="006D01CD">
        <w:rPr>
          <w:noProof/>
        </w:rPr>
        <w:t>(d)</w:t>
      </w:r>
      <w:r w:rsidRPr="006D01CD">
        <w:rPr>
          <w:noProof/>
        </w:rPr>
        <w:tab/>
      </w:r>
      <w:r w:rsidR="00AA1F01" w:rsidRPr="00594C09">
        <w:rPr>
          <w:noProof/>
        </w:rPr>
        <w:t>without prejudice to Article 9</w:t>
      </w:r>
      <w:r w:rsidR="00AA1F01">
        <w:rPr>
          <w:noProof/>
        </w:rPr>
        <w:t>1</w:t>
      </w:r>
      <w:r w:rsidR="00AA1F01" w:rsidRPr="00594C09">
        <w:rPr>
          <w:noProof/>
        </w:rPr>
        <w:t>(3), actively assist and support the national accreditation bodies or other relevant authorities in the monitoring and supervision of the activities of conformity assessment bodies, for the purposes of this Regulation;</w:t>
      </w:r>
    </w:p>
    <w:p w14:paraId="790316F9" w14:textId="7B3FD195" w:rsidR="006665F4" w:rsidRPr="00594C09" w:rsidRDefault="006D01CD" w:rsidP="006D01CD">
      <w:pPr>
        <w:pStyle w:val="Point1"/>
        <w:rPr>
          <w:noProof/>
        </w:rPr>
      </w:pPr>
      <w:r w:rsidRPr="006D01CD">
        <w:rPr>
          <w:noProof/>
        </w:rPr>
        <w:t>(e)</w:t>
      </w:r>
      <w:r w:rsidRPr="006D01CD">
        <w:rPr>
          <w:noProof/>
        </w:rPr>
        <w:tab/>
      </w:r>
      <w:r w:rsidR="006665F4">
        <w:rPr>
          <w:noProof/>
        </w:rPr>
        <w:t>cooperate with the Commission where the competence of a conformity assessment body is challenged pursuant to Article 94;</w:t>
      </w:r>
    </w:p>
    <w:p w14:paraId="06953F87" w14:textId="4EC87510" w:rsidR="00AA1F01" w:rsidRPr="00594C09" w:rsidRDefault="006D01CD" w:rsidP="006D01CD">
      <w:pPr>
        <w:pStyle w:val="Point1"/>
        <w:rPr>
          <w:noProof/>
        </w:rPr>
      </w:pPr>
      <w:r w:rsidRPr="006D01CD">
        <w:rPr>
          <w:noProof/>
        </w:rPr>
        <w:t>(f)</w:t>
      </w:r>
      <w:r w:rsidRPr="006D01CD">
        <w:rPr>
          <w:noProof/>
        </w:rPr>
        <w:tab/>
      </w:r>
      <w:r w:rsidR="00AA1F01" w:rsidRPr="00594C09">
        <w:rPr>
          <w:noProof/>
        </w:rPr>
        <w:t>monitor and supervise the activities of the public bodies referred to in Article 85(3);</w:t>
      </w:r>
    </w:p>
    <w:p w14:paraId="26B2D544" w14:textId="63870B46" w:rsidR="00AA1F01" w:rsidRPr="00594C09" w:rsidRDefault="006D01CD" w:rsidP="006D01CD">
      <w:pPr>
        <w:pStyle w:val="Point1"/>
        <w:rPr>
          <w:noProof/>
        </w:rPr>
      </w:pPr>
      <w:r w:rsidRPr="006D01CD">
        <w:rPr>
          <w:noProof/>
        </w:rPr>
        <w:t>(g)</w:t>
      </w:r>
      <w:r w:rsidRPr="006D01CD">
        <w:rPr>
          <w:noProof/>
        </w:rPr>
        <w:tab/>
      </w:r>
      <w:r w:rsidR="00AA1F01" w:rsidRPr="00594C09">
        <w:rPr>
          <w:noProof/>
        </w:rPr>
        <w:t>where applicable, authorise conformity assessment bodies in accordance with Article 93, monitor compliance with and enforce the obligations of conformity assessment bodies with the additional or specific requirements set out in European cybersecurity certification schemes pursuant to Article 81(3),</w:t>
      </w:r>
      <w:r w:rsidR="00AA1F01">
        <w:rPr>
          <w:noProof/>
        </w:rPr>
        <w:t xml:space="preserve"> point (f),</w:t>
      </w:r>
      <w:r w:rsidR="00AA1F01" w:rsidRPr="00594C09">
        <w:rPr>
          <w:noProof/>
        </w:rPr>
        <w:t xml:space="preserve"> and restrict, suspend or withdraw existing authorisation where conformity assessment bodies </w:t>
      </w:r>
      <w:r w:rsidR="00AA1F01">
        <w:rPr>
          <w:noProof/>
        </w:rPr>
        <w:t>do not meet</w:t>
      </w:r>
      <w:r w:rsidR="00AA1F01" w:rsidRPr="00594C09">
        <w:rPr>
          <w:noProof/>
        </w:rPr>
        <w:t xml:space="preserve"> the requirements of this Regulation;</w:t>
      </w:r>
    </w:p>
    <w:p w14:paraId="35AC6686" w14:textId="365E87A8" w:rsidR="00AA1F01" w:rsidRPr="00594C09" w:rsidRDefault="006D01CD" w:rsidP="006D01CD">
      <w:pPr>
        <w:pStyle w:val="Point1"/>
        <w:rPr>
          <w:noProof/>
        </w:rPr>
      </w:pPr>
      <w:r w:rsidRPr="006D01CD">
        <w:rPr>
          <w:noProof/>
        </w:rPr>
        <w:t>(h)</w:t>
      </w:r>
      <w:r w:rsidRPr="006D01CD">
        <w:rPr>
          <w:noProof/>
        </w:rPr>
        <w:tab/>
      </w:r>
      <w:r w:rsidR="00AA1F01" w:rsidRPr="00594C09">
        <w:rPr>
          <w:noProof/>
        </w:rPr>
        <w:t>handle complaints by natural or legal persons in relation to European cybersecurity certificates issued by national cybersecurity certification authorities or to European cybersecurity certificates issued by conformity assessment bodies in accordance with Article 85(4) or in relation to EU statements of conformity issued under Article 83, investigate the subject matter of such complaints to the extent appropriate, and inform the complainant of the progress and the outcome of the investigation within a reasonable period;</w:t>
      </w:r>
    </w:p>
    <w:p w14:paraId="31E5EDD5" w14:textId="125A89A0" w:rsidR="00AA1F01" w:rsidRPr="006665F4" w:rsidRDefault="006D01CD" w:rsidP="006D01CD">
      <w:pPr>
        <w:pStyle w:val="Point1"/>
        <w:rPr>
          <w:noProof/>
        </w:rPr>
      </w:pPr>
      <w:r w:rsidRPr="006D01CD">
        <w:rPr>
          <w:noProof/>
        </w:rPr>
        <w:t>(i)</w:t>
      </w:r>
      <w:r w:rsidRPr="006D01CD">
        <w:rPr>
          <w:noProof/>
        </w:rPr>
        <w:tab/>
      </w:r>
      <w:r w:rsidR="006665F4" w:rsidRPr="006665F4">
        <w:rPr>
          <w:noProof/>
        </w:rPr>
        <w:t>provide an annual report on its main activities to the Commission, ENISA and the ECCG by 31 March [year of entry into force + 12 months] each year, and make these reports available to the peer review team where the national cybersecurity certification authority is subject to peer review in accordance with Article 89;</w:t>
      </w:r>
    </w:p>
    <w:p w14:paraId="5CE1E556" w14:textId="385AE6F1" w:rsidR="00AA1F01" w:rsidRPr="00594C09" w:rsidRDefault="006D01CD" w:rsidP="006D01CD">
      <w:pPr>
        <w:pStyle w:val="Point1"/>
        <w:rPr>
          <w:noProof/>
        </w:rPr>
      </w:pPr>
      <w:r w:rsidRPr="006D01CD">
        <w:rPr>
          <w:noProof/>
        </w:rPr>
        <w:t>(j)</w:t>
      </w:r>
      <w:r w:rsidRPr="006D01CD">
        <w:rPr>
          <w:noProof/>
        </w:rPr>
        <w:tab/>
      </w:r>
      <w:r w:rsidR="00AA1F01" w:rsidRPr="00594C09">
        <w:rPr>
          <w:noProof/>
        </w:rPr>
        <w:t xml:space="preserve">cooperate with other national cybersecurity certification authorities, market surveillance authorities or other public authorities, including by sharing information on the possible non-compliance of ICT products, ICT services, ICT processes, managed security services and cyber posture of entities with the requirements of this Regulation or with the requirements of specific European cybersecurity certification schemes; </w:t>
      </w:r>
    </w:p>
    <w:p w14:paraId="6127EFBA" w14:textId="1A793E62" w:rsidR="00AA1F01" w:rsidRPr="00594C09" w:rsidRDefault="006D01CD" w:rsidP="006D01CD">
      <w:pPr>
        <w:pStyle w:val="Point1"/>
        <w:rPr>
          <w:noProof/>
        </w:rPr>
      </w:pPr>
      <w:r w:rsidRPr="006D01CD">
        <w:rPr>
          <w:noProof/>
        </w:rPr>
        <w:t>(k)</w:t>
      </w:r>
      <w:r w:rsidRPr="006D01CD">
        <w:rPr>
          <w:noProof/>
        </w:rPr>
        <w:tab/>
      </w:r>
      <w:r w:rsidR="00AA1F01" w:rsidRPr="00594C09">
        <w:rPr>
          <w:noProof/>
        </w:rPr>
        <w:t>monitor relevant developments in the field of cybersecurity certification.</w:t>
      </w:r>
    </w:p>
    <w:p w14:paraId="5424AA74" w14:textId="19DBA5ED" w:rsidR="00AA1F01" w:rsidRPr="00594C09" w:rsidRDefault="006D01CD" w:rsidP="006D01CD">
      <w:pPr>
        <w:pStyle w:val="ManualNumPar1"/>
        <w:rPr>
          <w:noProof/>
          <w:lang w:eastAsia="en-IE"/>
        </w:rPr>
      </w:pPr>
      <w:r w:rsidRPr="006D01CD">
        <w:rPr>
          <w:noProof/>
        </w:rPr>
        <w:t>7.</w:t>
      </w:r>
      <w:r w:rsidRPr="006D01CD">
        <w:rPr>
          <w:noProof/>
        </w:rPr>
        <w:tab/>
      </w:r>
      <w:r w:rsidR="00AA1F01" w:rsidRPr="00594C09">
        <w:rPr>
          <w:noProof/>
          <w:lang w:eastAsia="en-IE"/>
        </w:rPr>
        <w:t>Each national cybersecurity certification authority shall have at least the following powers:</w:t>
      </w:r>
    </w:p>
    <w:p w14:paraId="1DAC15F6" w14:textId="0114E681" w:rsidR="00AA1F01" w:rsidRPr="00594C09" w:rsidRDefault="006D01CD" w:rsidP="006D01CD">
      <w:pPr>
        <w:pStyle w:val="Point1"/>
        <w:rPr>
          <w:noProof/>
        </w:rPr>
      </w:pPr>
      <w:r w:rsidRPr="006D01CD">
        <w:rPr>
          <w:noProof/>
        </w:rPr>
        <w:t>(a)</w:t>
      </w:r>
      <w:r w:rsidRPr="006D01CD">
        <w:rPr>
          <w:noProof/>
        </w:rPr>
        <w:tab/>
      </w:r>
      <w:r w:rsidR="00AA1F01" w:rsidRPr="00594C09">
        <w:rPr>
          <w:noProof/>
        </w:rPr>
        <w:t>to request conformity assessment bodies, European cybersecurity certificates’ holders and issuers of EU statements of conformity to provide any information it requires for the performance of its tasks;</w:t>
      </w:r>
    </w:p>
    <w:p w14:paraId="6DD32E78" w14:textId="6BF069BA" w:rsidR="00AA1F01" w:rsidRPr="00594C09" w:rsidRDefault="006D01CD" w:rsidP="006D01CD">
      <w:pPr>
        <w:pStyle w:val="Point1"/>
        <w:rPr>
          <w:noProof/>
        </w:rPr>
      </w:pPr>
      <w:r w:rsidRPr="006D01CD">
        <w:rPr>
          <w:noProof/>
        </w:rPr>
        <w:t>(b)</w:t>
      </w:r>
      <w:r w:rsidRPr="006D01CD">
        <w:rPr>
          <w:noProof/>
        </w:rPr>
        <w:tab/>
      </w:r>
      <w:r w:rsidR="00AA1F01" w:rsidRPr="00594C09">
        <w:rPr>
          <w:noProof/>
        </w:rPr>
        <w:t xml:space="preserve">to carry out investigations, in the form of audits, of conformity assessment bodies, European cybersecurity certificates’ holders and issuers of EU statements of conformity, for the purpose of verifying their compliance with </w:t>
      </w:r>
      <w:r w:rsidR="00AA1F01">
        <w:rPr>
          <w:noProof/>
        </w:rPr>
        <w:t xml:space="preserve">the requirements set out in </w:t>
      </w:r>
      <w:r w:rsidR="00AA1F01" w:rsidRPr="00594C09">
        <w:rPr>
          <w:noProof/>
        </w:rPr>
        <w:t>this Title;</w:t>
      </w:r>
    </w:p>
    <w:p w14:paraId="59AAA2F6" w14:textId="74BC03F3" w:rsidR="00AA1F01" w:rsidRPr="00594C09" w:rsidRDefault="006D01CD" w:rsidP="006D01CD">
      <w:pPr>
        <w:pStyle w:val="Point1"/>
        <w:rPr>
          <w:noProof/>
        </w:rPr>
      </w:pPr>
      <w:r w:rsidRPr="006D01CD">
        <w:rPr>
          <w:noProof/>
        </w:rPr>
        <w:t>(c)</w:t>
      </w:r>
      <w:r w:rsidRPr="006D01CD">
        <w:rPr>
          <w:noProof/>
        </w:rPr>
        <w:tab/>
      </w:r>
      <w:r w:rsidR="00AA1F01" w:rsidRPr="00594C09">
        <w:rPr>
          <w:noProof/>
        </w:rPr>
        <w:t xml:space="preserve">to take appropriate measures, in accordance with </w:t>
      </w:r>
      <w:r w:rsidR="00AA1F01">
        <w:rPr>
          <w:noProof/>
        </w:rPr>
        <w:t>national</w:t>
      </w:r>
      <w:r w:rsidR="00AA1F01" w:rsidRPr="00594C09">
        <w:rPr>
          <w:noProof/>
        </w:rPr>
        <w:t xml:space="preserve"> law, to ensure that conformity assessment bodies, European cybersecurity certificates’ holders and issuers of EU statements of conformity comply with this Regulation or with a European cybersecurity certification scheme;</w:t>
      </w:r>
    </w:p>
    <w:p w14:paraId="023A8A77" w14:textId="5ACFAB0F" w:rsidR="00AA1F01" w:rsidRPr="00594C09" w:rsidRDefault="006D01CD" w:rsidP="006D01CD">
      <w:pPr>
        <w:pStyle w:val="Point1"/>
        <w:rPr>
          <w:noProof/>
        </w:rPr>
      </w:pPr>
      <w:r w:rsidRPr="006D01CD">
        <w:rPr>
          <w:noProof/>
        </w:rPr>
        <w:t>(d)</w:t>
      </w:r>
      <w:r w:rsidRPr="006D01CD">
        <w:rPr>
          <w:noProof/>
        </w:rPr>
        <w:tab/>
      </w:r>
      <w:r w:rsidR="00AA1F01" w:rsidRPr="00594C09">
        <w:rPr>
          <w:noProof/>
        </w:rPr>
        <w:t xml:space="preserve">to obtain access to the premises of any conformity assessment bodies or holders of European cybersecurity certificates, for the purpose of carrying out investigations in accordance with Union legislation or </w:t>
      </w:r>
      <w:r w:rsidR="00AA1F01">
        <w:rPr>
          <w:noProof/>
        </w:rPr>
        <w:t>national</w:t>
      </w:r>
      <w:r w:rsidR="00AA1F01" w:rsidRPr="00594C09">
        <w:rPr>
          <w:noProof/>
        </w:rPr>
        <w:t xml:space="preserve"> procedural law;</w:t>
      </w:r>
    </w:p>
    <w:p w14:paraId="1ADEBB91" w14:textId="6AD725BD" w:rsidR="00AA1F01" w:rsidRPr="00594C09" w:rsidRDefault="006D01CD" w:rsidP="006D01CD">
      <w:pPr>
        <w:pStyle w:val="Point1"/>
        <w:rPr>
          <w:noProof/>
        </w:rPr>
      </w:pPr>
      <w:r w:rsidRPr="006D01CD">
        <w:rPr>
          <w:noProof/>
        </w:rPr>
        <w:t>(e)</w:t>
      </w:r>
      <w:r w:rsidRPr="006D01CD">
        <w:rPr>
          <w:noProof/>
        </w:rPr>
        <w:tab/>
      </w:r>
      <w:r w:rsidR="00AA1F01" w:rsidRPr="00594C09">
        <w:rPr>
          <w:noProof/>
        </w:rPr>
        <w:t xml:space="preserve">to withdraw, in accordance with </w:t>
      </w:r>
      <w:r w:rsidR="00AA1F01">
        <w:rPr>
          <w:noProof/>
        </w:rPr>
        <w:t>national</w:t>
      </w:r>
      <w:r w:rsidR="00AA1F01" w:rsidRPr="00594C09">
        <w:rPr>
          <w:noProof/>
        </w:rPr>
        <w:t xml:space="preserve"> law, European cybersecurity certificates issued by national cybersecurity certification authorities or by conformity assessment bodies in accordance with Article 85(4), where such certificates do not comply with this Regulation or with a European cybersecurity certification scheme;</w:t>
      </w:r>
    </w:p>
    <w:p w14:paraId="6DCE7654" w14:textId="1CC91FD6" w:rsidR="00AA1F01" w:rsidRPr="00594C09" w:rsidRDefault="006D01CD" w:rsidP="006D01CD">
      <w:pPr>
        <w:pStyle w:val="Point1"/>
        <w:rPr>
          <w:noProof/>
        </w:rPr>
      </w:pPr>
      <w:r w:rsidRPr="006D01CD">
        <w:rPr>
          <w:noProof/>
        </w:rPr>
        <w:t>(f)</w:t>
      </w:r>
      <w:r w:rsidRPr="006D01CD">
        <w:rPr>
          <w:noProof/>
        </w:rPr>
        <w:tab/>
      </w:r>
      <w:r w:rsidR="00AA1F01" w:rsidRPr="00594C09">
        <w:rPr>
          <w:noProof/>
        </w:rPr>
        <w:t xml:space="preserve">to impose penalties in accordance with </w:t>
      </w:r>
      <w:r w:rsidR="00AA1F01">
        <w:rPr>
          <w:noProof/>
        </w:rPr>
        <w:t>national</w:t>
      </w:r>
      <w:r w:rsidR="00AA1F01" w:rsidRPr="00594C09">
        <w:rPr>
          <w:noProof/>
        </w:rPr>
        <w:t xml:space="preserve"> law, as provided for in Article 97, and to require the immediate cessation of infringements of the obligations set out in this Regulation.</w:t>
      </w:r>
    </w:p>
    <w:p w14:paraId="249E5E64" w14:textId="2741A7A5" w:rsidR="006665F4" w:rsidRDefault="006D01CD" w:rsidP="006D01CD">
      <w:pPr>
        <w:pStyle w:val="ManualNumPar1"/>
        <w:rPr>
          <w:noProof/>
          <w:lang w:eastAsia="en-IE"/>
        </w:rPr>
      </w:pPr>
      <w:r w:rsidRPr="006D01CD">
        <w:rPr>
          <w:noProof/>
        </w:rPr>
        <w:t>8.</w:t>
      </w:r>
      <w:r w:rsidRPr="006D01CD">
        <w:rPr>
          <w:noProof/>
        </w:rPr>
        <w:tab/>
      </w:r>
      <w:r w:rsidR="00AA1F01" w:rsidRPr="00594C09">
        <w:rPr>
          <w:noProof/>
          <w:lang w:eastAsia="en-IE"/>
        </w:rPr>
        <w:t>National cybersecurity certification authorities shall cooperate with each other and with the Commission, in particular, by exchanging information, experience and good practices as regards cybersecurity certification and technical issues concerning the cybersecurity of ICT products, ICT services, ICT processes, managed security services and the cyber posture of entities.</w:t>
      </w:r>
    </w:p>
    <w:p w14:paraId="6A97EF21" w14:textId="2E73B05D" w:rsidR="006665F4" w:rsidRPr="006665F4" w:rsidRDefault="006D01CD" w:rsidP="006D01CD">
      <w:pPr>
        <w:pStyle w:val="ManualNumPar1"/>
        <w:rPr>
          <w:noProof/>
          <w:lang w:eastAsia="en-IE"/>
        </w:rPr>
      </w:pPr>
      <w:r w:rsidRPr="006D01CD">
        <w:rPr>
          <w:noProof/>
        </w:rPr>
        <w:t>9.</w:t>
      </w:r>
      <w:r w:rsidRPr="006D01CD">
        <w:rPr>
          <w:noProof/>
        </w:rPr>
        <w:tab/>
      </w:r>
      <w:r w:rsidR="006665F4" w:rsidRPr="006665F4">
        <w:rPr>
          <w:noProof/>
          <w:lang w:eastAsia="en-IE"/>
        </w:rPr>
        <w:t>By [entry into force + 6 months], ENISA shall develop a template for the report referred to in paragraph 6</w:t>
      </w:r>
      <w:r w:rsidR="00F176AD">
        <w:rPr>
          <w:noProof/>
          <w:lang w:eastAsia="en-IE"/>
        </w:rPr>
        <w:t>,</w:t>
      </w:r>
      <w:r w:rsidR="006665F4" w:rsidRPr="006665F4">
        <w:rPr>
          <w:noProof/>
          <w:lang w:eastAsia="en-IE"/>
        </w:rPr>
        <w:t xml:space="preserve"> point (i)</w:t>
      </w:r>
      <w:r w:rsidR="00F176AD">
        <w:rPr>
          <w:noProof/>
          <w:lang w:eastAsia="en-IE"/>
        </w:rPr>
        <w:t>,</w:t>
      </w:r>
      <w:r w:rsidR="006665F4" w:rsidRPr="006665F4">
        <w:rPr>
          <w:noProof/>
          <w:lang w:eastAsia="en-IE"/>
        </w:rPr>
        <w:t xml:space="preserve"> of this Article, in cooperation with the Commission and the ECCG.</w:t>
      </w:r>
    </w:p>
    <w:p w14:paraId="61BDA5CB" w14:textId="77777777" w:rsidR="00AA1F01" w:rsidRPr="003100E2" w:rsidRDefault="00AA1F01" w:rsidP="00AA1F01">
      <w:pPr>
        <w:pStyle w:val="Titrearticle"/>
        <w:rPr>
          <w:b/>
          <w:noProof/>
          <w:lang w:val="en-IE" w:eastAsia="en-IE"/>
        </w:rPr>
      </w:pPr>
      <w:r w:rsidRPr="003100E2">
        <w:rPr>
          <w:noProof/>
          <w:lang w:val="en-IE" w:eastAsia="en-IE"/>
        </w:rPr>
        <w:t>Article 89</w:t>
      </w:r>
      <w:r w:rsidRPr="003100E2">
        <w:rPr>
          <w:noProof/>
          <w:lang w:val="en-IE" w:eastAsia="en-IE"/>
        </w:rPr>
        <w:br/>
      </w:r>
      <w:r w:rsidRPr="003100E2">
        <w:rPr>
          <w:bCs/>
          <w:iCs/>
          <w:noProof/>
          <w:lang w:val="en-IE" w:eastAsia="en-IE"/>
        </w:rPr>
        <w:t>Peer review</w:t>
      </w:r>
    </w:p>
    <w:p w14:paraId="438E50A9" w14:textId="57ECB1F4" w:rsidR="00AA1F01" w:rsidRPr="00C97170" w:rsidRDefault="006D01CD" w:rsidP="006D01CD">
      <w:pPr>
        <w:pStyle w:val="ManualNumPar1"/>
        <w:rPr>
          <w:noProof/>
          <w:lang w:eastAsia="en-IE"/>
        </w:rPr>
      </w:pPr>
      <w:r w:rsidRPr="006D01CD">
        <w:rPr>
          <w:noProof/>
        </w:rPr>
        <w:t>1.</w:t>
      </w:r>
      <w:r w:rsidRPr="006D01CD">
        <w:rPr>
          <w:noProof/>
        </w:rPr>
        <w:tab/>
      </w:r>
      <w:r w:rsidR="00AA1F01">
        <w:rPr>
          <w:noProof/>
          <w:lang w:eastAsia="en-IE"/>
        </w:rPr>
        <w:t>National</w:t>
      </w:r>
      <w:r w:rsidR="00AA1F01" w:rsidRPr="00C97170">
        <w:rPr>
          <w:noProof/>
          <w:lang w:eastAsia="en-IE"/>
        </w:rPr>
        <w:t xml:space="preserve"> cybersecurity certification authorities shall be subject to peer review.</w:t>
      </w:r>
    </w:p>
    <w:p w14:paraId="45B93D29" w14:textId="449309D3" w:rsidR="00AA1F01" w:rsidRPr="00C97170" w:rsidRDefault="006D01CD" w:rsidP="006D01CD">
      <w:pPr>
        <w:pStyle w:val="ManualNumPar1"/>
        <w:rPr>
          <w:noProof/>
          <w:lang w:eastAsia="en-IE"/>
        </w:rPr>
      </w:pPr>
      <w:r w:rsidRPr="006D01CD">
        <w:rPr>
          <w:noProof/>
        </w:rPr>
        <w:t>2.</w:t>
      </w:r>
      <w:r w:rsidRPr="006D01CD">
        <w:rPr>
          <w:noProof/>
        </w:rPr>
        <w:tab/>
      </w:r>
      <w:r w:rsidR="00AA1F01" w:rsidRPr="00C97170">
        <w:rPr>
          <w:noProof/>
          <w:lang w:eastAsia="en-IE"/>
        </w:rPr>
        <w:t>Peer review shall be carried out on the basis of sound and transparent evaluation criteria and procedures, in particular concerning structural, human resource and process requirements, confidentiality and complaints.</w:t>
      </w:r>
    </w:p>
    <w:p w14:paraId="6E6C1898" w14:textId="46F51E2A" w:rsidR="00AA1F01" w:rsidRPr="00C97170" w:rsidRDefault="006D01CD" w:rsidP="006D01CD">
      <w:pPr>
        <w:pStyle w:val="ManualNumPar1"/>
        <w:rPr>
          <w:noProof/>
          <w:lang w:eastAsia="en-IE"/>
        </w:rPr>
      </w:pPr>
      <w:r w:rsidRPr="006D01CD">
        <w:rPr>
          <w:noProof/>
        </w:rPr>
        <w:t>3.</w:t>
      </w:r>
      <w:r w:rsidRPr="006D01CD">
        <w:rPr>
          <w:noProof/>
        </w:rPr>
        <w:tab/>
      </w:r>
      <w:r w:rsidR="00AA1F01" w:rsidRPr="00C97170">
        <w:rPr>
          <w:noProof/>
          <w:lang w:eastAsia="en-IE"/>
        </w:rPr>
        <w:t>Peer review shall assess:</w:t>
      </w:r>
    </w:p>
    <w:p w14:paraId="43F88318" w14:textId="214AA052" w:rsidR="00AA1F01" w:rsidRPr="00C97170" w:rsidRDefault="006D01CD" w:rsidP="006D01CD">
      <w:pPr>
        <w:pStyle w:val="Point1"/>
        <w:rPr>
          <w:noProof/>
        </w:rPr>
      </w:pPr>
      <w:r w:rsidRPr="006D01CD">
        <w:rPr>
          <w:noProof/>
        </w:rPr>
        <w:t>(a)</w:t>
      </w:r>
      <w:r w:rsidRPr="006D01CD">
        <w:rPr>
          <w:noProof/>
        </w:rPr>
        <w:tab/>
      </w:r>
      <w:r w:rsidR="00AA1F01" w:rsidRPr="00C97170">
        <w:rPr>
          <w:noProof/>
        </w:rPr>
        <w:t>where applicable, whether the activities of the national cybersecurity certification authorities that relate to the issuance of European cybersecurity certificates referred to in this Regulation are strictly separated from their supervisory activities set out in Article 88 and whether those activities are carried out independently from each other;</w:t>
      </w:r>
    </w:p>
    <w:p w14:paraId="2FC9FD92" w14:textId="6B8325B6" w:rsidR="00AA1F01" w:rsidRPr="00C97170" w:rsidRDefault="006D01CD" w:rsidP="006D01CD">
      <w:pPr>
        <w:pStyle w:val="Point1"/>
        <w:rPr>
          <w:noProof/>
        </w:rPr>
      </w:pPr>
      <w:r w:rsidRPr="006D01CD">
        <w:rPr>
          <w:noProof/>
        </w:rPr>
        <w:t>(b)</w:t>
      </w:r>
      <w:r w:rsidRPr="006D01CD">
        <w:rPr>
          <w:noProof/>
        </w:rPr>
        <w:tab/>
      </w:r>
      <w:r w:rsidR="00AA1F01" w:rsidRPr="00C97170">
        <w:rPr>
          <w:noProof/>
        </w:rPr>
        <w:t>the procedures for supervising and enforcing the rules for monitoring the compliance of ICT products, ICT services, ICT processes, managed security services</w:t>
      </w:r>
      <w:r w:rsidR="00AA1F01">
        <w:rPr>
          <w:noProof/>
        </w:rPr>
        <w:t xml:space="preserve"> and </w:t>
      </w:r>
      <w:r w:rsidR="00AA1F01" w:rsidRPr="00C97170">
        <w:rPr>
          <w:noProof/>
        </w:rPr>
        <w:t>cyber posture of entities with European cybersecurity certificates pursuant to Article 88</w:t>
      </w:r>
      <w:r w:rsidR="00AA1F01">
        <w:rPr>
          <w:noProof/>
        </w:rPr>
        <w:t>(</w:t>
      </w:r>
      <w:r w:rsidR="00AA1F01" w:rsidRPr="00C97170">
        <w:rPr>
          <w:noProof/>
        </w:rPr>
        <w:t>7</w:t>
      </w:r>
      <w:r w:rsidR="00AA1F01">
        <w:rPr>
          <w:noProof/>
        </w:rPr>
        <w:t>)</w:t>
      </w:r>
      <w:r w:rsidR="00AA1F01" w:rsidRPr="00C97170">
        <w:rPr>
          <w:noProof/>
        </w:rPr>
        <w:t>, point (a);</w:t>
      </w:r>
    </w:p>
    <w:p w14:paraId="7311994F" w14:textId="3E26A48A" w:rsidR="00AA1F01" w:rsidRPr="00C97170" w:rsidRDefault="006D01CD" w:rsidP="006D01CD">
      <w:pPr>
        <w:pStyle w:val="Point1"/>
        <w:rPr>
          <w:noProof/>
        </w:rPr>
      </w:pPr>
      <w:r w:rsidRPr="006D01CD">
        <w:rPr>
          <w:noProof/>
        </w:rPr>
        <w:t>(c)</w:t>
      </w:r>
      <w:r w:rsidRPr="006D01CD">
        <w:rPr>
          <w:noProof/>
        </w:rPr>
        <w:tab/>
      </w:r>
      <w:r w:rsidR="00AA1F01" w:rsidRPr="00C97170">
        <w:rPr>
          <w:noProof/>
        </w:rPr>
        <w:t xml:space="preserve">the procedures for monitoring and enforcing the obligations of manufacturers or providers of ICT products, ICT services, ICT processes or managed security services or entities the cyber posture of which is certified, pursuant to Article 88(7), point (b); </w:t>
      </w:r>
    </w:p>
    <w:p w14:paraId="053372A6" w14:textId="6026736A" w:rsidR="00AA1F01" w:rsidRPr="00C97170" w:rsidRDefault="006D01CD" w:rsidP="006D01CD">
      <w:pPr>
        <w:pStyle w:val="Point1"/>
        <w:rPr>
          <w:noProof/>
        </w:rPr>
      </w:pPr>
      <w:r w:rsidRPr="006D01CD">
        <w:rPr>
          <w:noProof/>
        </w:rPr>
        <w:t>(d)</w:t>
      </w:r>
      <w:r w:rsidRPr="006D01CD">
        <w:rPr>
          <w:noProof/>
        </w:rPr>
        <w:tab/>
      </w:r>
      <w:r w:rsidR="00AA1F01" w:rsidRPr="00C97170">
        <w:rPr>
          <w:noProof/>
        </w:rPr>
        <w:t>the procedures for monitoring, authorising and supervising the activities of the conformity assessment bodies.</w:t>
      </w:r>
    </w:p>
    <w:p w14:paraId="21C20307" w14:textId="30B663FB" w:rsidR="00AA1F01" w:rsidRPr="003D595E" w:rsidRDefault="006D01CD" w:rsidP="006D01CD">
      <w:pPr>
        <w:pStyle w:val="ManualNumPar1"/>
        <w:rPr>
          <w:noProof/>
          <w:lang w:eastAsia="en-IE"/>
        </w:rPr>
      </w:pPr>
      <w:r w:rsidRPr="006D01CD">
        <w:rPr>
          <w:noProof/>
        </w:rPr>
        <w:t>4.</w:t>
      </w:r>
      <w:r w:rsidRPr="006D01CD">
        <w:rPr>
          <w:noProof/>
        </w:rPr>
        <w:tab/>
      </w:r>
      <w:r w:rsidR="00AA1F01" w:rsidRPr="00C97170">
        <w:rPr>
          <w:noProof/>
          <w:lang w:eastAsia="en-IE"/>
        </w:rPr>
        <w:t>Peer review shall be carried out at least once every five years</w:t>
      </w:r>
      <w:r w:rsidR="00AA1F01">
        <w:rPr>
          <w:noProof/>
          <w:lang w:eastAsia="en-IE"/>
        </w:rPr>
        <w:t xml:space="preserve"> </w:t>
      </w:r>
      <w:r w:rsidR="00AA1F01" w:rsidRPr="00C97170">
        <w:rPr>
          <w:noProof/>
          <w:lang w:eastAsia="en-IE"/>
        </w:rPr>
        <w:t xml:space="preserve">by at least two national cybersecurity certification authorities of other Member States and </w:t>
      </w:r>
      <w:r w:rsidR="00AA1F01">
        <w:rPr>
          <w:noProof/>
          <w:lang w:eastAsia="en-IE"/>
        </w:rPr>
        <w:t xml:space="preserve">by </w:t>
      </w:r>
      <w:r w:rsidR="00AA1F01" w:rsidRPr="00C97170">
        <w:rPr>
          <w:noProof/>
          <w:lang w:eastAsia="en-IE"/>
        </w:rPr>
        <w:t>the Commission. ENISA</w:t>
      </w:r>
      <w:r w:rsidR="00AA1F01" w:rsidRPr="00C97170" w:rsidDel="00190DD9">
        <w:rPr>
          <w:noProof/>
          <w:lang w:eastAsia="en-IE"/>
        </w:rPr>
        <w:t xml:space="preserve"> </w:t>
      </w:r>
      <w:r w:rsidR="00AA1F01" w:rsidRPr="00C97170">
        <w:rPr>
          <w:noProof/>
          <w:lang w:eastAsia="en-IE"/>
        </w:rPr>
        <w:t>shall also participate in the peer review as observer.</w:t>
      </w:r>
      <w:r w:rsidR="00AA1F01">
        <w:rPr>
          <w:noProof/>
          <w:lang w:eastAsia="en-IE"/>
        </w:rPr>
        <w:t xml:space="preserve"> The peer review team shall draw up the final report and the summary of the peer review.</w:t>
      </w:r>
    </w:p>
    <w:p w14:paraId="2AFAEA47" w14:textId="09CDA16C" w:rsidR="00AA1F01" w:rsidRPr="00C97170" w:rsidRDefault="006D01CD" w:rsidP="006D01CD">
      <w:pPr>
        <w:pStyle w:val="ManualNumPar1"/>
        <w:rPr>
          <w:noProof/>
          <w:lang w:eastAsia="en-IE"/>
        </w:rPr>
      </w:pPr>
      <w:r w:rsidRPr="006D01CD">
        <w:rPr>
          <w:noProof/>
        </w:rPr>
        <w:t>5.</w:t>
      </w:r>
      <w:r w:rsidRPr="006D01CD">
        <w:rPr>
          <w:noProof/>
        </w:rPr>
        <w:tab/>
      </w:r>
      <w:r w:rsidR="00AA1F01" w:rsidRPr="00C97170">
        <w:rPr>
          <w:noProof/>
          <w:lang w:eastAsia="en-IE"/>
        </w:rPr>
        <w:t xml:space="preserve">ENISA shall support the organisation of the peer review mechanism and </w:t>
      </w:r>
      <w:r w:rsidR="00AA1F01">
        <w:rPr>
          <w:noProof/>
          <w:lang w:eastAsia="en-IE"/>
        </w:rPr>
        <w:t xml:space="preserve">the </w:t>
      </w:r>
      <w:r w:rsidR="00AA1F01" w:rsidRPr="00C97170">
        <w:rPr>
          <w:noProof/>
          <w:lang w:eastAsia="en-IE"/>
        </w:rPr>
        <w:t>peer reviews, including by developing relevant guidance documents</w:t>
      </w:r>
      <w:r w:rsidR="00AA1F01">
        <w:rPr>
          <w:noProof/>
          <w:lang w:eastAsia="en-IE"/>
        </w:rPr>
        <w:t xml:space="preserve"> and templates,</w:t>
      </w:r>
      <w:r w:rsidR="00AA1F01" w:rsidRPr="004F37A8">
        <w:rPr>
          <w:noProof/>
        </w:rPr>
        <w:t xml:space="preserve"> </w:t>
      </w:r>
      <w:r w:rsidR="00AA1F01" w:rsidRPr="004F37A8">
        <w:rPr>
          <w:noProof/>
          <w:lang w:eastAsia="en-IE"/>
        </w:rPr>
        <w:t xml:space="preserve">in cooperation with the Commission and the ECCG.  </w:t>
      </w:r>
      <w:r w:rsidR="00AA1F01">
        <w:rPr>
          <w:noProof/>
          <w:lang w:eastAsia="en-IE"/>
        </w:rPr>
        <w:t xml:space="preserve"> </w:t>
      </w:r>
    </w:p>
    <w:p w14:paraId="76FA6B40" w14:textId="1D0FFF9B" w:rsidR="00AA1F01" w:rsidRPr="00C97170" w:rsidRDefault="006D01CD" w:rsidP="006D01CD">
      <w:pPr>
        <w:pStyle w:val="ManualNumPar1"/>
        <w:rPr>
          <w:noProof/>
          <w:lang w:eastAsia="en-IE"/>
        </w:rPr>
      </w:pPr>
      <w:r w:rsidRPr="006D01CD">
        <w:rPr>
          <w:noProof/>
        </w:rPr>
        <w:t>6.</w:t>
      </w:r>
      <w:r w:rsidRPr="006D01CD">
        <w:rPr>
          <w:noProof/>
        </w:rPr>
        <w:tab/>
      </w:r>
      <w:r w:rsidR="00AA1F01" w:rsidRPr="00C97170">
        <w:rPr>
          <w:noProof/>
          <w:lang w:eastAsia="en-IE"/>
        </w:rPr>
        <w:t xml:space="preserve">The Commission </w:t>
      </w:r>
      <w:r w:rsidR="00AA1F01">
        <w:rPr>
          <w:noProof/>
          <w:lang w:eastAsia="en-IE"/>
        </w:rPr>
        <w:t>is empowered to</w:t>
      </w:r>
      <w:r w:rsidR="00AA1F01" w:rsidRPr="00C97170">
        <w:rPr>
          <w:noProof/>
          <w:lang w:eastAsia="en-IE"/>
        </w:rPr>
        <w:t xml:space="preserve"> adopt implementing acts establishing a plan for peer review which covers a period of at least five years, laying down the criteria concerning the composition of the peer review team, the methodology to be used in peer review, and the schedule, the frequency and other tasks related to </w:t>
      </w:r>
      <w:r w:rsidR="00AA1F01">
        <w:rPr>
          <w:noProof/>
          <w:lang w:eastAsia="en-IE"/>
        </w:rPr>
        <w:t>peer review</w:t>
      </w:r>
      <w:r w:rsidR="00AA1F01" w:rsidRPr="00C97170">
        <w:rPr>
          <w:noProof/>
          <w:lang w:eastAsia="en-IE"/>
        </w:rPr>
        <w:t xml:space="preserve">. In the preparation </w:t>
      </w:r>
      <w:r w:rsidR="00AA1F01">
        <w:rPr>
          <w:noProof/>
          <w:lang w:eastAsia="en-IE"/>
        </w:rPr>
        <w:t xml:space="preserve">of </w:t>
      </w:r>
      <w:r w:rsidR="00AA1F01" w:rsidRPr="00C97170">
        <w:rPr>
          <w:noProof/>
          <w:lang w:eastAsia="en-IE"/>
        </w:rPr>
        <w:t>those implementing acts, the Commission shall consult the ECCG</w:t>
      </w:r>
      <w:r w:rsidR="00AA1F01">
        <w:rPr>
          <w:noProof/>
          <w:lang w:eastAsia="en-IE"/>
        </w:rPr>
        <w:t xml:space="preserve"> and ENISA</w:t>
      </w:r>
      <w:r w:rsidR="00AA1F01" w:rsidRPr="00C97170">
        <w:rPr>
          <w:noProof/>
          <w:lang w:eastAsia="en-IE"/>
        </w:rPr>
        <w:t>. Those implementing acts shall be adopted in accordance with the examination procedure referred to in Article</w:t>
      </w:r>
      <w:r w:rsidR="00AA1F01">
        <w:rPr>
          <w:noProof/>
          <w:lang w:eastAsia="en-IE"/>
        </w:rPr>
        <w:t xml:space="preserve"> 1</w:t>
      </w:r>
      <w:r w:rsidR="00704681">
        <w:rPr>
          <w:noProof/>
          <w:lang w:eastAsia="en-IE"/>
        </w:rPr>
        <w:t>1</w:t>
      </w:r>
      <w:r w:rsidR="000C1F49">
        <w:rPr>
          <w:noProof/>
          <w:lang w:eastAsia="en-IE"/>
        </w:rPr>
        <w:t>8</w:t>
      </w:r>
      <w:r w:rsidR="00AA1F01">
        <w:rPr>
          <w:noProof/>
          <w:lang w:eastAsia="en-IE"/>
        </w:rPr>
        <w:t>(2)</w:t>
      </w:r>
      <w:r w:rsidR="00AA1F01" w:rsidRPr="00C97170">
        <w:rPr>
          <w:noProof/>
          <w:lang w:eastAsia="en-IE"/>
        </w:rPr>
        <w:t>.</w:t>
      </w:r>
    </w:p>
    <w:p w14:paraId="7FF15EB2" w14:textId="0539FF9E" w:rsidR="00AA1F01" w:rsidRPr="00C97170" w:rsidRDefault="006D01CD" w:rsidP="006D01CD">
      <w:pPr>
        <w:pStyle w:val="ManualNumPar1"/>
        <w:rPr>
          <w:noProof/>
          <w:lang w:eastAsia="en-IE"/>
        </w:rPr>
      </w:pPr>
      <w:r w:rsidRPr="006D01CD">
        <w:rPr>
          <w:noProof/>
        </w:rPr>
        <w:t>7.</w:t>
      </w:r>
      <w:r w:rsidRPr="006D01CD">
        <w:rPr>
          <w:noProof/>
        </w:rPr>
        <w:tab/>
      </w:r>
      <w:r w:rsidR="00AA1F01" w:rsidRPr="004F37A8">
        <w:rPr>
          <w:noProof/>
          <w:lang w:eastAsia="en-IE"/>
        </w:rPr>
        <w:t xml:space="preserve">The final report, including possible guidelines or recommendations, and </w:t>
      </w:r>
      <w:r w:rsidR="00AA1F01">
        <w:rPr>
          <w:noProof/>
          <w:lang w:eastAsia="en-IE"/>
        </w:rPr>
        <w:t xml:space="preserve">the </w:t>
      </w:r>
      <w:r w:rsidR="00AA1F01" w:rsidRPr="004F37A8">
        <w:rPr>
          <w:noProof/>
          <w:lang w:eastAsia="en-IE"/>
        </w:rPr>
        <w:t xml:space="preserve">summary of </w:t>
      </w:r>
      <w:r w:rsidR="00AA1F01">
        <w:rPr>
          <w:noProof/>
          <w:lang w:eastAsia="en-IE"/>
        </w:rPr>
        <w:t>the</w:t>
      </w:r>
      <w:r w:rsidR="00AA1F01" w:rsidRPr="004F37A8">
        <w:rPr>
          <w:noProof/>
          <w:lang w:eastAsia="en-IE"/>
        </w:rPr>
        <w:t xml:space="preserve"> peer review shall be examined by the ECCG, which shall endorse the summary for publication on the website referred to in Article 79(</w:t>
      </w:r>
      <w:r w:rsidR="00AA1F01">
        <w:rPr>
          <w:noProof/>
          <w:lang w:eastAsia="en-IE"/>
        </w:rPr>
        <w:t>2</w:t>
      </w:r>
      <w:r w:rsidR="00AA1F01" w:rsidRPr="004F37A8">
        <w:rPr>
          <w:noProof/>
          <w:lang w:eastAsia="en-IE"/>
        </w:rPr>
        <w:t>).</w:t>
      </w:r>
    </w:p>
    <w:p w14:paraId="69CADAF5" w14:textId="77777777" w:rsidR="00AA1F01" w:rsidRPr="00164577" w:rsidRDefault="00AA1F01" w:rsidP="00AA1F01">
      <w:pPr>
        <w:pStyle w:val="Titrearticle"/>
        <w:rPr>
          <w:noProof/>
          <w:lang w:eastAsia="en-IE"/>
        </w:rPr>
      </w:pPr>
      <w:r w:rsidRPr="00164577">
        <w:rPr>
          <w:noProof/>
          <w:lang w:eastAsia="en-IE"/>
        </w:rPr>
        <w:t xml:space="preserve">Article </w:t>
      </w:r>
      <w:r>
        <w:rPr>
          <w:noProof/>
          <w:lang w:eastAsia="en-IE"/>
        </w:rPr>
        <w:t>90</w:t>
      </w:r>
      <w:r>
        <w:rPr>
          <w:noProof/>
          <w:lang w:eastAsia="en-IE"/>
        </w:rPr>
        <w:br/>
      </w:r>
      <w:r w:rsidRPr="00C513DB">
        <w:rPr>
          <w:noProof/>
          <w:lang w:eastAsia="en-IE"/>
        </w:rPr>
        <w:t>European Cybersecurity Certification Group</w:t>
      </w:r>
    </w:p>
    <w:p w14:paraId="263ED26E" w14:textId="205C0509" w:rsidR="00AA1F01" w:rsidRPr="00F7115B" w:rsidRDefault="006D01CD" w:rsidP="006D01CD">
      <w:pPr>
        <w:pStyle w:val="ManualNumPar1"/>
        <w:rPr>
          <w:noProof/>
          <w:lang w:eastAsia="en-IE"/>
        </w:rPr>
      </w:pPr>
      <w:r w:rsidRPr="006D01CD">
        <w:rPr>
          <w:noProof/>
        </w:rPr>
        <w:t>1.</w:t>
      </w:r>
      <w:r w:rsidRPr="006D01CD">
        <w:rPr>
          <w:noProof/>
        </w:rPr>
        <w:tab/>
      </w:r>
      <w:r w:rsidR="00AA1F01" w:rsidRPr="00F7115B">
        <w:rPr>
          <w:noProof/>
          <w:lang w:eastAsia="en-IE"/>
        </w:rPr>
        <w:t>The European Cybersecurity Certification Group (the ‘ECCG’) shall be established.</w:t>
      </w:r>
    </w:p>
    <w:p w14:paraId="531B8F3D" w14:textId="55079E98" w:rsidR="00AA1F01" w:rsidRPr="00C06733" w:rsidRDefault="006D01CD" w:rsidP="006D01CD">
      <w:pPr>
        <w:pStyle w:val="ManualNumPar1"/>
        <w:rPr>
          <w:noProof/>
          <w:lang w:eastAsia="en-IE"/>
        </w:rPr>
      </w:pPr>
      <w:r w:rsidRPr="006D01CD">
        <w:rPr>
          <w:noProof/>
        </w:rPr>
        <w:t>2.</w:t>
      </w:r>
      <w:r w:rsidRPr="006D01CD">
        <w:rPr>
          <w:noProof/>
        </w:rPr>
        <w:tab/>
      </w:r>
      <w:r w:rsidR="00AA1F01" w:rsidRPr="00F7115B">
        <w:rPr>
          <w:noProof/>
          <w:lang w:eastAsia="en-IE"/>
        </w:rPr>
        <w:t xml:space="preserve">The ECCG shall be composed of representatives of national cybersecurity certification authorities or representatives of other relevant national authorities. A </w:t>
      </w:r>
      <w:r w:rsidR="00AA1F01" w:rsidRPr="00C06733">
        <w:rPr>
          <w:noProof/>
          <w:lang w:eastAsia="en-IE"/>
        </w:rPr>
        <w:t>member of the ECCG shall not represent more than two Member States.</w:t>
      </w:r>
    </w:p>
    <w:p w14:paraId="635309B9" w14:textId="3CE91641" w:rsidR="00AA1F01" w:rsidRPr="00C06733" w:rsidRDefault="006D01CD" w:rsidP="006D01CD">
      <w:pPr>
        <w:pStyle w:val="ManualNumPar1"/>
        <w:rPr>
          <w:noProof/>
          <w:lang w:eastAsia="en-IE"/>
        </w:rPr>
      </w:pPr>
      <w:r w:rsidRPr="006D01CD">
        <w:rPr>
          <w:noProof/>
        </w:rPr>
        <w:t>3.</w:t>
      </w:r>
      <w:r w:rsidRPr="006D01CD">
        <w:rPr>
          <w:noProof/>
        </w:rPr>
        <w:tab/>
      </w:r>
      <w:r w:rsidR="00AA1F01" w:rsidRPr="00C06733">
        <w:rPr>
          <w:noProof/>
          <w:lang w:eastAsia="en-IE"/>
        </w:rPr>
        <w:t>The ECCG shall have the following tasks:</w:t>
      </w:r>
    </w:p>
    <w:p w14:paraId="03A8F400" w14:textId="39EFBB16" w:rsidR="009863F6" w:rsidRDefault="006D01CD" w:rsidP="006D01CD">
      <w:pPr>
        <w:pStyle w:val="Point1"/>
        <w:rPr>
          <w:noProof/>
        </w:rPr>
      </w:pPr>
      <w:r w:rsidRPr="006D01CD">
        <w:rPr>
          <w:noProof/>
        </w:rPr>
        <w:t>(a)</w:t>
      </w:r>
      <w:r w:rsidRPr="006D01CD">
        <w:rPr>
          <w:noProof/>
        </w:rPr>
        <w:tab/>
      </w:r>
      <w:r w:rsidR="00AA1F01" w:rsidRPr="00C06733">
        <w:rPr>
          <w:noProof/>
        </w:rPr>
        <w:t xml:space="preserve">to advise and assist the Commission in its work to ensure the consistent implementation and application </w:t>
      </w:r>
      <w:r w:rsidR="00AA1F01">
        <w:rPr>
          <w:noProof/>
        </w:rPr>
        <w:t xml:space="preserve">the rules set out in </w:t>
      </w:r>
      <w:r w:rsidR="00AA1F01" w:rsidRPr="00C06733">
        <w:rPr>
          <w:noProof/>
        </w:rPr>
        <w:t>this Title, cybersecurity certification policy issues,</w:t>
      </w:r>
      <w:r w:rsidR="009863F6">
        <w:rPr>
          <w:noProof/>
        </w:rPr>
        <w:t xml:space="preserve"> and</w:t>
      </w:r>
      <w:r w:rsidR="00AA1F01" w:rsidRPr="00C06733">
        <w:rPr>
          <w:noProof/>
        </w:rPr>
        <w:t xml:space="preserve"> the coordination of policy approaches</w:t>
      </w:r>
      <w:r w:rsidR="009863F6">
        <w:rPr>
          <w:noProof/>
        </w:rPr>
        <w:t>;</w:t>
      </w:r>
    </w:p>
    <w:p w14:paraId="03A545CC" w14:textId="65EC6BC8" w:rsidR="00AA1F01" w:rsidRPr="00C06733" w:rsidRDefault="006D01CD" w:rsidP="006D01CD">
      <w:pPr>
        <w:pStyle w:val="Point1"/>
        <w:rPr>
          <w:noProof/>
        </w:rPr>
      </w:pPr>
      <w:r w:rsidRPr="006D01CD">
        <w:rPr>
          <w:noProof/>
        </w:rPr>
        <w:t>(b)</w:t>
      </w:r>
      <w:r w:rsidRPr="006D01CD">
        <w:rPr>
          <w:noProof/>
        </w:rPr>
        <w:tab/>
      </w:r>
      <w:r w:rsidR="009863F6">
        <w:rPr>
          <w:noProof/>
        </w:rPr>
        <w:t>to advise and assist the Commission in the</w:t>
      </w:r>
      <w:r w:rsidR="00AA1F01" w:rsidRPr="00C06733">
        <w:rPr>
          <w:noProof/>
        </w:rPr>
        <w:t xml:space="preserve"> preparation of </w:t>
      </w:r>
      <w:r w:rsidR="009863F6">
        <w:rPr>
          <w:noProof/>
        </w:rPr>
        <w:t xml:space="preserve">requests for </w:t>
      </w:r>
      <w:r w:rsidR="00AA1F01" w:rsidRPr="00C06733">
        <w:rPr>
          <w:noProof/>
        </w:rPr>
        <w:t>European cybersecurity certification schemes</w:t>
      </w:r>
      <w:r w:rsidR="009863F6">
        <w:rPr>
          <w:noProof/>
        </w:rPr>
        <w:t xml:space="preserve"> pursuant to Article 73</w:t>
      </w:r>
      <w:r w:rsidR="00AA1F01" w:rsidRPr="00C06733">
        <w:rPr>
          <w:noProof/>
        </w:rPr>
        <w:t>;</w:t>
      </w:r>
    </w:p>
    <w:p w14:paraId="76735383" w14:textId="7B6ED4F3" w:rsidR="00AA1F01" w:rsidRPr="00C06733" w:rsidRDefault="006D01CD" w:rsidP="006D01CD">
      <w:pPr>
        <w:pStyle w:val="Point1"/>
        <w:rPr>
          <w:noProof/>
        </w:rPr>
      </w:pPr>
      <w:r w:rsidRPr="006D01CD">
        <w:rPr>
          <w:noProof/>
        </w:rPr>
        <w:t>(c)</w:t>
      </w:r>
      <w:r w:rsidRPr="006D01CD">
        <w:rPr>
          <w:noProof/>
        </w:rPr>
        <w:tab/>
      </w:r>
      <w:r w:rsidR="00AA1F01" w:rsidRPr="00C06733">
        <w:rPr>
          <w:noProof/>
        </w:rPr>
        <w:t>to assist, advise and cooperate with ENISA in relation to the preparation of a candidate scheme pursuant to Article 74 and technical specifications pursuant to Article 77;</w:t>
      </w:r>
    </w:p>
    <w:p w14:paraId="4157AF77" w14:textId="76000FE6" w:rsidR="00AA1F01" w:rsidRPr="00C06733" w:rsidRDefault="006D01CD" w:rsidP="006D01CD">
      <w:pPr>
        <w:pStyle w:val="Point1"/>
        <w:rPr>
          <w:noProof/>
        </w:rPr>
      </w:pPr>
      <w:r w:rsidRPr="006D01CD">
        <w:rPr>
          <w:noProof/>
        </w:rPr>
        <w:t>(d)</w:t>
      </w:r>
      <w:r w:rsidRPr="006D01CD">
        <w:rPr>
          <w:noProof/>
        </w:rPr>
        <w:tab/>
      </w:r>
      <w:r w:rsidR="00AA1F01" w:rsidRPr="00C06733">
        <w:rPr>
          <w:noProof/>
        </w:rPr>
        <w:t>to assist, advise and cooperate with ENISA and the Commission in relation to the maintenance activities pursuant to Article 75;</w:t>
      </w:r>
    </w:p>
    <w:p w14:paraId="5BF35134" w14:textId="34AD436A" w:rsidR="00AA1F01" w:rsidRPr="00C06733" w:rsidRDefault="006D01CD" w:rsidP="006D01CD">
      <w:pPr>
        <w:pStyle w:val="Point1"/>
        <w:rPr>
          <w:noProof/>
        </w:rPr>
      </w:pPr>
      <w:r w:rsidRPr="006D01CD">
        <w:rPr>
          <w:noProof/>
        </w:rPr>
        <w:t>(e)</w:t>
      </w:r>
      <w:r w:rsidRPr="006D01CD">
        <w:rPr>
          <w:noProof/>
        </w:rPr>
        <w:tab/>
      </w:r>
      <w:r w:rsidR="00AA1F01" w:rsidRPr="00C06733">
        <w:rPr>
          <w:noProof/>
        </w:rPr>
        <w:t xml:space="preserve">to assist, advise and cooperate with the Commission in relation to </w:t>
      </w:r>
      <w:r w:rsidR="00AA1F01">
        <w:rPr>
          <w:noProof/>
        </w:rPr>
        <w:t xml:space="preserve">the </w:t>
      </w:r>
      <w:r w:rsidR="00AA1F01" w:rsidRPr="00C06733">
        <w:rPr>
          <w:noProof/>
        </w:rPr>
        <w:t xml:space="preserve">review </w:t>
      </w:r>
      <w:r w:rsidR="00AA1F01">
        <w:rPr>
          <w:noProof/>
        </w:rPr>
        <w:t xml:space="preserve">or withdrawal </w:t>
      </w:r>
      <w:r w:rsidR="00AA1F01" w:rsidRPr="00C06733">
        <w:rPr>
          <w:noProof/>
        </w:rPr>
        <w:t>of existing European cybersecurity certifications schemes pursuant to Article 76;</w:t>
      </w:r>
    </w:p>
    <w:p w14:paraId="207F2417" w14:textId="3C1B2DB8" w:rsidR="00AA1F01" w:rsidRPr="00C06733" w:rsidRDefault="006D01CD" w:rsidP="006D01CD">
      <w:pPr>
        <w:pStyle w:val="Point1"/>
        <w:rPr>
          <w:noProof/>
        </w:rPr>
      </w:pPr>
      <w:r w:rsidRPr="006D01CD">
        <w:rPr>
          <w:noProof/>
        </w:rPr>
        <w:t>(f)</w:t>
      </w:r>
      <w:r w:rsidRPr="006D01CD">
        <w:rPr>
          <w:noProof/>
        </w:rPr>
        <w:tab/>
      </w:r>
      <w:r w:rsidR="00AA1F01" w:rsidRPr="00C06733">
        <w:rPr>
          <w:noProof/>
        </w:rPr>
        <w:t xml:space="preserve">to suggest </w:t>
      </w:r>
      <w:r w:rsidR="00AA1F01">
        <w:rPr>
          <w:noProof/>
        </w:rPr>
        <w:t xml:space="preserve">that a request is submitted to the Commission with regard to </w:t>
      </w:r>
      <w:r w:rsidR="00AA1F01">
        <w:rPr>
          <w:rFonts w:eastAsia="Times New Roman"/>
          <w:noProof/>
          <w:color w:val="000000"/>
          <w:lang w:eastAsia="en-IE"/>
        </w:rPr>
        <w:t>the</w:t>
      </w:r>
      <w:r w:rsidR="00AA1F01" w:rsidRPr="00C06733">
        <w:rPr>
          <w:rFonts w:eastAsia="Times New Roman"/>
          <w:noProof/>
          <w:color w:val="000000"/>
          <w:lang w:eastAsia="en-IE"/>
        </w:rPr>
        <w:t xml:space="preserve"> preparation of a candidate European cybersecurity certification scheme </w:t>
      </w:r>
      <w:r w:rsidR="00AA1F01" w:rsidRPr="00C06733">
        <w:rPr>
          <w:noProof/>
        </w:rPr>
        <w:t>pursuant to Article 73(2)</w:t>
      </w:r>
      <w:r w:rsidR="00AA1F01" w:rsidRPr="00C06733">
        <w:rPr>
          <w:rFonts w:eastAsia="Times New Roman"/>
          <w:noProof/>
          <w:color w:val="000000"/>
          <w:lang w:eastAsia="en-IE"/>
        </w:rPr>
        <w:t>;</w:t>
      </w:r>
    </w:p>
    <w:p w14:paraId="489844EC" w14:textId="05A59393" w:rsidR="00AA1F01" w:rsidRPr="00C06733" w:rsidDel="00C34DDE" w:rsidRDefault="006D01CD" w:rsidP="006D01CD">
      <w:pPr>
        <w:pStyle w:val="Point1"/>
        <w:rPr>
          <w:noProof/>
        </w:rPr>
      </w:pPr>
      <w:r w:rsidRPr="006D01CD">
        <w:rPr>
          <w:noProof/>
        </w:rPr>
        <w:t>(g)</w:t>
      </w:r>
      <w:r w:rsidRPr="006D01CD">
        <w:rPr>
          <w:noProof/>
        </w:rPr>
        <w:tab/>
      </w:r>
      <w:r w:rsidR="00AA1F01" w:rsidRPr="00C06733" w:rsidDel="00C34DDE">
        <w:rPr>
          <w:noProof/>
        </w:rPr>
        <w:t>to adopt opinions addressed to the Commission relating to the maintenance</w:t>
      </w:r>
      <w:r w:rsidR="00AA1F01">
        <w:rPr>
          <w:noProof/>
        </w:rPr>
        <w:t xml:space="preserve">, </w:t>
      </w:r>
      <w:r w:rsidR="00AA1F01" w:rsidRPr="00C06733" w:rsidDel="00C34DDE">
        <w:rPr>
          <w:noProof/>
        </w:rPr>
        <w:t xml:space="preserve">review </w:t>
      </w:r>
      <w:r w:rsidR="00AA1F01">
        <w:rPr>
          <w:noProof/>
        </w:rPr>
        <w:t xml:space="preserve">and withdrawal </w:t>
      </w:r>
      <w:r w:rsidR="00AA1F01" w:rsidRPr="00C06733" w:rsidDel="00C34DDE">
        <w:rPr>
          <w:noProof/>
        </w:rPr>
        <w:t>of existing European cybersecurity certifications schemes;</w:t>
      </w:r>
    </w:p>
    <w:p w14:paraId="1498DEEA" w14:textId="67997836" w:rsidR="00AA1F01" w:rsidRPr="00C06733" w:rsidRDefault="006D01CD" w:rsidP="006D01CD">
      <w:pPr>
        <w:pStyle w:val="Point1"/>
        <w:rPr>
          <w:noProof/>
        </w:rPr>
      </w:pPr>
      <w:r w:rsidRPr="006D01CD">
        <w:rPr>
          <w:noProof/>
        </w:rPr>
        <w:t>(h)</w:t>
      </w:r>
      <w:r w:rsidRPr="006D01CD">
        <w:rPr>
          <w:noProof/>
        </w:rPr>
        <w:tab/>
      </w:r>
      <w:r w:rsidR="00AA1F01" w:rsidRPr="00C06733">
        <w:rPr>
          <w:noProof/>
        </w:rPr>
        <w:t>to examine relevant developments in the field of cybersecurity certification</w:t>
      </w:r>
      <w:r w:rsidR="009863F6">
        <w:rPr>
          <w:noProof/>
        </w:rPr>
        <w:t>, including at national level pursuant to Article 86,</w:t>
      </w:r>
      <w:r w:rsidR="00AA1F01" w:rsidRPr="00C06733">
        <w:rPr>
          <w:noProof/>
        </w:rPr>
        <w:t xml:space="preserve"> and to exchange information and good practices on cybersecurity certification schemes;</w:t>
      </w:r>
    </w:p>
    <w:p w14:paraId="47AC6DEE" w14:textId="29C437B2" w:rsidR="00AA1F01" w:rsidRPr="00C06733" w:rsidRDefault="006D01CD" w:rsidP="006D01CD">
      <w:pPr>
        <w:pStyle w:val="Point1"/>
        <w:rPr>
          <w:noProof/>
        </w:rPr>
      </w:pPr>
      <w:r w:rsidRPr="006D01CD">
        <w:rPr>
          <w:noProof/>
        </w:rPr>
        <w:t>(i)</w:t>
      </w:r>
      <w:r w:rsidRPr="006D01CD">
        <w:rPr>
          <w:noProof/>
        </w:rPr>
        <w:tab/>
      </w:r>
      <w:r w:rsidR="00AA1F01" w:rsidRPr="00C06733">
        <w:rPr>
          <w:noProof/>
        </w:rPr>
        <w:t xml:space="preserve">to facilitate the cooperation between national cybersecurity certification authorities under </w:t>
      </w:r>
      <w:r w:rsidR="00AA1F01">
        <w:rPr>
          <w:noProof/>
        </w:rPr>
        <w:t xml:space="preserve">the rules set out in </w:t>
      </w:r>
      <w:r w:rsidR="00AA1F01" w:rsidRPr="00C06733">
        <w:rPr>
          <w:noProof/>
        </w:rPr>
        <w:t>this Title through capacity-building and exchange of information, in particular relating to issues concerning cybersecurity certification;</w:t>
      </w:r>
    </w:p>
    <w:p w14:paraId="3D0222C5" w14:textId="5088C396" w:rsidR="00AA1F01" w:rsidRPr="00C06733" w:rsidRDefault="006D01CD" w:rsidP="006D01CD">
      <w:pPr>
        <w:pStyle w:val="Point1"/>
        <w:rPr>
          <w:noProof/>
        </w:rPr>
      </w:pPr>
      <w:r w:rsidRPr="006D01CD">
        <w:rPr>
          <w:noProof/>
        </w:rPr>
        <w:t>(j)</w:t>
      </w:r>
      <w:r w:rsidRPr="006D01CD">
        <w:rPr>
          <w:noProof/>
        </w:rPr>
        <w:tab/>
      </w:r>
      <w:r w:rsidR="00AA1F01" w:rsidRPr="00C06733">
        <w:rPr>
          <w:noProof/>
        </w:rPr>
        <w:t xml:space="preserve">to support the implementation of </w:t>
      </w:r>
      <w:r w:rsidR="009863F6">
        <w:rPr>
          <w:noProof/>
        </w:rPr>
        <w:t xml:space="preserve">the peer review mechanism pursuant to Article 89 and of </w:t>
      </w:r>
      <w:r w:rsidR="00AA1F01" w:rsidRPr="00C06733">
        <w:rPr>
          <w:noProof/>
        </w:rPr>
        <w:t>peer assessment mechanisms in accordance with the rules established in a European cybersecurity certification scheme pursuant to Article 81(2)</w:t>
      </w:r>
      <w:r w:rsidR="00AA1F01">
        <w:rPr>
          <w:noProof/>
        </w:rPr>
        <w:t>, point (g)</w:t>
      </w:r>
      <w:r w:rsidR="00AA1F01" w:rsidRPr="00C06733">
        <w:rPr>
          <w:noProof/>
        </w:rPr>
        <w:t>;</w:t>
      </w:r>
    </w:p>
    <w:p w14:paraId="15FCBB35" w14:textId="29237694" w:rsidR="00AA1F01" w:rsidRPr="00C06733" w:rsidRDefault="006D01CD" w:rsidP="006D01CD">
      <w:pPr>
        <w:pStyle w:val="Point1"/>
        <w:rPr>
          <w:noProof/>
        </w:rPr>
      </w:pPr>
      <w:r w:rsidRPr="006D01CD">
        <w:rPr>
          <w:noProof/>
        </w:rPr>
        <w:t>(k)</w:t>
      </w:r>
      <w:r w:rsidRPr="006D01CD">
        <w:rPr>
          <w:noProof/>
        </w:rPr>
        <w:tab/>
      </w:r>
      <w:r w:rsidR="00AA1F01" w:rsidRPr="00C06733">
        <w:rPr>
          <w:noProof/>
        </w:rPr>
        <w:t xml:space="preserve">to facilitate the alignment of European cybersecurity certification schemes with internationally recognised standards, including </w:t>
      </w:r>
      <w:r w:rsidR="00AA1F01">
        <w:rPr>
          <w:noProof/>
        </w:rPr>
        <w:t>as part</w:t>
      </w:r>
      <w:r w:rsidR="00AA1F01" w:rsidRPr="00C06733">
        <w:rPr>
          <w:noProof/>
        </w:rPr>
        <w:t xml:space="preserve"> of the maintenance of existing European cybersecurity certification schemes and, where appropriate, </w:t>
      </w:r>
      <w:r w:rsidR="00AA1F01">
        <w:rPr>
          <w:noProof/>
        </w:rPr>
        <w:t>to make</w:t>
      </w:r>
      <w:r w:rsidR="00AA1F01" w:rsidRPr="00C06733">
        <w:rPr>
          <w:noProof/>
        </w:rPr>
        <w:t xml:space="preserve"> recommendations to ENISA to engage with relevant</w:t>
      </w:r>
      <w:r w:rsidR="009863F6">
        <w:rPr>
          <w:noProof/>
        </w:rPr>
        <w:t xml:space="preserve"> European or</w:t>
      </w:r>
      <w:r w:rsidR="00AA1F01" w:rsidRPr="00C06733">
        <w:rPr>
          <w:noProof/>
        </w:rPr>
        <w:t xml:space="preserve"> international standardisation organisations to address insufficiencies or gaps in available</w:t>
      </w:r>
      <w:r w:rsidR="009863F6">
        <w:rPr>
          <w:noProof/>
        </w:rPr>
        <w:t xml:space="preserve"> European or</w:t>
      </w:r>
      <w:r w:rsidR="00AA1F01" w:rsidRPr="00C06733">
        <w:rPr>
          <w:noProof/>
        </w:rPr>
        <w:t xml:space="preserve"> internationally recognised standards.</w:t>
      </w:r>
    </w:p>
    <w:p w14:paraId="1BA6995A" w14:textId="268A77D2" w:rsidR="00AA1F01" w:rsidRPr="00C06733" w:rsidRDefault="006D01CD" w:rsidP="006D01CD">
      <w:pPr>
        <w:pStyle w:val="ManualNumPar1"/>
        <w:rPr>
          <w:noProof/>
          <w:lang w:eastAsia="en-IE"/>
        </w:rPr>
      </w:pPr>
      <w:r w:rsidRPr="006D01CD">
        <w:rPr>
          <w:noProof/>
        </w:rPr>
        <w:t>4.</w:t>
      </w:r>
      <w:r w:rsidRPr="006D01CD">
        <w:rPr>
          <w:noProof/>
        </w:rPr>
        <w:tab/>
      </w:r>
      <w:r w:rsidR="00AA1F01" w:rsidRPr="00C06733">
        <w:rPr>
          <w:noProof/>
          <w:lang w:eastAsia="en-IE"/>
        </w:rPr>
        <w:t>With the assistance of ENISA, the Commission shall chair the ECCG and provide the ECCG with a secretariat.</w:t>
      </w:r>
    </w:p>
    <w:p w14:paraId="6155D4E7" w14:textId="4BC02CFB" w:rsidR="00AA1F01" w:rsidRPr="00C06733" w:rsidRDefault="006D01CD" w:rsidP="006D01CD">
      <w:pPr>
        <w:pStyle w:val="ManualNumPar1"/>
        <w:rPr>
          <w:noProof/>
          <w:lang w:eastAsia="en-IE"/>
        </w:rPr>
      </w:pPr>
      <w:r w:rsidRPr="006D01CD">
        <w:rPr>
          <w:noProof/>
        </w:rPr>
        <w:t>5.</w:t>
      </w:r>
      <w:r w:rsidRPr="006D01CD">
        <w:rPr>
          <w:noProof/>
        </w:rPr>
        <w:tab/>
      </w:r>
      <w:r w:rsidR="00AA1F01">
        <w:rPr>
          <w:noProof/>
          <w:lang w:eastAsia="en-IE"/>
        </w:rPr>
        <w:t xml:space="preserve">The </w:t>
      </w:r>
      <w:r w:rsidR="00AA1F01" w:rsidRPr="00E550AC">
        <w:rPr>
          <w:noProof/>
          <w:lang w:eastAsia="en-IE"/>
        </w:rPr>
        <w:t>Commission</w:t>
      </w:r>
      <w:r w:rsidR="00AA1F01">
        <w:rPr>
          <w:noProof/>
          <w:lang w:eastAsia="en-IE"/>
        </w:rPr>
        <w:t xml:space="preserve"> may set up</w:t>
      </w:r>
      <w:r w:rsidR="00AA1F01" w:rsidRPr="00E550AC">
        <w:rPr>
          <w:noProof/>
          <w:lang w:eastAsia="en-IE"/>
        </w:rPr>
        <w:t xml:space="preserve"> </w:t>
      </w:r>
      <w:r w:rsidR="00AA1F01">
        <w:rPr>
          <w:noProof/>
          <w:lang w:eastAsia="en-IE"/>
        </w:rPr>
        <w:t xml:space="preserve">ECCG </w:t>
      </w:r>
      <w:r w:rsidR="00AA1F01" w:rsidRPr="00E550AC">
        <w:rPr>
          <w:noProof/>
          <w:lang w:eastAsia="en-IE"/>
        </w:rPr>
        <w:t xml:space="preserve">sub-groups for </w:t>
      </w:r>
      <w:r w:rsidR="00AA1F01">
        <w:rPr>
          <w:noProof/>
          <w:lang w:eastAsia="en-IE"/>
        </w:rPr>
        <w:t xml:space="preserve">any of the following </w:t>
      </w:r>
      <w:r w:rsidR="00AA1F01" w:rsidRPr="00E550AC">
        <w:rPr>
          <w:noProof/>
          <w:lang w:eastAsia="en-IE"/>
        </w:rPr>
        <w:t>purpose</w:t>
      </w:r>
      <w:r w:rsidR="00AA1F01">
        <w:rPr>
          <w:noProof/>
          <w:lang w:eastAsia="en-IE"/>
        </w:rPr>
        <w:t>s</w:t>
      </w:r>
      <w:r w:rsidR="00AA1F01" w:rsidRPr="00E550AC">
        <w:rPr>
          <w:noProof/>
          <w:lang w:eastAsia="en-IE"/>
        </w:rPr>
        <w:t>:</w:t>
      </w:r>
    </w:p>
    <w:p w14:paraId="34D59F80" w14:textId="6C6076F3" w:rsidR="00AA1F01" w:rsidRPr="00E550AC" w:rsidRDefault="006D01CD" w:rsidP="006D01CD">
      <w:pPr>
        <w:pStyle w:val="Point1"/>
        <w:rPr>
          <w:noProof/>
        </w:rPr>
      </w:pPr>
      <w:r w:rsidRPr="006D01CD">
        <w:rPr>
          <w:noProof/>
        </w:rPr>
        <w:t>(a)</w:t>
      </w:r>
      <w:r w:rsidRPr="006D01CD">
        <w:rPr>
          <w:noProof/>
        </w:rPr>
        <w:tab/>
      </w:r>
      <w:r w:rsidR="00AA1F01">
        <w:rPr>
          <w:noProof/>
        </w:rPr>
        <w:t xml:space="preserve">to </w:t>
      </w:r>
      <w:r w:rsidR="00AA1F01" w:rsidRPr="00E550AC">
        <w:rPr>
          <w:noProof/>
        </w:rPr>
        <w:t>examin</w:t>
      </w:r>
      <w:r w:rsidR="00AA1F01">
        <w:rPr>
          <w:noProof/>
        </w:rPr>
        <w:t>e</w:t>
      </w:r>
      <w:r w:rsidR="00AA1F01" w:rsidRPr="00E550AC">
        <w:rPr>
          <w:noProof/>
        </w:rPr>
        <w:t xml:space="preserve"> specific questions on the basis of terms of reference </w:t>
      </w:r>
      <w:r w:rsidR="00AA1F01">
        <w:rPr>
          <w:noProof/>
        </w:rPr>
        <w:t>established</w:t>
      </w:r>
      <w:r w:rsidR="00AA1F01" w:rsidRPr="00E550AC">
        <w:rPr>
          <w:noProof/>
        </w:rPr>
        <w:t xml:space="preserve"> by the Commission; </w:t>
      </w:r>
    </w:p>
    <w:p w14:paraId="0254B577" w14:textId="10DF94E9" w:rsidR="00AA1F01" w:rsidRPr="009138D4" w:rsidRDefault="006D01CD" w:rsidP="006D01CD">
      <w:pPr>
        <w:pStyle w:val="Point1"/>
        <w:rPr>
          <w:noProof/>
        </w:rPr>
      </w:pPr>
      <w:r w:rsidRPr="006D01CD">
        <w:rPr>
          <w:noProof/>
        </w:rPr>
        <w:t>(b)</w:t>
      </w:r>
      <w:r w:rsidRPr="006D01CD">
        <w:rPr>
          <w:noProof/>
        </w:rPr>
        <w:tab/>
      </w:r>
      <w:r w:rsidR="00AA1F01">
        <w:rPr>
          <w:noProof/>
        </w:rPr>
        <w:t>to maintain</w:t>
      </w:r>
      <w:r w:rsidR="00AA1F01" w:rsidRPr="009138D4">
        <w:rPr>
          <w:noProof/>
        </w:rPr>
        <w:t xml:space="preserve"> and review the European certification schemes in accordance with this Regulation and on the basis of terms of reference </w:t>
      </w:r>
      <w:r w:rsidR="00AA1F01">
        <w:rPr>
          <w:noProof/>
        </w:rPr>
        <w:t>established</w:t>
      </w:r>
      <w:r w:rsidR="00AA1F01" w:rsidRPr="009138D4">
        <w:rPr>
          <w:noProof/>
        </w:rPr>
        <w:t xml:space="preserve"> by the Commission.</w:t>
      </w:r>
    </w:p>
    <w:p w14:paraId="06C2400B" w14:textId="4382ED8A" w:rsidR="00AA1F01" w:rsidRPr="00C06733" w:rsidRDefault="006D01CD" w:rsidP="006D01CD">
      <w:pPr>
        <w:pStyle w:val="ManualNumPar1"/>
        <w:rPr>
          <w:noProof/>
          <w:lang w:eastAsia="en-IE"/>
        </w:rPr>
      </w:pPr>
      <w:r w:rsidRPr="006D01CD">
        <w:rPr>
          <w:noProof/>
        </w:rPr>
        <w:t>6.</w:t>
      </w:r>
      <w:r w:rsidRPr="006D01CD">
        <w:rPr>
          <w:noProof/>
        </w:rPr>
        <w:tab/>
      </w:r>
      <w:r w:rsidR="00AA1F01" w:rsidRPr="00E550AC">
        <w:rPr>
          <w:noProof/>
          <w:lang w:eastAsia="en-IE"/>
        </w:rPr>
        <w:t>The sub-groups shall report to the ECCG.</w:t>
      </w:r>
    </w:p>
    <w:p w14:paraId="651FA71C" w14:textId="5CD070C4" w:rsidR="00AA1F01" w:rsidRPr="00C06733" w:rsidRDefault="006D01CD" w:rsidP="006D01CD">
      <w:pPr>
        <w:pStyle w:val="ManualNumPar1"/>
        <w:rPr>
          <w:noProof/>
          <w:lang w:eastAsia="en-IE"/>
        </w:rPr>
      </w:pPr>
      <w:r w:rsidRPr="006D01CD">
        <w:rPr>
          <w:noProof/>
        </w:rPr>
        <w:t>7.</w:t>
      </w:r>
      <w:r w:rsidRPr="006D01CD">
        <w:rPr>
          <w:noProof/>
        </w:rPr>
        <w:tab/>
      </w:r>
      <w:r w:rsidR="00AA1F01" w:rsidRPr="00C06733">
        <w:rPr>
          <w:noProof/>
          <w:lang w:eastAsia="en-IE"/>
        </w:rPr>
        <w:t xml:space="preserve">The sub-groups shall be co-chaired by the Commission and ENISA, and the secretariat </w:t>
      </w:r>
      <w:r w:rsidR="00AA1F01">
        <w:rPr>
          <w:noProof/>
          <w:lang w:eastAsia="en-IE"/>
        </w:rPr>
        <w:t xml:space="preserve">of the sub-groups </w:t>
      </w:r>
      <w:r w:rsidR="00AA1F01" w:rsidRPr="00C06733">
        <w:rPr>
          <w:noProof/>
          <w:lang w:eastAsia="en-IE"/>
        </w:rPr>
        <w:t xml:space="preserve">shall be provided by ENISA. </w:t>
      </w:r>
    </w:p>
    <w:p w14:paraId="0A5AC817" w14:textId="7D771793" w:rsidR="00AA1F01" w:rsidRPr="00C06733" w:rsidDel="00CC6FF3" w:rsidRDefault="006D01CD" w:rsidP="006D01CD">
      <w:pPr>
        <w:pStyle w:val="ManualNumPar1"/>
        <w:rPr>
          <w:noProof/>
          <w:lang w:eastAsia="en-IE"/>
        </w:rPr>
      </w:pPr>
      <w:r w:rsidRPr="006D01CD">
        <w:rPr>
          <w:noProof/>
        </w:rPr>
        <w:t>8.</w:t>
      </w:r>
      <w:r w:rsidRPr="006D01CD">
        <w:rPr>
          <w:noProof/>
        </w:rPr>
        <w:tab/>
      </w:r>
      <w:r w:rsidR="00AA1F01" w:rsidRPr="00E550AC">
        <w:rPr>
          <w:noProof/>
          <w:lang w:eastAsia="en-IE"/>
        </w:rPr>
        <w:t xml:space="preserve">The ECCG and its sub-groups shall adopt rules of procedure by simple majority of </w:t>
      </w:r>
      <w:r w:rsidR="00AA1F01">
        <w:rPr>
          <w:noProof/>
          <w:lang w:eastAsia="en-IE"/>
        </w:rPr>
        <w:t>their</w:t>
      </w:r>
      <w:r w:rsidR="00AA1F01" w:rsidRPr="00E550AC">
        <w:rPr>
          <w:noProof/>
          <w:lang w:eastAsia="en-IE"/>
        </w:rPr>
        <w:t xml:space="preserve"> members</w:t>
      </w:r>
      <w:r w:rsidR="00AA1F01">
        <w:rPr>
          <w:noProof/>
          <w:lang w:eastAsia="en-IE"/>
        </w:rPr>
        <w:t>, based</w:t>
      </w:r>
      <w:r w:rsidR="00AA1F01" w:rsidRPr="00E550AC">
        <w:rPr>
          <w:noProof/>
          <w:lang w:eastAsia="en-IE"/>
        </w:rPr>
        <w:t xml:space="preserve"> on a proposal by</w:t>
      </w:r>
      <w:r w:rsidR="00AA1F01">
        <w:rPr>
          <w:noProof/>
          <w:lang w:eastAsia="en-IE"/>
        </w:rPr>
        <w:t>,</w:t>
      </w:r>
      <w:r w:rsidR="00AA1F01" w:rsidRPr="00E550AC">
        <w:rPr>
          <w:noProof/>
          <w:lang w:eastAsia="en-IE"/>
        </w:rPr>
        <w:t xml:space="preserve"> and in agreement with the Commission.</w:t>
      </w:r>
    </w:p>
    <w:p w14:paraId="57BAC643" w14:textId="77777777" w:rsidR="00AA1F01" w:rsidRDefault="00AA1F01" w:rsidP="00AA1F01">
      <w:pPr>
        <w:jc w:val="center"/>
        <w:rPr>
          <w:b/>
          <w:bCs/>
          <w:noProof/>
        </w:rPr>
      </w:pPr>
    </w:p>
    <w:p w14:paraId="3354E31D" w14:textId="77777777" w:rsidR="00AA1F01" w:rsidRPr="00006782" w:rsidDel="00CC6FF3" w:rsidRDefault="00AA1F01" w:rsidP="00AA1F01">
      <w:pPr>
        <w:jc w:val="center"/>
        <w:rPr>
          <w:b/>
          <w:bCs/>
          <w:noProof/>
        </w:rPr>
      </w:pPr>
      <w:r w:rsidRPr="00006782">
        <w:rPr>
          <w:b/>
          <w:bCs/>
          <w:noProof/>
        </w:rPr>
        <w:t>Section 2</w:t>
      </w:r>
      <w:r>
        <w:rPr>
          <w:b/>
          <w:bCs/>
          <w:noProof/>
        </w:rPr>
        <w:br/>
      </w:r>
      <w:r w:rsidRPr="00006782">
        <w:rPr>
          <w:b/>
          <w:bCs/>
          <w:noProof/>
        </w:rPr>
        <w:t>Conformity assessment bodies</w:t>
      </w:r>
    </w:p>
    <w:p w14:paraId="5A99A327" w14:textId="77777777" w:rsidR="00AA1F01" w:rsidRPr="00164577" w:rsidRDefault="00AA1F01" w:rsidP="00AA1F01">
      <w:pPr>
        <w:pStyle w:val="Titrearticle"/>
        <w:rPr>
          <w:noProof/>
          <w:lang w:eastAsia="en-IE"/>
        </w:rPr>
      </w:pPr>
      <w:r w:rsidRPr="00164577">
        <w:rPr>
          <w:noProof/>
          <w:lang w:eastAsia="en-IE"/>
        </w:rPr>
        <w:t xml:space="preserve">Article </w:t>
      </w:r>
      <w:r w:rsidRPr="00043E40">
        <w:rPr>
          <w:noProof/>
          <w:lang w:eastAsia="en-IE"/>
        </w:rPr>
        <w:t>9</w:t>
      </w:r>
      <w:r>
        <w:rPr>
          <w:noProof/>
          <w:lang w:eastAsia="en-IE"/>
        </w:rPr>
        <w:t>1</w:t>
      </w:r>
      <w:r>
        <w:rPr>
          <w:noProof/>
          <w:lang w:eastAsia="en-IE"/>
        </w:rPr>
        <w:br/>
        <w:t>Competence of</w:t>
      </w:r>
      <w:r w:rsidRPr="00C513DB">
        <w:rPr>
          <w:noProof/>
          <w:lang w:eastAsia="en-IE"/>
        </w:rPr>
        <w:t xml:space="preserve"> </w:t>
      </w:r>
      <w:r w:rsidRPr="00C513DB">
        <w:rPr>
          <w:bCs/>
          <w:noProof/>
          <w:lang w:eastAsia="en-IE"/>
        </w:rPr>
        <w:t>conformity</w:t>
      </w:r>
      <w:r w:rsidRPr="00C513DB">
        <w:rPr>
          <w:noProof/>
          <w:lang w:eastAsia="en-IE"/>
        </w:rPr>
        <w:t xml:space="preserve"> assessment bodies</w:t>
      </w:r>
    </w:p>
    <w:p w14:paraId="53150448" w14:textId="31F725B3" w:rsidR="00AA1F01" w:rsidRPr="00006782" w:rsidRDefault="006D01CD" w:rsidP="006D01CD">
      <w:pPr>
        <w:pStyle w:val="ManualNumPar1"/>
        <w:rPr>
          <w:noProof/>
          <w:lang w:eastAsia="en-IE"/>
        </w:rPr>
      </w:pPr>
      <w:r w:rsidRPr="006D01CD">
        <w:rPr>
          <w:noProof/>
        </w:rPr>
        <w:t>1.</w:t>
      </w:r>
      <w:r w:rsidRPr="006D01CD">
        <w:rPr>
          <w:noProof/>
        </w:rPr>
        <w:tab/>
      </w:r>
      <w:r w:rsidR="00AA1F01" w:rsidRPr="00006782">
        <w:rPr>
          <w:noProof/>
          <w:lang w:eastAsia="en-IE"/>
        </w:rPr>
        <w:t xml:space="preserve">The conformity assessment bodies shall be accredited by national accreditation bodies appointed pursuant to Regulation (EC) No 765/2008. Such accreditation shall be issued only where the conformity assessment body meets the requirements set out in </w:t>
      </w:r>
      <w:r w:rsidR="00AA1F01" w:rsidRPr="00155E6D">
        <w:rPr>
          <w:noProof/>
          <w:lang w:eastAsia="en-IE"/>
        </w:rPr>
        <w:t>Annex I</w:t>
      </w:r>
      <w:r w:rsidR="00AA1F01" w:rsidRPr="00006782">
        <w:rPr>
          <w:noProof/>
          <w:lang w:eastAsia="en-IE"/>
        </w:rPr>
        <w:t xml:space="preserve"> </w:t>
      </w:r>
      <w:r w:rsidR="00AA1F01">
        <w:rPr>
          <w:noProof/>
          <w:lang w:eastAsia="en-IE"/>
        </w:rPr>
        <w:t>to</w:t>
      </w:r>
      <w:r w:rsidR="00AA1F01" w:rsidRPr="00006782">
        <w:rPr>
          <w:noProof/>
          <w:lang w:eastAsia="en-IE"/>
        </w:rPr>
        <w:t xml:space="preserve"> this Regulation.</w:t>
      </w:r>
    </w:p>
    <w:p w14:paraId="68521452" w14:textId="0D5FDEE8" w:rsidR="00AA1F01" w:rsidRPr="00006782" w:rsidRDefault="006D01CD" w:rsidP="006D01CD">
      <w:pPr>
        <w:pStyle w:val="ManualNumPar1"/>
        <w:rPr>
          <w:noProof/>
          <w:lang w:eastAsia="en-IE"/>
        </w:rPr>
      </w:pPr>
      <w:r w:rsidRPr="006D01CD">
        <w:rPr>
          <w:noProof/>
        </w:rPr>
        <w:t>2.</w:t>
      </w:r>
      <w:r w:rsidRPr="006D01CD">
        <w:rPr>
          <w:noProof/>
        </w:rPr>
        <w:tab/>
      </w:r>
      <w:r w:rsidR="00AA1F01" w:rsidRPr="00006782">
        <w:rPr>
          <w:noProof/>
          <w:lang w:eastAsia="en-IE"/>
        </w:rPr>
        <w:t>Where a European cybersecurity certificate is issued by a national cybersecurity certification authority pursuant to this Regulation, the certification body of the national cybersecurity certification authority shall be accredited as a conformity assessment body pursuant to paragraph 1.</w:t>
      </w:r>
    </w:p>
    <w:p w14:paraId="2FE289A6" w14:textId="401C0104" w:rsidR="00AA1F01" w:rsidRDefault="006D01CD" w:rsidP="006D01CD">
      <w:pPr>
        <w:pStyle w:val="ManualNumPar1"/>
        <w:rPr>
          <w:noProof/>
          <w:lang w:eastAsia="en-IE"/>
        </w:rPr>
      </w:pPr>
      <w:r w:rsidRPr="006D01CD">
        <w:rPr>
          <w:noProof/>
        </w:rPr>
        <w:t>3.</w:t>
      </w:r>
      <w:r w:rsidRPr="006D01CD">
        <w:rPr>
          <w:noProof/>
        </w:rPr>
        <w:tab/>
      </w:r>
      <w:r w:rsidR="00AA1F01" w:rsidRPr="00006782">
        <w:rPr>
          <w:noProof/>
          <w:lang w:eastAsia="en-IE"/>
        </w:rPr>
        <w:t xml:space="preserve">The accreditation referred to in paragraph 1 shall be issued to the conformity assessment bodies for a maximum of five years and may be renewed, provided that the conformity assessment body meets the requirements set out in this Article. National accreditation bodies shall take all appropriate measures within a reasonable timeframe to restrict, suspend or revoke the accreditation of a conformity assessment body issued pursuant to paragraph 1 where the conditions for the accreditation have not been met or are no longer met, or where the conformity assessment body </w:t>
      </w:r>
      <w:r w:rsidR="00AA1F01">
        <w:rPr>
          <w:noProof/>
          <w:lang w:eastAsia="en-IE"/>
        </w:rPr>
        <w:t>does not comply with</w:t>
      </w:r>
      <w:r w:rsidR="00AA1F01" w:rsidRPr="00006782">
        <w:rPr>
          <w:noProof/>
          <w:lang w:eastAsia="en-IE"/>
        </w:rPr>
        <w:t xml:space="preserve"> this Regulation.</w:t>
      </w:r>
    </w:p>
    <w:p w14:paraId="20C76273" w14:textId="53AD72DA" w:rsidR="00AA1F01" w:rsidRPr="00564F01" w:rsidRDefault="006D01CD" w:rsidP="006D01CD">
      <w:pPr>
        <w:pStyle w:val="ManualNumPar1"/>
        <w:rPr>
          <w:noProof/>
          <w:lang w:eastAsia="en-IE"/>
        </w:rPr>
      </w:pPr>
      <w:r w:rsidRPr="006D01CD">
        <w:rPr>
          <w:noProof/>
        </w:rPr>
        <w:t>4.</w:t>
      </w:r>
      <w:r w:rsidRPr="006D01CD">
        <w:rPr>
          <w:noProof/>
        </w:rPr>
        <w:tab/>
      </w:r>
      <w:r w:rsidR="00AA1F01" w:rsidRPr="002C6EEF">
        <w:rPr>
          <w:noProof/>
          <w:lang w:eastAsia="en-IE"/>
        </w:rPr>
        <w:t xml:space="preserve">When establishing additional or specific accreditation requirements for a European cybersecurity certification scheme covering ICT products, pursuant to Article 92, synergies shall be sought, where </w:t>
      </w:r>
      <w:r w:rsidR="00AA1F01" w:rsidRPr="00006782">
        <w:rPr>
          <w:noProof/>
        </w:rPr>
        <w:t>appropriate</w:t>
      </w:r>
      <w:r w:rsidR="00AA1F01">
        <w:rPr>
          <w:noProof/>
        </w:rPr>
        <w:t>,</w:t>
      </w:r>
      <w:r w:rsidR="00AA1F01" w:rsidRPr="002C6EEF">
        <w:rPr>
          <w:noProof/>
          <w:lang w:eastAsia="en-IE"/>
        </w:rPr>
        <w:t xml:space="preserve"> with the requirements relating to notified bodies under Regulation (EU) 2024/2847 and the accreditation requirements under the cybersecurity certification schemes which have already been adopted.</w:t>
      </w:r>
    </w:p>
    <w:p w14:paraId="1C1891A6" w14:textId="3A9A7CAB" w:rsidR="00AA1F01" w:rsidRPr="00006782" w:rsidRDefault="006D01CD" w:rsidP="006D01CD">
      <w:pPr>
        <w:pStyle w:val="ManualNumPar1"/>
        <w:rPr>
          <w:noProof/>
          <w:lang w:eastAsia="en-IE"/>
        </w:rPr>
      </w:pPr>
      <w:r w:rsidRPr="006D01CD">
        <w:rPr>
          <w:noProof/>
        </w:rPr>
        <w:t>5.</w:t>
      </w:r>
      <w:r w:rsidRPr="006D01CD">
        <w:rPr>
          <w:noProof/>
        </w:rPr>
        <w:tab/>
      </w:r>
      <w:r w:rsidR="00AA1F01" w:rsidRPr="00006782">
        <w:rPr>
          <w:noProof/>
          <w:lang w:eastAsia="en-IE"/>
        </w:rPr>
        <w:t xml:space="preserve">Where a conformity assessment body is </w:t>
      </w:r>
      <w:r w:rsidR="00AA1F01">
        <w:rPr>
          <w:noProof/>
          <w:lang w:eastAsia="en-IE"/>
        </w:rPr>
        <w:t>accredited</w:t>
      </w:r>
      <w:r w:rsidR="00AA1F01" w:rsidRPr="00006782">
        <w:rPr>
          <w:noProof/>
          <w:lang w:eastAsia="en-IE"/>
        </w:rPr>
        <w:t xml:space="preserve"> in accordance with Regulation (EU) 2024/2847, relevant </w:t>
      </w:r>
      <w:r w:rsidR="00AA1F01" w:rsidRPr="00006782">
        <w:rPr>
          <w:noProof/>
          <w:color w:val="000000" w:themeColor="text1"/>
          <w:kern w:val="2"/>
          <w:lang w:eastAsia="en-IE"/>
          <w14:ligatures w14:val="standardContextual"/>
        </w:rPr>
        <w:t>authorities</w:t>
      </w:r>
      <w:r w:rsidR="00AA1F01" w:rsidRPr="00006782">
        <w:rPr>
          <w:noProof/>
          <w:lang w:eastAsia="en-IE"/>
        </w:rPr>
        <w:t xml:space="preserve"> may reuse results from previous accreditation process</w:t>
      </w:r>
      <w:r w:rsidR="00AA1F01">
        <w:rPr>
          <w:noProof/>
          <w:lang w:eastAsia="en-IE"/>
        </w:rPr>
        <w:t xml:space="preserve"> regarding</w:t>
      </w:r>
      <w:r w:rsidR="00AA1F01" w:rsidRPr="00006782">
        <w:rPr>
          <w:noProof/>
          <w:lang w:eastAsia="en-IE"/>
        </w:rPr>
        <w:t xml:space="preserve"> any overlapping requirements as evidence during the accreditation process under this Regulation. </w:t>
      </w:r>
    </w:p>
    <w:p w14:paraId="759845CC" w14:textId="77777777" w:rsidR="00AA1F01" w:rsidRPr="00164577" w:rsidRDefault="00AA1F01" w:rsidP="00AA1F01">
      <w:pPr>
        <w:pStyle w:val="Titrearticle"/>
        <w:rPr>
          <w:noProof/>
          <w:lang w:eastAsia="en-IE"/>
        </w:rPr>
      </w:pPr>
      <w:r w:rsidRPr="00164577">
        <w:rPr>
          <w:noProof/>
          <w:lang w:eastAsia="en-IE"/>
        </w:rPr>
        <w:t xml:space="preserve">Article </w:t>
      </w:r>
      <w:r w:rsidRPr="001D44A8">
        <w:rPr>
          <w:noProof/>
          <w:lang w:eastAsia="en-IE"/>
        </w:rPr>
        <w:t>9</w:t>
      </w:r>
      <w:r>
        <w:rPr>
          <w:noProof/>
          <w:lang w:eastAsia="en-IE"/>
        </w:rPr>
        <w:t>2</w:t>
      </w:r>
      <w:r>
        <w:rPr>
          <w:noProof/>
          <w:lang w:eastAsia="en-IE"/>
        </w:rPr>
        <w:br/>
        <w:t>Additional harmonisation of the competence</w:t>
      </w:r>
      <w:r w:rsidRPr="00C513DB">
        <w:rPr>
          <w:noProof/>
          <w:lang w:eastAsia="en-IE"/>
        </w:rPr>
        <w:t xml:space="preserve"> </w:t>
      </w:r>
      <w:r>
        <w:rPr>
          <w:noProof/>
          <w:lang w:eastAsia="en-IE"/>
        </w:rPr>
        <w:t xml:space="preserve">of </w:t>
      </w:r>
      <w:r w:rsidRPr="00C513DB">
        <w:rPr>
          <w:noProof/>
          <w:lang w:eastAsia="en-IE"/>
        </w:rPr>
        <w:t>conformity assessment bodies</w:t>
      </w:r>
    </w:p>
    <w:p w14:paraId="6DBAA1A9" w14:textId="42867099" w:rsidR="00AA1F01" w:rsidRDefault="006D01CD" w:rsidP="006D01CD">
      <w:pPr>
        <w:pStyle w:val="ManualNumPar1"/>
        <w:rPr>
          <w:noProof/>
          <w:lang w:eastAsia="en-IE"/>
        </w:rPr>
      </w:pPr>
      <w:r w:rsidRPr="006D01CD">
        <w:rPr>
          <w:noProof/>
        </w:rPr>
        <w:t>1.</w:t>
      </w:r>
      <w:r w:rsidRPr="006D01CD">
        <w:rPr>
          <w:noProof/>
        </w:rPr>
        <w:tab/>
      </w:r>
      <w:r w:rsidR="00AA1F01" w:rsidRPr="00164577">
        <w:rPr>
          <w:noProof/>
          <w:lang w:eastAsia="en-IE"/>
        </w:rPr>
        <w:t xml:space="preserve">Where a European cybersecurity certification scheme sets out additional </w:t>
      </w:r>
      <w:r w:rsidR="00AA1F01">
        <w:rPr>
          <w:noProof/>
          <w:lang w:eastAsia="en-IE"/>
        </w:rPr>
        <w:t xml:space="preserve">or specific </w:t>
      </w:r>
      <w:r w:rsidR="00AA1F01" w:rsidRPr="00164577">
        <w:rPr>
          <w:noProof/>
          <w:lang w:eastAsia="en-IE"/>
        </w:rPr>
        <w:t xml:space="preserve">requirements </w:t>
      </w:r>
      <w:r w:rsidR="00AA1F01" w:rsidRPr="00006782">
        <w:rPr>
          <w:noProof/>
          <w:lang w:eastAsia="en-IE"/>
        </w:rPr>
        <w:t>pursuant to Article 81(3),</w:t>
      </w:r>
      <w:r w:rsidR="00AA1F01">
        <w:rPr>
          <w:noProof/>
          <w:lang w:eastAsia="en-IE"/>
        </w:rPr>
        <w:t xml:space="preserve"> </w:t>
      </w:r>
      <w:r w:rsidR="00AA1F01" w:rsidRPr="00006782">
        <w:rPr>
          <w:noProof/>
          <w:lang w:eastAsia="en-IE"/>
        </w:rPr>
        <w:t>point (</w:t>
      </w:r>
      <w:r w:rsidR="00AA1F01">
        <w:rPr>
          <w:noProof/>
          <w:lang w:eastAsia="en-IE"/>
        </w:rPr>
        <w:t>f</w:t>
      </w:r>
      <w:r w:rsidR="00AA1F01" w:rsidRPr="00006782">
        <w:rPr>
          <w:noProof/>
          <w:lang w:eastAsia="en-IE"/>
        </w:rPr>
        <w:t>)</w:t>
      </w:r>
      <w:r w:rsidR="00AA1F01">
        <w:rPr>
          <w:noProof/>
          <w:lang w:eastAsia="en-IE"/>
        </w:rPr>
        <w:t>,</w:t>
      </w:r>
      <w:r w:rsidR="00AA1F01" w:rsidRPr="00006782">
        <w:rPr>
          <w:noProof/>
          <w:lang w:eastAsia="en-IE"/>
        </w:rPr>
        <w:t xml:space="preserve"> conformity assessment bodies shall be authorised by </w:t>
      </w:r>
      <w:r w:rsidR="00AA1F01">
        <w:rPr>
          <w:noProof/>
          <w:lang w:eastAsia="en-IE"/>
        </w:rPr>
        <w:t>a</w:t>
      </w:r>
      <w:r w:rsidR="00AA1F01" w:rsidRPr="00006782">
        <w:rPr>
          <w:noProof/>
          <w:lang w:eastAsia="en-IE"/>
        </w:rPr>
        <w:t xml:space="preserve"> national cybersecurity certification authorit</w:t>
      </w:r>
      <w:r w:rsidR="00AA1F01">
        <w:rPr>
          <w:noProof/>
          <w:lang w:eastAsia="en-IE"/>
        </w:rPr>
        <w:t>y</w:t>
      </w:r>
      <w:r w:rsidR="00AA1F01" w:rsidRPr="00006782">
        <w:rPr>
          <w:noProof/>
          <w:lang w:eastAsia="en-IE"/>
        </w:rPr>
        <w:t xml:space="preserve"> appointed pursuant to Article 88</w:t>
      </w:r>
      <w:r w:rsidR="00AA1F01">
        <w:rPr>
          <w:noProof/>
          <w:lang w:eastAsia="en-IE"/>
        </w:rPr>
        <w:t>(</w:t>
      </w:r>
      <w:r w:rsidR="00AA1F01" w:rsidRPr="00006782">
        <w:rPr>
          <w:noProof/>
          <w:lang w:eastAsia="en-IE"/>
        </w:rPr>
        <w:t>1</w:t>
      </w:r>
      <w:r w:rsidR="00AA1F01">
        <w:rPr>
          <w:noProof/>
          <w:lang w:eastAsia="en-IE"/>
        </w:rPr>
        <w:t>)</w:t>
      </w:r>
      <w:r w:rsidR="00AA1F01" w:rsidRPr="00006782">
        <w:rPr>
          <w:noProof/>
          <w:lang w:eastAsia="en-IE"/>
        </w:rPr>
        <w:t xml:space="preserve"> to carry out tasks under such scheme. Such authorisation shall be issued only where the conformity assessment body has been accredited and meets the </w:t>
      </w:r>
      <w:r w:rsidR="00AA1F01" w:rsidRPr="00006782">
        <w:rPr>
          <w:noProof/>
        </w:rPr>
        <w:t xml:space="preserve">additional or specific </w:t>
      </w:r>
      <w:r w:rsidR="00AA1F01" w:rsidRPr="00006782">
        <w:rPr>
          <w:noProof/>
          <w:lang w:eastAsia="en-IE"/>
        </w:rPr>
        <w:t xml:space="preserve">requirements set out </w:t>
      </w:r>
      <w:r w:rsidR="00AA1F01">
        <w:rPr>
          <w:noProof/>
          <w:lang w:eastAsia="en-IE"/>
        </w:rPr>
        <w:t>under</w:t>
      </w:r>
      <w:r w:rsidR="00AA1F01" w:rsidRPr="00006782">
        <w:rPr>
          <w:noProof/>
          <w:lang w:eastAsia="en-IE"/>
        </w:rPr>
        <w:t xml:space="preserve"> the European cybersecurity certification scheme.</w:t>
      </w:r>
    </w:p>
    <w:p w14:paraId="2BD8C8A8" w14:textId="3B5838C3" w:rsidR="00AA1F01" w:rsidRPr="00006782" w:rsidRDefault="006D01CD" w:rsidP="006D01CD">
      <w:pPr>
        <w:pStyle w:val="ManualNumPar1"/>
        <w:rPr>
          <w:noProof/>
        </w:rPr>
      </w:pPr>
      <w:r w:rsidRPr="006D01CD">
        <w:rPr>
          <w:noProof/>
        </w:rPr>
        <w:t>2.</w:t>
      </w:r>
      <w:r w:rsidRPr="006D01CD">
        <w:rPr>
          <w:noProof/>
        </w:rPr>
        <w:tab/>
      </w:r>
      <w:r w:rsidR="00AA1F01" w:rsidRPr="00006782">
        <w:rPr>
          <w:noProof/>
          <w:lang w:eastAsia="en-IE"/>
        </w:rPr>
        <w:t xml:space="preserve">Where a conformity assessment body requests </w:t>
      </w:r>
      <w:r w:rsidR="00AA1F01">
        <w:rPr>
          <w:noProof/>
          <w:lang w:eastAsia="en-IE"/>
        </w:rPr>
        <w:t xml:space="preserve">an </w:t>
      </w:r>
      <w:r w:rsidR="00AA1F01" w:rsidRPr="00006782">
        <w:rPr>
          <w:noProof/>
          <w:lang w:eastAsia="en-IE"/>
        </w:rPr>
        <w:t>authorisation</w:t>
      </w:r>
      <w:r w:rsidR="00AA1F01">
        <w:rPr>
          <w:noProof/>
          <w:lang w:eastAsia="en-IE"/>
        </w:rPr>
        <w:t xml:space="preserve"> under this Article</w:t>
      </w:r>
      <w:r w:rsidR="00AA1F01" w:rsidRPr="00006782">
        <w:rPr>
          <w:noProof/>
          <w:lang w:eastAsia="en-IE"/>
        </w:rPr>
        <w:t xml:space="preserve">, it shall </w:t>
      </w:r>
      <w:r w:rsidR="00AA1F01">
        <w:rPr>
          <w:noProof/>
          <w:lang w:eastAsia="en-IE"/>
        </w:rPr>
        <w:t xml:space="preserve">submit the request to </w:t>
      </w:r>
      <w:r w:rsidR="00AA1F01" w:rsidRPr="00006782">
        <w:rPr>
          <w:noProof/>
        </w:rPr>
        <w:t xml:space="preserve">the national cybersecurity certification authority of the Member State in which it is established or with the national cybersecurity certification authority to which that Member State has had recourse in accordance with </w:t>
      </w:r>
      <w:r w:rsidR="00AA1F01" w:rsidRPr="00006782">
        <w:rPr>
          <w:noProof/>
          <w:lang w:eastAsia="en-IE"/>
        </w:rPr>
        <w:t>Article 88</w:t>
      </w:r>
      <w:r w:rsidR="00AA1F01">
        <w:rPr>
          <w:noProof/>
          <w:lang w:eastAsia="en-IE"/>
        </w:rPr>
        <w:t>(</w:t>
      </w:r>
      <w:r w:rsidR="00AA1F01" w:rsidRPr="00006782">
        <w:rPr>
          <w:noProof/>
          <w:lang w:eastAsia="en-IE"/>
        </w:rPr>
        <w:t>1</w:t>
      </w:r>
      <w:r w:rsidR="00AA1F01">
        <w:rPr>
          <w:noProof/>
          <w:lang w:eastAsia="en-IE"/>
        </w:rPr>
        <w:t>)</w:t>
      </w:r>
      <w:r w:rsidR="00AA1F01" w:rsidRPr="00006782">
        <w:rPr>
          <w:noProof/>
        </w:rPr>
        <w:t>.</w:t>
      </w:r>
    </w:p>
    <w:p w14:paraId="36969D0A" w14:textId="3D4C835C" w:rsidR="00AA1F01" w:rsidRPr="00006782" w:rsidRDefault="006D01CD" w:rsidP="006D01CD">
      <w:pPr>
        <w:pStyle w:val="ManualNumPar1"/>
        <w:rPr>
          <w:noProof/>
          <w:lang w:eastAsia="en-IE"/>
        </w:rPr>
      </w:pPr>
      <w:r w:rsidRPr="006D01CD">
        <w:rPr>
          <w:noProof/>
        </w:rPr>
        <w:t>3.</w:t>
      </w:r>
      <w:r w:rsidRPr="006D01CD">
        <w:rPr>
          <w:noProof/>
        </w:rPr>
        <w:tab/>
      </w:r>
      <w:r w:rsidR="00AA1F01" w:rsidRPr="00006782">
        <w:rPr>
          <w:noProof/>
          <w:lang w:eastAsia="en-IE"/>
        </w:rPr>
        <w:t>A conformity assessment body may request authorisation by a national cybersecurity certification authority other than that referred to in paragraph 2 in any one of the following situations:</w:t>
      </w:r>
    </w:p>
    <w:p w14:paraId="4B135176" w14:textId="6F94DF6E" w:rsidR="00AA1F01" w:rsidRPr="00006782" w:rsidRDefault="006D01CD" w:rsidP="006D01CD">
      <w:pPr>
        <w:pStyle w:val="Point1"/>
        <w:rPr>
          <w:noProof/>
        </w:rPr>
      </w:pPr>
      <w:r w:rsidRPr="006D01CD">
        <w:rPr>
          <w:noProof/>
        </w:rPr>
        <w:t>(a)</w:t>
      </w:r>
      <w:r w:rsidRPr="006D01CD">
        <w:rPr>
          <w:noProof/>
        </w:rPr>
        <w:tab/>
      </w:r>
      <w:r w:rsidR="00AA1F01" w:rsidRPr="00006782">
        <w:rPr>
          <w:noProof/>
        </w:rPr>
        <w:t xml:space="preserve">where the national cybersecurity certification authority referred to </w:t>
      </w:r>
      <w:r w:rsidR="00AA1F01" w:rsidRPr="00006782">
        <w:rPr>
          <w:rFonts w:eastAsia="Times New Roman"/>
          <w:noProof/>
          <w:color w:val="000000" w:themeColor="text1"/>
          <w:lang w:eastAsia="en-IE"/>
        </w:rPr>
        <w:t xml:space="preserve">in paragraph 1 </w:t>
      </w:r>
      <w:r w:rsidR="00AA1F01" w:rsidRPr="00006782">
        <w:rPr>
          <w:noProof/>
        </w:rPr>
        <w:t>does not perform authorisation in respect of the conformity assessment activities for which authorisation is sought;</w:t>
      </w:r>
    </w:p>
    <w:p w14:paraId="3F290AFC" w14:textId="2FA1DC80" w:rsidR="00AA1F01" w:rsidRPr="00006782" w:rsidRDefault="006D01CD" w:rsidP="006D01CD">
      <w:pPr>
        <w:pStyle w:val="Point1"/>
        <w:rPr>
          <w:noProof/>
        </w:rPr>
      </w:pPr>
      <w:r w:rsidRPr="006D01CD">
        <w:rPr>
          <w:noProof/>
        </w:rPr>
        <w:t>(b)</w:t>
      </w:r>
      <w:r w:rsidRPr="006D01CD">
        <w:rPr>
          <w:noProof/>
        </w:rPr>
        <w:tab/>
      </w:r>
      <w:r w:rsidR="00AA1F01" w:rsidRPr="00006782">
        <w:rPr>
          <w:noProof/>
        </w:rPr>
        <w:t xml:space="preserve">where the national cybersecurity certification authority referred to </w:t>
      </w:r>
      <w:r w:rsidR="00AA1F01" w:rsidRPr="00006782">
        <w:rPr>
          <w:rFonts w:eastAsia="Times New Roman"/>
          <w:noProof/>
          <w:color w:val="000000" w:themeColor="text1"/>
          <w:lang w:eastAsia="en-IE"/>
        </w:rPr>
        <w:t>in paragraph 1</w:t>
      </w:r>
      <w:r w:rsidR="00AA1F01" w:rsidRPr="00006782">
        <w:rPr>
          <w:noProof/>
        </w:rPr>
        <w:t xml:space="preserve"> has not undergone peer review </w:t>
      </w:r>
      <w:r w:rsidR="00AA1F01">
        <w:rPr>
          <w:noProof/>
        </w:rPr>
        <w:t>in accordance with</w:t>
      </w:r>
      <w:r w:rsidR="00AA1F01" w:rsidRPr="00006782">
        <w:rPr>
          <w:noProof/>
        </w:rPr>
        <w:t xml:space="preserve"> Article 89 in respect of the conformity assessment activities for which authorisation is sought.</w:t>
      </w:r>
    </w:p>
    <w:p w14:paraId="24974DB3" w14:textId="1D96720B" w:rsidR="00AA1F01" w:rsidRPr="00164577" w:rsidRDefault="006D01CD" w:rsidP="006D01CD">
      <w:pPr>
        <w:pStyle w:val="ManualNumPar1"/>
        <w:rPr>
          <w:noProof/>
          <w:lang w:eastAsia="en-IE"/>
        </w:rPr>
      </w:pPr>
      <w:r w:rsidRPr="006D01CD">
        <w:rPr>
          <w:noProof/>
        </w:rPr>
        <w:t>4.</w:t>
      </w:r>
      <w:r w:rsidRPr="006D01CD">
        <w:rPr>
          <w:noProof/>
        </w:rPr>
        <w:tab/>
      </w:r>
      <w:r w:rsidR="00AA1F01" w:rsidRPr="00164577">
        <w:rPr>
          <w:noProof/>
          <w:lang w:eastAsia="en-IE"/>
        </w:rPr>
        <w:t>Where a national cybersecurity certification authority receives a request pursuant to paragraph </w:t>
      </w:r>
      <w:r w:rsidR="00AA1F01">
        <w:rPr>
          <w:noProof/>
          <w:lang w:eastAsia="en-IE"/>
        </w:rPr>
        <w:t>3</w:t>
      </w:r>
      <w:r w:rsidR="00F176AD">
        <w:rPr>
          <w:noProof/>
          <w:lang w:eastAsia="en-IE"/>
        </w:rPr>
        <w:t>,</w:t>
      </w:r>
      <w:r w:rsidR="00AA1F01">
        <w:rPr>
          <w:noProof/>
          <w:lang w:eastAsia="en-IE"/>
        </w:rPr>
        <w:t xml:space="preserve"> </w:t>
      </w:r>
      <w:r w:rsidR="00AA1F01" w:rsidRPr="00164577">
        <w:rPr>
          <w:noProof/>
          <w:lang w:eastAsia="en-IE"/>
        </w:rPr>
        <w:t xml:space="preserve">it shall inform the national cybersecurity certification authority of the Member State in which the requesting conformity assessment body is established. In such cases, the national cybersecurity certification authority of </w:t>
      </w:r>
      <w:r w:rsidR="00AA1F01">
        <w:rPr>
          <w:noProof/>
          <w:lang w:eastAsia="en-IE"/>
        </w:rPr>
        <w:t>that</w:t>
      </w:r>
      <w:r w:rsidR="00AA1F01" w:rsidRPr="00164577">
        <w:rPr>
          <w:noProof/>
          <w:lang w:eastAsia="en-IE"/>
        </w:rPr>
        <w:t xml:space="preserve"> Member State may participate </w:t>
      </w:r>
      <w:r w:rsidR="00AA1F01">
        <w:rPr>
          <w:noProof/>
          <w:lang w:eastAsia="en-IE"/>
        </w:rPr>
        <w:t xml:space="preserve">in the authorisation </w:t>
      </w:r>
      <w:r w:rsidR="00AA1F01" w:rsidRPr="00164577">
        <w:rPr>
          <w:noProof/>
          <w:lang w:eastAsia="en-IE"/>
        </w:rPr>
        <w:t>as an observer.</w:t>
      </w:r>
    </w:p>
    <w:p w14:paraId="5B8C91EF" w14:textId="5D799D5A" w:rsidR="00AA1F01" w:rsidRPr="00164577" w:rsidRDefault="006D01CD" w:rsidP="006D01CD">
      <w:pPr>
        <w:pStyle w:val="ManualNumPar1"/>
        <w:rPr>
          <w:noProof/>
          <w:lang w:eastAsia="en-IE"/>
        </w:rPr>
      </w:pPr>
      <w:r w:rsidRPr="006D01CD">
        <w:rPr>
          <w:noProof/>
        </w:rPr>
        <w:t>5.</w:t>
      </w:r>
      <w:r w:rsidRPr="006D01CD">
        <w:rPr>
          <w:noProof/>
        </w:rPr>
        <w:tab/>
      </w:r>
      <w:r w:rsidR="00AA1F01" w:rsidRPr="00164577">
        <w:rPr>
          <w:noProof/>
          <w:lang w:eastAsia="en-IE"/>
        </w:rPr>
        <w:t>A national cybersecurity certification authority may request another national cybersecurity certification authority to carry out part</w:t>
      </w:r>
      <w:r w:rsidR="00AA1F01">
        <w:rPr>
          <w:noProof/>
          <w:lang w:eastAsia="en-IE"/>
        </w:rPr>
        <w:t>s</w:t>
      </w:r>
      <w:r w:rsidR="00AA1F01" w:rsidRPr="00164577">
        <w:rPr>
          <w:noProof/>
          <w:lang w:eastAsia="en-IE"/>
        </w:rPr>
        <w:t xml:space="preserve"> of the assessment activity. In such a case, the authorisation certificate shall be issued by the requesting authority.</w:t>
      </w:r>
    </w:p>
    <w:p w14:paraId="3AC769B9" w14:textId="2C553FB4" w:rsidR="00AA1F01" w:rsidRPr="00164577" w:rsidRDefault="006D01CD" w:rsidP="006D01CD">
      <w:pPr>
        <w:pStyle w:val="ManualNumPar1"/>
        <w:rPr>
          <w:noProof/>
          <w:lang w:eastAsia="en-IE"/>
        </w:rPr>
      </w:pPr>
      <w:r w:rsidRPr="006D01CD">
        <w:rPr>
          <w:noProof/>
        </w:rPr>
        <w:t>6.</w:t>
      </w:r>
      <w:r w:rsidRPr="006D01CD">
        <w:rPr>
          <w:noProof/>
        </w:rPr>
        <w:tab/>
      </w:r>
      <w:r w:rsidR="00AA1F01" w:rsidRPr="00164577">
        <w:rPr>
          <w:noProof/>
          <w:lang w:eastAsia="en-IE"/>
        </w:rPr>
        <w:t xml:space="preserve">The authorisation referred to in paragraph 1 shall be valid for a period no longer than </w:t>
      </w:r>
      <w:r w:rsidR="00AA1F01">
        <w:rPr>
          <w:noProof/>
          <w:lang w:eastAsia="en-IE"/>
        </w:rPr>
        <w:t xml:space="preserve">the period of </w:t>
      </w:r>
      <w:r w:rsidR="00AA1F01" w:rsidRPr="00164577">
        <w:rPr>
          <w:noProof/>
          <w:lang w:eastAsia="en-IE"/>
        </w:rPr>
        <w:t xml:space="preserve">validity of the accreditation, and may be renewed provided that the conformity assessment body meets the requirements set out in </w:t>
      </w:r>
      <w:r w:rsidR="00AA1F01">
        <w:rPr>
          <w:noProof/>
          <w:lang w:eastAsia="en-IE"/>
        </w:rPr>
        <w:t>paragraph 1 and its accreditation has also been renewed</w:t>
      </w:r>
      <w:r w:rsidR="00AA1F01" w:rsidRPr="00164577">
        <w:rPr>
          <w:noProof/>
          <w:lang w:eastAsia="en-IE"/>
        </w:rPr>
        <w:t xml:space="preserve">. </w:t>
      </w:r>
    </w:p>
    <w:p w14:paraId="0F2FA744" w14:textId="16ED6556" w:rsidR="00AA1F01" w:rsidRPr="00164577" w:rsidRDefault="006D01CD" w:rsidP="006D01CD">
      <w:pPr>
        <w:pStyle w:val="ManualNumPar1"/>
        <w:rPr>
          <w:noProof/>
          <w:lang w:eastAsia="en-IE"/>
        </w:rPr>
      </w:pPr>
      <w:r w:rsidRPr="006D01CD">
        <w:rPr>
          <w:noProof/>
        </w:rPr>
        <w:t>7.</w:t>
      </w:r>
      <w:r w:rsidRPr="006D01CD">
        <w:rPr>
          <w:noProof/>
        </w:rPr>
        <w:tab/>
      </w:r>
      <w:r w:rsidR="00AA1F01" w:rsidRPr="00164577">
        <w:rPr>
          <w:noProof/>
          <w:lang w:eastAsia="en-IE"/>
        </w:rPr>
        <w:t>National cybersecurity certification authorities shall</w:t>
      </w:r>
      <w:r w:rsidR="00AA1F01">
        <w:rPr>
          <w:noProof/>
          <w:lang w:eastAsia="en-IE"/>
        </w:rPr>
        <w:t>, within a reasonable timeframe,</w:t>
      </w:r>
      <w:r w:rsidR="00AA1F01" w:rsidRPr="00164577">
        <w:rPr>
          <w:noProof/>
          <w:lang w:eastAsia="en-IE"/>
        </w:rPr>
        <w:t xml:space="preserve"> take all appropriate measures to restrict, suspend or revoke the authorisation of a conformity assessment body issued pursuant to paragraph 1 where the conditions for the authorisation have not been met or are no longer met, or where the conformity assessment body </w:t>
      </w:r>
      <w:r w:rsidR="00AA1F01">
        <w:rPr>
          <w:noProof/>
          <w:lang w:eastAsia="en-IE"/>
        </w:rPr>
        <w:t>does not comply with</w:t>
      </w:r>
      <w:r w:rsidR="00AA1F01" w:rsidRPr="00164577">
        <w:rPr>
          <w:noProof/>
          <w:lang w:eastAsia="en-IE"/>
        </w:rPr>
        <w:t xml:space="preserve"> this Regulation.</w:t>
      </w:r>
    </w:p>
    <w:p w14:paraId="32309300" w14:textId="20632775" w:rsidR="00AA1F01" w:rsidRPr="0031598A" w:rsidDel="00B978F4" w:rsidRDefault="006D01CD" w:rsidP="006D01CD">
      <w:pPr>
        <w:pStyle w:val="ManualNumPar1"/>
        <w:rPr>
          <w:noProof/>
          <w:lang w:eastAsia="en-IE"/>
        </w:rPr>
      </w:pPr>
      <w:r w:rsidRPr="006D01CD">
        <w:rPr>
          <w:noProof/>
        </w:rPr>
        <w:t>8.</w:t>
      </w:r>
      <w:r w:rsidRPr="006D01CD">
        <w:rPr>
          <w:noProof/>
        </w:rPr>
        <w:tab/>
      </w:r>
      <w:r w:rsidR="00AA1F01" w:rsidRPr="00164577">
        <w:rPr>
          <w:noProof/>
          <w:lang w:eastAsia="en-IE"/>
        </w:rPr>
        <w:t xml:space="preserve">The Commission </w:t>
      </w:r>
      <w:r w:rsidR="00AA1F01">
        <w:rPr>
          <w:noProof/>
          <w:lang w:eastAsia="en-IE"/>
        </w:rPr>
        <w:t>is empowered to</w:t>
      </w:r>
      <w:r w:rsidR="00AA1F01" w:rsidRPr="00164577">
        <w:rPr>
          <w:noProof/>
          <w:lang w:eastAsia="en-IE"/>
        </w:rPr>
        <w:t xml:space="preserve"> adopt implementing acts to </w:t>
      </w:r>
      <w:r w:rsidR="00AA1F01">
        <w:rPr>
          <w:noProof/>
          <w:lang w:eastAsia="en-IE"/>
        </w:rPr>
        <w:t>lay down</w:t>
      </w:r>
      <w:r w:rsidR="00AA1F01" w:rsidRPr="00164577">
        <w:rPr>
          <w:noProof/>
          <w:lang w:eastAsia="en-IE"/>
        </w:rPr>
        <w:t xml:space="preserve"> the procedures</w:t>
      </w:r>
      <w:r w:rsidR="00AA1F01" w:rsidRPr="7FD8ED97">
        <w:rPr>
          <w:noProof/>
          <w:lang w:eastAsia="en-IE"/>
        </w:rPr>
        <w:t>, including on cross-border cooperation, for authorisation</w:t>
      </w:r>
      <w:r w:rsidR="00AA1F01">
        <w:rPr>
          <w:noProof/>
          <w:lang w:eastAsia="en-IE"/>
        </w:rPr>
        <w:t xml:space="preserve"> of conformity assessment bodies</w:t>
      </w:r>
      <w:r w:rsidR="00AA1F01" w:rsidRPr="7FD8ED97">
        <w:rPr>
          <w:noProof/>
          <w:lang w:eastAsia="en-IE"/>
        </w:rPr>
        <w:t>.</w:t>
      </w:r>
      <w:r w:rsidR="00AA1F01" w:rsidRPr="00164577">
        <w:rPr>
          <w:noProof/>
          <w:lang w:eastAsia="en-IE"/>
        </w:rPr>
        <w:t xml:space="preserve"> </w:t>
      </w:r>
      <w:r w:rsidR="00AA1F01">
        <w:rPr>
          <w:noProof/>
          <w:color w:val="000000"/>
          <w:lang w:eastAsia="en-IE"/>
        </w:rPr>
        <w:t>In the</w:t>
      </w:r>
      <w:r w:rsidR="00AA1F01" w:rsidRPr="00B82E11">
        <w:rPr>
          <w:noProof/>
          <w:color w:val="000000"/>
          <w:lang w:eastAsia="en-IE"/>
        </w:rPr>
        <w:t xml:space="preserve"> </w:t>
      </w:r>
      <w:r w:rsidR="00AA1F01">
        <w:rPr>
          <w:noProof/>
          <w:color w:val="000000"/>
          <w:lang w:eastAsia="en-IE"/>
        </w:rPr>
        <w:t>preparation process of</w:t>
      </w:r>
      <w:r w:rsidR="00AA1F01" w:rsidRPr="00B82E11">
        <w:rPr>
          <w:noProof/>
          <w:color w:val="000000"/>
          <w:lang w:eastAsia="en-IE"/>
        </w:rPr>
        <w:t xml:space="preserve"> implementing acts, the Commission shall </w:t>
      </w:r>
      <w:r w:rsidR="00AA1F01">
        <w:rPr>
          <w:noProof/>
          <w:color w:val="000000"/>
          <w:lang w:eastAsia="en-IE"/>
        </w:rPr>
        <w:t>consult</w:t>
      </w:r>
      <w:r w:rsidR="00AA1F01" w:rsidRPr="00B82E11">
        <w:rPr>
          <w:noProof/>
          <w:color w:val="000000"/>
          <w:lang w:eastAsia="en-IE"/>
        </w:rPr>
        <w:t xml:space="preserve"> </w:t>
      </w:r>
      <w:r w:rsidR="00AA1F01" w:rsidRPr="00164577">
        <w:rPr>
          <w:noProof/>
          <w:lang w:eastAsia="en-IE"/>
        </w:rPr>
        <w:t xml:space="preserve">ENISA and the ECCG. Those implementing acts shall be adopted in accordance with the examination procedure referred to in </w:t>
      </w:r>
      <w:r w:rsidR="00AA1F01" w:rsidRPr="00155E6D">
        <w:rPr>
          <w:noProof/>
          <w:lang w:eastAsia="en-IE"/>
        </w:rPr>
        <w:t>Article 1</w:t>
      </w:r>
      <w:r w:rsidR="00704681">
        <w:rPr>
          <w:noProof/>
          <w:lang w:eastAsia="en-IE"/>
        </w:rPr>
        <w:t>1</w:t>
      </w:r>
      <w:r w:rsidR="00EA2859">
        <w:rPr>
          <w:noProof/>
          <w:lang w:eastAsia="en-IE"/>
        </w:rPr>
        <w:t>8</w:t>
      </w:r>
      <w:r w:rsidR="00AA1F01" w:rsidRPr="00155E6D">
        <w:rPr>
          <w:noProof/>
          <w:lang w:eastAsia="en-IE"/>
        </w:rPr>
        <w:t>(2).</w:t>
      </w:r>
    </w:p>
    <w:p w14:paraId="0C8442CA" w14:textId="77777777" w:rsidR="00AA1F01" w:rsidRPr="00164577" w:rsidRDefault="00AA1F01" w:rsidP="00AA1F01">
      <w:pPr>
        <w:pStyle w:val="Titrearticle"/>
        <w:rPr>
          <w:noProof/>
          <w:lang w:eastAsia="en-IE"/>
        </w:rPr>
      </w:pPr>
      <w:r w:rsidRPr="00C513DB">
        <w:rPr>
          <w:noProof/>
          <w:lang w:eastAsia="en-IE"/>
        </w:rPr>
        <w:t>Article</w:t>
      </w:r>
      <w:r w:rsidRPr="00164577">
        <w:rPr>
          <w:noProof/>
          <w:lang w:eastAsia="en-IE"/>
        </w:rPr>
        <w:t xml:space="preserve"> </w:t>
      </w:r>
      <w:r w:rsidRPr="006D6159">
        <w:rPr>
          <w:noProof/>
          <w:lang w:eastAsia="en-IE"/>
        </w:rPr>
        <w:t>9</w:t>
      </w:r>
      <w:r>
        <w:rPr>
          <w:noProof/>
          <w:lang w:eastAsia="en-IE"/>
        </w:rPr>
        <w:t>3</w:t>
      </w:r>
      <w:r>
        <w:rPr>
          <w:noProof/>
          <w:lang w:eastAsia="en-IE"/>
        </w:rPr>
        <w:br/>
      </w:r>
      <w:r w:rsidRPr="00C513DB">
        <w:rPr>
          <w:noProof/>
          <w:lang w:eastAsia="en-IE"/>
        </w:rPr>
        <w:t>Notification of conformity assessment bodies</w:t>
      </w:r>
    </w:p>
    <w:p w14:paraId="4903066A" w14:textId="2DD6B179" w:rsidR="00AA1F01" w:rsidRDefault="006D01CD" w:rsidP="006D01CD">
      <w:pPr>
        <w:pStyle w:val="ManualNumPar1"/>
        <w:rPr>
          <w:noProof/>
          <w:lang w:eastAsia="en-IE"/>
        </w:rPr>
      </w:pPr>
      <w:r w:rsidRPr="006D01CD">
        <w:rPr>
          <w:noProof/>
        </w:rPr>
        <w:t>1.</w:t>
      </w:r>
      <w:r w:rsidRPr="006D01CD">
        <w:rPr>
          <w:noProof/>
        </w:rPr>
        <w:tab/>
      </w:r>
      <w:r w:rsidR="00AA1F01" w:rsidRPr="00006782">
        <w:rPr>
          <w:noProof/>
          <w:lang w:eastAsia="en-IE"/>
        </w:rPr>
        <w:t xml:space="preserve">For each European cybersecurity certification scheme, the national cybersecurity certification authorities </w:t>
      </w:r>
      <w:r w:rsidR="00AA1F01">
        <w:rPr>
          <w:noProof/>
          <w:lang w:eastAsia="en-IE"/>
        </w:rPr>
        <w:t xml:space="preserve">of a Member State </w:t>
      </w:r>
      <w:r w:rsidR="00AA1F01" w:rsidRPr="00006782">
        <w:rPr>
          <w:noProof/>
          <w:lang w:eastAsia="en-IE"/>
        </w:rPr>
        <w:t xml:space="preserve">shall notify the Commission and the other Member States of the conformity assessment bodies that have been accredited and, where applicable, authorised pursuant to Article 92. </w:t>
      </w:r>
    </w:p>
    <w:p w14:paraId="1419F1D8" w14:textId="1EA7FE62" w:rsidR="00AA1F01" w:rsidRPr="00782B31" w:rsidRDefault="006D01CD" w:rsidP="006D01CD">
      <w:pPr>
        <w:pStyle w:val="ManualNumPar1"/>
        <w:rPr>
          <w:noProof/>
          <w:color w:val="000000"/>
          <w:lang w:eastAsia="en-IE"/>
        </w:rPr>
      </w:pPr>
      <w:r w:rsidRPr="006D01CD">
        <w:rPr>
          <w:noProof/>
        </w:rPr>
        <w:t>2.</w:t>
      </w:r>
      <w:r w:rsidRPr="006D01CD">
        <w:rPr>
          <w:noProof/>
        </w:rPr>
        <w:tab/>
      </w:r>
      <w:r w:rsidR="00AA1F01" w:rsidRPr="00164577">
        <w:rPr>
          <w:noProof/>
        </w:rPr>
        <w:t xml:space="preserve">The national cybersecurity certification authorities shall </w:t>
      </w:r>
      <w:r w:rsidR="00AA1F01">
        <w:rPr>
          <w:noProof/>
        </w:rPr>
        <w:t xml:space="preserve">carry out the notification as referred to in paragraph 1 </w:t>
      </w:r>
      <w:r w:rsidR="00AA1F01" w:rsidRPr="00164577">
        <w:rPr>
          <w:noProof/>
        </w:rPr>
        <w:t xml:space="preserve">using the </w:t>
      </w:r>
      <w:r w:rsidR="00AA1F01" w:rsidRPr="0031598A">
        <w:rPr>
          <w:noProof/>
          <w:lang w:eastAsia="en-IE"/>
        </w:rPr>
        <w:t xml:space="preserve">electronic notification tool </w:t>
      </w:r>
      <w:r w:rsidR="00AA1F01" w:rsidRPr="00164577">
        <w:rPr>
          <w:noProof/>
        </w:rPr>
        <w:t>developed and managed by the Commission</w:t>
      </w:r>
      <w:r w:rsidR="00AA1F01" w:rsidRPr="00006782">
        <w:rPr>
          <w:noProof/>
          <w:color w:val="000000"/>
          <w:lang w:eastAsia="en-IE"/>
        </w:rPr>
        <w:t>.</w:t>
      </w:r>
    </w:p>
    <w:p w14:paraId="425F9D12" w14:textId="18841861" w:rsidR="00AA1F01" w:rsidRPr="001A761D" w:rsidRDefault="006D01CD" w:rsidP="006D01CD">
      <w:pPr>
        <w:pStyle w:val="ManualNumPar1"/>
        <w:rPr>
          <w:noProof/>
          <w:lang w:eastAsia="en-IE"/>
        </w:rPr>
      </w:pPr>
      <w:r w:rsidRPr="006D01CD">
        <w:rPr>
          <w:noProof/>
        </w:rPr>
        <w:t>3.</w:t>
      </w:r>
      <w:r w:rsidRPr="006D01CD">
        <w:rPr>
          <w:noProof/>
        </w:rPr>
        <w:tab/>
      </w:r>
      <w:r w:rsidR="00AA1F01" w:rsidRPr="001A761D">
        <w:rPr>
          <w:noProof/>
          <w:lang w:eastAsia="en-IE"/>
        </w:rPr>
        <w:t xml:space="preserve">The Commission </w:t>
      </w:r>
      <w:r w:rsidR="00AA1F01">
        <w:rPr>
          <w:noProof/>
          <w:lang w:eastAsia="en-IE"/>
        </w:rPr>
        <w:t>is empowered to</w:t>
      </w:r>
      <w:r w:rsidR="00AA1F01" w:rsidRPr="001A761D">
        <w:rPr>
          <w:noProof/>
          <w:lang w:eastAsia="en-IE"/>
        </w:rPr>
        <w:t xml:space="preserve"> adopt implementing acts to</w:t>
      </w:r>
      <w:r w:rsidR="00AA1F01">
        <w:rPr>
          <w:noProof/>
          <w:lang w:eastAsia="en-IE"/>
        </w:rPr>
        <w:t xml:space="preserve"> lay down</w:t>
      </w:r>
      <w:r w:rsidR="00AA1F01" w:rsidRPr="001A761D">
        <w:rPr>
          <w:noProof/>
          <w:lang w:eastAsia="en-IE"/>
        </w:rPr>
        <w:t xml:space="preserve"> the circumstances, formats and procedures for notifications referred to in paragraph 1 of this Articl</w:t>
      </w:r>
      <w:r w:rsidR="00AA1F01">
        <w:rPr>
          <w:noProof/>
          <w:lang w:eastAsia="en-IE"/>
        </w:rPr>
        <w:t>e</w:t>
      </w:r>
      <w:r w:rsidR="00AA1F01" w:rsidRPr="00155E6D">
        <w:rPr>
          <w:noProof/>
          <w:lang w:eastAsia="en-IE"/>
        </w:rPr>
        <w:t>,</w:t>
      </w:r>
      <w:r w:rsidR="00AA1F01">
        <w:rPr>
          <w:noProof/>
          <w:lang w:eastAsia="en-IE"/>
        </w:rPr>
        <w:t xml:space="preserve"> including the </w:t>
      </w:r>
      <w:r w:rsidR="00AA1F01" w:rsidRPr="001A761D">
        <w:rPr>
          <w:noProof/>
          <w:lang w:eastAsia="en-IE"/>
        </w:rPr>
        <w:t>objection</w:t>
      </w:r>
      <w:r w:rsidR="009863F6">
        <w:rPr>
          <w:noProof/>
          <w:lang w:eastAsia="en-IE"/>
        </w:rPr>
        <w:t xml:space="preserve"> procedure</w:t>
      </w:r>
      <w:r w:rsidR="00AA1F01" w:rsidRPr="001A761D">
        <w:rPr>
          <w:noProof/>
          <w:lang w:eastAsia="en-IE"/>
        </w:rPr>
        <w:t xml:space="preserve"> by other Member States during the notification process, </w:t>
      </w:r>
      <w:r w:rsidR="00AA1F01">
        <w:rPr>
          <w:noProof/>
          <w:lang w:eastAsia="en-IE"/>
        </w:rPr>
        <w:t xml:space="preserve">the </w:t>
      </w:r>
      <w:r w:rsidR="00AA1F01" w:rsidRPr="001A761D">
        <w:rPr>
          <w:noProof/>
          <w:lang w:eastAsia="en-IE"/>
        </w:rPr>
        <w:t>unique identification of conformity assessment bodies,</w:t>
      </w:r>
      <w:r w:rsidR="00AA1F01">
        <w:rPr>
          <w:noProof/>
          <w:lang w:eastAsia="en-IE"/>
        </w:rPr>
        <w:t xml:space="preserve"> as well as</w:t>
      </w:r>
      <w:r w:rsidR="00AA1F01" w:rsidRPr="001A761D">
        <w:rPr>
          <w:noProof/>
          <w:lang w:eastAsia="en-IE"/>
        </w:rPr>
        <w:t xml:space="preserve"> </w:t>
      </w:r>
      <w:r w:rsidR="00AA1F01">
        <w:rPr>
          <w:noProof/>
          <w:lang w:eastAsia="en-IE"/>
        </w:rPr>
        <w:t xml:space="preserve">the </w:t>
      </w:r>
      <w:r w:rsidR="00AA1F01" w:rsidRPr="001A761D">
        <w:rPr>
          <w:noProof/>
          <w:lang w:eastAsia="en-IE"/>
        </w:rPr>
        <w:t xml:space="preserve">circumstances for </w:t>
      </w:r>
      <w:r w:rsidR="00AA1F01" w:rsidRPr="00006782">
        <w:rPr>
          <w:noProof/>
          <w:color w:val="000000" w:themeColor="text1"/>
          <w:lang w:eastAsia="en-IE"/>
        </w:rPr>
        <w:t>restriction, suspension or withdrawal of notification</w:t>
      </w:r>
      <w:r w:rsidR="00AA1F01" w:rsidRPr="001A761D">
        <w:rPr>
          <w:noProof/>
          <w:lang w:eastAsia="en-IE"/>
        </w:rPr>
        <w:t xml:space="preserve">. </w:t>
      </w:r>
      <w:r w:rsidR="00AA1F01">
        <w:rPr>
          <w:noProof/>
          <w:lang w:eastAsia="en-IE"/>
        </w:rPr>
        <w:t>Those implementing acts</w:t>
      </w:r>
      <w:r w:rsidR="00AA1F01" w:rsidRPr="001A761D">
        <w:rPr>
          <w:noProof/>
          <w:lang w:eastAsia="en-IE"/>
        </w:rPr>
        <w:t xml:space="preserve"> shall be adopted in accordance with the examination procedure referred to in </w:t>
      </w:r>
      <w:r w:rsidR="00AA1F01" w:rsidRPr="00155E6D">
        <w:rPr>
          <w:noProof/>
          <w:lang w:eastAsia="en-IE"/>
        </w:rPr>
        <w:t>Article 1</w:t>
      </w:r>
      <w:r w:rsidR="00704681">
        <w:rPr>
          <w:noProof/>
          <w:lang w:eastAsia="en-IE"/>
        </w:rPr>
        <w:t>1</w:t>
      </w:r>
      <w:r w:rsidR="006B0AC3">
        <w:rPr>
          <w:noProof/>
          <w:lang w:eastAsia="en-IE"/>
        </w:rPr>
        <w:t>8</w:t>
      </w:r>
      <w:r w:rsidR="00AA1F01" w:rsidRPr="00155E6D">
        <w:rPr>
          <w:noProof/>
          <w:lang w:eastAsia="en-IE"/>
        </w:rPr>
        <w:t>(2).</w:t>
      </w:r>
    </w:p>
    <w:p w14:paraId="69199ED1" w14:textId="77777777" w:rsidR="00AA1F01" w:rsidRPr="00164577" w:rsidRDefault="00AA1F01" w:rsidP="00AA1F01">
      <w:pPr>
        <w:pStyle w:val="Titrearticle"/>
        <w:rPr>
          <w:noProof/>
          <w:lang w:eastAsia="en-IE"/>
        </w:rPr>
      </w:pPr>
      <w:r>
        <w:rPr>
          <w:noProof/>
          <w:lang w:eastAsia="en-IE"/>
        </w:rPr>
        <w:t>Article 94</w:t>
      </w:r>
      <w:r>
        <w:rPr>
          <w:noProof/>
          <w:lang w:eastAsia="en-IE"/>
        </w:rPr>
        <w:br/>
      </w:r>
      <w:r w:rsidRPr="006D6159">
        <w:rPr>
          <w:noProof/>
          <w:lang w:eastAsia="en-IE"/>
        </w:rPr>
        <w:t>Challenge</w:t>
      </w:r>
      <w:r>
        <w:rPr>
          <w:noProof/>
          <w:lang w:eastAsia="en-IE"/>
        </w:rPr>
        <w:t>s</w:t>
      </w:r>
      <w:r w:rsidRPr="006D6159">
        <w:rPr>
          <w:noProof/>
          <w:lang w:eastAsia="en-IE"/>
        </w:rPr>
        <w:t xml:space="preserve"> </w:t>
      </w:r>
      <w:r>
        <w:rPr>
          <w:noProof/>
          <w:lang w:eastAsia="en-IE"/>
        </w:rPr>
        <w:t>with regard to</w:t>
      </w:r>
      <w:r w:rsidRPr="006D6159">
        <w:rPr>
          <w:noProof/>
          <w:lang w:eastAsia="en-IE"/>
        </w:rPr>
        <w:t xml:space="preserve"> the competence of conformity assessment bodies</w:t>
      </w:r>
    </w:p>
    <w:p w14:paraId="16EEAB9E" w14:textId="16821C4B" w:rsidR="00AA1F01" w:rsidRPr="00C135CB" w:rsidRDefault="006D01CD" w:rsidP="006D01CD">
      <w:pPr>
        <w:pStyle w:val="ManualNumPar1"/>
        <w:rPr>
          <w:noProof/>
          <w:lang w:eastAsia="en-IE"/>
        </w:rPr>
      </w:pPr>
      <w:r w:rsidRPr="006D01CD">
        <w:rPr>
          <w:noProof/>
        </w:rPr>
        <w:t>1.</w:t>
      </w:r>
      <w:r w:rsidRPr="006D01CD">
        <w:rPr>
          <w:noProof/>
        </w:rPr>
        <w:tab/>
      </w:r>
      <w:r w:rsidR="00AA1F01" w:rsidRPr="00C135CB">
        <w:rPr>
          <w:noProof/>
          <w:lang w:eastAsia="en-IE"/>
        </w:rPr>
        <w:t xml:space="preserve">The Commission shall investigate </w:t>
      </w:r>
      <w:r w:rsidR="00AA1F01">
        <w:rPr>
          <w:noProof/>
          <w:lang w:eastAsia="en-IE"/>
        </w:rPr>
        <w:t>any</w:t>
      </w:r>
      <w:r w:rsidR="00AA1F01" w:rsidRPr="00C135CB">
        <w:rPr>
          <w:noProof/>
          <w:lang w:eastAsia="en-IE"/>
        </w:rPr>
        <w:t xml:space="preserve"> cases </w:t>
      </w:r>
      <w:r w:rsidR="00AA1F01">
        <w:rPr>
          <w:noProof/>
          <w:lang w:eastAsia="en-IE"/>
        </w:rPr>
        <w:t>in which</w:t>
      </w:r>
      <w:r w:rsidR="00AA1F01" w:rsidRPr="00C135CB">
        <w:rPr>
          <w:noProof/>
          <w:lang w:eastAsia="en-IE"/>
        </w:rPr>
        <w:t xml:space="preserve"> it </w:t>
      </w:r>
      <w:r w:rsidR="00AA1F01">
        <w:rPr>
          <w:noProof/>
          <w:lang w:eastAsia="en-IE"/>
        </w:rPr>
        <w:t xml:space="preserve">has </w:t>
      </w:r>
      <w:r w:rsidR="00AA1F01" w:rsidRPr="00C135CB">
        <w:rPr>
          <w:noProof/>
          <w:lang w:eastAsia="en-IE"/>
        </w:rPr>
        <w:t xml:space="preserve">doubts, or </w:t>
      </w:r>
      <w:r w:rsidR="00AA1F01">
        <w:rPr>
          <w:noProof/>
          <w:lang w:eastAsia="en-IE"/>
        </w:rPr>
        <w:t>is made aware</w:t>
      </w:r>
      <w:r w:rsidR="00AA1F01" w:rsidRPr="00C135CB">
        <w:rPr>
          <w:noProof/>
          <w:lang w:eastAsia="en-IE"/>
        </w:rPr>
        <w:t xml:space="preserve"> </w:t>
      </w:r>
      <w:r w:rsidR="00AA1F01">
        <w:rPr>
          <w:noProof/>
          <w:lang w:eastAsia="en-IE"/>
        </w:rPr>
        <w:t xml:space="preserve">of </w:t>
      </w:r>
      <w:r w:rsidR="00AA1F01" w:rsidRPr="00C135CB">
        <w:rPr>
          <w:noProof/>
          <w:lang w:eastAsia="en-IE"/>
        </w:rPr>
        <w:t>doubt</w:t>
      </w:r>
      <w:r w:rsidR="00AA1F01">
        <w:rPr>
          <w:noProof/>
          <w:lang w:eastAsia="en-IE"/>
        </w:rPr>
        <w:t>s</w:t>
      </w:r>
      <w:r w:rsidR="00AA1F01" w:rsidRPr="00C135CB">
        <w:rPr>
          <w:noProof/>
          <w:lang w:eastAsia="en-IE"/>
        </w:rPr>
        <w:t xml:space="preserve"> </w:t>
      </w:r>
      <w:r w:rsidR="00AA1F01">
        <w:rPr>
          <w:noProof/>
          <w:lang w:eastAsia="en-IE"/>
        </w:rPr>
        <w:t>about</w:t>
      </w:r>
      <w:r w:rsidR="00AA1F01" w:rsidRPr="00C135CB">
        <w:rPr>
          <w:noProof/>
          <w:lang w:eastAsia="en-IE"/>
        </w:rPr>
        <w:t xml:space="preserve"> the competence of a conformity assessment body to meet, or the continued fulfilment by a conformity assessment body of, the requirements and responsibilities to which it is subject.</w:t>
      </w:r>
    </w:p>
    <w:p w14:paraId="5D3A9142" w14:textId="6FD9EDBB" w:rsidR="00AA1F01" w:rsidRDefault="006D01CD" w:rsidP="006D01CD">
      <w:pPr>
        <w:pStyle w:val="ManualNumPar1"/>
        <w:rPr>
          <w:noProof/>
          <w:lang w:eastAsia="en-IE"/>
        </w:rPr>
      </w:pPr>
      <w:r w:rsidRPr="006D01CD">
        <w:rPr>
          <w:noProof/>
        </w:rPr>
        <w:t>2.</w:t>
      </w:r>
      <w:r w:rsidRPr="006D01CD">
        <w:rPr>
          <w:noProof/>
        </w:rPr>
        <w:tab/>
      </w:r>
      <w:r w:rsidR="00AA1F01" w:rsidRPr="00C135CB">
        <w:rPr>
          <w:noProof/>
          <w:lang w:eastAsia="en-IE"/>
        </w:rPr>
        <w:t>The</w:t>
      </w:r>
      <w:r w:rsidR="00AA1F01" w:rsidRPr="00C135CB" w:rsidDel="00526CE1">
        <w:rPr>
          <w:noProof/>
          <w:lang w:eastAsia="en-IE"/>
        </w:rPr>
        <w:t xml:space="preserve"> </w:t>
      </w:r>
      <w:r w:rsidR="00AA1F01" w:rsidRPr="00C135CB">
        <w:rPr>
          <w:noProof/>
          <w:lang w:eastAsia="en-IE"/>
        </w:rPr>
        <w:t>national cybersecurity certification authority shall provide the Commission, on request, with all information relating to the basis for the notification or the maintenance of the competence of the conformity assessment body concerned.</w:t>
      </w:r>
    </w:p>
    <w:p w14:paraId="2AE3680B" w14:textId="2E578D71" w:rsidR="00AA1F01" w:rsidRPr="00C135CB" w:rsidRDefault="006D01CD" w:rsidP="006D01CD">
      <w:pPr>
        <w:pStyle w:val="ManualNumPar1"/>
        <w:rPr>
          <w:noProof/>
          <w:lang w:eastAsia="en-IE"/>
        </w:rPr>
      </w:pPr>
      <w:r w:rsidRPr="006D01CD">
        <w:rPr>
          <w:noProof/>
        </w:rPr>
        <w:t>3.</w:t>
      </w:r>
      <w:r w:rsidRPr="006D01CD">
        <w:rPr>
          <w:noProof/>
        </w:rPr>
        <w:tab/>
      </w:r>
      <w:r w:rsidR="00AA1F01" w:rsidRPr="00C135CB">
        <w:rPr>
          <w:noProof/>
          <w:lang w:eastAsia="en-IE"/>
        </w:rPr>
        <w:t>The Commission shall ensure that all sensitive information obtained in the course of its investigations is treated confidentially.</w:t>
      </w:r>
    </w:p>
    <w:p w14:paraId="711B4A61" w14:textId="41AD3F05" w:rsidR="00AA1F01" w:rsidRPr="00C135CB" w:rsidDel="00E865CB" w:rsidRDefault="006D01CD" w:rsidP="006D01CD">
      <w:pPr>
        <w:pStyle w:val="ManualNumPar1"/>
        <w:rPr>
          <w:noProof/>
          <w:lang w:eastAsia="en-IE"/>
        </w:rPr>
      </w:pPr>
      <w:r w:rsidRPr="006D01CD">
        <w:rPr>
          <w:noProof/>
        </w:rPr>
        <w:t>4.</w:t>
      </w:r>
      <w:r w:rsidRPr="006D01CD">
        <w:rPr>
          <w:noProof/>
        </w:rPr>
        <w:tab/>
      </w:r>
      <w:r w:rsidR="00AA1F01" w:rsidRPr="00164577">
        <w:rPr>
          <w:noProof/>
          <w:lang w:eastAsia="en-IE"/>
        </w:rPr>
        <w:t>Where the Commission ascertains that a conformity assessment body does not meet or no longer meets the requirements for its notification, it shall inform the</w:t>
      </w:r>
      <w:r w:rsidR="00AA1F01" w:rsidRPr="00164577" w:rsidDel="00120504">
        <w:rPr>
          <w:noProof/>
          <w:lang w:eastAsia="en-IE"/>
        </w:rPr>
        <w:t xml:space="preserve"> </w:t>
      </w:r>
      <w:r w:rsidR="00AA1F01" w:rsidRPr="00164577">
        <w:rPr>
          <w:noProof/>
          <w:lang w:eastAsia="en-IE"/>
        </w:rPr>
        <w:t>national cybersecurity certification authority accordingly and request it to take the necessary corrective measures, including de-notification if necessary.</w:t>
      </w:r>
    </w:p>
    <w:p w14:paraId="3F016A04" w14:textId="03D5F1E3" w:rsidR="00AA1F01" w:rsidDel="00E865CB" w:rsidRDefault="006D01CD" w:rsidP="006D01CD">
      <w:pPr>
        <w:pStyle w:val="ManualNumPar1"/>
        <w:rPr>
          <w:noProof/>
          <w:lang w:eastAsia="en-IE"/>
        </w:rPr>
      </w:pPr>
      <w:r w:rsidRPr="006D01CD">
        <w:rPr>
          <w:noProof/>
        </w:rPr>
        <w:t>5.</w:t>
      </w:r>
      <w:r w:rsidRPr="006D01CD">
        <w:rPr>
          <w:noProof/>
        </w:rPr>
        <w:tab/>
      </w:r>
      <w:r w:rsidR="00AA1F01" w:rsidRPr="004B4489">
        <w:rPr>
          <w:noProof/>
          <w:lang w:eastAsia="en-IE"/>
        </w:rPr>
        <w:t>Member States shall ensure that an appeal procedure against decisions of the notified bodies is available.</w:t>
      </w:r>
    </w:p>
    <w:p w14:paraId="344D022E" w14:textId="77777777" w:rsidR="00AA1F01" w:rsidRPr="00164577" w:rsidRDefault="00AA1F01" w:rsidP="00AA1F01">
      <w:pPr>
        <w:pStyle w:val="Titrearticle"/>
        <w:rPr>
          <w:noProof/>
          <w:lang w:eastAsia="en-IE"/>
        </w:rPr>
      </w:pPr>
      <w:r>
        <w:rPr>
          <w:noProof/>
          <w:lang w:eastAsia="en-IE"/>
        </w:rPr>
        <w:t>Article 95</w:t>
      </w:r>
      <w:r>
        <w:rPr>
          <w:noProof/>
          <w:lang w:eastAsia="en-IE"/>
        </w:rPr>
        <w:br/>
      </w:r>
      <w:r w:rsidRPr="00EC431E">
        <w:rPr>
          <w:noProof/>
          <w:lang w:eastAsia="en-IE"/>
        </w:rPr>
        <w:t xml:space="preserve">Information </w:t>
      </w:r>
      <w:r>
        <w:rPr>
          <w:noProof/>
          <w:lang w:eastAsia="en-IE"/>
        </w:rPr>
        <w:t xml:space="preserve">and retention </w:t>
      </w:r>
      <w:r w:rsidRPr="00EC431E">
        <w:rPr>
          <w:noProof/>
          <w:lang w:eastAsia="en-IE"/>
        </w:rPr>
        <w:t>obligation on conformity assessment bodies</w:t>
      </w:r>
    </w:p>
    <w:p w14:paraId="095979AD" w14:textId="33CABD89" w:rsidR="00AA1F01" w:rsidRDefault="006D01CD" w:rsidP="006D01CD">
      <w:pPr>
        <w:pStyle w:val="ManualNumPar1"/>
        <w:rPr>
          <w:noProof/>
          <w:lang w:eastAsia="en-IE"/>
        </w:rPr>
      </w:pPr>
      <w:r w:rsidRPr="006D01CD">
        <w:rPr>
          <w:noProof/>
        </w:rPr>
        <w:t>1.</w:t>
      </w:r>
      <w:r w:rsidRPr="006D01CD">
        <w:rPr>
          <w:noProof/>
        </w:rPr>
        <w:tab/>
      </w:r>
      <w:r w:rsidR="00AA1F01" w:rsidRPr="00C135CB">
        <w:rPr>
          <w:noProof/>
          <w:lang w:eastAsia="en-IE"/>
        </w:rPr>
        <w:t>Conformity assessment bodies shall inform the national cybersecurity certification authority of the following:</w:t>
      </w:r>
    </w:p>
    <w:p w14:paraId="489DA8F4" w14:textId="725EA41C" w:rsidR="00AA1F01" w:rsidRPr="00C135CB" w:rsidRDefault="006D01CD" w:rsidP="006D01CD">
      <w:pPr>
        <w:pStyle w:val="Point1"/>
        <w:rPr>
          <w:noProof/>
        </w:rPr>
      </w:pPr>
      <w:r w:rsidRPr="006D01CD">
        <w:rPr>
          <w:noProof/>
        </w:rPr>
        <w:t>(a)</w:t>
      </w:r>
      <w:r w:rsidRPr="006D01CD">
        <w:rPr>
          <w:noProof/>
        </w:rPr>
        <w:tab/>
      </w:r>
      <w:r w:rsidR="00AA1F01" w:rsidRPr="00C135CB">
        <w:rPr>
          <w:noProof/>
        </w:rPr>
        <w:t>any refusal, restriction, suspension or withdrawal of a certificate;</w:t>
      </w:r>
      <w:r w:rsidR="00AA1F01">
        <w:rPr>
          <w:noProof/>
        </w:rPr>
        <w:t xml:space="preserve"> </w:t>
      </w:r>
    </w:p>
    <w:p w14:paraId="636780F0" w14:textId="69F18A97" w:rsidR="00AA1F01" w:rsidRPr="00C135CB" w:rsidRDefault="006D01CD" w:rsidP="006D01CD">
      <w:pPr>
        <w:pStyle w:val="Point1"/>
        <w:rPr>
          <w:noProof/>
        </w:rPr>
      </w:pPr>
      <w:r w:rsidRPr="006D01CD">
        <w:rPr>
          <w:noProof/>
        </w:rPr>
        <w:t>(b)</w:t>
      </w:r>
      <w:r w:rsidRPr="006D01CD">
        <w:rPr>
          <w:noProof/>
        </w:rPr>
        <w:tab/>
      </w:r>
      <w:r w:rsidR="00AA1F01" w:rsidRPr="00C135CB">
        <w:rPr>
          <w:noProof/>
        </w:rPr>
        <w:t xml:space="preserve">any circumstances affecting the scope of and conditions for </w:t>
      </w:r>
      <w:r w:rsidR="00AA1F01">
        <w:rPr>
          <w:noProof/>
        </w:rPr>
        <w:t xml:space="preserve">the </w:t>
      </w:r>
      <w:r w:rsidR="00AA1F01" w:rsidRPr="00C135CB">
        <w:rPr>
          <w:noProof/>
        </w:rPr>
        <w:t>notification</w:t>
      </w:r>
      <w:r w:rsidR="00AA1F01">
        <w:rPr>
          <w:noProof/>
        </w:rPr>
        <w:t xml:space="preserve"> referred to in Article 93(1)</w:t>
      </w:r>
      <w:r w:rsidR="00AA1F01" w:rsidRPr="00C135CB">
        <w:rPr>
          <w:noProof/>
        </w:rPr>
        <w:t>;</w:t>
      </w:r>
    </w:p>
    <w:p w14:paraId="14CA7166" w14:textId="1846A9EC" w:rsidR="00AA1F01" w:rsidRPr="00C135CB" w:rsidRDefault="006D01CD" w:rsidP="006D01CD">
      <w:pPr>
        <w:pStyle w:val="Point1"/>
        <w:rPr>
          <w:noProof/>
        </w:rPr>
      </w:pPr>
      <w:r w:rsidRPr="006D01CD">
        <w:rPr>
          <w:noProof/>
        </w:rPr>
        <w:t>(c)</w:t>
      </w:r>
      <w:r w:rsidRPr="006D01CD">
        <w:rPr>
          <w:noProof/>
        </w:rPr>
        <w:tab/>
      </w:r>
      <w:r w:rsidR="00AA1F01" w:rsidRPr="00C135CB">
        <w:rPr>
          <w:noProof/>
        </w:rPr>
        <w:t xml:space="preserve">any request for information </w:t>
      </w:r>
      <w:r w:rsidR="00AA1F01">
        <w:rPr>
          <w:noProof/>
        </w:rPr>
        <w:t>that</w:t>
      </w:r>
      <w:r w:rsidR="00AA1F01" w:rsidRPr="00C135CB">
        <w:rPr>
          <w:noProof/>
        </w:rPr>
        <w:t xml:space="preserve"> they have received from market surveillance authorities regarding conformity assessment activities;</w:t>
      </w:r>
    </w:p>
    <w:p w14:paraId="356D1359" w14:textId="73F4FACE" w:rsidR="00AA1F01" w:rsidRPr="00C135CB" w:rsidRDefault="006D01CD" w:rsidP="006D01CD">
      <w:pPr>
        <w:pStyle w:val="Point1"/>
        <w:rPr>
          <w:noProof/>
        </w:rPr>
      </w:pPr>
      <w:r w:rsidRPr="006D01CD">
        <w:rPr>
          <w:noProof/>
        </w:rPr>
        <w:t>(d)</w:t>
      </w:r>
      <w:r w:rsidRPr="006D01CD">
        <w:rPr>
          <w:noProof/>
        </w:rPr>
        <w:tab/>
      </w:r>
      <w:r w:rsidR="00AA1F01" w:rsidRPr="00C135CB">
        <w:rPr>
          <w:noProof/>
        </w:rPr>
        <w:t xml:space="preserve">on request, </w:t>
      </w:r>
      <w:r w:rsidR="00AA1F01">
        <w:rPr>
          <w:noProof/>
        </w:rPr>
        <w:t xml:space="preserve">any </w:t>
      </w:r>
      <w:r w:rsidR="00AA1F01" w:rsidRPr="00C135CB">
        <w:rPr>
          <w:noProof/>
        </w:rPr>
        <w:t>conformity assessment activities performed within the scope of their notification and any other activity performed, including cross-border activities and subcontracting.</w:t>
      </w:r>
    </w:p>
    <w:p w14:paraId="348C0723" w14:textId="48E0D26A" w:rsidR="00AA1F01" w:rsidRDefault="006D01CD" w:rsidP="006D01CD">
      <w:pPr>
        <w:pStyle w:val="ManualNumPar1"/>
        <w:rPr>
          <w:noProof/>
          <w:lang w:eastAsia="en-IE"/>
        </w:rPr>
      </w:pPr>
      <w:r w:rsidRPr="006D01CD">
        <w:rPr>
          <w:noProof/>
        </w:rPr>
        <w:t>2.</w:t>
      </w:r>
      <w:r w:rsidRPr="006D01CD">
        <w:rPr>
          <w:noProof/>
        </w:rPr>
        <w:tab/>
      </w:r>
      <w:r w:rsidR="00AA1F01">
        <w:rPr>
          <w:noProof/>
          <w:lang w:eastAsia="en-IE"/>
        </w:rPr>
        <w:t xml:space="preserve">Conformity assessment bodies shall also provide ENISA with the information referred to in paragraph 1 point (a) </w:t>
      </w:r>
      <w:r w:rsidR="00AA1F01" w:rsidRPr="00B9076E">
        <w:rPr>
          <w:noProof/>
          <w:lang w:eastAsia="en-IE"/>
        </w:rPr>
        <w:t>in view of facilitating the performance of its task under Article </w:t>
      </w:r>
      <w:r w:rsidR="00AA1F01">
        <w:rPr>
          <w:noProof/>
          <w:lang w:eastAsia="en-IE"/>
        </w:rPr>
        <w:t>79</w:t>
      </w:r>
      <w:r w:rsidR="00AA1F01" w:rsidRPr="00B9076E">
        <w:rPr>
          <w:noProof/>
          <w:lang w:eastAsia="en-IE"/>
        </w:rPr>
        <w:t xml:space="preserve">. </w:t>
      </w:r>
    </w:p>
    <w:p w14:paraId="7AFAA054" w14:textId="4D4771AD" w:rsidR="00AA1F01" w:rsidRPr="00C135CB" w:rsidRDefault="006D01CD" w:rsidP="006D01CD">
      <w:pPr>
        <w:pStyle w:val="ManualNumPar1"/>
        <w:rPr>
          <w:noProof/>
          <w:lang w:eastAsia="en-IE"/>
        </w:rPr>
      </w:pPr>
      <w:r w:rsidRPr="006D01CD">
        <w:rPr>
          <w:noProof/>
        </w:rPr>
        <w:t>3.</w:t>
      </w:r>
      <w:r w:rsidRPr="006D01CD">
        <w:rPr>
          <w:noProof/>
        </w:rPr>
        <w:tab/>
      </w:r>
      <w:r w:rsidR="00AA1F01" w:rsidRPr="00C135CB">
        <w:rPr>
          <w:noProof/>
          <w:lang w:eastAsia="en-IE"/>
        </w:rPr>
        <w:t>Conformity assessment bodies shall provide the other conformity assessment bodies under this Regulation carrying out similar conformity assessment activities covering the same ICT products, ICT services</w:t>
      </w:r>
      <w:r w:rsidR="009863F6">
        <w:rPr>
          <w:noProof/>
          <w:lang w:eastAsia="en-IE"/>
        </w:rPr>
        <w:t>,</w:t>
      </w:r>
      <w:r w:rsidR="00AA1F01" w:rsidRPr="00C135CB">
        <w:rPr>
          <w:noProof/>
          <w:lang w:eastAsia="en-IE"/>
        </w:rPr>
        <w:t xml:space="preserve"> ICT processes</w:t>
      </w:r>
      <w:r w:rsidR="009863F6">
        <w:rPr>
          <w:noProof/>
          <w:lang w:eastAsia="en-IE"/>
        </w:rPr>
        <w:t>, managed security services or entities the cyber posture of which is certified</w:t>
      </w:r>
      <w:r w:rsidR="00AA1F01">
        <w:rPr>
          <w:noProof/>
          <w:lang w:eastAsia="en-IE"/>
        </w:rPr>
        <w:t xml:space="preserve"> without undue delay</w:t>
      </w:r>
      <w:r w:rsidR="00AA1F01" w:rsidRPr="00C135CB">
        <w:rPr>
          <w:noProof/>
          <w:lang w:eastAsia="en-IE"/>
        </w:rPr>
        <w:t xml:space="preserve"> with relevant information on </w:t>
      </w:r>
      <w:r w:rsidR="00AA1F01" w:rsidRPr="00C135CB" w:rsidDel="00353006">
        <w:rPr>
          <w:noProof/>
          <w:lang w:eastAsia="en-IE"/>
        </w:rPr>
        <w:t xml:space="preserve">issues relating to </w:t>
      </w:r>
      <w:r w:rsidR="00AA1F01" w:rsidRPr="00C135CB">
        <w:rPr>
          <w:noProof/>
          <w:lang w:eastAsia="en-IE"/>
        </w:rPr>
        <w:t>negative and, upon request, positive conformity assessment results.</w:t>
      </w:r>
    </w:p>
    <w:p w14:paraId="7BE5B5D1" w14:textId="1E46D072" w:rsidR="00AA1F01" w:rsidRDefault="006D01CD" w:rsidP="006D01CD">
      <w:pPr>
        <w:pStyle w:val="ManualNumPar1"/>
        <w:rPr>
          <w:noProof/>
          <w:lang w:eastAsia="en-IE"/>
        </w:rPr>
      </w:pPr>
      <w:r w:rsidRPr="006D01CD">
        <w:rPr>
          <w:noProof/>
        </w:rPr>
        <w:t>4.</w:t>
      </w:r>
      <w:r w:rsidRPr="006D01CD">
        <w:rPr>
          <w:noProof/>
        </w:rPr>
        <w:tab/>
      </w:r>
      <w:r w:rsidR="00AA1F01" w:rsidRPr="00C135CB">
        <w:rPr>
          <w:noProof/>
          <w:lang w:eastAsia="en-IE"/>
        </w:rPr>
        <w:t>Conformity assessment bodies shall maintain a record system, contain</w:t>
      </w:r>
      <w:r w:rsidR="00AA1F01">
        <w:rPr>
          <w:noProof/>
          <w:lang w:eastAsia="en-IE"/>
        </w:rPr>
        <w:t>ing</w:t>
      </w:r>
      <w:r w:rsidR="00AA1F01" w:rsidRPr="00C135CB">
        <w:rPr>
          <w:noProof/>
          <w:lang w:eastAsia="en-IE"/>
        </w:rPr>
        <w:t xml:space="preserve"> all the documents and evidence produced or received in connection with each evaluation and certification that they perform.</w:t>
      </w:r>
      <w:r w:rsidR="00AA1F01">
        <w:rPr>
          <w:noProof/>
          <w:lang w:eastAsia="en-IE"/>
        </w:rPr>
        <w:t xml:space="preserve"> The record shall be stored </w:t>
      </w:r>
      <w:r w:rsidR="00AA1F01" w:rsidRPr="00C135CB">
        <w:rPr>
          <w:noProof/>
          <w:lang w:eastAsia="en-IE"/>
        </w:rPr>
        <w:t xml:space="preserve">in a secure and accessible manner for the period necessary for the purposes of certification and for at least </w:t>
      </w:r>
      <w:r w:rsidR="00AA1F01">
        <w:rPr>
          <w:noProof/>
          <w:lang w:eastAsia="en-IE"/>
        </w:rPr>
        <w:t>five</w:t>
      </w:r>
      <w:r w:rsidR="00AA1F01" w:rsidRPr="00C135CB">
        <w:rPr>
          <w:noProof/>
          <w:lang w:eastAsia="en-IE"/>
        </w:rPr>
        <w:t xml:space="preserve"> years after the expiry or withdrawal of a relevant European cybersecurity certificate. </w:t>
      </w:r>
    </w:p>
    <w:p w14:paraId="367D0425" w14:textId="77777777" w:rsidR="00AA1F01" w:rsidRDefault="00AA1F01" w:rsidP="00AA1F01">
      <w:pPr>
        <w:jc w:val="center"/>
        <w:rPr>
          <w:b/>
          <w:bCs/>
          <w:noProof/>
        </w:rPr>
      </w:pPr>
    </w:p>
    <w:p w14:paraId="7514C499" w14:textId="77777777" w:rsidR="00AA1F01" w:rsidRPr="00006782" w:rsidRDefault="00AA1F01" w:rsidP="00AA1F01">
      <w:pPr>
        <w:jc w:val="center"/>
        <w:rPr>
          <w:b/>
          <w:bCs/>
          <w:noProof/>
        </w:rPr>
      </w:pPr>
      <w:r w:rsidRPr="00006782">
        <w:rPr>
          <w:b/>
          <w:bCs/>
          <w:noProof/>
        </w:rPr>
        <w:t>Section 3</w:t>
      </w:r>
      <w:r>
        <w:rPr>
          <w:b/>
          <w:bCs/>
          <w:noProof/>
        </w:rPr>
        <w:br/>
      </w:r>
      <w:r w:rsidRPr="00006782">
        <w:rPr>
          <w:b/>
          <w:bCs/>
          <w:noProof/>
        </w:rPr>
        <w:t>Other provisions</w:t>
      </w:r>
    </w:p>
    <w:p w14:paraId="38C71486" w14:textId="77777777" w:rsidR="00AA1F01" w:rsidRPr="00656CE3" w:rsidRDefault="00AA1F01" w:rsidP="00AA1F01">
      <w:pPr>
        <w:pStyle w:val="Titrearticle"/>
        <w:rPr>
          <w:noProof/>
          <w:lang w:eastAsia="en-IE"/>
        </w:rPr>
      </w:pPr>
      <w:r w:rsidRPr="3F23E523">
        <w:rPr>
          <w:noProof/>
          <w:lang w:eastAsia="en-IE"/>
        </w:rPr>
        <w:t>Article 9</w:t>
      </w:r>
      <w:r>
        <w:rPr>
          <w:noProof/>
          <w:lang w:eastAsia="en-IE"/>
        </w:rPr>
        <w:t>6</w:t>
      </w:r>
      <w:r>
        <w:rPr>
          <w:noProof/>
          <w:lang w:eastAsia="en-IE"/>
        </w:rPr>
        <w:br/>
      </w:r>
      <w:r w:rsidRPr="00066EBF">
        <w:rPr>
          <w:noProof/>
          <w:lang w:eastAsia="en-IE"/>
        </w:rPr>
        <w:t xml:space="preserve">Rights to lodge a complaint and right to an effective judicial remedy  </w:t>
      </w:r>
    </w:p>
    <w:p w14:paraId="486B24BB" w14:textId="1FDDE27E" w:rsidR="00AA1F01" w:rsidRPr="00EA2DB0" w:rsidRDefault="006D01CD" w:rsidP="006D01CD">
      <w:pPr>
        <w:pStyle w:val="ManualNumPar1"/>
        <w:rPr>
          <w:noProof/>
          <w:lang w:eastAsia="en-IE"/>
        </w:rPr>
      </w:pPr>
      <w:r w:rsidRPr="006D01CD">
        <w:rPr>
          <w:noProof/>
        </w:rPr>
        <w:t>1.</w:t>
      </w:r>
      <w:r w:rsidRPr="006D01CD">
        <w:rPr>
          <w:noProof/>
        </w:rPr>
        <w:tab/>
      </w:r>
      <w:r w:rsidR="00AA1F01" w:rsidRPr="00EA2DB0">
        <w:rPr>
          <w:noProof/>
          <w:lang w:eastAsia="en-IE"/>
        </w:rPr>
        <w:t>Natural and legal persons shall have the right to lodge a complaint with the issuer of a European cybersecurity certificate or, where the complaint relates to a European cybersecurity certificate issued by a conformity assessment body when acting in accordance with Article 85(4), with the relevant national cybersecurity certification authority.</w:t>
      </w:r>
    </w:p>
    <w:p w14:paraId="516D01C9" w14:textId="645DD391" w:rsidR="00AA1F01" w:rsidRPr="00EA2DB0" w:rsidRDefault="006D01CD" w:rsidP="006D01CD">
      <w:pPr>
        <w:pStyle w:val="ManualNumPar1"/>
        <w:rPr>
          <w:noProof/>
          <w:lang w:eastAsia="en-IE"/>
        </w:rPr>
      </w:pPr>
      <w:r w:rsidRPr="006D01CD">
        <w:rPr>
          <w:noProof/>
        </w:rPr>
        <w:t>2.</w:t>
      </w:r>
      <w:r w:rsidRPr="006D01CD">
        <w:rPr>
          <w:noProof/>
        </w:rPr>
        <w:tab/>
      </w:r>
      <w:r w:rsidR="00AA1F01" w:rsidRPr="00EA2DB0">
        <w:rPr>
          <w:noProof/>
          <w:lang w:eastAsia="en-IE"/>
        </w:rPr>
        <w:t>The authority or body with which the complaint has been lodged shall inform the complainant of the progress of the proceedings</w:t>
      </w:r>
      <w:r w:rsidR="00AA1F01">
        <w:rPr>
          <w:noProof/>
          <w:lang w:eastAsia="en-IE"/>
        </w:rPr>
        <w:t>,</w:t>
      </w:r>
      <w:r w:rsidR="00AA1F01" w:rsidRPr="00EA2DB0">
        <w:rPr>
          <w:noProof/>
          <w:lang w:eastAsia="en-IE"/>
        </w:rPr>
        <w:t xml:space="preserve"> of the decision taken, and of the right to an effective judicial remedy referred to in paragraphs 3 and 4.</w:t>
      </w:r>
    </w:p>
    <w:p w14:paraId="5DEA4C6B" w14:textId="4CA4ABC0" w:rsidR="00AA1F01" w:rsidRPr="00EA2DB0" w:rsidRDefault="006D01CD" w:rsidP="006D01CD">
      <w:pPr>
        <w:pStyle w:val="ManualNumPar1"/>
        <w:rPr>
          <w:noProof/>
          <w:color w:val="000000"/>
          <w:lang w:eastAsia="en-IE"/>
        </w:rPr>
      </w:pPr>
      <w:r w:rsidRPr="006D01CD">
        <w:rPr>
          <w:noProof/>
        </w:rPr>
        <w:t>3.</w:t>
      </w:r>
      <w:r w:rsidRPr="006D01CD">
        <w:rPr>
          <w:noProof/>
        </w:rPr>
        <w:tab/>
      </w:r>
      <w:r w:rsidR="00AA1F01" w:rsidRPr="00EA2DB0">
        <w:rPr>
          <w:noProof/>
          <w:lang w:eastAsia="en-IE"/>
        </w:rPr>
        <w:t>Notwithstanding any administrative or other non-judicial remedies, natural and legal persons shall have the right to an effective judicial remedy with regard to:</w:t>
      </w:r>
    </w:p>
    <w:p w14:paraId="00827AE5" w14:textId="7E06241F" w:rsidR="00AA1F01" w:rsidRPr="00EA2DB0" w:rsidRDefault="006D01CD" w:rsidP="006D01CD">
      <w:pPr>
        <w:pStyle w:val="Point1"/>
        <w:rPr>
          <w:noProof/>
        </w:rPr>
      </w:pPr>
      <w:r w:rsidRPr="006D01CD">
        <w:rPr>
          <w:noProof/>
        </w:rPr>
        <w:t>(a)</w:t>
      </w:r>
      <w:r w:rsidRPr="006D01CD">
        <w:rPr>
          <w:noProof/>
        </w:rPr>
        <w:tab/>
      </w:r>
      <w:r w:rsidR="00AA1F01" w:rsidRPr="00EA2DB0">
        <w:rPr>
          <w:noProof/>
        </w:rPr>
        <w:t>decisions taken by the authority or body referred to in paragraph 1 including, where applicable, in relation to the improper issuing, failure to issue or recognition of a European cybersecurity certificate held by those natural and legal persons;</w:t>
      </w:r>
    </w:p>
    <w:p w14:paraId="28B14463" w14:textId="38BE77C9" w:rsidR="00AA1F01" w:rsidRPr="00EA2DB0" w:rsidRDefault="006D01CD" w:rsidP="006D01CD">
      <w:pPr>
        <w:pStyle w:val="Point1"/>
        <w:rPr>
          <w:noProof/>
        </w:rPr>
      </w:pPr>
      <w:r w:rsidRPr="006D01CD">
        <w:rPr>
          <w:noProof/>
        </w:rPr>
        <w:t>(b)</w:t>
      </w:r>
      <w:r w:rsidRPr="006D01CD">
        <w:rPr>
          <w:noProof/>
        </w:rPr>
        <w:tab/>
      </w:r>
      <w:r w:rsidR="00AA1F01" w:rsidRPr="00EA2DB0">
        <w:rPr>
          <w:noProof/>
        </w:rPr>
        <w:t>a failure to act on a complaint lodged with the authority or body referred to in paragraph 1.</w:t>
      </w:r>
    </w:p>
    <w:p w14:paraId="33994F5A" w14:textId="79D95A2D" w:rsidR="00AA1F01" w:rsidRPr="00EA2DB0" w:rsidRDefault="006D01CD" w:rsidP="006D01CD">
      <w:pPr>
        <w:pStyle w:val="ManualNumPar1"/>
        <w:rPr>
          <w:noProof/>
          <w:color w:val="000000"/>
          <w:lang w:eastAsia="en-IE"/>
        </w:rPr>
      </w:pPr>
      <w:r w:rsidRPr="006D01CD">
        <w:rPr>
          <w:noProof/>
        </w:rPr>
        <w:t>4.</w:t>
      </w:r>
      <w:r w:rsidRPr="006D01CD">
        <w:rPr>
          <w:noProof/>
        </w:rPr>
        <w:tab/>
      </w:r>
      <w:r w:rsidR="00AA1F01" w:rsidRPr="00EA2DB0">
        <w:rPr>
          <w:noProof/>
          <w:lang w:eastAsia="en-IE"/>
        </w:rPr>
        <w:t>Proceedings pursuant to this Article shall be brought before the courts of the Member State in which the authority or body against which the judicial remedy is sought is located.</w:t>
      </w:r>
    </w:p>
    <w:p w14:paraId="1B85F651" w14:textId="77777777" w:rsidR="00AA1F01" w:rsidRPr="00B30C85" w:rsidRDefault="00AA1F01" w:rsidP="00B30C85">
      <w:pPr>
        <w:pStyle w:val="Titrearticle"/>
        <w:rPr>
          <w:noProof/>
          <w:lang w:eastAsia="en-IE"/>
        </w:rPr>
      </w:pPr>
      <w:r w:rsidRPr="00656CE3">
        <w:rPr>
          <w:noProof/>
          <w:lang w:eastAsia="en-IE"/>
        </w:rPr>
        <w:t>Article 9</w:t>
      </w:r>
      <w:r>
        <w:rPr>
          <w:noProof/>
          <w:lang w:eastAsia="en-IE"/>
        </w:rPr>
        <w:t>7</w:t>
      </w:r>
      <w:r w:rsidR="00B30C85">
        <w:rPr>
          <w:noProof/>
          <w:lang w:eastAsia="en-IE"/>
        </w:rPr>
        <w:br/>
      </w:r>
      <w:r>
        <w:rPr>
          <w:noProof/>
          <w:lang w:eastAsia="en-IE"/>
        </w:rPr>
        <w:t>Penalties</w:t>
      </w:r>
    </w:p>
    <w:p w14:paraId="7D474F9C" w14:textId="77777777" w:rsidR="00AA1F01" w:rsidRPr="005E74EE" w:rsidRDefault="00AA1F01" w:rsidP="00B30C85">
      <w:pPr>
        <w:rPr>
          <w:noProof/>
          <w:color w:val="000000"/>
          <w:lang w:eastAsia="en-IE"/>
        </w:rPr>
      </w:pPr>
      <w:r w:rsidRPr="00EA2DB0">
        <w:rPr>
          <w:noProof/>
          <w:lang w:eastAsia="en-IE"/>
        </w:rPr>
        <w:t>Member States shall lay down the rules on penalties applicable to infringements of this Title and to infringements of European cybersecurity certification schemes, and shall take all measures necessary to ensure that they are implemented. The penalties provided for shall be effective, proportionate and dissuasive. Member States shall without delay notify the Commission of those rules and of those measures and shall notify it of any subsequent amendment affecting them.</w:t>
      </w:r>
    </w:p>
    <w:p w14:paraId="33C6157C" w14:textId="77777777" w:rsidR="00AA1F01" w:rsidRDefault="00AA1F01" w:rsidP="00AA1F01">
      <w:pPr>
        <w:rPr>
          <w:b/>
          <w:bCs/>
          <w:noProof/>
        </w:rPr>
      </w:pPr>
    </w:p>
    <w:p w14:paraId="51331761" w14:textId="7240A04F" w:rsidR="00AA1F01" w:rsidRDefault="00AA1F01" w:rsidP="00AA1F01">
      <w:pPr>
        <w:jc w:val="center"/>
        <w:rPr>
          <w:b/>
          <w:bCs/>
          <w:noProof/>
        </w:rPr>
      </w:pPr>
      <w:r w:rsidRPr="00EA2DB0">
        <w:rPr>
          <w:b/>
          <w:bCs/>
          <w:noProof/>
        </w:rPr>
        <w:t>TITLE IV</w:t>
      </w:r>
      <w:r>
        <w:rPr>
          <w:b/>
          <w:bCs/>
          <w:noProof/>
        </w:rPr>
        <w:br/>
      </w:r>
      <w:r w:rsidR="00CE11BB" w:rsidRPr="004D0494">
        <w:rPr>
          <w:b/>
          <w:bCs/>
          <w:noProof/>
        </w:rPr>
        <w:t>SECURITY OF ICT SUPPLY CHAINS</w:t>
      </w:r>
    </w:p>
    <w:p w14:paraId="7354507A" w14:textId="77777777" w:rsidR="00630008" w:rsidRDefault="00630008" w:rsidP="00AA1F01">
      <w:pPr>
        <w:jc w:val="center"/>
        <w:rPr>
          <w:b/>
          <w:bCs/>
          <w:noProof/>
        </w:rPr>
      </w:pPr>
    </w:p>
    <w:p w14:paraId="1673BE3A" w14:textId="4DE2623F" w:rsidR="00630008" w:rsidRPr="00EA2DB0" w:rsidRDefault="00630008" w:rsidP="00AA1F01">
      <w:pPr>
        <w:jc w:val="center"/>
        <w:rPr>
          <w:b/>
          <w:bCs/>
          <w:noProof/>
        </w:rPr>
      </w:pPr>
      <w:r w:rsidRPr="00D45456">
        <w:rPr>
          <w:b/>
          <w:bCs/>
          <w:i/>
          <w:iCs/>
          <w:noProof/>
        </w:rPr>
        <w:t>CHAPTER I</w:t>
      </w:r>
      <w:r w:rsidRPr="00D45456">
        <w:rPr>
          <w:b/>
          <w:bCs/>
          <w:i/>
          <w:iCs/>
          <w:noProof/>
        </w:rPr>
        <w:br/>
      </w:r>
      <w:r w:rsidRPr="001C0052">
        <w:rPr>
          <w:b/>
          <w:bCs/>
          <w:i/>
          <w:iCs/>
          <w:noProof/>
        </w:rPr>
        <w:t>Trusted ICT supply chain</w:t>
      </w:r>
      <w:r>
        <w:rPr>
          <w:b/>
          <w:bCs/>
          <w:i/>
          <w:iCs/>
          <w:noProof/>
        </w:rPr>
        <w:t xml:space="preserve"> framework</w:t>
      </w:r>
    </w:p>
    <w:p w14:paraId="3014BC35" w14:textId="32831E23" w:rsidR="00AA1F01" w:rsidRDefault="00AA1F01" w:rsidP="00AA1F01">
      <w:pPr>
        <w:pStyle w:val="Titrearticle"/>
        <w:rPr>
          <w:noProof/>
        </w:rPr>
      </w:pPr>
      <w:r>
        <w:rPr>
          <w:noProof/>
        </w:rPr>
        <w:t>Article 98</w:t>
      </w:r>
      <w:r>
        <w:rPr>
          <w:noProof/>
        </w:rPr>
        <w:br/>
      </w:r>
      <w:r w:rsidR="00630008" w:rsidRPr="004D0494">
        <w:rPr>
          <w:noProof/>
        </w:rPr>
        <w:t>Scope of the framework</w:t>
      </w:r>
    </w:p>
    <w:p w14:paraId="6F887C93" w14:textId="3C0729BF" w:rsidR="00630008" w:rsidRPr="00630008" w:rsidRDefault="006D01CD" w:rsidP="006D01CD">
      <w:pPr>
        <w:pStyle w:val="ManualNumPar1"/>
        <w:rPr>
          <w:noProof/>
        </w:rPr>
      </w:pPr>
      <w:r w:rsidRPr="006D01CD">
        <w:rPr>
          <w:noProof/>
        </w:rPr>
        <w:t>1.</w:t>
      </w:r>
      <w:r w:rsidRPr="006D01CD">
        <w:rPr>
          <w:noProof/>
        </w:rPr>
        <w:tab/>
      </w:r>
      <w:r w:rsidR="00630008" w:rsidRPr="00630008">
        <w:rPr>
          <w:noProof/>
        </w:rPr>
        <w:t>The trusted ICT supply chain framework shall provide for a security mechanism at Union level to address non-technical risks in sectors of high criticality and other critical sectors as referred to in Directive (EU) 2022/2555. The mechanism shall identify key ICT assets in critical ICT supply chains and set out appropriate and proportionate mitigation measures on entities of the type referred to in Annexes I and II to Directive (EU) 2022/2555.</w:t>
      </w:r>
    </w:p>
    <w:p w14:paraId="621FF5C8" w14:textId="27748460" w:rsidR="00630008" w:rsidRPr="00630008" w:rsidRDefault="006D01CD" w:rsidP="006D01CD">
      <w:pPr>
        <w:pStyle w:val="ManualNumPar1"/>
        <w:rPr>
          <w:noProof/>
        </w:rPr>
      </w:pPr>
      <w:r w:rsidRPr="006D01CD">
        <w:rPr>
          <w:noProof/>
        </w:rPr>
        <w:t>2.</w:t>
      </w:r>
      <w:r w:rsidRPr="006D01CD">
        <w:rPr>
          <w:noProof/>
        </w:rPr>
        <w:tab/>
      </w:r>
      <w:r w:rsidR="00630008" w:rsidRPr="00630008">
        <w:rPr>
          <w:noProof/>
        </w:rPr>
        <w:t>The obligations set out in this Title shall be without prejudice to obligations set out in Article 13 of Regulation (EU) 2024/2847 and in national provisions transposing Article 21 of Directive (EU) 2022/2555.</w:t>
      </w:r>
    </w:p>
    <w:p w14:paraId="7F24E686" w14:textId="61963427" w:rsidR="00630008" w:rsidRPr="00630008" w:rsidRDefault="006D01CD" w:rsidP="006D01CD">
      <w:pPr>
        <w:pStyle w:val="ManualNumPar1"/>
        <w:rPr>
          <w:noProof/>
        </w:rPr>
      </w:pPr>
      <w:r w:rsidRPr="006D01CD">
        <w:rPr>
          <w:noProof/>
        </w:rPr>
        <w:t>3.</w:t>
      </w:r>
      <w:r w:rsidRPr="006D01CD">
        <w:rPr>
          <w:noProof/>
        </w:rPr>
        <w:tab/>
      </w:r>
      <w:r w:rsidR="00630008" w:rsidRPr="00630008">
        <w:rPr>
          <w:noProof/>
        </w:rPr>
        <w:t xml:space="preserve">The provisions laid down in this Chapter shall not preclude Member States from adopting or maintaining provisions ensuring a higher level of cybersecurity in ICT supply chains, provided that such provisions are consistent with </w:t>
      </w:r>
      <w:r w:rsidR="0024121A">
        <w:rPr>
          <w:noProof/>
        </w:rPr>
        <w:t>their</w:t>
      </w:r>
      <w:r w:rsidR="00630008" w:rsidRPr="00630008">
        <w:rPr>
          <w:noProof/>
        </w:rPr>
        <w:t xml:space="preserve"> obligations </w:t>
      </w:r>
      <w:r w:rsidR="0024121A">
        <w:rPr>
          <w:noProof/>
        </w:rPr>
        <w:t>under</w:t>
      </w:r>
      <w:r w:rsidR="00630008" w:rsidRPr="00630008">
        <w:rPr>
          <w:noProof/>
        </w:rPr>
        <w:t xml:space="preserve"> in Union law. </w:t>
      </w:r>
    </w:p>
    <w:p w14:paraId="2684FA2C" w14:textId="68F4C842" w:rsidR="00AA1F01" w:rsidRDefault="00AA1F01" w:rsidP="00AA1F01">
      <w:pPr>
        <w:pStyle w:val="Titrearticle"/>
        <w:rPr>
          <w:noProof/>
        </w:rPr>
      </w:pPr>
      <w:r>
        <w:rPr>
          <w:noProof/>
        </w:rPr>
        <w:t>Article 99</w:t>
      </w:r>
      <w:r>
        <w:rPr>
          <w:noProof/>
        </w:rPr>
        <w:br/>
      </w:r>
      <w:r w:rsidR="00630008">
        <w:rPr>
          <w:noProof/>
        </w:rPr>
        <w:t>S</w:t>
      </w:r>
      <w:r w:rsidR="00630008" w:rsidRPr="004D0494">
        <w:rPr>
          <w:noProof/>
        </w:rPr>
        <w:t>ecurity risk assessments</w:t>
      </w:r>
    </w:p>
    <w:p w14:paraId="3BCA2639" w14:textId="6C628369" w:rsidR="007314F8" w:rsidRPr="007314F8" w:rsidRDefault="00F5694D" w:rsidP="006D01CD">
      <w:pPr>
        <w:pStyle w:val="ManualNumPar1"/>
        <w:rPr>
          <w:noProof/>
        </w:rPr>
      </w:pPr>
      <w:r>
        <w:rPr>
          <w:noProof/>
        </w:rPr>
        <w:t>1</w:t>
      </w:r>
      <w:r w:rsidR="006D01CD" w:rsidRPr="006D01CD">
        <w:rPr>
          <w:noProof/>
        </w:rPr>
        <w:t>.</w:t>
      </w:r>
      <w:r w:rsidR="006D01CD" w:rsidRPr="006D01CD">
        <w:rPr>
          <w:noProof/>
        </w:rPr>
        <w:tab/>
      </w:r>
      <w:r w:rsidR="007314F8" w:rsidRPr="007314F8">
        <w:rPr>
          <w:noProof/>
        </w:rPr>
        <w:t xml:space="preserve">The Commission or a group of at least three Member States may request the Cooperation Group established by Article 14 of Directive (EU) 2022/2555 (‘NIS Cooperation Group’) to conduct the Union-level coordinated security risk assessments in accordance with Article 22 of </w:t>
      </w:r>
      <w:r w:rsidR="0024121A">
        <w:rPr>
          <w:noProof/>
        </w:rPr>
        <w:t xml:space="preserve">that </w:t>
      </w:r>
      <w:r w:rsidR="007314F8" w:rsidRPr="007314F8">
        <w:rPr>
          <w:noProof/>
        </w:rPr>
        <w:t>Directive. Where a security risk assessment is conducted following such request, it shall include in particular the proposed identification of the key ICT assets of the respective ICT supply chain as well as the main threat actors, risks and vulnerabilities affecting those assets. The Union-level coordinated security risk assessments shall develop risk scenarios and propose measures to mitigate the identified risks</w:t>
      </w:r>
      <w:r w:rsidR="00227C4D">
        <w:rPr>
          <w:noProof/>
        </w:rPr>
        <w:t xml:space="preserve">. </w:t>
      </w:r>
    </w:p>
    <w:p w14:paraId="552933BE" w14:textId="1A583980" w:rsidR="007314F8" w:rsidRPr="007314F8" w:rsidRDefault="00F5694D" w:rsidP="006D01CD">
      <w:pPr>
        <w:pStyle w:val="ManualNumPar1"/>
        <w:rPr>
          <w:noProof/>
        </w:rPr>
      </w:pPr>
      <w:r>
        <w:rPr>
          <w:noProof/>
        </w:rPr>
        <w:t>2</w:t>
      </w:r>
      <w:r w:rsidR="006D01CD" w:rsidRPr="006D01CD">
        <w:rPr>
          <w:noProof/>
        </w:rPr>
        <w:t>.</w:t>
      </w:r>
      <w:r w:rsidR="006D01CD" w:rsidRPr="006D01CD">
        <w:rPr>
          <w:noProof/>
        </w:rPr>
        <w:tab/>
      </w:r>
      <w:r w:rsidR="007314F8" w:rsidRPr="007314F8">
        <w:rPr>
          <w:noProof/>
        </w:rPr>
        <w:t xml:space="preserve">The Union-level coordinated security risk assessments shall be completed within six months from the request referred to in paragraph 1. Upon request of the Commission, the NIS Cooperation Group may agree to a shorter period.  </w:t>
      </w:r>
    </w:p>
    <w:p w14:paraId="28B2F477" w14:textId="45A29BC5" w:rsidR="007314F8" w:rsidRPr="007314F8" w:rsidRDefault="00F5694D" w:rsidP="006D01CD">
      <w:pPr>
        <w:pStyle w:val="ManualNumPar1"/>
        <w:rPr>
          <w:noProof/>
        </w:rPr>
      </w:pPr>
      <w:r>
        <w:rPr>
          <w:noProof/>
        </w:rPr>
        <w:t>3</w:t>
      </w:r>
      <w:r w:rsidR="006D01CD" w:rsidRPr="006D01CD">
        <w:rPr>
          <w:noProof/>
        </w:rPr>
        <w:t>.</w:t>
      </w:r>
      <w:r w:rsidR="006D01CD" w:rsidRPr="006D01CD">
        <w:rPr>
          <w:noProof/>
        </w:rPr>
        <w:tab/>
      </w:r>
      <w:r w:rsidR="007314F8" w:rsidRPr="007314F8">
        <w:rPr>
          <w:noProof/>
        </w:rPr>
        <w:t>Where the Commission has sufficient reason to believe that there is a significant cyber threat for the security of the Union in relation to an ICT supply chain and that action is required to preserve the proper functioning of the internal market, the Commission shall without delay:</w:t>
      </w:r>
    </w:p>
    <w:p w14:paraId="7459370B" w14:textId="1A96D018" w:rsidR="007314F8" w:rsidRPr="007314F8" w:rsidRDefault="006D01CD" w:rsidP="006D01CD">
      <w:pPr>
        <w:pStyle w:val="Point1"/>
        <w:rPr>
          <w:noProof/>
        </w:rPr>
      </w:pPr>
      <w:r w:rsidRPr="006D01CD">
        <w:rPr>
          <w:noProof/>
        </w:rPr>
        <w:t>(a)</w:t>
      </w:r>
      <w:r w:rsidRPr="006D01CD">
        <w:rPr>
          <w:noProof/>
        </w:rPr>
        <w:tab/>
      </w:r>
      <w:r w:rsidR="007314F8" w:rsidRPr="007314F8">
        <w:rPr>
          <w:noProof/>
        </w:rPr>
        <w:t>consult the Member States on the need to take one or several of the mitigating measures referred to in Article 103; and</w:t>
      </w:r>
    </w:p>
    <w:p w14:paraId="53B7587A" w14:textId="7E017FF5" w:rsidR="007314F8" w:rsidRPr="007314F8" w:rsidRDefault="006D01CD" w:rsidP="006D01CD">
      <w:pPr>
        <w:pStyle w:val="Point1"/>
        <w:rPr>
          <w:noProof/>
        </w:rPr>
      </w:pPr>
      <w:r w:rsidRPr="006D01CD">
        <w:rPr>
          <w:noProof/>
        </w:rPr>
        <w:t>(b)</w:t>
      </w:r>
      <w:r w:rsidRPr="006D01CD">
        <w:rPr>
          <w:noProof/>
        </w:rPr>
        <w:tab/>
      </w:r>
      <w:r w:rsidR="007314F8" w:rsidRPr="007314F8">
        <w:rPr>
          <w:noProof/>
        </w:rPr>
        <w:t>conduct a security risk assessment, taking into account the consultation of the Member States. The security risk assessment shall include the proposed identification of the key ICT assets as well as the main threat actors, risks and vulnerabilities affecting those assets. The security risk assessment shall develop risk scenarios and propose measures to mitigate the identified risks.</w:t>
      </w:r>
    </w:p>
    <w:p w14:paraId="567E374F" w14:textId="64EF790F" w:rsidR="00AA1F01" w:rsidRDefault="00AA1F01" w:rsidP="00AA1F01">
      <w:pPr>
        <w:pStyle w:val="Titrearticle"/>
        <w:rPr>
          <w:noProof/>
        </w:rPr>
      </w:pPr>
      <w:r>
        <w:rPr>
          <w:noProof/>
        </w:rPr>
        <w:t>Article 100</w:t>
      </w:r>
      <w:r>
        <w:rPr>
          <w:noProof/>
        </w:rPr>
        <w:br/>
      </w:r>
      <w:r w:rsidR="007314F8" w:rsidRPr="001C0052">
        <w:rPr>
          <w:noProof/>
        </w:rPr>
        <w:t>Designation of third countries posing cybersecurity concerns</w:t>
      </w:r>
    </w:p>
    <w:p w14:paraId="0081FBA1" w14:textId="63884665" w:rsidR="007314F8" w:rsidRPr="007314F8" w:rsidRDefault="006D01CD" w:rsidP="006D01CD">
      <w:pPr>
        <w:pStyle w:val="ManualNumPar1"/>
        <w:rPr>
          <w:noProof/>
          <w:lang w:val="en-IE"/>
        </w:rPr>
      </w:pPr>
      <w:r w:rsidRPr="006D01CD">
        <w:rPr>
          <w:noProof/>
        </w:rPr>
        <w:t>1.</w:t>
      </w:r>
      <w:r w:rsidRPr="006D01CD">
        <w:rPr>
          <w:noProof/>
        </w:rPr>
        <w:tab/>
      </w:r>
      <w:r w:rsidR="007314F8" w:rsidRPr="007314F8">
        <w:rPr>
          <w:noProof/>
          <w:lang w:val="en-IE"/>
        </w:rPr>
        <w:t xml:space="preserve">Where, as a result of the security risk assessment referred to in Article 99, or based on other sources, such as a public statement on behalf of the Union or a Member State, it appears that a third country poses </w:t>
      </w:r>
      <w:r w:rsidR="00076BA2">
        <w:rPr>
          <w:noProof/>
          <w:lang w:val="en-IE"/>
        </w:rPr>
        <w:t xml:space="preserve">a </w:t>
      </w:r>
      <w:r w:rsidR="007314F8" w:rsidRPr="007314F8">
        <w:rPr>
          <w:noProof/>
          <w:lang w:val="en-IE"/>
        </w:rPr>
        <w:t xml:space="preserve">serious and structural non-technical risk to ICT supply chains, the Commission shall verify the </w:t>
      </w:r>
      <w:r w:rsidR="00076BA2">
        <w:rPr>
          <w:noProof/>
          <w:lang w:val="en-IE"/>
        </w:rPr>
        <w:t>risk</w:t>
      </w:r>
      <w:r w:rsidR="00076BA2" w:rsidRPr="007314F8">
        <w:rPr>
          <w:noProof/>
          <w:lang w:val="en-IE"/>
        </w:rPr>
        <w:t xml:space="preserve"> </w:t>
      </w:r>
      <w:r w:rsidR="007314F8" w:rsidRPr="007314F8">
        <w:rPr>
          <w:noProof/>
          <w:lang w:val="en-IE"/>
        </w:rPr>
        <w:t xml:space="preserve">posed by that country, taking into account the following elements: </w:t>
      </w:r>
    </w:p>
    <w:p w14:paraId="159EECDD" w14:textId="7C3049B3" w:rsidR="007314F8" w:rsidRPr="007314F8" w:rsidRDefault="006D01CD" w:rsidP="006D01CD">
      <w:pPr>
        <w:pStyle w:val="Point1"/>
        <w:rPr>
          <w:noProof/>
          <w:lang w:val="en-IE"/>
        </w:rPr>
      </w:pPr>
      <w:r w:rsidRPr="006D01CD">
        <w:rPr>
          <w:noProof/>
        </w:rPr>
        <w:t>(a)</w:t>
      </w:r>
      <w:r w:rsidRPr="006D01CD">
        <w:rPr>
          <w:noProof/>
        </w:rPr>
        <w:tab/>
      </w:r>
      <w:r w:rsidR="007314F8" w:rsidRPr="007314F8">
        <w:rPr>
          <w:noProof/>
          <w:lang w:val="en-IE"/>
        </w:rPr>
        <w:t xml:space="preserve">the existence of laws in the third country which require entities under their jurisdiction to report information on software or hardware vulnerabilities to authorities of that third country prior to those vulnerabilities being known to have been exploited; </w:t>
      </w:r>
    </w:p>
    <w:p w14:paraId="0CF1958F" w14:textId="4E966F15" w:rsidR="007314F8" w:rsidRPr="001C0052" w:rsidRDefault="006D01CD" w:rsidP="006D01CD">
      <w:pPr>
        <w:pStyle w:val="Point1"/>
        <w:rPr>
          <w:noProof/>
          <w:lang w:val="en-IE"/>
        </w:rPr>
      </w:pPr>
      <w:r w:rsidRPr="006D01CD">
        <w:rPr>
          <w:noProof/>
        </w:rPr>
        <w:t>(b)</w:t>
      </w:r>
      <w:r w:rsidRPr="006D01CD">
        <w:rPr>
          <w:noProof/>
        </w:rPr>
        <w:tab/>
      </w:r>
      <w:r w:rsidR="007314F8" w:rsidRPr="001C0052">
        <w:rPr>
          <w:noProof/>
          <w:lang w:val="en-IE"/>
        </w:rPr>
        <w:t>existing practices in the third country, demonstrated by independent sources, that require entities under the jurisdiction of the third country to report information on software or hardware vulnerabilities to authorities of that third country prior to those vulnerabilities being known to have been exploited;</w:t>
      </w:r>
    </w:p>
    <w:p w14:paraId="2B034191" w14:textId="44B0D2DE" w:rsidR="007314F8" w:rsidRPr="001C0052" w:rsidRDefault="006D01CD" w:rsidP="006D01CD">
      <w:pPr>
        <w:pStyle w:val="Point1"/>
        <w:rPr>
          <w:noProof/>
          <w:lang w:val="en-IE"/>
        </w:rPr>
      </w:pPr>
      <w:r w:rsidRPr="006D01CD">
        <w:rPr>
          <w:noProof/>
        </w:rPr>
        <w:t>(c)</w:t>
      </w:r>
      <w:r w:rsidRPr="006D01CD">
        <w:rPr>
          <w:noProof/>
        </w:rPr>
        <w:tab/>
      </w:r>
      <w:r w:rsidR="007314F8" w:rsidRPr="001C0052">
        <w:rPr>
          <w:noProof/>
          <w:lang w:val="en-IE"/>
        </w:rPr>
        <w:t xml:space="preserve">the absence of effective judicial remedies, and independent and democratic control mechanisms, that can correct the identified security concerns, including about existing practices referred to in point (b); </w:t>
      </w:r>
    </w:p>
    <w:p w14:paraId="36F712C2" w14:textId="1B55C69A" w:rsidR="007314F8" w:rsidRPr="001C0052" w:rsidRDefault="006D01CD" w:rsidP="006D01CD">
      <w:pPr>
        <w:pStyle w:val="Point1"/>
        <w:rPr>
          <w:noProof/>
          <w:lang w:val="en-IE"/>
        </w:rPr>
      </w:pPr>
      <w:r w:rsidRPr="006D01CD">
        <w:rPr>
          <w:noProof/>
        </w:rPr>
        <w:t>(d)</w:t>
      </w:r>
      <w:r w:rsidRPr="006D01CD">
        <w:rPr>
          <w:noProof/>
        </w:rPr>
        <w:tab/>
      </w:r>
      <w:r w:rsidR="007314F8" w:rsidRPr="001C0052">
        <w:rPr>
          <w:noProof/>
          <w:lang w:val="en-IE"/>
        </w:rPr>
        <w:t>substantiated information about one or more incidents of threat actors controlled from that country and operating out of the territory of that country carrying out malicious cyber activities or campaigns, and the lack of ability or willingness of the third country to cooperate with the Commission or Member States to address the risk stemming from the operation of such threat actors;</w:t>
      </w:r>
    </w:p>
    <w:p w14:paraId="3F976BB7" w14:textId="2AEE844A" w:rsidR="007314F8" w:rsidRPr="001C0052" w:rsidRDefault="006D01CD" w:rsidP="006D01CD">
      <w:pPr>
        <w:pStyle w:val="Point1"/>
        <w:rPr>
          <w:noProof/>
          <w:lang w:val="en-IE"/>
        </w:rPr>
      </w:pPr>
      <w:r w:rsidRPr="006D01CD">
        <w:rPr>
          <w:noProof/>
        </w:rPr>
        <w:t>(e)</w:t>
      </w:r>
      <w:r w:rsidRPr="006D01CD">
        <w:rPr>
          <w:noProof/>
        </w:rPr>
        <w:tab/>
      </w:r>
      <w:r w:rsidR="007314F8" w:rsidRPr="001C0052">
        <w:rPr>
          <w:noProof/>
          <w:lang w:val="en-IE"/>
        </w:rPr>
        <w:t>relevant information stemming from Union-level coordinated security risk assessments or reports by Member States or international organisations.</w:t>
      </w:r>
    </w:p>
    <w:p w14:paraId="2F0C155C" w14:textId="5C2FA58A" w:rsidR="007314F8" w:rsidRPr="001C0052" w:rsidRDefault="006D01CD" w:rsidP="006D01CD">
      <w:pPr>
        <w:pStyle w:val="ManualNumPar1"/>
        <w:rPr>
          <w:noProof/>
          <w:lang w:val="en-IE"/>
        </w:rPr>
      </w:pPr>
      <w:r w:rsidRPr="006D01CD">
        <w:rPr>
          <w:noProof/>
        </w:rPr>
        <w:t>2.</w:t>
      </w:r>
      <w:r w:rsidRPr="006D01CD">
        <w:rPr>
          <w:noProof/>
        </w:rPr>
        <w:tab/>
      </w:r>
      <w:r w:rsidR="007314F8" w:rsidRPr="001C0052">
        <w:rPr>
          <w:noProof/>
          <w:lang w:val="en-IE"/>
        </w:rPr>
        <w:t>When the Commission, following the verification referred to in paragraph 1, concludes that a third country poses serious and structural non-technical risks to ICT supply chains, it may, by means of an implementing act, designate that third country as a country posing cybersecurity concerns to ICT supply chains. That implementing act shall be adopted in accordance with the examination procedure referred to in Article 11</w:t>
      </w:r>
      <w:r w:rsidR="007314F8">
        <w:rPr>
          <w:noProof/>
          <w:lang w:val="en-IE"/>
        </w:rPr>
        <w:t>8</w:t>
      </w:r>
      <w:r w:rsidR="007314F8" w:rsidRPr="001C0052">
        <w:rPr>
          <w:noProof/>
          <w:lang w:val="en-IE"/>
        </w:rPr>
        <w:t>(2).</w:t>
      </w:r>
    </w:p>
    <w:p w14:paraId="7D9C4801" w14:textId="28122C06" w:rsidR="007314F8" w:rsidRPr="001C0052" w:rsidRDefault="006D01CD" w:rsidP="006D01CD">
      <w:pPr>
        <w:pStyle w:val="ManualNumPar1"/>
        <w:rPr>
          <w:noProof/>
          <w:lang w:val="en-IE"/>
        </w:rPr>
      </w:pPr>
      <w:r w:rsidRPr="006D01CD">
        <w:rPr>
          <w:noProof/>
        </w:rPr>
        <w:t>3.</w:t>
      </w:r>
      <w:r w:rsidRPr="006D01CD">
        <w:rPr>
          <w:noProof/>
        </w:rPr>
        <w:tab/>
      </w:r>
      <w:r w:rsidR="007314F8" w:rsidRPr="001C0052">
        <w:rPr>
          <w:noProof/>
          <w:lang w:val="en-IE"/>
        </w:rPr>
        <w:t xml:space="preserve">The Commission shall review regularly the implementing acts adopted in accordance with paragraph 2.  </w:t>
      </w:r>
    </w:p>
    <w:p w14:paraId="6F83498B" w14:textId="4A0E77AE" w:rsidR="007314F8" w:rsidRPr="001C0052" w:rsidRDefault="006D01CD" w:rsidP="006D01CD">
      <w:pPr>
        <w:pStyle w:val="ManualNumPar1"/>
        <w:rPr>
          <w:noProof/>
          <w:lang w:val="en-IE"/>
        </w:rPr>
      </w:pPr>
      <w:r w:rsidRPr="006D01CD">
        <w:rPr>
          <w:noProof/>
        </w:rPr>
        <w:t>4.</w:t>
      </w:r>
      <w:r w:rsidRPr="006D01CD">
        <w:rPr>
          <w:noProof/>
        </w:rPr>
        <w:tab/>
      </w:r>
      <w:r w:rsidR="007F1A39">
        <w:rPr>
          <w:noProof/>
          <w:lang w:val="en-IE"/>
        </w:rPr>
        <w:t>High-risk suppliers</w:t>
      </w:r>
      <w:r w:rsidR="007314F8">
        <w:rPr>
          <w:noProof/>
          <w:lang w:val="en-IE"/>
        </w:rPr>
        <w:t xml:space="preserve"> </w:t>
      </w:r>
      <w:r w:rsidR="007314F8" w:rsidRPr="001C0052">
        <w:rPr>
          <w:noProof/>
          <w:lang w:val="en-IE"/>
        </w:rPr>
        <w:t>shall not be entitled to:</w:t>
      </w:r>
    </w:p>
    <w:p w14:paraId="1AA94B04" w14:textId="115020FE" w:rsidR="007314F8" w:rsidRPr="007314F8" w:rsidRDefault="006D01CD" w:rsidP="006D01CD">
      <w:pPr>
        <w:pStyle w:val="Point1"/>
        <w:rPr>
          <w:noProof/>
          <w:lang w:val="en-IE"/>
        </w:rPr>
      </w:pPr>
      <w:r w:rsidRPr="006D01CD">
        <w:rPr>
          <w:noProof/>
        </w:rPr>
        <w:t>(a)</w:t>
      </w:r>
      <w:r w:rsidRPr="006D01CD">
        <w:rPr>
          <w:noProof/>
        </w:rPr>
        <w:tab/>
      </w:r>
      <w:r w:rsidR="007314F8" w:rsidRPr="007314F8">
        <w:rPr>
          <w:noProof/>
          <w:lang w:val="en-IE"/>
        </w:rPr>
        <w:t>participate in the development of, assessment, consultation or decisions concerning European standards and European standardisation deliverables referred to in Article 10(1) of Regulation (EU) 1025/2012 and common specifications referred to in Article 27 of Regulation (EU) 2</w:t>
      </w:r>
      <w:r w:rsidR="00EF4BF5">
        <w:rPr>
          <w:noProof/>
          <w:lang w:val="en-IE"/>
        </w:rPr>
        <w:t>024/2</w:t>
      </w:r>
      <w:r w:rsidR="007314F8" w:rsidRPr="007314F8">
        <w:rPr>
          <w:noProof/>
          <w:lang w:val="en-IE"/>
        </w:rPr>
        <w:t xml:space="preserve">847 in the area of cybersecurity; </w:t>
      </w:r>
    </w:p>
    <w:p w14:paraId="6BAF931F" w14:textId="1FA4D370" w:rsidR="007314F8" w:rsidRPr="001C0052" w:rsidRDefault="006D01CD" w:rsidP="006D01CD">
      <w:pPr>
        <w:pStyle w:val="Point1"/>
        <w:rPr>
          <w:noProof/>
          <w:lang w:val="en-IE"/>
        </w:rPr>
      </w:pPr>
      <w:r w:rsidRPr="006D01CD">
        <w:rPr>
          <w:noProof/>
        </w:rPr>
        <w:t>(b)</w:t>
      </w:r>
      <w:r w:rsidRPr="006D01CD">
        <w:rPr>
          <w:noProof/>
        </w:rPr>
        <w:tab/>
      </w:r>
      <w:r w:rsidR="007314F8" w:rsidRPr="001C0052">
        <w:rPr>
          <w:noProof/>
          <w:lang w:val="en-IE"/>
        </w:rPr>
        <w:t>apply for or be a holder of any European cybersecurity certificates pursuant to Title III;</w:t>
      </w:r>
    </w:p>
    <w:p w14:paraId="49ABEEB8" w14:textId="3B9D6126" w:rsidR="007314F8" w:rsidRPr="001C0052" w:rsidRDefault="006D01CD" w:rsidP="006D01CD">
      <w:pPr>
        <w:pStyle w:val="Point1"/>
        <w:rPr>
          <w:noProof/>
          <w:lang w:val="en-IE"/>
        </w:rPr>
      </w:pPr>
      <w:r w:rsidRPr="006D01CD">
        <w:rPr>
          <w:noProof/>
        </w:rPr>
        <w:t>(c)</w:t>
      </w:r>
      <w:r w:rsidRPr="006D01CD">
        <w:rPr>
          <w:noProof/>
        </w:rPr>
        <w:tab/>
      </w:r>
      <w:r w:rsidR="007314F8" w:rsidRPr="001C0052">
        <w:rPr>
          <w:noProof/>
          <w:lang w:val="en-IE"/>
        </w:rPr>
        <w:t xml:space="preserve">become accredited conformity assessment body pursuant to Title III; </w:t>
      </w:r>
    </w:p>
    <w:p w14:paraId="63F1D665" w14:textId="72AEEBEA" w:rsidR="007314F8" w:rsidRPr="001C0052" w:rsidRDefault="006D01CD" w:rsidP="006D01CD">
      <w:pPr>
        <w:pStyle w:val="Point1"/>
        <w:rPr>
          <w:noProof/>
          <w:lang w:val="en-IE"/>
        </w:rPr>
      </w:pPr>
      <w:r w:rsidRPr="006D01CD">
        <w:rPr>
          <w:noProof/>
        </w:rPr>
        <w:t>(d)</w:t>
      </w:r>
      <w:r w:rsidRPr="006D01CD">
        <w:rPr>
          <w:noProof/>
        </w:rPr>
        <w:tab/>
      </w:r>
      <w:r w:rsidR="007314F8" w:rsidRPr="001C0052">
        <w:rPr>
          <w:noProof/>
          <w:lang w:val="en-IE"/>
        </w:rPr>
        <w:t xml:space="preserve">apply to become authorised attestation provider of any European individual cybersecurity skills attestations pursuant to Title II, Section </w:t>
      </w:r>
      <w:r w:rsidR="007314F8">
        <w:rPr>
          <w:noProof/>
          <w:lang w:val="en-IE"/>
        </w:rPr>
        <w:t>4</w:t>
      </w:r>
      <w:r w:rsidR="007314F8" w:rsidRPr="001C0052">
        <w:rPr>
          <w:noProof/>
          <w:lang w:val="en-IE"/>
        </w:rPr>
        <w:t xml:space="preserve">; </w:t>
      </w:r>
    </w:p>
    <w:p w14:paraId="4C545380" w14:textId="0437FB43" w:rsidR="00087E7B" w:rsidRDefault="006D01CD" w:rsidP="006D01CD">
      <w:pPr>
        <w:pStyle w:val="Point1"/>
        <w:rPr>
          <w:noProof/>
          <w:lang w:val="en-IE"/>
        </w:rPr>
      </w:pPr>
      <w:r w:rsidRPr="006D01CD">
        <w:rPr>
          <w:noProof/>
        </w:rPr>
        <w:t>(e)</w:t>
      </w:r>
      <w:r w:rsidRPr="006D01CD">
        <w:rPr>
          <w:noProof/>
        </w:rPr>
        <w:tab/>
      </w:r>
      <w:r w:rsidR="007314F8" w:rsidRPr="001C0052">
        <w:rPr>
          <w:noProof/>
          <w:lang w:val="en-IE"/>
        </w:rPr>
        <w:t>participate in public procurement</w:t>
      </w:r>
      <w:r w:rsidR="007314F8">
        <w:rPr>
          <w:noProof/>
          <w:lang w:val="en-IE"/>
        </w:rPr>
        <w:t xml:space="preserve"> procedures</w:t>
      </w:r>
      <w:r w:rsidR="007314F8" w:rsidRPr="001C0052">
        <w:rPr>
          <w:noProof/>
          <w:lang w:val="en-IE"/>
        </w:rPr>
        <w:t xml:space="preserve">, organised in accordance with legislation transposing Directive 2014/24/EU and 2014/25/EU in relation to the provision of ICT components or components that include ICT components to be used in key ICT assets as identified in accordance with Article </w:t>
      </w:r>
      <w:r w:rsidR="007314F8">
        <w:rPr>
          <w:noProof/>
          <w:lang w:val="en-IE"/>
        </w:rPr>
        <w:t>102</w:t>
      </w:r>
      <w:r w:rsidR="00087E7B">
        <w:rPr>
          <w:noProof/>
          <w:lang w:val="en-IE"/>
        </w:rPr>
        <w:t>;</w:t>
      </w:r>
    </w:p>
    <w:p w14:paraId="4FBABA74" w14:textId="450FA4F4" w:rsidR="007314F8" w:rsidRDefault="006D01CD" w:rsidP="006D01CD">
      <w:pPr>
        <w:pStyle w:val="Point1"/>
        <w:rPr>
          <w:noProof/>
          <w:lang w:val="en-IE"/>
        </w:rPr>
      </w:pPr>
      <w:r w:rsidRPr="006D01CD">
        <w:rPr>
          <w:noProof/>
        </w:rPr>
        <w:t>(f)</w:t>
      </w:r>
      <w:r w:rsidRPr="006D01CD">
        <w:rPr>
          <w:noProof/>
        </w:rPr>
        <w:tab/>
      </w:r>
      <w:r w:rsidR="00CD34A1" w:rsidRPr="00CD34A1">
        <w:rPr>
          <w:noProof/>
          <w:lang w:val="en-IE"/>
        </w:rPr>
        <w:t>participate in any activities under Union funding programmes and instruments implemented in direct and indirect management in accordance with Article 136 Regulation (EU, Euratom) 2024/2509 and Union sector-specific rules as well as in any Union funding activities implemented in shared management in relation to the provision of ICT components or components that include ICT components to be used in key ICT assets as identified in accordance with Article 102</w:t>
      </w:r>
      <w:r w:rsidR="007314F8" w:rsidRPr="001C0052">
        <w:rPr>
          <w:noProof/>
          <w:lang w:val="en-IE"/>
        </w:rPr>
        <w:t>.</w:t>
      </w:r>
      <w:r w:rsidR="002C4A64">
        <w:rPr>
          <w:noProof/>
          <w:lang w:val="en-IE"/>
        </w:rPr>
        <w:t xml:space="preserve"> </w:t>
      </w:r>
    </w:p>
    <w:p w14:paraId="498FE535" w14:textId="68C2F0C1" w:rsidR="007314F8" w:rsidRPr="001C0052" w:rsidRDefault="007314F8" w:rsidP="007314F8">
      <w:pPr>
        <w:pStyle w:val="Text1"/>
        <w:rPr>
          <w:noProof/>
          <w:lang w:val="en-IE"/>
        </w:rPr>
      </w:pPr>
      <w:r w:rsidRPr="00AF2CC4">
        <w:rPr>
          <w:noProof/>
          <w:lang w:val="en-IE"/>
        </w:rPr>
        <w:t>The authorities in charge of the procedures referred to in points (a) to (</w:t>
      </w:r>
      <w:r w:rsidR="00EB4548">
        <w:rPr>
          <w:noProof/>
          <w:lang w:val="en-IE"/>
        </w:rPr>
        <w:t>f</w:t>
      </w:r>
      <w:r w:rsidRPr="00AF2CC4">
        <w:rPr>
          <w:noProof/>
          <w:lang w:val="en-IE"/>
        </w:rPr>
        <w:t>) shall conduct the necessary assessments for the purpose of this paragraph.</w:t>
      </w:r>
      <w:r w:rsidR="00EF1913">
        <w:rPr>
          <w:noProof/>
          <w:lang w:val="en-IE"/>
        </w:rPr>
        <w:t xml:space="preserve"> The authorit</w:t>
      </w:r>
      <w:r w:rsidR="002614F3">
        <w:rPr>
          <w:noProof/>
          <w:lang w:val="en-IE"/>
        </w:rPr>
        <w:t xml:space="preserve">ies </w:t>
      </w:r>
      <w:r w:rsidR="006E593B">
        <w:rPr>
          <w:noProof/>
          <w:lang w:val="en-IE"/>
        </w:rPr>
        <w:t xml:space="preserve">may also rely </w:t>
      </w:r>
      <w:r w:rsidR="00163F28">
        <w:rPr>
          <w:noProof/>
          <w:lang w:val="en-IE"/>
        </w:rPr>
        <w:t>for</w:t>
      </w:r>
      <w:r w:rsidR="00DE0081">
        <w:rPr>
          <w:noProof/>
          <w:lang w:val="en-IE"/>
        </w:rPr>
        <w:t xml:space="preserve"> this purpose </w:t>
      </w:r>
      <w:r w:rsidR="00A83D7F">
        <w:rPr>
          <w:noProof/>
          <w:lang w:val="en-IE"/>
        </w:rPr>
        <w:t xml:space="preserve">on the list referred </w:t>
      </w:r>
      <w:r w:rsidR="00196DB9">
        <w:rPr>
          <w:noProof/>
          <w:lang w:val="en-IE"/>
        </w:rPr>
        <w:t xml:space="preserve">to in Article 104. </w:t>
      </w:r>
    </w:p>
    <w:p w14:paraId="031D621B" w14:textId="1A51895E" w:rsidR="007314F8" w:rsidRPr="007314F8" w:rsidRDefault="006D01CD" w:rsidP="006D01CD">
      <w:pPr>
        <w:pStyle w:val="ManualNumPar1"/>
        <w:rPr>
          <w:noProof/>
        </w:rPr>
      </w:pPr>
      <w:r w:rsidRPr="006D01CD">
        <w:rPr>
          <w:noProof/>
        </w:rPr>
        <w:t>5.</w:t>
      </w:r>
      <w:r w:rsidRPr="006D01CD">
        <w:rPr>
          <w:noProof/>
        </w:rPr>
        <w:tab/>
      </w:r>
      <w:r w:rsidR="007314F8" w:rsidRPr="001C0052">
        <w:rPr>
          <w:noProof/>
          <w:lang w:val="en-IE"/>
        </w:rPr>
        <w:t>In cases where a high-risk supplier has already obtained a European cybersecurity certificate pursuant to Title III, the competent authority shall withdraw it without undue delay</w:t>
      </w:r>
      <w:r w:rsidR="007314F8">
        <w:rPr>
          <w:noProof/>
          <w:lang w:val="en-IE"/>
        </w:rPr>
        <w:t>.</w:t>
      </w:r>
    </w:p>
    <w:p w14:paraId="431CBCEC" w14:textId="0DC977A1" w:rsidR="00AA1F01" w:rsidRDefault="00AA1F01" w:rsidP="00AA1F01">
      <w:pPr>
        <w:pStyle w:val="Titrearticle"/>
        <w:rPr>
          <w:noProof/>
        </w:rPr>
      </w:pPr>
      <w:r>
        <w:rPr>
          <w:noProof/>
        </w:rPr>
        <w:t>Article 101</w:t>
      </w:r>
      <w:r>
        <w:rPr>
          <w:noProof/>
        </w:rPr>
        <w:br/>
      </w:r>
      <w:r w:rsidR="007314F8" w:rsidRPr="001C0052">
        <w:rPr>
          <w:noProof/>
        </w:rPr>
        <w:t>General ICT supply chain security mechanism</w:t>
      </w:r>
    </w:p>
    <w:p w14:paraId="4A4F4FFC" w14:textId="0C1F1A72" w:rsidR="007314F8" w:rsidRPr="007314F8" w:rsidRDefault="007314F8" w:rsidP="007314F8">
      <w:pPr>
        <w:rPr>
          <w:noProof/>
        </w:rPr>
      </w:pPr>
      <w:r w:rsidRPr="003421B3">
        <w:rPr>
          <w:noProof/>
          <w:lang w:val="en-IE"/>
        </w:rPr>
        <w:t>Where the NIS Cooperation Group has conducted a</w:t>
      </w:r>
      <w:r>
        <w:rPr>
          <w:noProof/>
          <w:lang w:val="en-IE"/>
        </w:rPr>
        <w:t xml:space="preserve"> Union-level</w:t>
      </w:r>
      <w:r w:rsidRPr="003421B3">
        <w:rPr>
          <w:noProof/>
          <w:lang w:val="en-IE"/>
        </w:rPr>
        <w:t xml:space="preserve"> coordinated security risk assessment pursuant to Article </w:t>
      </w:r>
      <w:r>
        <w:rPr>
          <w:noProof/>
          <w:lang w:val="en-IE"/>
        </w:rPr>
        <w:t>99</w:t>
      </w:r>
      <w:r w:rsidRPr="003421B3">
        <w:rPr>
          <w:noProof/>
          <w:lang w:val="en-IE"/>
        </w:rPr>
        <w:t xml:space="preserve">(1) of this Regulation, or after the completion of the procedure in case of significant cyber threat pursuant to Article </w:t>
      </w:r>
      <w:r>
        <w:rPr>
          <w:noProof/>
          <w:lang w:val="en-IE"/>
        </w:rPr>
        <w:t>99</w:t>
      </w:r>
      <w:r w:rsidRPr="003421B3">
        <w:rPr>
          <w:noProof/>
          <w:lang w:val="en-IE"/>
        </w:rPr>
        <w:t>(3)</w:t>
      </w:r>
      <w:r>
        <w:rPr>
          <w:noProof/>
          <w:lang w:val="en-IE"/>
        </w:rPr>
        <w:t xml:space="preserve"> for a</w:t>
      </w:r>
      <w:r w:rsidR="002F21AE">
        <w:rPr>
          <w:noProof/>
          <w:lang w:val="en-IE"/>
        </w:rPr>
        <w:t>n</w:t>
      </w:r>
      <w:r>
        <w:rPr>
          <w:noProof/>
          <w:lang w:val="en-IE"/>
        </w:rPr>
        <w:t xml:space="preserve"> ICT supply chain</w:t>
      </w:r>
      <w:r w:rsidRPr="003421B3">
        <w:rPr>
          <w:noProof/>
          <w:lang w:val="en-IE"/>
        </w:rPr>
        <w:t xml:space="preserve">, the Commission may take measures provided for in </w:t>
      </w:r>
      <w:r w:rsidRPr="00D76ED1">
        <w:rPr>
          <w:bCs/>
          <w:noProof/>
          <w:lang w:val="en-IE"/>
        </w:rPr>
        <w:t>Articles</w:t>
      </w:r>
      <w:r w:rsidRPr="003421B3">
        <w:rPr>
          <w:noProof/>
          <w:lang w:val="en-IE"/>
        </w:rPr>
        <w:t xml:space="preserve"> </w:t>
      </w:r>
      <w:r>
        <w:rPr>
          <w:noProof/>
          <w:lang w:val="en-IE"/>
        </w:rPr>
        <w:t>102</w:t>
      </w:r>
      <w:r w:rsidRPr="003421B3">
        <w:rPr>
          <w:noProof/>
          <w:lang w:val="en-IE"/>
        </w:rPr>
        <w:t xml:space="preserve"> and </w:t>
      </w:r>
      <w:r>
        <w:rPr>
          <w:noProof/>
          <w:lang w:val="en-IE"/>
        </w:rPr>
        <w:t>103</w:t>
      </w:r>
      <w:r w:rsidR="00FF2BD2">
        <w:rPr>
          <w:noProof/>
          <w:lang w:val="en-IE"/>
        </w:rPr>
        <w:t>(</w:t>
      </w:r>
      <w:r w:rsidR="0014716A">
        <w:rPr>
          <w:noProof/>
          <w:lang w:val="en-IE"/>
        </w:rPr>
        <w:t>1</w:t>
      </w:r>
      <w:r w:rsidR="00FF2BD2">
        <w:rPr>
          <w:noProof/>
          <w:lang w:val="en-IE"/>
        </w:rPr>
        <w:t>) and (</w:t>
      </w:r>
      <w:r w:rsidR="0014716A">
        <w:rPr>
          <w:noProof/>
          <w:lang w:val="en-IE"/>
        </w:rPr>
        <w:t>2</w:t>
      </w:r>
      <w:r w:rsidR="00FF2BD2">
        <w:rPr>
          <w:noProof/>
          <w:lang w:val="en-IE"/>
        </w:rPr>
        <w:t>)</w:t>
      </w:r>
      <w:r>
        <w:rPr>
          <w:noProof/>
          <w:lang w:val="en-IE"/>
        </w:rPr>
        <w:t>.</w:t>
      </w:r>
    </w:p>
    <w:p w14:paraId="408880CD" w14:textId="62836055" w:rsidR="00AA1F01" w:rsidRDefault="00AA1F01" w:rsidP="00AA1F01">
      <w:pPr>
        <w:pStyle w:val="Titrearticle"/>
        <w:rPr>
          <w:noProof/>
        </w:rPr>
      </w:pPr>
      <w:r>
        <w:rPr>
          <w:noProof/>
        </w:rPr>
        <w:t>Article 102</w:t>
      </w:r>
      <w:r>
        <w:rPr>
          <w:noProof/>
        </w:rPr>
        <w:br/>
      </w:r>
      <w:r w:rsidR="007314F8" w:rsidRPr="001C0052">
        <w:rPr>
          <w:noProof/>
        </w:rPr>
        <w:t>Identification of key ICT assets</w:t>
      </w:r>
    </w:p>
    <w:p w14:paraId="518B3681" w14:textId="36B6B52E" w:rsidR="007314F8" w:rsidRPr="0092108A" w:rsidRDefault="006D01CD" w:rsidP="006D01CD">
      <w:pPr>
        <w:pStyle w:val="ManualNumPar1"/>
        <w:rPr>
          <w:noProof/>
        </w:rPr>
      </w:pPr>
      <w:r w:rsidRPr="006D01CD">
        <w:rPr>
          <w:noProof/>
        </w:rPr>
        <w:t>1.</w:t>
      </w:r>
      <w:r w:rsidRPr="006D01CD">
        <w:rPr>
          <w:noProof/>
        </w:rPr>
        <w:tab/>
      </w:r>
      <w:r w:rsidR="007314F8" w:rsidRPr="0092108A">
        <w:rPr>
          <w:noProof/>
        </w:rPr>
        <w:t xml:space="preserve">Where the risk assessment conducted in accordance with Article </w:t>
      </w:r>
      <w:r w:rsidR="007314F8">
        <w:rPr>
          <w:noProof/>
        </w:rPr>
        <w:t>99</w:t>
      </w:r>
      <w:r w:rsidR="007314F8" w:rsidRPr="0092108A">
        <w:rPr>
          <w:noProof/>
        </w:rPr>
        <w:t>(1) or (3) indicate</w:t>
      </w:r>
      <w:r w:rsidR="007314F8">
        <w:rPr>
          <w:noProof/>
        </w:rPr>
        <w:t>s</w:t>
      </w:r>
      <w:r w:rsidR="007314F8" w:rsidRPr="0092108A">
        <w:rPr>
          <w:noProof/>
        </w:rPr>
        <w:t xml:space="preserve"> significant cybersecurity risks in relation to an ICT supply chain, the Commission is empowered to adopt implementing acts identifying key ICT assets used for the manufacturing of products or the provision of services </w:t>
      </w:r>
      <w:bookmarkStart w:id="9" w:name="_Hlk217855584"/>
      <w:r w:rsidR="007314F8" w:rsidRPr="0092108A">
        <w:rPr>
          <w:noProof/>
        </w:rPr>
        <w:t>by entities of the type referred to in Annexes I and II to Directive (EU) 2022/2555</w:t>
      </w:r>
      <w:bookmarkEnd w:id="9"/>
      <w:r w:rsidR="007314F8" w:rsidRPr="0092108A">
        <w:rPr>
          <w:noProof/>
        </w:rPr>
        <w:t>. Those implementing acts shall be adopted in accordance with the examination procedure referred to in Article 11</w:t>
      </w:r>
      <w:r w:rsidR="007314F8">
        <w:rPr>
          <w:noProof/>
        </w:rPr>
        <w:t>8</w:t>
      </w:r>
      <w:r w:rsidR="007314F8" w:rsidRPr="0092108A">
        <w:rPr>
          <w:noProof/>
        </w:rPr>
        <w:t xml:space="preserve">(2) of this Regulation.  </w:t>
      </w:r>
    </w:p>
    <w:p w14:paraId="64B6C6EE" w14:textId="0FB1E54F" w:rsidR="007314F8" w:rsidRDefault="006D01CD" w:rsidP="006D01CD">
      <w:pPr>
        <w:pStyle w:val="ManualNumPar1"/>
        <w:rPr>
          <w:noProof/>
        </w:rPr>
      </w:pPr>
      <w:r w:rsidRPr="006D01CD">
        <w:rPr>
          <w:noProof/>
        </w:rPr>
        <w:t>2.</w:t>
      </w:r>
      <w:r w:rsidRPr="006D01CD">
        <w:rPr>
          <w:noProof/>
        </w:rPr>
        <w:tab/>
      </w:r>
      <w:r w:rsidR="007314F8" w:rsidRPr="0092108A">
        <w:rPr>
          <w:noProof/>
        </w:rPr>
        <w:t xml:space="preserve">When identifying the key ICT assets referred to in paragraph 1, the Commission shall take into account the following elements: </w:t>
      </w:r>
    </w:p>
    <w:p w14:paraId="52FA9105" w14:textId="4130FEF5" w:rsidR="007314F8" w:rsidRPr="007314F8" w:rsidRDefault="006D01CD" w:rsidP="006D01CD">
      <w:pPr>
        <w:pStyle w:val="Point1"/>
        <w:rPr>
          <w:noProof/>
          <w:lang w:val="en-IE"/>
        </w:rPr>
      </w:pPr>
      <w:r w:rsidRPr="006D01CD">
        <w:rPr>
          <w:noProof/>
        </w:rPr>
        <w:t>(a)</w:t>
      </w:r>
      <w:r w:rsidRPr="006D01CD">
        <w:rPr>
          <w:noProof/>
        </w:rPr>
        <w:tab/>
      </w:r>
      <w:r w:rsidR="007314F8" w:rsidRPr="007314F8">
        <w:rPr>
          <w:noProof/>
          <w:lang w:val="en-IE"/>
        </w:rPr>
        <w:t xml:space="preserve">whether those assets have essential and sensitive functions for the functioning of products manufactured or services provided by the entity of the type referred to in Annexes I and II to Directive (EU) 2022/2555; </w:t>
      </w:r>
    </w:p>
    <w:p w14:paraId="719A509E" w14:textId="097AA5A2" w:rsidR="007314F8" w:rsidRPr="0092108A" w:rsidRDefault="006D01CD" w:rsidP="006D01CD">
      <w:pPr>
        <w:pStyle w:val="Point1"/>
        <w:rPr>
          <w:noProof/>
          <w:lang w:val="en-IE"/>
        </w:rPr>
      </w:pPr>
      <w:r w:rsidRPr="006D01CD">
        <w:rPr>
          <w:noProof/>
        </w:rPr>
        <w:t>(b)</w:t>
      </w:r>
      <w:r w:rsidRPr="006D01CD">
        <w:rPr>
          <w:noProof/>
        </w:rPr>
        <w:tab/>
      </w:r>
      <w:r w:rsidR="007314F8" w:rsidRPr="0092108A">
        <w:rPr>
          <w:noProof/>
          <w:lang w:val="en-IE"/>
        </w:rPr>
        <w:t xml:space="preserve">whether incidents, including such caused by exploited vulnerabilities concerning those assets can lead to serious disruptions of ICT supply chains across the internal market or lead to exfiltration of data; </w:t>
      </w:r>
    </w:p>
    <w:p w14:paraId="4813BB81" w14:textId="085394A8" w:rsidR="007314F8" w:rsidRPr="0092108A" w:rsidRDefault="006D01CD" w:rsidP="006D01CD">
      <w:pPr>
        <w:pStyle w:val="Point1"/>
        <w:rPr>
          <w:noProof/>
          <w:lang w:val="en-IE"/>
        </w:rPr>
      </w:pPr>
      <w:r w:rsidRPr="006D01CD">
        <w:rPr>
          <w:noProof/>
        </w:rPr>
        <w:t>(c)</w:t>
      </w:r>
      <w:r w:rsidRPr="006D01CD">
        <w:rPr>
          <w:noProof/>
        </w:rPr>
        <w:tab/>
      </w:r>
      <w:r w:rsidR="007314F8" w:rsidRPr="0092108A">
        <w:rPr>
          <w:noProof/>
          <w:lang w:val="en-IE"/>
        </w:rPr>
        <w:t xml:space="preserve">whether there is a dependency on a limited number of suppliers of those assets;   </w:t>
      </w:r>
    </w:p>
    <w:p w14:paraId="39B8003F" w14:textId="4D170CD1" w:rsidR="007314F8" w:rsidRPr="007314F8" w:rsidRDefault="006D01CD" w:rsidP="006D01CD">
      <w:pPr>
        <w:pStyle w:val="Point1"/>
        <w:rPr>
          <w:noProof/>
        </w:rPr>
      </w:pPr>
      <w:r w:rsidRPr="006D01CD">
        <w:rPr>
          <w:noProof/>
        </w:rPr>
        <w:t>(d)</w:t>
      </w:r>
      <w:r w:rsidRPr="006D01CD">
        <w:rPr>
          <w:noProof/>
        </w:rPr>
        <w:tab/>
      </w:r>
      <w:r w:rsidR="007314F8" w:rsidRPr="0092108A">
        <w:rPr>
          <w:noProof/>
          <w:lang w:val="en-IE"/>
        </w:rPr>
        <w:t xml:space="preserve">the results of the risk assessments referred to in Article </w:t>
      </w:r>
      <w:r w:rsidR="007314F8">
        <w:rPr>
          <w:noProof/>
          <w:lang w:val="en-IE"/>
        </w:rPr>
        <w:t>99.</w:t>
      </w:r>
    </w:p>
    <w:p w14:paraId="4FC214DC" w14:textId="74957F83" w:rsidR="00AA1F01" w:rsidRDefault="00AA1F01" w:rsidP="00AA1F01">
      <w:pPr>
        <w:pStyle w:val="Titrearticle"/>
        <w:rPr>
          <w:noProof/>
        </w:rPr>
      </w:pPr>
      <w:r>
        <w:rPr>
          <w:noProof/>
        </w:rPr>
        <w:t>Article 103</w:t>
      </w:r>
      <w:r>
        <w:rPr>
          <w:noProof/>
        </w:rPr>
        <w:br/>
      </w:r>
      <w:r w:rsidR="007314F8" w:rsidRPr="001C0052">
        <w:rPr>
          <w:noProof/>
        </w:rPr>
        <w:t>Mitigation measures in the ICT supply</w:t>
      </w:r>
      <w:r w:rsidR="007314F8">
        <w:rPr>
          <w:noProof/>
        </w:rPr>
        <w:t xml:space="preserve"> chain</w:t>
      </w:r>
    </w:p>
    <w:p w14:paraId="60380DFB" w14:textId="26881193" w:rsidR="007314F8" w:rsidRPr="0092108A" w:rsidRDefault="006D01CD" w:rsidP="006D01CD">
      <w:pPr>
        <w:pStyle w:val="ManualNumPar1"/>
        <w:rPr>
          <w:noProof/>
        </w:rPr>
      </w:pPr>
      <w:r w:rsidRPr="006D01CD">
        <w:rPr>
          <w:noProof/>
        </w:rPr>
        <w:t>1.</w:t>
      </w:r>
      <w:r w:rsidRPr="006D01CD">
        <w:rPr>
          <w:noProof/>
        </w:rPr>
        <w:tab/>
      </w:r>
      <w:r w:rsidR="007314F8">
        <w:rPr>
          <w:noProof/>
        </w:rPr>
        <w:t>The</w:t>
      </w:r>
      <w:r w:rsidR="007314F8" w:rsidRPr="0092108A">
        <w:rPr>
          <w:noProof/>
        </w:rPr>
        <w:t xml:space="preserve"> Commission is empowered to adopt implementing acts establishing</w:t>
      </w:r>
      <w:r w:rsidR="007314F8">
        <w:rPr>
          <w:noProof/>
        </w:rPr>
        <w:t>, where necessary to ensure high level of cybersecurity, cyber resilience and trust within the Union,</w:t>
      </w:r>
      <w:r w:rsidR="007314F8" w:rsidRPr="0092108A">
        <w:rPr>
          <w:noProof/>
        </w:rPr>
        <w:t xml:space="preserve"> that</w:t>
      </w:r>
      <w:r w:rsidR="007314F8">
        <w:rPr>
          <w:noProof/>
        </w:rPr>
        <w:t xml:space="preserve"> specific</w:t>
      </w:r>
      <w:r w:rsidR="007314F8" w:rsidRPr="0092108A">
        <w:rPr>
          <w:noProof/>
        </w:rPr>
        <w:t xml:space="preserve"> type of entities referred to in Annex I and II to Directive (EU) 2022/2555 shall be prohibited to use, install or integrate in any form ICT components or components that include ICT components from high-risk suppliers as </w:t>
      </w:r>
      <w:r w:rsidR="007314F8">
        <w:rPr>
          <w:noProof/>
        </w:rPr>
        <w:t>identified</w:t>
      </w:r>
      <w:r w:rsidR="007314F8" w:rsidRPr="0092108A">
        <w:rPr>
          <w:noProof/>
        </w:rPr>
        <w:t xml:space="preserve"> in accordance with Article </w:t>
      </w:r>
      <w:r w:rsidR="007314F8">
        <w:rPr>
          <w:noProof/>
        </w:rPr>
        <w:t xml:space="preserve">104 </w:t>
      </w:r>
      <w:r w:rsidR="007314F8" w:rsidRPr="0092108A">
        <w:rPr>
          <w:noProof/>
        </w:rPr>
        <w:t xml:space="preserve">in key ICT assets identified in accordance with Article </w:t>
      </w:r>
      <w:r w:rsidR="007314F8">
        <w:rPr>
          <w:noProof/>
        </w:rPr>
        <w:t>102</w:t>
      </w:r>
      <w:r w:rsidR="007314F8" w:rsidRPr="0092108A">
        <w:rPr>
          <w:noProof/>
        </w:rPr>
        <w:t xml:space="preserve">. Such implementing acts shall </w:t>
      </w:r>
      <w:r w:rsidR="007314F8">
        <w:rPr>
          <w:noProof/>
        </w:rPr>
        <w:t>provide for appropriate</w:t>
      </w:r>
      <w:r w:rsidR="007314F8" w:rsidRPr="0092108A">
        <w:rPr>
          <w:noProof/>
        </w:rPr>
        <w:t xml:space="preserve"> transition periods</w:t>
      </w:r>
      <w:r w:rsidR="007314F8" w:rsidRPr="00F33CC5">
        <w:rPr>
          <w:noProof/>
        </w:rPr>
        <w:t xml:space="preserve">, during which the Commission shall publish the list of high-risk suppliers referred to in Article </w:t>
      </w:r>
      <w:r w:rsidR="007314F8">
        <w:rPr>
          <w:noProof/>
        </w:rPr>
        <w:t>104</w:t>
      </w:r>
      <w:r w:rsidR="007314F8" w:rsidRPr="00F33CC5">
        <w:rPr>
          <w:noProof/>
        </w:rPr>
        <w:t xml:space="preserve">, as well as additional </w:t>
      </w:r>
      <w:r w:rsidR="007314F8">
        <w:rPr>
          <w:noProof/>
        </w:rPr>
        <w:t xml:space="preserve">time </w:t>
      </w:r>
      <w:r w:rsidR="007314F8" w:rsidRPr="00F33CC5">
        <w:rPr>
          <w:noProof/>
        </w:rPr>
        <w:t>periods for phasing out the relevant ICT components and components that include ICT components</w:t>
      </w:r>
      <w:r w:rsidR="007314F8" w:rsidRPr="0092108A">
        <w:rPr>
          <w:noProof/>
        </w:rPr>
        <w:t>.</w:t>
      </w:r>
      <w:r w:rsidR="007314F8" w:rsidRPr="00996E74">
        <w:rPr>
          <w:noProof/>
        </w:rPr>
        <w:t xml:space="preserve"> Such implementing act may also specify these ICT component or components that include ICT components.</w:t>
      </w:r>
    </w:p>
    <w:p w14:paraId="617D3C76" w14:textId="290456F1" w:rsidR="007314F8" w:rsidRPr="0092108A" w:rsidRDefault="006D01CD" w:rsidP="006D01CD">
      <w:pPr>
        <w:pStyle w:val="ManualNumPar1"/>
        <w:rPr>
          <w:noProof/>
        </w:rPr>
      </w:pPr>
      <w:r w:rsidRPr="006D01CD">
        <w:rPr>
          <w:noProof/>
        </w:rPr>
        <w:t>2.</w:t>
      </w:r>
      <w:r w:rsidRPr="006D01CD">
        <w:rPr>
          <w:noProof/>
        </w:rPr>
        <w:tab/>
      </w:r>
      <w:r w:rsidR="007314F8" w:rsidRPr="0092108A">
        <w:rPr>
          <w:noProof/>
        </w:rPr>
        <w:t xml:space="preserve">The Commission is empowered to adopt implementing acts establishing, where necessary to ensure a high level of cybersecurity, cyber resilience and trust within the Union, that </w:t>
      </w:r>
      <w:r w:rsidR="00635021">
        <w:rPr>
          <w:noProof/>
        </w:rPr>
        <w:t xml:space="preserve">specific type of </w:t>
      </w:r>
      <w:r w:rsidR="007314F8" w:rsidRPr="0092108A">
        <w:rPr>
          <w:noProof/>
        </w:rPr>
        <w:t xml:space="preserve">entities referred to in Annexes I and II to Directive (EU) 2022/2555 shall be subject to one or several of the following mitigating measures in relation to their ICT supply chain and in particular to key ICT assets identified in accordance with Article </w:t>
      </w:r>
      <w:r w:rsidR="007314F8">
        <w:rPr>
          <w:noProof/>
        </w:rPr>
        <w:t>102</w:t>
      </w:r>
      <w:r w:rsidR="007314F8" w:rsidRPr="0092108A">
        <w:rPr>
          <w:noProof/>
        </w:rPr>
        <w:t xml:space="preserve">, to mitigate risks identified in the </w:t>
      </w:r>
      <w:r w:rsidR="007314F8">
        <w:rPr>
          <w:noProof/>
        </w:rPr>
        <w:t xml:space="preserve">security </w:t>
      </w:r>
      <w:r w:rsidR="007314F8" w:rsidRPr="0092108A">
        <w:rPr>
          <w:noProof/>
        </w:rPr>
        <w:t xml:space="preserve">risk assessments conducted pursuant to Article </w:t>
      </w:r>
      <w:r w:rsidR="007314F8">
        <w:rPr>
          <w:noProof/>
        </w:rPr>
        <w:t>99</w:t>
      </w:r>
      <w:r w:rsidR="007314F8" w:rsidRPr="0092108A">
        <w:rPr>
          <w:noProof/>
        </w:rPr>
        <w:t xml:space="preserve">: </w:t>
      </w:r>
    </w:p>
    <w:p w14:paraId="1C855263" w14:textId="373FE36B" w:rsidR="007314F8" w:rsidRPr="00AD210F" w:rsidRDefault="006D01CD" w:rsidP="006D01CD">
      <w:pPr>
        <w:pStyle w:val="Point1"/>
        <w:rPr>
          <w:noProof/>
        </w:rPr>
      </w:pPr>
      <w:r w:rsidRPr="006D01CD">
        <w:rPr>
          <w:noProof/>
        </w:rPr>
        <w:t>(a)</w:t>
      </w:r>
      <w:r w:rsidRPr="006D01CD">
        <w:rPr>
          <w:noProof/>
        </w:rPr>
        <w:tab/>
      </w:r>
      <w:r w:rsidR="007314F8" w:rsidRPr="00AD210F">
        <w:rPr>
          <w:noProof/>
        </w:rPr>
        <w:t xml:space="preserve">application of transparency requirements concerning the provision of information to the competent authority about the suppliers in the ICT supply chain for key </w:t>
      </w:r>
      <w:r w:rsidR="007314F8">
        <w:rPr>
          <w:noProof/>
        </w:rPr>
        <w:t xml:space="preserve">ICT </w:t>
      </w:r>
      <w:r w:rsidR="007314F8" w:rsidRPr="00AD210F">
        <w:rPr>
          <w:noProof/>
        </w:rPr>
        <w:t xml:space="preserve">assets designated in accordance with Article </w:t>
      </w:r>
      <w:r w:rsidR="007314F8">
        <w:rPr>
          <w:noProof/>
        </w:rPr>
        <w:t>102</w:t>
      </w:r>
      <w:r w:rsidR="007314F8" w:rsidRPr="00AD210F">
        <w:rPr>
          <w:noProof/>
        </w:rPr>
        <w:t xml:space="preserve">; </w:t>
      </w:r>
    </w:p>
    <w:p w14:paraId="41B6596F" w14:textId="56FCB1DA" w:rsidR="007314F8" w:rsidRPr="00AD210F" w:rsidRDefault="006D01CD" w:rsidP="006D01CD">
      <w:pPr>
        <w:pStyle w:val="Point1"/>
        <w:rPr>
          <w:noProof/>
        </w:rPr>
      </w:pPr>
      <w:r w:rsidRPr="006D01CD">
        <w:rPr>
          <w:noProof/>
        </w:rPr>
        <w:t>(b)</w:t>
      </w:r>
      <w:r w:rsidRPr="006D01CD">
        <w:rPr>
          <w:noProof/>
        </w:rPr>
        <w:tab/>
      </w:r>
      <w:r w:rsidR="007314F8" w:rsidRPr="00AD210F">
        <w:rPr>
          <w:noProof/>
        </w:rPr>
        <w:t>prohibition related to transfers of data to third countries and remote data processing from a third country;</w:t>
      </w:r>
    </w:p>
    <w:p w14:paraId="0B91DD61" w14:textId="715B4F43" w:rsidR="007314F8" w:rsidRPr="00AD210F" w:rsidRDefault="006D01CD" w:rsidP="006D01CD">
      <w:pPr>
        <w:pStyle w:val="Point1"/>
        <w:rPr>
          <w:noProof/>
        </w:rPr>
      </w:pPr>
      <w:r w:rsidRPr="006D01CD">
        <w:rPr>
          <w:noProof/>
        </w:rPr>
        <w:t>(c)</w:t>
      </w:r>
      <w:r w:rsidRPr="006D01CD">
        <w:rPr>
          <w:noProof/>
        </w:rPr>
        <w:tab/>
      </w:r>
      <w:r w:rsidR="007314F8" w:rsidRPr="00AD210F">
        <w:rPr>
          <w:noProof/>
        </w:rPr>
        <w:t xml:space="preserve">technical measures to be audited by a third party, including:  </w:t>
      </w:r>
    </w:p>
    <w:p w14:paraId="75E694D9" w14:textId="77777777" w:rsidR="007314F8" w:rsidRPr="00AD210F" w:rsidRDefault="007314F8" w:rsidP="007314F8">
      <w:pPr>
        <w:pStyle w:val="Text2"/>
        <w:rPr>
          <w:noProof/>
          <w:lang w:val="en-IE"/>
        </w:rPr>
      </w:pPr>
      <w:r>
        <w:rPr>
          <w:noProof/>
          <w:lang w:val="en-US"/>
        </w:rPr>
        <w:t xml:space="preserve">(i) </w:t>
      </w:r>
      <w:r w:rsidRPr="00AD210F">
        <w:rPr>
          <w:noProof/>
          <w:lang w:val="en-US"/>
        </w:rPr>
        <w:t>the use of on-device processing;</w:t>
      </w:r>
      <w:r w:rsidRPr="00AD210F">
        <w:rPr>
          <w:noProof/>
          <w:lang w:val="en-IE"/>
        </w:rPr>
        <w:t xml:space="preserve"> </w:t>
      </w:r>
    </w:p>
    <w:p w14:paraId="29E93508" w14:textId="77777777" w:rsidR="007314F8" w:rsidRPr="00AD210F" w:rsidRDefault="007314F8" w:rsidP="007314F8">
      <w:pPr>
        <w:pStyle w:val="Text2"/>
        <w:rPr>
          <w:noProof/>
          <w:lang w:val="en-IE"/>
        </w:rPr>
      </w:pPr>
      <w:r>
        <w:rPr>
          <w:noProof/>
          <w:lang w:val="en-IE"/>
        </w:rPr>
        <w:t xml:space="preserve">(ii) </w:t>
      </w:r>
      <w:r w:rsidRPr="00AD210F">
        <w:rPr>
          <w:noProof/>
          <w:lang w:val="en-US"/>
        </w:rPr>
        <w:t>specific segmentation of network systems;</w:t>
      </w:r>
      <w:r w:rsidRPr="00AD210F">
        <w:rPr>
          <w:noProof/>
          <w:lang w:val="en-IE"/>
        </w:rPr>
        <w:t xml:space="preserve"> </w:t>
      </w:r>
    </w:p>
    <w:p w14:paraId="72A43278" w14:textId="77777777" w:rsidR="007314F8" w:rsidRPr="00AD210F" w:rsidRDefault="007314F8" w:rsidP="007314F8">
      <w:pPr>
        <w:pStyle w:val="Text2"/>
        <w:rPr>
          <w:noProof/>
          <w:lang w:val="en-IE"/>
        </w:rPr>
      </w:pPr>
      <w:r>
        <w:rPr>
          <w:noProof/>
          <w:lang w:val="en-IE"/>
        </w:rPr>
        <w:t xml:space="preserve">(iii) </w:t>
      </w:r>
      <w:r w:rsidRPr="00AD210F">
        <w:rPr>
          <w:noProof/>
          <w:lang w:val="en-US"/>
        </w:rPr>
        <w:t>the disabling of any remote or physical access to key ICT assets;</w:t>
      </w:r>
      <w:r w:rsidRPr="00AD210F">
        <w:rPr>
          <w:noProof/>
          <w:lang w:val="en-IE"/>
        </w:rPr>
        <w:t xml:space="preserve"> </w:t>
      </w:r>
    </w:p>
    <w:p w14:paraId="20311923" w14:textId="77777777" w:rsidR="007314F8" w:rsidRPr="00AD210F" w:rsidRDefault="007314F8" w:rsidP="007314F8">
      <w:pPr>
        <w:pStyle w:val="Text2"/>
        <w:rPr>
          <w:noProof/>
          <w:lang w:val="en-IE"/>
        </w:rPr>
      </w:pPr>
      <w:r>
        <w:rPr>
          <w:noProof/>
          <w:lang w:val="en-IE"/>
        </w:rPr>
        <w:t xml:space="preserve">(iv) </w:t>
      </w:r>
      <w:r w:rsidRPr="00AD210F">
        <w:rPr>
          <w:noProof/>
          <w:lang w:val="en-US"/>
        </w:rPr>
        <w:t>the disabling of non-essential features;</w:t>
      </w:r>
      <w:r w:rsidRPr="00AD210F">
        <w:rPr>
          <w:noProof/>
          <w:lang w:val="en-IE"/>
        </w:rPr>
        <w:t xml:space="preserve"> </w:t>
      </w:r>
    </w:p>
    <w:p w14:paraId="169E0ACA" w14:textId="77777777" w:rsidR="007314F8" w:rsidRPr="00AD210F" w:rsidRDefault="007314F8" w:rsidP="007314F8">
      <w:pPr>
        <w:pStyle w:val="Text2"/>
        <w:rPr>
          <w:noProof/>
          <w:lang w:val="en-IE"/>
        </w:rPr>
      </w:pPr>
      <w:r>
        <w:rPr>
          <w:noProof/>
          <w:lang w:val="en-IE"/>
        </w:rPr>
        <w:t xml:space="preserve">(v) </w:t>
      </w:r>
      <w:r w:rsidRPr="00AD210F">
        <w:rPr>
          <w:noProof/>
          <w:lang w:val="en-US"/>
        </w:rPr>
        <w:t>operational network monitoring;</w:t>
      </w:r>
      <w:r w:rsidRPr="00AD210F">
        <w:rPr>
          <w:noProof/>
          <w:lang w:val="en-IE"/>
        </w:rPr>
        <w:t xml:space="preserve"> </w:t>
      </w:r>
    </w:p>
    <w:p w14:paraId="4810AE44" w14:textId="77777777" w:rsidR="007314F8" w:rsidRPr="00AD210F" w:rsidRDefault="007314F8" w:rsidP="007314F8">
      <w:pPr>
        <w:pStyle w:val="Text2"/>
        <w:rPr>
          <w:noProof/>
          <w:lang w:val="en-IE"/>
        </w:rPr>
      </w:pPr>
      <w:r>
        <w:rPr>
          <w:noProof/>
          <w:lang w:val="en-US"/>
        </w:rPr>
        <w:t xml:space="preserve">(vi) </w:t>
      </w:r>
      <w:r w:rsidRPr="00AD210F">
        <w:rPr>
          <w:noProof/>
          <w:lang w:val="en-US"/>
        </w:rPr>
        <w:t>testing of hardware and software</w:t>
      </w:r>
      <w:r>
        <w:rPr>
          <w:noProof/>
          <w:lang w:val="en-IE"/>
        </w:rPr>
        <w:t>.</w:t>
      </w:r>
    </w:p>
    <w:p w14:paraId="42FA3A19" w14:textId="6B8F3E70" w:rsidR="007314F8" w:rsidRPr="007024B0" w:rsidRDefault="006D01CD" w:rsidP="006D01CD">
      <w:pPr>
        <w:pStyle w:val="Point1"/>
        <w:rPr>
          <w:noProof/>
          <w:lang w:val="en-IE"/>
        </w:rPr>
      </w:pPr>
      <w:r w:rsidRPr="006D01CD">
        <w:rPr>
          <w:noProof/>
        </w:rPr>
        <w:t>(d)</w:t>
      </w:r>
      <w:r w:rsidRPr="006D01CD">
        <w:rPr>
          <w:noProof/>
        </w:rPr>
        <w:tab/>
      </w:r>
      <w:r w:rsidR="007314F8" w:rsidRPr="007024B0">
        <w:rPr>
          <w:noProof/>
          <w:lang w:val="en-IE"/>
        </w:rPr>
        <w:t xml:space="preserve">restrictions related to operational control, including outsourcing of organisational functions to managed service providers; </w:t>
      </w:r>
    </w:p>
    <w:p w14:paraId="1493B14B" w14:textId="1FAA83CE" w:rsidR="007314F8" w:rsidRPr="005A59FD" w:rsidRDefault="006D01CD" w:rsidP="006D01CD">
      <w:pPr>
        <w:pStyle w:val="Point1"/>
        <w:rPr>
          <w:noProof/>
          <w:lang w:val="en-IE"/>
        </w:rPr>
      </w:pPr>
      <w:r w:rsidRPr="006D01CD">
        <w:rPr>
          <w:noProof/>
        </w:rPr>
        <w:t>(e)</w:t>
      </w:r>
      <w:r w:rsidRPr="006D01CD">
        <w:rPr>
          <w:noProof/>
        </w:rPr>
        <w:tab/>
      </w:r>
      <w:r w:rsidR="007314F8" w:rsidRPr="005A59FD">
        <w:rPr>
          <w:noProof/>
          <w:lang w:val="en-IE"/>
        </w:rPr>
        <w:t>restrictions related to the contractual relations of the entity</w:t>
      </w:r>
      <w:r w:rsidR="007314F8">
        <w:rPr>
          <w:noProof/>
          <w:lang w:val="en-IE"/>
        </w:rPr>
        <w:t xml:space="preserve"> with its suppliers</w:t>
      </w:r>
      <w:r w:rsidR="007314F8" w:rsidRPr="005A59FD">
        <w:rPr>
          <w:noProof/>
          <w:lang w:val="en-IE"/>
        </w:rPr>
        <w:t>;</w:t>
      </w:r>
    </w:p>
    <w:p w14:paraId="0105466B" w14:textId="5EE2036E" w:rsidR="007314F8" w:rsidRPr="005A59FD" w:rsidRDefault="006D01CD" w:rsidP="006D01CD">
      <w:pPr>
        <w:pStyle w:val="Point1"/>
        <w:rPr>
          <w:noProof/>
          <w:lang w:val="en-IE"/>
        </w:rPr>
      </w:pPr>
      <w:r w:rsidRPr="006D01CD">
        <w:rPr>
          <w:noProof/>
        </w:rPr>
        <w:t>(f)</w:t>
      </w:r>
      <w:r w:rsidRPr="006D01CD">
        <w:rPr>
          <w:noProof/>
        </w:rPr>
        <w:tab/>
      </w:r>
      <w:r w:rsidR="007314F8" w:rsidRPr="005A59FD">
        <w:rPr>
          <w:noProof/>
          <w:lang w:val="en-IE"/>
        </w:rPr>
        <w:t xml:space="preserve">requirement for the service to be operated, managed, maintained or supported by personnel </w:t>
      </w:r>
      <w:r w:rsidR="007314F8">
        <w:rPr>
          <w:noProof/>
          <w:lang w:val="en-IE"/>
        </w:rPr>
        <w:t xml:space="preserve">vetted </w:t>
      </w:r>
      <w:r w:rsidR="007314F8" w:rsidRPr="005A59FD">
        <w:rPr>
          <w:noProof/>
          <w:lang w:val="en-IE"/>
        </w:rPr>
        <w:t>by the relevant national competent authorities;</w:t>
      </w:r>
    </w:p>
    <w:p w14:paraId="426B24E1" w14:textId="16C6ACDB" w:rsidR="007314F8" w:rsidRPr="007024B0" w:rsidRDefault="006D01CD" w:rsidP="006D01CD">
      <w:pPr>
        <w:pStyle w:val="Point1"/>
        <w:rPr>
          <w:noProof/>
        </w:rPr>
      </w:pPr>
      <w:r w:rsidRPr="006D01CD">
        <w:rPr>
          <w:noProof/>
        </w:rPr>
        <w:t>(g)</w:t>
      </w:r>
      <w:r w:rsidRPr="006D01CD">
        <w:rPr>
          <w:noProof/>
        </w:rPr>
        <w:tab/>
      </w:r>
      <w:r w:rsidR="007314F8" w:rsidRPr="007024B0">
        <w:rPr>
          <w:noProof/>
        </w:rPr>
        <w:t>diversification of supply</w:t>
      </w:r>
      <w:r w:rsidR="00907D0A">
        <w:rPr>
          <w:noProof/>
        </w:rPr>
        <w:t xml:space="preserve"> of </w:t>
      </w:r>
      <w:r w:rsidR="00482663">
        <w:rPr>
          <w:noProof/>
        </w:rPr>
        <w:t>ICT components</w:t>
      </w:r>
      <w:r w:rsidR="003E3529">
        <w:rPr>
          <w:noProof/>
        </w:rPr>
        <w:t xml:space="preserve"> or components included in ICT components</w:t>
      </w:r>
      <w:r w:rsidR="007314F8" w:rsidRPr="007024B0">
        <w:rPr>
          <w:noProof/>
        </w:rPr>
        <w:t>.</w:t>
      </w:r>
    </w:p>
    <w:p w14:paraId="23729373" w14:textId="5182FF80" w:rsidR="007314F8" w:rsidRPr="00D76ED1" w:rsidRDefault="006D01CD" w:rsidP="006D01CD">
      <w:pPr>
        <w:pStyle w:val="ManualNumPar1"/>
        <w:rPr>
          <w:noProof/>
          <w:lang w:val="en-IE"/>
        </w:rPr>
      </w:pPr>
      <w:r w:rsidRPr="006D01CD">
        <w:rPr>
          <w:noProof/>
        </w:rPr>
        <w:t>3.</w:t>
      </w:r>
      <w:r w:rsidRPr="006D01CD">
        <w:rPr>
          <w:noProof/>
        </w:rPr>
        <w:tab/>
      </w:r>
      <w:r w:rsidR="007314F8" w:rsidRPr="007708BA">
        <w:rPr>
          <w:noProof/>
          <w:lang w:val="en-IE"/>
        </w:rPr>
        <w:t xml:space="preserve">When </w:t>
      </w:r>
      <w:r w:rsidR="00DE2EE6">
        <w:rPr>
          <w:noProof/>
          <w:lang w:val="en-IE"/>
        </w:rPr>
        <w:t xml:space="preserve">introducing </w:t>
      </w:r>
      <w:r w:rsidR="007314F8" w:rsidRPr="007708BA">
        <w:rPr>
          <w:noProof/>
          <w:lang w:val="en-IE"/>
        </w:rPr>
        <w:t>measures</w:t>
      </w:r>
      <w:r w:rsidR="002337BB">
        <w:rPr>
          <w:noProof/>
          <w:lang w:val="en-IE"/>
        </w:rPr>
        <w:t xml:space="preserve"> referred to in paragraph 2</w:t>
      </w:r>
      <w:r w:rsidR="007314F8" w:rsidRPr="007708BA">
        <w:rPr>
          <w:noProof/>
          <w:lang w:val="en-IE"/>
        </w:rPr>
        <w:t>, t</w:t>
      </w:r>
      <w:r w:rsidR="007314F8" w:rsidRPr="00D76ED1">
        <w:rPr>
          <w:noProof/>
          <w:lang w:val="en-IE"/>
        </w:rPr>
        <w:t xml:space="preserve">he Commission </w:t>
      </w:r>
      <w:r w:rsidR="007314F8" w:rsidRPr="007708BA">
        <w:rPr>
          <w:noProof/>
          <w:lang w:val="en-IE"/>
        </w:rPr>
        <w:t>may lay down technical and methodological requirements</w:t>
      </w:r>
      <w:r w:rsidR="002337BB">
        <w:rPr>
          <w:noProof/>
          <w:lang w:val="en-IE"/>
        </w:rPr>
        <w:t xml:space="preserve"> for </w:t>
      </w:r>
      <w:r w:rsidR="007314F8" w:rsidRPr="007708BA">
        <w:rPr>
          <w:noProof/>
          <w:lang w:val="en-IE"/>
        </w:rPr>
        <w:t>the measures.</w:t>
      </w:r>
    </w:p>
    <w:p w14:paraId="7D8F5B32" w14:textId="561728BF" w:rsidR="007314F8" w:rsidRPr="004B0352" w:rsidRDefault="006D01CD" w:rsidP="006D01CD">
      <w:pPr>
        <w:pStyle w:val="ManualNumPar1"/>
        <w:rPr>
          <w:noProof/>
          <w:lang w:val="en-IE"/>
        </w:rPr>
      </w:pPr>
      <w:r w:rsidRPr="006D01CD">
        <w:rPr>
          <w:noProof/>
        </w:rPr>
        <w:t>4.</w:t>
      </w:r>
      <w:r w:rsidRPr="006D01CD">
        <w:rPr>
          <w:noProof/>
        </w:rPr>
        <w:tab/>
      </w:r>
      <w:r w:rsidR="007314F8" w:rsidRPr="004B0352">
        <w:rPr>
          <w:noProof/>
          <w:lang w:val="en-IE"/>
        </w:rPr>
        <w:t xml:space="preserve">Before adopting the implementing acts referred to in paragraphs 1 and 2, the Commission shall assess potential risks and dependencies and in particular: </w:t>
      </w:r>
    </w:p>
    <w:p w14:paraId="7FAA84BF" w14:textId="48FABC50" w:rsidR="007314F8" w:rsidRPr="007314F8" w:rsidRDefault="006D01CD" w:rsidP="006D01CD">
      <w:pPr>
        <w:pStyle w:val="Point1"/>
        <w:rPr>
          <w:noProof/>
          <w:lang w:val="en-IE"/>
        </w:rPr>
      </w:pPr>
      <w:r w:rsidRPr="006D01CD">
        <w:rPr>
          <w:noProof/>
        </w:rPr>
        <w:t>(a)</w:t>
      </w:r>
      <w:r w:rsidRPr="006D01CD">
        <w:rPr>
          <w:noProof/>
        </w:rPr>
        <w:tab/>
      </w:r>
      <w:r w:rsidR="007314F8" w:rsidRPr="007314F8">
        <w:rPr>
          <w:noProof/>
          <w:lang w:val="en-IE"/>
        </w:rPr>
        <w:t>where applicable, the level of risk associated with the use, installation or integration, in any form, of ICT components or components that include ICT components</w:t>
      </w:r>
      <w:r w:rsidR="007314F8" w:rsidRPr="007314F8" w:rsidDel="00F057A0">
        <w:rPr>
          <w:noProof/>
          <w:lang w:val="en-IE"/>
        </w:rPr>
        <w:t xml:space="preserve"> </w:t>
      </w:r>
      <w:r w:rsidR="007314F8" w:rsidRPr="007314F8">
        <w:rPr>
          <w:noProof/>
          <w:lang w:val="en-IE"/>
        </w:rPr>
        <w:t xml:space="preserve">from high-risk suppliers in key ICT assets; </w:t>
      </w:r>
    </w:p>
    <w:p w14:paraId="4BB38FB1" w14:textId="4828315E" w:rsidR="007314F8" w:rsidRPr="007024B0" w:rsidRDefault="006D01CD" w:rsidP="006D01CD">
      <w:pPr>
        <w:pStyle w:val="Point1"/>
        <w:rPr>
          <w:noProof/>
          <w:lang w:val="en-IE"/>
        </w:rPr>
      </w:pPr>
      <w:r w:rsidRPr="006D01CD">
        <w:rPr>
          <w:noProof/>
        </w:rPr>
        <w:t>(b)</w:t>
      </w:r>
      <w:r w:rsidRPr="006D01CD">
        <w:rPr>
          <w:noProof/>
        </w:rPr>
        <w:tab/>
      </w:r>
      <w:r w:rsidR="007314F8" w:rsidRPr="007024B0">
        <w:rPr>
          <w:noProof/>
          <w:lang w:val="en-IE"/>
        </w:rPr>
        <w:t>the potential economic and societal impacts the obligation may have on entities of the type referred to in Annexes I and II to Directive (EU) 2022/2555;</w:t>
      </w:r>
    </w:p>
    <w:p w14:paraId="429C6054" w14:textId="5F98580C" w:rsidR="007314F8" w:rsidRPr="007024B0" w:rsidRDefault="006D01CD" w:rsidP="006D01CD">
      <w:pPr>
        <w:pStyle w:val="Point1"/>
        <w:rPr>
          <w:noProof/>
          <w:lang w:val="en-IE"/>
        </w:rPr>
      </w:pPr>
      <w:r w:rsidRPr="006D01CD">
        <w:rPr>
          <w:noProof/>
        </w:rPr>
        <w:t>(c)</w:t>
      </w:r>
      <w:r w:rsidRPr="006D01CD">
        <w:rPr>
          <w:noProof/>
        </w:rPr>
        <w:tab/>
      </w:r>
      <w:r w:rsidR="007314F8" w:rsidRPr="007024B0">
        <w:rPr>
          <w:noProof/>
          <w:lang w:val="en-IE"/>
        </w:rPr>
        <w:t>the availability of alternative suppliers to high-risk ones;</w:t>
      </w:r>
    </w:p>
    <w:p w14:paraId="042846FE" w14:textId="5F76E15D" w:rsidR="007314F8" w:rsidRPr="007024B0" w:rsidRDefault="006D01CD" w:rsidP="006D01CD">
      <w:pPr>
        <w:pStyle w:val="Point1"/>
        <w:rPr>
          <w:noProof/>
          <w:lang w:val="en-IE"/>
        </w:rPr>
      </w:pPr>
      <w:r w:rsidRPr="006D01CD">
        <w:rPr>
          <w:noProof/>
        </w:rPr>
        <w:t>(d)</w:t>
      </w:r>
      <w:r w:rsidRPr="006D01CD">
        <w:rPr>
          <w:noProof/>
        </w:rPr>
        <w:tab/>
      </w:r>
      <w:r w:rsidR="007314F8" w:rsidRPr="007024B0">
        <w:rPr>
          <w:noProof/>
          <w:lang w:val="en-IE"/>
        </w:rPr>
        <w:t>the potential disruption of cross-border economic and societal activities caused by an incident affecting an entity’s ICT supply chain.</w:t>
      </w:r>
    </w:p>
    <w:p w14:paraId="183834E6" w14:textId="0C20C01D" w:rsidR="007314F8" w:rsidRPr="00D76ED1" w:rsidRDefault="006D01CD" w:rsidP="006D01CD">
      <w:pPr>
        <w:pStyle w:val="ManualNumPar1"/>
        <w:rPr>
          <w:noProof/>
          <w:lang w:val="en-IE"/>
        </w:rPr>
      </w:pPr>
      <w:r w:rsidRPr="006D01CD">
        <w:rPr>
          <w:noProof/>
        </w:rPr>
        <w:t>5.</w:t>
      </w:r>
      <w:r w:rsidRPr="006D01CD">
        <w:rPr>
          <w:noProof/>
        </w:rPr>
        <w:tab/>
      </w:r>
      <w:r w:rsidR="007314F8" w:rsidRPr="00D76ED1">
        <w:rPr>
          <w:noProof/>
          <w:lang w:val="en-IE"/>
        </w:rPr>
        <w:t>The implementing acts referred to in paragraphs 1 and 2 of this Article shall be adopted in accordance with the examination procedure referred to in Article 11</w:t>
      </w:r>
      <w:r w:rsidR="007314F8">
        <w:rPr>
          <w:noProof/>
          <w:lang w:val="en-IE"/>
        </w:rPr>
        <w:t>8</w:t>
      </w:r>
      <w:r w:rsidR="007314F8" w:rsidRPr="00D76ED1">
        <w:rPr>
          <w:noProof/>
          <w:lang w:val="en-IE"/>
        </w:rPr>
        <w:t xml:space="preserve">(2) and shall be reviewed at least every 36 months.    </w:t>
      </w:r>
    </w:p>
    <w:p w14:paraId="3F521EFE" w14:textId="4606C0D7" w:rsidR="007314F8" w:rsidRPr="005A59FD" w:rsidRDefault="006D01CD" w:rsidP="006D01CD">
      <w:pPr>
        <w:pStyle w:val="ManualNumPar1"/>
        <w:rPr>
          <w:noProof/>
          <w:lang w:val="en-IE"/>
        </w:rPr>
      </w:pPr>
      <w:r w:rsidRPr="006D01CD">
        <w:rPr>
          <w:noProof/>
        </w:rPr>
        <w:t>6.</w:t>
      </w:r>
      <w:r w:rsidRPr="006D01CD">
        <w:rPr>
          <w:noProof/>
        </w:rPr>
        <w:tab/>
      </w:r>
      <w:r w:rsidR="007314F8" w:rsidRPr="00D76ED1">
        <w:rPr>
          <w:noProof/>
          <w:lang w:val="en-IE"/>
        </w:rPr>
        <w:t xml:space="preserve">In exceptional circumstances, which justify an  intervention to preserve the proper functioning of the internal market and where the Commission has sufficient reason to consider that the use, installation or integration of ICT components or components that include ICT components from a specific </w:t>
      </w:r>
      <w:r w:rsidR="007314F8" w:rsidRPr="00D76ED1">
        <w:rPr>
          <w:rFonts w:eastAsiaTheme="minorEastAsia"/>
          <w:noProof/>
          <w:lang w:val="en-IE"/>
        </w:rPr>
        <w:t>entity</w:t>
      </w:r>
      <w:r w:rsidR="007314F8" w:rsidRPr="00D76ED1">
        <w:rPr>
          <w:noProof/>
        </w:rPr>
        <w:t xml:space="preserve"> established in or controlled by</w:t>
      </w:r>
      <w:r w:rsidR="007314F8">
        <w:rPr>
          <w:noProof/>
        </w:rPr>
        <w:t xml:space="preserve"> a third country or</w:t>
      </w:r>
      <w:r w:rsidR="007314F8" w:rsidRPr="00D76ED1">
        <w:rPr>
          <w:noProof/>
        </w:rPr>
        <w:t xml:space="preserve"> entities from a third country</w:t>
      </w:r>
      <w:r w:rsidR="007314F8">
        <w:rPr>
          <w:noProof/>
        </w:rPr>
        <w:t>,</w:t>
      </w:r>
      <w:r w:rsidR="007314F8" w:rsidRPr="00D76ED1">
        <w:rPr>
          <w:noProof/>
        </w:rPr>
        <w:t xml:space="preserve"> </w:t>
      </w:r>
      <w:r w:rsidR="007314F8" w:rsidRPr="00F33CC5">
        <w:rPr>
          <w:noProof/>
        </w:rPr>
        <w:t xml:space="preserve">or a national from a third country </w:t>
      </w:r>
      <w:r w:rsidR="007314F8" w:rsidRPr="00D76ED1">
        <w:rPr>
          <w:noProof/>
          <w:lang w:val="en-IE"/>
        </w:rPr>
        <w:t>represent</w:t>
      </w:r>
      <w:r w:rsidR="007314F8" w:rsidRPr="005A59FD">
        <w:rPr>
          <w:noProof/>
          <w:lang w:val="en-IE"/>
        </w:rPr>
        <w:t xml:space="preserve"> a</w:t>
      </w:r>
      <w:r w:rsidR="007314F8" w:rsidRPr="00264907">
        <w:rPr>
          <w:noProof/>
          <w:lang w:val="en-IE"/>
        </w:rPr>
        <w:t xml:space="preserve"> significant </w:t>
      </w:r>
      <w:r w:rsidR="009C3E1A" w:rsidRPr="00264907">
        <w:rPr>
          <w:noProof/>
          <w:lang w:val="en-IE"/>
        </w:rPr>
        <w:t>non-technical</w:t>
      </w:r>
      <w:r w:rsidR="0068358F" w:rsidRPr="00264907">
        <w:rPr>
          <w:noProof/>
          <w:lang w:val="en-IE"/>
        </w:rPr>
        <w:t xml:space="preserve"> </w:t>
      </w:r>
      <w:r w:rsidR="007314F8" w:rsidRPr="00264907">
        <w:rPr>
          <w:noProof/>
          <w:lang w:val="en-IE"/>
        </w:rPr>
        <w:t xml:space="preserve">cybersecurity </w:t>
      </w:r>
      <w:r w:rsidR="0097506B" w:rsidRPr="00264907">
        <w:rPr>
          <w:noProof/>
          <w:lang w:val="en-IE"/>
        </w:rPr>
        <w:t xml:space="preserve">risk </w:t>
      </w:r>
      <w:r w:rsidR="007314F8" w:rsidRPr="00264907">
        <w:rPr>
          <w:noProof/>
          <w:lang w:val="en-IE"/>
        </w:rPr>
        <w:t>for the economic or societal activities of at least three Member States, the Commission shall without delay consult the Member States on the need to take measures</w:t>
      </w:r>
      <w:r w:rsidR="007314F8">
        <w:rPr>
          <w:noProof/>
          <w:lang w:val="en-IE"/>
        </w:rPr>
        <w:t xml:space="preserve"> </w:t>
      </w:r>
      <w:r w:rsidR="007314F8" w:rsidRPr="005A59FD">
        <w:rPr>
          <w:noProof/>
          <w:lang w:val="en-IE"/>
        </w:rPr>
        <w:t xml:space="preserve">at Union level. </w:t>
      </w:r>
    </w:p>
    <w:p w14:paraId="4C7BBC08" w14:textId="2C72AA94" w:rsidR="007314F8" w:rsidRPr="00F33CC5" w:rsidRDefault="006D01CD" w:rsidP="006D01CD">
      <w:pPr>
        <w:pStyle w:val="ManualNumPar1"/>
        <w:rPr>
          <w:noProof/>
          <w:lang w:val="en-IE"/>
        </w:rPr>
      </w:pPr>
      <w:r w:rsidRPr="006D01CD">
        <w:rPr>
          <w:noProof/>
        </w:rPr>
        <w:t>7.</w:t>
      </w:r>
      <w:r w:rsidRPr="006D01CD">
        <w:rPr>
          <w:noProof/>
        </w:rPr>
        <w:tab/>
      </w:r>
      <w:r w:rsidR="007314F8">
        <w:rPr>
          <w:noProof/>
          <w:lang w:val="en-IE"/>
        </w:rPr>
        <w:t>The Commission is empowered to adopt implementing acts to</w:t>
      </w:r>
      <w:r w:rsidR="007314F8" w:rsidRPr="005A59FD">
        <w:rPr>
          <w:noProof/>
          <w:lang w:val="en-IE"/>
        </w:rPr>
        <w:t xml:space="preserve"> establish that</w:t>
      </w:r>
      <w:r w:rsidR="007314F8">
        <w:rPr>
          <w:noProof/>
          <w:lang w:val="en-IE"/>
        </w:rPr>
        <w:t xml:space="preserve"> specific</w:t>
      </w:r>
      <w:r w:rsidR="007314F8" w:rsidRPr="005A59FD">
        <w:rPr>
          <w:noProof/>
          <w:lang w:val="en-IE"/>
        </w:rPr>
        <w:t xml:space="preserve"> </w:t>
      </w:r>
      <w:r w:rsidR="00772EC7" w:rsidRPr="00B54FC9">
        <w:rPr>
          <w:noProof/>
          <w:lang w:val="en-IE"/>
        </w:rPr>
        <w:t xml:space="preserve">type of </w:t>
      </w:r>
      <w:r w:rsidR="007314F8" w:rsidRPr="00B54FC9">
        <w:rPr>
          <w:noProof/>
          <w:lang w:val="en-IE"/>
        </w:rPr>
        <w:t xml:space="preserve">entities referred to in Annexes I and II to Directive (EU) 2022/2555 shall be prohibited to use, </w:t>
      </w:r>
      <w:bookmarkStart w:id="10" w:name="_Hlk218364725"/>
      <w:r w:rsidR="007314F8" w:rsidRPr="00B54FC9">
        <w:rPr>
          <w:noProof/>
          <w:lang w:val="en-IE"/>
        </w:rPr>
        <w:t xml:space="preserve">install or integrate </w:t>
      </w:r>
      <w:bookmarkEnd w:id="10"/>
      <w:r w:rsidR="007314F8" w:rsidRPr="00B54FC9">
        <w:rPr>
          <w:noProof/>
          <w:lang w:val="en-IE"/>
        </w:rPr>
        <w:t>ICT components or components that include ICT components from an entity referred to in paragraph 6. To that end, it shall consult the entities of the types referred to in Annexes I and II to Directive (EU) 2022/2555 potentially</w:t>
      </w:r>
      <w:r w:rsidR="007314F8" w:rsidRPr="00461830">
        <w:rPr>
          <w:noProof/>
          <w:lang w:val="en-IE"/>
        </w:rPr>
        <w:t xml:space="preserve"> concerned by the prohibition</w:t>
      </w:r>
      <w:r w:rsidR="007314F8" w:rsidRPr="005A59FD">
        <w:rPr>
          <w:noProof/>
          <w:lang w:val="en-IE"/>
        </w:rPr>
        <w:t>.</w:t>
      </w:r>
      <w:r w:rsidR="007314F8">
        <w:rPr>
          <w:noProof/>
          <w:lang w:val="en-IE"/>
        </w:rPr>
        <w:t xml:space="preserve"> Those implementing acts shall be adopted i</w:t>
      </w:r>
      <w:r w:rsidR="007314F8" w:rsidRPr="005A59FD">
        <w:rPr>
          <w:noProof/>
          <w:lang w:val="en-IE"/>
        </w:rPr>
        <w:t xml:space="preserve">n accordance with the examination procedure referred to </w:t>
      </w:r>
      <w:r w:rsidR="007314F8">
        <w:rPr>
          <w:noProof/>
          <w:lang w:val="en-IE"/>
        </w:rPr>
        <w:t xml:space="preserve">in </w:t>
      </w:r>
      <w:r w:rsidR="007314F8" w:rsidRPr="005A59FD">
        <w:rPr>
          <w:noProof/>
          <w:lang w:val="en-IE"/>
        </w:rPr>
        <w:t>Article 11</w:t>
      </w:r>
      <w:r w:rsidR="007314F8">
        <w:rPr>
          <w:noProof/>
          <w:lang w:val="en-IE"/>
        </w:rPr>
        <w:t>8</w:t>
      </w:r>
      <w:r w:rsidR="007314F8" w:rsidRPr="005A59FD">
        <w:rPr>
          <w:noProof/>
          <w:lang w:val="en-IE"/>
        </w:rPr>
        <w:t>(2)</w:t>
      </w:r>
      <w:r w:rsidR="007314F8">
        <w:rPr>
          <w:noProof/>
          <w:lang w:val="en-IE"/>
        </w:rPr>
        <w:t>. W</w:t>
      </w:r>
      <w:r w:rsidR="007314F8" w:rsidRPr="005A59FD">
        <w:rPr>
          <w:noProof/>
          <w:lang w:val="en-IE"/>
        </w:rPr>
        <w:t>here relevant,</w:t>
      </w:r>
      <w:r w:rsidR="007314F8">
        <w:rPr>
          <w:noProof/>
          <w:lang w:val="en-IE"/>
        </w:rPr>
        <w:t xml:space="preserve"> they shall include appropriate</w:t>
      </w:r>
      <w:r w:rsidR="007314F8" w:rsidRPr="005A59FD">
        <w:rPr>
          <w:noProof/>
          <w:lang w:val="en-IE"/>
        </w:rPr>
        <w:t xml:space="preserve"> periods for the phasing out of these ICT components or components that include ICT components.</w:t>
      </w:r>
      <w:r w:rsidR="007314F8" w:rsidRPr="00996E74">
        <w:rPr>
          <w:noProof/>
        </w:rPr>
        <w:t xml:space="preserve"> </w:t>
      </w:r>
      <w:r w:rsidR="007314F8" w:rsidRPr="00F33CC5">
        <w:rPr>
          <w:noProof/>
          <w:lang w:val="en-IE"/>
        </w:rPr>
        <w:t>Such implementing act may also specify these ICT component or components that include ICT components subject to the prohibition.</w:t>
      </w:r>
      <w:r w:rsidR="007314F8" w:rsidRPr="00987E8A">
        <w:rPr>
          <w:noProof/>
        </w:rPr>
        <w:t xml:space="preserve"> </w:t>
      </w:r>
      <w:r w:rsidR="007314F8" w:rsidRPr="00987E8A">
        <w:rPr>
          <w:noProof/>
          <w:lang w:val="en-IE"/>
        </w:rPr>
        <w:t xml:space="preserve">This prohibition shall also concern </w:t>
      </w:r>
      <w:r w:rsidR="009547FB">
        <w:rPr>
          <w:noProof/>
          <w:lang w:val="en-IE"/>
        </w:rPr>
        <w:t xml:space="preserve">ICT components </w:t>
      </w:r>
      <w:r w:rsidR="00BD5279">
        <w:rPr>
          <w:noProof/>
          <w:lang w:val="en-IE"/>
        </w:rPr>
        <w:t xml:space="preserve">or components including ICT components </w:t>
      </w:r>
      <w:r w:rsidR="009547FB">
        <w:rPr>
          <w:noProof/>
          <w:lang w:val="en-IE"/>
        </w:rPr>
        <w:t xml:space="preserve">from </w:t>
      </w:r>
      <w:r w:rsidR="007314F8" w:rsidRPr="00987E8A">
        <w:rPr>
          <w:noProof/>
          <w:lang w:val="en-IE"/>
        </w:rPr>
        <w:t>all entities controlled by the specific entity referred to in paragraph 6.</w:t>
      </w:r>
    </w:p>
    <w:p w14:paraId="41E95CDE" w14:textId="2F71666A" w:rsidR="007314F8" w:rsidRDefault="006D01CD" w:rsidP="006D01CD">
      <w:pPr>
        <w:pStyle w:val="ManualNumPar1"/>
        <w:rPr>
          <w:noProof/>
          <w:lang w:val="en-IE"/>
        </w:rPr>
      </w:pPr>
      <w:r w:rsidRPr="006D01CD">
        <w:rPr>
          <w:noProof/>
        </w:rPr>
        <w:t>8.</w:t>
      </w:r>
      <w:r w:rsidRPr="006D01CD">
        <w:rPr>
          <w:noProof/>
        </w:rPr>
        <w:tab/>
      </w:r>
      <w:r w:rsidR="007314F8" w:rsidRPr="00F33CC5">
        <w:rPr>
          <w:noProof/>
          <w:lang w:val="en-IE"/>
        </w:rPr>
        <w:t>The implementing acts referred to in paragraphs (1), (2) and (7) may also specify that the mitigation measures are only applicable to types of entities referred to in Annex I and II to Directive (EU) 2022/2555 of a specific size.</w:t>
      </w:r>
    </w:p>
    <w:p w14:paraId="309C81F2" w14:textId="432CF9A1" w:rsidR="007314F8" w:rsidRPr="00987E8A" w:rsidRDefault="006D01CD" w:rsidP="006D01CD">
      <w:pPr>
        <w:pStyle w:val="ManualNumPar1"/>
        <w:rPr>
          <w:noProof/>
          <w:lang w:val="en-IE"/>
        </w:rPr>
      </w:pPr>
      <w:r w:rsidRPr="006D01CD">
        <w:rPr>
          <w:noProof/>
        </w:rPr>
        <w:t>9.</w:t>
      </w:r>
      <w:r w:rsidRPr="006D01CD">
        <w:rPr>
          <w:noProof/>
        </w:rPr>
        <w:tab/>
      </w:r>
      <w:r w:rsidR="007314F8" w:rsidRPr="00987E8A">
        <w:rPr>
          <w:noProof/>
        </w:rPr>
        <w:t>Article 100(4) shall apply to the specific entity established in or controlled by a third country or an entity from a third country, or a national from a third country referred to in paragraph </w:t>
      </w:r>
      <w:r w:rsidR="00E91734">
        <w:rPr>
          <w:noProof/>
        </w:rPr>
        <w:t>7</w:t>
      </w:r>
      <w:r w:rsidR="007314F8" w:rsidRPr="00987E8A">
        <w:rPr>
          <w:noProof/>
        </w:rPr>
        <w:t>. </w:t>
      </w:r>
    </w:p>
    <w:p w14:paraId="43BCCABA" w14:textId="311664FD" w:rsidR="00CA1028" w:rsidRPr="008C5BFB" w:rsidRDefault="006D01CD" w:rsidP="006D01CD">
      <w:pPr>
        <w:pStyle w:val="ManualNumPar1"/>
        <w:rPr>
          <w:noProof/>
        </w:rPr>
      </w:pPr>
      <w:r w:rsidRPr="006D01CD">
        <w:rPr>
          <w:noProof/>
        </w:rPr>
        <w:t>10.</w:t>
      </w:r>
      <w:r w:rsidRPr="006D01CD">
        <w:rPr>
          <w:noProof/>
        </w:rPr>
        <w:tab/>
      </w:r>
      <w:r w:rsidR="007314F8">
        <w:rPr>
          <w:noProof/>
          <w:lang w:val="en-IE"/>
        </w:rPr>
        <w:t>The i</w:t>
      </w:r>
      <w:r w:rsidR="007314F8" w:rsidRPr="00461830">
        <w:rPr>
          <w:noProof/>
          <w:lang w:val="en-IE"/>
        </w:rPr>
        <w:t>mplementing acts adopted in accordance with paragraphs (1), (2) and (</w:t>
      </w:r>
      <w:r w:rsidR="007314F8">
        <w:rPr>
          <w:noProof/>
          <w:lang w:val="en-IE"/>
        </w:rPr>
        <w:t>7</w:t>
      </w:r>
      <w:r w:rsidR="007314F8" w:rsidRPr="00461830">
        <w:rPr>
          <w:noProof/>
          <w:lang w:val="en-IE"/>
        </w:rPr>
        <w:t>) that are applicable to type of entities referred to in Annex I point 10 to Directive (EU) 2022/2555 shall apply mutatis mutandis to the European Institution, bodies, offices and agencies</w:t>
      </w:r>
      <w:r w:rsidR="007314F8">
        <w:rPr>
          <w:noProof/>
          <w:lang w:val="en-IE"/>
        </w:rPr>
        <w:t>.</w:t>
      </w:r>
    </w:p>
    <w:p w14:paraId="63A71456" w14:textId="2186F380" w:rsidR="00AA1F01" w:rsidRDefault="00AA1F01" w:rsidP="00AA1F01">
      <w:pPr>
        <w:pStyle w:val="Titrearticle"/>
        <w:rPr>
          <w:noProof/>
          <w:lang w:val="en-IE"/>
        </w:rPr>
      </w:pPr>
      <w:r>
        <w:rPr>
          <w:noProof/>
        </w:rPr>
        <w:t>Article 104</w:t>
      </w:r>
      <w:r>
        <w:rPr>
          <w:noProof/>
        </w:rPr>
        <w:br/>
      </w:r>
      <w:r w:rsidR="007314F8">
        <w:rPr>
          <w:noProof/>
          <w:lang w:val="en-IE"/>
        </w:rPr>
        <w:t>Identification of high-risk suppliers</w:t>
      </w:r>
    </w:p>
    <w:p w14:paraId="0643FC8B" w14:textId="33A737DA" w:rsidR="007314F8" w:rsidRPr="007314F8" w:rsidRDefault="006D01CD" w:rsidP="006D01CD">
      <w:pPr>
        <w:pStyle w:val="ManualNumPar1"/>
        <w:rPr>
          <w:noProof/>
          <w:lang w:val="en-IE"/>
        </w:rPr>
      </w:pPr>
      <w:r w:rsidRPr="006D01CD">
        <w:rPr>
          <w:noProof/>
        </w:rPr>
        <w:t>1.</w:t>
      </w:r>
      <w:r w:rsidRPr="006D01CD">
        <w:rPr>
          <w:noProof/>
        </w:rPr>
        <w:tab/>
      </w:r>
      <w:r w:rsidR="007314F8" w:rsidRPr="007314F8">
        <w:rPr>
          <w:noProof/>
          <w:lang w:val="en-IE"/>
        </w:rPr>
        <w:t xml:space="preserve">By way of implementing acts, the Commission shall establish lists of high-risk suppliers relevant for the prohibitions laid down in the implementing acts adopted in accordance with Article 103(1), Article 103(7) or the prohibition referred to in Article 111(1).  </w:t>
      </w:r>
    </w:p>
    <w:p w14:paraId="793C1BD6" w14:textId="4B3E64A0" w:rsidR="007314F8" w:rsidRDefault="006D01CD" w:rsidP="006D01CD">
      <w:pPr>
        <w:pStyle w:val="ManualNumPar1"/>
        <w:rPr>
          <w:noProof/>
          <w:lang w:val="en-IE"/>
        </w:rPr>
      </w:pPr>
      <w:r w:rsidRPr="006D01CD">
        <w:rPr>
          <w:noProof/>
        </w:rPr>
        <w:t>2.</w:t>
      </w:r>
      <w:r w:rsidRPr="006D01CD">
        <w:rPr>
          <w:noProof/>
        </w:rPr>
        <w:tab/>
      </w:r>
      <w:r w:rsidR="007314F8" w:rsidRPr="0016394E">
        <w:rPr>
          <w:noProof/>
          <w:lang w:val="en-IE"/>
        </w:rPr>
        <w:t xml:space="preserve">For that purpose, the Commission shall map the suppliers providing ICT components and components that include ICT components relevant for the prohibition referred to in paragraph 1. </w:t>
      </w:r>
    </w:p>
    <w:p w14:paraId="1204DB8E" w14:textId="02CB9CAE" w:rsidR="007314F8" w:rsidRPr="0016394E" w:rsidRDefault="007314F8" w:rsidP="007314F8">
      <w:pPr>
        <w:pStyle w:val="Text1"/>
        <w:rPr>
          <w:noProof/>
          <w:lang w:val="en-IE"/>
        </w:rPr>
      </w:pPr>
      <w:r w:rsidRPr="0016394E">
        <w:rPr>
          <w:noProof/>
          <w:lang w:val="en-IE"/>
        </w:rPr>
        <w:t xml:space="preserve">On this basis, the Commission shall do an initial assessment to identify which of the mapped suppliers are potentially established in a third country designated in accordance with Article 100 or controlled by such third country, by an entity </w:t>
      </w:r>
      <w:r w:rsidR="00922767">
        <w:rPr>
          <w:noProof/>
          <w:lang w:val="en-IE"/>
        </w:rPr>
        <w:t>established in</w:t>
      </w:r>
      <w:r w:rsidR="00922767" w:rsidRPr="0016394E">
        <w:rPr>
          <w:noProof/>
          <w:lang w:val="en-IE"/>
        </w:rPr>
        <w:t xml:space="preserve"> </w:t>
      </w:r>
      <w:r w:rsidRPr="0016394E">
        <w:rPr>
          <w:noProof/>
          <w:lang w:val="en-IE"/>
        </w:rPr>
        <w:t xml:space="preserve">such third country or by a national of such third country. </w:t>
      </w:r>
      <w:r w:rsidRPr="00C52C7F">
        <w:rPr>
          <w:noProof/>
          <w:lang w:val="en-IE"/>
        </w:rPr>
        <w:t xml:space="preserve">The Commission shall also do an initial mapping on suppliers potentially controlled by the entity referred to in Article 103(6).  </w:t>
      </w:r>
      <w:r w:rsidRPr="0016394E">
        <w:rPr>
          <w:noProof/>
          <w:lang w:val="en-IE"/>
        </w:rPr>
        <w:t xml:space="preserve">  </w:t>
      </w:r>
    </w:p>
    <w:p w14:paraId="5F677EF8" w14:textId="21797306" w:rsidR="007314F8" w:rsidRPr="0016394E" w:rsidRDefault="006D01CD" w:rsidP="006D01CD">
      <w:pPr>
        <w:pStyle w:val="ManualNumPar1"/>
        <w:rPr>
          <w:noProof/>
          <w:lang w:val="en-IE"/>
        </w:rPr>
      </w:pPr>
      <w:r w:rsidRPr="006D01CD">
        <w:rPr>
          <w:noProof/>
        </w:rPr>
        <w:t>3.</w:t>
      </w:r>
      <w:r w:rsidRPr="006D01CD">
        <w:rPr>
          <w:noProof/>
        </w:rPr>
        <w:tab/>
      </w:r>
      <w:r w:rsidR="007314F8" w:rsidRPr="0016394E">
        <w:rPr>
          <w:noProof/>
          <w:lang w:val="en-IE"/>
        </w:rPr>
        <w:t xml:space="preserve">The Commission shall assess the place of establishment as well as the ownership and control structure of the suppliers initially identified in accordance with the second subparagraph of paragraph 2. </w:t>
      </w:r>
    </w:p>
    <w:p w14:paraId="207EECA0" w14:textId="3223C641" w:rsidR="007314F8" w:rsidRPr="0016394E" w:rsidRDefault="006D01CD" w:rsidP="006D01CD">
      <w:pPr>
        <w:pStyle w:val="ManualNumPar1"/>
        <w:rPr>
          <w:noProof/>
          <w:lang w:val="en-IE"/>
        </w:rPr>
      </w:pPr>
      <w:r w:rsidRPr="006D01CD">
        <w:rPr>
          <w:noProof/>
        </w:rPr>
        <w:t>4.</w:t>
      </w:r>
      <w:r w:rsidRPr="006D01CD">
        <w:rPr>
          <w:noProof/>
        </w:rPr>
        <w:tab/>
      </w:r>
      <w:r w:rsidR="007314F8" w:rsidRPr="0016394E">
        <w:rPr>
          <w:noProof/>
          <w:lang w:val="en-IE"/>
        </w:rPr>
        <w:t xml:space="preserve">For the purpose of the assessment referred to in paragraph 3, the Commission shall be entitled to request the necessary information from the suppliers. In case the supplier does not provide the necessary information within the established deadline, the Commission may conclude that the supplier is established in a third country designated in accordance with Article 100 or controlled by such third country, by entities from that third country or by nationals of such third country. </w:t>
      </w:r>
      <w:r w:rsidR="007314F8" w:rsidRPr="00C52C7F">
        <w:rPr>
          <w:noProof/>
          <w:lang w:val="en-IE"/>
        </w:rPr>
        <w:t xml:space="preserve">Where the Commission is carrying out an assessment for the purpose of Article 103(7) and the supplier does not provide the necessary information within the established deadline, the Commission may conclude that the supplier is </w:t>
      </w:r>
      <w:r w:rsidR="00634DC1">
        <w:rPr>
          <w:noProof/>
          <w:lang w:val="en-IE"/>
        </w:rPr>
        <w:t>controlled by an entity designated in line with that Article</w:t>
      </w:r>
      <w:r w:rsidR="007314F8" w:rsidRPr="00C52C7F">
        <w:rPr>
          <w:noProof/>
          <w:lang w:val="en-IE"/>
        </w:rPr>
        <w:t xml:space="preserve">. </w:t>
      </w:r>
      <w:r w:rsidR="007314F8" w:rsidRPr="0016394E">
        <w:rPr>
          <w:noProof/>
          <w:lang w:val="en-IE"/>
        </w:rPr>
        <w:t>The competent authorities referred to in Article 11</w:t>
      </w:r>
      <w:r w:rsidR="007314F8">
        <w:rPr>
          <w:noProof/>
          <w:lang w:val="en-IE"/>
        </w:rPr>
        <w:t>2</w:t>
      </w:r>
      <w:r w:rsidR="007314F8" w:rsidRPr="0016394E">
        <w:rPr>
          <w:noProof/>
          <w:lang w:val="en-IE"/>
        </w:rPr>
        <w:t xml:space="preserve"> shall also share relevant information with the Commission upon request.</w:t>
      </w:r>
    </w:p>
    <w:p w14:paraId="40488B9E" w14:textId="38BFD38E" w:rsidR="007314F8" w:rsidRPr="0016394E" w:rsidRDefault="006D01CD" w:rsidP="006D01CD">
      <w:pPr>
        <w:pStyle w:val="ManualNumPar1"/>
        <w:rPr>
          <w:noProof/>
          <w:lang w:val="en-IE"/>
        </w:rPr>
      </w:pPr>
      <w:r w:rsidRPr="006D01CD">
        <w:rPr>
          <w:noProof/>
        </w:rPr>
        <w:t>5.</w:t>
      </w:r>
      <w:r w:rsidRPr="006D01CD">
        <w:rPr>
          <w:noProof/>
        </w:rPr>
        <w:tab/>
      </w:r>
      <w:r w:rsidR="007314F8" w:rsidRPr="0016394E">
        <w:rPr>
          <w:noProof/>
          <w:lang w:val="en-IE"/>
        </w:rPr>
        <w:t xml:space="preserve">The Commission shall share preliminary findings concerning the establishment, control and ownership assessment with the concerned supplier. The Commission shall grant the supplier an opportunity to be heard on those preliminary findings. </w:t>
      </w:r>
    </w:p>
    <w:p w14:paraId="3A210FE7" w14:textId="39CE41D1" w:rsidR="007314F8" w:rsidRPr="0016394E" w:rsidRDefault="006D01CD" w:rsidP="006D01CD">
      <w:pPr>
        <w:pStyle w:val="ManualNumPar1"/>
        <w:rPr>
          <w:noProof/>
          <w:lang w:val="en-IE"/>
        </w:rPr>
      </w:pPr>
      <w:r w:rsidRPr="006D01CD">
        <w:rPr>
          <w:noProof/>
        </w:rPr>
        <w:t>6.</w:t>
      </w:r>
      <w:r w:rsidRPr="006D01CD">
        <w:rPr>
          <w:noProof/>
        </w:rPr>
        <w:tab/>
      </w:r>
      <w:r w:rsidR="007314F8" w:rsidRPr="0016394E">
        <w:rPr>
          <w:noProof/>
          <w:lang w:val="en-IE"/>
        </w:rPr>
        <w:t>The Commission may ask a competent authority to carry out the initial establishment, ownership and control assessment of a supplier, where justified in view of the characteristics of the operation of this supplie</w:t>
      </w:r>
      <w:r w:rsidR="007314F8">
        <w:rPr>
          <w:noProof/>
          <w:lang w:val="en-IE"/>
        </w:rPr>
        <w:t>r.</w:t>
      </w:r>
      <w:r w:rsidR="007314F8" w:rsidRPr="0016394E">
        <w:rPr>
          <w:noProof/>
          <w:color w:val="92D050"/>
          <w:lang w:val="en-IE"/>
        </w:rPr>
        <w:t xml:space="preserve"> </w:t>
      </w:r>
      <w:r w:rsidR="007314F8" w:rsidRPr="0016394E">
        <w:rPr>
          <w:noProof/>
          <w:lang w:val="en-IE"/>
        </w:rPr>
        <w:t>A competent authority may offer to carry out such initial assessment</w:t>
      </w:r>
      <w:r w:rsidR="007314F8">
        <w:rPr>
          <w:noProof/>
          <w:lang w:val="en-IE"/>
        </w:rPr>
        <w:t>.</w:t>
      </w:r>
      <w:r w:rsidR="007314F8" w:rsidRPr="0016394E">
        <w:rPr>
          <w:noProof/>
          <w:lang w:val="en-IE"/>
        </w:rPr>
        <w:t xml:space="preserve"> The Commission shall verify these initial findings in view of deciding whether the supplier should be included in the list of high-risk suppliers. </w:t>
      </w:r>
    </w:p>
    <w:p w14:paraId="216BF327" w14:textId="17087070" w:rsidR="007314F8" w:rsidRPr="0016394E" w:rsidRDefault="006D01CD" w:rsidP="006D01CD">
      <w:pPr>
        <w:pStyle w:val="ManualNumPar1"/>
        <w:rPr>
          <w:noProof/>
          <w:lang w:val="en-IE"/>
        </w:rPr>
      </w:pPr>
      <w:r w:rsidRPr="006D01CD">
        <w:rPr>
          <w:noProof/>
        </w:rPr>
        <w:t>7.</w:t>
      </w:r>
      <w:r w:rsidRPr="006D01CD">
        <w:rPr>
          <w:noProof/>
        </w:rPr>
        <w:tab/>
      </w:r>
      <w:r w:rsidR="007314F8" w:rsidRPr="0016394E">
        <w:rPr>
          <w:noProof/>
          <w:lang w:val="en-IE"/>
        </w:rPr>
        <w:t xml:space="preserve">The Commission shall regularly update the list of high-risk suppliers in view of removing or adding high-risk suppliers. High-risk suppliers included in the list may request the Commission to re-assess their establishment, control and ownership structure upon provision of evidence that there have been relevant changes.  </w:t>
      </w:r>
    </w:p>
    <w:p w14:paraId="76E6FE2E" w14:textId="2794EB02" w:rsidR="007314F8" w:rsidRPr="007314F8" w:rsidRDefault="006D01CD" w:rsidP="006D01CD">
      <w:pPr>
        <w:pStyle w:val="ManualNumPar1"/>
        <w:rPr>
          <w:noProof/>
          <w:lang w:val="en-IE"/>
        </w:rPr>
      </w:pPr>
      <w:r w:rsidRPr="006D01CD">
        <w:rPr>
          <w:noProof/>
        </w:rPr>
        <w:t>8.</w:t>
      </w:r>
      <w:r w:rsidRPr="006D01CD">
        <w:rPr>
          <w:noProof/>
        </w:rPr>
        <w:tab/>
      </w:r>
      <w:r w:rsidR="007314F8" w:rsidRPr="0016394E">
        <w:rPr>
          <w:noProof/>
          <w:lang w:val="en-IE"/>
        </w:rPr>
        <w:t>Where a competent authority becomes aware</w:t>
      </w:r>
      <w:r w:rsidR="007314F8">
        <w:rPr>
          <w:noProof/>
          <w:lang w:val="en-IE"/>
        </w:rPr>
        <w:t>, including</w:t>
      </w:r>
      <w:r w:rsidR="007314F8" w:rsidRPr="0016394E">
        <w:rPr>
          <w:noProof/>
          <w:lang w:val="en-IE"/>
        </w:rPr>
        <w:t xml:space="preserve"> on the basis of information provided by an entity of the type referred to in Annexes I and II to Directive (EU) 2022/2555 that a supplier may need to be included in a list of high-risk suppliers, it shall inform the Commission without undue delay</w:t>
      </w:r>
      <w:r w:rsidR="007314F8">
        <w:rPr>
          <w:noProof/>
          <w:lang w:val="en-IE"/>
        </w:rPr>
        <w:t>.</w:t>
      </w:r>
    </w:p>
    <w:p w14:paraId="1BC40DF9" w14:textId="57CFB5F3" w:rsidR="00AA1F01" w:rsidRDefault="00AA1F01" w:rsidP="00AA1F01">
      <w:pPr>
        <w:pStyle w:val="Titrearticle"/>
        <w:rPr>
          <w:noProof/>
        </w:rPr>
      </w:pPr>
      <w:r>
        <w:rPr>
          <w:noProof/>
        </w:rPr>
        <w:t>Article 105</w:t>
      </w:r>
      <w:r>
        <w:rPr>
          <w:noProof/>
        </w:rPr>
        <w:br/>
      </w:r>
      <w:r w:rsidR="00592BEE" w:rsidRPr="001C0052">
        <w:rPr>
          <w:noProof/>
        </w:rPr>
        <w:t>Exemption for entities established in or controlled by entities from a third country posing cybersecurity concerns</w:t>
      </w:r>
    </w:p>
    <w:p w14:paraId="30876062" w14:textId="397DBBA8" w:rsidR="00592BEE" w:rsidRPr="00D76ED1" w:rsidRDefault="006D01CD" w:rsidP="006D01CD">
      <w:pPr>
        <w:pStyle w:val="ManualNumPar1"/>
        <w:rPr>
          <w:noProof/>
        </w:rPr>
      </w:pPr>
      <w:r w:rsidRPr="006D01CD">
        <w:rPr>
          <w:noProof/>
        </w:rPr>
        <w:t>1.</w:t>
      </w:r>
      <w:r w:rsidRPr="006D01CD">
        <w:rPr>
          <w:noProof/>
        </w:rPr>
        <w:tab/>
      </w:r>
      <w:r w:rsidR="00592BEE" w:rsidRPr="00D76ED1">
        <w:rPr>
          <w:noProof/>
        </w:rPr>
        <w:t xml:space="preserve">An </w:t>
      </w:r>
      <w:r w:rsidR="00592BEE" w:rsidRPr="00592BEE">
        <w:rPr>
          <w:rFonts w:eastAsia="Times New Roman"/>
          <w:noProof/>
          <w:lang w:val="en-IE"/>
        </w:rPr>
        <w:t>entity</w:t>
      </w:r>
      <w:r w:rsidR="00592BEE" w:rsidRPr="00D76ED1">
        <w:rPr>
          <w:noProof/>
        </w:rPr>
        <w:t xml:space="preserve"> established in or controlled by entities from a third country posing cybersecurity concerns designated in accordance with Article </w:t>
      </w:r>
      <w:r w:rsidR="00592BEE">
        <w:rPr>
          <w:noProof/>
        </w:rPr>
        <w:t>100</w:t>
      </w:r>
      <w:r w:rsidR="00592BEE" w:rsidRPr="00D76ED1">
        <w:rPr>
          <w:noProof/>
        </w:rPr>
        <w:t xml:space="preserve"> may make a reasoned request to the Commission to be exempted:</w:t>
      </w:r>
    </w:p>
    <w:p w14:paraId="54895DD3" w14:textId="5EC4A869" w:rsidR="00592BEE" w:rsidRPr="00592BEE" w:rsidRDefault="006D01CD" w:rsidP="006D01CD">
      <w:pPr>
        <w:pStyle w:val="Point1"/>
        <w:rPr>
          <w:noProof/>
          <w:lang w:val="en-IE"/>
        </w:rPr>
      </w:pPr>
      <w:r w:rsidRPr="006D01CD">
        <w:rPr>
          <w:noProof/>
        </w:rPr>
        <w:t>(a)</w:t>
      </w:r>
      <w:r w:rsidRPr="006D01CD">
        <w:rPr>
          <w:noProof/>
        </w:rPr>
        <w:tab/>
      </w:r>
      <w:r w:rsidR="00592BEE" w:rsidRPr="00592BEE">
        <w:rPr>
          <w:noProof/>
          <w:lang w:val="en-IE"/>
        </w:rPr>
        <w:t>from being subject to the prohibition imposed on entities of the type referred to in Annexes I and II to Directive (EU) 2022/2555 to use, install or integrate in any form its ICT components or components that include its ICT components in key ICT assets of those entities by way of derogation from Article 111 or implementing acts adopted pursuant to Article 103(1);</w:t>
      </w:r>
    </w:p>
    <w:p w14:paraId="34E159C5" w14:textId="3E4B0326" w:rsidR="00592BEE" w:rsidRPr="007024B0" w:rsidRDefault="006D01CD" w:rsidP="006D01CD">
      <w:pPr>
        <w:pStyle w:val="Point1"/>
        <w:rPr>
          <w:noProof/>
          <w:lang w:val="en-IE"/>
        </w:rPr>
      </w:pPr>
      <w:r w:rsidRPr="006D01CD">
        <w:rPr>
          <w:noProof/>
        </w:rPr>
        <w:t>(b)</w:t>
      </w:r>
      <w:r w:rsidRPr="006D01CD">
        <w:rPr>
          <w:noProof/>
        </w:rPr>
        <w:tab/>
      </w:r>
      <w:r w:rsidR="00592BEE">
        <w:rPr>
          <w:noProof/>
          <w:lang w:val="en-IE"/>
        </w:rPr>
        <w:t xml:space="preserve">from being subject to the prohibition to </w:t>
      </w:r>
      <w:r w:rsidR="00592BEE" w:rsidRPr="007024B0">
        <w:rPr>
          <w:noProof/>
          <w:lang w:val="en-IE"/>
        </w:rPr>
        <w:t>participat</w:t>
      </w:r>
      <w:r w:rsidR="00592BEE">
        <w:rPr>
          <w:noProof/>
          <w:lang w:val="en-IE"/>
        </w:rPr>
        <w:t>e</w:t>
      </w:r>
      <w:r w:rsidR="00592BEE" w:rsidRPr="007024B0">
        <w:rPr>
          <w:noProof/>
          <w:lang w:val="en-IE"/>
        </w:rPr>
        <w:t xml:space="preserve"> in public procurement</w:t>
      </w:r>
      <w:r w:rsidR="00592BEE">
        <w:rPr>
          <w:noProof/>
          <w:lang w:val="en-IE"/>
        </w:rPr>
        <w:t xml:space="preserve"> procedures</w:t>
      </w:r>
      <w:r w:rsidR="00592BEE" w:rsidRPr="007024B0">
        <w:rPr>
          <w:noProof/>
          <w:lang w:val="en-IE"/>
        </w:rPr>
        <w:t>, organised in accordance with legislation transposing Directive 2014/24/EU and Directive 2014/25/EU in relation to the provision of ICT components or components that include ICT components to be used in key ICT assets as defined in accordance with Article 102 in derogation to Article 100(4).</w:t>
      </w:r>
    </w:p>
    <w:p w14:paraId="443DA68B" w14:textId="5C0EC93D" w:rsidR="00592BEE" w:rsidRPr="00D76ED1" w:rsidRDefault="006D01CD" w:rsidP="006D01CD">
      <w:pPr>
        <w:pStyle w:val="ManualNumPar1"/>
        <w:rPr>
          <w:noProof/>
        </w:rPr>
      </w:pPr>
      <w:r w:rsidRPr="006D01CD">
        <w:rPr>
          <w:noProof/>
        </w:rPr>
        <w:t>2.</w:t>
      </w:r>
      <w:r w:rsidRPr="006D01CD">
        <w:rPr>
          <w:noProof/>
        </w:rPr>
        <w:tab/>
      </w:r>
      <w:r w:rsidR="00592BEE" w:rsidRPr="00D76ED1">
        <w:rPr>
          <w:noProof/>
        </w:rPr>
        <w:t>The request referred to in paragraph 1 shall:</w:t>
      </w:r>
    </w:p>
    <w:p w14:paraId="0C2B0362" w14:textId="7930B14D" w:rsidR="00592BEE" w:rsidRPr="00592BEE" w:rsidRDefault="006D01CD" w:rsidP="006D01CD">
      <w:pPr>
        <w:pStyle w:val="Point1"/>
        <w:rPr>
          <w:noProof/>
          <w:lang w:val="en-IE"/>
        </w:rPr>
      </w:pPr>
      <w:r w:rsidRPr="006D01CD">
        <w:rPr>
          <w:noProof/>
        </w:rPr>
        <w:t>(a)</w:t>
      </w:r>
      <w:r w:rsidRPr="006D01CD">
        <w:rPr>
          <w:noProof/>
        </w:rPr>
        <w:tab/>
      </w:r>
      <w:r w:rsidR="00592BEE" w:rsidRPr="00592BEE">
        <w:rPr>
          <w:noProof/>
          <w:lang w:val="en-IE"/>
        </w:rPr>
        <w:t xml:space="preserve">specify the interest of the entity </w:t>
      </w:r>
      <w:r w:rsidR="00592BEE" w:rsidRPr="00D76ED1">
        <w:rPr>
          <w:noProof/>
        </w:rPr>
        <w:t xml:space="preserve">established in or controlled by entities from a third country posing cybersecurity concerns </w:t>
      </w:r>
      <w:r w:rsidR="00592BEE" w:rsidRPr="00592BEE">
        <w:rPr>
          <w:noProof/>
          <w:lang w:val="en-IE"/>
        </w:rPr>
        <w:t>designated in accordance with Article 100 in being granted the exemption referred to in paragraph 1 of this Article; and</w:t>
      </w:r>
    </w:p>
    <w:p w14:paraId="692D74C1" w14:textId="6A487801" w:rsidR="00592BEE" w:rsidRPr="007024B0" w:rsidRDefault="006D01CD" w:rsidP="006D01CD">
      <w:pPr>
        <w:pStyle w:val="Point1"/>
        <w:rPr>
          <w:noProof/>
          <w:lang w:val="en-IE"/>
        </w:rPr>
      </w:pPr>
      <w:r w:rsidRPr="006D01CD">
        <w:rPr>
          <w:noProof/>
        </w:rPr>
        <w:t>(b)</w:t>
      </w:r>
      <w:r w:rsidRPr="006D01CD">
        <w:rPr>
          <w:noProof/>
        </w:rPr>
        <w:tab/>
      </w:r>
      <w:r w:rsidR="00592BEE" w:rsidRPr="007024B0">
        <w:rPr>
          <w:noProof/>
          <w:lang w:val="en-IE"/>
        </w:rPr>
        <w:t xml:space="preserve">demonstrate with clear evidence that effective mitigating measures will be put in place to address non-technical risks and ensure the absence of any possible exercise of undue interference by the third country designated pursuant to Article </w:t>
      </w:r>
      <w:r w:rsidR="00592BEE">
        <w:rPr>
          <w:noProof/>
          <w:lang w:val="en-IE"/>
        </w:rPr>
        <w:t>100</w:t>
      </w:r>
      <w:r w:rsidR="00592BEE" w:rsidRPr="007024B0">
        <w:rPr>
          <w:noProof/>
          <w:lang w:val="en-IE"/>
        </w:rPr>
        <w:t xml:space="preserve"> in relation to the provision of ICT components or components that include ICT components for the use, installation or integration in key ICT assets of an entity of the type referred to in Annexes I and II to Directive (EU) 2022/2555.</w:t>
      </w:r>
    </w:p>
    <w:p w14:paraId="0FE50C1F" w14:textId="69407EAC" w:rsidR="00592BEE" w:rsidRPr="00D76ED1" w:rsidRDefault="006D01CD" w:rsidP="006D01CD">
      <w:pPr>
        <w:pStyle w:val="ManualNumPar1"/>
        <w:rPr>
          <w:noProof/>
        </w:rPr>
      </w:pPr>
      <w:r w:rsidRPr="006D01CD">
        <w:rPr>
          <w:noProof/>
        </w:rPr>
        <w:t>3.</w:t>
      </w:r>
      <w:r w:rsidRPr="006D01CD">
        <w:rPr>
          <w:noProof/>
        </w:rPr>
        <w:tab/>
      </w:r>
      <w:r w:rsidR="00592BEE" w:rsidRPr="00D76ED1">
        <w:rPr>
          <w:noProof/>
        </w:rPr>
        <w:t>The Commission is empowered to adopt implementing acts to further specify the conditions referred to in paragraph 2 point (b), and to lay down detailed rules in respect of the procedures referred to in this Article. Those implementing acts shall be adopted in accordance with the examination procedure referred to in Article 11</w:t>
      </w:r>
      <w:r w:rsidR="00592BEE">
        <w:rPr>
          <w:noProof/>
        </w:rPr>
        <w:t>8</w:t>
      </w:r>
      <w:r w:rsidR="00592BEE" w:rsidRPr="00D76ED1">
        <w:rPr>
          <w:noProof/>
        </w:rPr>
        <w:t>(2).</w:t>
      </w:r>
    </w:p>
    <w:p w14:paraId="610ECC57" w14:textId="781F710A" w:rsidR="00592BEE" w:rsidRPr="00D76ED1" w:rsidRDefault="006D01CD" w:rsidP="006D01CD">
      <w:pPr>
        <w:pStyle w:val="ManualNumPar1"/>
        <w:rPr>
          <w:noProof/>
        </w:rPr>
      </w:pPr>
      <w:r w:rsidRPr="006D01CD">
        <w:rPr>
          <w:noProof/>
        </w:rPr>
        <w:t>4.</w:t>
      </w:r>
      <w:r w:rsidRPr="006D01CD">
        <w:rPr>
          <w:noProof/>
        </w:rPr>
        <w:tab/>
      </w:r>
      <w:r w:rsidR="00592BEE" w:rsidRPr="00D76ED1">
        <w:rPr>
          <w:noProof/>
        </w:rPr>
        <w:t>The Commission shall assess the request referred to in paragraph 1 through a fair and transparent process, taking into account:</w:t>
      </w:r>
    </w:p>
    <w:p w14:paraId="0FC1FF99" w14:textId="62EB4E15" w:rsidR="00592BEE" w:rsidRPr="00592BEE" w:rsidRDefault="006D01CD" w:rsidP="006D01CD">
      <w:pPr>
        <w:pStyle w:val="Point1"/>
        <w:rPr>
          <w:noProof/>
          <w:lang w:val="en-IE"/>
        </w:rPr>
      </w:pPr>
      <w:r w:rsidRPr="006D01CD">
        <w:rPr>
          <w:noProof/>
        </w:rPr>
        <w:t>(a)</w:t>
      </w:r>
      <w:r w:rsidRPr="006D01CD">
        <w:rPr>
          <w:noProof/>
        </w:rPr>
        <w:tab/>
      </w:r>
      <w:r w:rsidR="00592BEE" w:rsidRPr="00592BEE">
        <w:rPr>
          <w:noProof/>
          <w:lang w:val="en-IE"/>
        </w:rPr>
        <w:t xml:space="preserve">the circumstances and additional elements referred to in Article 100(1) and (2) in relation to the designated country posing cybersecurity concerns to ICT supply chains where the entity is established or from where it is controlled; </w:t>
      </w:r>
    </w:p>
    <w:p w14:paraId="207749D4" w14:textId="1BE2B29F" w:rsidR="00592BEE" w:rsidRPr="007024B0" w:rsidRDefault="006D01CD" w:rsidP="006D01CD">
      <w:pPr>
        <w:pStyle w:val="Point1"/>
        <w:rPr>
          <w:noProof/>
          <w:lang w:val="en-IE"/>
        </w:rPr>
      </w:pPr>
      <w:r w:rsidRPr="006D01CD">
        <w:rPr>
          <w:noProof/>
        </w:rPr>
        <w:t>(b)</w:t>
      </w:r>
      <w:r w:rsidRPr="006D01CD">
        <w:rPr>
          <w:noProof/>
        </w:rPr>
        <w:tab/>
      </w:r>
      <w:r w:rsidR="00592BEE" w:rsidRPr="007024B0">
        <w:rPr>
          <w:noProof/>
          <w:lang w:val="en-IE"/>
        </w:rPr>
        <w:t xml:space="preserve">the effectiveness of the mitigating measures referred to in paragraph 2 point (b); </w:t>
      </w:r>
    </w:p>
    <w:p w14:paraId="1B581B2A" w14:textId="4FA22E9A" w:rsidR="00592BEE" w:rsidRPr="007024B0" w:rsidRDefault="006D01CD" w:rsidP="006D01CD">
      <w:pPr>
        <w:pStyle w:val="Point1"/>
        <w:rPr>
          <w:noProof/>
          <w:lang w:val="en-IE"/>
        </w:rPr>
      </w:pPr>
      <w:r w:rsidRPr="006D01CD">
        <w:rPr>
          <w:noProof/>
        </w:rPr>
        <w:t>(c)</w:t>
      </w:r>
      <w:r w:rsidRPr="006D01CD">
        <w:rPr>
          <w:noProof/>
        </w:rPr>
        <w:tab/>
      </w:r>
      <w:r w:rsidR="00592BEE" w:rsidRPr="007024B0">
        <w:rPr>
          <w:noProof/>
          <w:lang w:val="en-IE"/>
        </w:rPr>
        <w:t xml:space="preserve">whether the exemption for the entity </w:t>
      </w:r>
      <w:r w:rsidR="00592BEE" w:rsidRPr="00D76ED1">
        <w:rPr>
          <w:noProof/>
        </w:rPr>
        <w:t xml:space="preserve">established in or controlled by entities from a third country posing cybersecurity concerns </w:t>
      </w:r>
      <w:r w:rsidR="00592BEE" w:rsidRPr="007024B0">
        <w:rPr>
          <w:noProof/>
          <w:lang w:val="en-IE"/>
        </w:rPr>
        <w:t>to ICT supply chains would not be detrimental to the Union’s interest.</w:t>
      </w:r>
    </w:p>
    <w:p w14:paraId="1E16E93C" w14:textId="20C56436" w:rsidR="00592BEE" w:rsidRPr="00D76ED1" w:rsidRDefault="006D01CD" w:rsidP="006D01CD">
      <w:pPr>
        <w:pStyle w:val="ManualNumPar1"/>
        <w:rPr>
          <w:noProof/>
        </w:rPr>
      </w:pPr>
      <w:r w:rsidRPr="006D01CD">
        <w:rPr>
          <w:noProof/>
        </w:rPr>
        <w:t>5.</w:t>
      </w:r>
      <w:r w:rsidRPr="006D01CD">
        <w:rPr>
          <w:noProof/>
        </w:rPr>
        <w:tab/>
      </w:r>
      <w:r w:rsidR="00592BEE" w:rsidRPr="00D76ED1">
        <w:rPr>
          <w:noProof/>
        </w:rPr>
        <w:t xml:space="preserve">When the Commission, following the assessment in paragraph 3, concludes that it is justified to grant an exemption, it shall do so by way of decision, which it shall notify to the applicant within 9 months of receipt of the request. </w:t>
      </w:r>
    </w:p>
    <w:p w14:paraId="6FFE6781" w14:textId="4772F8F3" w:rsidR="00592BEE" w:rsidRPr="00D76ED1" w:rsidRDefault="006D01CD" w:rsidP="006D01CD">
      <w:pPr>
        <w:pStyle w:val="ManualNumPar1"/>
        <w:rPr>
          <w:noProof/>
        </w:rPr>
      </w:pPr>
      <w:r w:rsidRPr="006D01CD">
        <w:rPr>
          <w:noProof/>
        </w:rPr>
        <w:t>6.</w:t>
      </w:r>
      <w:r w:rsidRPr="006D01CD">
        <w:rPr>
          <w:noProof/>
        </w:rPr>
        <w:tab/>
      </w:r>
      <w:r w:rsidR="00592BEE" w:rsidRPr="00D76ED1">
        <w:rPr>
          <w:noProof/>
        </w:rPr>
        <w:t>When adopting a decision referred to in paragraph 4, the Commission may limit the exemption to a specific period of time and may subject the exemption to conditions for the entity, including:</w:t>
      </w:r>
    </w:p>
    <w:p w14:paraId="0DD5AF5C" w14:textId="60C02C5E" w:rsidR="00592BEE" w:rsidRPr="00592BEE" w:rsidRDefault="006D01CD" w:rsidP="006D01CD">
      <w:pPr>
        <w:pStyle w:val="Point1"/>
        <w:rPr>
          <w:noProof/>
          <w:lang w:val="en-IE"/>
        </w:rPr>
      </w:pPr>
      <w:r w:rsidRPr="006D01CD">
        <w:rPr>
          <w:noProof/>
        </w:rPr>
        <w:t>(a)</w:t>
      </w:r>
      <w:r w:rsidRPr="006D01CD">
        <w:rPr>
          <w:noProof/>
        </w:rPr>
        <w:tab/>
      </w:r>
      <w:r w:rsidR="00592BEE" w:rsidRPr="00D76ED1">
        <w:rPr>
          <w:noProof/>
        </w:rPr>
        <w:t xml:space="preserve">a </w:t>
      </w:r>
      <w:r w:rsidR="00592BEE" w:rsidRPr="00592BEE">
        <w:rPr>
          <w:noProof/>
          <w:lang w:val="en-IE"/>
        </w:rPr>
        <w:t>timeline for the implementation of mitigating measures referred to in paragraph 2, point (b);</w:t>
      </w:r>
    </w:p>
    <w:p w14:paraId="59B51AB0" w14:textId="0CB6ED74" w:rsidR="00592BEE" w:rsidRPr="007024B0" w:rsidRDefault="006D01CD" w:rsidP="006D01CD">
      <w:pPr>
        <w:pStyle w:val="Point1"/>
        <w:rPr>
          <w:noProof/>
          <w:lang w:val="en-IE"/>
        </w:rPr>
      </w:pPr>
      <w:r w:rsidRPr="006D01CD">
        <w:rPr>
          <w:noProof/>
        </w:rPr>
        <w:t>(b)</w:t>
      </w:r>
      <w:r w:rsidRPr="006D01CD">
        <w:rPr>
          <w:noProof/>
        </w:rPr>
        <w:tab/>
      </w:r>
      <w:r w:rsidR="00592BEE" w:rsidRPr="007024B0">
        <w:rPr>
          <w:noProof/>
          <w:lang w:val="en-IE"/>
        </w:rPr>
        <w:t xml:space="preserve">third-party audits on a regular basis to ensure the effective implementation of mitigating measures; </w:t>
      </w:r>
    </w:p>
    <w:p w14:paraId="13CDA99B" w14:textId="44BFCA0B" w:rsidR="00592BEE" w:rsidRPr="007024B0" w:rsidRDefault="006D01CD" w:rsidP="006D01CD">
      <w:pPr>
        <w:pStyle w:val="Point1"/>
        <w:rPr>
          <w:noProof/>
          <w:lang w:val="en-IE"/>
        </w:rPr>
      </w:pPr>
      <w:r w:rsidRPr="006D01CD">
        <w:rPr>
          <w:noProof/>
        </w:rPr>
        <w:t>(c)</w:t>
      </w:r>
      <w:r w:rsidRPr="006D01CD">
        <w:rPr>
          <w:noProof/>
        </w:rPr>
        <w:tab/>
      </w:r>
      <w:r w:rsidR="00592BEE" w:rsidRPr="007024B0">
        <w:rPr>
          <w:noProof/>
          <w:lang w:val="en-IE"/>
        </w:rPr>
        <w:t xml:space="preserve">reporting obligations regarding compliance. </w:t>
      </w:r>
    </w:p>
    <w:p w14:paraId="53F066B7" w14:textId="1E913C37" w:rsidR="00592BEE" w:rsidRPr="00D76ED1" w:rsidRDefault="006D01CD" w:rsidP="006D01CD">
      <w:pPr>
        <w:pStyle w:val="ManualNumPar1"/>
        <w:rPr>
          <w:noProof/>
        </w:rPr>
      </w:pPr>
      <w:r w:rsidRPr="006D01CD">
        <w:rPr>
          <w:noProof/>
        </w:rPr>
        <w:t>7.</w:t>
      </w:r>
      <w:r w:rsidRPr="006D01CD">
        <w:rPr>
          <w:noProof/>
        </w:rPr>
        <w:tab/>
      </w:r>
      <w:r w:rsidR="00592BEE" w:rsidRPr="00D76ED1">
        <w:rPr>
          <w:noProof/>
        </w:rPr>
        <w:t xml:space="preserve">When the Commission, following the assessment in paragraph 3, concludes that it is not justified to grant an exemption, it shall do so by way of a decision, and shall notify it to the applicants within 9 months of receipt of the request.  </w:t>
      </w:r>
    </w:p>
    <w:p w14:paraId="48A1584A" w14:textId="4A32EBEA" w:rsidR="00592BEE" w:rsidRPr="00D76ED1" w:rsidRDefault="006D01CD" w:rsidP="006D01CD">
      <w:pPr>
        <w:pStyle w:val="ManualNumPar1"/>
        <w:rPr>
          <w:noProof/>
        </w:rPr>
      </w:pPr>
      <w:r w:rsidRPr="006D01CD">
        <w:rPr>
          <w:noProof/>
        </w:rPr>
        <w:t>8.</w:t>
      </w:r>
      <w:r w:rsidRPr="006D01CD">
        <w:rPr>
          <w:noProof/>
        </w:rPr>
        <w:tab/>
      </w:r>
      <w:r w:rsidR="00592BEE" w:rsidRPr="00D76ED1">
        <w:rPr>
          <w:noProof/>
        </w:rPr>
        <w:t>The Commission may, on its own initiative, withdraw or modify the decision referred to in paragraph 4 in one or more of the following situations:</w:t>
      </w:r>
    </w:p>
    <w:p w14:paraId="70C4F89B" w14:textId="01C6FF0B" w:rsidR="00592BEE" w:rsidRPr="00592BEE" w:rsidRDefault="006D01CD" w:rsidP="006D01CD">
      <w:pPr>
        <w:pStyle w:val="Point1"/>
        <w:rPr>
          <w:noProof/>
          <w:lang w:val="en-IE"/>
        </w:rPr>
      </w:pPr>
      <w:r w:rsidRPr="006D01CD">
        <w:rPr>
          <w:noProof/>
        </w:rPr>
        <w:t>(a)</w:t>
      </w:r>
      <w:r w:rsidRPr="006D01CD">
        <w:rPr>
          <w:noProof/>
        </w:rPr>
        <w:tab/>
      </w:r>
      <w:r w:rsidR="00592BEE" w:rsidRPr="00592BEE">
        <w:rPr>
          <w:noProof/>
          <w:lang w:val="en-IE"/>
        </w:rPr>
        <w:t>there has been a material change in the facts on which the decision was based;</w:t>
      </w:r>
    </w:p>
    <w:p w14:paraId="4F823776" w14:textId="5ABC3841" w:rsidR="00592BEE" w:rsidRPr="007024B0" w:rsidRDefault="006D01CD" w:rsidP="006D01CD">
      <w:pPr>
        <w:pStyle w:val="Point1"/>
        <w:rPr>
          <w:noProof/>
          <w:lang w:val="en-IE"/>
        </w:rPr>
      </w:pPr>
      <w:r w:rsidRPr="006D01CD">
        <w:rPr>
          <w:noProof/>
        </w:rPr>
        <w:t>(b)</w:t>
      </w:r>
      <w:r w:rsidRPr="006D01CD">
        <w:rPr>
          <w:noProof/>
        </w:rPr>
        <w:tab/>
      </w:r>
      <w:r w:rsidR="00592BEE" w:rsidRPr="007024B0">
        <w:rPr>
          <w:noProof/>
          <w:lang w:val="en-IE"/>
        </w:rPr>
        <w:t xml:space="preserve">the entity which has requested the exemption acts contrary to its commitments; </w:t>
      </w:r>
    </w:p>
    <w:p w14:paraId="25711748" w14:textId="3B70355E" w:rsidR="00592BEE" w:rsidRPr="00592BEE" w:rsidRDefault="006D01CD" w:rsidP="006D01CD">
      <w:pPr>
        <w:pStyle w:val="Point1"/>
        <w:rPr>
          <w:noProof/>
        </w:rPr>
      </w:pPr>
      <w:r w:rsidRPr="006D01CD">
        <w:rPr>
          <w:noProof/>
        </w:rPr>
        <w:t>(c)</w:t>
      </w:r>
      <w:r w:rsidRPr="006D01CD">
        <w:rPr>
          <w:noProof/>
        </w:rPr>
        <w:tab/>
      </w:r>
      <w:r w:rsidR="00592BEE" w:rsidRPr="007024B0">
        <w:rPr>
          <w:noProof/>
          <w:lang w:val="en-IE"/>
        </w:rPr>
        <w:t>the exemption was based on incomplete, incorrect or misleading information provided by the entity making the request</w:t>
      </w:r>
      <w:r w:rsidR="00592BEE">
        <w:rPr>
          <w:noProof/>
          <w:lang w:val="en-IE"/>
        </w:rPr>
        <w:t>.</w:t>
      </w:r>
    </w:p>
    <w:p w14:paraId="4B58BE0E" w14:textId="25917969" w:rsidR="00AA1F01" w:rsidRDefault="00AA1F01" w:rsidP="00AA1F01">
      <w:pPr>
        <w:pStyle w:val="Titrearticle"/>
        <w:rPr>
          <w:noProof/>
        </w:rPr>
      </w:pPr>
      <w:r>
        <w:rPr>
          <w:noProof/>
        </w:rPr>
        <w:t>Article 106</w:t>
      </w:r>
      <w:r>
        <w:rPr>
          <w:noProof/>
        </w:rPr>
        <w:br/>
      </w:r>
      <w:r w:rsidR="00592BEE" w:rsidRPr="001C0052">
        <w:rPr>
          <w:noProof/>
        </w:rPr>
        <w:t>Rights of defence</w:t>
      </w:r>
    </w:p>
    <w:p w14:paraId="5BE43DE3" w14:textId="3CD62E7D" w:rsidR="00592BEE" w:rsidRPr="00592BEE" w:rsidRDefault="00592BEE" w:rsidP="00592BEE">
      <w:pPr>
        <w:rPr>
          <w:noProof/>
        </w:rPr>
      </w:pPr>
      <w:r w:rsidRPr="009C29A1">
        <w:rPr>
          <w:noProof/>
          <w:szCs w:val="24"/>
        </w:rPr>
        <w:t xml:space="preserve">The Commission shall ensure that </w:t>
      </w:r>
      <w:r w:rsidR="00FC5E35">
        <w:rPr>
          <w:noProof/>
          <w:szCs w:val="24"/>
        </w:rPr>
        <w:t xml:space="preserve">before it adopts an implementing act </w:t>
      </w:r>
      <w:r w:rsidRPr="009C29A1">
        <w:rPr>
          <w:noProof/>
          <w:szCs w:val="24"/>
        </w:rPr>
        <w:t xml:space="preserve"> </w:t>
      </w:r>
      <w:r>
        <w:rPr>
          <w:noProof/>
          <w:szCs w:val="24"/>
        </w:rPr>
        <w:t xml:space="preserve">pursuant to Article 103(7) or </w:t>
      </w:r>
      <w:r w:rsidR="00FC5E35">
        <w:rPr>
          <w:noProof/>
          <w:szCs w:val="24"/>
        </w:rPr>
        <w:t>before</w:t>
      </w:r>
      <w:r w:rsidR="002C2687">
        <w:rPr>
          <w:noProof/>
          <w:szCs w:val="24"/>
        </w:rPr>
        <w:t xml:space="preserve"> it adopts </w:t>
      </w:r>
      <w:r>
        <w:rPr>
          <w:noProof/>
          <w:szCs w:val="24"/>
        </w:rPr>
        <w:t xml:space="preserve">a decision </w:t>
      </w:r>
      <w:r w:rsidRPr="009C29A1">
        <w:rPr>
          <w:noProof/>
          <w:szCs w:val="24"/>
        </w:rPr>
        <w:t xml:space="preserve">refusing the granting of exemption pursuant to Article </w:t>
      </w:r>
      <w:r>
        <w:rPr>
          <w:noProof/>
          <w:szCs w:val="24"/>
        </w:rPr>
        <w:t>105</w:t>
      </w:r>
      <w:r w:rsidRPr="009C29A1">
        <w:rPr>
          <w:noProof/>
          <w:szCs w:val="24"/>
        </w:rPr>
        <w:t>(</w:t>
      </w:r>
      <w:r>
        <w:rPr>
          <w:noProof/>
          <w:szCs w:val="24"/>
        </w:rPr>
        <w:t>7</w:t>
      </w:r>
      <w:r w:rsidRPr="009C29A1">
        <w:rPr>
          <w:noProof/>
          <w:szCs w:val="24"/>
        </w:rPr>
        <w:t xml:space="preserve">) on the basis of elements not submitted by the applicant or </w:t>
      </w:r>
      <w:r w:rsidR="002C2687">
        <w:rPr>
          <w:noProof/>
          <w:szCs w:val="24"/>
        </w:rPr>
        <w:t>before</w:t>
      </w:r>
      <w:r w:rsidR="002C2687" w:rsidRPr="009C29A1">
        <w:rPr>
          <w:noProof/>
          <w:szCs w:val="24"/>
        </w:rPr>
        <w:t xml:space="preserve"> </w:t>
      </w:r>
      <w:r w:rsidRPr="009C29A1">
        <w:rPr>
          <w:noProof/>
          <w:szCs w:val="24"/>
        </w:rPr>
        <w:t xml:space="preserve">it withdraws a decision pursuant to Article </w:t>
      </w:r>
      <w:r>
        <w:rPr>
          <w:noProof/>
          <w:szCs w:val="24"/>
        </w:rPr>
        <w:t>105</w:t>
      </w:r>
      <w:r w:rsidRPr="009C29A1">
        <w:rPr>
          <w:noProof/>
          <w:szCs w:val="24"/>
        </w:rPr>
        <w:t>(</w:t>
      </w:r>
      <w:r>
        <w:rPr>
          <w:noProof/>
          <w:szCs w:val="24"/>
        </w:rPr>
        <w:t>8</w:t>
      </w:r>
      <w:r w:rsidRPr="009C29A1">
        <w:rPr>
          <w:noProof/>
          <w:szCs w:val="24"/>
        </w:rPr>
        <w:t>), the entity concerned is given the opportunity of being heard, taking into account the need, in some cases, for an urgency procedure</w:t>
      </w:r>
      <w:r>
        <w:rPr>
          <w:noProof/>
          <w:szCs w:val="24"/>
        </w:rPr>
        <w:t>.</w:t>
      </w:r>
    </w:p>
    <w:p w14:paraId="26800C8F" w14:textId="301B68C6" w:rsidR="00AA1F01" w:rsidRDefault="00AA1F01" w:rsidP="00AA1F01">
      <w:pPr>
        <w:pStyle w:val="Titrearticle"/>
        <w:rPr>
          <w:noProof/>
        </w:rPr>
      </w:pPr>
      <w:r>
        <w:rPr>
          <w:noProof/>
        </w:rPr>
        <w:t>Article 107</w:t>
      </w:r>
      <w:r>
        <w:rPr>
          <w:noProof/>
        </w:rPr>
        <w:br/>
      </w:r>
      <w:r w:rsidR="00592BEE" w:rsidRPr="001C0052">
        <w:rPr>
          <w:noProof/>
        </w:rPr>
        <w:t>Register</w:t>
      </w:r>
    </w:p>
    <w:p w14:paraId="6367FE93" w14:textId="7FC23ECF" w:rsidR="00592BEE" w:rsidRPr="00592BEE" w:rsidRDefault="00592BEE" w:rsidP="00592BEE">
      <w:pPr>
        <w:rPr>
          <w:noProof/>
        </w:rPr>
      </w:pPr>
      <w:r w:rsidRPr="005A59FD">
        <w:rPr>
          <w:noProof/>
          <w:szCs w:val="24"/>
        </w:rPr>
        <w:t xml:space="preserve">The Commission shall maintain a publicly accessible register of its decisions referred to in Article </w:t>
      </w:r>
      <w:r>
        <w:rPr>
          <w:noProof/>
          <w:szCs w:val="24"/>
        </w:rPr>
        <w:t>105</w:t>
      </w:r>
      <w:r w:rsidRPr="005A59FD">
        <w:rPr>
          <w:noProof/>
          <w:szCs w:val="24"/>
        </w:rPr>
        <w:t>(</w:t>
      </w:r>
      <w:r w:rsidR="00C4041A">
        <w:rPr>
          <w:noProof/>
          <w:szCs w:val="24"/>
        </w:rPr>
        <w:t>5</w:t>
      </w:r>
      <w:r w:rsidRPr="005A59FD">
        <w:rPr>
          <w:noProof/>
          <w:szCs w:val="24"/>
        </w:rPr>
        <w:t>). The regist</w:t>
      </w:r>
      <w:r>
        <w:rPr>
          <w:noProof/>
          <w:szCs w:val="24"/>
        </w:rPr>
        <w:t>er</w:t>
      </w:r>
      <w:r w:rsidRPr="005A59FD">
        <w:rPr>
          <w:noProof/>
          <w:szCs w:val="24"/>
        </w:rPr>
        <w:t xml:space="preserve"> shall state the names of the entities that have been subject to </w:t>
      </w:r>
      <w:r>
        <w:rPr>
          <w:noProof/>
          <w:szCs w:val="24"/>
        </w:rPr>
        <w:t>such</w:t>
      </w:r>
      <w:r w:rsidRPr="005A59FD">
        <w:rPr>
          <w:noProof/>
          <w:szCs w:val="24"/>
        </w:rPr>
        <w:t xml:space="preserve"> decisions. </w:t>
      </w:r>
      <w:r>
        <w:rPr>
          <w:noProof/>
          <w:szCs w:val="24"/>
        </w:rPr>
        <w:t>The Commission shall update the register on a regular basis.</w:t>
      </w:r>
    </w:p>
    <w:p w14:paraId="196E8BE4" w14:textId="5008E00E" w:rsidR="00AA1F01" w:rsidRDefault="00AA1F01" w:rsidP="00AA1F01">
      <w:pPr>
        <w:pStyle w:val="Titrearticle"/>
        <w:rPr>
          <w:noProof/>
        </w:rPr>
      </w:pPr>
      <w:r>
        <w:rPr>
          <w:noProof/>
        </w:rPr>
        <w:t>Article 108</w:t>
      </w:r>
      <w:r>
        <w:rPr>
          <w:noProof/>
        </w:rPr>
        <w:br/>
      </w:r>
      <w:r w:rsidR="00592BEE" w:rsidRPr="001C0052">
        <w:rPr>
          <w:noProof/>
        </w:rPr>
        <w:t>Confidentiality</w:t>
      </w:r>
    </w:p>
    <w:p w14:paraId="2D690E2F" w14:textId="15E3F030" w:rsidR="00592BEE" w:rsidRPr="00592BEE" w:rsidRDefault="00592BEE" w:rsidP="00592BEE">
      <w:pPr>
        <w:rPr>
          <w:noProof/>
        </w:rPr>
      </w:pPr>
      <w:r w:rsidRPr="005A59FD">
        <w:rPr>
          <w:noProof/>
          <w:szCs w:val="24"/>
        </w:rPr>
        <w:t xml:space="preserve">Information received by the Commission pursuant to Articles </w:t>
      </w:r>
      <w:r>
        <w:rPr>
          <w:noProof/>
          <w:szCs w:val="24"/>
        </w:rPr>
        <w:t>105</w:t>
      </w:r>
      <w:r w:rsidRPr="005A59FD">
        <w:rPr>
          <w:noProof/>
          <w:szCs w:val="24"/>
        </w:rPr>
        <w:t xml:space="preserve"> and 1</w:t>
      </w:r>
      <w:r>
        <w:rPr>
          <w:noProof/>
          <w:szCs w:val="24"/>
        </w:rPr>
        <w:t>06</w:t>
      </w:r>
      <w:r w:rsidRPr="005A59FD">
        <w:rPr>
          <w:noProof/>
          <w:szCs w:val="24"/>
        </w:rPr>
        <w:t xml:space="preserve"> shall be used only for the purpose for which it was acquired</w:t>
      </w:r>
      <w:r>
        <w:rPr>
          <w:noProof/>
          <w:szCs w:val="24"/>
        </w:rPr>
        <w:t>.</w:t>
      </w:r>
    </w:p>
    <w:p w14:paraId="40F9574F" w14:textId="669172EF" w:rsidR="00AA1F01" w:rsidRDefault="00AA1F01" w:rsidP="00AA1F01">
      <w:pPr>
        <w:pStyle w:val="Titrearticle"/>
        <w:rPr>
          <w:noProof/>
        </w:rPr>
      </w:pPr>
      <w:r>
        <w:rPr>
          <w:noProof/>
        </w:rPr>
        <w:t>Article 109</w:t>
      </w:r>
      <w:r>
        <w:rPr>
          <w:noProof/>
        </w:rPr>
        <w:br/>
      </w:r>
      <w:r w:rsidR="00592BEE" w:rsidRPr="001C0052">
        <w:rPr>
          <w:noProof/>
        </w:rPr>
        <w:t>Fees</w:t>
      </w:r>
    </w:p>
    <w:p w14:paraId="3885AB62" w14:textId="47810381" w:rsidR="00592BEE" w:rsidRPr="005A59FD" w:rsidRDefault="006D01CD" w:rsidP="006D01CD">
      <w:pPr>
        <w:pStyle w:val="ManualNumPar1"/>
        <w:rPr>
          <w:noProof/>
        </w:rPr>
      </w:pPr>
      <w:r w:rsidRPr="006D01CD">
        <w:rPr>
          <w:noProof/>
        </w:rPr>
        <w:t>1.</w:t>
      </w:r>
      <w:r w:rsidRPr="006D01CD">
        <w:rPr>
          <w:noProof/>
        </w:rPr>
        <w:tab/>
      </w:r>
      <w:r w:rsidR="00592BEE" w:rsidRPr="005A59FD">
        <w:rPr>
          <w:noProof/>
        </w:rPr>
        <w:t xml:space="preserve">The Commission shall levy fees for requests </w:t>
      </w:r>
      <w:r w:rsidR="00592BEE">
        <w:rPr>
          <w:noProof/>
        </w:rPr>
        <w:t>submitted in accordance with</w:t>
      </w:r>
      <w:r w:rsidR="00592BEE" w:rsidRPr="005A59FD">
        <w:rPr>
          <w:noProof/>
        </w:rPr>
        <w:t xml:space="preserve"> Article </w:t>
      </w:r>
      <w:r w:rsidR="00592BEE">
        <w:rPr>
          <w:noProof/>
        </w:rPr>
        <w:t>105</w:t>
      </w:r>
      <w:r w:rsidR="00592BEE" w:rsidRPr="005A59FD">
        <w:rPr>
          <w:noProof/>
        </w:rPr>
        <w:t>(1).</w:t>
      </w:r>
    </w:p>
    <w:p w14:paraId="7B0C9688" w14:textId="16B20BF2" w:rsidR="00592BEE" w:rsidRPr="005A59FD" w:rsidRDefault="006D01CD" w:rsidP="006D01CD">
      <w:pPr>
        <w:pStyle w:val="ManualNumPar1"/>
        <w:rPr>
          <w:noProof/>
        </w:rPr>
      </w:pPr>
      <w:r w:rsidRPr="006D01CD">
        <w:rPr>
          <w:noProof/>
        </w:rPr>
        <w:t>2.</w:t>
      </w:r>
      <w:r w:rsidRPr="006D01CD">
        <w:rPr>
          <w:noProof/>
        </w:rPr>
        <w:tab/>
      </w:r>
      <w:r w:rsidR="00592BEE" w:rsidRPr="005A59FD">
        <w:rPr>
          <w:noProof/>
        </w:rPr>
        <w:t>Fees shall be expressed and payable in euro.</w:t>
      </w:r>
    </w:p>
    <w:p w14:paraId="2CF7C7A2" w14:textId="6ABAADFF" w:rsidR="00592BEE" w:rsidRPr="005A59FD" w:rsidRDefault="006D01CD" w:rsidP="006D01CD">
      <w:pPr>
        <w:pStyle w:val="ManualNumPar1"/>
        <w:rPr>
          <w:noProof/>
        </w:rPr>
      </w:pPr>
      <w:r w:rsidRPr="006D01CD">
        <w:rPr>
          <w:noProof/>
        </w:rPr>
        <w:t>3.</w:t>
      </w:r>
      <w:r w:rsidRPr="006D01CD">
        <w:rPr>
          <w:noProof/>
        </w:rPr>
        <w:tab/>
      </w:r>
      <w:r w:rsidR="00592BEE" w:rsidRPr="005A59FD">
        <w:rPr>
          <w:noProof/>
        </w:rPr>
        <w:t xml:space="preserve">Fees shall be </w:t>
      </w:r>
      <w:r w:rsidR="00592BEE">
        <w:rPr>
          <w:noProof/>
        </w:rPr>
        <w:t>commensurate</w:t>
      </w:r>
      <w:r w:rsidR="00592BEE" w:rsidRPr="005A59FD">
        <w:rPr>
          <w:noProof/>
        </w:rPr>
        <w:t xml:space="preserve"> to the costs </w:t>
      </w:r>
      <w:r w:rsidR="00592BEE">
        <w:rPr>
          <w:noProof/>
        </w:rPr>
        <w:t>linked</w:t>
      </w:r>
      <w:r w:rsidR="00592BEE" w:rsidRPr="005A59FD">
        <w:rPr>
          <w:noProof/>
        </w:rPr>
        <w:t xml:space="preserve"> to the processing of requests referred to in Article </w:t>
      </w:r>
      <w:r w:rsidR="00592BEE">
        <w:rPr>
          <w:noProof/>
        </w:rPr>
        <w:t>105</w:t>
      </w:r>
      <w:r w:rsidR="00592BEE" w:rsidRPr="005A59FD">
        <w:rPr>
          <w:noProof/>
        </w:rPr>
        <w:t xml:space="preserve">(1), the assessment of the criteria and information referred to in Article </w:t>
      </w:r>
      <w:r w:rsidR="00592BEE">
        <w:rPr>
          <w:noProof/>
        </w:rPr>
        <w:t>105</w:t>
      </w:r>
      <w:r w:rsidR="00592BEE" w:rsidRPr="005A59FD">
        <w:rPr>
          <w:noProof/>
        </w:rPr>
        <w:t>(2), and the set-up, maintenance and operation of the regist</w:t>
      </w:r>
      <w:r w:rsidR="00592BEE">
        <w:rPr>
          <w:noProof/>
        </w:rPr>
        <w:t>er</w:t>
      </w:r>
      <w:r w:rsidR="00592BEE" w:rsidRPr="005A59FD">
        <w:rPr>
          <w:noProof/>
        </w:rPr>
        <w:t xml:space="preserve"> </w:t>
      </w:r>
      <w:r w:rsidR="00592BEE">
        <w:rPr>
          <w:noProof/>
        </w:rPr>
        <w:t>referred</w:t>
      </w:r>
      <w:r w:rsidR="00592BEE" w:rsidRPr="005A59FD">
        <w:rPr>
          <w:noProof/>
        </w:rPr>
        <w:t xml:space="preserve"> to </w:t>
      </w:r>
      <w:r w:rsidR="00592BEE">
        <w:rPr>
          <w:noProof/>
        </w:rPr>
        <w:t>in</w:t>
      </w:r>
      <w:r w:rsidR="00592BEE" w:rsidRPr="005A59FD">
        <w:rPr>
          <w:noProof/>
        </w:rPr>
        <w:t xml:space="preserve"> Article 1</w:t>
      </w:r>
      <w:r w:rsidR="00592BEE">
        <w:rPr>
          <w:noProof/>
        </w:rPr>
        <w:t>07</w:t>
      </w:r>
      <w:r w:rsidR="00592BEE" w:rsidRPr="005A59FD">
        <w:rPr>
          <w:noProof/>
        </w:rPr>
        <w:t>. All expenditure of the Commission attributed to staff involved in th</w:t>
      </w:r>
      <w:r w:rsidR="00592BEE">
        <w:rPr>
          <w:noProof/>
        </w:rPr>
        <w:t>o</w:t>
      </w:r>
      <w:r w:rsidR="00592BEE" w:rsidRPr="005A59FD">
        <w:rPr>
          <w:noProof/>
        </w:rPr>
        <w:t xml:space="preserve">se activities, shall </w:t>
      </w:r>
      <w:r w:rsidR="00592BEE">
        <w:rPr>
          <w:noProof/>
        </w:rPr>
        <w:t xml:space="preserve">be included </w:t>
      </w:r>
      <w:r w:rsidR="00592BEE" w:rsidRPr="005A59FD">
        <w:rPr>
          <w:noProof/>
        </w:rPr>
        <w:t xml:space="preserve">in </w:t>
      </w:r>
      <w:r w:rsidR="00592BEE">
        <w:rPr>
          <w:noProof/>
        </w:rPr>
        <w:t>such</w:t>
      </w:r>
      <w:r w:rsidR="00592BEE" w:rsidRPr="005A59FD">
        <w:rPr>
          <w:noProof/>
        </w:rPr>
        <w:t xml:space="preserve"> cost</w:t>
      </w:r>
      <w:r w:rsidR="00592BEE">
        <w:rPr>
          <w:noProof/>
        </w:rPr>
        <w:t>s</w:t>
      </w:r>
      <w:r w:rsidR="00592BEE" w:rsidRPr="005A59FD">
        <w:rPr>
          <w:noProof/>
        </w:rPr>
        <w:t>.</w:t>
      </w:r>
      <w:r w:rsidR="00592BEE">
        <w:rPr>
          <w:noProof/>
        </w:rPr>
        <w:t xml:space="preserve"> </w:t>
      </w:r>
    </w:p>
    <w:p w14:paraId="62642FAB" w14:textId="64D2169F" w:rsidR="00592BEE" w:rsidRDefault="006D01CD" w:rsidP="006D01CD">
      <w:pPr>
        <w:pStyle w:val="ManualNumPar1"/>
        <w:rPr>
          <w:noProof/>
        </w:rPr>
      </w:pPr>
      <w:r w:rsidRPr="006D01CD">
        <w:rPr>
          <w:noProof/>
        </w:rPr>
        <w:t>4.</w:t>
      </w:r>
      <w:r w:rsidRPr="006D01CD">
        <w:rPr>
          <w:noProof/>
        </w:rPr>
        <w:tab/>
      </w:r>
      <w:r w:rsidR="00592BEE" w:rsidRPr="005A59FD">
        <w:rPr>
          <w:noProof/>
        </w:rPr>
        <w:t xml:space="preserve">The Commission shall adopt implementing acts laying down detailed rules relating to </w:t>
      </w:r>
      <w:r w:rsidR="00592BEE">
        <w:rPr>
          <w:noProof/>
        </w:rPr>
        <w:t xml:space="preserve">the </w:t>
      </w:r>
      <w:r w:rsidR="00592BEE" w:rsidRPr="005A59FD">
        <w:rPr>
          <w:noProof/>
        </w:rPr>
        <w:t xml:space="preserve">fees, specifying the amount of the fees and the way in which they are </w:t>
      </w:r>
      <w:r w:rsidR="00592BEE">
        <w:rPr>
          <w:noProof/>
        </w:rPr>
        <w:t>to be</w:t>
      </w:r>
      <w:r w:rsidR="00592BEE" w:rsidRPr="00D76ED1">
        <w:rPr>
          <w:noProof/>
        </w:rPr>
        <w:t xml:space="preserve"> </w:t>
      </w:r>
      <w:r w:rsidR="00592BEE" w:rsidRPr="00520DF8">
        <w:rPr>
          <w:noProof/>
        </w:rPr>
        <w:t>paid. Those implementing acts shall be adopted in accordance with the examination procedure referred to in Article 11</w:t>
      </w:r>
      <w:r w:rsidR="00592BEE">
        <w:rPr>
          <w:noProof/>
        </w:rPr>
        <w:t>8</w:t>
      </w:r>
      <w:r w:rsidR="00592BEE" w:rsidRPr="00520DF8">
        <w:rPr>
          <w:noProof/>
        </w:rPr>
        <w:t>(2</w:t>
      </w:r>
      <w:r w:rsidR="00592BEE">
        <w:rPr>
          <w:noProof/>
        </w:rPr>
        <w:t>).</w:t>
      </w:r>
    </w:p>
    <w:p w14:paraId="200C7ADE" w14:textId="77777777" w:rsidR="00592BEE" w:rsidRDefault="00592BEE" w:rsidP="00592BEE">
      <w:pPr>
        <w:rPr>
          <w:noProof/>
        </w:rPr>
      </w:pPr>
    </w:p>
    <w:p w14:paraId="67FC27A6" w14:textId="77777777" w:rsidR="00592BEE" w:rsidRPr="00D45456" w:rsidDel="009D2917" w:rsidRDefault="00592BEE" w:rsidP="00592BEE">
      <w:pPr>
        <w:jc w:val="center"/>
        <w:rPr>
          <w:b/>
          <w:bCs/>
          <w:i/>
          <w:iCs/>
          <w:noProof/>
        </w:rPr>
      </w:pPr>
      <w:r w:rsidRPr="00D45456">
        <w:rPr>
          <w:b/>
          <w:bCs/>
          <w:i/>
          <w:iCs/>
          <w:noProof/>
        </w:rPr>
        <w:t>CHAPTER I</w:t>
      </w:r>
      <w:r>
        <w:rPr>
          <w:b/>
          <w:bCs/>
          <w:i/>
          <w:iCs/>
          <w:noProof/>
        </w:rPr>
        <w:t>I</w:t>
      </w:r>
      <w:r w:rsidRPr="00D45456">
        <w:rPr>
          <w:b/>
          <w:bCs/>
          <w:i/>
          <w:iCs/>
          <w:noProof/>
        </w:rPr>
        <w:br/>
      </w:r>
      <w:r w:rsidRPr="0092108A">
        <w:rPr>
          <w:b/>
          <w:bCs/>
          <w:i/>
          <w:iCs/>
          <w:noProof/>
        </w:rPr>
        <w:t>ICT supply chains in electronic communications networks</w:t>
      </w:r>
    </w:p>
    <w:p w14:paraId="3897555B" w14:textId="59F07D64" w:rsidR="00AA1F01" w:rsidRDefault="00AA1F01" w:rsidP="00AA1F01">
      <w:pPr>
        <w:pStyle w:val="Titrearticle"/>
        <w:rPr>
          <w:noProof/>
        </w:rPr>
      </w:pPr>
      <w:r>
        <w:rPr>
          <w:noProof/>
        </w:rPr>
        <w:t>Article 110</w:t>
      </w:r>
      <w:r>
        <w:rPr>
          <w:noProof/>
        </w:rPr>
        <w:br/>
      </w:r>
      <w:r w:rsidR="00592BEE" w:rsidRPr="0092108A">
        <w:rPr>
          <w:noProof/>
        </w:rPr>
        <w:t>Key ICT assets for mobile</w:t>
      </w:r>
      <w:r w:rsidR="00473734">
        <w:rPr>
          <w:noProof/>
        </w:rPr>
        <w:t>,</w:t>
      </w:r>
      <w:r w:rsidR="00592BEE" w:rsidRPr="0092108A">
        <w:rPr>
          <w:noProof/>
        </w:rPr>
        <w:t xml:space="preserve"> fixed </w:t>
      </w:r>
      <w:r w:rsidR="00473734">
        <w:rPr>
          <w:noProof/>
        </w:rPr>
        <w:t>and satellite</w:t>
      </w:r>
      <w:r w:rsidR="00592BEE" w:rsidRPr="0092108A">
        <w:rPr>
          <w:noProof/>
        </w:rPr>
        <w:t xml:space="preserve"> electronic communications networks</w:t>
      </w:r>
    </w:p>
    <w:p w14:paraId="65914219" w14:textId="011D8709" w:rsidR="00592BEE" w:rsidRPr="00592BEE" w:rsidRDefault="006D01CD" w:rsidP="006D01CD">
      <w:pPr>
        <w:pStyle w:val="ManualNumPar1"/>
        <w:rPr>
          <w:noProof/>
          <w:lang w:val="en-IE"/>
        </w:rPr>
      </w:pPr>
      <w:r w:rsidRPr="006D01CD">
        <w:rPr>
          <w:noProof/>
        </w:rPr>
        <w:t>1.</w:t>
      </w:r>
      <w:r w:rsidRPr="006D01CD">
        <w:rPr>
          <w:noProof/>
        </w:rPr>
        <w:tab/>
      </w:r>
      <w:r w:rsidR="00592BEE" w:rsidRPr="00592BEE">
        <w:rPr>
          <w:noProof/>
          <w:lang w:val="en-IE"/>
        </w:rPr>
        <w:t>The key ICT assets for mobile</w:t>
      </w:r>
      <w:r w:rsidR="00AA683C">
        <w:rPr>
          <w:noProof/>
          <w:lang w:val="en-IE"/>
        </w:rPr>
        <w:t>, fixed</w:t>
      </w:r>
      <w:r w:rsidR="00592BEE" w:rsidRPr="00592BEE">
        <w:rPr>
          <w:noProof/>
          <w:lang w:val="en-IE"/>
        </w:rPr>
        <w:t xml:space="preserve"> and </w:t>
      </w:r>
      <w:r w:rsidR="00AA683C">
        <w:rPr>
          <w:noProof/>
          <w:lang w:val="en-IE"/>
        </w:rPr>
        <w:t>satellite</w:t>
      </w:r>
      <w:r w:rsidR="00107BC4">
        <w:rPr>
          <w:noProof/>
          <w:lang w:val="en-IE"/>
        </w:rPr>
        <w:t xml:space="preserve"> </w:t>
      </w:r>
      <w:r w:rsidR="00592BEE" w:rsidRPr="00592BEE">
        <w:rPr>
          <w:noProof/>
          <w:lang w:val="en-IE"/>
        </w:rPr>
        <w:t>electronic communications networks shall be as set out in Annex II.</w:t>
      </w:r>
    </w:p>
    <w:p w14:paraId="10A1AE59" w14:textId="17F084A6" w:rsidR="00592BEE" w:rsidRPr="009D1243" w:rsidRDefault="006D01CD" w:rsidP="006D01CD">
      <w:pPr>
        <w:pStyle w:val="ManualNumPar1"/>
        <w:rPr>
          <w:noProof/>
          <w:lang w:val="en-IE"/>
        </w:rPr>
      </w:pPr>
      <w:r w:rsidRPr="006D01CD">
        <w:rPr>
          <w:noProof/>
        </w:rPr>
        <w:t>2.</w:t>
      </w:r>
      <w:r w:rsidRPr="006D01CD">
        <w:rPr>
          <w:noProof/>
        </w:rPr>
        <w:tab/>
      </w:r>
      <w:r w:rsidR="00592BEE" w:rsidRPr="009D1243">
        <w:rPr>
          <w:noProof/>
          <w:lang w:val="en-IE"/>
        </w:rPr>
        <w:t>ICT components or components that include ICT components provided by high-risk suppliers shall be phased out from the key ICT assets of mobile</w:t>
      </w:r>
      <w:r w:rsidR="00D83BA5">
        <w:rPr>
          <w:noProof/>
          <w:lang w:val="en-IE"/>
        </w:rPr>
        <w:t>,</w:t>
      </w:r>
      <w:r w:rsidR="00592BEE" w:rsidRPr="009D1243">
        <w:rPr>
          <w:noProof/>
          <w:lang w:val="en-IE"/>
        </w:rPr>
        <w:t xml:space="preserve"> fixed </w:t>
      </w:r>
      <w:r w:rsidR="00D83BA5">
        <w:rPr>
          <w:noProof/>
          <w:lang w:val="en-IE"/>
        </w:rPr>
        <w:t>and satellite</w:t>
      </w:r>
      <w:r w:rsidR="00592BEE" w:rsidRPr="009D1243">
        <w:rPr>
          <w:noProof/>
          <w:lang w:val="en-IE"/>
        </w:rPr>
        <w:t xml:space="preserve"> electronic communication networks. </w:t>
      </w:r>
    </w:p>
    <w:p w14:paraId="25AA4A13" w14:textId="57AD0F05" w:rsidR="00592BEE" w:rsidRPr="009D1243" w:rsidRDefault="006D01CD" w:rsidP="006D01CD">
      <w:pPr>
        <w:pStyle w:val="ManualNumPar1"/>
        <w:rPr>
          <w:noProof/>
          <w:lang w:val="en-IE"/>
        </w:rPr>
      </w:pPr>
      <w:r w:rsidRPr="006D01CD">
        <w:rPr>
          <w:noProof/>
        </w:rPr>
        <w:t>3.</w:t>
      </w:r>
      <w:r w:rsidRPr="006D01CD">
        <w:rPr>
          <w:noProof/>
        </w:rPr>
        <w:tab/>
      </w:r>
      <w:r w:rsidR="00592BEE" w:rsidRPr="009D1243">
        <w:rPr>
          <w:noProof/>
          <w:lang w:val="en-IE"/>
        </w:rPr>
        <w:t xml:space="preserve">The time period for the phasing out the ICT components or components that include ICT components provided by high-risk suppliers with regard to mobile electronic communications networks shall not exceed 36 months from </w:t>
      </w:r>
      <w:r w:rsidR="00592BEE" w:rsidRPr="0016394E">
        <w:rPr>
          <w:noProof/>
          <w:lang w:val="en-IE"/>
        </w:rPr>
        <w:t xml:space="preserve">the publication of the list of high-risk suppliers referred to in Article </w:t>
      </w:r>
      <w:r w:rsidR="00592BEE">
        <w:rPr>
          <w:noProof/>
          <w:lang w:val="en-IE"/>
        </w:rPr>
        <w:t>104</w:t>
      </w:r>
      <w:r w:rsidR="00592BEE" w:rsidRPr="0016394E">
        <w:rPr>
          <w:noProof/>
          <w:lang w:val="en-IE"/>
        </w:rPr>
        <w:t xml:space="preserve"> relevant for the mobile electronic communications networks</w:t>
      </w:r>
      <w:r w:rsidR="00592BEE" w:rsidRPr="009D1243">
        <w:rPr>
          <w:noProof/>
          <w:lang w:val="en-IE"/>
        </w:rPr>
        <w:t>.</w:t>
      </w:r>
    </w:p>
    <w:p w14:paraId="10E88828" w14:textId="16C67CC3" w:rsidR="00592BEE" w:rsidRPr="009D1243" w:rsidRDefault="006D01CD" w:rsidP="006D01CD">
      <w:pPr>
        <w:pStyle w:val="ManualNumPar1"/>
        <w:rPr>
          <w:noProof/>
          <w:lang w:val="en-IE"/>
        </w:rPr>
      </w:pPr>
      <w:r w:rsidRPr="006D01CD">
        <w:rPr>
          <w:noProof/>
        </w:rPr>
        <w:t>4.</w:t>
      </w:r>
      <w:r w:rsidRPr="006D01CD">
        <w:rPr>
          <w:noProof/>
        </w:rPr>
        <w:tab/>
      </w:r>
      <w:r w:rsidR="00592BEE" w:rsidRPr="009D1243">
        <w:rPr>
          <w:noProof/>
          <w:lang w:val="en-IE"/>
        </w:rPr>
        <w:t>The Commission is empowered to adopt implementing acts in accordance with Article 11</w:t>
      </w:r>
      <w:r w:rsidR="00592BEE">
        <w:rPr>
          <w:noProof/>
          <w:lang w:val="en-IE"/>
        </w:rPr>
        <w:t>8(2)</w:t>
      </w:r>
      <w:r w:rsidR="00592BEE" w:rsidRPr="009D1243">
        <w:rPr>
          <w:noProof/>
          <w:lang w:val="en-IE"/>
        </w:rPr>
        <w:t xml:space="preserve"> to specify the time periods for the phasing out the ICT components or components that include ICT components provided by high-risk suppliers with regard to fixed </w:t>
      </w:r>
      <w:r w:rsidR="00473734">
        <w:rPr>
          <w:noProof/>
          <w:lang w:val="en-IE"/>
        </w:rPr>
        <w:t xml:space="preserve">and satellite </w:t>
      </w:r>
      <w:r w:rsidR="00592BEE" w:rsidRPr="009D1243">
        <w:rPr>
          <w:noProof/>
          <w:lang w:val="en-IE"/>
        </w:rPr>
        <w:t xml:space="preserve">electronic communications networks. </w:t>
      </w:r>
    </w:p>
    <w:p w14:paraId="0FE1CC78" w14:textId="23588A83" w:rsidR="00592BEE" w:rsidRPr="00592BEE" w:rsidRDefault="006D01CD" w:rsidP="006D01CD">
      <w:pPr>
        <w:pStyle w:val="ManualNumPar1"/>
        <w:rPr>
          <w:noProof/>
        </w:rPr>
      </w:pPr>
      <w:r w:rsidRPr="006D01CD">
        <w:rPr>
          <w:noProof/>
        </w:rPr>
        <w:t>5.</w:t>
      </w:r>
      <w:r w:rsidRPr="006D01CD">
        <w:rPr>
          <w:noProof/>
        </w:rPr>
        <w:tab/>
      </w:r>
      <w:r w:rsidR="00592BEE" w:rsidRPr="009D1243">
        <w:rPr>
          <w:noProof/>
          <w:lang w:val="en-IE"/>
        </w:rPr>
        <w:t>The Commission is empowered to adopt delegated acts in accordance with Article 1</w:t>
      </w:r>
      <w:r w:rsidR="00592BEE">
        <w:rPr>
          <w:noProof/>
          <w:lang w:val="en-IE"/>
        </w:rPr>
        <w:t>19</w:t>
      </w:r>
      <w:r w:rsidR="00592BEE" w:rsidRPr="009D1243">
        <w:rPr>
          <w:noProof/>
          <w:lang w:val="en-IE"/>
        </w:rPr>
        <w:t xml:space="preserve"> to amend Annex II </w:t>
      </w:r>
      <w:r w:rsidR="00783223">
        <w:rPr>
          <w:noProof/>
          <w:lang w:val="en-IE"/>
        </w:rPr>
        <w:t xml:space="preserve">to this Regulation </w:t>
      </w:r>
      <w:r w:rsidR="00592BEE" w:rsidRPr="009D1243">
        <w:rPr>
          <w:noProof/>
          <w:lang w:val="en-IE"/>
        </w:rPr>
        <w:t xml:space="preserve">in order to adapt it to technological developments by taking into account the elements referred to in Article </w:t>
      </w:r>
      <w:r w:rsidR="00592BEE" w:rsidRPr="009143AB">
        <w:rPr>
          <w:noProof/>
          <w:lang w:val="en-IE"/>
        </w:rPr>
        <w:t>103(4</w:t>
      </w:r>
      <w:r w:rsidR="00592BEE">
        <w:rPr>
          <w:noProof/>
          <w:lang w:val="en-IE"/>
        </w:rPr>
        <w:t>).</w:t>
      </w:r>
    </w:p>
    <w:p w14:paraId="20B24DDD" w14:textId="2848B2A4" w:rsidR="00AA1F01" w:rsidRDefault="00AA1F01" w:rsidP="00AA1F01">
      <w:pPr>
        <w:pStyle w:val="Titrearticle"/>
        <w:rPr>
          <w:noProof/>
        </w:rPr>
      </w:pPr>
      <w:r>
        <w:rPr>
          <w:noProof/>
        </w:rPr>
        <w:t>Article 111</w:t>
      </w:r>
      <w:r>
        <w:rPr>
          <w:noProof/>
        </w:rPr>
        <w:br/>
      </w:r>
      <w:r w:rsidR="00592BEE" w:rsidRPr="0092108A">
        <w:rPr>
          <w:noProof/>
        </w:rPr>
        <w:t>Prohibitions for mobile</w:t>
      </w:r>
      <w:r w:rsidR="00473734">
        <w:rPr>
          <w:noProof/>
        </w:rPr>
        <w:t>,</w:t>
      </w:r>
      <w:r w:rsidR="00592BEE" w:rsidRPr="0092108A">
        <w:rPr>
          <w:noProof/>
        </w:rPr>
        <w:t xml:space="preserve"> fixed </w:t>
      </w:r>
      <w:r w:rsidR="00473734">
        <w:rPr>
          <w:noProof/>
        </w:rPr>
        <w:t>and satellite</w:t>
      </w:r>
      <w:r w:rsidR="00592BEE" w:rsidRPr="0092108A">
        <w:rPr>
          <w:noProof/>
        </w:rPr>
        <w:t xml:space="preserve"> electronic communication networks</w:t>
      </w:r>
    </w:p>
    <w:p w14:paraId="6A0F7DE5" w14:textId="688DCF59" w:rsidR="00592BEE" w:rsidRPr="00592BEE" w:rsidRDefault="006D01CD" w:rsidP="006D01CD">
      <w:pPr>
        <w:pStyle w:val="ManualNumPar1"/>
        <w:rPr>
          <w:noProof/>
          <w:lang w:val="en-IE"/>
        </w:rPr>
      </w:pPr>
      <w:r w:rsidRPr="006D01CD">
        <w:rPr>
          <w:noProof/>
        </w:rPr>
        <w:t>1.</w:t>
      </w:r>
      <w:r w:rsidRPr="006D01CD">
        <w:rPr>
          <w:noProof/>
        </w:rPr>
        <w:tab/>
      </w:r>
      <w:r w:rsidR="00592BEE" w:rsidRPr="00592BEE">
        <w:rPr>
          <w:noProof/>
          <w:lang w:val="en-IE"/>
        </w:rPr>
        <w:t>Providers of mobile</w:t>
      </w:r>
      <w:r w:rsidR="00734162">
        <w:rPr>
          <w:noProof/>
          <w:lang w:val="en-IE"/>
        </w:rPr>
        <w:t xml:space="preserve">, </w:t>
      </w:r>
      <w:r w:rsidR="00592BEE" w:rsidRPr="00592BEE">
        <w:rPr>
          <w:noProof/>
          <w:lang w:val="en-IE"/>
        </w:rPr>
        <w:t>fixed</w:t>
      </w:r>
      <w:r w:rsidR="00734162">
        <w:rPr>
          <w:noProof/>
          <w:lang w:val="en-IE"/>
        </w:rPr>
        <w:t xml:space="preserve"> and satellite</w:t>
      </w:r>
      <w:r w:rsidR="00592BEE" w:rsidRPr="00592BEE">
        <w:rPr>
          <w:noProof/>
          <w:lang w:val="en-IE"/>
        </w:rPr>
        <w:t xml:space="preserve"> electronic communications networks shall not use, install or integrate, in any form, ICT components or components that include ICT components from high-risk suppliers in the operation of key ICT assets referred to in Annex II.</w:t>
      </w:r>
    </w:p>
    <w:p w14:paraId="2CEADE48" w14:textId="037CDF43" w:rsidR="00592BEE" w:rsidRDefault="006D01CD" w:rsidP="006D01CD">
      <w:pPr>
        <w:pStyle w:val="ManualNumPar1"/>
        <w:rPr>
          <w:noProof/>
          <w:lang w:val="en-IE"/>
        </w:rPr>
      </w:pPr>
      <w:r w:rsidRPr="006D01CD">
        <w:rPr>
          <w:noProof/>
        </w:rPr>
        <w:t>2.</w:t>
      </w:r>
      <w:r w:rsidRPr="006D01CD">
        <w:rPr>
          <w:noProof/>
        </w:rPr>
        <w:tab/>
      </w:r>
      <w:r w:rsidR="00592BEE" w:rsidRPr="00285D19">
        <w:rPr>
          <w:noProof/>
          <w:lang w:val="en-IE"/>
        </w:rPr>
        <w:t>In cases where the competent authority designated under this Regulation in a Member State differs from the competent authority pursuant to Regulation (EU) XX/XXXX [DNA proposal], the competent authority designated under this Regulation shall inform without delay the competent authority pursuant to Regulation (EU) XX/XXXX [DNA proposal] about the measures imposed on providers of mobile</w:t>
      </w:r>
      <w:r w:rsidR="002D32E5">
        <w:rPr>
          <w:noProof/>
          <w:lang w:val="en-IE"/>
        </w:rPr>
        <w:t>,</w:t>
      </w:r>
      <w:r w:rsidR="00592BEE" w:rsidRPr="00285D19">
        <w:rPr>
          <w:noProof/>
          <w:lang w:val="en-IE"/>
        </w:rPr>
        <w:t xml:space="preserve"> fixed</w:t>
      </w:r>
      <w:r w:rsidR="002D32E5">
        <w:rPr>
          <w:noProof/>
          <w:lang w:val="en-IE"/>
        </w:rPr>
        <w:t xml:space="preserve"> and satellite</w:t>
      </w:r>
      <w:r w:rsidR="00592BEE" w:rsidRPr="00285D19">
        <w:rPr>
          <w:noProof/>
          <w:lang w:val="en-IE"/>
        </w:rPr>
        <w:t xml:space="preserve"> electronic communications networks in accordance with </w:t>
      </w:r>
      <w:r w:rsidR="00BC1F98">
        <w:rPr>
          <w:noProof/>
          <w:lang w:val="en-IE"/>
        </w:rPr>
        <w:t>Article 114</w:t>
      </w:r>
      <w:r w:rsidR="00592BEE" w:rsidRPr="00285D19">
        <w:rPr>
          <w:noProof/>
          <w:lang w:val="en-IE"/>
        </w:rPr>
        <w:t>. The authorities shall ensure close cooperation for the purposes of effective supervision and enforcement of those measures</w:t>
      </w:r>
      <w:r w:rsidR="00592BEE">
        <w:rPr>
          <w:noProof/>
          <w:lang w:val="en-IE"/>
        </w:rPr>
        <w:t>.</w:t>
      </w:r>
    </w:p>
    <w:p w14:paraId="6EF4364D" w14:textId="77777777" w:rsidR="00592BEE" w:rsidRDefault="00592BEE" w:rsidP="00592BEE">
      <w:pPr>
        <w:rPr>
          <w:noProof/>
          <w:lang w:val="en-IE"/>
        </w:rPr>
      </w:pPr>
    </w:p>
    <w:p w14:paraId="3DAF3F5E" w14:textId="77777777" w:rsidR="00592BEE" w:rsidRPr="00D45456" w:rsidDel="009D2917" w:rsidRDefault="00592BEE" w:rsidP="00592BEE">
      <w:pPr>
        <w:jc w:val="center"/>
        <w:rPr>
          <w:b/>
          <w:bCs/>
          <w:i/>
          <w:iCs/>
          <w:noProof/>
        </w:rPr>
      </w:pPr>
      <w:r w:rsidRPr="00D45456">
        <w:rPr>
          <w:b/>
          <w:bCs/>
          <w:i/>
          <w:iCs/>
          <w:noProof/>
        </w:rPr>
        <w:t>CHAPTER I</w:t>
      </w:r>
      <w:r>
        <w:rPr>
          <w:b/>
          <w:bCs/>
          <w:i/>
          <w:iCs/>
          <w:noProof/>
        </w:rPr>
        <w:t>II</w:t>
      </w:r>
      <w:r w:rsidRPr="00D45456">
        <w:rPr>
          <w:b/>
          <w:bCs/>
          <w:i/>
          <w:iCs/>
          <w:noProof/>
        </w:rPr>
        <w:br/>
      </w:r>
      <w:r w:rsidRPr="0092108A">
        <w:rPr>
          <w:b/>
          <w:bCs/>
          <w:i/>
          <w:iCs/>
          <w:noProof/>
        </w:rPr>
        <w:t>Competent authorities, supervision and enforcement, jurisdiction, rights of defence</w:t>
      </w:r>
    </w:p>
    <w:p w14:paraId="7361EDE6" w14:textId="2B548F8C" w:rsidR="00AA1F01" w:rsidRDefault="00AA1F01" w:rsidP="00AA1F01">
      <w:pPr>
        <w:pStyle w:val="Titrearticle"/>
        <w:rPr>
          <w:noProof/>
        </w:rPr>
      </w:pPr>
      <w:r>
        <w:rPr>
          <w:noProof/>
        </w:rPr>
        <w:t>Article 112</w:t>
      </w:r>
      <w:r>
        <w:rPr>
          <w:noProof/>
        </w:rPr>
        <w:br/>
      </w:r>
      <w:r w:rsidR="00592BEE" w:rsidRPr="0092108A">
        <w:rPr>
          <w:noProof/>
        </w:rPr>
        <w:t>Competent authorities</w:t>
      </w:r>
    </w:p>
    <w:p w14:paraId="66B6EAE5" w14:textId="3A91B942" w:rsidR="00592BEE" w:rsidRPr="00592BEE" w:rsidRDefault="006D01CD" w:rsidP="006D01CD">
      <w:pPr>
        <w:pStyle w:val="ManualNumPar1"/>
        <w:rPr>
          <w:noProof/>
          <w:lang w:val="en-IE"/>
        </w:rPr>
      </w:pPr>
      <w:r w:rsidRPr="006D01CD">
        <w:rPr>
          <w:noProof/>
        </w:rPr>
        <w:t>1.</w:t>
      </w:r>
      <w:r w:rsidRPr="006D01CD">
        <w:rPr>
          <w:noProof/>
        </w:rPr>
        <w:tab/>
      </w:r>
      <w:r w:rsidR="00592BEE" w:rsidRPr="00592BEE">
        <w:rPr>
          <w:noProof/>
          <w:lang w:val="en-IE"/>
        </w:rPr>
        <w:t xml:space="preserve">Each Member State shall designate the competent authorities referred to in Article 8 of Directive (EU) 2022/2555 as authorities responsible for taking the supervisory and enforcement measures referred to in Article 114.  </w:t>
      </w:r>
    </w:p>
    <w:p w14:paraId="125E3474" w14:textId="0C2D2283" w:rsidR="00592BEE" w:rsidRPr="009D1243" w:rsidRDefault="006D01CD" w:rsidP="006D01CD">
      <w:pPr>
        <w:pStyle w:val="ManualNumPar1"/>
        <w:rPr>
          <w:noProof/>
          <w:lang w:val="en-IE"/>
        </w:rPr>
      </w:pPr>
      <w:r w:rsidRPr="006D01CD">
        <w:rPr>
          <w:noProof/>
        </w:rPr>
        <w:t>2.</w:t>
      </w:r>
      <w:r w:rsidRPr="006D01CD">
        <w:rPr>
          <w:noProof/>
        </w:rPr>
        <w:tab/>
      </w:r>
      <w:r w:rsidR="00592BEE" w:rsidRPr="009D1243">
        <w:rPr>
          <w:noProof/>
          <w:lang w:val="en-IE"/>
        </w:rPr>
        <w:t>Competent authorities shall be structurally and functionally fully impartial and free from any external influence, whether direct or indirect; in particular they shall neither seek nor take instructions from any other public authority or any private party.</w:t>
      </w:r>
    </w:p>
    <w:p w14:paraId="430EF0C6" w14:textId="190FBF5D" w:rsidR="00592BEE" w:rsidRPr="009D1243" w:rsidRDefault="006D01CD" w:rsidP="006D01CD">
      <w:pPr>
        <w:pStyle w:val="ManualNumPar1"/>
        <w:rPr>
          <w:noProof/>
          <w:lang w:val="en-IE"/>
        </w:rPr>
      </w:pPr>
      <w:r w:rsidRPr="006D01CD">
        <w:rPr>
          <w:noProof/>
        </w:rPr>
        <w:t>3.</w:t>
      </w:r>
      <w:r w:rsidRPr="006D01CD">
        <w:rPr>
          <w:noProof/>
        </w:rPr>
        <w:tab/>
      </w:r>
      <w:r w:rsidR="00592BEE" w:rsidRPr="009D1243">
        <w:rPr>
          <w:noProof/>
          <w:lang w:val="en-IE"/>
        </w:rPr>
        <w:t>Member States shall ensure that their competent authorities have appropriate powers, sufficient human and technical resources and relevant expertise to effectively carry out the supervisory and enforcement measures referred to in Article 1</w:t>
      </w:r>
      <w:r w:rsidR="00592BEE">
        <w:rPr>
          <w:noProof/>
          <w:lang w:val="en-IE"/>
        </w:rPr>
        <w:t>14</w:t>
      </w:r>
      <w:r w:rsidR="00592BEE" w:rsidRPr="009D1243">
        <w:rPr>
          <w:noProof/>
          <w:lang w:val="en-IE"/>
        </w:rPr>
        <w:t>.</w:t>
      </w:r>
    </w:p>
    <w:p w14:paraId="1C88563E" w14:textId="336DDEF9" w:rsidR="00592BEE" w:rsidRPr="00592BEE" w:rsidRDefault="006D01CD" w:rsidP="006D01CD">
      <w:pPr>
        <w:pStyle w:val="ManualNumPar1"/>
        <w:rPr>
          <w:noProof/>
        </w:rPr>
      </w:pPr>
      <w:r w:rsidRPr="006D01CD">
        <w:rPr>
          <w:noProof/>
        </w:rPr>
        <w:t>4.</w:t>
      </w:r>
      <w:r w:rsidRPr="006D01CD">
        <w:rPr>
          <w:noProof/>
        </w:rPr>
        <w:tab/>
      </w:r>
      <w:r w:rsidR="00592BEE" w:rsidRPr="009D1243">
        <w:rPr>
          <w:noProof/>
          <w:lang w:val="en-IE"/>
        </w:rPr>
        <w:t>Each Member State shall without undue delay notify the Commission of the names of the competent authorities designated in accordance with paragraph 1, of the respective tasks of those authorities and of any subsequent changes thereto. Each Member State shall also make public the names of the competent authorities designated in accordance with paragraph 1</w:t>
      </w:r>
      <w:r w:rsidR="00592BEE">
        <w:rPr>
          <w:noProof/>
          <w:lang w:val="en-IE"/>
        </w:rPr>
        <w:t>.</w:t>
      </w:r>
    </w:p>
    <w:p w14:paraId="0EF08FDC" w14:textId="77FE965D" w:rsidR="00AA1F01" w:rsidRDefault="00AA1F01" w:rsidP="00AA1F01">
      <w:pPr>
        <w:pStyle w:val="Titrearticle"/>
        <w:rPr>
          <w:noProof/>
        </w:rPr>
      </w:pPr>
      <w:r>
        <w:rPr>
          <w:noProof/>
        </w:rPr>
        <w:t>Article 113</w:t>
      </w:r>
      <w:r>
        <w:rPr>
          <w:noProof/>
        </w:rPr>
        <w:br/>
      </w:r>
      <w:r w:rsidR="003B159C" w:rsidRPr="0092108A">
        <w:rPr>
          <w:noProof/>
        </w:rPr>
        <w:t>Network for cooperation and support services of the Commission</w:t>
      </w:r>
    </w:p>
    <w:p w14:paraId="089E9A18" w14:textId="003DBDED" w:rsidR="003B159C" w:rsidRPr="003B159C" w:rsidRDefault="003B159C" w:rsidP="006879B9">
      <w:pPr>
        <w:rPr>
          <w:noProof/>
        </w:rPr>
      </w:pPr>
      <w:r w:rsidRPr="003B159C">
        <w:rPr>
          <w:noProof/>
          <w:lang w:val="en-IE"/>
        </w:rPr>
        <w:t>In view of effective supervision, the Commission shall set up a network for cooperation of competent authorities of Member States referred to in Article 112 and the Commission to serve as a platform for cooperation and exchange of information, in particular for the purpose of the establishment, control and ownership assessment referred to in Article 104. The Commission shall provide the administrative support to the network.</w:t>
      </w:r>
    </w:p>
    <w:p w14:paraId="3DCBB5C7" w14:textId="7D77EFF8" w:rsidR="00AA1F01" w:rsidRDefault="00AA1F01" w:rsidP="00AA1F01">
      <w:pPr>
        <w:pStyle w:val="Titrearticle"/>
        <w:rPr>
          <w:noProof/>
        </w:rPr>
      </w:pPr>
      <w:r>
        <w:rPr>
          <w:noProof/>
        </w:rPr>
        <w:t>Article 114</w:t>
      </w:r>
      <w:r>
        <w:rPr>
          <w:noProof/>
        </w:rPr>
        <w:br/>
      </w:r>
      <w:r w:rsidR="003B159C" w:rsidRPr="0092108A">
        <w:rPr>
          <w:noProof/>
        </w:rPr>
        <w:t>Supervisory and enforcement measures</w:t>
      </w:r>
    </w:p>
    <w:p w14:paraId="5E1643F1" w14:textId="0CFF2652" w:rsidR="003B159C" w:rsidRPr="003B159C" w:rsidRDefault="006D01CD" w:rsidP="006D01CD">
      <w:pPr>
        <w:pStyle w:val="ManualNumPar1"/>
        <w:rPr>
          <w:noProof/>
          <w:lang w:val="en-IE"/>
        </w:rPr>
      </w:pPr>
      <w:r w:rsidRPr="006D01CD">
        <w:rPr>
          <w:noProof/>
        </w:rPr>
        <w:t>1.</w:t>
      </w:r>
      <w:r w:rsidRPr="006D01CD">
        <w:rPr>
          <w:noProof/>
        </w:rPr>
        <w:tab/>
      </w:r>
      <w:r w:rsidR="003B159C" w:rsidRPr="003B159C">
        <w:rPr>
          <w:noProof/>
          <w:lang w:val="en-IE"/>
        </w:rPr>
        <w:t>The competent authorities as referred to in Article 112 are entitled to take the supervisory and enforcement measures on entities of the type referred to in Annexes I and II to Directive (EU) 2022/2555. Member States shall ensure that the abovementioned measures are effective, proportionate and dissuasive, taking into account the circumstances of each individual case. Member States shall notify the Commission of the rules enacted to that end and their subsequent amendments.</w:t>
      </w:r>
    </w:p>
    <w:p w14:paraId="173958BC" w14:textId="17149E07" w:rsidR="003B159C" w:rsidRPr="00347D20" w:rsidRDefault="006D01CD" w:rsidP="006D01CD">
      <w:pPr>
        <w:pStyle w:val="ManualNumPar1"/>
        <w:rPr>
          <w:noProof/>
          <w:lang w:val="en-IE"/>
        </w:rPr>
      </w:pPr>
      <w:r w:rsidRPr="006D01CD">
        <w:rPr>
          <w:noProof/>
        </w:rPr>
        <w:t>2.</w:t>
      </w:r>
      <w:r w:rsidRPr="006D01CD">
        <w:rPr>
          <w:noProof/>
        </w:rPr>
        <w:tab/>
      </w:r>
      <w:r w:rsidR="003B159C" w:rsidRPr="00347D20">
        <w:rPr>
          <w:noProof/>
          <w:lang w:val="en-IE"/>
        </w:rPr>
        <w:t xml:space="preserve">When exercising their supervisory tasks in relation to entities referred to in Annexes I and II to Directive (EU) 2022/2555, competent authorities are entitled to subject those entities to the following:  </w:t>
      </w:r>
    </w:p>
    <w:p w14:paraId="0E0DD228" w14:textId="31F3EE7A" w:rsidR="003B159C" w:rsidRPr="003B159C" w:rsidRDefault="006D01CD" w:rsidP="006D01CD">
      <w:pPr>
        <w:pStyle w:val="Point1"/>
        <w:rPr>
          <w:noProof/>
          <w:lang w:val="en-IE"/>
        </w:rPr>
      </w:pPr>
      <w:r w:rsidRPr="006D01CD">
        <w:rPr>
          <w:noProof/>
        </w:rPr>
        <w:t>(a)</w:t>
      </w:r>
      <w:r w:rsidRPr="006D01CD">
        <w:rPr>
          <w:noProof/>
        </w:rPr>
        <w:tab/>
      </w:r>
      <w:r w:rsidR="003B159C" w:rsidRPr="003B159C">
        <w:rPr>
          <w:noProof/>
          <w:lang w:val="en-IE"/>
        </w:rPr>
        <w:t>requests for a detailed and up-to-date list of their relevant suppliers and service suppliers;</w:t>
      </w:r>
    </w:p>
    <w:p w14:paraId="4344024D" w14:textId="076467EF" w:rsidR="003B159C" w:rsidRPr="00347D20" w:rsidRDefault="006D01CD" w:rsidP="006D01CD">
      <w:pPr>
        <w:pStyle w:val="Point1"/>
        <w:rPr>
          <w:noProof/>
          <w:lang w:val="en-IE"/>
        </w:rPr>
      </w:pPr>
      <w:r w:rsidRPr="006D01CD">
        <w:rPr>
          <w:noProof/>
        </w:rPr>
        <w:t>(b)</w:t>
      </w:r>
      <w:r w:rsidRPr="006D01CD">
        <w:rPr>
          <w:noProof/>
        </w:rPr>
        <w:tab/>
      </w:r>
      <w:r w:rsidR="003B159C" w:rsidRPr="00347D20">
        <w:rPr>
          <w:noProof/>
          <w:lang w:val="en-IE"/>
        </w:rPr>
        <w:t>requests to access data, documents and information necessary to verify compliance with this Regulation;</w:t>
      </w:r>
    </w:p>
    <w:p w14:paraId="23191F8A" w14:textId="12BA1280" w:rsidR="003B159C" w:rsidRPr="00347D20" w:rsidRDefault="006D01CD" w:rsidP="006D01CD">
      <w:pPr>
        <w:pStyle w:val="Point1"/>
        <w:rPr>
          <w:noProof/>
          <w:lang w:val="en-IE"/>
        </w:rPr>
      </w:pPr>
      <w:r w:rsidRPr="006D01CD">
        <w:rPr>
          <w:noProof/>
        </w:rPr>
        <w:t>(c)</w:t>
      </w:r>
      <w:r w:rsidRPr="006D01CD">
        <w:rPr>
          <w:noProof/>
        </w:rPr>
        <w:tab/>
      </w:r>
      <w:r w:rsidR="003B159C" w:rsidRPr="00347D20">
        <w:rPr>
          <w:noProof/>
          <w:lang w:val="en-IE"/>
        </w:rPr>
        <w:t>on-site inspections and off-site supervision, including random checks conducted by trained professionals;</w:t>
      </w:r>
    </w:p>
    <w:p w14:paraId="15DBA343" w14:textId="645B041F" w:rsidR="003B159C" w:rsidRPr="00347D20" w:rsidRDefault="006D01CD" w:rsidP="006D01CD">
      <w:pPr>
        <w:pStyle w:val="Point1"/>
        <w:rPr>
          <w:noProof/>
          <w:lang w:val="en-IE"/>
        </w:rPr>
      </w:pPr>
      <w:r w:rsidRPr="006D01CD">
        <w:rPr>
          <w:noProof/>
        </w:rPr>
        <w:t>(d)</w:t>
      </w:r>
      <w:r w:rsidRPr="006D01CD">
        <w:rPr>
          <w:noProof/>
        </w:rPr>
        <w:tab/>
      </w:r>
      <w:r w:rsidR="003B159C" w:rsidRPr="00347D20">
        <w:rPr>
          <w:noProof/>
          <w:lang w:val="en-IE"/>
        </w:rPr>
        <w:t>requests regarding the composition of hardware or software products installed or integrated in any form into the network or system, including components and transitive dependencies, in a commonly used and machine-readable format.</w:t>
      </w:r>
    </w:p>
    <w:p w14:paraId="261308AC" w14:textId="2A178BCD" w:rsidR="003B159C" w:rsidRPr="00D76ED1" w:rsidRDefault="006D01CD" w:rsidP="006D01CD">
      <w:pPr>
        <w:pStyle w:val="ManualNumPar1"/>
        <w:rPr>
          <w:noProof/>
          <w:lang w:val="en-IE"/>
        </w:rPr>
      </w:pPr>
      <w:r w:rsidRPr="006D01CD">
        <w:rPr>
          <w:noProof/>
        </w:rPr>
        <w:t>3.</w:t>
      </w:r>
      <w:r w:rsidRPr="006D01CD">
        <w:rPr>
          <w:noProof/>
        </w:rPr>
        <w:tab/>
      </w:r>
      <w:r w:rsidR="003B159C" w:rsidRPr="00D76ED1">
        <w:rPr>
          <w:noProof/>
          <w:lang w:val="en-IE"/>
        </w:rPr>
        <w:t>When exercising their enforcement powers in relation to entities of the type referred to in Annexes I and II to Directive (EU) 2022/2555, competent authorities are entitled to:</w:t>
      </w:r>
    </w:p>
    <w:p w14:paraId="43408554" w14:textId="74EFAEF3" w:rsidR="003B159C" w:rsidRPr="003B159C" w:rsidRDefault="006D01CD" w:rsidP="006D01CD">
      <w:pPr>
        <w:pStyle w:val="Point1"/>
        <w:rPr>
          <w:noProof/>
          <w:lang w:val="en-IE"/>
        </w:rPr>
      </w:pPr>
      <w:r w:rsidRPr="006D01CD">
        <w:rPr>
          <w:noProof/>
        </w:rPr>
        <w:t>(a)</w:t>
      </w:r>
      <w:r w:rsidRPr="006D01CD">
        <w:rPr>
          <w:noProof/>
        </w:rPr>
        <w:tab/>
      </w:r>
      <w:r w:rsidR="003B159C" w:rsidRPr="003B159C">
        <w:rPr>
          <w:noProof/>
          <w:lang w:val="en-IE"/>
        </w:rPr>
        <w:t>issue warnings about infringements of this Regulation by the entities concerned, setting out the relevant facts and legal considerations;</w:t>
      </w:r>
    </w:p>
    <w:p w14:paraId="1D47AF00" w14:textId="1D30D1DC" w:rsidR="003B159C" w:rsidRPr="00347D20" w:rsidRDefault="006D01CD" w:rsidP="006D01CD">
      <w:pPr>
        <w:pStyle w:val="Point1"/>
        <w:rPr>
          <w:noProof/>
          <w:lang w:val="en-IE"/>
        </w:rPr>
      </w:pPr>
      <w:r w:rsidRPr="006D01CD">
        <w:rPr>
          <w:noProof/>
        </w:rPr>
        <w:t>(b)</w:t>
      </w:r>
      <w:r w:rsidRPr="006D01CD">
        <w:rPr>
          <w:noProof/>
        </w:rPr>
        <w:tab/>
      </w:r>
      <w:r w:rsidR="003B159C" w:rsidRPr="00347D20">
        <w:rPr>
          <w:noProof/>
          <w:lang w:val="en-IE"/>
        </w:rPr>
        <w:t>adopt decisions requiring the entities concerned to remedy the infringement of this Regulation or the deficiencies identified in the implementation of mitigating measures;</w:t>
      </w:r>
    </w:p>
    <w:p w14:paraId="6211516A" w14:textId="3237AE91" w:rsidR="003B159C" w:rsidRPr="00347D20" w:rsidRDefault="006D01CD" w:rsidP="006D01CD">
      <w:pPr>
        <w:pStyle w:val="Point1"/>
        <w:rPr>
          <w:noProof/>
          <w:lang w:val="en-IE"/>
        </w:rPr>
      </w:pPr>
      <w:r w:rsidRPr="006D01CD">
        <w:rPr>
          <w:noProof/>
        </w:rPr>
        <w:t>(c)</w:t>
      </w:r>
      <w:r w:rsidRPr="006D01CD">
        <w:rPr>
          <w:noProof/>
        </w:rPr>
        <w:tab/>
      </w:r>
      <w:r w:rsidR="003B159C" w:rsidRPr="00347D20">
        <w:rPr>
          <w:noProof/>
          <w:lang w:val="en-IE"/>
        </w:rPr>
        <w:t>order the entities concerned to cease activities that infringe this Regulation and desist from repeating such activities; and</w:t>
      </w:r>
    </w:p>
    <w:p w14:paraId="4D6D351C" w14:textId="5A05F93E" w:rsidR="003B159C" w:rsidRPr="00CF5929" w:rsidRDefault="006D01CD" w:rsidP="006D01CD">
      <w:pPr>
        <w:pStyle w:val="Point1"/>
        <w:rPr>
          <w:noProof/>
          <w:lang w:val="en-IE"/>
        </w:rPr>
      </w:pPr>
      <w:r w:rsidRPr="006D01CD">
        <w:rPr>
          <w:noProof/>
        </w:rPr>
        <w:t>(d)</w:t>
      </w:r>
      <w:r w:rsidRPr="006D01CD">
        <w:rPr>
          <w:noProof/>
        </w:rPr>
        <w:tab/>
      </w:r>
      <w:r w:rsidR="003B159C" w:rsidRPr="00347D20">
        <w:rPr>
          <w:noProof/>
          <w:lang w:val="en-IE"/>
        </w:rPr>
        <w:t>impose penalties, in accordance with the rules relates to the amount laid down in Article 1</w:t>
      </w:r>
      <w:r w:rsidR="003B159C">
        <w:rPr>
          <w:noProof/>
          <w:lang w:val="en-IE"/>
        </w:rPr>
        <w:t>15</w:t>
      </w:r>
      <w:r w:rsidR="003B159C" w:rsidRPr="00347D20">
        <w:rPr>
          <w:noProof/>
          <w:lang w:val="en-IE"/>
        </w:rPr>
        <w:t xml:space="preserve"> or request the imposition of such penalties by the relevant bodies, courts or tribunals, in accordance with national law.</w:t>
      </w:r>
    </w:p>
    <w:p w14:paraId="719B58B2" w14:textId="2B46E683" w:rsidR="003B159C" w:rsidRPr="00D76ED1" w:rsidRDefault="006D01CD" w:rsidP="006D01CD">
      <w:pPr>
        <w:pStyle w:val="ManualNumPar1"/>
        <w:rPr>
          <w:noProof/>
          <w:lang w:val="en-IE"/>
        </w:rPr>
      </w:pPr>
      <w:r w:rsidRPr="006D01CD">
        <w:rPr>
          <w:noProof/>
        </w:rPr>
        <w:t>4.</w:t>
      </w:r>
      <w:r w:rsidRPr="006D01CD">
        <w:rPr>
          <w:noProof/>
        </w:rPr>
        <w:tab/>
      </w:r>
      <w:r w:rsidR="003B159C" w:rsidRPr="00D76ED1">
        <w:rPr>
          <w:noProof/>
          <w:lang w:val="en-IE"/>
        </w:rPr>
        <w:t>When taking any of the enforcement measures referred to in the previous paragraph, the competent authorities shall consider the circumstances of each individual case and take due account of the following factors:</w:t>
      </w:r>
    </w:p>
    <w:p w14:paraId="6FA6A996" w14:textId="540491BF" w:rsidR="003B159C" w:rsidRPr="003B159C" w:rsidRDefault="006D01CD" w:rsidP="006D01CD">
      <w:pPr>
        <w:pStyle w:val="Point1"/>
        <w:rPr>
          <w:noProof/>
          <w:lang w:val="en-IE"/>
        </w:rPr>
      </w:pPr>
      <w:r w:rsidRPr="006D01CD">
        <w:rPr>
          <w:noProof/>
        </w:rPr>
        <w:t>(a)</w:t>
      </w:r>
      <w:r w:rsidRPr="006D01CD">
        <w:rPr>
          <w:noProof/>
        </w:rPr>
        <w:tab/>
      </w:r>
      <w:r w:rsidR="003B159C" w:rsidRPr="003B159C">
        <w:rPr>
          <w:noProof/>
          <w:lang w:val="en-IE"/>
        </w:rPr>
        <w:t xml:space="preserve">the seriousness of the infringement and the importance of the provisions breached; </w:t>
      </w:r>
    </w:p>
    <w:p w14:paraId="67C4C252" w14:textId="2CE7CF33" w:rsidR="003B159C" w:rsidRPr="00347D20" w:rsidRDefault="006D01CD" w:rsidP="006D01CD">
      <w:pPr>
        <w:pStyle w:val="Point1"/>
        <w:rPr>
          <w:noProof/>
          <w:lang w:val="en-IE"/>
        </w:rPr>
      </w:pPr>
      <w:r w:rsidRPr="006D01CD">
        <w:rPr>
          <w:noProof/>
        </w:rPr>
        <w:t>(b)</w:t>
      </w:r>
      <w:r w:rsidRPr="006D01CD">
        <w:rPr>
          <w:noProof/>
        </w:rPr>
        <w:tab/>
      </w:r>
      <w:r w:rsidR="003B159C" w:rsidRPr="00347D20">
        <w:rPr>
          <w:noProof/>
          <w:lang w:val="en-IE"/>
        </w:rPr>
        <w:t>the duration of the infringement;</w:t>
      </w:r>
    </w:p>
    <w:p w14:paraId="025FB41C" w14:textId="74C7B7EC" w:rsidR="003B159C" w:rsidRPr="00347D20" w:rsidRDefault="006D01CD" w:rsidP="006D01CD">
      <w:pPr>
        <w:pStyle w:val="Point1"/>
        <w:rPr>
          <w:noProof/>
          <w:lang w:val="en-IE"/>
        </w:rPr>
      </w:pPr>
      <w:r w:rsidRPr="006D01CD">
        <w:rPr>
          <w:noProof/>
        </w:rPr>
        <w:t>(c)</w:t>
      </w:r>
      <w:r w:rsidRPr="006D01CD">
        <w:rPr>
          <w:noProof/>
        </w:rPr>
        <w:tab/>
      </w:r>
      <w:r w:rsidR="003B159C" w:rsidRPr="00347D20">
        <w:rPr>
          <w:noProof/>
          <w:lang w:val="en-IE"/>
        </w:rPr>
        <w:t>the turnover of the relevance of the entity concerned;</w:t>
      </w:r>
    </w:p>
    <w:p w14:paraId="2C8D545D" w14:textId="7F4AD484" w:rsidR="003B159C" w:rsidRPr="00347D20" w:rsidRDefault="006D01CD" w:rsidP="006D01CD">
      <w:pPr>
        <w:pStyle w:val="Point1"/>
        <w:rPr>
          <w:noProof/>
          <w:lang w:val="en-IE"/>
        </w:rPr>
      </w:pPr>
      <w:r w:rsidRPr="006D01CD">
        <w:rPr>
          <w:noProof/>
        </w:rPr>
        <w:t>(d)</w:t>
      </w:r>
      <w:r w:rsidRPr="006D01CD">
        <w:rPr>
          <w:noProof/>
        </w:rPr>
        <w:tab/>
      </w:r>
      <w:r w:rsidR="003B159C" w:rsidRPr="00347D20">
        <w:rPr>
          <w:noProof/>
          <w:lang w:val="en-IE"/>
        </w:rPr>
        <w:t>any relevant previous infringement by the entity concerned;</w:t>
      </w:r>
    </w:p>
    <w:p w14:paraId="44EA447C" w14:textId="6D1CA74B" w:rsidR="003B159C" w:rsidRPr="00347D20" w:rsidRDefault="006D01CD" w:rsidP="006D01CD">
      <w:pPr>
        <w:pStyle w:val="Point1"/>
        <w:rPr>
          <w:noProof/>
          <w:lang w:val="en-IE"/>
        </w:rPr>
      </w:pPr>
      <w:r w:rsidRPr="006D01CD">
        <w:rPr>
          <w:noProof/>
        </w:rPr>
        <w:t>(e)</w:t>
      </w:r>
      <w:r w:rsidRPr="006D01CD">
        <w:rPr>
          <w:noProof/>
        </w:rPr>
        <w:tab/>
      </w:r>
      <w:r w:rsidR="003B159C" w:rsidRPr="00347D20">
        <w:rPr>
          <w:noProof/>
          <w:lang w:val="en-IE"/>
        </w:rPr>
        <w:t>where applicable, any material or non-material damage caused by the infringement, including any financial or economic loss, effects on other entities and the number of users affected;</w:t>
      </w:r>
    </w:p>
    <w:p w14:paraId="6A522B93" w14:textId="1F99DF6A" w:rsidR="003B159C" w:rsidRPr="00347D20" w:rsidRDefault="006D01CD" w:rsidP="006D01CD">
      <w:pPr>
        <w:pStyle w:val="Point1"/>
        <w:rPr>
          <w:noProof/>
          <w:lang w:val="en-IE"/>
        </w:rPr>
      </w:pPr>
      <w:r w:rsidRPr="006D01CD">
        <w:rPr>
          <w:noProof/>
        </w:rPr>
        <w:t>(f)</w:t>
      </w:r>
      <w:r w:rsidRPr="006D01CD">
        <w:rPr>
          <w:noProof/>
        </w:rPr>
        <w:tab/>
      </w:r>
      <w:r w:rsidR="003B159C" w:rsidRPr="00347D20">
        <w:rPr>
          <w:noProof/>
          <w:lang w:val="en-IE"/>
        </w:rPr>
        <w:t>any intent or negligence on the part of the entity concerned;</w:t>
      </w:r>
    </w:p>
    <w:p w14:paraId="6D5EA122" w14:textId="093DB6C8" w:rsidR="003B159C" w:rsidRPr="00347D20" w:rsidRDefault="006D01CD" w:rsidP="006D01CD">
      <w:pPr>
        <w:pStyle w:val="Point1"/>
        <w:rPr>
          <w:noProof/>
          <w:lang w:val="en-IE"/>
        </w:rPr>
      </w:pPr>
      <w:r w:rsidRPr="006D01CD">
        <w:rPr>
          <w:noProof/>
        </w:rPr>
        <w:t>(g)</w:t>
      </w:r>
      <w:r w:rsidRPr="006D01CD">
        <w:rPr>
          <w:noProof/>
        </w:rPr>
        <w:tab/>
      </w:r>
      <w:r w:rsidR="003B159C" w:rsidRPr="00347D20">
        <w:rPr>
          <w:noProof/>
          <w:lang w:val="en-IE"/>
        </w:rPr>
        <w:t>any measures taken by the entity to prevent or mitigate the material or non-material damage;</w:t>
      </w:r>
    </w:p>
    <w:p w14:paraId="6258836B" w14:textId="7AA78F9F" w:rsidR="003B159C" w:rsidRPr="00347D20" w:rsidRDefault="006D01CD" w:rsidP="006D01CD">
      <w:pPr>
        <w:pStyle w:val="Point1"/>
        <w:rPr>
          <w:noProof/>
          <w:lang w:val="en-IE"/>
        </w:rPr>
      </w:pPr>
      <w:r w:rsidRPr="006D01CD">
        <w:rPr>
          <w:noProof/>
        </w:rPr>
        <w:t>(h)</w:t>
      </w:r>
      <w:r w:rsidRPr="006D01CD">
        <w:rPr>
          <w:noProof/>
        </w:rPr>
        <w:tab/>
      </w:r>
      <w:r w:rsidR="003B159C" w:rsidRPr="00347D20">
        <w:rPr>
          <w:noProof/>
          <w:lang w:val="en-IE"/>
        </w:rPr>
        <w:t>the level of cooperation with the competent authorities of the natural or legal persons held responsible.</w:t>
      </w:r>
    </w:p>
    <w:p w14:paraId="78B699A0" w14:textId="77777777" w:rsidR="003B159C" w:rsidRPr="00D76ED1" w:rsidRDefault="003B159C" w:rsidP="003B159C">
      <w:pPr>
        <w:pStyle w:val="Text1"/>
        <w:rPr>
          <w:noProof/>
          <w:lang w:val="en-IE"/>
        </w:rPr>
      </w:pPr>
      <w:r w:rsidRPr="00D76ED1">
        <w:rPr>
          <w:noProof/>
          <w:lang w:val="en-IE"/>
        </w:rPr>
        <w:t>For the purposes of the first subparagraph, point (a), the following shall constitute serious infringement:</w:t>
      </w:r>
    </w:p>
    <w:p w14:paraId="103095B3" w14:textId="4C1FCA7A" w:rsidR="003B159C" w:rsidRPr="00347D20" w:rsidRDefault="006D01CD" w:rsidP="006D01CD">
      <w:pPr>
        <w:pStyle w:val="Point1"/>
        <w:rPr>
          <w:noProof/>
          <w:lang w:val="en-IE"/>
        </w:rPr>
      </w:pPr>
      <w:r w:rsidRPr="006D01CD">
        <w:rPr>
          <w:noProof/>
        </w:rPr>
        <w:t>(i)</w:t>
      </w:r>
      <w:r w:rsidRPr="006D01CD">
        <w:rPr>
          <w:noProof/>
        </w:rPr>
        <w:tab/>
      </w:r>
      <w:r w:rsidR="003B159C" w:rsidRPr="00347D20">
        <w:rPr>
          <w:noProof/>
          <w:lang w:val="en-IE"/>
        </w:rPr>
        <w:t>repeated violations;</w:t>
      </w:r>
    </w:p>
    <w:p w14:paraId="32EBB032" w14:textId="260C9794" w:rsidR="003B159C" w:rsidRPr="00347D20" w:rsidRDefault="006D01CD" w:rsidP="006D01CD">
      <w:pPr>
        <w:pStyle w:val="Point1"/>
        <w:rPr>
          <w:noProof/>
          <w:lang w:val="en-IE"/>
        </w:rPr>
      </w:pPr>
      <w:r w:rsidRPr="006D01CD">
        <w:rPr>
          <w:noProof/>
        </w:rPr>
        <w:t>(j)</w:t>
      </w:r>
      <w:r w:rsidRPr="006D01CD">
        <w:rPr>
          <w:noProof/>
        </w:rPr>
        <w:tab/>
      </w:r>
      <w:r w:rsidR="003B159C" w:rsidRPr="00347D20">
        <w:rPr>
          <w:noProof/>
          <w:lang w:val="en-IE"/>
        </w:rPr>
        <w:t>failure to notify or remedy significant incidents;</w:t>
      </w:r>
    </w:p>
    <w:p w14:paraId="16D34289" w14:textId="15C4480B" w:rsidR="003B159C" w:rsidRPr="00347D20" w:rsidRDefault="006D01CD" w:rsidP="006D01CD">
      <w:pPr>
        <w:pStyle w:val="Point1"/>
        <w:rPr>
          <w:noProof/>
          <w:lang w:val="en-IE"/>
        </w:rPr>
      </w:pPr>
      <w:r w:rsidRPr="006D01CD">
        <w:rPr>
          <w:noProof/>
        </w:rPr>
        <w:t>(k)</w:t>
      </w:r>
      <w:r w:rsidRPr="006D01CD">
        <w:rPr>
          <w:noProof/>
        </w:rPr>
        <w:tab/>
      </w:r>
      <w:r w:rsidR="003B159C" w:rsidRPr="00347D20">
        <w:rPr>
          <w:noProof/>
          <w:lang w:val="en-IE"/>
        </w:rPr>
        <w:t>failure to remedy deficiencies following binding instructions from competent authorities.</w:t>
      </w:r>
    </w:p>
    <w:p w14:paraId="41AC497A" w14:textId="2DB1B6F3" w:rsidR="003B159C" w:rsidRPr="00D76ED1" w:rsidRDefault="006D01CD" w:rsidP="006D01CD">
      <w:pPr>
        <w:pStyle w:val="ManualNumPar1"/>
        <w:rPr>
          <w:noProof/>
          <w:lang w:val="en-IE"/>
        </w:rPr>
      </w:pPr>
      <w:r w:rsidRPr="006D01CD">
        <w:rPr>
          <w:noProof/>
        </w:rPr>
        <w:t>5.</w:t>
      </w:r>
      <w:r w:rsidRPr="006D01CD">
        <w:rPr>
          <w:noProof/>
        </w:rPr>
        <w:tab/>
      </w:r>
      <w:r w:rsidR="003B159C" w:rsidRPr="00D76ED1">
        <w:rPr>
          <w:noProof/>
          <w:lang w:val="en-IE"/>
        </w:rPr>
        <w:t>The competent authorities shall notify the entities concerned of their preliminary findings before taking enforcement measures. The entities concerned shall be given a reasonable time to submit observations on the preliminary findings. The competent authorities shall set out detailed reasoning for their enforcement measures.</w:t>
      </w:r>
    </w:p>
    <w:p w14:paraId="098BA0A5" w14:textId="79C8F6D1" w:rsidR="003B159C" w:rsidRPr="00D76ED1" w:rsidRDefault="006D01CD" w:rsidP="006D01CD">
      <w:pPr>
        <w:pStyle w:val="ManualNumPar1"/>
        <w:rPr>
          <w:noProof/>
          <w:lang w:val="en-IE"/>
        </w:rPr>
      </w:pPr>
      <w:r w:rsidRPr="006D01CD">
        <w:rPr>
          <w:noProof/>
        </w:rPr>
        <w:t>6.</w:t>
      </w:r>
      <w:r w:rsidRPr="006D01CD">
        <w:rPr>
          <w:noProof/>
        </w:rPr>
        <w:tab/>
      </w:r>
      <w:r w:rsidR="003B159C" w:rsidRPr="00D76ED1">
        <w:rPr>
          <w:noProof/>
          <w:lang w:val="en-IE"/>
        </w:rPr>
        <w:t xml:space="preserve">The competent authorities shall respect the principles of confidentiality and of professional and commercial secrecy. </w:t>
      </w:r>
    </w:p>
    <w:p w14:paraId="121579D7" w14:textId="27DA7DE9" w:rsidR="003B159C" w:rsidRPr="003B159C" w:rsidRDefault="006D01CD" w:rsidP="006D01CD">
      <w:pPr>
        <w:pStyle w:val="ManualNumPar1"/>
        <w:rPr>
          <w:noProof/>
        </w:rPr>
      </w:pPr>
      <w:r w:rsidRPr="006D01CD">
        <w:rPr>
          <w:noProof/>
        </w:rPr>
        <w:t>7.</w:t>
      </w:r>
      <w:r w:rsidRPr="006D01CD">
        <w:rPr>
          <w:noProof/>
        </w:rPr>
        <w:tab/>
      </w:r>
      <w:r w:rsidR="003B159C" w:rsidRPr="00D76ED1">
        <w:rPr>
          <w:noProof/>
          <w:lang w:val="en-IE"/>
        </w:rPr>
        <w:t>The competent authorities shall cooperate with each other and with the Commission for the purposes of supervision and enforcement under this Title in accordance with Article 1</w:t>
      </w:r>
      <w:r w:rsidR="003B159C">
        <w:rPr>
          <w:noProof/>
          <w:lang w:val="en-IE"/>
        </w:rPr>
        <w:t>16.</w:t>
      </w:r>
    </w:p>
    <w:p w14:paraId="4B095860" w14:textId="74B6DD05" w:rsidR="00AA1F01" w:rsidRDefault="00AA1F01" w:rsidP="00AA1F01">
      <w:pPr>
        <w:pStyle w:val="Titrearticle"/>
        <w:rPr>
          <w:noProof/>
        </w:rPr>
      </w:pPr>
      <w:r>
        <w:rPr>
          <w:noProof/>
        </w:rPr>
        <w:t>Article 115</w:t>
      </w:r>
      <w:r>
        <w:rPr>
          <w:noProof/>
        </w:rPr>
        <w:br/>
      </w:r>
      <w:r w:rsidR="003B159C" w:rsidRPr="0092108A">
        <w:rPr>
          <w:noProof/>
        </w:rPr>
        <w:t>Penalties</w:t>
      </w:r>
    </w:p>
    <w:p w14:paraId="074F2E98" w14:textId="0DEBBDBC" w:rsidR="003B159C" w:rsidRPr="003B159C" w:rsidDel="00216382" w:rsidRDefault="006D01CD" w:rsidP="006D01CD">
      <w:pPr>
        <w:pStyle w:val="ManualNumPar1"/>
        <w:rPr>
          <w:noProof/>
          <w:lang w:val="en-IE"/>
        </w:rPr>
      </w:pPr>
      <w:r w:rsidRPr="006D01CD">
        <w:rPr>
          <w:noProof/>
        </w:rPr>
        <w:t>1.</w:t>
      </w:r>
      <w:r w:rsidRPr="006D01CD">
        <w:rPr>
          <w:noProof/>
        </w:rPr>
        <w:tab/>
      </w:r>
      <w:r w:rsidR="003B159C" w:rsidRPr="003B159C" w:rsidDel="00216382">
        <w:rPr>
          <w:noProof/>
          <w:lang w:val="en-IE"/>
        </w:rPr>
        <w:t xml:space="preserve">Member States shall lay down the rules on </w:t>
      </w:r>
      <w:r w:rsidR="003B159C" w:rsidRPr="003B159C">
        <w:rPr>
          <w:noProof/>
          <w:lang w:val="en-IE"/>
        </w:rPr>
        <w:t>penalties</w:t>
      </w:r>
      <w:r w:rsidR="003B159C" w:rsidRPr="003B159C" w:rsidDel="00216382">
        <w:rPr>
          <w:noProof/>
          <w:lang w:val="en-IE"/>
        </w:rPr>
        <w:t xml:space="preserve"> applicable to infringements of this Regulation and shall take all measures necessary to ensure that they are implemented. </w:t>
      </w:r>
    </w:p>
    <w:p w14:paraId="03BB3EA3" w14:textId="1F8A0B99" w:rsidR="003B159C" w:rsidRPr="00D76ED1" w:rsidDel="00216382" w:rsidRDefault="006D01CD" w:rsidP="006D01CD">
      <w:pPr>
        <w:pStyle w:val="ManualNumPar1"/>
        <w:rPr>
          <w:noProof/>
          <w:lang w:val="en-IE"/>
        </w:rPr>
      </w:pPr>
      <w:r w:rsidRPr="006D01CD">
        <w:rPr>
          <w:noProof/>
        </w:rPr>
        <w:t>2.</w:t>
      </w:r>
      <w:r w:rsidRPr="006D01CD">
        <w:rPr>
          <w:noProof/>
        </w:rPr>
        <w:tab/>
      </w:r>
      <w:r w:rsidR="003B159C" w:rsidRPr="00D76ED1">
        <w:rPr>
          <w:noProof/>
          <w:lang w:val="en-IE"/>
        </w:rPr>
        <w:t>The penalties</w:t>
      </w:r>
      <w:r w:rsidR="003B159C" w:rsidRPr="00D76ED1" w:rsidDel="00216382">
        <w:rPr>
          <w:noProof/>
          <w:lang w:val="en-IE"/>
        </w:rPr>
        <w:t xml:space="preserve"> </w:t>
      </w:r>
      <w:r w:rsidR="003B159C" w:rsidRPr="00D76ED1">
        <w:rPr>
          <w:noProof/>
          <w:lang w:val="en-IE"/>
        </w:rPr>
        <w:t xml:space="preserve">provided for </w:t>
      </w:r>
      <w:r w:rsidR="003B159C" w:rsidRPr="00D76ED1" w:rsidDel="00216382">
        <w:rPr>
          <w:noProof/>
          <w:lang w:val="en-IE"/>
        </w:rPr>
        <w:t>shall be effective, proportionate and dissuasive. Member States shall notify the Commission of those rules and of those measures and shall notify it, without delay, of any subsequent amendments affecting them.</w:t>
      </w:r>
    </w:p>
    <w:p w14:paraId="415E9648" w14:textId="0B218222" w:rsidR="003B159C" w:rsidRPr="00D76ED1" w:rsidDel="00216382" w:rsidRDefault="006D01CD" w:rsidP="006D01CD">
      <w:pPr>
        <w:pStyle w:val="ManualNumPar1"/>
        <w:rPr>
          <w:noProof/>
          <w:lang w:val="en-IE"/>
        </w:rPr>
      </w:pPr>
      <w:r w:rsidRPr="006D01CD">
        <w:rPr>
          <w:noProof/>
        </w:rPr>
        <w:t>3.</w:t>
      </w:r>
      <w:r w:rsidRPr="006D01CD">
        <w:rPr>
          <w:noProof/>
        </w:rPr>
        <w:tab/>
      </w:r>
      <w:r w:rsidR="003B159C" w:rsidRPr="00D76ED1">
        <w:rPr>
          <w:noProof/>
          <w:lang w:val="en-IE"/>
        </w:rPr>
        <w:t>Penalties</w:t>
      </w:r>
      <w:r w:rsidR="003B159C" w:rsidRPr="00D76ED1" w:rsidDel="00216382">
        <w:rPr>
          <w:noProof/>
          <w:lang w:val="en-IE"/>
        </w:rPr>
        <w:t xml:space="preserve"> shall be imposed in addition to any of the measures referred to in Article 1</w:t>
      </w:r>
      <w:r w:rsidR="003B159C">
        <w:rPr>
          <w:noProof/>
          <w:lang w:val="en-IE"/>
        </w:rPr>
        <w:t>14</w:t>
      </w:r>
      <w:r w:rsidR="003B159C" w:rsidRPr="00D76ED1" w:rsidDel="00216382">
        <w:rPr>
          <w:noProof/>
          <w:lang w:val="en-IE"/>
        </w:rPr>
        <w:t>(</w:t>
      </w:r>
      <w:r w:rsidR="003B159C">
        <w:rPr>
          <w:noProof/>
          <w:lang w:val="en-IE"/>
        </w:rPr>
        <w:t>3</w:t>
      </w:r>
      <w:r w:rsidR="003B159C" w:rsidRPr="00D76ED1" w:rsidDel="00216382">
        <w:rPr>
          <w:noProof/>
          <w:lang w:val="en-IE"/>
        </w:rPr>
        <w:t xml:space="preserve">), points (a), (b) and (c). </w:t>
      </w:r>
    </w:p>
    <w:p w14:paraId="64B8224B" w14:textId="0C8FFE75" w:rsidR="003B159C" w:rsidRPr="00D76ED1" w:rsidDel="00216382" w:rsidRDefault="006D01CD" w:rsidP="006D01CD">
      <w:pPr>
        <w:pStyle w:val="ManualNumPar1"/>
        <w:rPr>
          <w:noProof/>
          <w:lang w:val="en-IE"/>
        </w:rPr>
      </w:pPr>
      <w:r w:rsidRPr="006D01CD">
        <w:rPr>
          <w:noProof/>
        </w:rPr>
        <w:t>4.</w:t>
      </w:r>
      <w:r w:rsidRPr="006D01CD">
        <w:rPr>
          <w:noProof/>
        </w:rPr>
        <w:tab/>
      </w:r>
      <w:r w:rsidR="003B159C" w:rsidRPr="00D76ED1" w:rsidDel="00216382">
        <w:rPr>
          <w:noProof/>
          <w:lang w:val="en-IE"/>
        </w:rPr>
        <w:t xml:space="preserve">When deciding whether to impose a </w:t>
      </w:r>
      <w:r w:rsidR="003B159C" w:rsidRPr="00D76ED1">
        <w:rPr>
          <w:noProof/>
          <w:lang w:val="en-IE"/>
        </w:rPr>
        <w:t xml:space="preserve">penalty </w:t>
      </w:r>
      <w:r w:rsidR="003B159C" w:rsidRPr="00D76ED1" w:rsidDel="00216382">
        <w:rPr>
          <w:noProof/>
          <w:lang w:val="en-IE"/>
        </w:rPr>
        <w:t xml:space="preserve">and deciding on its amount in each individual case, due regard shall be given, as a minimum, to the factors </w:t>
      </w:r>
      <w:r w:rsidR="003B159C" w:rsidRPr="00D76ED1">
        <w:rPr>
          <w:noProof/>
          <w:lang w:val="en-IE"/>
        </w:rPr>
        <w:t>referred to</w:t>
      </w:r>
      <w:r w:rsidR="003B159C" w:rsidRPr="00D76ED1" w:rsidDel="00216382">
        <w:rPr>
          <w:noProof/>
          <w:lang w:val="en-IE"/>
        </w:rPr>
        <w:t xml:space="preserve"> in Article 1</w:t>
      </w:r>
      <w:r w:rsidR="003B159C">
        <w:rPr>
          <w:noProof/>
          <w:lang w:val="en-IE"/>
        </w:rPr>
        <w:t>14</w:t>
      </w:r>
      <w:r w:rsidR="003B159C" w:rsidRPr="00D76ED1" w:rsidDel="00216382">
        <w:rPr>
          <w:noProof/>
          <w:lang w:val="en-IE"/>
        </w:rPr>
        <w:t>(</w:t>
      </w:r>
      <w:r w:rsidR="003B159C">
        <w:rPr>
          <w:noProof/>
          <w:lang w:val="en-IE"/>
        </w:rPr>
        <w:t>4</w:t>
      </w:r>
      <w:r w:rsidR="003B159C" w:rsidRPr="00D76ED1" w:rsidDel="00216382">
        <w:rPr>
          <w:noProof/>
          <w:lang w:val="en-IE"/>
        </w:rPr>
        <w:t>) first subparagraph.</w:t>
      </w:r>
      <w:r w:rsidR="003B159C" w:rsidRPr="00D76ED1">
        <w:rPr>
          <w:noProof/>
          <w:lang w:val="en-IE"/>
        </w:rPr>
        <w:t xml:space="preserve">. </w:t>
      </w:r>
    </w:p>
    <w:p w14:paraId="070884CC" w14:textId="2D4A0AE0" w:rsidR="003B159C" w:rsidRPr="00D76ED1" w:rsidRDefault="006D01CD" w:rsidP="006D01CD">
      <w:pPr>
        <w:pStyle w:val="ManualNumPar1"/>
        <w:rPr>
          <w:noProof/>
          <w:lang w:val="en-IE"/>
        </w:rPr>
      </w:pPr>
      <w:r w:rsidRPr="006D01CD">
        <w:rPr>
          <w:noProof/>
        </w:rPr>
        <w:t>5.</w:t>
      </w:r>
      <w:r w:rsidRPr="006D01CD">
        <w:rPr>
          <w:noProof/>
        </w:rPr>
        <w:tab/>
      </w:r>
      <w:r w:rsidR="003B159C" w:rsidRPr="00D76ED1">
        <w:rPr>
          <w:noProof/>
          <w:lang w:val="en-IE"/>
        </w:rPr>
        <w:t xml:space="preserve">Infringements of Article </w:t>
      </w:r>
      <w:r w:rsidR="003B159C">
        <w:rPr>
          <w:noProof/>
          <w:lang w:val="en-IE"/>
        </w:rPr>
        <w:t>103</w:t>
      </w:r>
      <w:r w:rsidR="003B159C" w:rsidRPr="00D76ED1">
        <w:rPr>
          <w:noProof/>
          <w:lang w:val="en-IE"/>
        </w:rPr>
        <w:t>(2), point (a), shall, in accordance with paragraph 3 of this Article, be subject to penalties of a maximum of 1 % of the total worldwide annual turnover in the preceding financial year of the undertaking to which the entity belongs.</w:t>
      </w:r>
    </w:p>
    <w:p w14:paraId="6CDB28A6" w14:textId="3562E077" w:rsidR="003B159C" w:rsidRPr="00D76ED1" w:rsidRDefault="006D01CD" w:rsidP="006D01CD">
      <w:pPr>
        <w:pStyle w:val="ManualNumPar1"/>
        <w:rPr>
          <w:noProof/>
          <w:lang w:val="en-IE"/>
        </w:rPr>
      </w:pPr>
      <w:r w:rsidRPr="006D01CD">
        <w:rPr>
          <w:noProof/>
        </w:rPr>
        <w:t>6.</w:t>
      </w:r>
      <w:r w:rsidRPr="006D01CD">
        <w:rPr>
          <w:noProof/>
        </w:rPr>
        <w:tab/>
      </w:r>
      <w:r w:rsidR="003B159C" w:rsidRPr="00D76ED1">
        <w:rPr>
          <w:noProof/>
          <w:lang w:val="en-IE"/>
        </w:rPr>
        <w:t xml:space="preserve">Infringements of Article </w:t>
      </w:r>
      <w:r w:rsidR="003B159C">
        <w:rPr>
          <w:noProof/>
          <w:lang w:val="en-IE"/>
        </w:rPr>
        <w:t>103</w:t>
      </w:r>
      <w:r w:rsidR="003B159C" w:rsidRPr="00D76ED1">
        <w:rPr>
          <w:noProof/>
          <w:lang w:val="en-IE"/>
        </w:rPr>
        <w:t>(2), points (b) to (</w:t>
      </w:r>
      <w:r w:rsidR="003B159C">
        <w:rPr>
          <w:noProof/>
          <w:lang w:val="en-IE"/>
        </w:rPr>
        <w:t>g</w:t>
      </w:r>
      <w:r w:rsidR="003B159C" w:rsidRPr="00D76ED1">
        <w:rPr>
          <w:noProof/>
          <w:lang w:val="en-IE"/>
        </w:rPr>
        <w:t>), shall, in accordance with paragraph 3 of this Article, be subject to penalties of a maximum of 2 % of the total worldwide annual turnover in the preceding financial year of the undertaking to which the entity belongs.</w:t>
      </w:r>
    </w:p>
    <w:p w14:paraId="5C00833E" w14:textId="725B5899" w:rsidR="003B159C" w:rsidRPr="003B159C" w:rsidRDefault="006D01CD" w:rsidP="006D01CD">
      <w:pPr>
        <w:pStyle w:val="ManualNumPar1"/>
        <w:rPr>
          <w:noProof/>
        </w:rPr>
      </w:pPr>
      <w:r w:rsidRPr="006D01CD">
        <w:rPr>
          <w:noProof/>
        </w:rPr>
        <w:t>7.</w:t>
      </w:r>
      <w:r w:rsidRPr="006D01CD">
        <w:rPr>
          <w:noProof/>
        </w:rPr>
        <w:tab/>
      </w:r>
      <w:r w:rsidR="003B159C" w:rsidRPr="00D76ED1">
        <w:rPr>
          <w:noProof/>
          <w:lang w:val="en-IE"/>
        </w:rPr>
        <w:t xml:space="preserve">Infringements of Article </w:t>
      </w:r>
      <w:r w:rsidR="003B159C">
        <w:rPr>
          <w:noProof/>
          <w:lang w:val="en-IE"/>
        </w:rPr>
        <w:t>103</w:t>
      </w:r>
      <w:r w:rsidR="003B159C" w:rsidRPr="00D76ED1">
        <w:rPr>
          <w:noProof/>
          <w:lang w:val="en-IE"/>
        </w:rPr>
        <w:t>(1), and of Article</w:t>
      </w:r>
      <w:r w:rsidR="003B159C">
        <w:rPr>
          <w:noProof/>
          <w:lang w:val="en-IE"/>
        </w:rPr>
        <w:t xml:space="preserve"> 111</w:t>
      </w:r>
      <w:r w:rsidR="003B159C" w:rsidRPr="00D76ED1">
        <w:rPr>
          <w:noProof/>
          <w:lang w:val="en-IE"/>
        </w:rPr>
        <w:t xml:space="preserve"> shall, in accordance with paragraph 3, of this Article be subject to penalties of a maximum of 7 % of the total worldwide annual turnover in the preceding financial year of the undertaking to which the entity belongs</w:t>
      </w:r>
      <w:r w:rsidR="003B159C">
        <w:rPr>
          <w:noProof/>
          <w:lang w:val="en-IE"/>
        </w:rPr>
        <w:t>.</w:t>
      </w:r>
    </w:p>
    <w:p w14:paraId="409046D9" w14:textId="7B6D2BEC" w:rsidR="00AA1F01" w:rsidRDefault="00AA1F01" w:rsidP="00AA1F01">
      <w:pPr>
        <w:pStyle w:val="Titrearticle"/>
        <w:rPr>
          <w:noProof/>
        </w:rPr>
      </w:pPr>
      <w:r>
        <w:rPr>
          <w:noProof/>
        </w:rPr>
        <w:t>Article 116</w:t>
      </w:r>
      <w:r>
        <w:rPr>
          <w:noProof/>
        </w:rPr>
        <w:br/>
      </w:r>
      <w:r w:rsidR="003B159C" w:rsidRPr="0092108A">
        <w:rPr>
          <w:noProof/>
        </w:rPr>
        <w:t>Mutual assistance</w:t>
      </w:r>
    </w:p>
    <w:p w14:paraId="6D02C789" w14:textId="2C2A6B19" w:rsidR="003B159C" w:rsidRPr="003B159C" w:rsidRDefault="006D01CD" w:rsidP="006D01CD">
      <w:pPr>
        <w:pStyle w:val="ManualNumPar1"/>
        <w:rPr>
          <w:noProof/>
          <w:lang w:val="en-IE"/>
        </w:rPr>
      </w:pPr>
      <w:r w:rsidRPr="006D01CD">
        <w:rPr>
          <w:noProof/>
        </w:rPr>
        <w:t>1.</w:t>
      </w:r>
      <w:r w:rsidRPr="006D01CD">
        <w:rPr>
          <w:noProof/>
        </w:rPr>
        <w:tab/>
      </w:r>
      <w:r w:rsidR="003B159C" w:rsidRPr="003B159C">
        <w:rPr>
          <w:noProof/>
          <w:lang w:val="en-IE"/>
        </w:rPr>
        <w:t xml:space="preserve">Where an </w:t>
      </w:r>
      <w:bookmarkStart w:id="11" w:name="_Hlk218641342"/>
      <w:r w:rsidR="003B159C" w:rsidRPr="003B159C">
        <w:rPr>
          <w:noProof/>
          <w:lang w:val="en-IE"/>
        </w:rPr>
        <w:t xml:space="preserve">entity </w:t>
      </w:r>
      <w:bookmarkStart w:id="12" w:name="_Hlk218638351"/>
      <w:r w:rsidR="003B159C" w:rsidRPr="003B159C">
        <w:rPr>
          <w:noProof/>
          <w:lang w:val="en-IE"/>
        </w:rPr>
        <w:t xml:space="preserve">of the type referred to in Annexes I or II to Directive (EU) 2022/2555 </w:t>
      </w:r>
      <w:bookmarkEnd w:id="11"/>
      <w:bookmarkEnd w:id="12"/>
      <w:r w:rsidR="003B159C" w:rsidRPr="003B159C">
        <w:rPr>
          <w:noProof/>
          <w:lang w:val="en-IE"/>
        </w:rPr>
        <w:t>provides services in more than one Member State, or provides services in one or more Member States and its key ICT assets are located in one or more other Member States, the competent authorities of the Member States concerned shall cooperate with each other and the Commission and shall assist each other and the Commission with a view to ensuring the effective and efficient application of the Regulation. To that end, the following rules shall apply as a minimum:</w:t>
      </w:r>
    </w:p>
    <w:p w14:paraId="1EADD752" w14:textId="07142DB7" w:rsidR="003B159C" w:rsidRPr="003B159C" w:rsidRDefault="006D01CD" w:rsidP="006D01CD">
      <w:pPr>
        <w:pStyle w:val="Point1"/>
        <w:rPr>
          <w:noProof/>
          <w:lang w:val="en-IE"/>
        </w:rPr>
      </w:pPr>
      <w:r w:rsidRPr="006D01CD">
        <w:rPr>
          <w:noProof/>
        </w:rPr>
        <w:t>(a)</w:t>
      </w:r>
      <w:r w:rsidRPr="006D01CD">
        <w:rPr>
          <w:noProof/>
        </w:rPr>
        <w:tab/>
      </w:r>
      <w:r w:rsidR="003B159C" w:rsidRPr="003B159C">
        <w:rPr>
          <w:noProof/>
          <w:lang w:val="en-IE"/>
        </w:rPr>
        <w:t>the competent authorities applying supervisory or enforcement measures in a Member State shall inform and consult the competent authorities in the other Member States concerned on the supervisory and enforcement measures taken;</w:t>
      </w:r>
    </w:p>
    <w:p w14:paraId="0E2A24B5" w14:textId="49F64079" w:rsidR="003B159C" w:rsidRPr="00347D20" w:rsidRDefault="006D01CD" w:rsidP="006D01CD">
      <w:pPr>
        <w:pStyle w:val="Point1"/>
        <w:rPr>
          <w:noProof/>
          <w:lang w:val="en-IE"/>
        </w:rPr>
      </w:pPr>
      <w:r w:rsidRPr="006D01CD">
        <w:rPr>
          <w:noProof/>
        </w:rPr>
        <w:t>(b)</w:t>
      </w:r>
      <w:r w:rsidRPr="006D01CD">
        <w:rPr>
          <w:noProof/>
        </w:rPr>
        <w:tab/>
      </w:r>
      <w:r w:rsidR="003B159C" w:rsidRPr="00347D20">
        <w:rPr>
          <w:noProof/>
          <w:lang w:val="en-IE"/>
        </w:rPr>
        <w:t>a competent authority in a Member State may request another competent authority in another Member State to take supervisory or enforcement measures;</w:t>
      </w:r>
    </w:p>
    <w:p w14:paraId="01CEE4E9" w14:textId="7D15D76C" w:rsidR="003B159C" w:rsidRPr="00347D20" w:rsidRDefault="006D01CD" w:rsidP="006D01CD">
      <w:pPr>
        <w:pStyle w:val="Point1"/>
        <w:rPr>
          <w:noProof/>
          <w:lang w:val="en-IE"/>
        </w:rPr>
      </w:pPr>
      <w:r w:rsidRPr="006D01CD">
        <w:rPr>
          <w:noProof/>
        </w:rPr>
        <w:t>(c)</w:t>
      </w:r>
      <w:r w:rsidRPr="006D01CD">
        <w:rPr>
          <w:noProof/>
        </w:rPr>
        <w:tab/>
      </w:r>
      <w:r w:rsidR="003B159C" w:rsidRPr="00347D20">
        <w:rPr>
          <w:noProof/>
          <w:lang w:val="en-IE"/>
        </w:rPr>
        <w:t>a competent authority in a Member State shall, upon receipt of a substantiated request from another competent authority in another Member State, provide that other competent authority with mutual assistance, on a best</w:t>
      </w:r>
      <w:r w:rsidR="00473F68">
        <w:rPr>
          <w:noProof/>
          <w:lang w:val="en-IE"/>
        </w:rPr>
        <w:t>-</w:t>
      </w:r>
      <w:r w:rsidR="003B159C" w:rsidRPr="00347D20">
        <w:rPr>
          <w:noProof/>
          <w:lang w:val="en-IE"/>
        </w:rPr>
        <w:t>efforts basis, so that the supervisory or enforcement measures can be implemented in an effective, efficient and consistent manner.</w:t>
      </w:r>
    </w:p>
    <w:p w14:paraId="7930781D" w14:textId="4C6C9826" w:rsidR="003B159C" w:rsidRPr="00D76ED1" w:rsidRDefault="006D01CD" w:rsidP="006D01CD">
      <w:pPr>
        <w:pStyle w:val="ManualNumPar1"/>
        <w:rPr>
          <w:noProof/>
          <w:lang w:val="en-IE"/>
        </w:rPr>
      </w:pPr>
      <w:r w:rsidRPr="006D01CD">
        <w:rPr>
          <w:noProof/>
        </w:rPr>
        <w:t>2.</w:t>
      </w:r>
      <w:r w:rsidRPr="006D01CD">
        <w:rPr>
          <w:noProof/>
        </w:rPr>
        <w:tab/>
      </w:r>
      <w:r w:rsidR="003B159C" w:rsidRPr="00D76ED1">
        <w:rPr>
          <w:noProof/>
          <w:lang w:val="en-IE"/>
        </w:rPr>
        <w:t>The mutual assistance referred to in paragraph 1, point (c), may cover information requests and supervisory measures, including requests to carry out on-site inspections or off-site supervision or targeted security audits. A competent authority to which a request for assistance is addressed shall not refuse that request unless it is established that it does not have the competence to provide the requested assistance, the requested assistance is not proportionate to the supervisory tasks of the competent authority, or the request concerns information or entails activities which, if disclosed or carried out, would be contrary to the essential interests of the Member State’s national security, public security or defence. Before refusing such a request, the competent authority shall consult the other competent authorities concerned as well as, upon the request of one of the Member States concerned, the Commission.</w:t>
      </w:r>
    </w:p>
    <w:p w14:paraId="537CD697" w14:textId="34EB2965" w:rsidR="003B159C" w:rsidRDefault="006D01CD" w:rsidP="006D01CD">
      <w:pPr>
        <w:pStyle w:val="ManualNumPar1"/>
        <w:rPr>
          <w:noProof/>
          <w:lang w:val="en-IE"/>
        </w:rPr>
      </w:pPr>
      <w:r w:rsidRPr="006D01CD">
        <w:rPr>
          <w:noProof/>
        </w:rPr>
        <w:t>3.</w:t>
      </w:r>
      <w:r w:rsidRPr="006D01CD">
        <w:rPr>
          <w:noProof/>
        </w:rPr>
        <w:tab/>
      </w:r>
      <w:r w:rsidR="003B159C" w:rsidRPr="00D76ED1">
        <w:rPr>
          <w:noProof/>
          <w:lang w:val="en-IE"/>
        </w:rPr>
        <w:t>Where appropriate and with common agreement, the competent authorities of various Member States may carry out joint supervisory actions.</w:t>
      </w:r>
    </w:p>
    <w:p w14:paraId="40A7DD71" w14:textId="1B30A9B4" w:rsidR="003B159C" w:rsidRPr="003B159C" w:rsidRDefault="006D01CD" w:rsidP="006D01CD">
      <w:pPr>
        <w:pStyle w:val="ManualNumPar1"/>
        <w:rPr>
          <w:noProof/>
        </w:rPr>
      </w:pPr>
      <w:r w:rsidRPr="006D01CD">
        <w:rPr>
          <w:noProof/>
        </w:rPr>
        <w:t>4.</w:t>
      </w:r>
      <w:r w:rsidRPr="006D01CD">
        <w:rPr>
          <w:noProof/>
        </w:rPr>
        <w:tab/>
      </w:r>
      <w:r w:rsidR="003B159C" w:rsidRPr="00347D20">
        <w:rPr>
          <w:noProof/>
          <w:lang w:val="en-IE"/>
        </w:rPr>
        <w:t>In view of the obligation to comply with the principles of confidentiality and of professional and commercial secrecy as referred to Article 1</w:t>
      </w:r>
      <w:r w:rsidR="003B159C">
        <w:rPr>
          <w:noProof/>
          <w:lang w:val="en-IE"/>
        </w:rPr>
        <w:t>14</w:t>
      </w:r>
      <w:r w:rsidR="003B159C" w:rsidRPr="00347D20">
        <w:rPr>
          <w:noProof/>
          <w:lang w:val="en-IE"/>
        </w:rPr>
        <w:t>(6), any information exchanged in the context of a request for assistance and provided pursuant to this Article shall be used only in respect of the matter for which it was requested</w:t>
      </w:r>
      <w:r w:rsidR="003B159C">
        <w:rPr>
          <w:noProof/>
          <w:lang w:val="en-IE"/>
        </w:rPr>
        <w:t>.</w:t>
      </w:r>
    </w:p>
    <w:p w14:paraId="79FAC2DA" w14:textId="1FB18808" w:rsidR="001D52A8" w:rsidRDefault="006608F7" w:rsidP="006608F7">
      <w:pPr>
        <w:pStyle w:val="Titrearticle"/>
        <w:rPr>
          <w:noProof/>
        </w:rPr>
      </w:pPr>
      <w:r w:rsidRPr="006608F7">
        <w:rPr>
          <w:noProof/>
        </w:rPr>
        <w:t>Article</w:t>
      </w:r>
      <w:r>
        <w:rPr>
          <w:noProof/>
        </w:rPr>
        <w:t xml:space="preserve"> 117</w:t>
      </w:r>
      <w:r>
        <w:rPr>
          <w:noProof/>
        </w:rPr>
        <w:br/>
      </w:r>
      <w:r w:rsidR="003B159C" w:rsidRPr="0092108A">
        <w:rPr>
          <w:noProof/>
        </w:rPr>
        <w:t>Jurisdiction and territoriality</w:t>
      </w:r>
    </w:p>
    <w:p w14:paraId="165B650D" w14:textId="4557C9FA" w:rsidR="003B159C" w:rsidRPr="003B159C" w:rsidRDefault="006D01CD" w:rsidP="006D01CD">
      <w:pPr>
        <w:pStyle w:val="ManualNumPar1"/>
        <w:rPr>
          <w:noProof/>
          <w:lang w:val="en-IE"/>
        </w:rPr>
      </w:pPr>
      <w:r w:rsidRPr="006D01CD">
        <w:rPr>
          <w:noProof/>
        </w:rPr>
        <w:t>1.</w:t>
      </w:r>
      <w:r w:rsidRPr="006D01CD">
        <w:rPr>
          <w:noProof/>
        </w:rPr>
        <w:tab/>
      </w:r>
      <w:r w:rsidR="003B159C" w:rsidRPr="003B159C">
        <w:rPr>
          <w:noProof/>
          <w:lang w:val="en-IE"/>
        </w:rPr>
        <w:t>Entities of a type referred to in Annexes I and II to Directive (EU) 2022/2555 falling within the scope of this Regulation shall be considered to fall under the jurisdiction of the Member State in which they are established, except in the case of:</w:t>
      </w:r>
    </w:p>
    <w:p w14:paraId="4B405D1E" w14:textId="4C7526A1" w:rsidR="003B159C" w:rsidRPr="003B159C" w:rsidRDefault="006D01CD" w:rsidP="006D01CD">
      <w:pPr>
        <w:pStyle w:val="Point1"/>
        <w:rPr>
          <w:noProof/>
          <w:lang w:val="en-IE"/>
        </w:rPr>
      </w:pPr>
      <w:r w:rsidRPr="006D01CD">
        <w:rPr>
          <w:noProof/>
        </w:rPr>
        <w:t>(a)</w:t>
      </w:r>
      <w:r w:rsidRPr="006D01CD">
        <w:rPr>
          <w:noProof/>
        </w:rPr>
        <w:tab/>
      </w:r>
      <w:r w:rsidR="003B159C" w:rsidRPr="003B159C">
        <w:rPr>
          <w:noProof/>
          <w:lang w:val="en-IE"/>
        </w:rPr>
        <w:t xml:space="preserve">providers of public electronic communications networks or providers of publicly available electronic communications services, which shall be considered to fall under the jurisdiction of the Member State in which they provide their services; </w:t>
      </w:r>
    </w:p>
    <w:p w14:paraId="7F4126FB" w14:textId="4D1C299C" w:rsidR="003B159C" w:rsidRPr="00347D20" w:rsidRDefault="006D01CD" w:rsidP="006D01CD">
      <w:pPr>
        <w:pStyle w:val="Point1"/>
        <w:rPr>
          <w:noProof/>
          <w:lang w:val="en-IE"/>
        </w:rPr>
      </w:pPr>
      <w:r w:rsidRPr="006D01CD">
        <w:rPr>
          <w:noProof/>
        </w:rPr>
        <w:t>(b)</w:t>
      </w:r>
      <w:r w:rsidRPr="006D01CD">
        <w:rPr>
          <w:noProof/>
        </w:rPr>
        <w:tab/>
      </w:r>
      <w:r w:rsidR="003B159C" w:rsidRPr="00347D20">
        <w:rPr>
          <w:noProof/>
          <w:lang w:val="en-IE"/>
        </w:rPr>
        <w:t xml:space="preserve">DNS service providers, top-level-domain (TLD) name registries, cloud computing service providers, data centre service providers, content delivery network providers, managed service providers, managed security service providers, as well as providers of online marketplaces, of online search engines or of social networking services platforms, which shall be considered to fall under the jurisdiction of the Member State in which they have their main establishment in the Union under paragraph 2; </w:t>
      </w:r>
    </w:p>
    <w:p w14:paraId="01815849" w14:textId="211566F9" w:rsidR="003B159C" w:rsidRPr="00347D20" w:rsidRDefault="006D01CD" w:rsidP="006D01CD">
      <w:pPr>
        <w:pStyle w:val="Point1"/>
        <w:rPr>
          <w:noProof/>
          <w:lang w:val="en-IE"/>
        </w:rPr>
      </w:pPr>
      <w:r w:rsidRPr="006D01CD">
        <w:rPr>
          <w:noProof/>
        </w:rPr>
        <w:t>(c)</w:t>
      </w:r>
      <w:r w:rsidRPr="006D01CD">
        <w:rPr>
          <w:noProof/>
        </w:rPr>
        <w:tab/>
      </w:r>
      <w:r w:rsidR="003B159C" w:rsidRPr="00347D20">
        <w:rPr>
          <w:noProof/>
          <w:lang w:val="en-IE"/>
        </w:rPr>
        <w:t>public administration entities, which shall be considered to fall under the jurisdiction of the Member State to which they belong</w:t>
      </w:r>
      <w:r w:rsidR="00F86EB5">
        <w:rPr>
          <w:noProof/>
          <w:lang w:val="en-IE"/>
        </w:rPr>
        <w:t>;</w:t>
      </w:r>
      <w:r w:rsidR="003B159C" w:rsidRPr="00347D20">
        <w:rPr>
          <w:noProof/>
          <w:lang w:val="en-IE"/>
        </w:rPr>
        <w:t xml:space="preserve"> </w:t>
      </w:r>
    </w:p>
    <w:p w14:paraId="5A24879D" w14:textId="7F52A874" w:rsidR="003B159C" w:rsidRPr="00347D20" w:rsidRDefault="006D01CD" w:rsidP="006D01CD">
      <w:pPr>
        <w:pStyle w:val="Point1"/>
        <w:rPr>
          <w:noProof/>
          <w:lang w:val="en-IE"/>
        </w:rPr>
      </w:pPr>
      <w:r w:rsidRPr="006D01CD">
        <w:rPr>
          <w:noProof/>
        </w:rPr>
        <w:t>(d)</w:t>
      </w:r>
      <w:r w:rsidRPr="006D01CD">
        <w:rPr>
          <w:noProof/>
        </w:rPr>
        <w:tab/>
      </w:r>
      <w:r w:rsidR="003B159C" w:rsidRPr="00347D20">
        <w:rPr>
          <w:noProof/>
          <w:lang w:val="en-IE"/>
        </w:rPr>
        <w:t>air carriers, which shall be considered to fall under the jurisdiction of the Member State whose competent licensing authority granted the operating licence to the entity pursuant to Regulation (EC) No 1008/2008 of the European Parliament and of the Council</w:t>
      </w:r>
      <w:r w:rsidR="003B159C" w:rsidRPr="00D76ED1">
        <w:rPr>
          <w:rStyle w:val="FootnoteReference"/>
          <w:noProof/>
          <w:szCs w:val="24"/>
          <w:lang w:val="en-IE"/>
        </w:rPr>
        <w:footnoteReference w:id="84"/>
      </w:r>
      <w:r w:rsidR="003B159C" w:rsidRPr="00347D20">
        <w:rPr>
          <w:noProof/>
          <w:lang w:val="en-IE"/>
        </w:rPr>
        <w:t xml:space="preserve">, or, where the operating licence or equivalent has not been granted in accordance with that Regulation, they shall be considered to fall under the jurisdiction of the Member State in which they have their main establishment in the Union under paragraph 2. </w:t>
      </w:r>
    </w:p>
    <w:p w14:paraId="46737A7C" w14:textId="342D7306" w:rsidR="003B159C" w:rsidRPr="00D76ED1" w:rsidRDefault="006D01CD" w:rsidP="006D01CD">
      <w:pPr>
        <w:pStyle w:val="ManualNumPar1"/>
        <w:rPr>
          <w:noProof/>
          <w:lang w:val="en-IE"/>
        </w:rPr>
      </w:pPr>
      <w:r w:rsidRPr="006D01CD">
        <w:rPr>
          <w:noProof/>
        </w:rPr>
        <w:t>2.</w:t>
      </w:r>
      <w:r w:rsidRPr="006D01CD">
        <w:rPr>
          <w:noProof/>
        </w:rPr>
        <w:tab/>
      </w:r>
      <w:r w:rsidR="003B159C" w:rsidRPr="00D76ED1">
        <w:rPr>
          <w:noProof/>
          <w:lang w:val="en-IE"/>
        </w:rPr>
        <w:t xml:space="preserve">For the purposes of this Regulation an entity as referred to in paragraph 1, point (b), shall be considered to have its main establishment in the Union in the Member State where the decisions related to the cybersecurity risk-management measures are predominantly taken. If such a Member State cannot be determined or if such decisions are not taken in the Union, the main establishment shall be considered to be in the Member State where most of the cybersecurity operations are carried out. If such a Member State cannot be determined, the main establishment shall be considered to be in the Member State where the entity concerned has the establishment with the highest number of employees in the Union. </w:t>
      </w:r>
    </w:p>
    <w:p w14:paraId="572ED44B" w14:textId="1C7E4BC5" w:rsidR="003B159C" w:rsidRPr="00D76ED1" w:rsidRDefault="006D01CD" w:rsidP="006D01CD">
      <w:pPr>
        <w:pStyle w:val="ManualNumPar1"/>
        <w:rPr>
          <w:noProof/>
          <w:lang w:val="en-IE"/>
        </w:rPr>
      </w:pPr>
      <w:r w:rsidRPr="006D01CD">
        <w:rPr>
          <w:noProof/>
        </w:rPr>
        <w:t>3.</w:t>
      </w:r>
      <w:r w:rsidRPr="006D01CD">
        <w:rPr>
          <w:noProof/>
        </w:rPr>
        <w:tab/>
      </w:r>
      <w:r w:rsidR="003B159C" w:rsidRPr="00D76ED1">
        <w:rPr>
          <w:noProof/>
          <w:lang w:val="en-IE"/>
        </w:rPr>
        <w:t xml:space="preserve">If an entity of a type referred to in Annexes I and II to Directive (EU) 2022/2555, is not established in the Union, but offers services within the Union, it shall designate a representative in the Union. The representative shall be established in one of those Member States where the services are offered. Such an entity shall be considered to fall under the jurisdiction of the Member State where the representative is established. Where such an entity is an entity as referred to in paragraph 1, point (a), it shall be considered to fall under the jurisdiction of the Member State in which it provides its services. In the absence of a representative in the Union designated under this paragraph, any Member State in which the entity provides services may take legal actions against the entity for the infringement of this Regulation. </w:t>
      </w:r>
    </w:p>
    <w:p w14:paraId="3A9314A4" w14:textId="0E1A2807" w:rsidR="003B159C" w:rsidRDefault="006D01CD" w:rsidP="006D01CD">
      <w:pPr>
        <w:pStyle w:val="ManualNumPar1"/>
        <w:rPr>
          <w:noProof/>
          <w:lang w:val="en-IE"/>
        </w:rPr>
      </w:pPr>
      <w:r w:rsidRPr="006D01CD">
        <w:rPr>
          <w:noProof/>
        </w:rPr>
        <w:t>4.</w:t>
      </w:r>
      <w:r w:rsidRPr="006D01CD">
        <w:rPr>
          <w:noProof/>
        </w:rPr>
        <w:tab/>
      </w:r>
      <w:r w:rsidR="003B159C" w:rsidRPr="00D76ED1">
        <w:rPr>
          <w:noProof/>
          <w:lang w:val="en-IE"/>
        </w:rPr>
        <w:t xml:space="preserve">The designation of a representative by an entity referred to in paragraph 1, point (b), shall be without prejudice to legal actions, which could be initiated against the entity itself. </w:t>
      </w:r>
    </w:p>
    <w:p w14:paraId="5F768915" w14:textId="63960A68" w:rsidR="003B159C" w:rsidRPr="003B159C" w:rsidRDefault="006D01CD" w:rsidP="006D01CD">
      <w:pPr>
        <w:pStyle w:val="ManualNumPar1"/>
        <w:rPr>
          <w:noProof/>
        </w:rPr>
      </w:pPr>
      <w:r w:rsidRPr="006D01CD">
        <w:rPr>
          <w:noProof/>
        </w:rPr>
        <w:t>5.</w:t>
      </w:r>
      <w:r w:rsidRPr="006D01CD">
        <w:rPr>
          <w:noProof/>
        </w:rPr>
        <w:tab/>
      </w:r>
      <w:r w:rsidR="003B159C" w:rsidRPr="00347D20">
        <w:rPr>
          <w:noProof/>
          <w:lang w:val="en-IE"/>
        </w:rPr>
        <w:t>Member States that have received a request for mutual assistance in relation to an entity as referred to in paragraph 1, point (b), may, within the limits of that request, take appropriate supervisory and enforcement measures in relation to the entity concerned where the entity provides services or has a network and information system on their territory</w:t>
      </w:r>
      <w:r w:rsidR="003B159C">
        <w:rPr>
          <w:noProof/>
          <w:lang w:val="en-IE"/>
        </w:rPr>
        <w:t>.</w:t>
      </w:r>
    </w:p>
    <w:p w14:paraId="00D4D628" w14:textId="77777777" w:rsidR="006608F7" w:rsidRPr="006608F7" w:rsidRDefault="006608F7" w:rsidP="001D52A8">
      <w:pPr>
        <w:jc w:val="center"/>
        <w:rPr>
          <w:noProof/>
          <w:lang w:eastAsia="en-IE"/>
        </w:rPr>
      </w:pPr>
    </w:p>
    <w:p w14:paraId="2412251A" w14:textId="77777777" w:rsidR="001D52A8" w:rsidRDefault="001D52A8" w:rsidP="001D52A8">
      <w:pPr>
        <w:jc w:val="center"/>
        <w:rPr>
          <w:b/>
          <w:bCs/>
          <w:noProof/>
          <w:lang w:eastAsia="en-IE"/>
        </w:rPr>
      </w:pPr>
      <w:r w:rsidRPr="00141431">
        <w:rPr>
          <w:b/>
          <w:bCs/>
          <w:noProof/>
          <w:lang w:eastAsia="en-IE"/>
        </w:rPr>
        <w:t>TITLE VI</w:t>
      </w:r>
      <w:r w:rsidRPr="00141431">
        <w:rPr>
          <w:b/>
          <w:bCs/>
          <w:noProof/>
          <w:lang w:eastAsia="en-IE"/>
        </w:rPr>
        <w:br/>
        <w:t>FINAL PROVISIONS</w:t>
      </w:r>
    </w:p>
    <w:p w14:paraId="67260C51" w14:textId="2664EB73" w:rsidR="001D52A8" w:rsidRDefault="001D52A8" w:rsidP="001D52A8">
      <w:pPr>
        <w:pStyle w:val="Titrearticle"/>
        <w:rPr>
          <w:noProof/>
          <w:lang w:eastAsia="en-IE"/>
        </w:rPr>
      </w:pPr>
      <w:r>
        <w:rPr>
          <w:noProof/>
          <w:lang w:eastAsia="en-IE"/>
        </w:rPr>
        <w:t xml:space="preserve">Article </w:t>
      </w:r>
      <w:r w:rsidR="00796F01">
        <w:rPr>
          <w:noProof/>
          <w:lang w:eastAsia="en-IE"/>
        </w:rPr>
        <w:t>11</w:t>
      </w:r>
      <w:r w:rsidR="006608F7">
        <w:rPr>
          <w:noProof/>
          <w:lang w:eastAsia="en-IE"/>
        </w:rPr>
        <w:t>8</w:t>
      </w:r>
      <w:r>
        <w:rPr>
          <w:noProof/>
          <w:lang w:eastAsia="en-IE"/>
        </w:rPr>
        <w:br/>
        <w:t>Committee procedure</w:t>
      </w:r>
    </w:p>
    <w:p w14:paraId="39B37045" w14:textId="1781A4A5" w:rsidR="001D52A8" w:rsidRPr="008E2649" w:rsidRDefault="006D01CD" w:rsidP="006D01CD">
      <w:pPr>
        <w:pStyle w:val="ManualNumPar1"/>
        <w:rPr>
          <w:noProof/>
          <w:lang w:eastAsia="en-IE"/>
        </w:rPr>
      </w:pPr>
      <w:r w:rsidRPr="006D01CD">
        <w:rPr>
          <w:noProof/>
        </w:rPr>
        <w:t>1.</w:t>
      </w:r>
      <w:r w:rsidRPr="006D01CD">
        <w:rPr>
          <w:noProof/>
        </w:rPr>
        <w:tab/>
      </w:r>
      <w:r w:rsidR="001D52A8" w:rsidRPr="008E2649">
        <w:rPr>
          <w:noProof/>
          <w:lang w:eastAsia="en-IE"/>
        </w:rPr>
        <w:t xml:space="preserve">The Commission shall be assisted by </w:t>
      </w:r>
      <w:r w:rsidR="00C56992">
        <w:rPr>
          <w:noProof/>
          <w:lang w:eastAsia="en-IE"/>
        </w:rPr>
        <w:t>a committee</w:t>
      </w:r>
      <w:r w:rsidR="001D52A8" w:rsidRPr="008E2649">
        <w:rPr>
          <w:noProof/>
          <w:lang w:eastAsia="en-IE"/>
        </w:rPr>
        <w:t>.</w:t>
      </w:r>
      <w:r w:rsidR="00C56992">
        <w:rPr>
          <w:noProof/>
          <w:lang w:eastAsia="en-IE"/>
        </w:rPr>
        <w:t xml:space="preserve"> That committee </w:t>
      </w:r>
      <w:r w:rsidR="00C56992" w:rsidRPr="00095DBA">
        <w:rPr>
          <w:noProof/>
          <w:lang w:eastAsia="en-IE"/>
        </w:rPr>
        <w:t>shall have two configurations. In respect of Titles II and III, the Commission shall be assisted by a committee in the first configuration, whereas in respect of Title IV, the Commission shall be assisted by a committee in the second configuration.</w:t>
      </w:r>
      <w:r w:rsidR="001D52A8" w:rsidRPr="008E2649">
        <w:rPr>
          <w:noProof/>
          <w:lang w:eastAsia="en-IE"/>
        </w:rPr>
        <w:t xml:space="preserve"> </w:t>
      </w:r>
      <w:r w:rsidR="001D52A8" w:rsidRPr="007633F5">
        <w:rPr>
          <w:noProof/>
          <w:lang w:eastAsia="en-IE"/>
        </w:rPr>
        <w:t>Th</w:t>
      </w:r>
      <w:r w:rsidR="00C56992">
        <w:rPr>
          <w:noProof/>
          <w:lang w:eastAsia="en-IE"/>
        </w:rPr>
        <w:t>at</w:t>
      </w:r>
      <w:r w:rsidR="001D52A8" w:rsidRPr="007633F5">
        <w:rPr>
          <w:noProof/>
          <w:lang w:eastAsia="en-IE"/>
        </w:rPr>
        <w:t xml:space="preserve"> committee shall be committee within the meaning of Regulation (EU) No 182/2011.</w:t>
      </w:r>
    </w:p>
    <w:p w14:paraId="33E6CFAC" w14:textId="188A94F8" w:rsidR="001D52A8" w:rsidRDefault="006D01CD" w:rsidP="006D01CD">
      <w:pPr>
        <w:pStyle w:val="ManualNumPar1"/>
        <w:rPr>
          <w:noProof/>
          <w:lang w:eastAsia="en-IE"/>
        </w:rPr>
      </w:pPr>
      <w:r w:rsidRPr="006D01CD">
        <w:rPr>
          <w:noProof/>
        </w:rPr>
        <w:t>2.</w:t>
      </w:r>
      <w:r w:rsidRPr="006D01CD">
        <w:rPr>
          <w:noProof/>
        </w:rPr>
        <w:tab/>
      </w:r>
      <w:r w:rsidR="001D52A8">
        <w:rPr>
          <w:noProof/>
          <w:lang w:eastAsia="en-IE"/>
        </w:rPr>
        <w:t>Where reference is made to this paragraph, Article 5 of Regulation (EU) No 182/2011 shall apply.</w:t>
      </w:r>
    </w:p>
    <w:p w14:paraId="38B9D3B3" w14:textId="63037B95" w:rsidR="001D52A8" w:rsidRDefault="001D52A8" w:rsidP="001D52A8">
      <w:pPr>
        <w:pStyle w:val="Titrearticle"/>
        <w:rPr>
          <w:noProof/>
          <w:lang w:eastAsia="en-IE"/>
        </w:rPr>
      </w:pPr>
      <w:r w:rsidRPr="53EE0FED">
        <w:rPr>
          <w:noProof/>
          <w:lang w:eastAsia="en-IE"/>
        </w:rPr>
        <w:t>Article 1</w:t>
      </w:r>
      <w:r w:rsidR="00796F01">
        <w:rPr>
          <w:noProof/>
          <w:lang w:eastAsia="en-IE"/>
        </w:rPr>
        <w:t>1</w:t>
      </w:r>
      <w:r w:rsidR="006608F7">
        <w:rPr>
          <w:noProof/>
          <w:lang w:eastAsia="en-IE"/>
        </w:rPr>
        <w:t>9</w:t>
      </w:r>
      <w:r>
        <w:rPr>
          <w:noProof/>
        </w:rPr>
        <w:br/>
      </w:r>
      <w:r w:rsidRPr="53EE0FED">
        <w:rPr>
          <w:noProof/>
          <w:lang w:eastAsia="en-IE"/>
        </w:rPr>
        <w:t>Exercise of the delegation</w:t>
      </w:r>
    </w:p>
    <w:p w14:paraId="4BFB482D" w14:textId="1591E1A8" w:rsidR="001D52A8" w:rsidRDefault="006D01CD" w:rsidP="006D01CD">
      <w:pPr>
        <w:pStyle w:val="ManualNumPar1"/>
        <w:rPr>
          <w:noProof/>
          <w:lang w:eastAsia="en-IE"/>
        </w:rPr>
      </w:pPr>
      <w:r w:rsidRPr="006D01CD">
        <w:rPr>
          <w:noProof/>
        </w:rPr>
        <w:t>1.</w:t>
      </w:r>
      <w:r w:rsidRPr="006D01CD">
        <w:rPr>
          <w:noProof/>
        </w:rPr>
        <w:tab/>
      </w:r>
      <w:r w:rsidR="001D52A8">
        <w:rPr>
          <w:noProof/>
          <w:lang w:eastAsia="en-IE"/>
        </w:rPr>
        <w:t>The power to adopt delegated acts is conferred on the Commission subject to the conditions laid down in this Article.</w:t>
      </w:r>
    </w:p>
    <w:p w14:paraId="020CD180" w14:textId="370D5565" w:rsidR="001D52A8" w:rsidRDefault="006D01CD" w:rsidP="006D01CD">
      <w:pPr>
        <w:pStyle w:val="ManualNumPar1"/>
        <w:rPr>
          <w:noProof/>
          <w:lang w:eastAsia="en-IE"/>
        </w:rPr>
      </w:pPr>
      <w:r w:rsidRPr="006D01CD">
        <w:rPr>
          <w:noProof/>
        </w:rPr>
        <w:t>2.</w:t>
      </w:r>
      <w:r w:rsidRPr="006D01CD">
        <w:rPr>
          <w:noProof/>
        </w:rPr>
        <w:tab/>
      </w:r>
      <w:r w:rsidR="001D52A8">
        <w:rPr>
          <w:noProof/>
          <w:lang w:eastAsia="en-IE"/>
        </w:rPr>
        <w:t xml:space="preserve">The power to adopt delegated acts according to Articles 80(2) </w:t>
      </w:r>
      <w:r w:rsidR="00366D05">
        <w:rPr>
          <w:noProof/>
          <w:lang w:eastAsia="en-IE"/>
        </w:rPr>
        <w:t xml:space="preserve">and Article </w:t>
      </w:r>
      <w:r w:rsidR="00E34EAA">
        <w:rPr>
          <w:noProof/>
          <w:lang w:eastAsia="en-IE"/>
        </w:rPr>
        <w:t>110(5)</w:t>
      </w:r>
      <w:r w:rsidR="00051159">
        <w:rPr>
          <w:noProof/>
          <w:lang w:eastAsia="en-IE"/>
        </w:rPr>
        <w:t xml:space="preserve"> </w:t>
      </w:r>
      <w:r w:rsidR="001D52A8">
        <w:rPr>
          <w:noProof/>
          <w:lang w:eastAsia="en-IE"/>
        </w:rPr>
        <w:t>shall be conferred on the Commission for an indeterminate period of time from the date of entry into force of this Regulation.</w:t>
      </w:r>
    </w:p>
    <w:p w14:paraId="40CDC53C" w14:textId="5FCC2DFE" w:rsidR="001D52A8" w:rsidRDefault="006D01CD" w:rsidP="006D01CD">
      <w:pPr>
        <w:pStyle w:val="ManualNumPar1"/>
        <w:rPr>
          <w:noProof/>
          <w:lang w:eastAsia="en-IE"/>
        </w:rPr>
      </w:pPr>
      <w:r w:rsidRPr="006D01CD">
        <w:rPr>
          <w:noProof/>
        </w:rPr>
        <w:t>3.</w:t>
      </w:r>
      <w:r w:rsidRPr="006D01CD">
        <w:rPr>
          <w:noProof/>
        </w:rPr>
        <w:tab/>
      </w:r>
      <w:r w:rsidR="001D52A8" w:rsidRPr="007633F5">
        <w:rPr>
          <w:noProof/>
          <w:lang w:eastAsia="en-IE"/>
        </w:rPr>
        <w:t>The delegation of power referred to in Articles 80(2)</w:t>
      </w:r>
      <w:r w:rsidR="00E34EAA">
        <w:rPr>
          <w:noProof/>
          <w:lang w:eastAsia="en-IE"/>
        </w:rPr>
        <w:t xml:space="preserve"> and Article 110(5)</w:t>
      </w:r>
      <w:r w:rsidR="00051159">
        <w:rPr>
          <w:noProof/>
          <w:lang w:eastAsia="en-IE"/>
        </w:rPr>
        <w:t xml:space="preserve"> </w:t>
      </w:r>
      <w:r w:rsidR="001D52A8" w:rsidRPr="007633F5">
        <w:rPr>
          <w:noProof/>
          <w:lang w:eastAsia="en-IE"/>
        </w:rPr>
        <w:t>may be revoked at any time by the European Parliament or by the Council. A decision to revoke shall put an end to the delegation of the power specified in that decision. It shall take effect the day following the publication of the decision in the Official Journal of the European Union or at a later date specified therein. It shall not affect the validity of any delegated acts already in force. </w:t>
      </w:r>
    </w:p>
    <w:p w14:paraId="31146F4F" w14:textId="6BB37CEB" w:rsidR="001D52A8" w:rsidRDefault="006D01CD" w:rsidP="006D01CD">
      <w:pPr>
        <w:pStyle w:val="ManualNumPar1"/>
        <w:rPr>
          <w:noProof/>
          <w:lang w:eastAsia="en-IE"/>
        </w:rPr>
      </w:pPr>
      <w:r w:rsidRPr="006D01CD">
        <w:rPr>
          <w:noProof/>
        </w:rPr>
        <w:t>4.</w:t>
      </w:r>
      <w:r w:rsidRPr="006D01CD">
        <w:rPr>
          <w:noProof/>
        </w:rPr>
        <w:tab/>
      </w:r>
      <w:r w:rsidR="001D52A8">
        <w:rPr>
          <w:noProof/>
          <w:lang w:eastAsia="en-IE"/>
        </w:rPr>
        <w:t xml:space="preserve">Before </w:t>
      </w:r>
      <w:r w:rsidR="001D52A8" w:rsidRPr="002068BB">
        <w:rPr>
          <w:noProof/>
          <w:lang w:eastAsia="en-IE"/>
        </w:rPr>
        <w:t>adopting a delegated act, the Commission shall consult experts designated by each Member State in accordance with the principles laid down in the Interinstitutional Agreement of 13 April 2016 on Better Law-Making</w:t>
      </w:r>
      <w:r w:rsidR="001D52A8">
        <w:rPr>
          <w:noProof/>
          <w:lang w:eastAsia="en-IE"/>
        </w:rPr>
        <w:t>.</w:t>
      </w:r>
    </w:p>
    <w:p w14:paraId="77FEF260" w14:textId="753ACC10" w:rsidR="001D52A8" w:rsidRDefault="006D01CD" w:rsidP="006D01CD">
      <w:pPr>
        <w:pStyle w:val="ManualNumPar1"/>
        <w:rPr>
          <w:noProof/>
          <w:lang w:eastAsia="en-IE"/>
        </w:rPr>
      </w:pPr>
      <w:r w:rsidRPr="006D01CD">
        <w:rPr>
          <w:noProof/>
        </w:rPr>
        <w:t>5.</w:t>
      </w:r>
      <w:r w:rsidRPr="006D01CD">
        <w:rPr>
          <w:noProof/>
        </w:rPr>
        <w:tab/>
      </w:r>
      <w:r w:rsidR="001D52A8">
        <w:rPr>
          <w:noProof/>
          <w:lang w:eastAsia="en-IE"/>
        </w:rPr>
        <w:t>As soon as it adopts a delegated act, the Commission shall notify it simultaneously to the European Parliament and to the Council.</w:t>
      </w:r>
    </w:p>
    <w:p w14:paraId="0AA5546D" w14:textId="4CC679C8" w:rsidR="001D52A8" w:rsidRPr="00E015D2" w:rsidRDefault="006D01CD" w:rsidP="006D01CD">
      <w:pPr>
        <w:pStyle w:val="ManualNumPar1"/>
        <w:rPr>
          <w:noProof/>
          <w:lang w:eastAsia="en-IE"/>
        </w:rPr>
      </w:pPr>
      <w:r w:rsidRPr="006D01CD">
        <w:rPr>
          <w:noProof/>
        </w:rPr>
        <w:t>6.</w:t>
      </w:r>
      <w:r w:rsidRPr="006D01CD">
        <w:rPr>
          <w:noProof/>
        </w:rPr>
        <w:tab/>
      </w:r>
      <w:r w:rsidR="001D52A8" w:rsidRPr="00E015D2">
        <w:rPr>
          <w:noProof/>
          <w:lang w:eastAsia="en-IE"/>
        </w:rPr>
        <w:t xml:space="preserve">A delegated act adopted pursuant to Articles </w:t>
      </w:r>
      <w:r w:rsidR="001D52A8" w:rsidRPr="00E015D2">
        <w:rPr>
          <w:rStyle w:val="normaltextrun"/>
          <w:noProof/>
        </w:rPr>
        <w:t xml:space="preserve">80(2) </w:t>
      </w:r>
      <w:r w:rsidR="00FC01E8">
        <w:rPr>
          <w:noProof/>
          <w:lang w:eastAsia="en-IE"/>
        </w:rPr>
        <w:t>and Article 110(5)</w:t>
      </w:r>
      <w:r w:rsidR="001D52A8" w:rsidRPr="00E015D2">
        <w:rPr>
          <w:rStyle w:val="normaltextrun"/>
          <w:noProof/>
        </w:rPr>
        <w:t xml:space="preserve"> </w:t>
      </w:r>
      <w:r w:rsidR="001D52A8" w:rsidRPr="00E015D2">
        <w:rPr>
          <w:noProof/>
          <w:lang w:eastAsia="en-IE"/>
        </w:rPr>
        <w:t>shall enter into force only if no objection has been expressed either by the European Parliament or the Council within a period of two months of notification of that act to the European Parliament and the Council or if, before the expiry of that period, the European Parliament and the Council have both informed the Commission that they will not object. That period shall be extended by two months at the initiative of the European Parliament or of the Council. </w:t>
      </w:r>
    </w:p>
    <w:p w14:paraId="03A47D58" w14:textId="1EB4BD2A" w:rsidR="001D52A8" w:rsidRDefault="001D52A8" w:rsidP="001D52A8">
      <w:pPr>
        <w:pStyle w:val="Titrearticle"/>
        <w:rPr>
          <w:noProof/>
          <w:lang w:eastAsia="en-IE"/>
        </w:rPr>
      </w:pPr>
      <w:r>
        <w:rPr>
          <w:noProof/>
          <w:lang w:eastAsia="en-IE"/>
        </w:rPr>
        <w:t>Article 1</w:t>
      </w:r>
      <w:r w:rsidR="006608F7">
        <w:rPr>
          <w:noProof/>
          <w:lang w:eastAsia="en-IE"/>
        </w:rPr>
        <w:t>20</w:t>
      </w:r>
      <w:r>
        <w:rPr>
          <w:noProof/>
          <w:lang w:eastAsia="en-IE"/>
        </w:rPr>
        <w:br/>
      </w:r>
      <w:r w:rsidRPr="00141431">
        <w:rPr>
          <w:noProof/>
          <w:lang w:eastAsia="en-IE"/>
        </w:rPr>
        <w:t>Evaluation and review</w:t>
      </w:r>
    </w:p>
    <w:p w14:paraId="58693EBB" w14:textId="65641D57" w:rsidR="001D52A8" w:rsidRDefault="006D01CD" w:rsidP="006D01CD">
      <w:pPr>
        <w:pStyle w:val="ManualNumPar1"/>
        <w:rPr>
          <w:noProof/>
          <w:lang w:eastAsia="en-IE"/>
        </w:rPr>
      </w:pPr>
      <w:r w:rsidRPr="006D01CD">
        <w:rPr>
          <w:noProof/>
        </w:rPr>
        <w:t>1.</w:t>
      </w:r>
      <w:r w:rsidRPr="006D01CD">
        <w:rPr>
          <w:noProof/>
        </w:rPr>
        <w:tab/>
      </w:r>
      <w:r w:rsidR="001D52A8" w:rsidRPr="53EE0FED">
        <w:rPr>
          <w:noProof/>
          <w:lang w:eastAsia="en-IE"/>
        </w:rPr>
        <w:t xml:space="preserve">By [DD MM YYYY], and every five years thereafter, the Commission shall commission an evaluation which shall </w:t>
      </w:r>
      <w:r w:rsidR="001D52A8">
        <w:rPr>
          <w:noProof/>
          <w:lang w:eastAsia="en-IE"/>
        </w:rPr>
        <w:t xml:space="preserve">be conducted in accordance with the Commission’s guidelines. </w:t>
      </w:r>
    </w:p>
    <w:p w14:paraId="58987AC0" w14:textId="3A4E356B" w:rsidR="001D52A8" w:rsidRDefault="006D01CD" w:rsidP="006D01CD">
      <w:pPr>
        <w:pStyle w:val="ManualNumPar1"/>
        <w:rPr>
          <w:noProof/>
          <w:lang w:eastAsia="en-IE"/>
        </w:rPr>
      </w:pPr>
      <w:r w:rsidRPr="006D01CD">
        <w:rPr>
          <w:noProof/>
        </w:rPr>
        <w:t>2.</w:t>
      </w:r>
      <w:r w:rsidRPr="006D01CD">
        <w:rPr>
          <w:noProof/>
        </w:rPr>
        <w:tab/>
      </w:r>
      <w:r w:rsidR="001D52A8">
        <w:rPr>
          <w:noProof/>
          <w:lang w:eastAsia="en-IE"/>
        </w:rPr>
        <w:t xml:space="preserve">The evaluation referred to in paragraph 1 shall include an </w:t>
      </w:r>
      <w:r w:rsidR="001D52A8" w:rsidRPr="53EE0FED">
        <w:rPr>
          <w:noProof/>
          <w:lang w:eastAsia="en-IE"/>
        </w:rPr>
        <w:t>assessment of the following:</w:t>
      </w:r>
    </w:p>
    <w:p w14:paraId="6CAA0A63" w14:textId="1A9DFF0C" w:rsidR="001D52A8" w:rsidRDefault="006D01CD" w:rsidP="006D01CD">
      <w:pPr>
        <w:pStyle w:val="Point1"/>
        <w:rPr>
          <w:noProof/>
          <w:lang w:eastAsia="en-IE"/>
        </w:rPr>
      </w:pPr>
      <w:r w:rsidRPr="006D01CD">
        <w:rPr>
          <w:noProof/>
        </w:rPr>
        <w:t>(a)</w:t>
      </w:r>
      <w:r w:rsidRPr="006D01CD">
        <w:rPr>
          <w:noProof/>
        </w:rPr>
        <w:tab/>
      </w:r>
      <w:r w:rsidR="001D52A8" w:rsidRPr="53EE0FED">
        <w:rPr>
          <w:noProof/>
          <w:lang w:eastAsia="en-IE"/>
        </w:rPr>
        <w:t>ENISA’s performance in relation to its objectives, mandate, mission, tasks, governance and location</w:t>
      </w:r>
      <w:r w:rsidR="001D52A8">
        <w:rPr>
          <w:noProof/>
          <w:lang w:eastAsia="en-IE"/>
        </w:rPr>
        <w:t>;</w:t>
      </w:r>
    </w:p>
    <w:p w14:paraId="525D74B8" w14:textId="7B377C06" w:rsidR="001D52A8" w:rsidRPr="00A133D8" w:rsidRDefault="006D01CD" w:rsidP="006D01CD">
      <w:pPr>
        <w:pStyle w:val="Point1"/>
        <w:rPr>
          <w:noProof/>
          <w:lang w:eastAsia="en-IE"/>
        </w:rPr>
      </w:pPr>
      <w:r w:rsidRPr="006D01CD">
        <w:rPr>
          <w:noProof/>
        </w:rPr>
        <w:t>(b)</w:t>
      </w:r>
      <w:r w:rsidRPr="006D01CD">
        <w:rPr>
          <w:noProof/>
        </w:rPr>
        <w:tab/>
      </w:r>
      <w:r w:rsidR="001D52A8">
        <w:rPr>
          <w:noProof/>
          <w:lang w:eastAsia="en-IE"/>
        </w:rPr>
        <w:t xml:space="preserve">the effectiveness, efficiency and EU added value of the European individual cybersecurity skills attestations schemes as laid down in Title II, Chapter II, Section </w:t>
      </w:r>
      <w:r w:rsidR="00204104">
        <w:rPr>
          <w:noProof/>
          <w:lang w:eastAsia="en-IE"/>
        </w:rPr>
        <w:t>4</w:t>
      </w:r>
      <w:r w:rsidR="001D52A8">
        <w:rPr>
          <w:noProof/>
          <w:lang w:eastAsia="en-IE"/>
        </w:rPr>
        <w:t xml:space="preserve"> of this Regulation;</w:t>
      </w:r>
    </w:p>
    <w:p w14:paraId="6653A151" w14:textId="228C4B75" w:rsidR="001D52A8" w:rsidRPr="00EE6382" w:rsidRDefault="006D01CD" w:rsidP="006D01CD">
      <w:pPr>
        <w:pStyle w:val="Point1"/>
        <w:rPr>
          <w:noProof/>
          <w:lang w:val="en-IE" w:eastAsia="en-IE"/>
        </w:rPr>
      </w:pPr>
      <w:r w:rsidRPr="006D01CD">
        <w:rPr>
          <w:noProof/>
        </w:rPr>
        <w:t>(c)</w:t>
      </w:r>
      <w:r w:rsidRPr="006D01CD">
        <w:rPr>
          <w:noProof/>
        </w:rPr>
        <w:tab/>
      </w:r>
      <w:r w:rsidR="001D52A8" w:rsidRPr="007633F5">
        <w:rPr>
          <w:noProof/>
          <w:lang w:eastAsia="en-IE"/>
        </w:rPr>
        <w:t>the impact, effectiveness and efficiency of the provisions of Title III of this Regulation with regard to the objectives of ensuring an adequate level of cybersecurity of ICT products, ICT services, ICT processes, managed security services and entities in the Union and improving the functioning of the internal market;</w:t>
      </w:r>
      <w:r w:rsidR="001D52A8" w:rsidRPr="00EE6382">
        <w:rPr>
          <w:noProof/>
          <w:lang w:val="en-IE" w:eastAsia="en-IE"/>
        </w:rPr>
        <w:t> </w:t>
      </w:r>
    </w:p>
    <w:p w14:paraId="31607E89" w14:textId="59300713" w:rsidR="001D52A8" w:rsidRPr="00EE6382" w:rsidRDefault="006D01CD" w:rsidP="006D01CD">
      <w:pPr>
        <w:pStyle w:val="Point1"/>
        <w:rPr>
          <w:noProof/>
          <w:lang w:eastAsia="en-IE"/>
        </w:rPr>
      </w:pPr>
      <w:r w:rsidRPr="006D01CD">
        <w:rPr>
          <w:noProof/>
        </w:rPr>
        <w:t>(d)</w:t>
      </w:r>
      <w:r w:rsidRPr="006D01CD">
        <w:rPr>
          <w:noProof/>
        </w:rPr>
        <w:tab/>
      </w:r>
      <w:r w:rsidR="003B159C" w:rsidRPr="007633F5">
        <w:rPr>
          <w:noProof/>
          <w:lang w:eastAsia="en-IE"/>
        </w:rPr>
        <w:t>the impact, effectiveness and efficiency of provisions of Title IV of this Regulation with regard to the objectives of the trusted ICT supply chain framework</w:t>
      </w:r>
      <w:r w:rsidR="001D52A8" w:rsidRPr="007633F5">
        <w:rPr>
          <w:noProof/>
          <w:lang w:eastAsia="en-IE"/>
        </w:rPr>
        <w:t>.</w:t>
      </w:r>
      <w:r w:rsidR="001D52A8" w:rsidRPr="00EE6382">
        <w:rPr>
          <w:noProof/>
          <w:lang w:val="en-IE" w:eastAsia="en-IE"/>
        </w:rPr>
        <w:t> </w:t>
      </w:r>
    </w:p>
    <w:p w14:paraId="5DE32D00" w14:textId="2749E702" w:rsidR="001D52A8" w:rsidRDefault="006D01CD" w:rsidP="006D01CD">
      <w:pPr>
        <w:pStyle w:val="ManualNumPar1"/>
        <w:rPr>
          <w:noProof/>
          <w:lang w:eastAsia="en-IE"/>
        </w:rPr>
      </w:pPr>
      <w:r w:rsidRPr="006D01CD">
        <w:rPr>
          <w:noProof/>
        </w:rPr>
        <w:t>3.</w:t>
      </w:r>
      <w:r w:rsidRPr="006D01CD">
        <w:rPr>
          <w:noProof/>
        </w:rPr>
        <w:tab/>
      </w:r>
      <w:r w:rsidR="001D52A8">
        <w:rPr>
          <w:noProof/>
          <w:lang w:eastAsia="en-IE"/>
        </w:rPr>
        <w:t>The evaluation referred to in paragraph 1, point (a), shall, in particular, address the possible need to modify the mandate of ENISA, and the financial implications of any such modification.</w:t>
      </w:r>
    </w:p>
    <w:p w14:paraId="6F425408" w14:textId="2C828C37" w:rsidR="001D52A8" w:rsidRDefault="006D01CD" w:rsidP="006D01CD">
      <w:pPr>
        <w:pStyle w:val="ManualNumPar1"/>
        <w:rPr>
          <w:noProof/>
          <w:lang w:eastAsia="en-IE"/>
        </w:rPr>
      </w:pPr>
      <w:r w:rsidRPr="006D01CD">
        <w:rPr>
          <w:noProof/>
        </w:rPr>
        <w:t>4.</w:t>
      </w:r>
      <w:r w:rsidRPr="006D01CD">
        <w:rPr>
          <w:noProof/>
        </w:rPr>
        <w:tab/>
      </w:r>
      <w:r w:rsidR="001D52A8">
        <w:rPr>
          <w:noProof/>
          <w:lang w:eastAsia="en-IE"/>
        </w:rPr>
        <w:t xml:space="preserve">On the occasion of every second evaluation, </w:t>
      </w:r>
      <w:r w:rsidR="001D52A8" w:rsidRPr="007633F5">
        <w:rPr>
          <w:noProof/>
          <w:lang w:eastAsia="en-IE"/>
        </w:rPr>
        <w:t>referred to in paragraph 1, point (a), the Commission shall assess</w:t>
      </w:r>
      <w:r w:rsidR="001D52A8" w:rsidRPr="00E85956">
        <w:rPr>
          <w:noProof/>
          <w:lang w:eastAsia="en-IE"/>
        </w:rPr>
        <w:t xml:space="preserve"> </w:t>
      </w:r>
      <w:r w:rsidR="001D52A8">
        <w:rPr>
          <w:noProof/>
          <w:lang w:eastAsia="en-IE"/>
        </w:rPr>
        <w:t>the results achieved by ENISA having regard to its objectives, mandate, mission, governance and tasks, including an assessment of whether the continuation of ENISA is still justified with regard to these objectives, mandate, mission, governance and tasks.</w:t>
      </w:r>
    </w:p>
    <w:p w14:paraId="5E9E9A7C" w14:textId="32D83C00" w:rsidR="001D52A8" w:rsidRDefault="006D01CD" w:rsidP="006D01CD">
      <w:pPr>
        <w:pStyle w:val="ManualNumPar1"/>
        <w:rPr>
          <w:noProof/>
          <w:lang w:eastAsia="en-IE"/>
        </w:rPr>
      </w:pPr>
      <w:r w:rsidRPr="006D01CD">
        <w:rPr>
          <w:noProof/>
        </w:rPr>
        <w:t>5.</w:t>
      </w:r>
      <w:r w:rsidRPr="006D01CD">
        <w:rPr>
          <w:noProof/>
        </w:rPr>
        <w:tab/>
      </w:r>
      <w:r w:rsidR="001D52A8">
        <w:rPr>
          <w:noProof/>
          <w:lang w:eastAsia="en-IE"/>
        </w:rPr>
        <w:t>The Commission shall report to the European Parliament, the Council and the Management Board on the evaluation findings. The findings of the evaluation shall be made public.</w:t>
      </w:r>
    </w:p>
    <w:p w14:paraId="05997053" w14:textId="561150F8" w:rsidR="001D52A8" w:rsidRDefault="001D52A8" w:rsidP="001D52A8">
      <w:pPr>
        <w:pStyle w:val="Titrearticle"/>
        <w:rPr>
          <w:noProof/>
          <w:lang w:eastAsia="en-IE"/>
        </w:rPr>
      </w:pPr>
      <w:r w:rsidRPr="53EE0FED">
        <w:rPr>
          <w:noProof/>
          <w:lang w:eastAsia="en-IE"/>
        </w:rPr>
        <w:t>Article 12</w:t>
      </w:r>
      <w:r w:rsidR="006608F7">
        <w:rPr>
          <w:noProof/>
          <w:lang w:eastAsia="en-IE"/>
        </w:rPr>
        <w:t>1</w:t>
      </w:r>
      <w:r>
        <w:rPr>
          <w:noProof/>
        </w:rPr>
        <w:br/>
      </w:r>
      <w:r w:rsidRPr="53EE0FED">
        <w:rPr>
          <w:noProof/>
          <w:lang w:eastAsia="en-IE"/>
        </w:rPr>
        <w:t>Repeal and continuation of activities</w:t>
      </w:r>
    </w:p>
    <w:p w14:paraId="6A76DB7E" w14:textId="693F0CBA" w:rsidR="001D52A8" w:rsidRDefault="006D01CD" w:rsidP="006D01CD">
      <w:pPr>
        <w:pStyle w:val="ManualNumPar1"/>
        <w:rPr>
          <w:noProof/>
          <w:lang w:eastAsia="en-IE"/>
        </w:rPr>
      </w:pPr>
      <w:r w:rsidRPr="006D01CD">
        <w:rPr>
          <w:noProof/>
        </w:rPr>
        <w:t>1.</w:t>
      </w:r>
      <w:r w:rsidRPr="006D01CD">
        <w:rPr>
          <w:noProof/>
        </w:rPr>
        <w:tab/>
      </w:r>
      <w:r w:rsidR="001D52A8">
        <w:rPr>
          <w:noProof/>
          <w:lang w:eastAsia="en-IE"/>
        </w:rPr>
        <w:t>Regulation (EU) 2019/881 of the European Parliament and of the Council is repealed with effect from DDMMYYYY.</w:t>
      </w:r>
    </w:p>
    <w:p w14:paraId="6CCF6B94" w14:textId="34B6F0C2" w:rsidR="001D52A8" w:rsidRDefault="006D01CD" w:rsidP="006D01CD">
      <w:pPr>
        <w:pStyle w:val="ManualNumPar1"/>
        <w:rPr>
          <w:noProof/>
          <w:lang w:eastAsia="en-IE"/>
        </w:rPr>
      </w:pPr>
      <w:r w:rsidRPr="006D01CD">
        <w:rPr>
          <w:noProof/>
        </w:rPr>
        <w:t>2.</w:t>
      </w:r>
      <w:r w:rsidRPr="006D01CD">
        <w:rPr>
          <w:noProof/>
        </w:rPr>
        <w:tab/>
      </w:r>
      <w:r w:rsidR="001D52A8" w:rsidRPr="53EE0FED">
        <w:rPr>
          <w:noProof/>
          <w:lang w:eastAsia="en-IE"/>
        </w:rPr>
        <w:t xml:space="preserve">References to Regulation (EU) 2019/881, ENISA and European cybersecurity certification schemes as established by that Regulation shall be construed as references to this Regulation and shall be read in accordance with the correlation table set out in Annex </w:t>
      </w:r>
      <w:r w:rsidR="00E2253C">
        <w:rPr>
          <w:noProof/>
          <w:lang w:eastAsia="en-IE"/>
        </w:rPr>
        <w:t>III</w:t>
      </w:r>
      <w:r w:rsidR="001D52A8" w:rsidRPr="53EE0FED">
        <w:rPr>
          <w:noProof/>
          <w:lang w:eastAsia="en-IE"/>
        </w:rPr>
        <w:t xml:space="preserve"> to this Regulation.</w:t>
      </w:r>
    </w:p>
    <w:p w14:paraId="6C5F01CD" w14:textId="7EB9B08C" w:rsidR="001D52A8" w:rsidRDefault="006D01CD" w:rsidP="006D01CD">
      <w:pPr>
        <w:pStyle w:val="ManualNumPar1"/>
        <w:rPr>
          <w:noProof/>
          <w:lang w:eastAsia="en-IE"/>
        </w:rPr>
      </w:pPr>
      <w:r w:rsidRPr="006D01CD">
        <w:rPr>
          <w:noProof/>
        </w:rPr>
        <w:t>3.</w:t>
      </w:r>
      <w:r w:rsidRPr="006D01CD">
        <w:rPr>
          <w:noProof/>
        </w:rPr>
        <w:tab/>
      </w:r>
      <w:r w:rsidR="001D52A8" w:rsidRPr="09EFD5F1">
        <w:rPr>
          <w:noProof/>
          <w:lang w:eastAsia="en-IE"/>
        </w:rPr>
        <w:t>ENISA as governed by this Regulation shall continue operations and activities of ENISA as established by Regulation (EU) 2019/881 as regards all ownership, agreements, legal obligations, employment contracts, financial commitments and liabilities. All decisions of the Management Board and the Executive Board adopted in accordance with Regulation (EU) 2019/881 shall remain valid, provided that they comply with this Regulation.</w:t>
      </w:r>
    </w:p>
    <w:p w14:paraId="13D50B30" w14:textId="3B09B6E1" w:rsidR="001D52A8" w:rsidRDefault="006D01CD" w:rsidP="006D01CD">
      <w:pPr>
        <w:pStyle w:val="ManualNumPar1"/>
        <w:rPr>
          <w:noProof/>
          <w:lang w:eastAsia="en-IE"/>
        </w:rPr>
      </w:pPr>
      <w:r w:rsidRPr="006D01CD">
        <w:rPr>
          <w:noProof/>
        </w:rPr>
        <w:t>4.</w:t>
      </w:r>
      <w:r w:rsidRPr="006D01CD">
        <w:rPr>
          <w:noProof/>
        </w:rPr>
        <w:tab/>
      </w:r>
      <w:r w:rsidR="001D52A8">
        <w:rPr>
          <w:noProof/>
          <w:lang w:eastAsia="en-IE"/>
        </w:rPr>
        <w:t>The Executive Director appointed pursuant to Article 15(1), point (n) of Regulation (EU) 2019/881 shall remain in office and exercise the tasks and responsibilities of the Executive Director as referred to in Article 32 of this Regulation for the remaining part of the Executive Director’s term of office. The other conditions of their contract shall remain unchanged.</w:t>
      </w:r>
    </w:p>
    <w:p w14:paraId="6F1AF1B3" w14:textId="2D97FE76" w:rsidR="001D52A8" w:rsidRDefault="006D01CD" w:rsidP="006D01CD">
      <w:pPr>
        <w:pStyle w:val="ManualNumPar1"/>
        <w:rPr>
          <w:noProof/>
          <w:lang w:eastAsia="en-IE"/>
        </w:rPr>
      </w:pPr>
      <w:r w:rsidRPr="006D01CD">
        <w:rPr>
          <w:noProof/>
        </w:rPr>
        <w:t>5.</w:t>
      </w:r>
      <w:r w:rsidRPr="006D01CD">
        <w:rPr>
          <w:noProof/>
        </w:rPr>
        <w:tab/>
      </w:r>
      <w:r w:rsidR="001D52A8" w:rsidRPr="53EE0FED">
        <w:rPr>
          <w:noProof/>
          <w:lang w:eastAsia="en-IE"/>
        </w:rPr>
        <w:t xml:space="preserve">The candidate schemes whose preparation was requested pursuant to Article 49 of Regulation (EU) 2019/881 shall be considered to have been requested pursuant to the corresponding provisions of this Regulation. The provisions of Title III of this Regulation shall apply to those candidate schemes accordingly. </w:t>
      </w:r>
    </w:p>
    <w:p w14:paraId="77B741E1" w14:textId="65489C10" w:rsidR="001D52A8" w:rsidRPr="00141431" w:rsidRDefault="006D01CD" w:rsidP="006D01CD">
      <w:pPr>
        <w:pStyle w:val="ManualNumPar1"/>
        <w:rPr>
          <w:noProof/>
          <w:lang w:eastAsia="en-IE"/>
        </w:rPr>
      </w:pPr>
      <w:r w:rsidRPr="006D01CD">
        <w:rPr>
          <w:noProof/>
        </w:rPr>
        <w:t>6.</w:t>
      </w:r>
      <w:r w:rsidRPr="006D01CD">
        <w:rPr>
          <w:noProof/>
        </w:rPr>
        <w:tab/>
      </w:r>
      <w:r w:rsidR="001D52A8">
        <w:rPr>
          <w:noProof/>
          <w:lang w:eastAsia="en-IE"/>
        </w:rPr>
        <w:t>The members of the Management Board appointed by the Commission and alternate members appointed pursuant to Article 14 of Regulation (EU) 2019/881 shall remain in office and exercise the functions of the Management Board as referred to in Article 27 of this Regulation for the remaining part of their term of office. The members of the Management Board appointed by Member States pursuant to Article 14 of Regulation (EU) 2019/881 shall remain in office and exercise the functions of the Management Board as referred to in Article 27 of this Regulation provided that they hold functions referred to in Article 24(3) of this Regulation.</w:t>
      </w:r>
    </w:p>
    <w:p w14:paraId="4C675DA2" w14:textId="77300A11" w:rsidR="001D52A8" w:rsidRDefault="001D52A8" w:rsidP="001D52A8">
      <w:pPr>
        <w:pStyle w:val="Titrearticle"/>
        <w:rPr>
          <w:noProof/>
        </w:rPr>
      </w:pPr>
      <w:r>
        <w:rPr>
          <w:noProof/>
        </w:rPr>
        <w:t>Article 12</w:t>
      </w:r>
      <w:r w:rsidR="006608F7">
        <w:rPr>
          <w:noProof/>
        </w:rPr>
        <w:t>2</w:t>
      </w:r>
      <w:r>
        <w:rPr>
          <w:noProof/>
        </w:rPr>
        <w:br/>
        <w:t>Entry into force</w:t>
      </w:r>
    </w:p>
    <w:p w14:paraId="347FE44C" w14:textId="77777777" w:rsidR="001D52A8" w:rsidRPr="002D5552" w:rsidRDefault="001D52A8" w:rsidP="00E24E05">
      <w:pPr>
        <w:rPr>
          <w:noProof/>
        </w:rPr>
      </w:pPr>
      <w:r>
        <w:rPr>
          <w:noProof/>
        </w:rPr>
        <w:t xml:space="preserve">This Regulation shall enter into force on the […] day following that of its publication in the </w:t>
      </w:r>
      <w:r w:rsidRPr="00D216AB">
        <w:rPr>
          <w:i/>
          <w:iCs/>
          <w:noProof/>
        </w:rPr>
        <w:t>Official Journal of the European Union</w:t>
      </w:r>
      <w:r>
        <w:rPr>
          <w:noProof/>
        </w:rPr>
        <w:t>.</w:t>
      </w:r>
    </w:p>
    <w:p w14:paraId="29660649" w14:textId="77777777" w:rsidR="001D52A8" w:rsidRDefault="001D52A8" w:rsidP="001D52A8">
      <w:pPr>
        <w:pStyle w:val="Applicationdirecte"/>
        <w:rPr>
          <w:noProof/>
        </w:rPr>
      </w:pPr>
      <w:r w:rsidRPr="00F96E01">
        <w:rPr>
          <w:noProof/>
        </w:rPr>
        <w:t>This Regulation shall be binding in its entirety and directly applicable in all Member States.</w:t>
      </w:r>
    </w:p>
    <w:p w14:paraId="4A0BEDB8" w14:textId="77777777" w:rsidR="001D52A8" w:rsidRPr="00D216AB" w:rsidRDefault="001D52A8" w:rsidP="001D52A8">
      <w:pPr>
        <w:rPr>
          <w:noProof/>
        </w:rPr>
      </w:pPr>
    </w:p>
    <w:p w14:paraId="46AB8575" w14:textId="19277E3A" w:rsidR="001D52A8" w:rsidRDefault="00436204" w:rsidP="000C1536">
      <w:pPr>
        <w:pStyle w:val="Fait"/>
        <w:rPr>
          <w:noProof/>
        </w:rPr>
      </w:pPr>
      <w:r>
        <w:rPr>
          <w:noProof/>
        </w:rPr>
        <w:t>Done at Strasbourg,</w:t>
      </w:r>
    </w:p>
    <w:p w14:paraId="3D2BBCA2" w14:textId="77777777" w:rsidR="001D52A8" w:rsidRDefault="001D52A8" w:rsidP="000C1536">
      <w:pPr>
        <w:pStyle w:val="Institutionquisigne"/>
        <w:rPr>
          <w:noProof/>
        </w:rPr>
      </w:pPr>
      <w:r w:rsidRPr="00A3053C">
        <w:rPr>
          <w:noProof/>
        </w:rPr>
        <w:t>For the European Parliament</w:t>
      </w:r>
      <w:r w:rsidRPr="00A3053C">
        <w:rPr>
          <w:noProof/>
        </w:rPr>
        <w:tab/>
        <w:t>For the Council</w:t>
      </w:r>
    </w:p>
    <w:p w14:paraId="114F9F6A" w14:textId="3A819020" w:rsidR="00EF58EE" w:rsidRDefault="001D52A8" w:rsidP="00D70E9B">
      <w:pPr>
        <w:pStyle w:val="Personnequisigne"/>
        <w:rPr>
          <w:noProof/>
        </w:rPr>
        <w:sectPr w:rsidR="00EF58EE" w:rsidSect="000033F2">
          <w:pgSz w:w="11907" w:h="16840" w:code="9"/>
          <w:pgMar w:top="1134" w:right="1418" w:bottom="1134" w:left="1418" w:header="709" w:footer="709" w:gutter="0"/>
          <w:cols w:space="720"/>
          <w:docGrid w:linePitch="360"/>
        </w:sectPr>
      </w:pPr>
      <w:r w:rsidRPr="00A3053C">
        <w:rPr>
          <w:noProof/>
        </w:rPr>
        <w:t>The President</w:t>
      </w:r>
      <w:r w:rsidRPr="00A3053C">
        <w:rPr>
          <w:noProof/>
        </w:rPr>
        <w:tab/>
        <w:t>The Presiden</w:t>
      </w:r>
      <w:r>
        <w:rPr>
          <w:noProof/>
        </w:rPr>
        <w:t>t</w:t>
      </w:r>
    </w:p>
    <w:p w14:paraId="3312734C" w14:textId="77777777" w:rsidR="004F652B" w:rsidRPr="009846D6" w:rsidRDefault="004F652B" w:rsidP="004F652B">
      <w:pPr>
        <w:pStyle w:val="Fichefinanciretitre"/>
        <w:keepNext/>
        <w:rPr>
          <w:noProof/>
        </w:rPr>
      </w:pPr>
      <w:r w:rsidRPr="00732102">
        <w:rPr>
          <w:noProof/>
        </w:rPr>
        <w:t>LEGISLATIVE FINANCIAL AND DIGITAL STATEMENT</w:t>
      </w:r>
    </w:p>
    <w:p w14:paraId="65DE05DF" w14:textId="77777777" w:rsidR="004F652B" w:rsidRDefault="004F652B" w:rsidP="004F652B">
      <w:pPr>
        <w:pStyle w:val="TOC1"/>
        <w:rPr>
          <w:rFonts w:asciiTheme="minorHAnsi" w:eastAsiaTheme="minorEastAsia" w:hAnsiTheme="minorHAnsi" w:cstheme="minorBidi"/>
          <w:noProof/>
          <w:kern w:val="2"/>
          <w:sz w:val="22"/>
          <w:lang w:eastAsia="en-GB"/>
          <w14:ligatures w14:val="standardContextual"/>
        </w:rPr>
      </w:pPr>
      <w:r w:rsidRPr="00292B05">
        <w:rPr>
          <w:noProof/>
        </w:rPr>
        <w:t>1.</w:t>
      </w:r>
      <w:r>
        <w:rPr>
          <w:rFonts w:asciiTheme="minorHAnsi" w:eastAsiaTheme="minorEastAsia" w:hAnsiTheme="minorHAnsi" w:cstheme="minorBidi"/>
          <w:noProof/>
          <w:kern w:val="2"/>
          <w:sz w:val="22"/>
          <w:lang w:eastAsia="en-GB"/>
          <w14:ligatures w14:val="standardContextual"/>
        </w:rPr>
        <w:tab/>
      </w:r>
      <w:r w:rsidRPr="00292B05">
        <w:rPr>
          <w:noProof/>
        </w:rPr>
        <w:t>FRAMEWORK OF THE PROPOSAL/INITIATIVE</w:t>
      </w:r>
      <w:r>
        <w:rPr>
          <w:noProof/>
          <w:webHidden/>
        </w:rPr>
        <w:tab/>
        <w:t>3</w:t>
      </w:r>
    </w:p>
    <w:p w14:paraId="11941EFF" w14:textId="77777777" w:rsidR="004F652B" w:rsidRDefault="004F652B" w:rsidP="004F652B">
      <w:pPr>
        <w:pStyle w:val="TOC2"/>
        <w:rPr>
          <w:rFonts w:asciiTheme="minorHAnsi" w:eastAsiaTheme="minorEastAsia" w:hAnsiTheme="minorHAnsi" w:cstheme="minorBidi"/>
          <w:noProof/>
          <w:kern w:val="2"/>
          <w:sz w:val="22"/>
          <w:lang w:eastAsia="en-GB"/>
          <w14:ligatures w14:val="standardContextual"/>
        </w:rPr>
      </w:pPr>
      <w:r w:rsidRPr="00292B05">
        <w:rPr>
          <w:noProof/>
        </w:rPr>
        <w:t>1.1.</w:t>
      </w:r>
      <w:r>
        <w:rPr>
          <w:rFonts w:asciiTheme="minorHAnsi" w:eastAsiaTheme="minorEastAsia" w:hAnsiTheme="minorHAnsi" w:cstheme="minorBidi"/>
          <w:noProof/>
          <w:kern w:val="2"/>
          <w:sz w:val="22"/>
          <w:lang w:eastAsia="en-GB"/>
          <w14:ligatures w14:val="standardContextual"/>
        </w:rPr>
        <w:tab/>
      </w:r>
      <w:r w:rsidRPr="00292B05">
        <w:rPr>
          <w:noProof/>
        </w:rPr>
        <w:t>Title of the proposal/initiative</w:t>
      </w:r>
      <w:r>
        <w:rPr>
          <w:noProof/>
          <w:webHidden/>
        </w:rPr>
        <w:tab/>
        <w:t>3</w:t>
      </w:r>
    </w:p>
    <w:p w14:paraId="7A75CE16" w14:textId="77777777" w:rsidR="004F652B" w:rsidRDefault="004F652B" w:rsidP="004F652B">
      <w:pPr>
        <w:pStyle w:val="TOC2"/>
        <w:rPr>
          <w:rFonts w:asciiTheme="minorHAnsi" w:eastAsiaTheme="minorEastAsia" w:hAnsiTheme="minorHAnsi" w:cstheme="minorBidi"/>
          <w:noProof/>
          <w:kern w:val="2"/>
          <w:sz w:val="22"/>
          <w:lang w:eastAsia="en-GB"/>
          <w14:ligatures w14:val="standardContextual"/>
        </w:rPr>
      </w:pPr>
      <w:r w:rsidRPr="00292B05">
        <w:rPr>
          <w:noProof/>
        </w:rPr>
        <w:t>1.2.</w:t>
      </w:r>
      <w:r>
        <w:rPr>
          <w:rFonts w:asciiTheme="minorHAnsi" w:eastAsiaTheme="minorEastAsia" w:hAnsiTheme="minorHAnsi" w:cstheme="minorBidi"/>
          <w:noProof/>
          <w:kern w:val="2"/>
          <w:sz w:val="22"/>
          <w:lang w:eastAsia="en-GB"/>
          <w14:ligatures w14:val="standardContextual"/>
        </w:rPr>
        <w:tab/>
      </w:r>
      <w:r w:rsidRPr="00292B05">
        <w:rPr>
          <w:noProof/>
        </w:rPr>
        <w:t>Policy area(s) concerned</w:t>
      </w:r>
      <w:r>
        <w:rPr>
          <w:noProof/>
          <w:webHidden/>
        </w:rPr>
        <w:tab/>
        <w:t>3</w:t>
      </w:r>
    </w:p>
    <w:p w14:paraId="14701DB4" w14:textId="77777777" w:rsidR="004F652B" w:rsidRDefault="004F652B" w:rsidP="004F652B">
      <w:pPr>
        <w:pStyle w:val="TOC2"/>
        <w:rPr>
          <w:rFonts w:asciiTheme="minorHAnsi" w:eastAsiaTheme="minorEastAsia" w:hAnsiTheme="minorHAnsi" w:cstheme="minorBidi"/>
          <w:noProof/>
          <w:kern w:val="2"/>
          <w:sz w:val="22"/>
          <w:lang w:eastAsia="en-GB"/>
          <w14:ligatures w14:val="standardContextual"/>
        </w:rPr>
      </w:pPr>
      <w:r w:rsidRPr="00292B05">
        <w:rPr>
          <w:noProof/>
        </w:rPr>
        <w:t>1.3.</w:t>
      </w:r>
      <w:r>
        <w:rPr>
          <w:rFonts w:asciiTheme="minorHAnsi" w:eastAsiaTheme="minorEastAsia" w:hAnsiTheme="minorHAnsi" w:cstheme="minorBidi"/>
          <w:noProof/>
          <w:kern w:val="2"/>
          <w:sz w:val="22"/>
          <w:lang w:eastAsia="en-GB"/>
          <w14:ligatures w14:val="standardContextual"/>
        </w:rPr>
        <w:tab/>
      </w:r>
      <w:r w:rsidRPr="00292B05">
        <w:rPr>
          <w:noProof/>
        </w:rPr>
        <w:t>Objective(s)</w:t>
      </w:r>
      <w:r>
        <w:rPr>
          <w:noProof/>
          <w:webHidden/>
        </w:rPr>
        <w:tab/>
        <w:t>3</w:t>
      </w:r>
    </w:p>
    <w:p w14:paraId="2C3031AC" w14:textId="77777777" w:rsidR="004F652B" w:rsidRDefault="004F652B" w:rsidP="004F652B">
      <w:pPr>
        <w:pStyle w:val="TOC3"/>
        <w:rPr>
          <w:rFonts w:asciiTheme="minorHAnsi" w:eastAsiaTheme="minorEastAsia" w:hAnsiTheme="minorHAnsi" w:cstheme="minorBidi"/>
          <w:noProof/>
          <w:kern w:val="2"/>
          <w:sz w:val="22"/>
          <w:lang w:eastAsia="en-GB"/>
          <w14:ligatures w14:val="standardContextual"/>
        </w:rPr>
      </w:pPr>
      <w:r w:rsidRPr="00292B05">
        <w:rPr>
          <w:noProof/>
        </w:rPr>
        <w:t>1.3.1.</w:t>
      </w:r>
      <w:r>
        <w:rPr>
          <w:rFonts w:asciiTheme="minorHAnsi" w:eastAsiaTheme="minorEastAsia" w:hAnsiTheme="minorHAnsi" w:cstheme="minorBidi"/>
          <w:noProof/>
          <w:kern w:val="2"/>
          <w:sz w:val="22"/>
          <w:lang w:eastAsia="en-GB"/>
          <w14:ligatures w14:val="standardContextual"/>
        </w:rPr>
        <w:tab/>
      </w:r>
      <w:r w:rsidRPr="00292B05">
        <w:rPr>
          <w:noProof/>
        </w:rPr>
        <w:t>General objective(s)</w:t>
      </w:r>
      <w:r>
        <w:rPr>
          <w:noProof/>
          <w:webHidden/>
        </w:rPr>
        <w:tab/>
        <w:t>3</w:t>
      </w:r>
    </w:p>
    <w:p w14:paraId="4FEE5E90" w14:textId="77777777" w:rsidR="004F652B" w:rsidRDefault="004F652B" w:rsidP="004F652B">
      <w:pPr>
        <w:pStyle w:val="TOC3"/>
        <w:rPr>
          <w:rFonts w:asciiTheme="minorHAnsi" w:eastAsiaTheme="minorEastAsia" w:hAnsiTheme="minorHAnsi" w:cstheme="minorBidi"/>
          <w:noProof/>
          <w:kern w:val="2"/>
          <w:sz w:val="22"/>
          <w:lang w:eastAsia="en-GB"/>
          <w14:ligatures w14:val="standardContextual"/>
        </w:rPr>
      </w:pPr>
      <w:r w:rsidRPr="00292B05">
        <w:rPr>
          <w:noProof/>
        </w:rPr>
        <w:t>1.3.2.</w:t>
      </w:r>
      <w:r>
        <w:rPr>
          <w:rFonts w:asciiTheme="minorHAnsi" w:eastAsiaTheme="minorEastAsia" w:hAnsiTheme="minorHAnsi" w:cstheme="minorBidi"/>
          <w:noProof/>
          <w:kern w:val="2"/>
          <w:sz w:val="22"/>
          <w:lang w:eastAsia="en-GB"/>
          <w14:ligatures w14:val="standardContextual"/>
        </w:rPr>
        <w:tab/>
      </w:r>
      <w:r w:rsidRPr="00292B05">
        <w:rPr>
          <w:noProof/>
        </w:rPr>
        <w:t>Specific objective(s)</w:t>
      </w:r>
      <w:r>
        <w:rPr>
          <w:noProof/>
          <w:webHidden/>
        </w:rPr>
        <w:tab/>
        <w:t>3</w:t>
      </w:r>
    </w:p>
    <w:p w14:paraId="06AE944E" w14:textId="77777777" w:rsidR="004F652B" w:rsidRDefault="004F652B" w:rsidP="004F652B">
      <w:pPr>
        <w:pStyle w:val="TOC3"/>
        <w:rPr>
          <w:rFonts w:asciiTheme="minorHAnsi" w:eastAsiaTheme="minorEastAsia" w:hAnsiTheme="minorHAnsi" w:cstheme="minorBidi"/>
          <w:noProof/>
          <w:kern w:val="2"/>
          <w:sz w:val="22"/>
          <w:lang w:eastAsia="en-GB"/>
          <w14:ligatures w14:val="standardContextual"/>
        </w:rPr>
      </w:pPr>
      <w:r w:rsidRPr="00292B05">
        <w:rPr>
          <w:noProof/>
        </w:rPr>
        <w:t>1.3.3.</w:t>
      </w:r>
      <w:r>
        <w:rPr>
          <w:rFonts w:asciiTheme="minorHAnsi" w:eastAsiaTheme="minorEastAsia" w:hAnsiTheme="minorHAnsi" w:cstheme="minorBidi"/>
          <w:noProof/>
          <w:kern w:val="2"/>
          <w:sz w:val="22"/>
          <w:lang w:eastAsia="en-GB"/>
          <w14:ligatures w14:val="standardContextual"/>
        </w:rPr>
        <w:tab/>
      </w:r>
      <w:r w:rsidRPr="00292B05">
        <w:rPr>
          <w:noProof/>
        </w:rPr>
        <w:t>Expected result(s) and impact</w:t>
      </w:r>
      <w:r>
        <w:rPr>
          <w:noProof/>
          <w:webHidden/>
        </w:rPr>
        <w:tab/>
        <w:t>3</w:t>
      </w:r>
    </w:p>
    <w:p w14:paraId="727C2D94" w14:textId="77777777" w:rsidR="004F652B" w:rsidRDefault="004F652B" w:rsidP="004F652B">
      <w:pPr>
        <w:pStyle w:val="TOC3"/>
        <w:rPr>
          <w:rFonts w:asciiTheme="minorHAnsi" w:eastAsiaTheme="minorEastAsia" w:hAnsiTheme="minorHAnsi" w:cstheme="minorBidi"/>
          <w:noProof/>
          <w:kern w:val="2"/>
          <w:sz w:val="22"/>
          <w:lang w:eastAsia="en-GB"/>
          <w14:ligatures w14:val="standardContextual"/>
        </w:rPr>
      </w:pPr>
      <w:r w:rsidRPr="00292B05">
        <w:rPr>
          <w:noProof/>
        </w:rPr>
        <w:t>1.3.4.</w:t>
      </w:r>
      <w:r>
        <w:rPr>
          <w:rFonts w:asciiTheme="minorHAnsi" w:eastAsiaTheme="minorEastAsia" w:hAnsiTheme="minorHAnsi" w:cstheme="minorBidi"/>
          <w:noProof/>
          <w:kern w:val="2"/>
          <w:sz w:val="22"/>
          <w:lang w:eastAsia="en-GB"/>
          <w14:ligatures w14:val="standardContextual"/>
        </w:rPr>
        <w:tab/>
      </w:r>
      <w:r w:rsidRPr="00292B05">
        <w:rPr>
          <w:noProof/>
        </w:rPr>
        <w:t>Indicators of performance</w:t>
      </w:r>
      <w:r>
        <w:rPr>
          <w:noProof/>
          <w:webHidden/>
        </w:rPr>
        <w:tab/>
        <w:t>3</w:t>
      </w:r>
    </w:p>
    <w:p w14:paraId="20ED7E47" w14:textId="77777777" w:rsidR="004F652B" w:rsidRDefault="004F652B" w:rsidP="004F652B">
      <w:pPr>
        <w:pStyle w:val="TOC2"/>
        <w:rPr>
          <w:rFonts w:asciiTheme="minorHAnsi" w:eastAsiaTheme="minorEastAsia" w:hAnsiTheme="minorHAnsi" w:cstheme="minorBidi"/>
          <w:noProof/>
          <w:kern w:val="2"/>
          <w:sz w:val="22"/>
          <w:lang w:eastAsia="en-GB"/>
          <w14:ligatures w14:val="standardContextual"/>
        </w:rPr>
      </w:pPr>
      <w:r w:rsidRPr="00292B05">
        <w:rPr>
          <w:noProof/>
        </w:rPr>
        <w:t>1.4.</w:t>
      </w:r>
      <w:r>
        <w:rPr>
          <w:rFonts w:asciiTheme="minorHAnsi" w:eastAsiaTheme="minorEastAsia" w:hAnsiTheme="minorHAnsi" w:cstheme="minorBidi"/>
          <w:noProof/>
          <w:kern w:val="2"/>
          <w:sz w:val="22"/>
          <w:lang w:eastAsia="en-GB"/>
          <w14:ligatures w14:val="standardContextual"/>
        </w:rPr>
        <w:tab/>
      </w:r>
      <w:r w:rsidRPr="00292B05">
        <w:rPr>
          <w:noProof/>
        </w:rPr>
        <w:t>The proposal/initiative relates to:</w:t>
      </w:r>
      <w:r>
        <w:rPr>
          <w:noProof/>
          <w:webHidden/>
        </w:rPr>
        <w:tab/>
        <w:t>4</w:t>
      </w:r>
    </w:p>
    <w:p w14:paraId="521238D7" w14:textId="77777777" w:rsidR="004F652B" w:rsidRDefault="004F652B" w:rsidP="004F652B">
      <w:pPr>
        <w:pStyle w:val="TOC2"/>
        <w:rPr>
          <w:rFonts w:asciiTheme="minorHAnsi" w:eastAsiaTheme="minorEastAsia" w:hAnsiTheme="minorHAnsi" w:cstheme="minorBidi"/>
          <w:noProof/>
          <w:kern w:val="2"/>
          <w:sz w:val="22"/>
          <w:lang w:eastAsia="en-GB"/>
          <w14:ligatures w14:val="standardContextual"/>
        </w:rPr>
      </w:pPr>
      <w:r w:rsidRPr="00292B05">
        <w:rPr>
          <w:noProof/>
        </w:rPr>
        <w:t>1.5.</w:t>
      </w:r>
      <w:r>
        <w:rPr>
          <w:rFonts w:asciiTheme="minorHAnsi" w:eastAsiaTheme="minorEastAsia" w:hAnsiTheme="minorHAnsi" w:cstheme="minorBidi"/>
          <w:noProof/>
          <w:kern w:val="2"/>
          <w:sz w:val="22"/>
          <w:lang w:eastAsia="en-GB"/>
          <w14:ligatures w14:val="standardContextual"/>
        </w:rPr>
        <w:tab/>
      </w:r>
      <w:r w:rsidRPr="00292B05">
        <w:rPr>
          <w:noProof/>
        </w:rPr>
        <w:t>Grounds for the proposal/initiative</w:t>
      </w:r>
      <w:r>
        <w:rPr>
          <w:noProof/>
          <w:webHidden/>
        </w:rPr>
        <w:tab/>
        <w:t>4</w:t>
      </w:r>
    </w:p>
    <w:p w14:paraId="201B8226" w14:textId="77777777" w:rsidR="004F652B" w:rsidRDefault="004F652B" w:rsidP="004F652B">
      <w:pPr>
        <w:pStyle w:val="TOC3"/>
        <w:rPr>
          <w:rFonts w:asciiTheme="minorHAnsi" w:eastAsiaTheme="minorEastAsia" w:hAnsiTheme="minorHAnsi" w:cstheme="minorBidi"/>
          <w:noProof/>
          <w:kern w:val="2"/>
          <w:sz w:val="22"/>
          <w:lang w:eastAsia="en-GB"/>
          <w14:ligatures w14:val="standardContextual"/>
        </w:rPr>
      </w:pPr>
      <w:r w:rsidRPr="00292B05">
        <w:rPr>
          <w:noProof/>
        </w:rPr>
        <w:t>1.5.1.</w:t>
      </w:r>
      <w:r>
        <w:rPr>
          <w:rFonts w:asciiTheme="minorHAnsi" w:eastAsiaTheme="minorEastAsia" w:hAnsiTheme="minorHAnsi" w:cstheme="minorBidi"/>
          <w:noProof/>
          <w:kern w:val="2"/>
          <w:sz w:val="22"/>
          <w:lang w:eastAsia="en-GB"/>
          <w14:ligatures w14:val="standardContextual"/>
        </w:rPr>
        <w:tab/>
      </w:r>
      <w:r w:rsidRPr="00292B05">
        <w:rPr>
          <w:noProof/>
        </w:rPr>
        <w:t>Requirement(s) to be met in the short or long term including a detailed timeline for roll-out of the implementation of the initiative</w:t>
      </w:r>
      <w:r>
        <w:rPr>
          <w:noProof/>
          <w:webHidden/>
        </w:rPr>
        <w:tab/>
        <w:t>4</w:t>
      </w:r>
    </w:p>
    <w:p w14:paraId="5A5CB0D0" w14:textId="77777777" w:rsidR="004F652B" w:rsidRDefault="004F652B" w:rsidP="004F652B">
      <w:pPr>
        <w:pStyle w:val="TOC3"/>
        <w:rPr>
          <w:rFonts w:asciiTheme="minorHAnsi" w:eastAsiaTheme="minorEastAsia" w:hAnsiTheme="minorHAnsi" w:cstheme="minorBidi"/>
          <w:noProof/>
          <w:kern w:val="2"/>
          <w:sz w:val="22"/>
          <w:lang w:eastAsia="en-GB"/>
          <w14:ligatures w14:val="standardContextual"/>
        </w:rPr>
      </w:pPr>
      <w:r w:rsidRPr="00292B05">
        <w:rPr>
          <w:noProof/>
        </w:rPr>
        <w:t>1.5.2.</w:t>
      </w:r>
      <w:r>
        <w:rPr>
          <w:rFonts w:asciiTheme="minorHAnsi" w:eastAsiaTheme="minorEastAsia" w:hAnsiTheme="minorHAnsi" w:cstheme="minorBidi"/>
          <w:noProof/>
          <w:kern w:val="2"/>
          <w:sz w:val="22"/>
          <w:lang w:eastAsia="en-GB"/>
          <w14:ligatures w14:val="standardContextual"/>
        </w:rPr>
        <w:tab/>
      </w:r>
      <w:r w:rsidRPr="00292B05">
        <w:rPr>
          <w:noProof/>
        </w:rPr>
        <w:t>Added value of EU involvement (it may result from different factors, e.g. coordination gains, legal certainty, greater effectiveness or complementarities). For the purposes of this section 'added value of EU involvement' is the value resulting from EU action, that is additional to the value that would have been otherwise created by Member States alone.</w:t>
      </w:r>
      <w:r>
        <w:rPr>
          <w:noProof/>
          <w:webHidden/>
        </w:rPr>
        <w:tab/>
        <w:t>4</w:t>
      </w:r>
    </w:p>
    <w:p w14:paraId="30F80091" w14:textId="77777777" w:rsidR="004F652B" w:rsidRDefault="004F652B" w:rsidP="004F652B">
      <w:pPr>
        <w:pStyle w:val="TOC3"/>
        <w:rPr>
          <w:rFonts w:asciiTheme="minorHAnsi" w:eastAsiaTheme="minorEastAsia" w:hAnsiTheme="minorHAnsi" w:cstheme="minorBidi"/>
          <w:noProof/>
          <w:kern w:val="2"/>
          <w:sz w:val="22"/>
          <w:lang w:eastAsia="en-GB"/>
          <w14:ligatures w14:val="standardContextual"/>
        </w:rPr>
      </w:pPr>
      <w:r w:rsidRPr="00292B05">
        <w:rPr>
          <w:noProof/>
        </w:rPr>
        <w:t>1.5.3.</w:t>
      </w:r>
      <w:r>
        <w:rPr>
          <w:rFonts w:asciiTheme="minorHAnsi" w:eastAsiaTheme="minorEastAsia" w:hAnsiTheme="minorHAnsi" w:cstheme="minorBidi"/>
          <w:noProof/>
          <w:kern w:val="2"/>
          <w:sz w:val="22"/>
          <w:lang w:eastAsia="en-GB"/>
          <w14:ligatures w14:val="standardContextual"/>
        </w:rPr>
        <w:tab/>
      </w:r>
      <w:r w:rsidRPr="00292B05">
        <w:rPr>
          <w:noProof/>
        </w:rPr>
        <w:t>Lessons learned from similar experiences in the past</w:t>
      </w:r>
      <w:r>
        <w:rPr>
          <w:noProof/>
          <w:webHidden/>
        </w:rPr>
        <w:tab/>
        <w:t>4</w:t>
      </w:r>
    </w:p>
    <w:p w14:paraId="353A8ED2" w14:textId="77777777" w:rsidR="004F652B" w:rsidRDefault="004F652B" w:rsidP="004F652B">
      <w:pPr>
        <w:pStyle w:val="TOC3"/>
        <w:rPr>
          <w:rFonts w:asciiTheme="minorHAnsi" w:eastAsiaTheme="minorEastAsia" w:hAnsiTheme="minorHAnsi" w:cstheme="minorBidi"/>
          <w:noProof/>
          <w:kern w:val="2"/>
          <w:sz w:val="22"/>
          <w:lang w:eastAsia="en-GB"/>
          <w14:ligatures w14:val="standardContextual"/>
        </w:rPr>
      </w:pPr>
      <w:r w:rsidRPr="00292B05">
        <w:rPr>
          <w:noProof/>
        </w:rPr>
        <w:t>1.5.4.</w:t>
      </w:r>
      <w:r>
        <w:rPr>
          <w:rFonts w:asciiTheme="minorHAnsi" w:eastAsiaTheme="minorEastAsia" w:hAnsiTheme="minorHAnsi" w:cstheme="minorBidi"/>
          <w:noProof/>
          <w:kern w:val="2"/>
          <w:sz w:val="22"/>
          <w:lang w:eastAsia="en-GB"/>
          <w14:ligatures w14:val="standardContextual"/>
        </w:rPr>
        <w:tab/>
      </w:r>
      <w:r w:rsidRPr="00292B05">
        <w:rPr>
          <w:noProof/>
        </w:rPr>
        <w:t>Compatibility with the multiannual financial framework and possible synergies with other appropriate instruments</w:t>
      </w:r>
      <w:r>
        <w:rPr>
          <w:noProof/>
          <w:webHidden/>
        </w:rPr>
        <w:tab/>
        <w:t>5</w:t>
      </w:r>
    </w:p>
    <w:p w14:paraId="2285E775" w14:textId="77777777" w:rsidR="004F652B" w:rsidRDefault="004F652B" w:rsidP="004F652B">
      <w:pPr>
        <w:pStyle w:val="TOC3"/>
        <w:rPr>
          <w:rFonts w:asciiTheme="minorHAnsi" w:eastAsiaTheme="minorEastAsia" w:hAnsiTheme="minorHAnsi" w:cstheme="minorBidi"/>
          <w:noProof/>
          <w:kern w:val="2"/>
          <w:sz w:val="22"/>
          <w:lang w:eastAsia="en-GB"/>
          <w14:ligatures w14:val="standardContextual"/>
        </w:rPr>
      </w:pPr>
      <w:r w:rsidRPr="00292B05">
        <w:rPr>
          <w:noProof/>
        </w:rPr>
        <w:t>1.5.5.</w:t>
      </w:r>
      <w:r>
        <w:rPr>
          <w:rFonts w:asciiTheme="minorHAnsi" w:eastAsiaTheme="minorEastAsia" w:hAnsiTheme="minorHAnsi" w:cstheme="minorBidi"/>
          <w:noProof/>
          <w:kern w:val="2"/>
          <w:sz w:val="22"/>
          <w:lang w:eastAsia="en-GB"/>
          <w14:ligatures w14:val="standardContextual"/>
        </w:rPr>
        <w:tab/>
      </w:r>
      <w:r w:rsidRPr="00292B05">
        <w:rPr>
          <w:noProof/>
        </w:rPr>
        <w:t>Assessment of the different available financing options, including scope for redeployment</w:t>
      </w:r>
      <w:r>
        <w:rPr>
          <w:noProof/>
          <w:webHidden/>
        </w:rPr>
        <w:tab/>
        <w:t>5</w:t>
      </w:r>
    </w:p>
    <w:p w14:paraId="060D2CD4" w14:textId="77777777" w:rsidR="004F652B" w:rsidRDefault="004F652B" w:rsidP="004F652B">
      <w:pPr>
        <w:pStyle w:val="TOC2"/>
        <w:rPr>
          <w:rFonts w:asciiTheme="minorHAnsi" w:eastAsiaTheme="minorEastAsia" w:hAnsiTheme="minorHAnsi" w:cstheme="minorBidi"/>
          <w:noProof/>
          <w:kern w:val="2"/>
          <w:sz w:val="22"/>
          <w:lang w:eastAsia="en-GB"/>
          <w14:ligatures w14:val="standardContextual"/>
        </w:rPr>
      </w:pPr>
      <w:r w:rsidRPr="00292B05">
        <w:rPr>
          <w:noProof/>
        </w:rPr>
        <w:t>1.6.</w:t>
      </w:r>
      <w:r>
        <w:rPr>
          <w:rFonts w:asciiTheme="minorHAnsi" w:eastAsiaTheme="minorEastAsia" w:hAnsiTheme="minorHAnsi" w:cstheme="minorBidi"/>
          <w:noProof/>
          <w:kern w:val="2"/>
          <w:sz w:val="22"/>
          <w:lang w:eastAsia="en-GB"/>
          <w14:ligatures w14:val="standardContextual"/>
        </w:rPr>
        <w:tab/>
      </w:r>
      <w:r w:rsidRPr="00292B05">
        <w:rPr>
          <w:noProof/>
        </w:rPr>
        <w:t>Duration of the proposal/initiative and of its financial impact</w:t>
      </w:r>
      <w:r>
        <w:rPr>
          <w:noProof/>
          <w:webHidden/>
        </w:rPr>
        <w:tab/>
        <w:t>6</w:t>
      </w:r>
    </w:p>
    <w:p w14:paraId="427D72C5" w14:textId="77777777" w:rsidR="004F652B" w:rsidRDefault="004F652B" w:rsidP="004F652B">
      <w:pPr>
        <w:pStyle w:val="TOC2"/>
        <w:rPr>
          <w:rFonts w:asciiTheme="minorHAnsi" w:eastAsiaTheme="minorEastAsia" w:hAnsiTheme="minorHAnsi" w:cstheme="minorBidi"/>
          <w:noProof/>
          <w:kern w:val="2"/>
          <w:sz w:val="22"/>
          <w:lang w:eastAsia="en-GB"/>
          <w14:ligatures w14:val="standardContextual"/>
        </w:rPr>
      </w:pPr>
      <w:r w:rsidRPr="00292B05">
        <w:rPr>
          <w:noProof/>
        </w:rPr>
        <w:t>1.7.</w:t>
      </w:r>
      <w:r>
        <w:rPr>
          <w:rFonts w:asciiTheme="minorHAnsi" w:eastAsiaTheme="minorEastAsia" w:hAnsiTheme="minorHAnsi" w:cstheme="minorBidi"/>
          <w:noProof/>
          <w:kern w:val="2"/>
          <w:sz w:val="22"/>
          <w:lang w:eastAsia="en-GB"/>
          <w14:ligatures w14:val="standardContextual"/>
        </w:rPr>
        <w:tab/>
      </w:r>
      <w:r w:rsidRPr="00292B05">
        <w:rPr>
          <w:noProof/>
        </w:rPr>
        <w:t>Method(s) of budget implementation planned</w:t>
      </w:r>
      <w:r>
        <w:rPr>
          <w:noProof/>
          <w:webHidden/>
        </w:rPr>
        <w:tab/>
        <w:t>6</w:t>
      </w:r>
    </w:p>
    <w:p w14:paraId="61A8BA6B" w14:textId="77777777" w:rsidR="004F652B" w:rsidRDefault="004F652B" w:rsidP="004F652B">
      <w:pPr>
        <w:pStyle w:val="TOC1"/>
        <w:rPr>
          <w:rFonts w:asciiTheme="minorHAnsi" w:eastAsiaTheme="minorEastAsia" w:hAnsiTheme="minorHAnsi" w:cstheme="minorBidi"/>
          <w:noProof/>
          <w:kern w:val="2"/>
          <w:sz w:val="22"/>
          <w:lang w:eastAsia="en-GB"/>
          <w14:ligatures w14:val="standardContextual"/>
        </w:rPr>
      </w:pPr>
      <w:r w:rsidRPr="00292B05">
        <w:rPr>
          <w:noProof/>
        </w:rPr>
        <w:t>2.</w:t>
      </w:r>
      <w:r>
        <w:rPr>
          <w:rFonts w:asciiTheme="minorHAnsi" w:eastAsiaTheme="minorEastAsia" w:hAnsiTheme="minorHAnsi" w:cstheme="minorBidi"/>
          <w:noProof/>
          <w:kern w:val="2"/>
          <w:sz w:val="22"/>
          <w:lang w:eastAsia="en-GB"/>
          <w14:ligatures w14:val="standardContextual"/>
        </w:rPr>
        <w:tab/>
      </w:r>
      <w:r w:rsidRPr="00292B05">
        <w:rPr>
          <w:noProof/>
        </w:rPr>
        <w:t>MANAGEMENT MEASURES</w:t>
      </w:r>
      <w:r>
        <w:rPr>
          <w:noProof/>
          <w:webHidden/>
        </w:rPr>
        <w:tab/>
        <w:t>8</w:t>
      </w:r>
    </w:p>
    <w:p w14:paraId="21048652" w14:textId="77777777" w:rsidR="004F652B" w:rsidRDefault="004F652B" w:rsidP="004F652B">
      <w:pPr>
        <w:pStyle w:val="TOC2"/>
        <w:rPr>
          <w:rFonts w:asciiTheme="minorHAnsi" w:eastAsiaTheme="minorEastAsia" w:hAnsiTheme="minorHAnsi" w:cstheme="minorBidi"/>
          <w:noProof/>
          <w:kern w:val="2"/>
          <w:sz w:val="22"/>
          <w:lang w:eastAsia="en-GB"/>
          <w14:ligatures w14:val="standardContextual"/>
        </w:rPr>
      </w:pPr>
      <w:r w:rsidRPr="00292B05">
        <w:rPr>
          <w:noProof/>
        </w:rPr>
        <w:t>2.1.</w:t>
      </w:r>
      <w:r>
        <w:rPr>
          <w:rFonts w:asciiTheme="minorHAnsi" w:eastAsiaTheme="minorEastAsia" w:hAnsiTheme="minorHAnsi" w:cstheme="minorBidi"/>
          <w:noProof/>
          <w:kern w:val="2"/>
          <w:sz w:val="22"/>
          <w:lang w:eastAsia="en-GB"/>
          <w14:ligatures w14:val="standardContextual"/>
        </w:rPr>
        <w:tab/>
      </w:r>
      <w:r w:rsidRPr="00292B05">
        <w:rPr>
          <w:noProof/>
        </w:rPr>
        <w:t>Monitoring and reporting rules</w:t>
      </w:r>
      <w:r>
        <w:rPr>
          <w:noProof/>
          <w:webHidden/>
        </w:rPr>
        <w:tab/>
        <w:t>8</w:t>
      </w:r>
    </w:p>
    <w:p w14:paraId="45A1BD66" w14:textId="77777777" w:rsidR="004F652B" w:rsidRDefault="004F652B" w:rsidP="004F652B">
      <w:pPr>
        <w:pStyle w:val="TOC2"/>
        <w:rPr>
          <w:rFonts w:asciiTheme="minorHAnsi" w:eastAsiaTheme="minorEastAsia" w:hAnsiTheme="minorHAnsi" w:cstheme="minorBidi"/>
          <w:noProof/>
          <w:kern w:val="2"/>
          <w:sz w:val="22"/>
          <w:lang w:eastAsia="en-GB"/>
          <w14:ligatures w14:val="standardContextual"/>
        </w:rPr>
      </w:pPr>
      <w:r w:rsidRPr="00292B05">
        <w:rPr>
          <w:noProof/>
        </w:rPr>
        <w:t>2.2.</w:t>
      </w:r>
      <w:r>
        <w:rPr>
          <w:rFonts w:asciiTheme="minorHAnsi" w:eastAsiaTheme="minorEastAsia" w:hAnsiTheme="minorHAnsi" w:cstheme="minorBidi"/>
          <w:noProof/>
          <w:kern w:val="2"/>
          <w:sz w:val="22"/>
          <w:lang w:eastAsia="en-GB"/>
          <w14:ligatures w14:val="standardContextual"/>
        </w:rPr>
        <w:tab/>
      </w:r>
      <w:r w:rsidRPr="00292B05">
        <w:rPr>
          <w:noProof/>
        </w:rPr>
        <w:t>Management and control system(s)</w:t>
      </w:r>
      <w:r>
        <w:rPr>
          <w:noProof/>
          <w:webHidden/>
        </w:rPr>
        <w:tab/>
        <w:t>8</w:t>
      </w:r>
    </w:p>
    <w:p w14:paraId="68EBC213" w14:textId="77777777" w:rsidR="004F652B" w:rsidRDefault="004F652B" w:rsidP="004F652B">
      <w:pPr>
        <w:pStyle w:val="TOC3"/>
        <w:rPr>
          <w:rFonts w:asciiTheme="minorHAnsi" w:eastAsiaTheme="minorEastAsia" w:hAnsiTheme="minorHAnsi" w:cstheme="minorBidi"/>
          <w:noProof/>
          <w:kern w:val="2"/>
          <w:sz w:val="22"/>
          <w:lang w:eastAsia="en-GB"/>
          <w14:ligatures w14:val="standardContextual"/>
        </w:rPr>
      </w:pPr>
      <w:r w:rsidRPr="00292B05">
        <w:rPr>
          <w:noProof/>
        </w:rPr>
        <w:t>2.2.1.</w:t>
      </w:r>
      <w:r>
        <w:rPr>
          <w:rFonts w:asciiTheme="minorHAnsi" w:eastAsiaTheme="minorEastAsia" w:hAnsiTheme="minorHAnsi" w:cstheme="minorBidi"/>
          <w:noProof/>
          <w:kern w:val="2"/>
          <w:sz w:val="22"/>
          <w:lang w:eastAsia="en-GB"/>
          <w14:ligatures w14:val="standardContextual"/>
        </w:rPr>
        <w:tab/>
      </w:r>
      <w:r w:rsidRPr="00292B05">
        <w:rPr>
          <w:noProof/>
        </w:rPr>
        <w:t>Justification of the budget implementation method(s), the funding implementation mechanism(s), the payment modalities and the control strategy proposed</w:t>
      </w:r>
      <w:r>
        <w:rPr>
          <w:noProof/>
          <w:webHidden/>
        </w:rPr>
        <w:tab/>
        <w:t>8</w:t>
      </w:r>
    </w:p>
    <w:p w14:paraId="378152CE" w14:textId="77777777" w:rsidR="004F652B" w:rsidRDefault="004F652B" w:rsidP="004F652B">
      <w:pPr>
        <w:pStyle w:val="TOC3"/>
        <w:rPr>
          <w:rFonts w:asciiTheme="minorHAnsi" w:eastAsiaTheme="minorEastAsia" w:hAnsiTheme="minorHAnsi" w:cstheme="minorBidi"/>
          <w:noProof/>
          <w:kern w:val="2"/>
          <w:sz w:val="22"/>
          <w:lang w:eastAsia="en-GB"/>
          <w14:ligatures w14:val="standardContextual"/>
        </w:rPr>
      </w:pPr>
      <w:r w:rsidRPr="00292B05">
        <w:rPr>
          <w:noProof/>
        </w:rPr>
        <w:t>2.2.2.</w:t>
      </w:r>
      <w:r>
        <w:rPr>
          <w:rFonts w:asciiTheme="minorHAnsi" w:eastAsiaTheme="minorEastAsia" w:hAnsiTheme="minorHAnsi" w:cstheme="minorBidi"/>
          <w:noProof/>
          <w:kern w:val="2"/>
          <w:sz w:val="22"/>
          <w:lang w:eastAsia="en-GB"/>
          <w14:ligatures w14:val="standardContextual"/>
        </w:rPr>
        <w:tab/>
      </w:r>
      <w:r w:rsidRPr="00292B05">
        <w:rPr>
          <w:noProof/>
        </w:rPr>
        <w:t>Information concerning the risks identified and the internal control system(s) set up to mitigate them</w:t>
      </w:r>
      <w:r>
        <w:rPr>
          <w:noProof/>
          <w:webHidden/>
        </w:rPr>
        <w:tab/>
        <w:t>8</w:t>
      </w:r>
    </w:p>
    <w:p w14:paraId="775284FF" w14:textId="77777777" w:rsidR="004F652B" w:rsidRDefault="004F652B" w:rsidP="004F652B">
      <w:pPr>
        <w:pStyle w:val="TOC3"/>
        <w:rPr>
          <w:rFonts w:asciiTheme="minorHAnsi" w:eastAsiaTheme="minorEastAsia" w:hAnsiTheme="minorHAnsi" w:cstheme="minorBidi"/>
          <w:noProof/>
          <w:kern w:val="2"/>
          <w:sz w:val="22"/>
          <w:lang w:eastAsia="en-GB"/>
          <w14:ligatures w14:val="standardContextual"/>
        </w:rPr>
      </w:pPr>
      <w:r w:rsidRPr="00292B05">
        <w:rPr>
          <w:noProof/>
        </w:rPr>
        <w:t>2.2.3.</w:t>
      </w:r>
      <w:r>
        <w:rPr>
          <w:rFonts w:asciiTheme="minorHAnsi" w:eastAsiaTheme="minorEastAsia" w:hAnsiTheme="minorHAnsi" w:cstheme="minorBidi"/>
          <w:noProof/>
          <w:kern w:val="2"/>
          <w:sz w:val="22"/>
          <w:lang w:eastAsia="en-GB"/>
          <w14:ligatures w14:val="standardContextual"/>
        </w:rPr>
        <w:tab/>
      </w:r>
      <w:r w:rsidRPr="00292B05">
        <w:rPr>
          <w:noProof/>
        </w:rPr>
        <w:t>Estimation and justification of the cost-effectiveness of the controls (ratio between the control costs  and the value of the related funds managed), and assessment of the expected levels of risk of error (at payment &amp; at closure)</w:t>
      </w:r>
      <w:r>
        <w:rPr>
          <w:noProof/>
          <w:webHidden/>
        </w:rPr>
        <w:tab/>
        <w:t>8</w:t>
      </w:r>
    </w:p>
    <w:p w14:paraId="33C51483" w14:textId="77777777" w:rsidR="004F652B" w:rsidRDefault="004F652B" w:rsidP="004F652B">
      <w:pPr>
        <w:pStyle w:val="TOC2"/>
        <w:rPr>
          <w:rFonts w:asciiTheme="minorHAnsi" w:eastAsiaTheme="minorEastAsia" w:hAnsiTheme="minorHAnsi" w:cstheme="minorBidi"/>
          <w:noProof/>
          <w:kern w:val="2"/>
          <w:sz w:val="22"/>
          <w:lang w:eastAsia="en-GB"/>
          <w14:ligatures w14:val="standardContextual"/>
        </w:rPr>
      </w:pPr>
      <w:r w:rsidRPr="00292B05">
        <w:rPr>
          <w:noProof/>
        </w:rPr>
        <w:t>2.3.</w:t>
      </w:r>
      <w:r>
        <w:rPr>
          <w:rFonts w:asciiTheme="minorHAnsi" w:eastAsiaTheme="minorEastAsia" w:hAnsiTheme="minorHAnsi" w:cstheme="minorBidi"/>
          <w:noProof/>
          <w:kern w:val="2"/>
          <w:sz w:val="22"/>
          <w:lang w:eastAsia="en-GB"/>
          <w14:ligatures w14:val="standardContextual"/>
        </w:rPr>
        <w:tab/>
      </w:r>
      <w:r w:rsidRPr="00292B05">
        <w:rPr>
          <w:noProof/>
        </w:rPr>
        <w:t>Measures to prevent fraud and irregularities</w:t>
      </w:r>
      <w:r>
        <w:rPr>
          <w:noProof/>
          <w:webHidden/>
        </w:rPr>
        <w:tab/>
        <w:t>9</w:t>
      </w:r>
    </w:p>
    <w:p w14:paraId="2AB0B265" w14:textId="77777777" w:rsidR="004F652B" w:rsidRDefault="004F652B" w:rsidP="004F652B">
      <w:pPr>
        <w:pStyle w:val="TOC1"/>
        <w:rPr>
          <w:rFonts w:asciiTheme="minorHAnsi" w:eastAsiaTheme="minorEastAsia" w:hAnsiTheme="minorHAnsi" w:cstheme="minorBidi"/>
          <w:noProof/>
          <w:kern w:val="2"/>
          <w:sz w:val="22"/>
          <w:lang w:eastAsia="en-GB"/>
          <w14:ligatures w14:val="standardContextual"/>
        </w:rPr>
      </w:pPr>
      <w:r w:rsidRPr="00292B05">
        <w:rPr>
          <w:noProof/>
        </w:rPr>
        <w:t>3.</w:t>
      </w:r>
      <w:r>
        <w:rPr>
          <w:rFonts w:asciiTheme="minorHAnsi" w:eastAsiaTheme="minorEastAsia" w:hAnsiTheme="minorHAnsi" w:cstheme="minorBidi"/>
          <w:noProof/>
          <w:kern w:val="2"/>
          <w:sz w:val="22"/>
          <w:lang w:eastAsia="en-GB"/>
          <w14:ligatures w14:val="standardContextual"/>
        </w:rPr>
        <w:tab/>
      </w:r>
      <w:r w:rsidRPr="00292B05">
        <w:rPr>
          <w:noProof/>
        </w:rPr>
        <w:t>ESTIMATED FINANCIAL IMPACT OF THE PROPOSAL/INITIATIVE</w:t>
      </w:r>
      <w:r>
        <w:rPr>
          <w:noProof/>
          <w:webHidden/>
        </w:rPr>
        <w:tab/>
        <w:t>10</w:t>
      </w:r>
    </w:p>
    <w:p w14:paraId="57B88722" w14:textId="77777777" w:rsidR="004F652B" w:rsidRDefault="004F652B" w:rsidP="004F652B">
      <w:pPr>
        <w:pStyle w:val="TOC2"/>
        <w:rPr>
          <w:rFonts w:asciiTheme="minorHAnsi" w:eastAsiaTheme="minorEastAsia" w:hAnsiTheme="minorHAnsi" w:cstheme="minorBidi"/>
          <w:noProof/>
          <w:kern w:val="2"/>
          <w:sz w:val="22"/>
          <w:lang w:eastAsia="en-GB"/>
          <w14:ligatures w14:val="standardContextual"/>
        </w:rPr>
      </w:pPr>
      <w:r w:rsidRPr="00292B05">
        <w:rPr>
          <w:noProof/>
        </w:rPr>
        <w:t>3.1.</w:t>
      </w:r>
      <w:r>
        <w:rPr>
          <w:rFonts w:asciiTheme="minorHAnsi" w:eastAsiaTheme="minorEastAsia" w:hAnsiTheme="minorHAnsi" w:cstheme="minorBidi"/>
          <w:noProof/>
          <w:kern w:val="2"/>
          <w:sz w:val="22"/>
          <w:lang w:eastAsia="en-GB"/>
          <w14:ligatures w14:val="standardContextual"/>
        </w:rPr>
        <w:tab/>
      </w:r>
      <w:r w:rsidRPr="00292B05">
        <w:rPr>
          <w:noProof/>
        </w:rPr>
        <w:t>Heading(s) of the multiannual financial framework and expenditure budget line(s) affected</w:t>
      </w:r>
      <w:r>
        <w:rPr>
          <w:noProof/>
          <w:webHidden/>
        </w:rPr>
        <w:tab/>
        <w:t>10</w:t>
      </w:r>
    </w:p>
    <w:p w14:paraId="5D251744" w14:textId="77777777" w:rsidR="004F652B" w:rsidRDefault="004F652B" w:rsidP="004F652B">
      <w:pPr>
        <w:pStyle w:val="TOC2"/>
        <w:rPr>
          <w:rFonts w:asciiTheme="minorHAnsi" w:eastAsiaTheme="minorEastAsia" w:hAnsiTheme="minorHAnsi" w:cstheme="minorBidi"/>
          <w:noProof/>
          <w:kern w:val="2"/>
          <w:sz w:val="22"/>
          <w:lang w:eastAsia="en-GB"/>
          <w14:ligatures w14:val="standardContextual"/>
        </w:rPr>
      </w:pPr>
      <w:r w:rsidRPr="00292B05">
        <w:rPr>
          <w:noProof/>
        </w:rPr>
        <w:t>3.2.</w:t>
      </w:r>
      <w:r>
        <w:rPr>
          <w:rFonts w:asciiTheme="minorHAnsi" w:eastAsiaTheme="minorEastAsia" w:hAnsiTheme="minorHAnsi" w:cstheme="minorBidi"/>
          <w:noProof/>
          <w:kern w:val="2"/>
          <w:sz w:val="22"/>
          <w:lang w:eastAsia="en-GB"/>
          <w14:ligatures w14:val="standardContextual"/>
        </w:rPr>
        <w:tab/>
      </w:r>
      <w:r w:rsidRPr="00292B05">
        <w:rPr>
          <w:noProof/>
        </w:rPr>
        <w:t>Estimated financial impact of the proposal on appropriations</w:t>
      </w:r>
      <w:r>
        <w:rPr>
          <w:noProof/>
          <w:webHidden/>
        </w:rPr>
        <w:tab/>
        <w:t>12</w:t>
      </w:r>
    </w:p>
    <w:p w14:paraId="72FA6577" w14:textId="77777777" w:rsidR="004F652B" w:rsidRDefault="004F652B" w:rsidP="004F652B">
      <w:pPr>
        <w:pStyle w:val="TOC3"/>
        <w:rPr>
          <w:rFonts w:asciiTheme="minorHAnsi" w:eastAsiaTheme="minorEastAsia" w:hAnsiTheme="minorHAnsi" w:cstheme="minorBidi"/>
          <w:noProof/>
          <w:kern w:val="2"/>
          <w:sz w:val="22"/>
          <w:lang w:eastAsia="en-GB"/>
          <w14:ligatures w14:val="standardContextual"/>
        </w:rPr>
      </w:pPr>
      <w:r w:rsidRPr="00292B05">
        <w:rPr>
          <w:noProof/>
        </w:rPr>
        <w:t>3.2.1.</w:t>
      </w:r>
      <w:r>
        <w:rPr>
          <w:rFonts w:asciiTheme="minorHAnsi" w:eastAsiaTheme="minorEastAsia" w:hAnsiTheme="minorHAnsi" w:cstheme="minorBidi"/>
          <w:noProof/>
          <w:kern w:val="2"/>
          <w:sz w:val="22"/>
          <w:lang w:eastAsia="en-GB"/>
          <w14:ligatures w14:val="standardContextual"/>
        </w:rPr>
        <w:tab/>
      </w:r>
      <w:r w:rsidRPr="00292B05">
        <w:rPr>
          <w:noProof/>
        </w:rPr>
        <w:t>Summary of estimated impact on operational appropriations</w:t>
      </w:r>
      <w:r>
        <w:rPr>
          <w:noProof/>
          <w:webHidden/>
        </w:rPr>
        <w:tab/>
        <w:t>12</w:t>
      </w:r>
    </w:p>
    <w:p w14:paraId="0B13774D" w14:textId="77777777" w:rsidR="004F652B" w:rsidRDefault="004F652B" w:rsidP="004F652B">
      <w:pPr>
        <w:pStyle w:val="TOC3"/>
        <w:rPr>
          <w:rFonts w:asciiTheme="minorHAnsi" w:eastAsiaTheme="minorEastAsia" w:hAnsiTheme="minorHAnsi" w:cstheme="minorBidi"/>
          <w:noProof/>
          <w:kern w:val="2"/>
          <w:sz w:val="22"/>
          <w:lang w:eastAsia="en-GB"/>
          <w14:ligatures w14:val="standardContextual"/>
        </w:rPr>
      </w:pPr>
      <w:r w:rsidRPr="00292B05">
        <w:rPr>
          <w:noProof/>
        </w:rPr>
        <w:t>3.2.1.1.</w:t>
      </w:r>
      <w:r>
        <w:rPr>
          <w:rFonts w:asciiTheme="minorHAnsi" w:eastAsiaTheme="minorEastAsia" w:hAnsiTheme="minorHAnsi" w:cstheme="minorBidi"/>
          <w:noProof/>
          <w:kern w:val="2"/>
          <w:sz w:val="22"/>
          <w:lang w:eastAsia="en-GB"/>
          <w14:ligatures w14:val="standardContextual"/>
        </w:rPr>
        <w:tab/>
      </w:r>
      <w:r w:rsidRPr="00292B05">
        <w:rPr>
          <w:noProof/>
        </w:rPr>
        <w:t>Appropriations from voted budget</w:t>
      </w:r>
      <w:r>
        <w:rPr>
          <w:noProof/>
          <w:webHidden/>
        </w:rPr>
        <w:tab/>
        <w:t>12</w:t>
      </w:r>
    </w:p>
    <w:p w14:paraId="04D47C33" w14:textId="77777777" w:rsidR="004F652B" w:rsidRDefault="004F652B" w:rsidP="004F652B">
      <w:pPr>
        <w:pStyle w:val="TOC3"/>
        <w:rPr>
          <w:rFonts w:asciiTheme="minorHAnsi" w:eastAsiaTheme="minorEastAsia" w:hAnsiTheme="minorHAnsi" w:cstheme="minorBidi"/>
          <w:noProof/>
          <w:kern w:val="2"/>
          <w:sz w:val="22"/>
          <w:lang w:eastAsia="en-GB"/>
          <w14:ligatures w14:val="standardContextual"/>
        </w:rPr>
      </w:pPr>
      <w:r w:rsidRPr="00292B05">
        <w:rPr>
          <w:noProof/>
        </w:rPr>
        <w:t>3.2.1.2.</w:t>
      </w:r>
      <w:r>
        <w:rPr>
          <w:rFonts w:asciiTheme="minorHAnsi" w:eastAsiaTheme="minorEastAsia" w:hAnsiTheme="minorHAnsi" w:cstheme="minorBidi"/>
          <w:noProof/>
          <w:kern w:val="2"/>
          <w:sz w:val="22"/>
          <w:lang w:eastAsia="en-GB"/>
          <w14:ligatures w14:val="standardContextual"/>
        </w:rPr>
        <w:tab/>
      </w:r>
      <w:r w:rsidRPr="00292B05">
        <w:rPr>
          <w:noProof/>
        </w:rPr>
        <w:t>Appropriations from external assigned revenues</w:t>
      </w:r>
      <w:r>
        <w:rPr>
          <w:noProof/>
          <w:webHidden/>
        </w:rPr>
        <w:tab/>
        <w:t>17</w:t>
      </w:r>
    </w:p>
    <w:p w14:paraId="66AD5EFB" w14:textId="77777777" w:rsidR="004F652B" w:rsidRDefault="004F652B" w:rsidP="004F652B">
      <w:pPr>
        <w:pStyle w:val="TOC3"/>
        <w:rPr>
          <w:rFonts w:asciiTheme="minorHAnsi" w:eastAsiaTheme="minorEastAsia" w:hAnsiTheme="minorHAnsi" w:cstheme="minorBidi"/>
          <w:noProof/>
          <w:kern w:val="2"/>
          <w:sz w:val="22"/>
          <w:lang w:eastAsia="en-GB"/>
          <w14:ligatures w14:val="standardContextual"/>
        </w:rPr>
      </w:pPr>
      <w:r w:rsidRPr="00292B05">
        <w:rPr>
          <w:noProof/>
        </w:rPr>
        <w:t>3.2.2.</w:t>
      </w:r>
      <w:r>
        <w:rPr>
          <w:rFonts w:asciiTheme="minorHAnsi" w:eastAsiaTheme="minorEastAsia" w:hAnsiTheme="minorHAnsi" w:cstheme="minorBidi"/>
          <w:noProof/>
          <w:kern w:val="2"/>
          <w:sz w:val="22"/>
          <w:lang w:eastAsia="en-GB"/>
          <w14:ligatures w14:val="standardContextual"/>
        </w:rPr>
        <w:tab/>
      </w:r>
      <w:r w:rsidRPr="00292B05">
        <w:rPr>
          <w:noProof/>
        </w:rPr>
        <w:t>Estimated output funded from operational appropriations</w:t>
      </w:r>
      <w:r>
        <w:rPr>
          <w:noProof/>
          <w:webHidden/>
        </w:rPr>
        <w:tab/>
        <w:t>22</w:t>
      </w:r>
    </w:p>
    <w:p w14:paraId="2421B4B4" w14:textId="77777777" w:rsidR="004F652B" w:rsidRDefault="004F652B" w:rsidP="004F652B">
      <w:pPr>
        <w:pStyle w:val="TOC3"/>
        <w:rPr>
          <w:rFonts w:asciiTheme="minorHAnsi" w:eastAsiaTheme="minorEastAsia" w:hAnsiTheme="minorHAnsi" w:cstheme="minorBidi"/>
          <w:noProof/>
          <w:kern w:val="2"/>
          <w:sz w:val="22"/>
          <w:lang w:eastAsia="en-GB"/>
          <w14:ligatures w14:val="standardContextual"/>
        </w:rPr>
      </w:pPr>
      <w:r w:rsidRPr="00292B05">
        <w:rPr>
          <w:noProof/>
        </w:rPr>
        <w:t>3.2.3.</w:t>
      </w:r>
      <w:r>
        <w:rPr>
          <w:rFonts w:asciiTheme="minorHAnsi" w:eastAsiaTheme="minorEastAsia" w:hAnsiTheme="minorHAnsi" w:cstheme="minorBidi"/>
          <w:noProof/>
          <w:kern w:val="2"/>
          <w:sz w:val="22"/>
          <w:lang w:eastAsia="en-GB"/>
          <w14:ligatures w14:val="standardContextual"/>
        </w:rPr>
        <w:tab/>
      </w:r>
      <w:r w:rsidRPr="00292B05">
        <w:rPr>
          <w:noProof/>
        </w:rPr>
        <w:t>Summary of estimated impact on administrative appropriations</w:t>
      </w:r>
      <w:r>
        <w:rPr>
          <w:noProof/>
          <w:webHidden/>
        </w:rPr>
        <w:tab/>
        <w:t>24</w:t>
      </w:r>
    </w:p>
    <w:p w14:paraId="3C1E17FC" w14:textId="77777777" w:rsidR="004F652B" w:rsidRDefault="004F652B" w:rsidP="004F652B">
      <w:pPr>
        <w:pStyle w:val="TOC3"/>
        <w:rPr>
          <w:rFonts w:asciiTheme="minorHAnsi" w:eastAsiaTheme="minorEastAsia" w:hAnsiTheme="minorHAnsi" w:cstheme="minorBidi"/>
          <w:noProof/>
          <w:kern w:val="2"/>
          <w:sz w:val="22"/>
          <w:lang w:eastAsia="en-GB"/>
          <w14:ligatures w14:val="standardContextual"/>
        </w:rPr>
      </w:pPr>
      <w:r w:rsidRPr="00292B05">
        <w:rPr>
          <w:noProof/>
        </w:rPr>
        <w:t xml:space="preserve">3.2.3.1. Appropriations </w:t>
      </w:r>
      <w:r w:rsidRPr="00292B05">
        <w:rPr>
          <w:rFonts w:eastAsia="Calibri"/>
          <w:noProof/>
        </w:rPr>
        <w:t>from</w:t>
      </w:r>
      <w:r w:rsidRPr="00292B05">
        <w:rPr>
          <w:noProof/>
        </w:rPr>
        <w:t xml:space="preserve"> voted budget</w:t>
      </w:r>
      <w:r>
        <w:rPr>
          <w:noProof/>
          <w:webHidden/>
        </w:rPr>
        <w:tab/>
        <w:t>24</w:t>
      </w:r>
    </w:p>
    <w:p w14:paraId="698AFA08" w14:textId="77777777" w:rsidR="004F652B" w:rsidRDefault="004F652B" w:rsidP="004F652B">
      <w:pPr>
        <w:pStyle w:val="TOC3"/>
        <w:rPr>
          <w:rFonts w:asciiTheme="minorHAnsi" w:eastAsiaTheme="minorEastAsia" w:hAnsiTheme="minorHAnsi" w:cstheme="minorBidi"/>
          <w:noProof/>
          <w:kern w:val="2"/>
          <w:sz w:val="22"/>
          <w:lang w:eastAsia="en-GB"/>
          <w14:ligatures w14:val="standardContextual"/>
        </w:rPr>
      </w:pPr>
      <w:r w:rsidRPr="00292B05">
        <w:rPr>
          <w:noProof/>
        </w:rPr>
        <w:t>3.2.3.2.</w:t>
      </w:r>
      <w:r>
        <w:rPr>
          <w:rFonts w:asciiTheme="minorHAnsi" w:eastAsiaTheme="minorEastAsia" w:hAnsiTheme="minorHAnsi" w:cstheme="minorBidi"/>
          <w:noProof/>
          <w:kern w:val="2"/>
          <w:sz w:val="22"/>
          <w:lang w:eastAsia="en-GB"/>
          <w14:ligatures w14:val="standardContextual"/>
        </w:rPr>
        <w:tab/>
      </w:r>
      <w:r w:rsidRPr="00292B05">
        <w:rPr>
          <w:noProof/>
        </w:rPr>
        <w:t>Appropriations from external assigned revenues</w:t>
      </w:r>
      <w:r>
        <w:rPr>
          <w:noProof/>
          <w:webHidden/>
        </w:rPr>
        <w:tab/>
        <w:t>24</w:t>
      </w:r>
    </w:p>
    <w:p w14:paraId="13A6FCCB" w14:textId="77777777" w:rsidR="004F652B" w:rsidRDefault="004F652B" w:rsidP="004F652B">
      <w:pPr>
        <w:pStyle w:val="TOC3"/>
        <w:rPr>
          <w:rFonts w:asciiTheme="minorHAnsi" w:eastAsiaTheme="minorEastAsia" w:hAnsiTheme="minorHAnsi" w:cstheme="minorBidi"/>
          <w:noProof/>
          <w:kern w:val="2"/>
          <w:sz w:val="22"/>
          <w:lang w:eastAsia="en-GB"/>
          <w14:ligatures w14:val="standardContextual"/>
        </w:rPr>
      </w:pPr>
      <w:r w:rsidRPr="00292B05">
        <w:rPr>
          <w:noProof/>
        </w:rPr>
        <w:t>3.2.3.3.</w:t>
      </w:r>
      <w:r>
        <w:rPr>
          <w:rFonts w:asciiTheme="minorHAnsi" w:eastAsiaTheme="minorEastAsia" w:hAnsiTheme="minorHAnsi" w:cstheme="minorBidi"/>
          <w:noProof/>
          <w:kern w:val="2"/>
          <w:sz w:val="22"/>
          <w:lang w:eastAsia="en-GB"/>
          <w14:ligatures w14:val="standardContextual"/>
        </w:rPr>
        <w:tab/>
      </w:r>
      <w:r w:rsidRPr="00292B05">
        <w:rPr>
          <w:noProof/>
        </w:rPr>
        <w:t>Total appropriations</w:t>
      </w:r>
      <w:r>
        <w:rPr>
          <w:noProof/>
          <w:webHidden/>
        </w:rPr>
        <w:tab/>
        <w:t>24</w:t>
      </w:r>
    </w:p>
    <w:p w14:paraId="083CC334" w14:textId="77777777" w:rsidR="004F652B" w:rsidRDefault="004F652B" w:rsidP="004F652B">
      <w:pPr>
        <w:pStyle w:val="TOC3"/>
        <w:rPr>
          <w:rFonts w:asciiTheme="minorHAnsi" w:eastAsiaTheme="minorEastAsia" w:hAnsiTheme="minorHAnsi" w:cstheme="minorBidi"/>
          <w:noProof/>
          <w:kern w:val="2"/>
          <w:sz w:val="22"/>
          <w:lang w:eastAsia="en-GB"/>
          <w14:ligatures w14:val="standardContextual"/>
        </w:rPr>
      </w:pPr>
      <w:r w:rsidRPr="00292B05">
        <w:rPr>
          <w:noProof/>
        </w:rPr>
        <w:t>3.2.4.</w:t>
      </w:r>
      <w:r>
        <w:rPr>
          <w:rFonts w:asciiTheme="minorHAnsi" w:eastAsiaTheme="minorEastAsia" w:hAnsiTheme="minorHAnsi" w:cstheme="minorBidi"/>
          <w:noProof/>
          <w:kern w:val="2"/>
          <w:sz w:val="22"/>
          <w:lang w:eastAsia="en-GB"/>
          <w14:ligatures w14:val="standardContextual"/>
        </w:rPr>
        <w:tab/>
      </w:r>
      <w:r w:rsidRPr="00292B05">
        <w:rPr>
          <w:noProof/>
        </w:rPr>
        <w:t>Estimated requirements of human resources</w:t>
      </w:r>
      <w:r>
        <w:rPr>
          <w:noProof/>
          <w:webHidden/>
        </w:rPr>
        <w:tab/>
        <w:t>25</w:t>
      </w:r>
    </w:p>
    <w:p w14:paraId="1E1951FF" w14:textId="77777777" w:rsidR="004F652B" w:rsidRDefault="004F652B" w:rsidP="004F652B">
      <w:pPr>
        <w:pStyle w:val="TOC3"/>
        <w:rPr>
          <w:rFonts w:asciiTheme="minorHAnsi" w:eastAsiaTheme="minorEastAsia" w:hAnsiTheme="minorHAnsi" w:cstheme="minorBidi"/>
          <w:noProof/>
          <w:kern w:val="2"/>
          <w:sz w:val="22"/>
          <w:lang w:eastAsia="en-GB"/>
          <w14:ligatures w14:val="standardContextual"/>
        </w:rPr>
      </w:pPr>
      <w:r w:rsidRPr="00292B05">
        <w:rPr>
          <w:noProof/>
        </w:rPr>
        <w:t>3.2.4.1.</w:t>
      </w:r>
      <w:r>
        <w:rPr>
          <w:rFonts w:asciiTheme="minorHAnsi" w:eastAsiaTheme="minorEastAsia" w:hAnsiTheme="minorHAnsi" w:cstheme="minorBidi"/>
          <w:noProof/>
          <w:kern w:val="2"/>
          <w:sz w:val="22"/>
          <w:lang w:eastAsia="en-GB"/>
          <w14:ligatures w14:val="standardContextual"/>
        </w:rPr>
        <w:tab/>
      </w:r>
      <w:r w:rsidRPr="00292B05">
        <w:rPr>
          <w:noProof/>
        </w:rPr>
        <w:t>Financed from voted budget</w:t>
      </w:r>
      <w:r>
        <w:rPr>
          <w:noProof/>
          <w:webHidden/>
        </w:rPr>
        <w:tab/>
        <w:t>25</w:t>
      </w:r>
    </w:p>
    <w:p w14:paraId="4C6B6EA4" w14:textId="77777777" w:rsidR="004F652B" w:rsidRDefault="004F652B" w:rsidP="004F652B">
      <w:pPr>
        <w:pStyle w:val="TOC3"/>
        <w:rPr>
          <w:rFonts w:asciiTheme="minorHAnsi" w:eastAsiaTheme="minorEastAsia" w:hAnsiTheme="minorHAnsi" w:cstheme="minorBidi"/>
          <w:noProof/>
          <w:kern w:val="2"/>
          <w:sz w:val="22"/>
          <w:lang w:eastAsia="en-GB"/>
          <w14:ligatures w14:val="standardContextual"/>
        </w:rPr>
      </w:pPr>
      <w:r w:rsidRPr="00292B05">
        <w:rPr>
          <w:noProof/>
        </w:rPr>
        <w:t>3.2.4.2.</w:t>
      </w:r>
      <w:r>
        <w:rPr>
          <w:rFonts w:asciiTheme="minorHAnsi" w:eastAsiaTheme="minorEastAsia" w:hAnsiTheme="minorHAnsi" w:cstheme="minorBidi"/>
          <w:noProof/>
          <w:kern w:val="2"/>
          <w:sz w:val="22"/>
          <w:lang w:eastAsia="en-GB"/>
          <w14:ligatures w14:val="standardContextual"/>
        </w:rPr>
        <w:tab/>
      </w:r>
      <w:r w:rsidRPr="00292B05">
        <w:rPr>
          <w:noProof/>
        </w:rPr>
        <w:t>Financed from external assigned revenues</w:t>
      </w:r>
      <w:r>
        <w:rPr>
          <w:noProof/>
          <w:webHidden/>
        </w:rPr>
        <w:tab/>
        <w:t>26</w:t>
      </w:r>
    </w:p>
    <w:p w14:paraId="50805C99" w14:textId="77777777" w:rsidR="004F652B" w:rsidRDefault="004F652B" w:rsidP="004F652B">
      <w:pPr>
        <w:pStyle w:val="TOC3"/>
        <w:rPr>
          <w:rFonts w:asciiTheme="minorHAnsi" w:eastAsiaTheme="minorEastAsia" w:hAnsiTheme="minorHAnsi" w:cstheme="minorBidi"/>
          <w:noProof/>
          <w:kern w:val="2"/>
          <w:sz w:val="22"/>
          <w:lang w:eastAsia="en-GB"/>
          <w14:ligatures w14:val="standardContextual"/>
        </w:rPr>
      </w:pPr>
      <w:r w:rsidRPr="00292B05">
        <w:rPr>
          <w:noProof/>
        </w:rPr>
        <w:t>3.2.4.3.</w:t>
      </w:r>
      <w:r>
        <w:rPr>
          <w:rFonts w:asciiTheme="minorHAnsi" w:eastAsiaTheme="minorEastAsia" w:hAnsiTheme="minorHAnsi" w:cstheme="minorBidi"/>
          <w:noProof/>
          <w:kern w:val="2"/>
          <w:sz w:val="22"/>
          <w:lang w:eastAsia="en-GB"/>
          <w14:ligatures w14:val="standardContextual"/>
        </w:rPr>
        <w:tab/>
      </w:r>
      <w:r w:rsidRPr="00292B05">
        <w:rPr>
          <w:noProof/>
        </w:rPr>
        <w:t>Total requirements of human resources</w:t>
      </w:r>
      <w:r>
        <w:rPr>
          <w:noProof/>
          <w:webHidden/>
        </w:rPr>
        <w:tab/>
        <w:t>26</w:t>
      </w:r>
    </w:p>
    <w:p w14:paraId="676D3D4F" w14:textId="77777777" w:rsidR="004F652B" w:rsidRDefault="004F652B" w:rsidP="004F652B">
      <w:pPr>
        <w:pStyle w:val="TOC3"/>
        <w:rPr>
          <w:rFonts w:asciiTheme="minorHAnsi" w:eastAsiaTheme="minorEastAsia" w:hAnsiTheme="minorHAnsi" w:cstheme="minorBidi"/>
          <w:noProof/>
          <w:kern w:val="2"/>
          <w:sz w:val="22"/>
          <w:lang w:eastAsia="en-GB"/>
          <w14:ligatures w14:val="standardContextual"/>
        </w:rPr>
      </w:pPr>
      <w:r w:rsidRPr="00292B05">
        <w:rPr>
          <w:noProof/>
        </w:rPr>
        <w:t>3.2.5.</w:t>
      </w:r>
      <w:r>
        <w:rPr>
          <w:rFonts w:asciiTheme="minorHAnsi" w:eastAsiaTheme="minorEastAsia" w:hAnsiTheme="minorHAnsi" w:cstheme="minorBidi"/>
          <w:noProof/>
          <w:kern w:val="2"/>
          <w:sz w:val="22"/>
          <w:lang w:eastAsia="en-GB"/>
          <w14:ligatures w14:val="standardContextual"/>
        </w:rPr>
        <w:tab/>
      </w:r>
      <w:r w:rsidRPr="00292B05">
        <w:rPr>
          <w:noProof/>
        </w:rPr>
        <w:t>Overview of estimated impact on digital technology-related investments</w:t>
      </w:r>
      <w:r>
        <w:rPr>
          <w:noProof/>
          <w:webHidden/>
        </w:rPr>
        <w:tab/>
        <w:t>28</w:t>
      </w:r>
    </w:p>
    <w:p w14:paraId="64D5F6D5" w14:textId="77777777" w:rsidR="004F652B" w:rsidRDefault="004F652B" w:rsidP="004F652B">
      <w:pPr>
        <w:pStyle w:val="TOC3"/>
        <w:rPr>
          <w:rFonts w:asciiTheme="minorHAnsi" w:eastAsiaTheme="minorEastAsia" w:hAnsiTheme="minorHAnsi" w:cstheme="minorBidi"/>
          <w:noProof/>
          <w:kern w:val="2"/>
          <w:sz w:val="22"/>
          <w:lang w:eastAsia="en-GB"/>
          <w14:ligatures w14:val="standardContextual"/>
        </w:rPr>
      </w:pPr>
      <w:r w:rsidRPr="00292B05">
        <w:rPr>
          <w:noProof/>
        </w:rPr>
        <w:t>3.2.6.</w:t>
      </w:r>
      <w:r>
        <w:rPr>
          <w:rFonts w:asciiTheme="minorHAnsi" w:eastAsiaTheme="minorEastAsia" w:hAnsiTheme="minorHAnsi" w:cstheme="minorBidi"/>
          <w:noProof/>
          <w:kern w:val="2"/>
          <w:sz w:val="22"/>
          <w:lang w:eastAsia="en-GB"/>
          <w14:ligatures w14:val="standardContextual"/>
        </w:rPr>
        <w:tab/>
      </w:r>
      <w:r w:rsidRPr="00292B05">
        <w:rPr>
          <w:noProof/>
        </w:rPr>
        <w:t>Compatibility with the current multiannual financial framework</w:t>
      </w:r>
      <w:r>
        <w:rPr>
          <w:noProof/>
          <w:webHidden/>
        </w:rPr>
        <w:tab/>
        <w:t>28</w:t>
      </w:r>
    </w:p>
    <w:p w14:paraId="7F6B423C" w14:textId="77777777" w:rsidR="004F652B" w:rsidRDefault="004F652B" w:rsidP="004F652B">
      <w:pPr>
        <w:pStyle w:val="TOC3"/>
        <w:rPr>
          <w:rFonts w:asciiTheme="minorHAnsi" w:eastAsiaTheme="minorEastAsia" w:hAnsiTheme="minorHAnsi" w:cstheme="minorBidi"/>
          <w:noProof/>
          <w:kern w:val="2"/>
          <w:sz w:val="22"/>
          <w:lang w:eastAsia="en-GB"/>
          <w14:ligatures w14:val="standardContextual"/>
        </w:rPr>
      </w:pPr>
      <w:r w:rsidRPr="00292B05">
        <w:rPr>
          <w:noProof/>
        </w:rPr>
        <w:t>3.2.7.</w:t>
      </w:r>
      <w:r>
        <w:rPr>
          <w:rFonts w:asciiTheme="minorHAnsi" w:eastAsiaTheme="minorEastAsia" w:hAnsiTheme="minorHAnsi" w:cstheme="minorBidi"/>
          <w:noProof/>
          <w:kern w:val="2"/>
          <w:sz w:val="22"/>
          <w:lang w:eastAsia="en-GB"/>
          <w14:ligatures w14:val="standardContextual"/>
        </w:rPr>
        <w:tab/>
      </w:r>
      <w:r w:rsidRPr="00292B05">
        <w:rPr>
          <w:noProof/>
        </w:rPr>
        <w:t>Third-party contributions</w:t>
      </w:r>
      <w:r>
        <w:rPr>
          <w:noProof/>
          <w:webHidden/>
        </w:rPr>
        <w:tab/>
        <w:t>28</w:t>
      </w:r>
    </w:p>
    <w:p w14:paraId="50D8F779" w14:textId="77777777" w:rsidR="004F652B" w:rsidRPr="005F34F5" w:rsidRDefault="004F652B" w:rsidP="004F652B">
      <w:pPr>
        <w:pStyle w:val="TOC2"/>
        <w:rPr>
          <w:rFonts w:asciiTheme="minorHAnsi" w:eastAsiaTheme="minorEastAsia" w:hAnsiTheme="minorHAnsi" w:cstheme="minorBidi"/>
          <w:noProof/>
          <w:kern w:val="2"/>
          <w:sz w:val="22"/>
          <w:lang w:eastAsia="en-GB"/>
          <w14:ligatures w14:val="standardContextual"/>
        </w:rPr>
      </w:pPr>
      <w:r w:rsidRPr="00292B05">
        <w:rPr>
          <w:noProof/>
        </w:rPr>
        <w:t>3.3.</w:t>
      </w:r>
      <w:r w:rsidRPr="005F34F5">
        <w:rPr>
          <w:rFonts w:asciiTheme="minorHAnsi" w:eastAsiaTheme="minorEastAsia" w:hAnsiTheme="minorHAnsi" w:cstheme="minorBidi"/>
          <w:noProof/>
          <w:kern w:val="2"/>
          <w:sz w:val="22"/>
          <w:lang w:eastAsia="en-GB"/>
          <w14:ligatures w14:val="standardContextual"/>
        </w:rPr>
        <w:tab/>
      </w:r>
      <w:r w:rsidRPr="00292B05">
        <w:rPr>
          <w:noProof/>
        </w:rPr>
        <w:t>Estimated impact on revenue</w:t>
      </w:r>
      <w:r w:rsidRPr="005F34F5">
        <w:rPr>
          <w:noProof/>
          <w:webHidden/>
        </w:rPr>
        <w:tab/>
        <w:t>29</w:t>
      </w:r>
    </w:p>
    <w:p w14:paraId="2E9ACA94" w14:textId="77777777" w:rsidR="004F652B" w:rsidRDefault="004F652B" w:rsidP="004F652B">
      <w:pPr>
        <w:pStyle w:val="TOC1"/>
        <w:rPr>
          <w:rFonts w:asciiTheme="minorHAnsi" w:eastAsiaTheme="minorEastAsia" w:hAnsiTheme="minorHAnsi" w:cstheme="minorBidi"/>
          <w:noProof/>
          <w:kern w:val="2"/>
          <w:sz w:val="22"/>
          <w:lang w:eastAsia="en-GB"/>
          <w14:ligatures w14:val="standardContextual"/>
        </w:rPr>
      </w:pPr>
      <w:r w:rsidRPr="00292B05">
        <w:rPr>
          <w:noProof/>
        </w:rPr>
        <w:t>4.</w:t>
      </w:r>
      <w:r>
        <w:rPr>
          <w:rFonts w:asciiTheme="minorHAnsi" w:eastAsiaTheme="minorEastAsia" w:hAnsiTheme="minorHAnsi" w:cstheme="minorBidi"/>
          <w:noProof/>
          <w:kern w:val="2"/>
          <w:sz w:val="22"/>
          <w:lang w:eastAsia="en-GB"/>
          <w14:ligatures w14:val="standardContextual"/>
        </w:rPr>
        <w:tab/>
      </w:r>
      <w:r w:rsidRPr="00292B05">
        <w:rPr>
          <w:caps/>
          <w:noProof/>
        </w:rPr>
        <w:t>Digital dimensions</w:t>
      </w:r>
      <w:r>
        <w:rPr>
          <w:noProof/>
          <w:webHidden/>
        </w:rPr>
        <w:tab/>
        <w:t>29</w:t>
      </w:r>
    </w:p>
    <w:p w14:paraId="035A5FA5" w14:textId="77777777" w:rsidR="004F652B" w:rsidRDefault="004F652B" w:rsidP="004F652B">
      <w:pPr>
        <w:pStyle w:val="TOC2"/>
        <w:rPr>
          <w:rFonts w:asciiTheme="minorHAnsi" w:eastAsiaTheme="minorEastAsia" w:hAnsiTheme="minorHAnsi" w:cstheme="minorBidi"/>
          <w:noProof/>
          <w:kern w:val="2"/>
          <w:sz w:val="22"/>
          <w:lang w:eastAsia="en-GB"/>
          <w14:ligatures w14:val="standardContextual"/>
        </w:rPr>
      </w:pPr>
      <w:r w:rsidRPr="00292B05">
        <w:rPr>
          <w:noProof/>
        </w:rPr>
        <w:t>4.1.</w:t>
      </w:r>
      <w:r>
        <w:rPr>
          <w:rFonts w:asciiTheme="minorHAnsi" w:eastAsiaTheme="minorEastAsia" w:hAnsiTheme="minorHAnsi" w:cstheme="minorBidi"/>
          <w:noProof/>
          <w:kern w:val="2"/>
          <w:sz w:val="22"/>
          <w:lang w:eastAsia="en-GB"/>
          <w14:ligatures w14:val="standardContextual"/>
        </w:rPr>
        <w:tab/>
      </w:r>
      <w:r w:rsidRPr="00292B05">
        <w:rPr>
          <w:noProof/>
        </w:rPr>
        <w:t>Requirements of digital relevance</w:t>
      </w:r>
      <w:r>
        <w:rPr>
          <w:noProof/>
          <w:webHidden/>
        </w:rPr>
        <w:tab/>
        <w:t>30</w:t>
      </w:r>
    </w:p>
    <w:p w14:paraId="3D13E22E" w14:textId="77777777" w:rsidR="004F652B" w:rsidRDefault="004F652B" w:rsidP="004F652B">
      <w:pPr>
        <w:pStyle w:val="TOC2"/>
        <w:rPr>
          <w:rFonts w:asciiTheme="minorHAnsi" w:eastAsiaTheme="minorEastAsia" w:hAnsiTheme="minorHAnsi" w:cstheme="minorBidi"/>
          <w:noProof/>
          <w:kern w:val="2"/>
          <w:sz w:val="22"/>
          <w:lang w:eastAsia="en-GB"/>
          <w14:ligatures w14:val="standardContextual"/>
        </w:rPr>
      </w:pPr>
      <w:r w:rsidRPr="00292B05">
        <w:rPr>
          <w:noProof/>
        </w:rPr>
        <w:t>4.2.</w:t>
      </w:r>
      <w:r>
        <w:rPr>
          <w:rFonts w:asciiTheme="minorHAnsi" w:eastAsiaTheme="minorEastAsia" w:hAnsiTheme="minorHAnsi" w:cstheme="minorBidi"/>
          <w:noProof/>
          <w:kern w:val="2"/>
          <w:sz w:val="22"/>
          <w:lang w:eastAsia="en-GB"/>
          <w14:ligatures w14:val="standardContextual"/>
        </w:rPr>
        <w:tab/>
      </w:r>
      <w:r w:rsidRPr="00292B05">
        <w:rPr>
          <w:noProof/>
        </w:rPr>
        <w:t>Data</w:t>
      </w:r>
      <w:r>
        <w:rPr>
          <w:noProof/>
          <w:webHidden/>
        </w:rPr>
        <w:tab/>
        <w:t>30</w:t>
      </w:r>
    </w:p>
    <w:p w14:paraId="3ED8E31E" w14:textId="77777777" w:rsidR="004F652B" w:rsidRDefault="004F652B" w:rsidP="004F652B">
      <w:pPr>
        <w:pStyle w:val="TOC2"/>
        <w:rPr>
          <w:rFonts w:asciiTheme="minorHAnsi" w:eastAsiaTheme="minorEastAsia" w:hAnsiTheme="minorHAnsi" w:cstheme="minorBidi"/>
          <w:noProof/>
          <w:kern w:val="2"/>
          <w:sz w:val="22"/>
          <w:lang w:eastAsia="en-GB"/>
          <w14:ligatures w14:val="standardContextual"/>
        </w:rPr>
      </w:pPr>
      <w:r w:rsidRPr="00292B05">
        <w:rPr>
          <w:noProof/>
        </w:rPr>
        <w:t>4.3.</w:t>
      </w:r>
      <w:r>
        <w:rPr>
          <w:rFonts w:asciiTheme="minorHAnsi" w:eastAsiaTheme="minorEastAsia" w:hAnsiTheme="minorHAnsi" w:cstheme="minorBidi"/>
          <w:noProof/>
          <w:kern w:val="2"/>
          <w:sz w:val="22"/>
          <w:lang w:eastAsia="en-GB"/>
          <w14:ligatures w14:val="standardContextual"/>
        </w:rPr>
        <w:tab/>
      </w:r>
      <w:r w:rsidRPr="00292B05">
        <w:rPr>
          <w:noProof/>
        </w:rPr>
        <w:t>Digital solutions</w:t>
      </w:r>
      <w:r>
        <w:rPr>
          <w:noProof/>
          <w:webHidden/>
        </w:rPr>
        <w:tab/>
        <w:t>31</w:t>
      </w:r>
    </w:p>
    <w:p w14:paraId="218DB8A9" w14:textId="77777777" w:rsidR="004F652B" w:rsidRDefault="004F652B" w:rsidP="004F652B">
      <w:pPr>
        <w:pStyle w:val="TOC2"/>
        <w:rPr>
          <w:rFonts w:asciiTheme="minorHAnsi" w:eastAsiaTheme="minorEastAsia" w:hAnsiTheme="minorHAnsi" w:cstheme="minorBidi"/>
          <w:noProof/>
          <w:kern w:val="2"/>
          <w:sz w:val="22"/>
          <w:lang w:eastAsia="en-GB"/>
          <w14:ligatures w14:val="standardContextual"/>
        </w:rPr>
      </w:pPr>
      <w:r w:rsidRPr="00292B05">
        <w:rPr>
          <w:bCs/>
          <w:noProof/>
        </w:rPr>
        <w:t>4.4.</w:t>
      </w:r>
      <w:r>
        <w:rPr>
          <w:rFonts w:asciiTheme="minorHAnsi" w:eastAsiaTheme="minorEastAsia" w:hAnsiTheme="minorHAnsi" w:cstheme="minorBidi"/>
          <w:noProof/>
          <w:kern w:val="2"/>
          <w:sz w:val="22"/>
          <w:lang w:eastAsia="en-GB"/>
          <w14:ligatures w14:val="standardContextual"/>
        </w:rPr>
        <w:tab/>
      </w:r>
      <w:r w:rsidRPr="00292B05">
        <w:rPr>
          <w:bCs/>
          <w:noProof/>
        </w:rPr>
        <w:t>Interoperability assessment</w:t>
      </w:r>
      <w:r>
        <w:rPr>
          <w:noProof/>
          <w:webHidden/>
        </w:rPr>
        <w:tab/>
        <w:t>31</w:t>
      </w:r>
    </w:p>
    <w:p w14:paraId="54F1FF2A" w14:textId="77777777" w:rsidR="004F652B" w:rsidRDefault="004F652B" w:rsidP="004F652B">
      <w:pPr>
        <w:pStyle w:val="TOC2"/>
        <w:rPr>
          <w:rFonts w:asciiTheme="minorHAnsi" w:eastAsiaTheme="minorEastAsia" w:hAnsiTheme="minorHAnsi" w:cstheme="minorBidi"/>
          <w:noProof/>
          <w:kern w:val="2"/>
          <w:sz w:val="22"/>
          <w:lang w:eastAsia="en-GB"/>
          <w14:ligatures w14:val="standardContextual"/>
        </w:rPr>
      </w:pPr>
      <w:r w:rsidRPr="00292B05">
        <w:rPr>
          <w:noProof/>
        </w:rPr>
        <w:t>4.5.</w:t>
      </w:r>
      <w:r>
        <w:rPr>
          <w:rFonts w:asciiTheme="minorHAnsi" w:eastAsiaTheme="minorEastAsia" w:hAnsiTheme="minorHAnsi" w:cstheme="minorBidi"/>
          <w:noProof/>
          <w:kern w:val="2"/>
          <w:sz w:val="22"/>
          <w:lang w:eastAsia="en-GB"/>
          <w14:ligatures w14:val="standardContextual"/>
        </w:rPr>
        <w:tab/>
      </w:r>
      <w:r w:rsidRPr="00292B05">
        <w:rPr>
          <w:noProof/>
        </w:rPr>
        <w:t>Measures to support digital implementation</w:t>
      </w:r>
      <w:r>
        <w:rPr>
          <w:noProof/>
          <w:webHidden/>
        </w:rPr>
        <w:tab/>
        <w:t>32</w:t>
      </w:r>
    </w:p>
    <w:p w14:paraId="62D6CAF1" w14:textId="77777777" w:rsidR="004F652B" w:rsidRDefault="004F652B" w:rsidP="004F652B">
      <w:pPr>
        <w:pStyle w:val="TOC1"/>
        <w:ind w:left="0" w:firstLine="0"/>
        <w:rPr>
          <w:noProof/>
        </w:rPr>
        <w:sectPr w:rsidR="004F652B" w:rsidSect="000033F2">
          <w:pgSz w:w="11907" w:h="16840" w:code="9"/>
          <w:pgMar w:top="1134" w:right="1418" w:bottom="1134" w:left="1418" w:header="709" w:footer="709" w:gutter="0"/>
          <w:pgNumType w:start="1"/>
          <w:cols w:space="720"/>
          <w:docGrid w:linePitch="360"/>
        </w:sectPr>
      </w:pPr>
    </w:p>
    <w:p w14:paraId="653473D6" w14:textId="77777777" w:rsidR="004F652B" w:rsidRDefault="004F652B" w:rsidP="004F652B">
      <w:pPr>
        <w:pStyle w:val="ManualHeading1"/>
        <w:rPr>
          <w:noProof/>
        </w:rPr>
      </w:pPr>
      <w:bookmarkStart w:id="13" w:name="_Toc514938007"/>
      <w:bookmarkStart w:id="14" w:name="_Toc520485025"/>
      <w:bookmarkStart w:id="15" w:name="_Toc160804567"/>
      <w:bookmarkStart w:id="16" w:name="_Toc167220259"/>
      <w:bookmarkStart w:id="17" w:name="_Toc177548992"/>
      <w:r w:rsidRPr="0021790A">
        <w:rPr>
          <w:noProof/>
        </w:rPr>
        <w:t>1.</w:t>
      </w:r>
      <w:r w:rsidRPr="0021790A">
        <w:rPr>
          <w:noProof/>
        </w:rPr>
        <w:tab/>
      </w:r>
      <w:r>
        <w:rPr>
          <w:noProof/>
        </w:rPr>
        <w:t>FRAMEWORK OF THE PROPOSAL/INITIATIVE</w:t>
      </w:r>
      <w:bookmarkEnd w:id="13"/>
      <w:bookmarkEnd w:id="14"/>
      <w:bookmarkEnd w:id="15"/>
      <w:bookmarkEnd w:id="16"/>
      <w:bookmarkEnd w:id="17"/>
      <w:r>
        <w:rPr>
          <w:noProof/>
        </w:rPr>
        <w:t xml:space="preserve"> </w:t>
      </w:r>
    </w:p>
    <w:p w14:paraId="284CD55A" w14:textId="77777777" w:rsidR="004F652B" w:rsidRPr="008774EA" w:rsidRDefault="004F652B" w:rsidP="004F652B">
      <w:pPr>
        <w:pStyle w:val="ManualHeading2"/>
        <w:rPr>
          <w:noProof/>
        </w:rPr>
      </w:pPr>
      <w:bookmarkStart w:id="18" w:name="_Toc514938008"/>
      <w:bookmarkStart w:id="19" w:name="_Toc520485026"/>
      <w:bookmarkStart w:id="20" w:name="_Toc160804568"/>
      <w:bookmarkStart w:id="21" w:name="_Toc167220260"/>
      <w:bookmarkStart w:id="22" w:name="_Toc177548993"/>
      <w:r w:rsidRPr="008774EA">
        <w:rPr>
          <w:noProof/>
        </w:rPr>
        <w:t>1.1.</w:t>
      </w:r>
      <w:r w:rsidRPr="008774EA">
        <w:rPr>
          <w:noProof/>
        </w:rPr>
        <w:tab/>
        <w:t>Title of the proposal/initiative</w:t>
      </w:r>
      <w:bookmarkEnd w:id="18"/>
      <w:bookmarkEnd w:id="19"/>
      <w:bookmarkEnd w:id="20"/>
      <w:bookmarkEnd w:id="21"/>
      <w:bookmarkEnd w:id="22"/>
    </w:p>
    <w:p w14:paraId="26A193CC" w14:textId="24B0D9F2" w:rsidR="004F652B" w:rsidRPr="004745B9" w:rsidRDefault="004F652B" w:rsidP="004F652B">
      <w:pPr>
        <w:pStyle w:val="Text1"/>
        <w:pBdr>
          <w:top w:val="single" w:sz="4" w:space="1" w:color="auto"/>
          <w:left w:val="single" w:sz="4" w:space="4" w:color="auto"/>
          <w:bottom w:val="single" w:sz="4" w:space="1" w:color="auto"/>
          <w:right w:val="single" w:sz="4" w:space="4" w:color="auto"/>
        </w:pBdr>
        <w:rPr>
          <w:noProof/>
        </w:rPr>
      </w:pPr>
      <w:r w:rsidRPr="004745B9">
        <w:rPr>
          <w:noProof/>
        </w:rPr>
        <w:t xml:space="preserve">Proposal for a </w:t>
      </w:r>
      <w:r w:rsidR="000F2A2E">
        <w:rPr>
          <w:noProof/>
        </w:rPr>
        <w:t xml:space="preserve">Regulation of the European Parliament and of the Council </w:t>
      </w:r>
      <w:r w:rsidRPr="004745B9">
        <w:rPr>
          <w:noProof/>
        </w:rPr>
        <w:t>on the European Union Agency for Cybersecurity</w:t>
      </w:r>
      <w:r>
        <w:rPr>
          <w:noProof/>
        </w:rPr>
        <w:t xml:space="preserve"> (ENISA</w:t>
      </w:r>
      <w:r w:rsidRPr="004745B9">
        <w:rPr>
          <w:noProof/>
        </w:rPr>
        <w:t xml:space="preserve">), European cybersecurity certification framework, </w:t>
      </w:r>
      <w:r>
        <w:rPr>
          <w:noProof/>
        </w:rPr>
        <w:t>and</w:t>
      </w:r>
      <w:r w:rsidRPr="004745B9">
        <w:rPr>
          <w:noProof/>
        </w:rPr>
        <w:t xml:space="preserve"> ICT supply chain security and repealing Regulation (EU) 2019/881</w:t>
      </w:r>
      <w:r>
        <w:rPr>
          <w:noProof/>
        </w:rPr>
        <w:t xml:space="preserve"> (The Cybersecurity Act 2)</w:t>
      </w:r>
    </w:p>
    <w:p w14:paraId="1FAFB222" w14:textId="77777777" w:rsidR="004F652B" w:rsidRPr="004745B9" w:rsidRDefault="004F652B" w:rsidP="004F652B">
      <w:pPr>
        <w:pStyle w:val="Text1"/>
        <w:pBdr>
          <w:top w:val="single" w:sz="4" w:space="1" w:color="auto"/>
          <w:left w:val="single" w:sz="4" w:space="4" w:color="auto"/>
          <w:bottom w:val="single" w:sz="4" w:space="1" w:color="auto"/>
          <w:right w:val="single" w:sz="4" w:space="4" w:color="auto"/>
        </w:pBdr>
        <w:rPr>
          <w:noProof/>
        </w:rPr>
      </w:pPr>
      <w:r w:rsidRPr="004745B9">
        <w:rPr>
          <w:noProof/>
        </w:rPr>
        <w:t>(Text with EEA relevance)</w:t>
      </w:r>
    </w:p>
    <w:p w14:paraId="32517E98" w14:textId="77777777" w:rsidR="004F652B" w:rsidRDefault="004F652B" w:rsidP="004F652B">
      <w:pPr>
        <w:pStyle w:val="Text1"/>
        <w:pBdr>
          <w:top w:val="single" w:sz="4" w:space="1" w:color="auto"/>
          <w:left w:val="single" w:sz="4" w:space="4" w:color="auto"/>
          <w:bottom w:val="single" w:sz="4" w:space="1" w:color="auto"/>
          <w:right w:val="single" w:sz="4" w:space="4" w:color="auto"/>
        </w:pBdr>
        <w:rPr>
          <w:noProof/>
        </w:rPr>
      </w:pPr>
      <w:r w:rsidRPr="004745B9">
        <w:rPr>
          <w:noProof/>
        </w:rPr>
        <w:t>Short title: The Cybersecurity Act 2 (CSA2)</w:t>
      </w:r>
    </w:p>
    <w:p w14:paraId="7B72688E" w14:textId="77777777" w:rsidR="004F652B" w:rsidRDefault="004F652B" w:rsidP="004F652B">
      <w:pPr>
        <w:pStyle w:val="Text1"/>
        <w:pBdr>
          <w:top w:val="single" w:sz="4" w:space="1" w:color="auto"/>
          <w:left w:val="single" w:sz="4" w:space="4" w:color="auto"/>
          <w:bottom w:val="single" w:sz="4" w:space="1" w:color="auto"/>
          <w:right w:val="single" w:sz="4" w:space="4" w:color="auto"/>
        </w:pBdr>
        <w:rPr>
          <w:noProof/>
        </w:rPr>
      </w:pPr>
      <w:r>
        <w:rPr>
          <w:noProof/>
        </w:rPr>
        <w:t xml:space="preserve">And </w:t>
      </w:r>
    </w:p>
    <w:p w14:paraId="6F21F988" w14:textId="7B23FE79" w:rsidR="004F652B" w:rsidRDefault="000F2A2E" w:rsidP="004F652B">
      <w:pPr>
        <w:pStyle w:val="Text1"/>
        <w:pBdr>
          <w:top w:val="single" w:sz="4" w:space="1" w:color="auto"/>
          <w:left w:val="single" w:sz="4" w:space="4" w:color="auto"/>
          <w:bottom w:val="single" w:sz="4" w:space="1" w:color="auto"/>
          <w:right w:val="single" w:sz="4" w:space="4" w:color="auto"/>
        </w:pBdr>
        <w:rPr>
          <w:noProof/>
        </w:rPr>
      </w:pPr>
      <w:r w:rsidRPr="000F2A2E">
        <w:rPr>
          <w:noProof/>
        </w:rPr>
        <w:t>Proposal for a Directive of the European Parliament and of the Council amending Directive (EU) 2022/2555 as regards simplification measures and alignment with the [Proposal for the Cybersecurity Act 2]</w:t>
      </w:r>
    </w:p>
    <w:p w14:paraId="056ED09E" w14:textId="77777777" w:rsidR="004F652B" w:rsidRDefault="004F652B" w:rsidP="004F652B">
      <w:pPr>
        <w:pStyle w:val="ManualHeading2"/>
        <w:rPr>
          <w:i/>
          <w:noProof/>
        </w:rPr>
      </w:pPr>
      <w:bookmarkStart w:id="23" w:name="_Toc514938011"/>
      <w:bookmarkStart w:id="24" w:name="_Toc520485027"/>
      <w:bookmarkStart w:id="25" w:name="_Toc160804569"/>
      <w:bookmarkStart w:id="26" w:name="_Toc167220261"/>
      <w:bookmarkStart w:id="27" w:name="_Toc177548994"/>
      <w:r w:rsidRPr="0021790A">
        <w:rPr>
          <w:noProof/>
        </w:rPr>
        <w:t>1.2.</w:t>
      </w:r>
      <w:r w:rsidRPr="0021790A">
        <w:rPr>
          <w:noProof/>
        </w:rPr>
        <w:tab/>
      </w:r>
      <w:r>
        <w:rPr>
          <w:noProof/>
        </w:rPr>
        <w:t>Policy area(s) concerned</w:t>
      </w:r>
      <w:bookmarkEnd w:id="23"/>
      <w:bookmarkEnd w:id="24"/>
      <w:bookmarkEnd w:id="25"/>
      <w:bookmarkEnd w:id="26"/>
      <w:bookmarkEnd w:id="27"/>
      <w:r>
        <w:rPr>
          <w:i/>
          <w:noProof/>
        </w:rPr>
        <w:t xml:space="preserve"> </w:t>
      </w:r>
    </w:p>
    <w:p w14:paraId="0745FAC5" w14:textId="77777777" w:rsidR="004F652B" w:rsidRDefault="004F652B" w:rsidP="004F652B">
      <w:pPr>
        <w:pStyle w:val="Text1"/>
        <w:pBdr>
          <w:top w:val="single" w:sz="4" w:space="1" w:color="auto"/>
          <w:left w:val="single" w:sz="4" w:space="4" w:color="auto"/>
          <w:bottom w:val="single" w:sz="4" w:space="1" w:color="auto"/>
          <w:right w:val="single" w:sz="4" w:space="4" w:color="auto"/>
        </w:pBdr>
        <w:rPr>
          <w:noProof/>
        </w:rPr>
      </w:pPr>
      <w:r>
        <w:rPr>
          <w:noProof/>
        </w:rPr>
        <w:t xml:space="preserve">Policy area: </w:t>
      </w:r>
      <w:r w:rsidRPr="00472BB3">
        <w:rPr>
          <w:noProof/>
        </w:rPr>
        <w:t>09 – Communications networks, content and technology</w:t>
      </w:r>
    </w:p>
    <w:p w14:paraId="22B201FA" w14:textId="77777777" w:rsidR="004F652B" w:rsidRDefault="004F652B" w:rsidP="004F652B">
      <w:pPr>
        <w:pStyle w:val="Text1"/>
        <w:pBdr>
          <w:top w:val="single" w:sz="4" w:space="1" w:color="auto"/>
          <w:left w:val="single" w:sz="4" w:space="4" w:color="auto"/>
          <w:bottom w:val="single" w:sz="4" w:space="1" w:color="auto"/>
          <w:right w:val="single" w:sz="4" w:space="4" w:color="auto"/>
        </w:pBdr>
        <w:rPr>
          <w:noProof/>
        </w:rPr>
      </w:pPr>
      <w:r w:rsidRPr="004745B9">
        <w:rPr>
          <w:noProof/>
        </w:rPr>
        <w:t>Activity: 09.02 digital single market</w:t>
      </w:r>
    </w:p>
    <w:p w14:paraId="2202A652" w14:textId="77777777" w:rsidR="004F652B" w:rsidRDefault="004F652B" w:rsidP="004F652B">
      <w:pPr>
        <w:pStyle w:val="ManualHeading2"/>
        <w:rPr>
          <w:noProof/>
        </w:rPr>
      </w:pPr>
      <w:bookmarkStart w:id="28" w:name="_Toc514938015"/>
      <w:bookmarkStart w:id="29" w:name="_Toc520485029"/>
      <w:bookmarkStart w:id="30" w:name="_Toc160804571"/>
      <w:bookmarkStart w:id="31" w:name="_Toc167220263"/>
      <w:bookmarkStart w:id="32" w:name="_Toc177548995"/>
      <w:r>
        <w:rPr>
          <w:noProof/>
        </w:rPr>
        <w:t>1.3.</w:t>
      </w:r>
      <w:r>
        <w:rPr>
          <w:noProof/>
        </w:rPr>
        <w:tab/>
      </w:r>
      <w:r w:rsidRPr="7D67B65D">
        <w:rPr>
          <w:noProof/>
        </w:rPr>
        <w:t>Objective(s)</w:t>
      </w:r>
      <w:bookmarkEnd w:id="28"/>
      <w:bookmarkEnd w:id="29"/>
      <w:bookmarkEnd w:id="30"/>
      <w:bookmarkEnd w:id="31"/>
      <w:bookmarkEnd w:id="32"/>
    </w:p>
    <w:p w14:paraId="5AB34ABD" w14:textId="77777777" w:rsidR="004F652B" w:rsidRPr="009B753E" w:rsidRDefault="004F652B" w:rsidP="004F652B">
      <w:pPr>
        <w:pStyle w:val="ManualHeading3"/>
        <w:rPr>
          <w:noProof/>
        </w:rPr>
      </w:pPr>
      <w:bookmarkStart w:id="33" w:name="_Toc514938016"/>
      <w:bookmarkStart w:id="34" w:name="_Toc520485030"/>
      <w:bookmarkStart w:id="35" w:name="_Toc160804572"/>
      <w:bookmarkStart w:id="36" w:name="_Toc167220264"/>
      <w:bookmarkStart w:id="37" w:name="_Toc177548996"/>
      <w:r>
        <w:rPr>
          <w:noProof/>
        </w:rPr>
        <w:t>1.3.1.</w:t>
      </w:r>
      <w:r>
        <w:rPr>
          <w:noProof/>
        </w:rPr>
        <w:tab/>
      </w:r>
      <w:r w:rsidRPr="7D67B65D">
        <w:rPr>
          <w:noProof/>
        </w:rPr>
        <w:t>General objective(s)</w:t>
      </w:r>
      <w:bookmarkEnd w:id="33"/>
      <w:bookmarkEnd w:id="34"/>
      <w:bookmarkEnd w:id="35"/>
      <w:bookmarkEnd w:id="36"/>
      <w:bookmarkEnd w:id="37"/>
    </w:p>
    <w:p w14:paraId="2B472248" w14:textId="77777777" w:rsidR="004F652B" w:rsidRPr="004745B9" w:rsidRDefault="004F652B" w:rsidP="004F652B">
      <w:pPr>
        <w:pStyle w:val="Text1"/>
        <w:pBdr>
          <w:top w:val="single" w:sz="4" w:space="1" w:color="auto"/>
          <w:left w:val="single" w:sz="4" w:space="4" w:color="auto"/>
          <w:bottom w:val="single" w:sz="4" w:space="1" w:color="auto"/>
          <w:right w:val="single" w:sz="4" w:space="4" w:color="auto"/>
        </w:pBdr>
        <w:rPr>
          <w:noProof/>
        </w:rPr>
      </w:pPr>
      <w:r w:rsidRPr="004745B9">
        <w:rPr>
          <w:noProof/>
        </w:rPr>
        <w:t>The main objectives of the intervention are:</w:t>
      </w:r>
    </w:p>
    <w:p w14:paraId="62FAF407" w14:textId="77777777" w:rsidR="004F652B" w:rsidRPr="00643D1E" w:rsidRDefault="004F652B" w:rsidP="004F652B">
      <w:pPr>
        <w:pStyle w:val="Text1"/>
        <w:pBdr>
          <w:top w:val="single" w:sz="4" w:space="1" w:color="auto"/>
          <w:left w:val="single" w:sz="4" w:space="4" w:color="auto"/>
          <w:bottom w:val="single" w:sz="4" w:space="1" w:color="auto"/>
          <w:right w:val="single" w:sz="4" w:space="4" w:color="auto"/>
        </w:pBdr>
        <w:rPr>
          <w:b/>
          <w:bCs/>
          <w:i/>
          <w:iCs/>
          <w:noProof/>
        </w:rPr>
      </w:pPr>
      <w:r w:rsidRPr="00643D1E">
        <w:rPr>
          <w:b/>
          <w:bCs/>
          <w:i/>
          <w:iCs/>
          <w:noProof/>
        </w:rPr>
        <w:t>(1)</w:t>
      </w:r>
      <w:r w:rsidRPr="00643D1E">
        <w:rPr>
          <w:b/>
          <w:bCs/>
          <w:i/>
          <w:iCs/>
          <w:noProof/>
        </w:rPr>
        <w:tab/>
        <w:t>Enhance cybersecurity capabilities and resilience</w:t>
      </w:r>
    </w:p>
    <w:p w14:paraId="5070A282" w14:textId="77777777" w:rsidR="004F652B" w:rsidRPr="00643D1E" w:rsidRDefault="004F652B" w:rsidP="004F652B">
      <w:pPr>
        <w:pStyle w:val="Text1"/>
        <w:pBdr>
          <w:top w:val="single" w:sz="4" w:space="1" w:color="auto"/>
          <w:left w:val="single" w:sz="4" w:space="4" w:color="auto"/>
          <w:bottom w:val="single" w:sz="4" w:space="1" w:color="auto"/>
          <w:right w:val="single" w:sz="4" w:space="4" w:color="auto"/>
        </w:pBdr>
        <w:rPr>
          <w:noProof/>
        </w:rPr>
      </w:pPr>
      <w:r>
        <w:rPr>
          <w:noProof/>
        </w:rPr>
        <w:t>Contribute to strengthen the Union’s cybersecurity governance and helping to ensure that relevant institutions, authorities and other stakeholders are better prepared to prevent, detect, and respond to cybersecurity threats in a coordinated and effective manner.</w:t>
      </w:r>
    </w:p>
    <w:p w14:paraId="0C1739A2" w14:textId="77777777" w:rsidR="004F652B" w:rsidRPr="00643D1E" w:rsidRDefault="004F652B" w:rsidP="004F652B">
      <w:pPr>
        <w:pStyle w:val="Text1"/>
        <w:pBdr>
          <w:top w:val="single" w:sz="4" w:space="1" w:color="auto"/>
          <w:left w:val="single" w:sz="4" w:space="4" w:color="auto"/>
          <w:bottom w:val="single" w:sz="4" w:space="1" w:color="auto"/>
          <w:right w:val="single" w:sz="4" w:space="4" w:color="auto"/>
        </w:pBdr>
        <w:rPr>
          <w:b/>
          <w:bCs/>
          <w:i/>
          <w:iCs/>
          <w:noProof/>
        </w:rPr>
      </w:pPr>
      <w:r w:rsidRPr="00643D1E">
        <w:rPr>
          <w:b/>
          <w:bCs/>
          <w:i/>
          <w:iCs/>
          <w:noProof/>
        </w:rPr>
        <w:t>(2)</w:t>
      </w:r>
      <w:r w:rsidRPr="00643D1E">
        <w:rPr>
          <w:b/>
          <w:bCs/>
          <w:i/>
          <w:iCs/>
          <w:noProof/>
        </w:rPr>
        <w:tab/>
        <w:t xml:space="preserve"> Prevent fragmentation across the internal market by:</w:t>
      </w:r>
    </w:p>
    <w:p w14:paraId="720ABE9C" w14:textId="77777777" w:rsidR="004F652B" w:rsidRPr="00643D1E" w:rsidRDefault="004F652B" w:rsidP="004F652B">
      <w:pPr>
        <w:pStyle w:val="Text1"/>
        <w:pBdr>
          <w:top w:val="single" w:sz="4" w:space="1" w:color="auto"/>
          <w:left w:val="single" w:sz="4" w:space="4" w:color="auto"/>
          <w:bottom w:val="single" w:sz="4" w:space="1" w:color="auto"/>
          <w:right w:val="single" w:sz="4" w:space="4" w:color="auto"/>
        </w:pBdr>
        <w:rPr>
          <w:noProof/>
        </w:rPr>
      </w:pPr>
      <w:r>
        <w:rPr>
          <w:noProof/>
        </w:rPr>
        <w:t>Supporting the development, implementation and uptake of common Union cybersecurity instruments, such as certification schemes and providing harmonised frameworks that build trust and interoperability across Member States.</w:t>
      </w:r>
    </w:p>
    <w:p w14:paraId="213F60CF" w14:textId="77777777" w:rsidR="004F652B" w:rsidRPr="00643D1E" w:rsidRDefault="004F652B" w:rsidP="004F652B">
      <w:pPr>
        <w:pStyle w:val="Text1"/>
        <w:pBdr>
          <w:top w:val="single" w:sz="4" w:space="1" w:color="auto"/>
          <w:left w:val="single" w:sz="4" w:space="4" w:color="auto"/>
          <w:bottom w:val="single" w:sz="4" w:space="1" w:color="auto"/>
          <w:right w:val="single" w:sz="4" w:space="4" w:color="auto"/>
        </w:pBdr>
        <w:rPr>
          <w:noProof/>
        </w:rPr>
      </w:pPr>
      <w:r>
        <w:rPr>
          <w:noProof/>
        </w:rPr>
        <w:t>These general objectives respond to the key challenges identified in the problem definition of the Impact Assessment of the proposed initiative. They reflect the overarching policy aim of strengthening cybersecurity governance in the Union and supporting the development of a secure, resilient and competitive digital single market.</w:t>
      </w:r>
    </w:p>
    <w:p w14:paraId="17719BAD" w14:textId="77777777" w:rsidR="004F652B" w:rsidRDefault="004F652B" w:rsidP="004F652B">
      <w:pPr>
        <w:pStyle w:val="ManualHeading3"/>
        <w:rPr>
          <w:noProof/>
        </w:rPr>
      </w:pPr>
      <w:bookmarkStart w:id="38" w:name="_Toc514938018"/>
      <w:bookmarkStart w:id="39" w:name="_Toc520485031"/>
      <w:bookmarkStart w:id="40" w:name="_Toc160804573"/>
      <w:bookmarkStart w:id="41" w:name="_Toc167220265"/>
      <w:bookmarkStart w:id="42" w:name="_Toc177548997"/>
      <w:r>
        <w:rPr>
          <w:noProof/>
        </w:rPr>
        <w:t>1.3.2.</w:t>
      </w:r>
      <w:r>
        <w:rPr>
          <w:noProof/>
        </w:rPr>
        <w:tab/>
      </w:r>
      <w:r w:rsidRPr="7D67B65D">
        <w:rPr>
          <w:noProof/>
        </w:rPr>
        <w:t>Specific objective(s)</w:t>
      </w:r>
      <w:bookmarkEnd w:id="38"/>
      <w:bookmarkEnd w:id="39"/>
      <w:bookmarkEnd w:id="40"/>
      <w:bookmarkEnd w:id="41"/>
      <w:bookmarkEnd w:id="42"/>
    </w:p>
    <w:p w14:paraId="7C6DF158" w14:textId="4BDE1FDA" w:rsidR="004F652B" w:rsidRPr="00F841AC" w:rsidRDefault="004F652B" w:rsidP="004F652B">
      <w:pPr>
        <w:pStyle w:val="Text1"/>
        <w:pBdr>
          <w:top w:val="single" w:sz="4" w:space="1" w:color="auto"/>
          <w:left w:val="single" w:sz="4" w:space="4" w:color="auto"/>
          <w:bottom w:val="single" w:sz="4" w:space="1" w:color="auto"/>
          <w:right w:val="single" w:sz="4" w:space="4" w:color="auto"/>
        </w:pBdr>
        <w:rPr>
          <w:noProof/>
        </w:rPr>
      </w:pPr>
      <w:r w:rsidRPr="2EAC6C96">
        <w:rPr>
          <w:i/>
          <w:iCs/>
          <w:noProof/>
        </w:rPr>
        <w:t>To address the misalignment between the EU cybersecurity policy framework and stakeholders’ needs</w:t>
      </w:r>
      <w:r>
        <w:rPr>
          <w:noProof/>
        </w:rPr>
        <w:t>:</w:t>
      </w:r>
    </w:p>
    <w:p w14:paraId="20D0B156" w14:textId="2378C8F0" w:rsidR="004F652B" w:rsidRPr="00EB75C2" w:rsidRDefault="004F652B" w:rsidP="004F652B">
      <w:pPr>
        <w:pStyle w:val="Text1"/>
        <w:pBdr>
          <w:top w:val="single" w:sz="4" w:space="1" w:color="auto"/>
          <w:left w:val="single" w:sz="4" w:space="4" w:color="auto"/>
          <w:bottom w:val="single" w:sz="4" w:space="1" w:color="auto"/>
          <w:right w:val="single" w:sz="4" w:space="4" w:color="auto"/>
        </w:pBdr>
        <w:rPr>
          <w:noProof/>
        </w:rPr>
      </w:pPr>
      <w:r w:rsidRPr="001D0348">
        <w:rPr>
          <w:noProof/>
          <w:u w:val="single"/>
        </w:rPr>
        <w:t>Specific objective No 1</w:t>
      </w:r>
      <w:r>
        <w:rPr>
          <w:noProof/>
        </w:rPr>
        <w:t>: Create the capacity to effectively implement of Union cybersecurity policies and continuous operational cooperation enabling more structured cooperation between Member States.</w:t>
      </w:r>
    </w:p>
    <w:p w14:paraId="012FE72B" w14:textId="77777777" w:rsidR="004F652B" w:rsidRPr="00EB75C2" w:rsidRDefault="004F652B" w:rsidP="004F652B">
      <w:pPr>
        <w:pStyle w:val="Text1"/>
        <w:pBdr>
          <w:top w:val="single" w:sz="4" w:space="1" w:color="auto"/>
          <w:left w:val="single" w:sz="4" w:space="4" w:color="auto"/>
          <w:bottom w:val="single" w:sz="4" w:space="1" w:color="auto"/>
          <w:right w:val="single" w:sz="4" w:space="4" w:color="auto"/>
        </w:pBdr>
        <w:rPr>
          <w:noProof/>
        </w:rPr>
      </w:pPr>
      <w:r w:rsidRPr="001D0348">
        <w:rPr>
          <w:noProof/>
          <w:u w:val="single"/>
        </w:rPr>
        <w:t>Specific objective No 2</w:t>
      </w:r>
      <w:r>
        <w:rPr>
          <w:noProof/>
        </w:rPr>
        <w:t>: Develop and implement the means and mechanisms to effectively support and address the needs of Member States, industry and other stakeholders.</w:t>
      </w:r>
    </w:p>
    <w:p w14:paraId="25C41592" w14:textId="77777777" w:rsidR="004F652B" w:rsidRPr="00EB75C2" w:rsidRDefault="004F652B" w:rsidP="004F652B">
      <w:pPr>
        <w:pStyle w:val="Text1"/>
        <w:pBdr>
          <w:top w:val="single" w:sz="4" w:space="1" w:color="auto"/>
          <w:left w:val="single" w:sz="4" w:space="4" w:color="auto"/>
          <w:bottom w:val="single" w:sz="4" w:space="1" w:color="auto"/>
          <w:right w:val="single" w:sz="4" w:space="4" w:color="auto"/>
        </w:pBdr>
        <w:rPr>
          <w:i/>
          <w:iCs/>
          <w:noProof/>
        </w:rPr>
      </w:pPr>
      <w:r w:rsidRPr="00EB75C2">
        <w:rPr>
          <w:i/>
          <w:iCs/>
          <w:noProof/>
        </w:rPr>
        <w:t>To address the limited uptake and effectiveness of the European Cybersecurity Certification Framework (ECCF)</w:t>
      </w:r>
      <w:r w:rsidRPr="00EB75C2">
        <w:rPr>
          <w:noProof/>
        </w:rPr>
        <w:t>:</w:t>
      </w:r>
    </w:p>
    <w:p w14:paraId="6E7C3750" w14:textId="77777777" w:rsidR="004F652B" w:rsidRPr="00EB75C2" w:rsidRDefault="004F652B" w:rsidP="004F652B">
      <w:pPr>
        <w:pStyle w:val="Text1"/>
        <w:pBdr>
          <w:top w:val="single" w:sz="4" w:space="1" w:color="auto"/>
          <w:left w:val="single" w:sz="4" w:space="4" w:color="auto"/>
          <w:bottom w:val="single" w:sz="4" w:space="1" w:color="auto"/>
          <w:right w:val="single" w:sz="4" w:space="4" w:color="auto"/>
        </w:pBdr>
        <w:rPr>
          <w:noProof/>
        </w:rPr>
      </w:pPr>
      <w:r w:rsidRPr="37013A99">
        <w:rPr>
          <w:noProof/>
          <w:u w:val="single"/>
        </w:rPr>
        <w:t>Specific objective No 3</w:t>
      </w:r>
      <w:r>
        <w:rPr>
          <w:noProof/>
        </w:rPr>
        <w:t>: Create the prerequisites for faster delivery of cybersecurity certification schemes, driven by market needs, by broadening the scope of the ECCF, ensuring effective maintenance and agile procedures and increasing transparency.</w:t>
      </w:r>
    </w:p>
    <w:p w14:paraId="2E62E306" w14:textId="77777777" w:rsidR="004F652B" w:rsidRPr="00EB75C2" w:rsidRDefault="004F652B" w:rsidP="004F652B">
      <w:pPr>
        <w:pStyle w:val="Text1"/>
        <w:pBdr>
          <w:top w:val="single" w:sz="4" w:space="1" w:color="auto"/>
          <w:left w:val="single" w:sz="4" w:space="4" w:color="auto"/>
          <w:bottom w:val="single" w:sz="4" w:space="1" w:color="auto"/>
          <w:right w:val="single" w:sz="4" w:space="4" w:color="auto"/>
        </w:pBdr>
        <w:rPr>
          <w:noProof/>
        </w:rPr>
      </w:pPr>
      <w:r w:rsidRPr="00EB75C2">
        <w:rPr>
          <w:i/>
          <w:iCs/>
          <w:noProof/>
        </w:rPr>
        <w:t>To address the fragmented compliance landscape and complexity of horizontal and sectoral frameworks</w:t>
      </w:r>
      <w:r w:rsidRPr="00EB75C2">
        <w:rPr>
          <w:noProof/>
        </w:rPr>
        <w:t>:</w:t>
      </w:r>
    </w:p>
    <w:p w14:paraId="22AC2F14" w14:textId="2FEE6178" w:rsidR="004F652B" w:rsidRPr="00EB75C2" w:rsidRDefault="004F652B" w:rsidP="004F652B">
      <w:pPr>
        <w:pStyle w:val="Text1"/>
        <w:pBdr>
          <w:top w:val="single" w:sz="4" w:space="1" w:color="auto"/>
          <w:left w:val="single" w:sz="4" w:space="4" w:color="auto"/>
          <w:bottom w:val="single" w:sz="4" w:space="1" w:color="auto"/>
          <w:right w:val="single" w:sz="4" w:space="4" w:color="auto"/>
        </w:pBdr>
        <w:rPr>
          <w:noProof/>
        </w:rPr>
      </w:pPr>
      <w:r w:rsidRPr="37013A99">
        <w:rPr>
          <w:noProof/>
          <w:u w:val="single"/>
        </w:rPr>
        <w:t>Specific objective No 4</w:t>
      </w:r>
      <w:r>
        <w:rPr>
          <w:noProof/>
        </w:rPr>
        <w:t>: Create mechanisms and conditions to facilitate compliance with cybersecurity requirements, thereby making</w:t>
      </w:r>
      <w:r w:rsidR="00D9174C">
        <w:rPr>
          <w:noProof/>
        </w:rPr>
        <w:t xml:space="preserve"> </w:t>
      </w:r>
      <w:r>
        <w:rPr>
          <w:noProof/>
        </w:rPr>
        <w:t xml:space="preserve">and in that way make their implementation more coherent and effective.  </w:t>
      </w:r>
    </w:p>
    <w:p w14:paraId="1016D75A" w14:textId="77777777" w:rsidR="003B159C" w:rsidRDefault="003B159C" w:rsidP="003B159C">
      <w:pPr>
        <w:pStyle w:val="Text1"/>
        <w:pBdr>
          <w:top w:val="single" w:sz="4" w:space="1" w:color="auto"/>
          <w:left w:val="single" w:sz="4" w:space="4" w:color="auto"/>
          <w:bottom w:val="single" w:sz="4" w:space="1" w:color="auto"/>
          <w:right w:val="single" w:sz="4" w:space="4" w:color="auto"/>
        </w:pBdr>
        <w:rPr>
          <w:noProof/>
        </w:rPr>
      </w:pPr>
      <w:r w:rsidRPr="003B159C">
        <w:rPr>
          <w:rFonts w:eastAsiaTheme="minorEastAsia"/>
          <w:i/>
          <w:iCs/>
          <w:noProof/>
          <w:szCs w:val="24"/>
        </w:rPr>
        <w:t>To address cybersecurity risks in the supply chain</w:t>
      </w:r>
      <w:r w:rsidRPr="7E8A004A">
        <w:rPr>
          <w:rFonts w:asciiTheme="minorHAnsi" w:eastAsiaTheme="minorEastAsia" w:hAnsiTheme="minorHAnsi" w:cstheme="minorBidi"/>
          <w:i/>
          <w:iCs/>
          <w:noProof/>
          <w:szCs w:val="24"/>
        </w:rPr>
        <w:t>:</w:t>
      </w:r>
      <w:r>
        <w:rPr>
          <w:noProof/>
        </w:rPr>
        <w:t xml:space="preserve"> </w:t>
      </w:r>
    </w:p>
    <w:p w14:paraId="4296DA32" w14:textId="59C1B351" w:rsidR="004F652B" w:rsidRDefault="003B159C" w:rsidP="003B159C">
      <w:pPr>
        <w:pStyle w:val="Text1"/>
        <w:pBdr>
          <w:top w:val="single" w:sz="4" w:space="1" w:color="auto"/>
          <w:left w:val="single" w:sz="4" w:space="4" w:color="auto"/>
          <w:bottom w:val="single" w:sz="4" w:space="1" w:color="auto"/>
          <w:right w:val="single" w:sz="4" w:space="4" w:color="auto"/>
        </w:pBdr>
        <w:rPr>
          <w:noProof/>
        </w:rPr>
      </w:pPr>
      <w:r w:rsidRPr="009B6A44">
        <w:rPr>
          <w:rFonts w:eastAsiaTheme="minorEastAsia"/>
          <w:noProof/>
          <w:szCs w:val="24"/>
          <w:u w:val="single"/>
        </w:rPr>
        <w:t>Specific objective No 5:</w:t>
      </w:r>
      <w:r>
        <w:rPr>
          <w:noProof/>
        </w:rPr>
        <w:t xml:space="preserve"> De-risk critical ICT supply chains from entities established in  or controlled by entities from countries posing cybersecurity concerns (high-risk suppliers) and reduce critical dependencies by developing a coherent and effective framework at EU level to address ICT supply chain security risks.</w:t>
      </w:r>
    </w:p>
    <w:p w14:paraId="303D9864" w14:textId="77777777" w:rsidR="004F652B" w:rsidRPr="00BD0A20" w:rsidRDefault="004F652B" w:rsidP="004F652B">
      <w:pPr>
        <w:pStyle w:val="ManualHeading3"/>
        <w:rPr>
          <w:noProof/>
        </w:rPr>
      </w:pPr>
      <w:bookmarkStart w:id="43" w:name="_Toc514938019"/>
      <w:bookmarkStart w:id="44" w:name="_Toc520485032"/>
      <w:bookmarkStart w:id="45" w:name="_Toc160804574"/>
      <w:bookmarkStart w:id="46" w:name="_Toc167220266"/>
      <w:bookmarkStart w:id="47" w:name="_Toc177548998"/>
      <w:r>
        <w:rPr>
          <w:noProof/>
        </w:rPr>
        <w:t>1.3.3.</w:t>
      </w:r>
      <w:r>
        <w:rPr>
          <w:noProof/>
        </w:rPr>
        <w:tab/>
      </w:r>
      <w:r w:rsidRPr="7D67B65D">
        <w:rPr>
          <w:noProof/>
        </w:rPr>
        <w:t>Expected result(s) and impact</w:t>
      </w:r>
      <w:bookmarkEnd w:id="43"/>
      <w:bookmarkEnd w:id="44"/>
      <w:bookmarkEnd w:id="45"/>
      <w:bookmarkEnd w:id="46"/>
      <w:bookmarkEnd w:id="47"/>
    </w:p>
    <w:p w14:paraId="460C0134" w14:textId="77777777" w:rsidR="004F652B" w:rsidRDefault="004F652B" w:rsidP="004F652B">
      <w:pPr>
        <w:pStyle w:val="Text1"/>
        <w:rPr>
          <w:i/>
          <w:noProof/>
          <w:sz w:val="20"/>
        </w:rPr>
      </w:pPr>
      <w:r>
        <w:rPr>
          <w:i/>
          <w:noProof/>
          <w:sz w:val="20"/>
        </w:rPr>
        <w:t>Specify the effects which the proposal/initiative should have on the beneficiaries/groups targeted.</w:t>
      </w:r>
    </w:p>
    <w:p w14:paraId="55970FAA" w14:textId="77777777" w:rsidR="004F652B" w:rsidRDefault="004F652B" w:rsidP="004F652B">
      <w:pPr>
        <w:pStyle w:val="Text1"/>
        <w:pBdr>
          <w:top w:val="single" w:sz="4" w:space="1" w:color="auto"/>
          <w:left w:val="single" w:sz="4" w:space="4" w:color="auto"/>
          <w:bottom w:val="single" w:sz="4" w:space="1" w:color="auto"/>
          <w:right w:val="single" w:sz="4" w:space="4" w:color="auto"/>
        </w:pBdr>
        <w:rPr>
          <w:i/>
          <w:iCs/>
          <w:noProof/>
        </w:rPr>
      </w:pPr>
      <w:r w:rsidRPr="00922145">
        <w:rPr>
          <w:i/>
          <w:iCs/>
          <w:noProof/>
        </w:rPr>
        <w:t>The expected results are as follows:</w:t>
      </w:r>
    </w:p>
    <w:p w14:paraId="1F40DC8E" w14:textId="77777777" w:rsidR="004F652B" w:rsidRDefault="004F652B" w:rsidP="004F652B">
      <w:pPr>
        <w:pStyle w:val="Text1"/>
        <w:pBdr>
          <w:top w:val="single" w:sz="4" w:space="1" w:color="auto"/>
          <w:left w:val="single" w:sz="4" w:space="4" w:color="auto"/>
          <w:bottom w:val="single" w:sz="4" w:space="1" w:color="auto"/>
          <w:right w:val="single" w:sz="4" w:space="4" w:color="auto"/>
        </w:pBdr>
        <w:rPr>
          <w:noProof/>
        </w:rPr>
      </w:pPr>
      <w:r>
        <w:rPr>
          <w:noProof/>
        </w:rPr>
        <w:t>(1)</w:t>
      </w:r>
      <w:r>
        <w:rPr>
          <w:noProof/>
        </w:rPr>
        <w:tab/>
      </w:r>
      <w:r w:rsidRPr="00922145">
        <w:rPr>
          <w:noProof/>
        </w:rPr>
        <w:t xml:space="preserve">Functional reform of ENISA </w:t>
      </w:r>
    </w:p>
    <w:p w14:paraId="1659E75D" w14:textId="77777777" w:rsidR="004F652B" w:rsidRDefault="004F652B" w:rsidP="004F652B">
      <w:pPr>
        <w:pStyle w:val="Text1"/>
        <w:pBdr>
          <w:top w:val="single" w:sz="4" w:space="1" w:color="auto"/>
          <w:left w:val="single" w:sz="4" w:space="4" w:color="auto"/>
          <w:bottom w:val="single" w:sz="4" w:space="1" w:color="auto"/>
          <w:right w:val="single" w:sz="4" w:space="4" w:color="auto"/>
        </w:pBdr>
        <w:rPr>
          <w:noProof/>
        </w:rPr>
      </w:pPr>
      <w:r>
        <w:rPr>
          <w:noProof/>
        </w:rPr>
        <w:t>(2)</w:t>
      </w:r>
      <w:r>
        <w:rPr>
          <w:noProof/>
        </w:rPr>
        <w:tab/>
      </w:r>
      <w:r w:rsidRPr="00922145">
        <w:rPr>
          <w:noProof/>
        </w:rPr>
        <w:t>Reform of ECCF – scope extension, new procedure and revised governance</w:t>
      </w:r>
    </w:p>
    <w:p w14:paraId="120DA1F8" w14:textId="77777777" w:rsidR="004F652B" w:rsidRDefault="004F652B" w:rsidP="004F652B">
      <w:pPr>
        <w:pStyle w:val="Text1"/>
        <w:pBdr>
          <w:top w:val="single" w:sz="4" w:space="1" w:color="auto"/>
          <w:left w:val="single" w:sz="4" w:space="4" w:color="auto"/>
          <w:bottom w:val="single" w:sz="4" w:space="1" w:color="auto"/>
          <w:right w:val="single" w:sz="4" w:space="4" w:color="auto"/>
        </w:pBdr>
        <w:ind w:left="1435" w:hanging="585"/>
        <w:rPr>
          <w:noProof/>
        </w:rPr>
      </w:pPr>
      <w:r>
        <w:rPr>
          <w:noProof/>
        </w:rPr>
        <w:t>(3)</w:t>
      </w:r>
      <w:r>
        <w:rPr>
          <w:noProof/>
        </w:rPr>
        <w:tab/>
      </w:r>
      <w:r w:rsidRPr="00922145">
        <w:rPr>
          <w:noProof/>
        </w:rPr>
        <w:t>Further simplification of compliance with relevant Union cybersecurity legislative framework</w:t>
      </w:r>
    </w:p>
    <w:p w14:paraId="300B7000" w14:textId="00CBA6DE" w:rsidR="004F652B" w:rsidRDefault="004F652B" w:rsidP="004F652B">
      <w:pPr>
        <w:pStyle w:val="Text1"/>
        <w:pBdr>
          <w:top w:val="single" w:sz="4" w:space="1" w:color="auto"/>
          <w:left w:val="single" w:sz="4" w:space="4" w:color="auto"/>
          <w:bottom w:val="single" w:sz="4" w:space="1" w:color="auto"/>
          <w:right w:val="single" w:sz="4" w:space="4" w:color="auto"/>
        </w:pBdr>
        <w:rPr>
          <w:noProof/>
        </w:rPr>
      </w:pPr>
      <w:r>
        <w:rPr>
          <w:noProof/>
        </w:rPr>
        <w:t>(4)</w:t>
      </w:r>
      <w:r>
        <w:rPr>
          <w:noProof/>
        </w:rPr>
        <w:tab/>
      </w:r>
      <w:r w:rsidR="003B159C">
        <w:rPr>
          <w:noProof/>
        </w:rPr>
        <w:t>Comprehensive and horizontal framework to address ICT supply chains cybersecurity risks</w:t>
      </w:r>
      <w:r>
        <w:rPr>
          <w:noProof/>
        </w:rPr>
        <w:t xml:space="preserve">  </w:t>
      </w:r>
    </w:p>
    <w:p w14:paraId="41D47FB9" w14:textId="77777777" w:rsidR="004F652B" w:rsidRPr="00922145" w:rsidRDefault="004F652B" w:rsidP="004F652B">
      <w:pPr>
        <w:pStyle w:val="Text1"/>
        <w:pBdr>
          <w:top w:val="single" w:sz="4" w:space="1" w:color="auto"/>
          <w:left w:val="single" w:sz="4" w:space="4" w:color="auto"/>
          <w:bottom w:val="single" w:sz="4" w:space="1" w:color="auto"/>
          <w:right w:val="single" w:sz="4" w:space="4" w:color="auto"/>
        </w:pBdr>
        <w:rPr>
          <w:i/>
          <w:iCs/>
          <w:noProof/>
        </w:rPr>
      </w:pPr>
      <w:r w:rsidRPr="00922145">
        <w:rPr>
          <w:i/>
          <w:iCs/>
          <w:noProof/>
        </w:rPr>
        <w:t>Overall impact:</w:t>
      </w:r>
    </w:p>
    <w:p w14:paraId="1034C03D" w14:textId="53F7055C" w:rsidR="004F652B" w:rsidRDefault="004F652B" w:rsidP="004F652B">
      <w:pPr>
        <w:pStyle w:val="Text1"/>
        <w:pBdr>
          <w:top w:val="single" w:sz="4" w:space="1" w:color="auto"/>
          <w:left w:val="single" w:sz="4" w:space="4" w:color="auto"/>
          <w:bottom w:val="single" w:sz="4" w:space="1" w:color="auto"/>
          <w:right w:val="single" w:sz="4" w:space="4" w:color="auto"/>
        </w:pBdr>
        <w:rPr>
          <w:noProof/>
        </w:rPr>
      </w:pPr>
      <w:r w:rsidRPr="00922145">
        <w:rPr>
          <w:noProof/>
        </w:rPr>
        <w:t>The proposal will have an immense impact on the cybersecurity in the Union as it tackles number of areas such as the needed reinforcement of the European Union Agency for Cybersecurity, strengthens the support for the implementation of the EU law, introduces reforms for smooth implementation of the European certification framework, supports the Union’s joint understanding of the cyber threats and addresses the mitigation of cybersecurity risks according to the geopolitical reality. The implementation of the proposed provisions will ensure high levels of efficiency and coherence and avoid excessive regulatory burden. The package is designed to be resilient to implementation challenges and to support long-term policy coherence across the digital and cybersecurity ecosystem. It improves clarity, removing inefficiencies and aligning procedures across legal frameworks, while contributing to achieving high level of cybersecurity across the EU. As one of the main priority objectives of the EU Commission, the envisaged simplification efforts will yield significant economic benefits for businesses, includin</w:t>
      </w:r>
      <w:r w:rsidRPr="00D83D20">
        <w:rPr>
          <w:noProof/>
        </w:rPr>
        <w:t xml:space="preserve">g SMEs, of more than EUR </w:t>
      </w:r>
      <w:r>
        <w:rPr>
          <w:noProof/>
        </w:rPr>
        <w:t>1</w:t>
      </w:r>
      <w:r w:rsidR="7F54C257">
        <w:rPr>
          <w:noProof/>
        </w:rPr>
        <w:t>4</w:t>
      </w:r>
      <w:r>
        <w:rPr>
          <w:noProof/>
        </w:rPr>
        <w:t>.</w:t>
      </w:r>
      <w:r w:rsidR="44C4803F">
        <w:rPr>
          <w:noProof/>
        </w:rPr>
        <w:t>6</w:t>
      </w:r>
      <w:r>
        <w:rPr>
          <w:noProof/>
        </w:rPr>
        <w:t>3</w:t>
      </w:r>
      <w:r w:rsidRPr="00D83D20">
        <w:rPr>
          <w:noProof/>
        </w:rPr>
        <w:t xml:space="preserve"> billion and for public authorities of EUR 7.5 million</w:t>
      </w:r>
      <w:r>
        <w:rPr>
          <w:noProof/>
        </w:rPr>
        <w:t>.</w:t>
      </w:r>
    </w:p>
    <w:p w14:paraId="52BFAA71" w14:textId="77777777" w:rsidR="004F652B" w:rsidRDefault="004F652B" w:rsidP="004F652B">
      <w:pPr>
        <w:pStyle w:val="Text1"/>
        <w:pBdr>
          <w:top w:val="single" w:sz="4" w:space="1" w:color="auto"/>
          <w:left w:val="single" w:sz="4" w:space="4" w:color="auto"/>
          <w:bottom w:val="single" w:sz="4" w:space="1" w:color="auto"/>
          <w:right w:val="single" w:sz="4" w:space="4" w:color="auto"/>
        </w:pBdr>
        <w:rPr>
          <w:i/>
          <w:iCs/>
          <w:noProof/>
        </w:rPr>
      </w:pPr>
      <w:r w:rsidRPr="00922145">
        <w:rPr>
          <w:i/>
          <w:iCs/>
          <w:noProof/>
        </w:rPr>
        <w:t>Specific results include:</w:t>
      </w:r>
    </w:p>
    <w:p w14:paraId="1DFA996E" w14:textId="77777777" w:rsidR="004F652B" w:rsidRDefault="004F652B" w:rsidP="004F652B">
      <w:pPr>
        <w:pStyle w:val="Text1"/>
        <w:pBdr>
          <w:top w:val="single" w:sz="4" w:space="1" w:color="auto"/>
          <w:left w:val="single" w:sz="4" w:space="4" w:color="auto"/>
          <w:bottom w:val="single" w:sz="4" w:space="1" w:color="auto"/>
          <w:right w:val="single" w:sz="4" w:space="4" w:color="auto"/>
        </w:pBdr>
        <w:ind w:left="1435" w:hanging="585"/>
        <w:rPr>
          <w:noProof/>
        </w:rPr>
      </w:pPr>
      <w:r>
        <w:rPr>
          <w:i/>
          <w:iCs/>
          <w:noProof/>
        </w:rPr>
        <w:t>-</w:t>
      </w:r>
      <w:r>
        <w:rPr>
          <w:i/>
          <w:iCs/>
          <w:noProof/>
        </w:rPr>
        <w:tab/>
      </w:r>
      <w:r w:rsidRPr="00922145">
        <w:rPr>
          <w:noProof/>
        </w:rPr>
        <w:t>increased awareness and improved operational coordination, which could generate considerable costs savings related to faster incident detection and response for businesses, public authorities and citizens;</w:t>
      </w:r>
    </w:p>
    <w:p w14:paraId="31DCC569" w14:textId="77777777" w:rsidR="004F652B" w:rsidRDefault="004F652B" w:rsidP="004F652B">
      <w:pPr>
        <w:pStyle w:val="Text1"/>
        <w:pBdr>
          <w:top w:val="single" w:sz="4" w:space="1" w:color="auto"/>
          <w:left w:val="single" w:sz="4" w:space="4" w:color="auto"/>
          <w:bottom w:val="single" w:sz="4" w:space="1" w:color="auto"/>
          <w:right w:val="single" w:sz="4" w:space="4" w:color="auto"/>
        </w:pBdr>
        <w:ind w:left="1435" w:hanging="585"/>
        <w:rPr>
          <w:noProof/>
        </w:rPr>
      </w:pPr>
      <w:r>
        <w:rPr>
          <w:i/>
          <w:iCs/>
          <w:noProof/>
        </w:rPr>
        <w:t>-</w:t>
      </w:r>
      <w:r>
        <w:rPr>
          <w:noProof/>
        </w:rPr>
        <w:tab/>
      </w:r>
      <w:r w:rsidRPr="00922145">
        <w:rPr>
          <w:noProof/>
        </w:rPr>
        <w:t>providing clarity of the scope and remit of ENISA, while ensuring the necessary prioritisation of its primary tasks;</w:t>
      </w:r>
    </w:p>
    <w:p w14:paraId="7D8E2CAD" w14:textId="77777777" w:rsidR="004F652B" w:rsidRDefault="004F652B" w:rsidP="004F652B">
      <w:pPr>
        <w:pStyle w:val="Text1"/>
        <w:pBdr>
          <w:top w:val="single" w:sz="4" w:space="1" w:color="auto"/>
          <w:left w:val="single" w:sz="4" w:space="4" w:color="auto"/>
          <w:bottom w:val="single" w:sz="4" w:space="1" w:color="auto"/>
          <w:right w:val="single" w:sz="4" w:space="4" w:color="auto"/>
        </w:pBdr>
        <w:ind w:left="1435" w:hanging="585"/>
        <w:rPr>
          <w:noProof/>
        </w:rPr>
      </w:pPr>
      <w:r>
        <w:rPr>
          <w:i/>
          <w:iCs/>
          <w:noProof/>
        </w:rPr>
        <w:t>-</w:t>
      </w:r>
      <w:r>
        <w:rPr>
          <w:noProof/>
        </w:rPr>
        <w:tab/>
      </w:r>
      <w:r w:rsidRPr="00922145">
        <w:rPr>
          <w:noProof/>
        </w:rPr>
        <w:t>ensure that the stakeholders receive adequate support for policy implementation, operational activities and overall coordination;</w:t>
      </w:r>
    </w:p>
    <w:p w14:paraId="5254D964" w14:textId="77777777" w:rsidR="004F652B" w:rsidRDefault="004F652B" w:rsidP="004F652B">
      <w:pPr>
        <w:pStyle w:val="Text1"/>
        <w:pBdr>
          <w:top w:val="single" w:sz="4" w:space="1" w:color="auto"/>
          <w:left w:val="single" w:sz="4" w:space="4" w:color="auto"/>
          <w:bottom w:val="single" w:sz="4" w:space="1" w:color="auto"/>
          <w:right w:val="single" w:sz="4" w:space="4" w:color="auto"/>
        </w:pBdr>
        <w:rPr>
          <w:noProof/>
        </w:rPr>
      </w:pPr>
      <w:r>
        <w:rPr>
          <w:i/>
          <w:iCs/>
          <w:noProof/>
        </w:rPr>
        <w:t>-</w:t>
      </w:r>
      <w:r>
        <w:rPr>
          <w:noProof/>
        </w:rPr>
        <w:tab/>
      </w:r>
      <w:r w:rsidRPr="00922145">
        <w:rPr>
          <w:noProof/>
        </w:rPr>
        <w:t>Support Union’s shared situational awareness</w:t>
      </w:r>
    </w:p>
    <w:p w14:paraId="1C24A493" w14:textId="77777777" w:rsidR="004F652B" w:rsidRDefault="004F652B" w:rsidP="004F652B">
      <w:pPr>
        <w:pStyle w:val="Text1"/>
        <w:pBdr>
          <w:top w:val="single" w:sz="4" w:space="1" w:color="auto"/>
          <w:left w:val="single" w:sz="4" w:space="4" w:color="auto"/>
          <w:bottom w:val="single" w:sz="4" w:space="1" w:color="auto"/>
          <w:right w:val="single" w:sz="4" w:space="4" w:color="auto"/>
        </w:pBdr>
        <w:ind w:left="1435" w:hanging="585"/>
        <w:rPr>
          <w:noProof/>
        </w:rPr>
      </w:pPr>
      <w:r>
        <w:rPr>
          <w:i/>
          <w:iCs/>
          <w:noProof/>
        </w:rPr>
        <w:t>-</w:t>
      </w:r>
      <w:r>
        <w:rPr>
          <w:noProof/>
        </w:rPr>
        <w:tab/>
      </w:r>
      <w:r w:rsidRPr="00922145">
        <w:rPr>
          <w:noProof/>
        </w:rPr>
        <w:t>enhanced cooperation with EU-CyCLONe, the CSIRTs network, the Commission, Europol and CERT-EU and relevant Union entities with the aim to develop a repositories of verified, reliable cyber threat intelligence;</w:t>
      </w:r>
    </w:p>
    <w:p w14:paraId="44CA6DAC" w14:textId="77777777" w:rsidR="004F652B" w:rsidRDefault="004F652B" w:rsidP="004F652B">
      <w:pPr>
        <w:pStyle w:val="Text1"/>
        <w:pBdr>
          <w:top w:val="single" w:sz="4" w:space="1" w:color="auto"/>
          <w:left w:val="single" w:sz="4" w:space="4" w:color="auto"/>
          <w:bottom w:val="single" w:sz="4" w:space="1" w:color="auto"/>
          <w:right w:val="single" w:sz="4" w:space="4" w:color="auto"/>
        </w:pBdr>
        <w:rPr>
          <w:noProof/>
        </w:rPr>
      </w:pPr>
      <w:r>
        <w:rPr>
          <w:i/>
          <w:iCs/>
          <w:noProof/>
        </w:rPr>
        <w:t>-</w:t>
      </w:r>
      <w:r>
        <w:rPr>
          <w:noProof/>
        </w:rPr>
        <w:tab/>
      </w:r>
      <w:r w:rsidRPr="00922145">
        <w:rPr>
          <w:noProof/>
        </w:rPr>
        <w:t>support the efforts of mitigating ransomware attacks;</w:t>
      </w:r>
    </w:p>
    <w:p w14:paraId="24DE4A42" w14:textId="77777777" w:rsidR="004F652B" w:rsidRDefault="004F652B" w:rsidP="004F652B">
      <w:pPr>
        <w:pStyle w:val="Text1"/>
        <w:pBdr>
          <w:top w:val="single" w:sz="4" w:space="1" w:color="auto"/>
          <w:left w:val="single" w:sz="4" w:space="4" w:color="auto"/>
          <w:bottom w:val="single" w:sz="4" w:space="1" w:color="auto"/>
          <w:right w:val="single" w:sz="4" w:space="4" w:color="auto"/>
        </w:pBdr>
        <w:rPr>
          <w:noProof/>
        </w:rPr>
      </w:pPr>
      <w:r>
        <w:rPr>
          <w:i/>
          <w:iCs/>
          <w:noProof/>
        </w:rPr>
        <w:t>-</w:t>
      </w:r>
      <w:r>
        <w:rPr>
          <w:noProof/>
        </w:rPr>
        <w:tab/>
      </w:r>
      <w:r w:rsidRPr="00922145">
        <w:rPr>
          <w:noProof/>
        </w:rPr>
        <w:t>enhanced coordination with private sector on cybersecurity related topics;</w:t>
      </w:r>
    </w:p>
    <w:p w14:paraId="7ED39998" w14:textId="77777777" w:rsidR="004F652B" w:rsidRDefault="004F652B" w:rsidP="004F652B">
      <w:pPr>
        <w:pStyle w:val="Text1"/>
        <w:pBdr>
          <w:top w:val="single" w:sz="4" w:space="1" w:color="auto"/>
          <w:left w:val="single" w:sz="4" w:space="4" w:color="auto"/>
          <w:bottom w:val="single" w:sz="4" w:space="1" w:color="auto"/>
          <w:right w:val="single" w:sz="4" w:space="4" w:color="auto"/>
        </w:pBdr>
        <w:ind w:left="1435" w:hanging="585"/>
        <w:rPr>
          <w:noProof/>
        </w:rPr>
      </w:pPr>
      <w:r>
        <w:rPr>
          <w:i/>
          <w:iCs/>
          <w:noProof/>
        </w:rPr>
        <w:t>-</w:t>
      </w:r>
      <w:r>
        <w:rPr>
          <w:noProof/>
        </w:rPr>
        <w:tab/>
      </w:r>
      <w:r w:rsidRPr="00922145">
        <w:rPr>
          <w:noProof/>
        </w:rPr>
        <w:t xml:space="preserve">disseminating timely information through early alerts on significant or large-scale incident, or a cyber threat of a cross-border nature, in relation to sectors listed in Annexes I and II to Directive (EU) 2022/2555; </w:t>
      </w:r>
    </w:p>
    <w:p w14:paraId="16B85156" w14:textId="77777777" w:rsidR="004F652B" w:rsidRDefault="004F652B" w:rsidP="004F652B">
      <w:pPr>
        <w:pStyle w:val="Text1"/>
        <w:pBdr>
          <w:top w:val="single" w:sz="4" w:space="1" w:color="auto"/>
          <w:left w:val="single" w:sz="4" w:space="4" w:color="auto"/>
          <w:bottom w:val="single" w:sz="4" w:space="1" w:color="auto"/>
          <w:right w:val="single" w:sz="4" w:space="4" w:color="auto"/>
        </w:pBdr>
        <w:rPr>
          <w:noProof/>
        </w:rPr>
      </w:pPr>
      <w:r>
        <w:rPr>
          <w:i/>
          <w:iCs/>
          <w:noProof/>
        </w:rPr>
        <w:t>-</w:t>
      </w:r>
      <w:r>
        <w:rPr>
          <w:noProof/>
        </w:rPr>
        <w:tab/>
      </w:r>
      <w:r w:rsidRPr="00922145">
        <w:rPr>
          <w:noProof/>
        </w:rPr>
        <w:t>foster effective synergies with other EU bodies and agencies;</w:t>
      </w:r>
    </w:p>
    <w:p w14:paraId="3815001F" w14:textId="77777777" w:rsidR="004F652B" w:rsidRDefault="004F652B" w:rsidP="004F652B">
      <w:pPr>
        <w:pStyle w:val="Text1"/>
        <w:pBdr>
          <w:top w:val="single" w:sz="4" w:space="1" w:color="auto"/>
          <w:left w:val="single" w:sz="4" w:space="4" w:color="auto"/>
          <w:bottom w:val="single" w:sz="4" w:space="1" w:color="auto"/>
          <w:right w:val="single" w:sz="4" w:space="4" w:color="auto"/>
        </w:pBdr>
        <w:ind w:left="1435" w:hanging="585"/>
        <w:rPr>
          <w:noProof/>
        </w:rPr>
      </w:pPr>
      <w:r>
        <w:rPr>
          <w:i/>
          <w:iCs/>
          <w:noProof/>
        </w:rPr>
        <w:t>-</w:t>
      </w:r>
      <w:r>
        <w:rPr>
          <w:i/>
          <w:iCs/>
          <w:noProof/>
        </w:rPr>
        <w:tab/>
      </w:r>
      <w:r w:rsidRPr="00922145">
        <w:rPr>
          <w:noProof/>
        </w:rPr>
        <w:t>lower the price of skills certifications, including by increasing the offering on the market by introducing the European skills attestation schemes;</w:t>
      </w:r>
    </w:p>
    <w:p w14:paraId="18B281BA" w14:textId="77777777" w:rsidR="004F652B" w:rsidRDefault="004F652B" w:rsidP="004F652B">
      <w:pPr>
        <w:pStyle w:val="Text1"/>
        <w:pBdr>
          <w:top w:val="single" w:sz="4" w:space="1" w:color="auto"/>
          <w:left w:val="single" w:sz="4" w:space="4" w:color="auto"/>
          <w:bottom w:val="single" w:sz="4" w:space="1" w:color="auto"/>
          <w:right w:val="single" w:sz="4" w:space="4" w:color="auto"/>
        </w:pBdr>
        <w:ind w:left="1435" w:hanging="585"/>
        <w:rPr>
          <w:noProof/>
        </w:rPr>
      </w:pPr>
      <w:r>
        <w:rPr>
          <w:i/>
          <w:iCs/>
          <w:noProof/>
        </w:rPr>
        <w:t>-</w:t>
      </w:r>
      <w:r>
        <w:rPr>
          <w:noProof/>
        </w:rPr>
        <w:tab/>
      </w:r>
      <w:r w:rsidRPr="00922145">
        <w:rPr>
          <w:noProof/>
        </w:rPr>
        <w:t>support closing the skills gap in Europe through individual cybersecurity skills attestations and support Member States and industry in strengthening their workforce;</w:t>
      </w:r>
    </w:p>
    <w:p w14:paraId="13277598" w14:textId="77777777" w:rsidR="004F652B" w:rsidRDefault="004F652B" w:rsidP="004F652B">
      <w:pPr>
        <w:pStyle w:val="Text1"/>
        <w:pBdr>
          <w:top w:val="single" w:sz="4" w:space="1" w:color="auto"/>
          <w:left w:val="single" w:sz="4" w:space="4" w:color="auto"/>
          <w:bottom w:val="single" w:sz="4" w:space="1" w:color="auto"/>
          <w:right w:val="single" w:sz="4" w:space="4" w:color="auto"/>
        </w:pBdr>
        <w:ind w:left="1435" w:hanging="585"/>
        <w:rPr>
          <w:noProof/>
        </w:rPr>
      </w:pPr>
      <w:r>
        <w:rPr>
          <w:i/>
          <w:iCs/>
          <w:noProof/>
        </w:rPr>
        <w:t>-</w:t>
      </w:r>
      <w:r>
        <w:rPr>
          <w:noProof/>
        </w:rPr>
        <w:tab/>
      </w:r>
      <w:r w:rsidRPr="00922145">
        <w:rPr>
          <w:noProof/>
        </w:rPr>
        <w:t xml:space="preserve">addressing the lack of clarity of the ECCF framework and its limited impact, expanding its scope and improving its governance model; </w:t>
      </w:r>
    </w:p>
    <w:p w14:paraId="6BD70475" w14:textId="77777777" w:rsidR="004F652B" w:rsidRDefault="004F652B" w:rsidP="004F652B">
      <w:pPr>
        <w:pStyle w:val="Text1"/>
        <w:pBdr>
          <w:top w:val="single" w:sz="4" w:space="1" w:color="auto"/>
          <w:left w:val="single" w:sz="4" w:space="4" w:color="auto"/>
          <w:bottom w:val="single" w:sz="4" w:space="1" w:color="auto"/>
          <w:right w:val="single" w:sz="4" w:space="4" w:color="auto"/>
        </w:pBdr>
        <w:ind w:left="1435" w:hanging="585"/>
        <w:rPr>
          <w:noProof/>
        </w:rPr>
      </w:pPr>
      <w:r>
        <w:rPr>
          <w:i/>
          <w:iCs/>
          <w:noProof/>
        </w:rPr>
        <w:t>-</w:t>
      </w:r>
      <w:r>
        <w:rPr>
          <w:noProof/>
        </w:rPr>
        <w:tab/>
      </w:r>
      <w:r w:rsidRPr="00922145">
        <w:rPr>
          <w:noProof/>
        </w:rPr>
        <w:t>increase the reputation of adopted schemes by establishment of a maintenance structure and the introduction of a timely and transparent development process;</w:t>
      </w:r>
    </w:p>
    <w:p w14:paraId="32D2FE35" w14:textId="77777777" w:rsidR="004F652B" w:rsidRDefault="004F652B" w:rsidP="004F652B">
      <w:pPr>
        <w:pStyle w:val="Text1"/>
        <w:pBdr>
          <w:top w:val="single" w:sz="4" w:space="1" w:color="auto"/>
          <w:left w:val="single" w:sz="4" w:space="4" w:color="auto"/>
          <w:bottom w:val="single" w:sz="4" w:space="1" w:color="auto"/>
          <w:right w:val="single" w:sz="4" w:space="4" w:color="auto"/>
        </w:pBdr>
        <w:ind w:left="1435" w:hanging="585"/>
        <w:rPr>
          <w:noProof/>
        </w:rPr>
      </w:pPr>
      <w:r>
        <w:rPr>
          <w:i/>
          <w:iCs/>
          <w:noProof/>
        </w:rPr>
        <w:t>-</w:t>
      </w:r>
      <w:r>
        <w:rPr>
          <w:noProof/>
        </w:rPr>
        <w:tab/>
      </w:r>
      <w:r w:rsidRPr="00922145">
        <w:rPr>
          <w:noProof/>
        </w:rPr>
        <w:t>introducing fees mechanism in relation to the costs occurring for developing and maintaining the European individual cybersecurity skills attestation schemes and processing applications and granting authorisations to providers,</w:t>
      </w:r>
      <w:r>
        <w:rPr>
          <w:noProof/>
        </w:rPr>
        <w:t xml:space="preserve"> </w:t>
      </w:r>
      <w:r w:rsidRPr="00922145">
        <w:rPr>
          <w:noProof/>
        </w:rPr>
        <w:t xml:space="preserve">and for maintenance of schemes, adopted under ECCF, which will contribute to the Agency financial stability and create savings under the EU budget; </w:t>
      </w:r>
    </w:p>
    <w:p w14:paraId="636EFAEA" w14:textId="77777777" w:rsidR="004F652B" w:rsidRDefault="004F652B" w:rsidP="004F652B">
      <w:pPr>
        <w:pStyle w:val="Text1"/>
        <w:pBdr>
          <w:top w:val="single" w:sz="4" w:space="1" w:color="auto"/>
          <w:left w:val="single" w:sz="4" w:space="4" w:color="auto"/>
          <w:bottom w:val="single" w:sz="4" w:space="1" w:color="auto"/>
          <w:right w:val="single" w:sz="4" w:space="4" w:color="auto"/>
        </w:pBdr>
        <w:ind w:left="1435" w:hanging="585"/>
        <w:rPr>
          <w:noProof/>
        </w:rPr>
      </w:pPr>
      <w:r>
        <w:rPr>
          <w:i/>
          <w:iCs/>
          <w:noProof/>
        </w:rPr>
        <w:t>-</w:t>
      </w:r>
      <w:r>
        <w:rPr>
          <w:noProof/>
        </w:rPr>
        <w:tab/>
      </w:r>
      <w:r w:rsidRPr="00922145">
        <w:rPr>
          <w:noProof/>
        </w:rPr>
        <w:t>aligned European certification schemes with the existing legislative framework and hence better serve implementation efforts and support compliance needs of businesses;</w:t>
      </w:r>
    </w:p>
    <w:p w14:paraId="339CBDAC" w14:textId="77777777" w:rsidR="004F652B" w:rsidRDefault="004F652B" w:rsidP="004F652B">
      <w:pPr>
        <w:pStyle w:val="Text1"/>
        <w:pBdr>
          <w:top w:val="single" w:sz="4" w:space="1" w:color="auto"/>
          <w:left w:val="single" w:sz="4" w:space="4" w:color="auto"/>
          <w:bottom w:val="single" w:sz="4" w:space="1" w:color="auto"/>
          <w:right w:val="single" w:sz="4" w:space="4" w:color="auto"/>
        </w:pBdr>
        <w:rPr>
          <w:noProof/>
        </w:rPr>
      </w:pPr>
      <w:r>
        <w:rPr>
          <w:i/>
          <w:iCs/>
          <w:noProof/>
        </w:rPr>
        <w:t>-</w:t>
      </w:r>
      <w:r>
        <w:rPr>
          <w:noProof/>
        </w:rPr>
        <w:tab/>
      </w:r>
      <w:r w:rsidRPr="00922145">
        <w:rPr>
          <w:noProof/>
        </w:rPr>
        <w:t xml:space="preserve">enabling the adoption of currently blocked schemes; </w:t>
      </w:r>
    </w:p>
    <w:p w14:paraId="1F254115" w14:textId="77777777" w:rsidR="004F652B" w:rsidRDefault="004F652B" w:rsidP="004F652B">
      <w:pPr>
        <w:pStyle w:val="Text1"/>
        <w:pBdr>
          <w:top w:val="single" w:sz="4" w:space="1" w:color="auto"/>
          <w:left w:val="single" w:sz="4" w:space="4" w:color="auto"/>
          <w:bottom w:val="single" w:sz="4" w:space="1" w:color="auto"/>
          <w:right w:val="single" w:sz="4" w:space="4" w:color="auto"/>
        </w:pBdr>
        <w:ind w:left="1435" w:hanging="585"/>
        <w:rPr>
          <w:noProof/>
        </w:rPr>
      </w:pPr>
      <w:r>
        <w:rPr>
          <w:i/>
          <w:iCs/>
          <w:noProof/>
        </w:rPr>
        <w:t>-</w:t>
      </w:r>
      <w:r>
        <w:rPr>
          <w:noProof/>
        </w:rPr>
        <w:tab/>
      </w:r>
      <w:r w:rsidRPr="00922145">
        <w:rPr>
          <w:noProof/>
        </w:rPr>
        <w:t>foster competitiveness of European companies by promoting alignment between international and European standards;</w:t>
      </w:r>
    </w:p>
    <w:p w14:paraId="733E950C" w14:textId="77777777" w:rsidR="004F652B" w:rsidRDefault="004F652B" w:rsidP="004F652B">
      <w:pPr>
        <w:pStyle w:val="Text1"/>
        <w:pBdr>
          <w:top w:val="single" w:sz="4" w:space="1" w:color="auto"/>
          <w:left w:val="single" w:sz="4" w:space="4" w:color="auto"/>
          <w:bottom w:val="single" w:sz="4" w:space="1" w:color="auto"/>
          <w:right w:val="single" w:sz="4" w:space="4" w:color="auto"/>
        </w:pBdr>
        <w:rPr>
          <w:noProof/>
        </w:rPr>
      </w:pPr>
      <w:r>
        <w:rPr>
          <w:i/>
          <w:iCs/>
          <w:noProof/>
        </w:rPr>
        <w:t>-</w:t>
      </w:r>
      <w:r>
        <w:rPr>
          <w:noProof/>
        </w:rPr>
        <w:tab/>
      </w:r>
      <w:r w:rsidRPr="00922145">
        <w:rPr>
          <w:noProof/>
        </w:rPr>
        <w:t>limiting fragmentation in cybersecurity measures and requirements;</w:t>
      </w:r>
    </w:p>
    <w:p w14:paraId="42E8E612" w14:textId="77777777" w:rsidR="004F652B" w:rsidRDefault="004F652B" w:rsidP="004F652B">
      <w:pPr>
        <w:pStyle w:val="Text1"/>
        <w:pBdr>
          <w:top w:val="single" w:sz="4" w:space="1" w:color="auto"/>
          <w:left w:val="single" w:sz="4" w:space="4" w:color="auto"/>
          <w:bottom w:val="single" w:sz="4" w:space="1" w:color="auto"/>
          <w:right w:val="single" w:sz="4" w:space="4" w:color="auto"/>
        </w:pBdr>
        <w:ind w:left="1435" w:hanging="585"/>
        <w:rPr>
          <w:noProof/>
        </w:rPr>
      </w:pPr>
      <w:r>
        <w:rPr>
          <w:i/>
          <w:iCs/>
          <w:noProof/>
        </w:rPr>
        <w:t>-</w:t>
      </w:r>
      <w:r>
        <w:rPr>
          <w:noProof/>
        </w:rPr>
        <w:tab/>
      </w:r>
      <w:r w:rsidRPr="00922145">
        <w:rPr>
          <w:noProof/>
        </w:rPr>
        <w:t>providing for legal clarity and substantially reducing the administrative burden, without leading to significant legal uncertainty among stakeholders that are in the process of adapting to the recently adopted legal frameworks;</w:t>
      </w:r>
    </w:p>
    <w:p w14:paraId="7BCF0BFD" w14:textId="77777777" w:rsidR="004F652B" w:rsidRPr="00922145" w:rsidRDefault="004F652B" w:rsidP="004F652B">
      <w:pPr>
        <w:pStyle w:val="Text1"/>
        <w:pBdr>
          <w:top w:val="single" w:sz="4" w:space="1" w:color="auto"/>
          <w:left w:val="single" w:sz="4" w:space="4" w:color="auto"/>
          <w:bottom w:val="single" w:sz="4" w:space="1" w:color="auto"/>
          <w:right w:val="single" w:sz="4" w:space="4" w:color="auto"/>
        </w:pBdr>
        <w:ind w:left="1435" w:hanging="585"/>
        <w:rPr>
          <w:noProof/>
        </w:rPr>
      </w:pPr>
      <w:r>
        <w:rPr>
          <w:noProof/>
        </w:rPr>
        <w:t>-</w:t>
      </w:r>
      <w:r>
        <w:rPr>
          <w:noProof/>
        </w:rPr>
        <w:tab/>
      </w:r>
      <w:r w:rsidRPr="00922145">
        <w:rPr>
          <w:noProof/>
        </w:rPr>
        <w:t>facilitate compliance for NIS2 entities, which would also contribute to a better compliance rate overall and more meaningful cybersecurity measures put in place, while making the supervision process on the authorities’ side more efficient;</w:t>
      </w:r>
    </w:p>
    <w:p w14:paraId="510BE5BD" w14:textId="77777777" w:rsidR="004F652B" w:rsidRDefault="004F652B" w:rsidP="004F652B">
      <w:pPr>
        <w:pStyle w:val="Text1"/>
        <w:pBdr>
          <w:top w:val="single" w:sz="4" w:space="1" w:color="auto"/>
          <w:left w:val="single" w:sz="4" w:space="4" w:color="auto"/>
          <w:bottom w:val="single" w:sz="4" w:space="1" w:color="auto"/>
          <w:right w:val="single" w:sz="4" w:space="4" w:color="auto"/>
        </w:pBdr>
        <w:ind w:left="1435" w:hanging="585"/>
        <w:rPr>
          <w:noProof/>
        </w:rPr>
      </w:pPr>
    </w:p>
    <w:p w14:paraId="5079752D" w14:textId="77777777" w:rsidR="004F652B" w:rsidRDefault="004F652B" w:rsidP="004F652B">
      <w:pPr>
        <w:pStyle w:val="Text1"/>
        <w:pBdr>
          <w:top w:val="single" w:sz="4" w:space="1" w:color="auto"/>
          <w:left w:val="single" w:sz="4" w:space="4" w:color="auto"/>
          <w:bottom w:val="single" w:sz="4" w:space="1" w:color="auto"/>
          <w:right w:val="single" w:sz="4" w:space="4" w:color="auto"/>
        </w:pBdr>
        <w:ind w:left="1435" w:hanging="585"/>
        <w:rPr>
          <w:noProof/>
        </w:rPr>
      </w:pPr>
    </w:p>
    <w:p w14:paraId="5E91204E" w14:textId="77777777" w:rsidR="004F652B" w:rsidRDefault="004F652B" w:rsidP="004F652B">
      <w:pPr>
        <w:pStyle w:val="Text1"/>
        <w:pBdr>
          <w:top w:val="single" w:sz="4" w:space="1" w:color="auto"/>
          <w:left w:val="single" w:sz="4" w:space="4" w:color="auto"/>
          <w:bottom w:val="single" w:sz="4" w:space="1" w:color="auto"/>
          <w:right w:val="single" w:sz="4" w:space="4" w:color="auto"/>
        </w:pBdr>
        <w:rPr>
          <w:i/>
          <w:iCs/>
          <w:noProof/>
        </w:rPr>
      </w:pPr>
      <w:r w:rsidRPr="00922145">
        <w:rPr>
          <w:i/>
          <w:iCs/>
          <w:noProof/>
        </w:rPr>
        <w:t>Other</w:t>
      </w:r>
    </w:p>
    <w:p w14:paraId="00912BD4" w14:textId="77777777" w:rsidR="004F652B" w:rsidRDefault="004F652B" w:rsidP="004F652B">
      <w:pPr>
        <w:pStyle w:val="Text1"/>
        <w:pBdr>
          <w:top w:val="single" w:sz="4" w:space="1" w:color="auto"/>
          <w:left w:val="single" w:sz="4" w:space="4" w:color="auto"/>
          <w:bottom w:val="single" w:sz="4" w:space="1" w:color="auto"/>
          <w:right w:val="single" w:sz="4" w:space="4" w:color="auto"/>
        </w:pBdr>
        <w:ind w:left="1210" w:hanging="360"/>
        <w:rPr>
          <w:noProof/>
        </w:rPr>
      </w:pPr>
      <w:r>
        <w:rPr>
          <w:noProof/>
        </w:rPr>
        <w:t>-</w:t>
      </w:r>
      <w:r>
        <w:rPr>
          <w:noProof/>
        </w:rPr>
        <w:tab/>
      </w:r>
      <w:r w:rsidRPr="00922145">
        <w:rPr>
          <w:noProof/>
        </w:rPr>
        <w:t>SMEs would have numerous positive impacts from the initiative considering improved competitiveness within EU cybersecurity market, as well as reduced costs and administrative burden:</w:t>
      </w:r>
    </w:p>
    <w:p w14:paraId="5C4B0F2C" w14:textId="77777777" w:rsidR="004F652B" w:rsidRPr="00FE1CC7" w:rsidRDefault="004F652B" w:rsidP="004F652B">
      <w:pPr>
        <w:pStyle w:val="Text1"/>
        <w:pBdr>
          <w:top w:val="single" w:sz="4" w:space="1" w:color="auto"/>
          <w:left w:val="single" w:sz="4" w:space="4" w:color="auto"/>
          <w:bottom w:val="single" w:sz="4" w:space="1" w:color="auto"/>
          <w:right w:val="single" w:sz="4" w:space="4" w:color="auto"/>
        </w:pBdr>
        <w:ind w:left="1210" w:hanging="360"/>
        <w:rPr>
          <w:i/>
          <w:iCs/>
          <w:noProof/>
          <w:sz w:val="20"/>
          <w:szCs w:val="20"/>
        </w:rPr>
      </w:pPr>
      <w:r w:rsidRPr="00FE1CC7">
        <w:rPr>
          <w:i/>
          <w:iCs/>
          <w:noProof/>
          <w:sz w:val="20"/>
          <w:szCs w:val="20"/>
        </w:rPr>
        <w:t>1.</w:t>
      </w:r>
      <w:r>
        <w:rPr>
          <w:i/>
          <w:iCs/>
          <w:noProof/>
          <w:sz w:val="20"/>
          <w:szCs w:val="20"/>
        </w:rPr>
        <w:tab/>
      </w:r>
      <w:r w:rsidRPr="00FE1CC7">
        <w:rPr>
          <w:i/>
          <w:iCs/>
          <w:noProof/>
          <w:sz w:val="20"/>
          <w:szCs w:val="20"/>
        </w:rPr>
        <w:t>Positive role on SMEs who would benefit from increased cyber resilience due to an enhanced role of ENISA and technical guidance, provided by the Agency.</w:t>
      </w:r>
    </w:p>
    <w:p w14:paraId="4691FCCD" w14:textId="77777777" w:rsidR="004F652B" w:rsidRPr="00FE1CC7" w:rsidRDefault="004F652B" w:rsidP="004F652B">
      <w:pPr>
        <w:pStyle w:val="Text1"/>
        <w:pBdr>
          <w:top w:val="single" w:sz="4" w:space="1" w:color="auto"/>
          <w:left w:val="single" w:sz="4" w:space="4" w:color="auto"/>
          <w:bottom w:val="single" w:sz="4" w:space="1" w:color="auto"/>
          <w:right w:val="single" w:sz="4" w:space="4" w:color="auto"/>
        </w:pBdr>
        <w:ind w:left="1210" w:hanging="360"/>
        <w:rPr>
          <w:i/>
          <w:iCs/>
          <w:noProof/>
          <w:sz w:val="20"/>
          <w:szCs w:val="20"/>
        </w:rPr>
      </w:pPr>
      <w:r w:rsidRPr="00FE1CC7">
        <w:rPr>
          <w:i/>
          <w:iCs/>
          <w:noProof/>
          <w:sz w:val="20"/>
          <w:szCs w:val="20"/>
        </w:rPr>
        <w:t>2.</w:t>
      </w:r>
      <w:r>
        <w:rPr>
          <w:i/>
          <w:iCs/>
          <w:noProof/>
          <w:sz w:val="20"/>
          <w:szCs w:val="20"/>
        </w:rPr>
        <w:tab/>
      </w:r>
      <w:r w:rsidRPr="00FE1CC7">
        <w:rPr>
          <w:i/>
          <w:iCs/>
          <w:noProof/>
          <w:sz w:val="20"/>
          <w:szCs w:val="20"/>
        </w:rPr>
        <w:t>SMEs as authorised provider to issue attestations under the European skills attestation scheme</w:t>
      </w:r>
      <w:r>
        <w:rPr>
          <w:i/>
          <w:iCs/>
          <w:noProof/>
          <w:sz w:val="20"/>
          <w:szCs w:val="20"/>
        </w:rPr>
        <w:t xml:space="preserve"> </w:t>
      </w:r>
      <w:r w:rsidRPr="00FE1CC7">
        <w:rPr>
          <w:i/>
          <w:iCs/>
          <w:noProof/>
          <w:sz w:val="20"/>
          <w:szCs w:val="20"/>
        </w:rPr>
        <w:t xml:space="preserve">will gain visibility, reputation and gain customers. In addition, the European individual cybersecurity skills attestations will support SMEs in identifying candidates with the right skillset. </w:t>
      </w:r>
    </w:p>
    <w:p w14:paraId="699C2667" w14:textId="77777777" w:rsidR="004F652B" w:rsidRDefault="004F652B" w:rsidP="004F652B">
      <w:pPr>
        <w:pStyle w:val="Text1"/>
        <w:pBdr>
          <w:top w:val="single" w:sz="4" w:space="1" w:color="auto"/>
          <w:left w:val="single" w:sz="4" w:space="4" w:color="auto"/>
          <w:bottom w:val="single" w:sz="4" w:space="1" w:color="auto"/>
          <w:right w:val="single" w:sz="4" w:space="4" w:color="auto"/>
        </w:pBdr>
        <w:ind w:left="1210" w:hanging="360"/>
        <w:rPr>
          <w:i/>
          <w:iCs/>
          <w:noProof/>
          <w:sz w:val="20"/>
          <w:szCs w:val="20"/>
        </w:rPr>
      </w:pPr>
      <w:r w:rsidRPr="00FE1CC7">
        <w:rPr>
          <w:i/>
          <w:iCs/>
          <w:noProof/>
          <w:sz w:val="20"/>
          <w:szCs w:val="20"/>
        </w:rPr>
        <w:t>3.</w:t>
      </w:r>
      <w:r>
        <w:rPr>
          <w:i/>
          <w:iCs/>
          <w:noProof/>
          <w:sz w:val="20"/>
          <w:szCs w:val="20"/>
        </w:rPr>
        <w:tab/>
      </w:r>
      <w:r w:rsidRPr="00FE1CC7">
        <w:rPr>
          <w:i/>
          <w:iCs/>
          <w:noProof/>
          <w:sz w:val="20"/>
          <w:szCs w:val="20"/>
        </w:rPr>
        <w:t xml:space="preserve">Well-functioning European certification schemes can ease the choice of trusted ICT technologies for SMEs and contribute to enhance their overall cyber resilience. </w:t>
      </w:r>
    </w:p>
    <w:p w14:paraId="267A26C5" w14:textId="77777777" w:rsidR="004F652B" w:rsidRDefault="004F652B" w:rsidP="004F652B">
      <w:pPr>
        <w:pStyle w:val="Text1"/>
        <w:pBdr>
          <w:top w:val="single" w:sz="4" w:space="1" w:color="auto"/>
          <w:left w:val="single" w:sz="4" w:space="4" w:color="auto"/>
          <w:bottom w:val="single" w:sz="4" w:space="1" w:color="auto"/>
          <w:right w:val="single" w:sz="4" w:space="4" w:color="auto"/>
        </w:pBdr>
        <w:ind w:left="1210" w:hanging="360"/>
        <w:rPr>
          <w:i/>
          <w:iCs/>
          <w:noProof/>
          <w:sz w:val="20"/>
          <w:szCs w:val="20"/>
        </w:rPr>
      </w:pPr>
      <w:r w:rsidRPr="00FE1CC7">
        <w:rPr>
          <w:i/>
          <w:iCs/>
          <w:noProof/>
          <w:sz w:val="20"/>
          <w:szCs w:val="20"/>
        </w:rPr>
        <w:t>4</w:t>
      </w:r>
      <w:r>
        <w:rPr>
          <w:i/>
          <w:iCs/>
          <w:noProof/>
          <w:sz w:val="20"/>
          <w:szCs w:val="20"/>
        </w:rPr>
        <w:t>.</w:t>
      </w:r>
      <w:r>
        <w:rPr>
          <w:i/>
          <w:iCs/>
          <w:noProof/>
          <w:sz w:val="20"/>
          <w:szCs w:val="20"/>
        </w:rPr>
        <w:tab/>
      </w:r>
      <w:r w:rsidRPr="00FE1CC7">
        <w:rPr>
          <w:i/>
          <w:iCs/>
          <w:noProof/>
          <w:sz w:val="20"/>
          <w:szCs w:val="20"/>
        </w:rPr>
        <w:t xml:space="preserve">As DNS </w:t>
      </w:r>
      <w:r>
        <w:rPr>
          <w:i/>
          <w:iCs/>
          <w:noProof/>
          <w:sz w:val="20"/>
          <w:szCs w:val="20"/>
        </w:rPr>
        <w:t>providers</w:t>
      </w:r>
      <w:r w:rsidRPr="00FE1CC7">
        <w:rPr>
          <w:i/>
          <w:iCs/>
          <w:noProof/>
          <w:sz w:val="20"/>
          <w:szCs w:val="20"/>
        </w:rPr>
        <w:t>, SMEs will benefit from measures related to the implementation of the NIS2 Directive</w:t>
      </w:r>
      <w:r w:rsidRPr="00922145">
        <w:rPr>
          <w:i/>
          <w:iCs/>
          <w:noProof/>
          <w:sz w:val="20"/>
          <w:szCs w:val="20"/>
        </w:rPr>
        <w:t xml:space="preserve"> due to the exclusions from the scope of DNS providers. </w:t>
      </w:r>
    </w:p>
    <w:p w14:paraId="372E15E1" w14:textId="77777777" w:rsidR="004F652B" w:rsidRDefault="004F652B" w:rsidP="004F652B">
      <w:pPr>
        <w:pStyle w:val="Text1"/>
        <w:pBdr>
          <w:top w:val="single" w:sz="4" w:space="1" w:color="auto"/>
          <w:left w:val="single" w:sz="4" w:space="4" w:color="auto"/>
          <w:bottom w:val="single" w:sz="4" w:space="1" w:color="auto"/>
          <w:right w:val="single" w:sz="4" w:space="4" w:color="auto"/>
        </w:pBdr>
        <w:ind w:left="1210" w:hanging="360"/>
        <w:rPr>
          <w:i/>
          <w:iCs/>
          <w:noProof/>
          <w:sz w:val="20"/>
          <w:szCs w:val="20"/>
        </w:rPr>
      </w:pPr>
      <w:r>
        <w:rPr>
          <w:i/>
          <w:iCs/>
          <w:noProof/>
          <w:sz w:val="20"/>
          <w:szCs w:val="20"/>
        </w:rPr>
        <w:t xml:space="preserve">5 </w:t>
      </w:r>
      <w:r>
        <w:rPr>
          <w:noProof/>
        </w:rPr>
        <w:tab/>
      </w:r>
      <w:r w:rsidRPr="00922145">
        <w:rPr>
          <w:i/>
          <w:iCs/>
          <w:noProof/>
          <w:sz w:val="20"/>
          <w:szCs w:val="20"/>
        </w:rPr>
        <w:t xml:space="preserve">SMEs would benefit from the scope clarifications that would limit the application of the obligations to </w:t>
      </w:r>
      <w:r>
        <w:rPr>
          <w:i/>
          <w:iCs/>
          <w:noProof/>
          <w:sz w:val="20"/>
          <w:szCs w:val="20"/>
        </w:rPr>
        <w:t>certain entities</w:t>
      </w:r>
      <w:r w:rsidRPr="00922145">
        <w:rPr>
          <w:i/>
          <w:iCs/>
          <w:noProof/>
          <w:sz w:val="20"/>
          <w:szCs w:val="20"/>
        </w:rPr>
        <w:t xml:space="preserve"> </w:t>
      </w:r>
      <w:r>
        <w:rPr>
          <w:i/>
          <w:iCs/>
          <w:noProof/>
          <w:sz w:val="20"/>
          <w:szCs w:val="20"/>
        </w:rPr>
        <w:t>in some</w:t>
      </w:r>
      <w:r w:rsidRPr="00922145">
        <w:rPr>
          <w:i/>
          <w:iCs/>
          <w:noProof/>
          <w:sz w:val="20"/>
          <w:szCs w:val="20"/>
        </w:rPr>
        <w:t xml:space="preserve"> sectors listed in NIS2 Directive.</w:t>
      </w:r>
    </w:p>
    <w:p w14:paraId="7E0A290F" w14:textId="25789482" w:rsidR="004F652B" w:rsidRDefault="004F652B" w:rsidP="004F652B">
      <w:pPr>
        <w:pStyle w:val="Text1"/>
        <w:pBdr>
          <w:top w:val="single" w:sz="4" w:space="1" w:color="auto"/>
          <w:left w:val="single" w:sz="4" w:space="4" w:color="auto"/>
          <w:bottom w:val="single" w:sz="4" w:space="1" w:color="auto"/>
          <w:right w:val="single" w:sz="4" w:space="4" w:color="auto"/>
        </w:pBdr>
        <w:ind w:left="1210" w:hanging="360"/>
        <w:rPr>
          <w:i/>
          <w:iCs/>
          <w:noProof/>
          <w:sz w:val="20"/>
          <w:szCs w:val="20"/>
        </w:rPr>
      </w:pPr>
      <w:r w:rsidRPr="7E8A004A">
        <w:rPr>
          <w:i/>
          <w:iCs/>
          <w:noProof/>
          <w:sz w:val="20"/>
          <w:szCs w:val="20"/>
        </w:rPr>
        <w:t xml:space="preserve">6.  </w:t>
      </w:r>
      <w:r w:rsidR="003B159C" w:rsidRPr="7E8A004A">
        <w:rPr>
          <w:i/>
          <w:iCs/>
          <w:noProof/>
          <w:sz w:val="20"/>
          <w:szCs w:val="20"/>
        </w:rPr>
        <w:t>For ICT supply chain security measures, SMEs in general, would benefit from the use of trusted technologies. As suppliers active in the sectors subject to restrictions, they would be impacted more heavily compared to larger companies by substitutions and transactions cost. However, SMEs as trusted suppliers will benefit from new market opportunities</w:t>
      </w:r>
      <w:r w:rsidRPr="7E8A004A">
        <w:rPr>
          <w:i/>
          <w:iCs/>
          <w:noProof/>
          <w:sz w:val="20"/>
          <w:szCs w:val="20"/>
        </w:rPr>
        <w:t xml:space="preserve">.  </w:t>
      </w:r>
    </w:p>
    <w:p w14:paraId="66D619DC" w14:textId="77777777" w:rsidR="004F652B" w:rsidRDefault="004F652B" w:rsidP="004F652B">
      <w:pPr>
        <w:pStyle w:val="Text1"/>
        <w:pBdr>
          <w:top w:val="single" w:sz="4" w:space="1" w:color="auto"/>
          <w:left w:val="single" w:sz="4" w:space="4" w:color="auto"/>
          <w:bottom w:val="single" w:sz="4" w:space="1" w:color="auto"/>
          <w:right w:val="single" w:sz="4" w:space="4" w:color="auto"/>
        </w:pBdr>
        <w:ind w:left="1210" w:hanging="360"/>
        <w:rPr>
          <w:i/>
          <w:iCs/>
          <w:noProof/>
          <w:sz w:val="20"/>
          <w:szCs w:val="20"/>
        </w:rPr>
      </w:pPr>
    </w:p>
    <w:p w14:paraId="3EAAFF0A" w14:textId="77777777" w:rsidR="004F652B" w:rsidRDefault="004F652B" w:rsidP="004F652B">
      <w:pPr>
        <w:pStyle w:val="Text1"/>
        <w:pBdr>
          <w:top w:val="single" w:sz="4" w:space="1" w:color="auto"/>
          <w:left w:val="single" w:sz="4" w:space="4" w:color="auto"/>
          <w:bottom w:val="single" w:sz="4" w:space="1" w:color="auto"/>
          <w:right w:val="single" w:sz="4" w:space="4" w:color="auto"/>
        </w:pBdr>
        <w:ind w:left="1210" w:hanging="360"/>
        <w:rPr>
          <w:noProof/>
        </w:rPr>
      </w:pPr>
      <w:r w:rsidRPr="00FE1CC7">
        <w:rPr>
          <w:i/>
          <w:iCs/>
          <w:noProof/>
          <w:sz w:val="20"/>
          <w:szCs w:val="20"/>
        </w:rPr>
        <w:t>-</w:t>
      </w:r>
      <w:r>
        <w:rPr>
          <w:noProof/>
        </w:rPr>
        <w:tab/>
      </w:r>
      <w:r w:rsidRPr="00922145">
        <w:rPr>
          <w:noProof/>
        </w:rPr>
        <w:t>No significant environmental impact is expected for any of the objectives.</w:t>
      </w:r>
    </w:p>
    <w:p w14:paraId="4106EE9C" w14:textId="77777777" w:rsidR="004F652B" w:rsidRPr="00922145" w:rsidRDefault="004F652B" w:rsidP="004F652B">
      <w:pPr>
        <w:pStyle w:val="Text1"/>
        <w:pBdr>
          <w:top w:val="single" w:sz="4" w:space="1" w:color="auto"/>
          <w:left w:val="single" w:sz="4" w:space="4" w:color="auto"/>
          <w:bottom w:val="single" w:sz="4" w:space="1" w:color="auto"/>
          <w:right w:val="single" w:sz="4" w:space="4" w:color="auto"/>
        </w:pBdr>
        <w:ind w:left="1210" w:hanging="360"/>
        <w:rPr>
          <w:noProof/>
        </w:rPr>
      </w:pPr>
      <w:r w:rsidRPr="00FE1CC7">
        <w:rPr>
          <w:noProof/>
        </w:rPr>
        <w:t>-</w:t>
      </w:r>
      <w:r>
        <w:rPr>
          <w:noProof/>
        </w:rPr>
        <w:tab/>
      </w:r>
      <w:r w:rsidRPr="00922145">
        <w:rPr>
          <w:noProof/>
        </w:rPr>
        <w:t>With regard to the EU budget, efficiency gains can be expected by increased cooperation and coordination of the activities between EU institutions, agencies and bodies. Savings are expected in the long term through the introduction of fees mechanisms.</w:t>
      </w:r>
    </w:p>
    <w:p w14:paraId="41FCB78E" w14:textId="77777777" w:rsidR="004F652B" w:rsidRDefault="004F652B" w:rsidP="004F652B">
      <w:pPr>
        <w:pStyle w:val="Text1"/>
        <w:pBdr>
          <w:top w:val="single" w:sz="4" w:space="1" w:color="auto"/>
          <w:left w:val="single" w:sz="4" w:space="4" w:color="auto"/>
          <w:bottom w:val="single" w:sz="4" w:space="1" w:color="auto"/>
          <w:right w:val="single" w:sz="4" w:space="4" w:color="auto"/>
        </w:pBdr>
        <w:rPr>
          <w:noProof/>
        </w:rPr>
      </w:pPr>
    </w:p>
    <w:p w14:paraId="171A971C" w14:textId="77777777" w:rsidR="004F652B" w:rsidRDefault="004F652B" w:rsidP="004F652B">
      <w:pPr>
        <w:pStyle w:val="ManualHeading3"/>
        <w:rPr>
          <w:noProof/>
        </w:rPr>
      </w:pPr>
      <w:bookmarkStart w:id="48" w:name="_Toc514938023"/>
      <w:bookmarkStart w:id="49" w:name="_Toc520485033"/>
      <w:bookmarkStart w:id="50" w:name="_Toc160804575"/>
      <w:bookmarkStart w:id="51" w:name="_Toc167220267"/>
      <w:bookmarkStart w:id="52" w:name="_Toc177548999"/>
      <w:r>
        <w:rPr>
          <w:noProof/>
        </w:rPr>
        <w:t>1.3.4.</w:t>
      </w:r>
      <w:r>
        <w:rPr>
          <w:noProof/>
        </w:rPr>
        <w:tab/>
      </w:r>
      <w:r w:rsidRPr="7D67B65D">
        <w:rPr>
          <w:noProof/>
        </w:rPr>
        <w:t>Indicators of performance</w:t>
      </w:r>
      <w:bookmarkEnd w:id="48"/>
      <w:bookmarkEnd w:id="49"/>
      <w:bookmarkEnd w:id="50"/>
      <w:bookmarkEnd w:id="51"/>
      <w:bookmarkEnd w:id="52"/>
    </w:p>
    <w:p w14:paraId="7223BC73" w14:textId="77777777" w:rsidR="004F652B" w:rsidRDefault="004F652B" w:rsidP="004F652B">
      <w:pPr>
        <w:pStyle w:val="Text1"/>
        <w:rPr>
          <w:i/>
          <w:noProof/>
          <w:sz w:val="20"/>
        </w:rPr>
      </w:pPr>
      <w:r>
        <w:rPr>
          <w:i/>
          <w:noProof/>
          <w:sz w:val="20"/>
        </w:rPr>
        <w:t>Specify the indicators for monitoring progress and achievements.</w:t>
      </w:r>
    </w:p>
    <w:p w14:paraId="60017938" w14:textId="77777777" w:rsidR="004F652B" w:rsidRPr="00922145" w:rsidRDefault="004F652B" w:rsidP="004F652B">
      <w:pPr>
        <w:pStyle w:val="Text1"/>
        <w:pBdr>
          <w:top w:val="single" w:sz="4" w:space="1" w:color="auto"/>
          <w:left w:val="single" w:sz="4" w:space="4" w:color="auto"/>
          <w:bottom w:val="single" w:sz="4" w:space="17" w:color="auto"/>
          <w:right w:val="single" w:sz="4" w:space="4" w:color="auto"/>
        </w:pBdr>
        <w:rPr>
          <w:noProof/>
        </w:rPr>
      </w:pPr>
      <w:r w:rsidRPr="00922145">
        <w:rPr>
          <w:noProof/>
          <w:u w:val="single"/>
        </w:rPr>
        <w:t>Objective</w:t>
      </w:r>
      <w:r w:rsidRPr="00922145">
        <w:rPr>
          <w:noProof/>
        </w:rPr>
        <w:t>: Create the capacity for effective implementation of EU cybersecurity policies and regular/continuous operational cooperation enabling more structured cooperation between Member States.</w:t>
      </w:r>
    </w:p>
    <w:p w14:paraId="3394337C" w14:textId="77777777" w:rsidR="004F652B" w:rsidRPr="00922145" w:rsidRDefault="004F652B" w:rsidP="004F652B">
      <w:pPr>
        <w:pStyle w:val="Text1"/>
        <w:pBdr>
          <w:top w:val="single" w:sz="4" w:space="1" w:color="auto"/>
          <w:left w:val="single" w:sz="4" w:space="4" w:color="auto"/>
          <w:bottom w:val="single" w:sz="4" w:space="17" w:color="auto"/>
          <w:right w:val="single" w:sz="4" w:space="4" w:color="auto"/>
        </w:pBdr>
        <w:rPr>
          <w:i/>
          <w:iCs/>
          <w:noProof/>
        </w:rPr>
      </w:pPr>
      <w:r w:rsidRPr="7E8A004A">
        <w:rPr>
          <w:i/>
          <w:iCs/>
          <w:noProof/>
        </w:rPr>
        <w:t xml:space="preserve">- </w:t>
      </w:r>
      <w:r w:rsidRPr="00922145">
        <w:rPr>
          <w:i/>
          <w:iCs/>
          <w:noProof/>
        </w:rPr>
        <w:t xml:space="preserve">Number of relevant contributions from ENISA to the implementation of EU and national policies and legislative initiatives </w:t>
      </w:r>
    </w:p>
    <w:p w14:paraId="5787E33A" w14:textId="77777777" w:rsidR="004F652B" w:rsidRDefault="004F652B" w:rsidP="004F652B">
      <w:pPr>
        <w:pStyle w:val="Text1"/>
        <w:pBdr>
          <w:top w:val="single" w:sz="4" w:space="1" w:color="auto"/>
          <w:left w:val="single" w:sz="4" w:space="4" w:color="auto"/>
          <w:bottom w:val="single" w:sz="4" w:space="17" w:color="auto"/>
          <w:right w:val="single" w:sz="4" w:space="4" w:color="auto"/>
        </w:pBdr>
        <w:rPr>
          <w:i/>
          <w:iCs/>
          <w:noProof/>
        </w:rPr>
      </w:pPr>
      <w:r w:rsidRPr="7E8A004A">
        <w:rPr>
          <w:i/>
          <w:iCs/>
          <w:noProof/>
        </w:rPr>
        <w:t xml:space="preserve">- </w:t>
      </w:r>
      <w:r w:rsidRPr="00922145">
        <w:rPr>
          <w:i/>
          <w:iCs/>
          <w:noProof/>
        </w:rPr>
        <w:t>Positive feedback by stakeholders regarding the relevant ENISA contributions</w:t>
      </w:r>
    </w:p>
    <w:p w14:paraId="13251758" w14:textId="77777777" w:rsidR="004F652B" w:rsidRPr="00922145" w:rsidRDefault="004F652B" w:rsidP="004F652B">
      <w:pPr>
        <w:pStyle w:val="Text1"/>
        <w:pBdr>
          <w:top w:val="single" w:sz="4" w:space="1" w:color="auto"/>
          <w:left w:val="single" w:sz="4" w:space="4" w:color="auto"/>
          <w:bottom w:val="single" w:sz="4" w:space="17" w:color="auto"/>
          <w:right w:val="single" w:sz="4" w:space="4" w:color="auto"/>
        </w:pBdr>
        <w:rPr>
          <w:i/>
          <w:iCs/>
          <w:noProof/>
        </w:rPr>
      </w:pPr>
      <w:r>
        <w:rPr>
          <w:i/>
          <w:iCs/>
          <w:noProof/>
        </w:rPr>
        <w:t xml:space="preserve">- </w:t>
      </w:r>
      <w:r w:rsidRPr="00922145">
        <w:rPr>
          <w:i/>
          <w:iCs/>
          <w:noProof/>
        </w:rPr>
        <w:t xml:space="preserve"> Increase by 25 % compared to 2023 baseline as reported in ENISA Annual Activity Report (for the number of relevant contributions) and as per ENISA’s annual satisfaction survey (for the positive feedback)</w:t>
      </w:r>
    </w:p>
    <w:p w14:paraId="10FD3455" w14:textId="77777777" w:rsidR="004F652B" w:rsidRDefault="004F652B" w:rsidP="004F652B">
      <w:pPr>
        <w:pStyle w:val="Text1"/>
        <w:pBdr>
          <w:top w:val="single" w:sz="4" w:space="1" w:color="auto"/>
          <w:left w:val="single" w:sz="4" w:space="4" w:color="auto"/>
          <w:bottom w:val="single" w:sz="4" w:space="17" w:color="auto"/>
          <w:right w:val="single" w:sz="4" w:space="4" w:color="auto"/>
        </w:pBdr>
        <w:rPr>
          <w:i/>
          <w:iCs/>
          <w:noProof/>
        </w:rPr>
      </w:pPr>
      <w:r w:rsidRPr="7E8A004A">
        <w:rPr>
          <w:i/>
          <w:iCs/>
          <w:noProof/>
        </w:rPr>
        <w:t xml:space="preserve">- </w:t>
      </w:r>
      <w:r w:rsidRPr="00922145">
        <w:rPr>
          <w:i/>
          <w:iCs/>
          <w:noProof/>
        </w:rPr>
        <w:t>Usage statistics of EU Vulnerability Database</w:t>
      </w:r>
    </w:p>
    <w:p w14:paraId="5CCD5E8B" w14:textId="77777777" w:rsidR="004F652B" w:rsidRPr="00922145" w:rsidRDefault="004F652B" w:rsidP="004F652B">
      <w:pPr>
        <w:pStyle w:val="Text1"/>
        <w:pBdr>
          <w:top w:val="single" w:sz="4" w:space="1" w:color="auto"/>
          <w:left w:val="single" w:sz="4" w:space="4" w:color="auto"/>
          <w:bottom w:val="single" w:sz="4" w:space="17" w:color="auto"/>
          <w:right w:val="single" w:sz="4" w:space="4" w:color="auto"/>
        </w:pBdr>
        <w:rPr>
          <w:i/>
          <w:iCs/>
          <w:noProof/>
        </w:rPr>
      </w:pPr>
      <w:r>
        <w:rPr>
          <w:i/>
          <w:iCs/>
          <w:noProof/>
        </w:rPr>
        <w:t xml:space="preserve">- </w:t>
      </w:r>
      <w:r w:rsidRPr="00922145">
        <w:rPr>
          <w:i/>
          <w:iCs/>
          <w:noProof/>
        </w:rPr>
        <w:t>Increase by 25 % of number of users compared to 2025</w:t>
      </w:r>
    </w:p>
    <w:p w14:paraId="4DB0E724" w14:textId="77777777" w:rsidR="004F652B" w:rsidRDefault="004F652B" w:rsidP="004F652B">
      <w:pPr>
        <w:pStyle w:val="Text1"/>
        <w:pBdr>
          <w:top w:val="single" w:sz="4" w:space="1" w:color="auto"/>
          <w:left w:val="single" w:sz="4" w:space="4" w:color="auto"/>
          <w:bottom w:val="single" w:sz="4" w:space="17" w:color="auto"/>
          <w:right w:val="single" w:sz="4" w:space="4" w:color="auto"/>
        </w:pBdr>
        <w:rPr>
          <w:i/>
          <w:iCs/>
          <w:noProof/>
        </w:rPr>
      </w:pPr>
      <w:r w:rsidRPr="00922145">
        <w:rPr>
          <w:i/>
          <w:iCs/>
          <w:noProof/>
        </w:rPr>
        <w:t>Availability, security and functioning of the CRA Platform</w:t>
      </w:r>
    </w:p>
    <w:p w14:paraId="16A03875" w14:textId="77777777" w:rsidR="004F652B" w:rsidRPr="00922145" w:rsidRDefault="004F652B" w:rsidP="004F652B">
      <w:pPr>
        <w:pStyle w:val="Text1"/>
        <w:pBdr>
          <w:top w:val="single" w:sz="4" w:space="1" w:color="auto"/>
          <w:left w:val="single" w:sz="4" w:space="4" w:color="auto"/>
          <w:bottom w:val="single" w:sz="4" w:space="17" w:color="auto"/>
          <w:right w:val="single" w:sz="4" w:space="4" w:color="auto"/>
        </w:pBdr>
        <w:rPr>
          <w:i/>
          <w:iCs/>
          <w:noProof/>
        </w:rPr>
      </w:pPr>
      <w:r>
        <w:rPr>
          <w:i/>
          <w:iCs/>
          <w:noProof/>
        </w:rPr>
        <w:t xml:space="preserve">- </w:t>
      </w:r>
      <w:r w:rsidRPr="00922145">
        <w:rPr>
          <w:i/>
          <w:iCs/>
          <w:noProof/>
        </w:rPr>
        <w:t>Decrease by 25% downtime of the platform and number of incidents compared to 2025 Statistics on downtime and incidents in the platform</w:t>
      </w:r>
    </w:p>
    <w:p w14:paraId="1BA294F5" w14:textId="77777777" w:rsidR="004F652B" w:rsidRPr="00922145" w:rsidRDefault="004F652B" w:rsidP="004F652B">
      <w:pPr>
        <w:pStyle w:val="Text1"/>
        <w:pBdr>
          <w:top w:val="single" w:sz="4" w:space="1" w:color="auto"/>
          <w:left w:val="single" w:sz="4" w:space="4" w:color="auto"/>
          <w:bottom w:val="single" w:sz="4" w:space="17" w:color="auto"/>
          <w:right w:val="single" w:sz="4" w:space="4" w:color="auto"/>
        </w:pBdr>
        <w:rPr>
          <w:noProof/>
          <w:u w:val="single"/>
        </w:rPr>
      </w:pPr>
    </w:p>
    <w:p w14:paraId="4739342D" w14:textId="77777777" w:rsidR="004F652B" w:rsidRPr="00922145" w:rsidRDefault="004F652B" w:rsidP="004F652B">
      <w:pPr>
        <w:pStyle w:val="Text1"/>
        <w:pBdr>
          <w:top w:val="single" w:sz="4" w:space="1" w:color="auto"/>
          <w:left w:val="single" w:sz="4" w:space="4" w:color="auto"/>
          <w:bottom w:val="single" w:sz="4" w:space="17" w:color="auto"/>
          <w:right w:val="single" w:sz="4" w:space="4" w:color="auto"/>
        </w:pBdr>
        <w:rPr>
          <w:noProof/>
        </w:rPr>
      </w:pPr>
      <w:r w:rsidRPr="00922145">
        <w:rPr>
          <w:noProof/>
          <w:u w:val="single"/>
        </w:rPr>
        <w:t>Objective</w:t>
      </w:r>
      <w:r w:rsidRPr="00922145">
        <w:rPr>
          <w:noProof/>
        </w:rPr>
        <w:t>: Develop and deploy the means and mechanisms to effectively support and address the needs of Member States, industry and other stakeholders.</w:t>
      </w:r>
    </w:p>
    <w:p w14:paraId="78936C86" w14:textId="77777777" w:rsidR="004F652B" w:rsidRPr="00922145" w:rsidRDefault="004F652B" w:rsidP="004F652B">
      <w:pPr>
        <w:pStyle w:val="Text1"/>
        <w:pBdr>
          <w:top w:val="single" w:sz="4" w:space="1" w:color="auto"/>
          <w:left w:val="single" w:sz="4" w:space="4" w:color="auto"/>
          <w:bottom w:val="single" w:sz="4" w:space="17" w:color="auto"/>
          <w:right w:val="single" w:sz="4" w:space="4" w:color="auto"/>
        </w:pBdr>
        <w:rPr>
          <w:i/>
          <w:iCs/>
          <w:noProof/>
        </w:rPr>
      </w:pPr>
      <w:r w:rsidRPr="7E8A004A">
        <w:rPr>
          <w:i/>
          <w:iCs/>
          <w:noProof/>
        </w:rPr>
        <w:t xml:space="preserve">- </w:t>
      </w:r>
      <w:r w:rsidRPr="00922145">
        <w:rPr>
          <w:i/>
          <w:iCs/>
          <w:noProof/>
        </w:rPr>
        <w:t>Number of stakeholders supported by ENISA and quality of the provided support.</w:t>
      </w:r>
    </w:p>
    <w:p w14:paraId="4AB74A23" w14:textId="77777777" w:rsidR="004F652B" w:rsidRDefault="004F652B" w:rsidP="004F652B">
      <w:pPr>
        <w:pStyle w:val="Text1"/>
        <w:pBdr>
          <w:top w:val="single" w:sz="4" w:space="1" w:color="auto"/>
          <w:left w:val="single" w:sz="4" w:space="4" w:color="auto"/>
          <w:bottom w:val="single" w:sz="4" w:space="17" w:color="auto"/>
          <w:right w:val="single" w:sz="4" w:space="4" w:color="auto"/>
        </w:pBdr>
        <w:rPr>
          <w:i/>
          <w:iCs/>
          <w:noProof/>
        </w:rPr>
      </w:pPr>
      <w:r w:rsidRPr="7E8A004A">
        <w:rPr>
          <w:i/>
          <w:iCs/>
          <w:noProof/>
        </w:rPr>
        <w:t xml:space="preserve">- </w:t>
      </w:r>
      <w:r w:rsidRPr="00922145">
        <w:rPr>
          <w:i/>
          <w:iCs/>
          <w:noProof/>
        </w:rPr>
        <w:t>Number of measures deployed to support stakeholders.</w:t>
      </w:r>
    </w:p>
    <w:p w14:paraId="74A40B7C" w14:textId="77777777" w:rsidR="004F652B" w:rsidRDefault="004F652B" w:rsidP="004F652B">
      <w:pPr>
        <w:pStyle w:val="Text1"/>
        <w:pBdr>
          <w:top w:val="single" w:sz="4" w:space="1" w:color="auto"/>
          <w:left w:val="single" w:sz="4" w:space="4" w:color="auto"/>
          <w:bottom w:val="single" w:sz="4" w:space="17" w:color="auto"/>
          <w:right w:val="single" w:sz="4" w:space="4" w:color="auto"/>
        </w:pBdr>
        <w:rPr>
          <w:i/>
          <w:iCs/>
          <w:noProof/>
        </w:rPr>
      </w:pPr>
      <w:r>
        <w:rPr>
          <w:i/>
          <w:iCs/>
          <w:noProof/>
        </w:rPr>
        <w:t xml:space="preserve">- </w:t>
      </w:r>
      <w:r w:rsidRPr="00922145">
        <w:rPr>
          <w:i/>
          <w:iCs/>
          <w:noProof/>
        </w:rPr>
        <w:t>Increased by 10% number of supported stakeholders and increased by 10% satisfaction level of supported stakeholders compared to 2025</w:t>
      </w:r>
    </w:p>
    <w:p w14:paraId="54598E07" w14:textId="77777777" w:rsidR="004F652B" w:rsidRDefault="004F652B" w:rsidP="004F652B">
      <w:pPr>
        <w:pStyle w:val="Text1"/>
        <w:pBdr>
          <w:top w:val="single" w:sz="4" w:space="1" w:color="auto"/>
          <w:left w:val="single" w:sz="4" w:space="4" w:color="auto"/>
          <w:bottom w:val="single" w:sz="4" w:space="17" w:color="auto"/>
          <w:right w:val="single" w:sz="4" w:space="4" w:color="auto"/>
        </w:pBdr>
        <w:rPr>
          <w:i/>
          <w:iCs/>
          <w:noProof/>
        </w:rPr>
      </w:pPr>
    </w:p>
    <w:p w14:paraId="0AAA97A9" w14:textId="77777777" w:rsidR="004F652B" w:rsidRPr="00922145" w:rsidRDefault="004F652B" w:rsidP="004F652B">
      <w:pPr>
        <w:pStyle w:val="Text1"/>
        <w:pBdr>
          <w:top w:val="single" w:sz="4" w:space="1" w:color="auto"/>
          <w:left w:val="single" w:sz="4" w:space="4" w:color="auto"/>
          <w:bottom w:val="single" w:sz="4" w:space="17" w:color="auto"/>
          <w:right w:val="single" w:sz="4" w:space="4" w:color="auto"/>
        </w:pBdr>
        <w:rPr>
          <w:noProof/>
        </w:rPr>
      </w:pPr>
      <w:r w:rsidRPr="00922145">
        <w:rPr>
          <w:noProof/>
          <w:u w:val="single"/>
        </w:rPr>
        <w:t>Objective</w:t>
      </w:r>
      <w:r w:rsidRPr="00922145">
        <w:rPr>
          <w:noProof/>
        </w:rPr>
        <w:t>: Create the prerequisites for faster delivery of cybersecurity certification schemes driven by market needs by broadening the scope of the ECCF, ensuring effective maintenance and agile procedures and enhancing transparency.</w:t>
      </w:r>
    </w:p>
    <w:p w14:paraId="4D88DE33" w14:textId="77777777" w:rsidR="004F652B" w:rsidRDefault="004F652B" w:rsidP="004F652B">
      <w:pPr>
        <w:pStyle w:val="Text1"/>
        <w:pBdr>
          <w:top w:val="single" w:sz="4" w:space="1" w:color="auto"/>
          <w:left w:val="single" w:sz="4" w:space="4" w:color="auto"/>
          <w:bottom w:val="single" w:sz="4" w:space="17" w:color="auto"/>
          <w:right w:val="single" w:sz="4" w:space="4" w:color="auto"/>
        </w:pBdr>
        <w:rPr>
          <w:i/>
          <w:iCs/>
          <w:noProof/>
        </w:rPr>
      </w:pPr>
      <w:r w:rsidRPr="7E8A004A">
        <w:rPr>
          <w:i/>
          <w:iCs/>
          <w:noProof/>
        </w:rPr>
        <w:t xml:space="preserve">- </w:t>
      </w:r>
      <w:r w:rsidRPr="00922145">
        <w:rPr>
          <w:i/>
          <w:iCs/>
          <w:noProof/>
        </w:rPr>
        <w:t>Number of adopted schemes</w:t>
      </w:r>
    </w:p>
    <w:p w14:paraId="16C12006" w14:textId="77777777" w:rsidR="004F652B" w:rsidRPr="00922145" w:rsidRDefault="004F652B" w:rsidP="004F652B">
      <w:pPr>
        <w:pStyle w:val="Text1"/>
        <w:pBdr>
          <w:top w:val="single" w:sz="4" w:space="1" w:color="auto"/>
          <w:left w:val="single" w:sz="4" w:space="4" w:color="auto"/>
          <w:bottom w:val="single" w:sz="4" w:space="17" w:color="auto"/>
          <w:right w:val="single" w:sz="4" w:space="4" w:color="auto"/>
        </w:pBdr>
        <w:rPr>
          <w:i/>
          <w:iCs/>
          <w:noProof/>
        </w:rPr>
      </w:pPr>
      <w:r>
        <w:rPr>
          <w:i/>
          <w:iCs/>
          <w:noProof/>
        </w:rPr>
        <w:t xml:space="preserve">- </w:t>
      </w:r>
      <w:r w:rsidRPr="00922145">
        <w:rPr>
          <w:i/>
          <w:iCs/>
          <w:noProof/>
        </w:rPr>
        <w:t>Decreased time to develop a scheme by 50% compared to 2025</w:t>
      </w:r>
    </w:p>
    <w:p w14:paraId="09F64353" w14:textId="77777777" w:rsidR="004F652B" w:rsidRDefault="004F652B" w:rsidP="004F652B">
      <w:pPr>
        <w:pStyle w:val="Text1"/>
        <w:pBdr>
          <w:top w:val="single" w:sz="4" w:space="1" w:color="auto"/>
          <w:left w:val="single" w:sz="4" w:space="4" w:color="auto"/>
          <w:bottom w:val="single" w:sz="4" w:space="17" w:color="auto"/>
          <w:right w:val="single" w:sz="4" w:space="4" w:color="auto"/>
        </w:pBdr>
        <w:rPr>
          <w:i/>
          <w:iCs/>
          <w:noProof/>
        </w:rPr>
      </w:pPr>
      <w:r w:rsidRPr="7E8A004A">
        <w:rPr>
          <w:i/>
          <w:iCs/>
          <w:noProof/>
        </w:rPr>
        <w:t xml:space="preserve">- </w:t>
      </w:r>
      <w:r w:rsidRPr="00922145">
        <w:rPr>
          <w:i/>
          <w:iCs/>
          <w:noProof/>
        </w:rPr>
        <w:t>Number of valid certificates issued annually</w:t>
      </w:r>
    </w:p>
    <w:p w14:paraId="47818305" w14:textId="77777777" w:rsidR="004F652B" w:rsidRPr="00922145" w:rsidRDefault="004F652B" w:rsidP="004F652B">
      <w:pPr>
        <w:pStyle w:val="Text1"/>
        <w:pBdr>
          <w:top w:val="single" w:sz="4" w:space="1" w:color="auto"/>
          <w:left w:val="single" w:sz="4" w:space="4" w:color="auto"/>
          <w:bottom w:val="single" w:sz="4" w:space="17" w:color="auto"/>
          <w:right w:val="single" w:sz="4" w:space="4" w:color="auto"/>
        </w:pBdr>
        <w:rPr>
          <w:i/>
          <w:iCs/>
          <w:noProof/>
        </w:rPr>
      </w:pPr>
      <w:r>
        <w:rPr>
          <w:i/>
          <w:iCs/>
          <w:noProof/>
        </w:rPr>
        <w:t xml:space="preserve">- </w:t>
      </w:r>
      <w:r w:rsidRPr="00922145">
        <w:rPr>
          <w:i/>
          <w:iCs/>
          <w:noProof/>
        </w:rPr>
        <w:t>Increase by 25 % over 2025 baseline</w:t>
      </w:r>
    </w:p>
    <w:p w14:paraId="4E8C35AD" w14:textId="77777777" w:rsidR="004F652B" w:rsidRDefault="004F652B" w:rsidP="004F652B">
      <w:pPr>
        <w:pStyle w:val="Text1"/>
        <w:pBdr>
          <w:top w:val="single" w:sz="4" w:space="1" w:color="auto"/>
          <w:left w:val="single" w:sz="4" w:space="4" w:color="auto"/>
          <w:bottom w:val="single" w:sz="4" w:space="17" w:color="auto"/>
          <w:right w:val="single" w:sz="4" w:space="4" w:color="auto"/>
        </w:pBdr>
        <w:rPr>
          <w:i/>
          <w:iCs/>
          <w:noProof/>
        </w:rPr>
      </w:pPr>
      <w:r w:rsidRPr="7E8A004A">
        <w:rPr>
          <w:i/>
          <w:iCs/>
          <w:noProof/>
        </w:rPr>
        <w:t xml:space="preserve">- </w:t>
      </w:r>
      <w:r w:rsidRPr="00922145">
        <w:rPr>
          <w:i/>
          <w:iCs/>
          <w:noProof/>
        </w:rPr>
        <w:t>Positive feedback of stakeholders regarding their involvement in scheme development and transparency of the ECCF</w:t>
      </w:r>
    </w:p>
    <w:p w14:paraId="73F40609" w14:textId="77777777" w:rsidR="004F652B" w:rsidRPr="00922145" w:rsidRDefault="004F652B" w:rsidP="004F652B">
      <w:pPr>
        <w:pStyle w:val="Text1"/>
        <w:pBdr>
          <w:top w:val="single" w:sz="4" w:space="1" w:color="auto"/>
          <w:left w:val="single" w:sz="4" w:space="4" w:color="auto"/>
          <w:bottom w:val="single" w:sz="4" w:space="17" w:color="auto"/>
          <w:right w:val="single" w:sz="4" w:space="4" w:color="auto"/>
        </w:pBdr>
        <w:rPr>
          <w:i/>
          <w:iCs/>
          <w:noProof/>
        </w:rPr>
      </w:pPr>
      <w:r>
        <w:rPr>
          <w:i/>
          <w:iCs/>
          <w:noProof/>
        </w:rPr>
        <w:t xml:space="preserve">- </w:t>
      </w:r>
      <w:r w:rsidRPr="00922145">
        <w:rPr>
          <w:i/>
          <w:iCs/>
          <w:noProof/>
        </w:rPr>
        <w:t>Increase by 25 % over baseline in ENISA’s annual satisfaction survey compared to 2027</w:t>
      </w:r>
    </w:p>
    <w:p w14:paraId="73987F74" w14:textId="77777777" w:rsidR="004F652B" w:rsidRPr="00922145" w:rsidRDefault="004F652B" w:rsidP="004F652B">
      <w:pPr>
        <w:pStyle w:val="Text1"/>
        <w:pBdr>
          <w:top w:val="single" w:sz="4" w:space="1" w:color="auto"/>
          <w:left w:val="single" w:sz="4" w:space="4" w:color="auto"/>
          <w:bottom w:val="single" w:sz="4" w:space="17" w:color="auto"/>
          <w:right w:val="single" w:sz="4" w:space="4" w:color="auto"/>
        </w:pBdr>
        <w:rPr>
          <w:noProof/>
          <w:u w:val="single"/>
        </w:rPr>
      </w:pPr>
    </w:p>
    <w:p w14:paraId="3C5E6C78" w14:textId="77777777" w:rsidR="004F652B" w:rsidRPr="00922145" w:rsidRDefault="004F652B" w:rsidP="004F652B">
      <w:pPr>
        <w:pStyle w:val="Text1"/>
        <w:pBdr>
          <w:top w:val="single" w:sz="4" w:space="1" w:color="auto"/>
          <w:left w:val="single" w:sz="4" w:space="4" w:color="auto"/>
          <w:bottom w:val="single" w:sz="4" w:space="17" w:color="auto"/>
          <w:right w:val="single" w:sz="4" w:space="4" w:color="auto"/>
        </w:pBdr>
        <w:rPr>
          <w:noProof/>
        </w:rPr>
      </w:pPr>
      <w:r w:rsidRPr="00922145">
        <w:rPr>
          <w:noProof/>
          <w:u w:val="single"/>
        </w:rPr>
        <w:t>Objective</w:t>
      </w:r>
      <w:r w:rsidRPr="00922145">
        <w:rPr>
          <w:noProof/>
        </w:rPr>
        <w:t xml:space="preserve">: Establish mechanisms and conditions to help facilitate compliance with cybersecurity requirements and in that way make their implementation more coherent and effective.  </w:t>
      </w:r>
    </w:p>
    <w:p w14:paraId="0D73FDA8" w14:textId="77777777" w:rsidR="004F652B" w:rsidRDefault="004F652B" w:rsidP="004F652B">
      <w:pPr>
        <w:pStyle w:val="Text1"/>
        <w:pBdr>
          <w:top w:val="single" w:sz="4" w:space="1" w:color="auto"/>
          <w:left w:val="single" w:sz="4" w:space="4" w:color="auto"/>
          <w:bottom w:val="single" w:sz="4" w:space="17" w:color="auto"/>
          <w:right w:val="single" w:sz="4" w:space="4" w:color="auto"/>
        </w:pBdr>
        <w:rPr>
          <w:i/>
          <w:iCs/>
          <w:noProof/>
        </w:rPr>
      </w:pPr>
      <w:r w:rsidRPr="7E8A004A">
        <w:rPr>
          <w:i/>
          <w:iCs/>
          <w:noProof/>
        </w:rPr>
        <w:t xml:space="preserve">- </w:t>
      </w:r>
      <w:r w:rsidRPr="00922145">
        <w:rPr>
          <w:i/>
          <w:iCs/>
          <w:noProof/>
        </w:rPr>
        <w:t>Percentage of SMEs cost for compliance with NIS2 and cybersecurity rules, as a proportion of all compliance costs</w:t>
      </w:r>
    </w:p>
    <w:p w14:paraId="35D6C324" w14:textId="77777777" w:rsidR="004F652B" w:rsidRPr="00922145" w:rsidRDefault="004F652B" w:rsidP="004F652B">
      <w:pPr>
        <w:pStyle w:val="Text1"/>
        <w:pBdr>
          <w:top w:val="single" w:sz="4" w:space="1" w:color="auto"/>
          <w:left w:val="single" w:sz="4" w:space="4" w:color="auto"/>
          <w:bottom w:val="single" w:sz="4" w:space="17" w:color="auto"/>
          <w:right w:val="single" w:sz="4" w:space="4" w:color="auto"/>
        </w:pBdr>
        <w:rPr>
          <w:i/>
          <w:iCs/>
          <w:noProof/>
        </w:rPr>
      </w:pPr>
      <w:r>
        <w:rPr>
          <w:i/>
          <w:iCs/>
          <w:noProof/>
        </w:rPr>
        <w:t xml:space="preserve">- </w:t>
      </w:r>
      <w:r w:rsidRPr="4E965DD0">
        <w:rPr>
          <w:i/>
          <w:iCs/>
          <w:noProof/>
        </w:rPr>
        <w:t>&gt;</w:t>
      </w:r>
      <w:r w:rsidRPr="00922145">
        <w:rPr>
          <w:i/>
          <w:iCs/>
          <w:noProof/>
        </w:rPr>
        <w:t>70 % SMEs reporting reduction in compliance costs for cybersecurity compared to 2025</w:t>
      </w:r>
    </w:p>
    <w:p w14:paraId="0B08FCE5" w14:textId="77777777" w:rsidR="004F652B" w:rsidRDefault="004F652B" w:rsidP="004F652B">
      <w:pPr>
        <w:pStyle w:val="Text1"/>
        <w:pBdr>
          <w:top w:val="single" w:sz="4" w:space="1" w:color="auto"/>
          <w:left w:val="single" w:sz="4" w:space="4" w:color="auto"/>
          <w:bottom w:val="single" w:sz="4" w:space="17" w:color="auto"/>
          <w:right w:val="single" w:sz="4" w:space="4" w:color="auto"/>
        </w:pBdr>
        <w:rPr>
          <w:i/>
          <w:iCs/>
          <w:noProof/>
        </w:rPr>
      </w:pPr>
      <w:r w:rsidRPr="7E8A004A">
        <w:rPr>
          <w:i/>
          <w:iCs/>
          <w:noProof/>
        </w:rPr>
        <w:t xml:space="preserve">- </w:t>
      </w:r>
      <w:r w:rsidRPr="00922145">
        <w:rPr>
          <w:i/>
          <w:iCs/>
          <w:noProof/>
        </w:rPr>
        <w:t>Number of ransomware attacks and amount of damages in EUR</w:t>
      </w:r>
    </w:p>
    <w:p w14:paraId="72DA953C" w14:textId="77777777" w:rsidR="004F652B" w:rsidRPr="00922145" w:rsidRDefault="004F652B" w:rsidP="004F652B">
      <w:pPr>
        <w:pStyle w:val="Text1"/>
        <w:pBdr>
          <w:top w:val="single" w:sz="4" w:space="1" w:color="auto"/>
          <w:left w:val="single" w:sz="4" w:space="4" w:color="auto"/>
          <w:bottom w:val="single" w:sz="4" w:space="17" w:color="auto"/>
          <w:right w:val="single" w:sz="4" w:space="4" w:color="auto"/>
        </w:pBdr>
        <w:rPr>
          <w:i/>
          <w:iCs/>
          <w:noProof/>
        </w:rPr>
      </w:pPr>
      <w:r>
        <w:rPr>
          <w:i/>
          <w:iCs/>
          <w:noProof/>
        </w:rPr>
        <w:t xml:space="preserve">- </w:t>
      </w:r>
      <w:r w:rsidRPr="00922145">
        <w:rPr>
          <w:i/>
          <w:iCs/>
          <w:noProof/>
        </w:rPr>
        <w:t>Reduce number of ransomware attacks by &gt; 1%  compared to 2027</w:t>
      </w:r>
    </w:p>
    <w:p w14:paraId="469C19E7" w14:textId="77777777" w:rsidR="004F652B" w:rsidRDefault="004F652B" w:rsidP="004F652B">
      <w:pPr>
        <w:pStyle w:val="Text1"/>
        <w:pBdr>
          <w:top w:val="single" w:sz="4" w:space="1" w:color="auto"/>
          <w:left w:val="single" w:sz="4" w:space="4" w:color="auto"/>
          <w:bottom w:val="single" w:sz="4" w:space="17" w:color="auto"/>
          <w:right w:val="single" w:sz="4" w:space="4" w:color="auto"/>
        </w:pBdr>
        <w:rPr>
          <w:i/>
          <w:iCs/>
          <w:noProof/>
        </w:rPr>
      </w:pPr>
      <w:r w:rsidRPr="7E8A004A">
        <w:rPr>
          <w:i/>
          <w:iCs/>
          <w:noProof/>
        </w:rPr>
        <w:t xml:space="preserve">- </w:t>
      </w:r>
      <w:r w:rsidRPr="00922145">
        <w:rPr>
          <w:i/>
          <w:iCs/>
          <w:noProof/>
        </w:rPr>
        <w:t>Percentage of cross-border incidents during or after which Member States’ authorities used mutual assistance mechanisms</w:t>
      </w:r>
    </w:p>
    <w:p w14:paraId="6D9A9D8A" w14:textId="77777777" w:rsidR="004F652B" w:rsidRPr="00922145" w:rsidRDefault="004F652B" w:rsidP="004F652B">
      <w:pPr>
        <w:pStyle w:val="Text1"/>
        <w:pBdr>
          <w:top w:val="single" w:sz="4" w:space="1" w:color="auto"/>
          <w:left w:val="single" w:sz="4" w:space="4" w:color="auto"/>
          <w:bottom w:val="single" w:sz="4" w:space="17" w:color="auto"/>
          <w:right w:val="single" w:sz="4" w:space="4" w:color="auto"/>
        </w:pBdr>
        <w:rPr>
          <w:i/>
          <w:iCs/>
          <w:noProof/>
        </w:rPr>
      </w:pPr>
      <w:r>
        <w:rPr>
          <w:i/>
          <w:iCs/>
          <w:noProof/>
        </w:rPr>
        <w:t xml:space="preserve">- </w:t>
      </w:r>
      <w:r w:rsidRPr="00922145">
        <w:rPr>
          <w:i/>
          <w:iCs/>
          <w:noProof/>
        </w:rPr>
        <w:t>Increase proportion of cases where mutual assistance was used by &gt;20 percentage points compared to 2025</w:t>
      </w:r>
    </w:p>
    <w:p w14:paraId="5F9AA32E" w14:textId="77777777" w:rsidR="004F652B" w:rsidRPr="00091905" w:rsidRDefault="004F652B" w:rsidP="004F652B">
      <w:pPr>
        <w:pStyle w:val="Text1"/>
        <w:pBdr>
          <w:top w:val="single" w:sz="4" w:space="1" w:color="auto"/>
          <w:left w:val="single" w:sz="4" w:space="4" w:color="auto"/>
          <w:bottom w:val="single" w:sz="4" w:space="17" w:color="auto"/>
          <w:right w:val="single" w:sz="4" w:space="4" w:color="auto"/>
        </w:pBdr>
        <w:rPr>
          <w:noProof/>
        </w:rPr>
      </w:pPr>
    </w:p>
    <w:p w14:paraId="7415D50A" w14:textId="77777777" w:rsidR="00500223" w:rsidRDefault="00500223" w:rsidP="00500223">
      <w:pPr>
        <w:pStyle w:val="Text1"/>
        <w:pBdr>
          <w:top w:val="single" w:sz="4" w:space="1" w:color="auto"/>
          <w:left w:val="single" w:sz="4" w:space="4" w:color="auto"/>
          <w:bottom w:val="single" w:sz="4" w:space="17" w:color="auto"/>
          <w:right w:val="single" w:sz="4" w:space="4" w:color="auto"/>
        </w:pBdr>
        <w:rPr>
          <w:noProof/>
        </w:rPr>
      </w:pPr>
      <w:r w:rsidRPr="7E8A004A">
        <w:rPr>
          <w:noProof/>
          <w:u w:val="single"/>
        </w:rPr>
        <w:t>Objective</w:t>
      </w:r>
      <w:r>
        <w:rPr>
          <w:noProof/>
        </w:rPr>
        <w:t xml:space="preserve">: Reduce critical dependencies by developing a coherent and effective framework at EU level to address ICT supply chain security risks. </w:t>
      </w:r>
    </w:p>
    <w:p w14:paraId="049AE87B" w14:textId="77777777" w:rsidR="00500223" w:rsidRPr="00500223" w:rsidRDefault="00500223" w:rsidP="00500223">
      <w:pPr>
        <w:pStyle w:val="Text1"/>
        <w:pBdr>
          <w:top w:val="single" w:sz="4" w:space="1" w:color="auto"/>
          <w:left w:val="single" w:sz="4" w:space="4" w:color="auto"/>
          <w:bottom w:val="single" w:sz="4" w:space="17" w:color="auto"/>
          <w:right w:val="single" w:sz="4" w:space="4" w:color="auto"/>
        </w:pBdr>
        <w:rPr>
          <w:noProof/>
        </w:rPr>
      </w:pPr>
      <w:r w:rsidRPr="00500223">
        <w:rPr>
          <w:rFonts w:eastAsiaTheme="minorEastAsia"/>
          <w:i/>
          <w:iCs/>
          <w:noProof/>
          <w:szCs w:val="24"/>
        </w:rPr>
        <w:t>- Number of measures adopted</w:t>
      </w:r>
      <w:r w:rsidRPr="00500223">
        <w:rPr>
          <w:noProof/>
        </w:rPr>
        <w:t xml:space="preserve"> </w:t>
      </w:r>
    </w:p>
    <w:p w14:paraId="45D5764C" w14:textId="77777777" w:rsidR="00500223" w:rsidRPr="00500223" w:rsidRDefault="00500223" w:rsidP="00500223">
      <w:pPr>
        <w:pStyle w:val="Text1"/>
        <w:pBdr>
          <w:top w:val="single" w:sz="4" w:space="1" w:color="auto"/>
          <w:left w:val="single" w:sz="4" w:space="4" w:color="auto"/>
          <w:bottom w:val="single" w:sz="4" w:space="17" w:color="auto"/>
          <w:right w:val="single" w:sz="4" w:space="4" w:color="auto"/>
        </w:pBdr>
        <w:rPr>
          <w:i/>
          <w:iCs/>
          <w:noProof/>
        </w:rPr>
      </w:pPr>
      <w:r w:rsidRPr="00500223">
        <w:rPr>
          <w:rFonts w:eastAsiaTheme="minorEastAsia"/>
          <w:i/>
          <w:iCs/>
          <w:noProof/>
          <w:szCs w:val="24"/>
        </w:rPr>
        <w:t xml:space="preserve">- Increase by 25% of number of measures adopted and key assets identified compared to adoption date + 6 months </w:t>
      </w:r>
    </w:p>
    <w:p w14:paraId="2928239E" w14:textId="77777777" w:rsidR="00500223" w:rsidRPr="00500223" w:rsidRDefault="00500223" w:rsidP="00500223">
      <w:pPr>
        <w:pStyle w:val="Text1"/>
        <w:pBdr>
          <w:top w:val="single" w:sz="4" w:space="1" w:color="auto"/>
          <w:left w:val="single" w:sz="4" w:space="4" w:color="auto"/>
          <w:bottom w:val="single" w:sz="4" w:space="17" w:color="auto"/>
          <w:right w:val="single" w:sz="4" w:space="4" w:color="auto"/>
        </w:pBdr>
        <w:rPr>
          <w:i/>
          <w:iCs/>
          <w:noProof/>
        </w:rPr>
      </w:pPr>
      <w:r w:rsidRPr="00500223">
        <w:rPr>
          <w:rFonts w:eastAsiaTheme="minorEastAsia"/>
          <w:i/>
          <w:iCs/>
          <w:noProof/>
          <w:szCs w:val="24"/>
        </w:rPr>
        <w:t>- Decrease of dependencies on high-risk suppliers in key ICT assets by 25% compared to 2025</w:t>
      </w:r>
    </w:p>
    <w:p w14:paraId="36DB788D" w14:textId="77777777" w:rsidR="004F652B" w:rsidRDefault="004F652B" w:rsidP="004F652B">
      <w:pPr>
        <w:pStyle w:val="ManualHeading2"/>
        <w:rPr>
          <w:noProof/>
        </w:rPr>
      </w:pPr>
      <w:bookmarkStart w:id="53" w:name="_Toc177549000"/>
      <w:r>
        <w:rPr>
          <w:noProof/>
        </w:rPr>
        <w:t>1.4.</w:t>
      </w:r>
      <w:r>
        <w:rPr>
          <w:noProof/>
        </w:rPr>
        <w:tab/>
      </w:r>
      <w:r w:rsidRPr="7D67B65D">
        <w:rPr>
          <w:noProof/>
        </w:rPr>
        <w:t>The proposal/initiative relates to:</w:t>
      </w:r>
      <w:bookmarkEnd w:id="53"/>
      <w:r w:rsidRPr="7D67B65D">
        <w:rPr>
          <w:noProof/>
        </w:rPr>
        <w:t xml:space="preserve"> </w:t>
      </w:r>
    </w:p>
    <w:p w14:paraId="1CAC8D85" w14:textId="77777777" w:rsidR="004F652B" w:rsidRPr="003B4AA4" w:rsidRDefault="004F652B" w:rsidP="004F652B">
      <w:pPr>
        <w:pStyle w:val="Text1"/>
        <w:rPr>
          <w:noProof/>
          <w:sz w:val="22"/>
        </w:rPr>
      </w:pPr>
      <w:r w:rsidRPr="00922145">
        <w:rPr>
          <w:rFonts w:ascii="Wingdings" w:eastAsia="Wingdings" w:hAnsi="Wingdings" w:cs="Wingdings"/>
          <w:noProof/>
          <w:sz w:val="22"/>
        </w:rPr>
        <w:t></w:t>
      </w:r>
      <w:r w:rsidRPr="003B4AA4">
        <w:rPr>
          <w:i/>
          <w:iCs/>
          <w:noProof/>
          <w:sz w:val="22"/>
        </w:rPr>
        <w:t xml:space="preserve"> </w:t>
      </w:r>
      <w:r w:rsidRPr="003B4AA4">
        <w:rPr>
          <w:noProof/>
        </w:rPr>
        <w:t>a new action</w:t>
      </w:r>
      <w:r w:rsidRPr="003B4AA4">
        <w:rPr>
          <w:noProof/>
          <w:sz w:val="22"/>
        </w:rPr>
        <w:t xml:space="preserve"> </w:t>
      </w:r>
      <w:r w:rsidRPr="7E8A004A">
        <w:rPr>
          <w:i/>
          <w:iCs/>
          <w:noProof/>
          <w:sz w:val="22"/>
        </w:rPr>
        <w:t>(</w:t>
      </w:r>
      <w:r w:rsidRPr="7E8A004A">
        <w:rPr>
          <w:rFonts w:eastAsia="Times New Roman"/>
          <w:i/>
          <w:iCs/>
          <w:noProof/>
          <w:sz w:val="22"/>
        </w:rPr>
        <w:t>Title IV Supply Chain</w:t>
      </w:r>
      <w:r w:rsidRPr="7E8A004A">
        <w:rPr>
          <w:i/>
          <w:iCs/>
          <w:noProof/>
          <w:sz w:val="22"/>
        </w:rPr>
        <w:t>,</w:t>
      </w:r>
      <w:r w:rsidRPr="00916BEB">
        <w:rPr>
          <w:i/>
          <w:iCs/>
          <w:noProof/>
          <w:sz w:val="22"/>
        </w:rPr>
        <w:t xml:space="preserve"> Title V Simplification)</w:t>
      </w:r>
    </w:p>
    <w:p w14:paraId="22BDE80E" w14:textId="77777777" w:rsidR="004F652B" w:rsidRPr="003B4AA4" w:rsidRDefault="004F652B" w:rsidP="004F652B">
      <w:pPr>
        <w:pStyle w:val="Text1"/>
        <w:rPr>
          <w:noProof/>
          <w:sz w:val="22"/>
        </w:rPr>
      </w:pPr>
      <w:r w:rsidRPr="003B4AA4">
        <w:rPr>
          <w:rFonts w:ascii="Wingdings" w:eastAsia="Wingdings" w:hAnsi="Wingdings" w:cs="Wingdings"/>
          <w:noProof/>
          <w:sz w:val="22"/>
        </w:rPr>
        <w:t></w:t>
      </w:r>
      <w:r w:rsidRPr="003B4AA4">
        <w:rPr>
          <w:i/>
          <w:iCs/>
          <w:noProof/>
          <w:sz w:val="22"/>
        </w:rPr>
        <w:t xml:space="preserve"> </w:t>
      </w:r>
      <w:r w:rsidRPr="003B4AA4">
        <w:rPr>
          <w:noProof/>
        </w:rPr>
        <w:t>a new action following a pilot project / preparatory action</w:t>
      </w:r>
      <w:r w:rsidRPr="003B4AA4">
        <w:rPr>
          <w:rStyle w:val="FootnoteReference"/>
          <w:noProof/>
        </w:rPr>
        <w:footnoteReference w:id="85"/>
      </w:r>
      <w:r w:rsidRPr="003B4AA4">
        <w:rPr>
          <w:noProof/>
          <w:sz w:val="22"/>
        </w:rPr>
        <w:t xml:space="preserve"> </w:t>
      </w:r>
    </w:p>
    <w:p w14:paraId="6A7C3886" w14:textId="77777777" w:rsidR="004F652B" w:rsidRPr="003B4AA4" w:rsidRDefault="004F652B" w:rsidP="004F652B">
      <w:pPr>
        <w:pStyle w:val="Text1"/>
        <w:rPr>
          <w:noProof/>
          <w:sz w:val="22"/>
        </w:rPr>
      </w:pPr>
      <w:r w:rsidRPr="00922145">
        <w:rPr>
          <w:rFonts w:ascii="Wingdings" w:eastAsia="Wingdings" w:hAnsi="Wingdings" w:cs="Wingdings"/>
          <w:noProof/>
          <w:sz w:val="22"/>
        </w:rPr>
        <w:t></w:t>
      </w:r>
      <w:r w:rsidRPr="003B4AA4">
        <w:rPr>
          <w:i/>
          <w:iCs/>
          <w:noProof/>
          <w:sz w:val="22"/>
        </w:rPr>
        <w:t xml:space="preserve"> </w:t>
      </w:r>
      <w:r w:rsidRPr="003B4AA4">
        <w:rPr>
          <w:noProof/>
        </w:rPr>
        <w:t>the extension of an existing action</w:t>
      </w:r>
      <w:r w:rsidRPr="003B4AA4">
        <w:rPr>
          <w:noProof/>
          <w:sz w:val="22"/>
        </w:rPr>
        <w:t xml:space="preserve"> </w:t>
      </w:r>
      <w:r w:rsidRPr="00922145">
        <w:rPr>
          <w:noProof/>
          <w:sz w:val="22"/>
        </w:rPr>
        <w:t>(</w:t>
      </w:r>
      <w:r w:rsidRPr="00922145">
        <w:rPr>
          <w:i/>
          <w:iCs/>
          <w:noProof/>
          <w:sz w:val="22"/>
        </w:rPr>
        <w:t>Title II ENISA’s mandate and Title III Certification</w:t>
      </w:r>
      <w:r w:rsidRPr="00922145">
        <w:rPr>
          <w:noProof/>
          <w:sz w:val="22"/>
        </w:rPr>
        <w:t>)</w:t>
      </w:r>
    </w:p>
    <w:p w14:paraId="3A916BE9" w14:textId="77777777" w:rsidR="004F652B" w:rsidRPr="003B4AA4" w:rsidRDefault="004F652B" w:rsidP="004F652B">
      <w:pPr>
        <w:pStyle w:val="Text1"/>
        <w:rPr>
          <w:noProof/>
        </w:rPr>
      </w:pPr>
      <w:r w:rsidRPr="003B4AA4">
        <w:rPr>
          <w:rFonts w:ascii="Wingdings" w:eastAsia="Wingdings" w:hAnsi="Wingdings" w:cs="Wingdings"/>
          <w:noProof/>
          <w:sz w:val="22"/>
        </w:rPr>
        <w:t></w:t>
      </w:r>
      <w:r w:rsidRPr="003B4AA4">
        <w:rPr>
          <w:i/>
          <w:iCs/>
          <w:noProof/>
          <w:sz w:val="22"/>
        </w:rPr>
        <w:t xml:space="preserve"> </w:t>
      </w:r>
      <w:r w:rsidRPr="003B4AA4">
        <w:rPr>
          <w:noProof/>
        </w:rPr>
        <w:t>a merger or redirection of one or more actions towards another/a new action</w:t>
      </w:r>
    </w:p>
    <w:p w14:paraId="77E58D74" w14:textId="77777777" w:rsidR="004F652B" w:rsidRDefault="004F652B" w:rsidP="004F652B">
      <w:pPr>
        <w:pStyle w:val="ManualHeading2"/>
        <w:rPr>
          <w:bCs/>
          <w:noProof/>
          <w:szCs w:val="24"/>
        </w:rPr>
      </w:pPr>
      <w:bookmarkStart w:id="54" w:name="_Toc514938025"/>
      <w:bookmarkStart w:id="55" w:name="_Toc520485034"/>
      <w:bookmarkStart w:id="56" w:name="_Toc160804576"/>
      <w:bookmarkStart w:id="57" w:name="_Toc167220268"/>
      <w:bookmarkStart w:id="58" w:name="_Toc177549001"/>
      <w:r w:rsidRPr="0021790A">
        <w:rPr>
          <w:noProof/>
        </w:rPr>
        <w:t>1.5.</w:t>
      </w:r>
      <w:r w:rsidRPr="0021790A">
        <w:rPr>
          <w:noProof/>
        </w:rPr>
        <w:tab/>
      </w:r>
      <w:r>
        <w:rPr>
          <w:noProof/>
        </w:rPr>
        <w:t>Grounds for the proposal/initiative</w:t>
      </w:r>
      <w:bookmarkEnd w:id="54"/>
      <w:bookmarkEnd w:id="55"/>
      <w:bookmarkEnd w:id="56"/>
      <w:bookmarkEnd w:id="57"/>
      <w:bookmarkEnd w:id="58"/>
      <w:r>
        <w:rPr>
          <w:noProof/>
        </w:rPr>
        <w:t xml:space="preserve"> </w:t>
      </w:r>
    </w:p>
    <w:p w14:paraId="3C7083BE" w14:textId="77777777" w:rsidR="004F652B" w:rsidRDefault="004F652B" w:rsidP="004F652B">
      <w:pPr>
        <w:pStyle w:val="ManualHeading3"/>
        <w:rPr>
          <w:noProof/>
        </w:rPr>
      </w:pPr>
      <w:bookmarkStart w:id="59" w:name="_Toc514938026"/>
      <w:bookmarkStart w:id="60" w:name="_Toc520485035"/>
      <w:bookmarkStart w:id="61" w:name="_Toc160804577"/>
      <w:bookmarkStart w:id="62" w:name="_Toc167220269"/>
      <w:bookmarkStart w:id="63" w:name="_Toc177549002"/>
      <w:r w:rsidRPr="0021790A">
        <w:rPr>
          <w:noProof/>
        </w:rPr>
        <w:t>1.5.1.</w:t>
      </w:r>
      <w:r w:rsidRPr="0021790A">
        <w:rPr>
          <w:noProof/>
        </w:rPr>
        <w:tab/>
      </w:r>
      <w:r>
        <w:rPr>
          <w:noProof/>
        </w:rPr>
        <w:t>Requirement(s) to be met in the short or long term including a detailed timeline for roll-out of the implementation of the initiative</w:t>
      </w:r>
      <w:bookmarkEnd w:id="59"/>
      <w:bookmarkEnd w:id="60"/>
      <w:bookmarkEnd w:id="61"/>
      <w:bookmarkEnd w:id="62"/>
      <w:bookmarkEnd w:id="63"/>
    </w:p>
    <w:p w14:paraId="437AD961" w14:textId="77777777" w:rsidR="004F652B" w:rsidRDefault="004F652B" w:rsidP="004F652B">
      <w:pPr>
        <w:pStyle w:val="Text1"/>
        <w:pBdr>
          <w:top w:val="single" w:sz="4" w:space="1" w:color="auto"/>
          <w:left w:val="single" w:sz="4" w:space="4" w:color="auto"/>
          <w:bottom w:val="single" w:sz="4" w:space="1" w:color="auto"/>
          <w:right w:val="single" w:sz="4" w:space="4" w:color="auto"/>
        </w:pBdr>
        <w:rPr>
          <w:noProof/>
        </w:rPr>
      </w:pPr>
      <w:r w:rsidRPr="00922145">
        <w:rPr>
          <w:noProof/>
        </w:rPr>
        <w:t>In July 2024, in its Political Guidelines</w:t>
      </w:r>
      <w:r w:rsidRPr="00922145">
        <w:rPr>
          <w:rStyle w:val="FootnoteReference"/>
          <w:noProof/>
        </w:rPr>
        <w:footnoteReference w:id="86"/>
      </w:r>
      <w:r w:rsidRPr="00922145">
        <w:rPr>
          <w:noProof/>
        </w:rPr>
        <w:t>, the President of the European Commission Ursula von der Leyen called for simplification, consolidation, and codification of EU legislation to eliminate any overlaps and contradictions while maintaining high standards. The Mission Letter to EVP Virkkunen</w:t>
      </w:r>
      <w:r w:rsidRPr="00922145">
        <w:rPr>
          <w:rStyle w:val="FootnoteReference"/>
          <w:noProof/>
        </w:rPr>
        <w:footnoteReference w:id="87"/>
      </w:r>
      <w:r w:rsidRPr="00922145">
        <w:rPr>
          <w:noProof/>
        </w:rPr>
        <w:t xml:space="preserve"> in particular mentions improving the adoption process of European cybersecurity certification schemes and the need to protect our industries, citizens and public administrations against internal and external threats. </w:t>
      </w:r>
      <w:r w:rsidRPr="6DC5B899">
        <w:rPr>
          <w:noProof/>
        </w:rPr>
        <w:t>Furthermore, the 2024 Niinistö</w:t>
      </w:r>
      <w:r w:rsidRPr="6DC5B899">
        <w:rPr>
          <w:rStyle w:val="FootnoteReference"/>
          <w:noProof/>
        </w:rPr>
        <w:footnoteReference w:id="88"/>
      </w:r>
      <w:r w:rsidRPr="6DC5B899">
        <w:rPr>
          <w:noProof/>
        </w:rPr>
        <w:t xml:space="preserve"> report calls for de-risking undesirable supply chain dependencies in critical technologies. Central aspects of the commissioned by the EU President, Draghi</w:t>
      </w:r>
      <w:r w:rsidRPr="6DC5B899">
        <w:rPr>
          <w:rStyle w:val="FootnoteReference"/>
          <w:noProof/>
        </w:rPr>
        <w:footnoteReference w:id="89"/>
      </w:r>
      <w:r w:rsidRPr="6DC5B899">
        <w:rPr>
          <w:noProof/>
        </w:rPr>
        <w:t xml:space="preserve"> and Letta</w:t>
      </w:r>
      <w:r w:rsidRPr="6DC5B899">
        <w:rPr>
          <w:rStyle w:val="FootnoteReference"/>
          <w:noProof/>
        </w:rPr>
        <w:footnoteReference w:id="90"/>
      </w:r>
      <w:r w:rsidRPr="6DC5B899">
        <w:rPr>
          <w:noProof/>
        </w:rPr>
        <w:t xml:space="preserve"> reports reflected on the need the single market to stay competitive through simplification and ensure highest levels of security and strategic autonomy. Taking on this, the revision of the CSA is a cornerstone in the Commission’s work on security and a roll out of an ambitious revision of the European cybersecurity regulatory ecosystem.</w:t>
      </w:r>
      <w:r>
        <w:rPr>
          <w:noProof/>
        </w:rPr>
        <w:t xml:space="preserve"> The CSA2 proposal is introducing mechanisms to address cybersecurity risks in the supply chain and mechanisms to reduce the fragmented compliance landscape and complexity of horizontal and sectoral frameworks. </w:t>
      </w:r>
      <w:r w:rsidRPr="6DC5B899">
        <w:rPr>
          <w:noProof/>
        </w:rPr>
        <w:t>It is expected that ENISA will be also a vehicle to lead to greater simplification in reporting obligations through integrating a Single Entry Point.</w:t>
      </w:r>
    </w:p>
    <w:p w14:paraId="5AF23168" w14:textId="77777777" w:rsidR="004F652B" w:rsidRPr="00922145" w:rsidRDefault="004F652B" w:rsidP="004F652B">
      <w:pPr>
        <w:pStyle w:val="Text1"/>
        <w:pBdr>
          <w:top w:val="single" w:sz="4" w:space="1" w:color="auto"/>
          <w:left w:val="single" w:sz="4" w:space="4" w:color="auto"/>
          <w:bottom w:val="single" w:sz="4" w:space="1" w:color="auto"/>
          <w:right w:val="single" w:sz="4" w:space="4" w:color="auto"/>
        </w:pBdr>
        <w:rPr>
          <w:noProof/>
        </w:rPr>
      </w:pPr>
      <w:r w:rsidRPr="00922145">
        <w:rPr>
          <w:noProof/>
        </w:rPr>
        <w:t>In addition, in view of the number of sectorial provisions introduced post 2019 adoption of the CSA, as well as the fast evolving cybersecurity threat landscape, ENISA's mandate needs to be reviewed, to lay down more focused and renewed set of tasks, with a view to effectively and efficiently supporting Member States, EU institutions and other stakeholders' efforts to ensure a secure cyberspace in the European Union. Through the reinforcement of the European Cybersecurity Certification Framework (ECCF), the proposal is ensuring that the EU has a lean, modern and adaptable certification system that will serve the purposes of supply chain actions and the swift implementation of the Cyber Resilience Act. In conclusion, the suggested scope of the mandate is delineated, strengthening those areas where the Agency has shown clear added value and adding those new areas where support is needed in view of the new policy priorities and instruments and to reinforce the ECCF.</w:t>
      </w:r>
    </w:p>
    <w:p w14:paraId="185E5473" w14:textId="77777777" w:rsidR="004F652B" w:rsidRDefault="004F652B" w:rsidP="004F652B">
      <w:pPr>
        <w:pStyle w:val="Text1"/>
        <w:pBdr>
          <w:top w:val="single" w:sz="4" w:space="1" w:color="auto"/>
          <w:left w:val="single" w:sz="4" w:space="4" w:color="auto"/>
          <w:bottom w:val="single" w:sz="4" w:space="1" w:color="auto"/>
          <w:right w:val="single" w:sz="4" w:space="4" w:color="auto"/>
        </w:pBdr>
        <w:rPr>
          <w:noProof/>
        </w:rPr>
      </w:pPr>
      <w:r w:rsidRPr="00922145">
        <w:rPr>
          <w:noProof/>
        </w:rPr>
        <w:t>The CSA revision is therefore designed to be a major step-change in the EU cyber posture and the overall security, preparedness, and resilience of the European Union</w:t>
      </w:r>
      <w:r>
        <w:rPr>
          <w:noProof/>
        </w:rPr>
        <w:t>.</w:t>
      </w:r>
    </w:p>
    <w:p w14:paraId="75DA884E" w14:textId="77777777" w:rsidR="004F652B" w:rsidRDefault="004F652B" w:rsidP="004F652B">
      <w:pPr>
        <w:pStyle w:val="ManualHeading3"/>
        <w:rPr>
          <w:noProof/>
        </w:rPr>
      </w:pPr>
      <w:bookmarkStart w:id="64" w:name="_Toc514938029"/>
      <w:bookmarkStart w:id="65" w:name="_Toc520485036"/>
      <w:bookmarkStart w:id="66" w:name="_Toc160804578"/>
      <w:bookmarkStart w:id="67" w:name="_Toc167220270"/>
      <w:bookmarkStart w:id="68" w:name="_Toc177549003"/>
      <w:r>
        <w:rPr>
          <w:noProof/>
        </w:rPr>
        <w:t>1.5.2.</w:t>
      </w:r>
      <w:r>
        <w:rPr>
          <w:noProof/>
        </w:rPr>
        <w:tab/>
      </w:r>
      <w:r w:rsidRPr="2714D713">
        <w:rPr>
          <w:noProof/>
        </w:rPr>
        <w:t>Added value of EU involvement (it may result from different factors, e.g. coordination gains, legal certainty, greater effectiveness or complementarities). For the purposes of this section 'added value of EU involvement' is the value resulting from EU action, that is additional to the value that would have been otherwise created by Member States alone.</w:t>
      </w:r>
      <w:bookmarkEnd w:id="64"/>
      <w:bookmarkEnd w:id="65"/>
      <w:bookmarkEnd w:id="66"/>
      <w:bookmarkEnd w:id="67"/>
      <w:bookmarkEnd w:id="68"/>
    </w:p>
    <w:p w14:paraId="5BAC11F1" w14:textId="77777777" w:rsidR="004F652B" w:rsidRPr="00922145" w:rsidRDefault="004F652B" w:rsidP="004F652B">
      <w:pPr>
        <w:pStyle w:val="Text1"/>
        <w:pBdr>
          <w:top w:val="single" w:sz="4" w:space="1" w:color="auto"/>
          <w:left w:val="single" w:sz="4" w:space="4" w:color="auto"/>
          <w:bottom w:val="single" w:sz="4" w:space="1" w:color="auto"/>
          <w:right w:val="single" w:sz="4" w:space="4" w:color="auto"/>
        </w:pBdr>
        <w:rPr>
          <w:noProof/>
        </w:rPr>
      </w:pPr>
      <w:r w:rsidRPr="00922145">
        <w:rPr>
          <w:noProof/>
        </w:rPr>
        <w:t>Cybersecurity Act was adopted in 2019 with the legal basis of Article 114 TFEU, which empowers the EU legislator to adopt measures harmonising national laws and regulations that have as their objective the establishment and functioning of the internal market.   </w:t>
      </w:r>
    </w:p>
    <w:p w14:paraId="73394342" w14:textId="77777777" w:rsidR="004F652B" w:rsidRPr="00922145" w:rsidRDefault="004F652B" w:rsidP="004F652B">
      <w:pPr>
        <w:pStyle w:val="Text1"/>
        <w:pBdr>
          <w:top w:val="single" w:sz="4" w:space="1" w:color="auto"/>
          <w:left w:val="single" w:sz="4" w:space="4" w:color="auto"/>
          <w:bottom w:val="single" w:sz="4" w:space="1" w:color="auto"/>
          <w:right w:val="single" w:sz="4" w:space="4" w:color="auto"/>
        </w:pBdr>
        <w:rPr>
          <w:noProof/>
        </w:rPr>
      </w:pPr>
      <w:r w:rsidRPr="00922145">
        <w:rPr>
          <w:noProof/>
        </w:rPr>
        <w:t>The revised CSA proposal aims at streamlining of the cybersecurity legislation at EU level, supplementing and reviewing the current Cybersecurity Act, in force as of 2019 (CSA1). The objectives under CSA1 to give permanent mandate to European Union Agency for Cybersecurity, dedicated to support the high common level of cybersecurity across the EU, as well as for the purpose of avoiding the fragmentation of the internal market regarding cybersecurity certification schemes, are kept in within the initiated revision. Those objectives, as already duly analysed within the proposal of Cybersecurity Act in 2017, cannot be sufficiently achieved by the Member States, but only at European Union level in accordance with Article 5 of the Treaty on European Union.  </w:t>
      </w:r>
    </w:p>
    <w:p w14:paraId="76D62CB7" w14:textId="4A0ABD44" w:rsidR="004F652B" w:rsidRPr="00922145" w:rsidRDefault="004F652B" w:rsidP="004F652B">
      <w:pPr>
        <w:pStyle w:val="Text1"/>
        <w:pBdr>
          <w:top w:val="single" w:sz="4" w:space="1" w:color="auto"/>
          <w:left w:val="single" w:sz="4" w:space="4" w:color="auto"/>
          <w:bottom w:val="single" w:sz="4" w:space="1" w:color="auto"/>
          <w:right w:val="single" w:sz="4" w:space="4" w:color="auto"/>
        </w:pBdr>
        <w:rPr>
          <w:noProof/>
        </w:rPr>
      </w:pPr>
      <w:r>
        <w:rPr>
          <w:noProof/>
        </w:rPr>
        <w:t xml:space="preserve">The proposal for the revision of the CSA has a clear focus on streamlining, prioritising and codifying tasks across cyber-related legislations could be achieved only at EU level and there isn't such initiative that currently exists. The new proposal further strengthens </w:t>
      </w:r>
      <w:r w:rsidRPr="7E8A004A">
        <w:rPr>
          <w:rFonts w:eastAsia="Times New Roman"/>
          <w:noProof/>
          <w:szCs w:val="24"/>
        </w:rPr>
        <w:t>supply chain security and</w:t>
      </w:r>
      <w:r>
        <w:rPr>
          <w:noProof/>
        </w:rPr>
        <w:t xml:space="preserve"> the cybersecurity sector within the EU and enhance the preparedness and resilience of the Member States and industry. </w:t>
      </w:r>
      <w:r w:rsidR="00500223" w:rsidRPr="7E8A004A">
        <w:rPr>
          <w:rFonts w:eastAsia="Times New Roman"/>
          <w:noProof/>
          <w:szCs w:val="24"/>
        </w:rPr>
        <w:t xml:space="preserve">Dependencies on entities established in </w:t>
      </w:r>
      <w:r w:rsidR="00500223">
        <w:rPr>
          <w:rFonts w:eastAsia="Times New Roman"/>
          <w:noProof/>
          <w:szCs w:val="24"/>
        </w:rPr>
        <w:t>or</w:t>
      </w:r>
      <w:r w:rsidR="00500223" w:rsidRPr="7E8A004A">
        <w:rPr>
          <w:rFonts w:eastAsia="Times New Roman"/>
          <w:noProof/>
          <w:szCs w:val="24"/>
        </w:rPr>
        <w:t xml:space="preserve"> controlled by </w:t>
      </w:r>
      <w:r w:rsidR="00500223">
        <w:rPr>
          <w:rFonts w:eastAsia="Times New Roman"/>
          <w:noProof/>
          <w:szCs w:val="24"/>
        </w:rPr>
        <w:t xml:space="preserve">entities from third </w:t>
      </w:r>
      <w:r w:rsidR="00500223" w:rsidRPr="7E8A004A">
        <w:rPr>
          <w:rFonts w:eastAsia="Times New Roman"/>
          <w:noProof/>
          <w:szCs w:val="24"/>
        </w:rPr>
        <w:t xml:space="preserve">countries posing cybersecurity concerns </w:t>
      </w:r>
      <w:r w:rsidR="00500223" w:rsidRPr="7E8A004A">
        <w:rPr>
          <w:rFonts w:eastAsia="Times New Roman"/>
          <w:noProof/>
          <w:szCs w:val="24"/>
          <w:u w:val="single"/>
        </w:rPr>
        <w:t>(</w:t>
      </w:r>
      <w:r w:rsidR="00500223" w:rsidRPr="7E8A004A">
        <w:rPr>
          <w:rFonts w:eastAsia="Times New Roman"/>
          <w:noProof/>
          <w:szCs w:val="24"/>
        </w:rPr>
        <w:t>high-risk suppliers</w:t>
      </w:r>
      <w:r w:rsidR="00500223" w:rsidRPr="7E8A004A">
        <w:rPr>
          <w:rFonts w:eastAsia="Times New Roman"/>
          <w:noProof/>
          <w:szCs w:val="24"/>
          <w:u w:val="single"/>
        </w:rPr>
        <w:t>)</w:t>
      </w:r>
      <w:r w:rsidR="00500223" w:rsidRPr="7E8A004A">
        <w:rPr>
          <w:rFonts w:eastAsia="Times New Roman"/>
          <w:noProof/>
          <w:szCs w:val="24"/>
        </w:rPr>
        <w:t xml:space="preserve"> affect entities across the Union, while significant supply chain cybersecurity incidents often spread across national borders. </w:t>
      </w:r>
      <w:r w:rsidR="00500223">
        <w:rPr>
          <w:noProof/>
        </w:rPr>
        <w:t>Addressing the issue at national level alone is not likely to be efficient</w:t>
      </w:r>
      <w:r>
        <w:rPr>
          <w:noProof/>
        </w:rPr>
        <w:t>. </w:t>
      </w:r>
    </w:p>
    <w:p w14:paraId="117E5E7F" w14:textId="43A7CB53" w:rsidR="004F652B" w:rsidRDefault="004F652B" w:rsidP="004F652B">
      <w:pPr>
        <w:pStyle w:val="Text1"/>
        <w:pBdr>
          <w:top w:val="single" w:sz="4" w:space="1" w:color="000000"/>
          <w:left w:val="single" w:sz="4" w:space="4" w:color="000000"/>
          <w:bottom w:val="single" w:sz="4" w:space="1" w:color="000000"/>
          <w:right w:val="single" w:sz="4" w:space="4" w:color="000000"/>
        </w:pBdr>
        <w:rPr>
          <w:noProof/>
        </w:rPr>
      </w:pPr>
      <w:r>
        <w:rPr>
          <w:noProof/>
        </w:rPr>
        <w:t xml:space="preserve">The newly assigned tasks for ENISA are of pivotal importance to achieve high levels of cybersecurity across the EU. Despite the fact that the Agency is working in coordination with other EU security bodies, such as Europol, as well as the European Cybersecurity </w:t>
      </w:r>
      <w:r w:rsidR="00064A9D">
        <w:rPr>
          <w:noProof/>
        </w:rPr>
        <w:t xml:space="preserve">Industrial, Technology and Research Competence </w:t>
      </w:r>
      <w:r>
        <w:rPr>
          <w:noProof/>
        </w:rPr>
        <w:t xml:space="preserve">Centre (ECCC), which is responsible for funding implementation, the Agency mission and tasks are unique and currently there is no other body carrying this type of responsibilities. In the EU cyber ecosystem all entities involved are working in tight synergies and within clear mandates. Therefore, the CSA2 proposal reinforces only those parts where there is clear added value, making sure there are no ambiguities in terms of duplication of tasks, on substance, but also in funding with other bodies within the cyber ecosystem. </w:t>
      </w:r>
    </w:p>
    <w:p w14:paraId="37FBE4E9" w14:textId="77777777" w:rsidR="004F652B" w:rsidRPr="00922145" w:rsidRDefault="004F652B" w:rsidP="004F652B">
      <w:pPr>
        <w:pStyle w:val="Text1"/>
        <w:pBdr>
          <w:top w:val="single" w:sz="4" w:space="1" w:color="auto"/>
          <w:left w:val="single" w:sz="4" w:space="4" w:color="auto"/>
          <w:bottom w:val="single" w:sz="4" w:space="1" w:color="auto"/>
          <w:right w:val="single" w:sz="4" w:space="4" w:color="auto"/>
        </w:pBdr>
        <w:rPr>
          <w:b/>
          <w:bCs/>
          <w:i/>
          <w:iCs/>
          <w:noProof/>
        </w:rPr>
      </w:pPr>
      <w:r w:rsidRPr="00922145">
        <w:rPr>
          <w:b/>
          <w:bCs/>
          <w:i/>
          <w:iCs/>
          <w:noProof/>
        </w:rPr>
        <w:t>In more detail</w:t>
      </w:r>
    </w:p>
    <w:p w14:paraId="55899004" w14:textId="77777777" w:rsidR="004F652B" w:rsidRPr="00922145" w:rsidRDefault="004F652B" w:rsidP="004F652B">
      <w:pPr>
        <w:pStyle w:val="Text1"/>
        <w:pBdr>
          <w:top w:val="single" w:sz="4" w:space="1" w:color="auto"/>
          <w:left w:val="single" w:sz="4" w:space="4" w:color="auto"/>
          <w:bottom w:val="single" w:sz="4" w:space="1" w:color="auto"/>
          <w:right w:val="single" w:sz="4" w:space="4" w:color="auto"/>
        </w:pBdr>
        <w:rPr>
          <w:noProof/>
        </w:rPr>
      </w:pPr>
      <w:r w:rsidRPr="00922145">
        <w:rPr>
          <w:noProof/>
        </w:rPr>
        <w:t>ENISA’s mandate has expanded through subsequent legislation, without a comprehensive revision of its core responsibilities and resourcing. This has created overlaps, inefficiencies, and insufficient prioritisation of core support tasks for Member States.</w:t>
      </w:r>
    </w:p>
    <w:p w14:paraId="1966CD56" w14:textId="77777777" w:rsidR="004F652B" w:rsidRPr="00922145" w:rsidRDefault="004F652B" w:rsidP="004F652B">
      <w:pPr>
        <w:pStyle w:val="Text1"/>
        <w:pBdr>
          <w:top w:val="single" w:sz="4" w:space="1" w:color="auto"/>
          <w:left w:val="single" w:sz="4" w:space="4" w:color="auto"/>
          <w:bottom w:val="single" w:sz="4" w:space="1" w:color="auto"/>
          <w:right w:val="single" w:sz="4" w:space="4" w:color="auto"/>
        </w:pBdr>
        <w:rPr>
          <w:noProof/>
        </w:rPr>
      </w:pPr>
      <w:r w:rsidRPr="00922145">
        <w:rPr>
          <w:noProof/>
        </w:rPr>
        <w:t xml:space="preserve">Several Member States have implemented their own national cybersecurity certification schemes, which significantly differ in scope and conformity assessment procedures. This creates market fragmentation and duplicative burdens for operators and SMEs, seeking to be certified once and operate across the EU. The ECCF was established in the CSA to address market fragmentation, but implementation has been slow and inconsistent. </w:t>
      </w:r>
    </w:p>
    <w:p w14:paraId="17E01497" w14:textId="77777777" w:rsidR="004F652B" w:rsidRDefault="004F652B" w:rsidP="004F652B">
      <w:pPr>
        <w:pStyle w:val="Text1"/>
        <w:pBdr>
          <w:top w:val="single" w:sz="4" w:space="1" w:color="auto"/>
          <w:left w:val="single" w:sz="4" w:space="4" w:color="auto"/>
          <w:bottom w:val="single" w:sz="4" w:space="1" w:color="auto"/>
          <w:right w:val="single" w:sz="4" w:space="4" w:color="auto"/>
        </w:pBdr>
        <w:rPr>
          <w:noProof/>
        </w:rPr>
      </w:pPr>
      <w:r w:rsidRPr="00922145">
        <w:rPr>
          <w:noProof/>
        </w:rPr>
        <w:t>Similarly, several horizontal and sectoral legal acts set out cybersecurity measures with different purposes and objectives, leading also to differences in compliance check and supervisory approaches set by Member States. As a consequence, entities, especially SMEs or businesses operating across several Member States face additional compliance burden, negatively impacting their competitiveness</w:t>
      </w:r>
      <w:r>
        <w:rPr>
          <w:noProof/>
        </w:rPr>
        <w:t>.</w:t>
      </w:r>
    </w:p>
    <w:p w14:paraId="07F97668" w14:textId="77777777" w:rsidR="00500223" w:rsidRDefault="00500223" w:rsidP="00500223">
      <w:pPr>
        <w:pStyle w:val="Text1"/>
        <w:pBdr>
          <w:top w:val="single" w:sz="4" w:space="1" w:color="auto"/>
          <w:left w:val="single" w:sz="4" w:space="4" w:color="auto"/>
          <w:bottom w:val="single" w:sz="4" w:space="1" w:color="auto"/>
          <w:right w:val="single" w:sz="4" w:space="4" w:color="auto"/>
        </w:pBdr>
        <w:rPr>
          <w:noProof/>
        </w:rPr>
      </w:pPr>
      <w:r>
        <w:rPr>
          <w:noProof/>
        </w:rPr>
        <w:t xml:space="preserve">Diverse approaches to ICT supply chain security and different measures taken by the Member States lead to market fragmentation, and different compliance requirements for entities. In particular, given the cross-border nature of ICT supply chains, fragmentation of compliance requirements within the internal market would undermine legal certainty for entities. Differing national frameworks for the restriction of high-risk suppliers risk creating barriers for the movement of goods and services across borders within the internal market. Finally, as ICT supply chains may involve critical entities and infrastructure, regardless of where those suppliers are established, fragmentation and gaps in cybersecurity measures creates additional security risks to those entities. </w:t>
      </w:r>
    </w:p>
    <w:p w14:paraId="0A82AF1D" w14:textId="3E8E2947" w:rsidR="00E015D2" w:rsidRDefault="00500223" w:rsidP="00500223">
      <w:pPr>
        <w:pStyle w:val="Text1"/>
        <w:pBdr>
          <w:top w:val="single" w:sz="4" w:space="1" w:color="auto"/>
          <w:left w:val="single" w:sz="4" w:space="4" w:color="auto"/>
          <w:bottom w:val="single" w:sz="4" w:space="1" w:color="auto"/>
          <w:right w:val="single" w:sz="4" w:space="4" w:color="auto"/>
        </w:pBdr>
        <w:rPr>
          <w:noProof/>
        </w:rPr>
      </w:pPr>
      <w:r>
        <w:rPr>
          <w:noProof/>
        </w:rPr>
        <w:t>Furthermore, the proposals for Multiannual Financial Framework (MFF) programmes include a horizontal provision which mandates the exclusion of high-risk suppliers identified under EU law, in order to protect the integrity of the EU budget and ensure that Union expenditure does not contradict essential Union security interest. The CSA supply chain framework would be the mechanism which allows for this identification in the area of ICT supply chains and can thus only be carried out at the EU level.</w:t>
      </w:r>
    </w:p>
    <w:p w14:paraId="52849F3C" w14:textId="77777777" w:rsidR="004F652B" w:rsidRPr="00922145" w:rsidRDefault="004F652B" w:rsidP="004F652B">
      <w:pPr>
        <w:pStyle w:val="Text1"/>
        <w:pBdr>
          <w:top w:val="single" w:sz="4" w:space="1" w:color="auto"/>
          <w:left w:val="single" w:sz="4" w:space="4" w:color="auto"/>
          <w:bottom w:val="single" w:sz="4" w:space="1" w:color="auto"/>
          <w:right w:val="single" w:sz="4" w:space="4" w:color="auto"/>
        </w:pBdr>
        <w:rPr>
          <w:noProof/>
        </w:rPr>
      </w:pPr>
      <w:r w:rsidRPr="00922145">
        <w:rPr>
          <w:noProof/>
        </w:rPr>
        <w:t xml:space="preserve">By default, cyber-attacks have cross border nature, especially considering spillover effects that could arise from initially single affected entry point. The threats and risks to the cybersecurity have an impact for the whole European Union and therefore a collective situational awareness picture could significantly improve the levels of cybersecurity of the entities within the European Union. The proposals within the revised mandate of ENISA address this issue with the objective to significantly increase the EU cyber resilience. </w:t>
      </w:r>
    </w:p>
    <w:p w14:paraId="44DDA760" w14:textId="77777777" w:rsidR="004F652B" w:rsidRDefault="004F652B" w:rsidP="004F652B">
      <w:pPr>
        <w:pStyle w:val="Text1"/>
        <w:pBdr>
          <w:top w:val="single" w:sz="4" w:space="1" w:color="auto"/>
          <w:left w:val="single" w:sz="4" w:space="4" w:color="auto"/>
          <w:bottom w:val="single" w:sz="4" w:space="1" w:color="auto"/>
          <w:right w:val="single" w:sz="4" w:space="4" w:color="auto"/>
        </w:pBdr>
        <w:rPr>
          <w:noProof/>
        </w:rPr>
      </w:pPr>
      <w:r w:rsidRPr="00922145">
        <w:rPr>
          <w:noProof/>
        </w:rPr>
        <w:t>In conclusion, EU intervention is crucial as cybersecurity threats and related challenges extend beyond individual Member States. Fragmented national solutions have proven insufficient to achieve market-wide trust and coordination. A revised EU legal framework is required to remove barriers, ensure consistent implementation, and support Member States in an increasingly complex regulatory and threat environment. </w:t>
      </w:r>
    </w:p>
    <w:p w14:paraId="066ADAE8" w14:textId="77777777" w:rsidR="004F652B" w:rsidRDefault="004F652B" w:rsidP="004F652B">
      <w:pPr>
        <w:pStyle w:val="ManualHeading3"/>
        <w:rPr>
          <w:noProof/>
        </w:rPr>
      </w:pPr>
      <w:bookmarkStart w:id="69" w:name="_Toc514938030"/>
      <w:bookmarkStart w:id="70" w:name="_Toc520485037"/>
      <w:bookmarkStart w:id="71" w:name="_Toc160804579"/>
      <w:bookmarkStart w:id="72" w:name="_Toc167220271"/>
      <w:bookmarkStart w:id="73" w:name="_Toc177549004"/>
      <w:r w:rsidRPr="0021790A">
        <w:rPr>
          <w:noProof/>
        </w:rPr>
        <w:t>1.5.3.</w:t>
      </w:r>
      <w:r w:rsidRPr="0021790A">
        <w:rPr>
          <w:noProof/>
        </w:rPr>
        <w:tab/>
      </w:r>
      <w:r>
        <w:rPr>
          <w:noProof/>
        </w:rPr>
        <w:t>Lessons learned from similar experiences in the past</w:t>
      </w:r>
      <w:bookmarkEnd w:id="69"/>
      <w:bookmarkEnd w:id="70"/>
      <w:bookmarkEnd w:id="71"/>
      <w:bookmarkEnd w:id="72"/>
      <w:bookmarkEnd w:id="73"/>
    </w:p>
    <w:p w14:paraId="4C5C9F44" w14:textId="77777777" w:rsidR="004F652B" w:rsidRPr="00922145" w:rsidRDefault="004F652B" w:rsidP="004F652B">
      <w:pPr>
        <w:pStyle w:val="Text1"/>
        <w:pBdr>
          <w:top w:val="single" w:sz="4" w:space="1" w:color="auto"/>
          <w:left w:val="single" w:sz="4" w:space="4" w:color="auto"/>
          <w:bottom w:val="single" w:sz="4" w:space="1" w:color="auto"/>
          <w:right w:val="single" w:sz="4" w:space="4" w:color="auto"/>
        </w:pBdr>
        <w:rPr>
          <w:noProof/>
        </w:rPr>
      </w:pPr>
      <w:r w:rsidRPr="00922145">
        <w:rPr>
          <w:noProof/>
        </w:rPr>
        <w:t xml:space="preserve">ENISA has been founded in 2004 with a fix-term mandate. In 2019 the Cybersecurity Act entered into force, which provisions granted ENISA with a permanent mandate and an objective of becoming the centre of cyber expertise in Europe. Today, ENISA is a recognised brand and trusted partner among the EU stakeholders. The competences of the Agency were gradually built in the course of 25 years, reflecting the evolving cyber ecosystem. </w:t>
      </w:r>
    </w:p>
    <w:p w14:paraId="1856DB42" w14:textId="77777777" w:rsidR="004F652B" w:rsidRPr="00922145" w:rsidRDefault="004F652B" w:rsidP="004F652B">
      <w:pPr>
        <w:pStyle w:val="Text1"/>
        <w:pBdr>
          <w:top w:val="single" w:sz="4" w:space="1" w:color="auto"/>
          <w:left w:val="single" w:sz="4" w:space="4" w:color="auto"/>
          <w:bottom w:val="single" w:sz="4" w:space="1" w:color="auto"/>
          <w:right w:val="single" w:sz="4" w:space="4" w:color="auto"/>
        </w:pBdr>
        <w:rPr>
          <w:noProof/>
        </w:rPr>
      </w:pPr>
      <w:r w:rsidRPr="00922145">
        <w:rPr>
          <w:noProof/>
        </w:rPr>
        <w:t xml:space="preserve">According to Article 67 of the CSA, every five years the Commission shall evaluate the impact, effectiveness and efficiency of ENISA and of its working practices, the possible need for modifications and the financial implications of such modifications. The evaluation shall also assess the impact, effectiveness and efficiency of the provisions in relation to the European certification framework. </w:t>
      </w:r>
    </w:p>
    <w:p w14:paraId="57262780" w14:textId="77777777" w:rsidR="004F652B" w:rsidRPr="00922145" w:rsidRDefault="004F652B" w:rsidP="004F652B">
      <w:pPr>
        <w:pStyle w:val="Text1"/>
        <w:pBdr>
          <w:top w:val="single" w:sz="4" w:space="1" w:color="auto"/>
          <w:left w:val="single" w:sz="4" w:space="4" w:color="auto"/>
          <w:bottom w:val="single" w:sz="4" w:space="1" w:color="auto"/>
          <w:right w:val="single" w:sz="4" w:space="4" w:color="auto"/>
        </w:pBdr>
        <w:rPr>
          <w:noProof/>
        </w:rPr>
      </w:pPr>
      <w:r w:rsidRPr="00922145">
        <w:rPr>
          <w:noProof/>
        </w:rPr>
        <w:t xml:space="preserve">According to the provisions, the Commission has carried out an evaluation of the Agency and the European Cybersecurity Certification Framework, which included a public consultation and an independent study. In accordance with the better regulation practices, the Commission has also launched a public consultation specifically on the revision of the CSA, as well as call for evidence to gather data from the stakeholder groups. The evaluation came to the conclusion that ENISA has fulfilled its mandate by delivering nearly all planned outputs. Agency's objectives remain relevant today with especially recognised output by stakeholders during challenging times such as the COVID-19 pandemic and Russian war of aggression on Ukraine. Despite the generally positive feedback from stakeholders on ENISA’s outputs, it was also shown that there is significant room for improvement to meet stakeholder expectations consistently. </w:t>
      </w:r>
    </w:p>
    <w:p w14:paraId="6DC64000" w14:textId="77777777" w:rsidR="004F652B" w:rsidRPr="00922145" w:rsidRDefault="004F652B" w:rsidP="004F652B">
      <w:pPr>
        <w:pStyle w:val="Text1"/>
        <w:pBdr>
          <w:top w:val="single" w:sz="4" w:space="1" w:color="auto"/>
          <w:left w:val="single" w:sz="4" w:space="4" w:color="auto"/>
          <w:bottom w:val="single" w:sz="4" w:space="1" w:color="auto"/>
          <w:right w:val="single" w:sz="4" w:space="4" w:color="auto"/>
        </w:pBdr>
        <w:rPr>
          <w:noProof/>
        </w:rPr>
      </w:pPr>
      <w:r w:rsidRPr="00922145">
        <w:rPr>
          <w:noProof/>
        </w:rPr>
        <w:t>The lessons learned have demonstrated that to raise the level of efficiency, ENISA would need more strategic focus, task prioritisation and strengthening its capacity of providing timely insights into emerging threats and strategic tools for addressing them. Moreover, as indicated by a number of stakeholders, ENISA could establish more structured and transparent methods of engaging with private entities, with an emphasis on supporting SMEs. In all external consultations, it was emphasised the importance of increasing ENISA’s funding, staffing and operational capacity to enable it to meet the growing demands of the EU’s cybersecurity landscape. In its evaluation report, following the study, the Commission services assessed a clear need of future-proof legislation that can adapt to the complex and fast evolving cyber threat landscape, and respectively to reinforce the Agency with the needed resources to ensure the support towards highest levels of cybersecurity in Europe. Based on gathered data and the experience from implementation of the CSA, it was drawn the conclusion that coordination with other bodies should be streamlined, as well as to put focus on the support from ENISA for the implementation of EU law and to the support to the Commission, upon request, for drafting of cybersecurity related legislation.</w:t>
      </w:r>
      <w:r>
        <w:rPr>
          <w:noProof/>
        </w:rPr>
        <w:t xml:space="preserve"> The proposal is looking into synergies with the geopolitical priorities of the Commission to address risks such as the increasing dependencies from entities established in and controlled by countries posing cybersecurity concerns (high-risk suppliers) in Europe.  </w:t>
      </w:r>
      <w:r w:rsidRPr="00922145">
        <w:rPr>
          <w:noProof/>
        </w:rPr>
        <w:t xml:space="preserve">As centre of expertise, ENISA is currently also an essential repository of information that is crucial for building a common understanding regarding the threats and risks posed to the EU entities.  Therefore, the proposed framework is building on the experience from CSA1 and is mobilizing the coordination of the information flows with the view of compiling a holistic situational awareness picture. </w:t>
      </w:r>
    </w:p>
    <w:p w14:paraId="69922C6B" w14:textId="77777777" w:rsidR="004F652B" w:rsidRPr="00922145" w:rsidRDefault="004F652B" w:rsidP="004F652B">
      <w:pPr>
        <w:pStyle w:val="Text1"/>
        <w:pBdr>
          <w:top w:val="single" w:sz="4" w:space="1" w:color="auto"/>
          <w:left w:val="single" w:sz="4" w:space="4" w:color="auto"/>
          <w:bottom w:val="single" w:sz="4" w:space="1" w:color="auto"/>
          <w:right w:val="single" w:sz="4" w:space="4" w:color="auto"/>
        </w:pBdr>
        <w:rPr>
          <w:noProof/>
        </w:rPr>
      </w:pPr>
      <w:r w:rsidRPr="00922145">
        <w:rPr>
          <w:noProof/>
        </w:rPr>
        <w:t>The evaluation of the ECCF reveals several strategic recommendations. Despite ENISA’s pivotal role in fostering cooperation and operational cohesiveness among Member States and other stakeholders, constraints on the efficiency and effectiveness of the ECCF have been evident mainly due to the complexities of scheme adoption processes. These issues highlighted the necessity for a substantial revision in governance structures to enhance operational clarity and accountability at all levels, which the CSA proposal for revision is addressing. The experience of the functioning the current ECCF has shown the need to modernise and clarify the certification framework and introduce maintenance procedure for certification schemes to enable them to match the market needs and threat landscape. Finally, the original framework has not anticipated non-technical risks, which can be identified as a source of stalled implementation of ECCF on 5G and cloud schemes.</w:t>
      </w:r>
    </w:p>
    <w:p w14:paraId="27BEFEC8" w14:textId="77777777" w:rsidR="004F652B" w:rsidRDefault="004F652B" w:rsidP="004F652B">
      <w:pPr>
        <w:pStyle w:val="Text1"/>
        <w:pBdr>
          <w:top w:val="single" w:sz="4" w:space="1" w:color="auto"/>
          <w:left w:val="single" w:sz="4" w:space="4" w:color="auto"/>
          <w:bottom w:val="single" w:sz="4" w:space="1" w:color="auto"/>
          <w:right w:val="single" w:sz="4" w:space="4" w:color="auto"/>
        </w:pBdr>
        <w:rPr>
          <w:noProof/>
        </w:rPr>
      </w:pPr>
      <w:r w:rsidRPr="00922145">
        <w:rPr>
          <w:noProof/>
        </w:rPr>
        <w:t>The complexity in the EU cyber ecosystem has been on the rise according to the evolving cyber threats. In the written submissions from stakeholders, there was a strong consensus on the need to reduce the administrative burden, particularly for SMEs and called for simplified compliance procedures. While the main simplification effort will be channelled through the Digital Omnibus initiative, the proposal reflects the stakeholders' needs by introducing changes to the NIS2 Directive to ease the implementation process</w:t>
      </w:r>
    </w:p>
    <w:p w14:paraId="65410670" w14:textId="77777777" w:rsidR="004F652B" w:rsidRDefault="004F652B" w:rsidP="004F652B">
      <w:pPr>
        <w:pStyle w:val="ManualHeading3"/>
        <w:rPr>
          <w:noProof/>
        </w:rPr>
      </w:pPr>
      <w:bookmarkStart w:id="74" w:name="_Toc514938033"/>
      <w:bookmarkStart w:id="75" w:name="_Toc520485038"/>
      <w:bookmarkStart w:id="76" w:name="_Toc160804580"/>
      <w:bookmarkStart w:id="77" w:name="_Toc167220272"/>
      <w:bookmarkStart w:id="78" w:name="_Toc177549005"/>
      <w:r w:rsidRPr="0021790A">
        <w:rPr>
          <w:noProof/>
        </w:rPr>
        <w:t>1.5.4.</w:t>
      </w:r>
      <w:r w:rsidRPr="0021790A">
        <w:rPr>
          <w:noProof/>
        </w:rPr>
        <w:tab/>
      </w:r>
      <w:r>
        <w:rPr>
          <w:noProof/>
        </w:rPr>
        <w:t>Compatibility with the multiannual financial framework and possible synergies with other appropriate instruments</w:t>
      </w:r>
      <w:bookmarkEnd w:id="74"/>
      <w:bookmarkEnd w:id="75"/>
      <w:bookmarkEnd w:id="76"/>
      <w:bookmarkEnd w:id="77"/>
      <w:bookmarkEnd w:id="78"/>
    </w:p>
    <w:p w14:paraId="0AA0D0FB" w14:textId="77777777" w:rsidR="004F652B" w:rsidRDefault="004F652B" w:rsidP="004F652B">
      <w:pPr>
        <w:pStyle w:val="Text1"/>
        <w:pBdr>
          <w:top w:val="single" w:sz="4" w:space="1" w:color="auto"/>
          <w:left w:val="single" w:sz="4" w:space="4" w:color="auto"/>
          <w:bottom w:val="single" w:sz="4" w:space="1" w:color="auto"/>
          <w:right w:val="single" w:sz="4" w:space="4" w:color="auto"/>
        </w:pBdr>
        <w:rPr>
          <w:noProof/>
        </w:rPr>
      </w:pPr>
      <w:r w:rsidRPr="00922145">
        <w:rPr>
          <w:noProof/>
        </w:rPr>
        <w:t>CSA2 introduces the needed revisions to equip the EU with tools and mechanisms to respond to the cybersecurity landscape and policy objectives. The proposed regulation will further reinforce ENISA with the necessary capabilities to support the Member States in the implementation of EU law and in countering cyber risks. Taking into consideration the already mentioned above Draghi and Letta reports, the proposal for Multiannual Financial Framework (MFF) 2028-2034 puts competitiveness, security and strategic autonomy in its centre.</w:t>
      </w:r>
    </w:p>
    <w:p w14:paraId="567DDBF0" w14:textId="7CA092B4" w:rsidR="004F652B" w:rsidRDefault="00500223" w:rsidP="004F652B">
      <w:pPr>
        <w:pStyle w:val="Text1"/>
        <w:pBdr>
          <w:top w:val="single" w:sz="4" w:space="1" w:color="auto"/>
          <w:left w:val="single" w:sz="4" w:space="4" w:color="auto"/>
          <w:bottom w:val="single" w:sz="4" w:space="1" w:color="auto"/>
          <w:right w:val="single" w:sz="4" w:space="4" w:color="auto"/>
        </w:pBdr>
        <w:rPr>
          <w:noProof/>
        </w:rPr>
      </w:pPr>
      <w:r>
        <w:rPr>
          <w:noProof/>
        </w:rPr>
        <w:t>As a result, the proposals within the MFF 2028-2034 horizontal package, notably the European Competitiveness Fund and the Horizon Europe proposals, introduce new eligibility criteria based on the principle of exclusion of “high-risk suppliers” from receiving EU funds. The CSA2 is fully aligned with this principle, and furthermore, it represents a tool to enable the implementation of the new “high risk supplier” requirements as it gives a procedural framework to designate countries posing cybersecurity concerns at the EU level. In this respect, CSA2 is a strategic proposal, in line with the Commission priorities for achieving technological sovereignty and boosting the competitiveness within Europe.</w:t>
      </w:r>
    </w:p>
    <w:p w14:paraId="356B6D37" w14:textId="77777777" w:rsidR="004F652B" w:rsidRPr="00922145" w:rsidRDefault="004F652B" w:rsidP="004F652B">
      <w:pPr>
        <w:pStyle w:val="Text1"/>
        <w:pBdr>
          <w:top w:val="single" w:sz="4" w:space="1" w:color="auto"/>
          <w:left w:val="single" w:sz="4" w:space="4" w:color="auto"/>
          <w:bottom w:val="single" w:sz="4" w:space="1" w:color="auto"/>
          <w:right w:val="single" w:sz="4" w:space="4" w:color="auto"/>
        </w:pBdr>
        <w:rPr>
          <w:noProof/>
        </w:rPr>
      </w:pPr>
      <w:r w:rsidRPr="00922145">
        <w:rPr>
          <w:noProof/>
        </w:rPr>
        <w:t xml:space="preserve">Overcoming existing fragmentation will be tackled through further harmonisation on the EU certification market, making the European certification process more efficient and sustainable. </w:t>
      </w:r>
    </w:p>
    <w:p w14:paraId="7549A773" w14:textId="77777777" w:rsidR="004F652B" w:rsidRPr="00922145" w:rsidRDefault="004F652B" w:rsidP="004F652B">
      <w:pPr>
        <w:pStyle w:val="Text1"/>
        <w:pBdr>
          <w:top w:val="single" w:sz="4" w:space="1" w:color="auto"/>
          <w:left w:val="single" w:sz="4" w:space="4" w:color="auto"/>
          <w:bottom w:val="single" w:sz="4" w:space="1" w:color="auto"/>
          <w:right w:val="single" w:sz="4" w:space="4" w:color="auto"/>
        </w:pBdr>
        <w:rPr>
          <w:noProof/>
        </w:rPr>
      </w:pPr>
      <w:r w:rsidRPr="00922145">
        <w:rPr>
          <w:noProof/>
        </w:rPr>
        <w:t>The MFF proposals for 2028-2034 takes the simplification effort as a priority throughout the whole framework. The budgetary headings are compressed to 4 instead of 7, while the number of the horizontal funding programmes has been reduced significantly from 52 to 16, offering flexibility and adaptability to current needs. The impact assessment for the revision of the Cybersecurity Act stressed exactly on these objectives: necessity to simplify the cybersecurity requirements across multiple legislative frameworks, codify and focus the tasks of ENISA on the areas with most impact for achieving enhanced resilience of the EU cyber ecosystem. Following these findings, the proposed provisions boost the competitiveness through simplification; ensure high levels of security by enhanced coordination and analysis of risks and vulnerabilities; support higher levels of harmonisation through overcoming fragmentation, posed by number of national schemes. Furthermore, ENISA is designed to be main vehicle that will drive digital simplification efforts as it will integrate the Single Entry Point for notifications, as outlined in the Digital Omnibus initiative</w:t>
      </w:r>
      <w:r w:rsidRPr="00922145">
        <w:rPr>
          <w:rStyle w:val="FootnoteReference"/>
          <w:noProof/>
        </w:rPr>
        <w:footnoteReference w:id="91"/>
      </w:r>
      <w:r w:rsidRPr="00922145">
        <w:rPr>
          <w:noProof/>
        </w:rPr>
        <w:t xml:space="preserve">.  </w:t>
      </w:r>
    </w:p>
    <w:p w14:paraId="25A9EA21" w14:textId="7075375A" w:rsidR="004F652B" w:rsidRPr="00922145" w:rsidRDefault="004F652B" w:rsidP="004F652B">
      <w:pPr>
        <w:pStyle w:val="Text1"/>
        <w:pBdr>
          <w:top w:val="single" w:sz="4" w:space="1" w:color="000000"/>
          <w:left w:val="single" w:sz="4" w:space="4" w:color="000000"/>
          <w:bottom w:val="single" w:sz="4" w:space="1" w:color="000000"/>
          <w:right w:val="single" w:sz="4" w:space="4" w:color="000000"/>
        </w:pBdr>
        <w:rPr>
          <w:noProof/>
        </w:rPr>
      </w:pPr>
      <w:r>
        <w:rPr>
          <w:noProof/>
        </w:rPr>
        <w:t>An essential part of the MFF 28-34 package is the proposal for a new Competitiveness Fund (ECF), which brings under one roof more than 16 funding programmes such as Digital Europe Programme (DEP), Health4EU, European Defence Fund, etc. Horizon Europe (HEP) will continue to be a standalone programme, tightly interlinked with ECF. This new programming framework calls for strong coordination and funding that corresponds to current priorities. In this line, the proposed provisions in CSA2 are the foundation for deepening the coordination between ENISA and the ECCC, responsible for program implementation of the cybersecurity related parts of DEP and HEP. The proposed provisions ensure coherence and stress on the synergies between ENISA and the ECCC. The same approach has been taken towards the cooperation with other agencies and bodies, such as Europol.</w:t>
      </w:r>
    </w:p>
    <w:p w14:paraId="0287B781" w14:textId="77777777" w:rsidR="004F652B" w:rsidRDefault="004F652B" w:rsidP="004F652B">
      <w:pPr>
        <w:pStyle w:val="Text1"/>
        <w:pBdr>
          <w:top w:val="single" w:sz="4" w:space="1" w:color="000000"/>
          <w:left w:val="single" w:sz="4" w:space="4" w:color="000000"/>
          <w:bottom w:val="single" w:sz="4" w:space="1" w:color="000000"/>
          <w:right w:val="single" w:sz="4" w:space="4" w:color="000000"/>
        </w:pBdr>
        <w:rPr>
          <w:noProof/>
        </w:rPr>
      </w:pPr>
      <w:r w:rsidRPr="00922145">
        <w:rPr>
          <w:noProof/>
        </w:rPr>
        <w:t>Another aspect of alignment between the CSA2 proposal and MFF 28-34 is in the principle of flexibility. With the revision, the Commission proposes a “fee” mechanism, which will give ENISA an agile way to finance partly its activities, more specifically related to the cybersecurity skills attestation schemes’ development and maintenance, and the processing and granting of authorisations to providers, and the maintenance of European cybersecurity certification schemes. With this change the Agency will have the flexibility and scalability to respond to the stakeholders’ needs</w:t>
      </w:r>
      <w:r w:rsidRPr="4E965DD0">
        <w:rPr>
          <w:rStyle w:val="CommentReference"/>
          <w:noProof/>
          <w:sz w:val="24"/>
          <w:szCs w:val="24"/>
        </w:rPr>
        <w:t xml:space="preserve"> </w:t>
      </w:r>
      <w:r w:rsidRPr="00922145">
        <w:rPr>
          <w:noProof/>
        </w:rPr>
        <w:t>and have sustainable expenditure through refinancing its services</w:t>
      </w:r>
      <w:r>
        <w:rPr>
          <w:noProof/>
        </w:rPr>
        <w:t>.</w:t>
      </w:r>
    </w:p>
    <w:p w14:paraId="2B97763A" w14:textId="77777777" w:rsidR="004F652B" w:rsidRDefault="004F652B" w:rsidP="004F652B">
      <w:pPr>
        <w:pStyle w:val="ManualHeading3"/>
        <w:rPr>
          <w:noProof/>
        </w:rPr>
      </w:pPr>
      <w:bookmarkStart w:id="79" w:name="_Toc514938036"/>
      <w:bookmarkStart w:id="80" w:name="_Toc520485039"/>
      <w:bookmarkStart w:id="81" w:name="_Toc160804581"/>
      <w:bookmarkStart w:id="82" w:name="_Toc167220273"/>
      <w:bookmarkStart w:id="83" w:name="_Toc177549006"/>
      <w:r>
        <w:rPr>
          <w:noProof/>
        </w:rPr>
        <w:t>1.5.5.</w:t>
      </w:r>
      <w:r>
        <w:rPr>
          <w:noProof/>
        </w:rPr>
        <w:tab/>
      </w:r>
      <w:r w:rsidRPr="2714D713">
        <w:rPr>
          <w:noProof/>
        </w:rPr>
        <w:t>Assessment of the different available financing options, including scope for redeployment</w:t>
      </w:r>
      <w:bookmarkEnd w:id="79"/>
      <w:bookmarkEnd w:id="80"/>
      <w:bookmarkEnd w:id="81"/>
      <w:bookmarkEnd w:id="82"/>
      <w:bookmarkEnd w:id="83"/>
    </w:p>
    <w:p w14:paraId="6C9F68E9" w14:textId="77777777" w:rsidR="004F652B" w:rsidRPr="00922145" w:rsidRDefault="004F652B" w:rsidP="004F652B">
      <w:pPr>
        <w:pStyle w:val="Text1"/>
        <w:pBdr>
          <w:top w:val="single" w:sz="4" w:space="1" w:color="auto"/>
          <w:left w:val="single" w:sz="4" w:space="4" w:color="auto"/>
          <w:bottom w:val="single" w:sz="4" w:space="1" w:color="auto"/>
          <w:right w:val="single" w:sz="4" w:space="4" w:color="auto"/>
        </w:pBdr>
        <w:rPr>
          <w:noProof/>
        </w:rPr>
      </w:pPr>
      <w:r w:rsidRPr="00922145">
        <w:rPr>
          <w:noProof/>
        </w:rPr>
        <w:t xml:space="preserve">Since the last revision of ENISA’s mandate in 2019, the trend has been towards an exponential growth of the Agency’s  expected contributions towards the support for the implementation of the EU law. This led to requests for yearly budget and staff reinforcements above the levels initially programmed. The proposed revision introduces important new tasks, as well as brings in the ENISA’s mandate tasks, which were imposed by other legislative acts after the CSA1 was adopted, hereby extending ENISA’s capabilities, which requires additional financial and human reinforcements. Driven by the aim to make digital security Europe’s competitive advantage, the proposal calls for real impact within the cyber ecosystem. This could be only possible with significant investment that corresponds to the desire effect and most of all – needs of the Member States and other stakeholders. The new tasks include the need of technical and specialised personnel, as well as financial investments (i.e. for tools and platforms), which could be secured only through additional financial allocation from the EU budget.     </w:t>
      </w:r>
    </w:p>
    <w:p w14:paraId="3A889B52" w14:textId="77777777" w:rsidR="004F652B" w:rsidRPr="00922145" w:rsidRDefault="004F652B" w:rsidP="004F652B">
      <w:pPr>
        <w:pStyle w:val="Text1"/>
        <w:pBdr>
          <w:top w:val="single" w:sz="4" w:space="1" w:color="auto"/>
          <w:left w:val="single" w:sz="4" w:space="4" w:color="auto"/>
          <w:bottom w:val="single" w:sz="4" w:space="1" w:color="auto"/>
          <w:right w:val="single" w:sz="4" w:space="4" w:color="auto"/>
        </w:pBdr>
        <w:rPr>
          <w:noProof/>
        </w:rPr>
      </w:pPr>
      <w:r>
        <w:rPr>
          <w:noProof/>
        </w:rPr>
        <w:t>With the objective for enhanced flexibility and in the same time long term sustainable budget of the Agency, the revision proposes a fee mechanism which will partially finance the services provided for maintenance of the cybersecurity certification framework and in relation to developing and maintaining European individual cybersecurity skills attestation schemes and processing and granting authorisations to providers.</w:t>
      </w:r>
    </w:p>
    <w:p w14:paraId="25BB6930" w14:textId="77777777" w:rsidR="004F652B" w:rsidRDefault="004F652B" w:rsidP="004F652B">
      <w:pPr>
        <w:pStyle w:val="Text1"/>
        <w:pBdr>
          <w:top w:val="single" w:sz="4" w:space="1" w:color="000000"/>
          <w:left w:val="single" w:sz="4" w:space="4" w:color="000000"/>
          <w:bottom w:val="single" w:sz="4" w:space="1" w:color="000000"/>
          <w:right w:val="single" w:sz="4" w:space="4" w:color="000000"/>
        </w:pBdr>
        <w:rPr>
          <w:noProof/>
        </w:rPr>
      </w:pPr>
      <w:r>
        <w:rPr>
          <w:noProof/>
        </w:rPr>
        <w:t>All estimations for additional resources in the revision of CSA are made from the perspective of the baseline budget of ENISA in 2025 (operational costs and FTEs). Commission has made an extensive analysis for the redeployment possibilities within the Agency to accommodate the new tasks envisaged in the revised mandate. The fact that the Agency is working on its maximum capacities with no options for reduction of tasks and already a deprioritisation action taken by the Management Board in 2023, clearly leads to the conclusion that no new tasks can be accommodated under the current structure, without reinforcing both the budget and the human resources. In addition, many of the current tasks are covered by contribution agreements between ENISA and the Commission. Therefore, the proposal is aiming to add those tasks to the mandate of ENISA and receive stable budget for the upcoming years.</w:t>
      </w:r>
    </w:p>
    <w:p w14:paraId="21BF2C75" w14:textId="4722DF2B" w:rsidR="004F652B" w:rsidRDefault="004F652B" w:rsidP="004F652B">
      <w:pPr>
        <w:pStyle w:val="Text1"/>
        <w:pBdr>
          <w:top w:val="single" w:sz="4" w:space="1" w:color="auto"/>
          <w:left w:val="single" w:sz="4" w:space="4" w:color="auto"/>
          <w:bottom w:val="single" w:sz="4" w:space="1" w:color="auto"/>
          <w:right w:val="single" w:sz="4" w:space="4" w:color="auto"/>
        </w:pBdr>
        <w:rPr>
          <w:noProof/>
        </w:rPr>
      </w:pPr>
      <w:r w:rsidRPr="00E015D2">
        <w:rPr>
          <w:noProof/>
        </w:rPr>
        <w:t>Without prejudice to the negotiations on the next MFF, the appropriations allocated to the Agency from 2028 onwards will be compensated via redeployments from programmes under the 2028-2034 MFF. If a compensatory reduction is needed, the resources allocated to the Agency and their funding streams and sources may need to be revised.</w:t>
      </w:r>
      <w:r w:rsidR="00E015D2">
        <w:rPr>
          <w:noProof/>
        </w:rPr>
        <w:t xml:space="preserve"> </w:t>
      </w:r>
      <w:r w:rsidRPr="00922145">
        <w:rPr>
          <w:noProof/>
        </w:rPr>
        <w:t>The measures put in place in the proposed CSA2 framework also entail the take up of additional tasks for the partner DG of ENISA (Directorate-General Communications Networks, Content and Technology, DG CNECT).</w:t>
      </w:r>
      <w:r>
        <w:rPr>
          <w:noProof/>
        </w:rPr>
        <w:t xml:space="preserve"> </w:t>
      </w:r>
      <w:r w:rsidR="0077230E" w:rsidRPr="0077230E">
        <w:rPr>
          <w:noProof/>
        </w:rPr>
        <w:t>It should be especially noted that the ICT supply chain framework will be fully implemented at Commission level, including market analysis accompanying the risk assessments and preparation of implementing acts.</w:t>
      </w:r>
      <w:r>
        <w:rPr>
          <w:noProof/>
        </w:rPr>
        <w:t xml:space="preserve"> </w:t>
      </w:r>
      <w:r w:rsidRPr="00922145">
        <w:rPr>
          <w:noProof/>
        </w:rPr>
        <w:t>Moreover, additional set of implementing acts drafted and adopted by the Commission will be required, in relation to modalities of the fee mechanisms</w:t>
      </w:r>
      <w:r>
        <w:rPr>
          <w:noProof/>
        </w:rPr>
        <w:t>.</w:t>
      </w:r>
      <w:r w:rsidRPr="00922145">
        <w:rPr>
          <w:noProof/>
        </w:rPr>
        <w:t xml:space="preserve"> Additional supervision and assistance at Commission level will be required for the enforcement of the European cybersecurity certification framework, development of model provisions, maintenance of cybersecurity schemes, mutual recognition agreements with third countries and ENISA oversight.</w:t>
      </w:r>
    </w:p>
    <w:p w14:paraId="3E194C10" w14:textId="77777777" w:rsidR="004F652B" w:rsidRDefault="004F652B" w:rsidP="004F652B">
      <w:pPr>
        <w:pStyle w:val="ManualHeading2"/>
        <w:rPr>
          <w:bCs/>
          <w:noProof/>
          <w:szCs w:val="24"/>
        </w:rPr>
      </w:pPr>
      <w:r>
        <w:rPr>
          <w:noProof/>
        </w:rPr>
        <w:br w:type="page"/>
      </w:r>
      <w:bookmarkStart w:id="84" w:name="_Toc514938039"/>
      <w:bookmarkStart w:id="85" w:name="_Toc520485040"/>
      <w:bookmarkStart w:id="86" w:name="_Toc160804582"/>
      <w:bookmarkStart w:id="87" w:name="_Toc167220274"/>
      <w:bookmarkStart w:id="88" w:name="_Toc177549007"/>
      <w:r w:rsidRPr="0021790A">
        <w:rPr>
          <w:noProof/>
        </w:rPr>
        <w:t>1.6.</w:t>
      </w:r>
      <w:r w:rsidRPr="0021790A">
        <w:rPr>
          <w:noProof/>
        </w:rPr>
        <w:tab/>
      </w:r>
      <w:r>
        <w:rPr>
          <w:noProof/>
        </w:rPr>
        <w:t>Duration of the proposal/initiative</w:t>
      </w:r>
      <w:bookmarkEnd w:id="84"/>
      <w:bookmarkEnd w:id="85"/>
      <w:r>
        <w:rPr>
          <w:noProof/>
        </w:rPr>
        <w:t xml:space="preserve"> and of its financial impact</w:t>
      </w:r>
      <w:bookmarkEnd w:id="86"/>
      <w:bookmarkEnd w:id="87"/>
      <w:bookmarkEnd w:id="88"/>
    </w:p>
    <w:p w14:paraId="6B87C732" w14:textId="77777777" w:rsidR="004F652B" w:rsidRDefault="004F652B" w:rsidP="004F652B">
      <w:pPr>
        <w:pStyle w:val="Text1"/>
        <w:rPr>
          <w:noProof/>
        </w:rPr>
      </w:pPr>
      <w:r>
        <w:rPr>
          <w:rFonts w:ascii="Wingdings" w:eastAsia="Wingdings" w:hAnsi="Wingdings" w:cs="Wingdings"/>
          <w:noProof/>
        </w:rPr>
        <w:t></w:t>
      </w:r>
      <w:r>
        <w:rPr>
          <w:b/>
          <w:i/>
          <w:noProof/>
        </w:rPr>
        <w:t xml:space="preserve"> </w:t>
      </w:r>
      <w:r>
        <w:rPr>
          <w:b/>
          <w:noProof/>
        </w:rPr>
        <w:t xml:space="preserve">limited duration </w:t>
      </w:r>
    </w:p>
    <w:p w14:paraId="52F1AAA5" w14:textId="77777777" w:rsidR="004F652B" w:rsidRDefault="004F652B" w:rsidP="004F652B">
      <w:pPr>
        <w:pStyle w:val="ListDash2"/>
        <w:rPr>
          <w:noProof/>
        </w:rPr>
      </w:pPr>
      <w:r>
        <w:rPr>
          <w:rFonts w:ascii="Wingdings" w:eastAsia="Wingdings" w:hAnsi="Wingdings" w:cs="Wingdings"/>
          <w:noProof/>
        </w:rPr>
        <w:t></w:t>
      </w:r>
      <w:r>
        <w:rPr>
          <w:noProof/>
        </w:rPr>
        <w:tab/>
        <w:t xml:space="preserve">in effect from [DD/MM]YYYY to [DD/MM]YYYY </w:t>
      </w:r>
    </w:p>
    <w:p w14:paraId="1C2C61EC" w14:textId="77777777" w:rsidR="004F652B" w:rsidRDefault="004F652B" w:rsidP="004F652B">
      <w:pPr>
        <w:pStyle w:val="ListDash2"/>
        <w:rPr>
          <w:noProof/>
        </w:rPr>
      </w:pPr>
      <w:r>
        <w:rPr>
          <w:rFonts w:ascii="Wingdings" w:eastAsia="Wingdings" w:hAnsi="Wingdings" w:cs="Wingdings"/>
          <w:noProof/>
        </w:rPr>
        <w:t></w:t>
      </w:r>
      <w:r>
        <w:rPr>
          <w:noProof/>
        </w:rPr>
        <w:tab/>
        <w:t xml:space="preserve">financial impact from YYYY to YYYY for commitment appropriations and from YYYY to YYYY for payment appropriations. </w:t>
      </w:r>
    </w:p>
    <w:p w14:paraId="6DB55660" w14:textId="77777777" w:rsidR="004F652B" w:rsidRDefault="004F652B" w:rsidP="004F652B">
      <w:pPr>
        <w:pStyle w:val="Text1"/>
        <w:rPr>
          <w:noProof/>
        </w:rPr>
      </w:pPr>
      <w:r w:rsidRPr="00922145">
        <w:rPr>
          <w:rFonts w:ascii="Wingdings" w:eastAsia="Wingdings" w:hAnsi="Wingdings" w:cs="Wingdings"/>
          <w:noProof/>
        </w:rPr>
        <w:t></w:t>
      </w:r>
      <w:r>
        <w:rPr>
          <w:b/>
          <w:i/>
          <w:noProof/>
        </w:rPr>
        <w:t xml:space="preserve"> </w:t>
      </w:r>
      <w:r>
        <w:rPr>
          <w:b/>
          <w:noProof/>
        </w:rPr>
        <w:t>unlimited duration</w:t>
      </w:r>
    </w:p>
    <w:p w14:paraId="60BF9131" w14:textId="77777777" w:rsidR="004F652B" w:rsidRDefault="004F652B" w:rsidP="004F652B">
      <w:pPr>
        <w:pStyle w:val="ListDash1"/>
        <w:rPr>
          <w:noProof/>
        </w:rPr>
      </w:pPr>
      <w:r>
        <w:rPr>
          <w:noProof/>
        </w:rPr>
        <w:t>Implementation with a start-up period from YYYY to YYYY,</w:t>
      </w:r>
    </w:p>
    <w:p w14:paraId="3031E96E" w14:textId="77777777" w:rsidR="004F652B" w:rsidRDefault="004F652B" w:rsidP="004F652B">
      <w:pPr>
        <w:pStyle w:val="ListDash1"/>
        <w:rPr>
          <w:noProof/>
        </w:rPr>
      </w:pPr>
      <w:r>
        <w:rPr>
          <w:noProof/>
        </w:rPr>
        <w:t>followed by full-scale operation.</w:t>
      </w:r>
    </w:p>
    <w:p w14:paraId="05D4F8A2" w14:textId="77777777" w:rsidR="004F652B" w:rsidRDefault="004F652B" w:rsidP="004F652B">
      <w:pPr>
        <w:pStyle w:val="ManualHeading2"/>
        <w:rPr>
          <w:noProof/>
        </w:rPr>
      </w:pPr>
      <w:bookmarkStart w:id="89" w:name="_Toc514938040"/>
      <w:bookmarkStart w:id="90" w:name="_Toc520485041"/>
      <w:bookmarkStart w:id="91" w:name="_Toc160804583"/>
      <w:bookmarkStart w:id="92" w:name="_Toc167220275"/>
      <w:bookmarkStart w:id="93" w:name="_Toc177549008"/>
      <w:r w:rsidRPr="0021790A">
        <w:rPr>
          <w:noProof/>
        </w:rPr>
        <w:t>1.7.</w:t>
      </w:r>
      <w:r w:rsidRPr="0021790A">
        <w:rPr>
          <w:noProof/>
        </w:rPr>
        <w:tab/>
      </w:r>
      <w:r>
        <w:rPr>
          <w:noProof/>
        </w:rPr>
        <w:t>Method(s) of budget implementation planned</w:t>
      </w:r>
      <w:bookmarkEnd w:id="89"/>
      <w:bookmarkEnd w:id="90"/>
      <w:bookmarkEnd w:id="91"/>
      <w:bookmarkEnd w:id="92"/>
      <w:bookmarkEnd w:id="93"/>
      <w:r>
        <w:rPr>
          <w:noProof/>
        </w:rPr>
        <w:t xml:space="preserve"> </w:t>
      </w:r>
    </w:p>
    <w:p w14:paraId="5652FFE5" w14:textId="77777777" w:rsidR="004F652B" w:rsidRDefault="004F652B" w:rsidP="004F652B">
      <w:pPr>
        <w:pStyle w:val="Text1"/>
        <w:rPr>
          <w:noProof/>
        </w:rPr>
      </w:pPr>
      <w:r>
        <w:rPr>
          <w:rFonts w:ascii="Wingdings" w:eastAsia="Wingdings" w:hAnsi="Wingdings" w:cs="Wingdings"/>
          <w:noProof/>
        </w:rPr>
        <w:t></w:t>
      </w:r>
      <w:r>
        <w:rPr>
          <w:i/>
          <w:noProof/>
        </w:rPr>
        <w:t xml:space="preserve"> </w:t>
      </w:r>
      <w:r>
        <w:rPr>
          <w:b/>
          <w:noProof/>
        </w:rPr>
        <w:t>Direct management</w:t>
      </w:r>
      <w:r>
        <w:rPr>
          <w:noProof/>
        </w:rPr>
        <w:t xml:space="preserve"> by the Commission</w:t>
      </w:r>
    </w:p>
    <w:p w14:paraId="492FD200" w14:textId="77777777" w:rsidR="004F652B" w:rsidRDefault="004F652B" w:rsidP="004F652B">
      <w:pPr>
        <w:pStyle w:val="ListDash2"/>
        <w:rPr>
          <w:rFonts w:cs="EUAlbertina"/>
          <w:noProof/>
        </w:rPr>
      </w:pPr>
      <w:r>
        <w:rPr>
          <w:rFonts w:ascii="Wingdings" w:eastAsia="Wingdings" w:hAnsi="Wingdings" w:cs="Wingdings"/>
          <w:noProof/>
        </w:rPr>
        <w:t></w:t>
      </w:r>
      <w:r>
        <w:rPr>
          <w:noProof/>
        </w:rPr>
        <w:t xml:space="preserve"> by its departments, including by its staff in the Union delegations; </w:t>
      </w:r>
    </w:p>
    <w:p w14:paraId="4A9833B9" w14:textId="77777777" w:rsidR="004F652B" w:rsidRDefault="004F652B" w:rsidP="004F652B">
      <w:pPr>
        <w:pStyle w:val="ListDash2"/>
        <w:rPr>
          <w:noProof/>
        </w:rPr>
      </w:pPr>
      <w:r>
        <w:rPr>
          <w:rFonts w:ascii="Wingdings" w:eastAsia="Wingdings" w:hAnsi="Wingdings" w:cs="Wingdings"/>
          <w:noProof/>
        </w:rPr>
        <w:t></w:t>
      </w:r>
      <w:r>
        <w:rPr>
          <w:noProof/>
        </w:rPr>
        <w:tab/>
        <w:t xml:space="preserve">by the executive agencies </w:t>
      </w:r>
    </w:p>
    <w:p w14:paraId="4C05255C" w14:textId="77777777" w:rsidR="004F652B" w:rsidRDefault="004F652B" w:rsidP="004F652B">
      <w:pPr>
        <w:pStyle w:val="Text1"/>
        <w:rPr>
          <w:noProof/>
        </w:rPr>
      </w:pPr>
      <w:r>
        <w:rPr>
          <w:rFonts w:ascii="Wingdings" w:eastAsia="Wingdings" w:hAnsi="Wingdings" w:cs="Wingdings"/>
          <w:noProof/>
        </w:rPr>
        <w:t></w:t>
      </w:r>
      <w:r>
        <w:rPr>
          <w:b/>
          <w:i/>
          <w:noProof/>
        </w:rPr>
        <w:t xml:space="preserve"> </w:t>
      </w:r>
      <w:r>
        <w:rPr>
          <w:b/>
          <w:noProof/>
        </w:rPr>
        <w:t>Shared management</w:t>
      </w:r>
      <w:r>
        <w:rPr>
          <w:noProof/>
        </w:rPr>
        <w:t xml:space="preserve"> with the Member States </w:t>
      </w:r>
    </w:p>
    <w:p w14:paraId="7C771C80" w14:textId="77777777" w:rsidR="004F652B" w:rsidRDefault="004F652B" w:rsidP="004F652B">
      <w:pPr>
        <w:pStyle w:val="Text1"/>
        <w:rPr>
          <w:noProof/>
        </w:rPr>
      </w:pPr>
      <w:r w:rsidRPr="00922145">
        <w:rPr>
          <w:rFonts w:ascii="Wingdings" w:eastAsia="Wingdings" w:hAnsi="Wingdings" w:cs="Wingdings"/>
          <w:noProof/>
        </w:rPr>
        <w:t></w:t>
      </w:r>
      <w:r w:rsidRPr="00922145">
        <w:rPr>
          <w:i/>
          <w:noProof/>
        </w:rPr>
        <w:t xml:space="preserve"> </w:t>
      </w:r>
      <w:r>
        <w:rPr>
          <w:b/>
          <w:noProof/>
        </w:rPr>
        <w:t>Indirect management</w:t>
      </w:r>
      <w:r>
        <w:rPr>
          <w:noProof/>
        </w:rPr>
        <w:t xml:space="preserve"> by entrusting budget implementation tasks to:</w:t>
      </w:r>
    </w:p>
    <w:p w14:paraId="008D51CA" w14:textId="77777777" w:rsidR="004F652B" w:rsidRDefault="004F652B" w:rsidP="004F652B">
      <w:pPr>
        <w:pStyle w:val="ListDash2"/>
        <w:rPr>
          <w:noProof/>
        </w:rPr>
      </w:pPr>
      <w:r>
        <w:rPr>
          <w:rFonts w:ascii="Wingdings" w:eastAsia="Wingdings" w:hAnsi="Wingdings" w:cs="Wingdings"/>
          <w:noProof/>
        </w:rPr>
        <w:t></w:t>
      </w:r>
      <w:r>
        <w:rPr>
          <w:noProof/>
        </w:rPr>
        <w:t xml:space="preserve"> third countries or the bodies they have designated</w:t>
      </w:r>
    </w:p>
    <w:p w14:paraId="48876C74" w14:textId="77777777" w:rsidR="004F652B" w:rsidRDefault="004F652B" w:rsidP="004F652B">
      <w:pPr>
        <w:pStyle w:val="ListDash2"/>
        <w:rPr>
          <w:noProof/>
        </w:rPr>
      </w:pPr>
      <w:r>
        <w:rPr>
          <w:rFonts w:ascii="Wingdings" w:eastAsia="Wingdings" w:hAnsi="Wingdings" w:cs="Wingdings"/>
          <w:noProof/>
        </w:rPr>
        <w:t></w:t>
      </w:r>
      <w:r>
        <w:rPr>
          <w:noProof/>
        </w:rPr>
        <w:t xml:space="preserve"> international organisations and their agencies (to be specified)</w:t>
      </w:r>
    </w:p>
    <w:p w14:paraId="0E586F38" w14:textId="77777777" w:rsidR="004F652B" w:rsidRDefault="004F652B" w:rsidP="004F652B">
      <w:pPr>
        <w:pStyle w:val="ListDash2"/>
        <w:rPr>
          <w:noProof/>
        </w:rPr>
      </w:pPr>
      <w:r>
        <w:rPr>
          <w:rFonts w:ascii="Wingdings" w:eastAsia="Wingdings" w:hAnsi="Wingdings" w:cs="Wingdings"/>
          <w:noProof/>
        </w:rPr>
        <w:t></w:t>
      </w:r>
      <w:r>
        <w:rPr>
          <w:noProof/>
        </w:rPr>
        <w:t xml:space="preserve"> the European Investment Bank and the European Investment Fund</w:t>
      </w:r>
    </w:p>
    <w:p w14:paraId="71AF6473" w14:textId="77777777" w:rsidR="004F652B" w:rsidRDefault="004F652B" w:rsidP="004F652B">
      <w:pPr>
        <w:pStyle w:val="ListDash2"/>
        <w:rPr>
          <w:noProof/>
        </w:rPr>
      </w:pPr>
      <w:r w:rsidRPr="00922145">
        <w:rPr>
          <w:rFonts w:ascii="Wingdings" w:eastAsia="Wingdings" w:hAnsi="Wingdings" w:cs="Wingdings"/>
          <w:noProof/>
        </w:rPr>
        <w:t></w:t>
      </w:r>
      <w:r>
        <w:rPr>
          <w:noProof/>
        </w:rPr>
        <w:t xml:space="preserve"> bodies referred to in Articles 70 and 71 of the Financial Regulation</w:t>
      </w:r>
    </w:p>
    <w:p w14:paraId="70AD76F3" w14:textId="77777777" w:rsidR="004F652B" w:rsidRDefault="004F652B" w:rsidP="004F652B">
      <w:pPr>
        <w:pStyle w:val="ListDash2"/>
        <w:rPr>
          <w:noProof/>
        </w:rPr>
      </w:pPr>
      <w:r>
        <w:rPr>
          <w:rFonts w:ascii="Wingdings" w:eastAsia="Wingdings" w:hAnsi="Wingdings" w:cs="Wingdings"/>
          <w:noProof/>
        </w:rPr>
        <w:t></w:t>
      </w:r>
      <w:r>
        <w:rPr>
          <w:noProof/>
        </w:rPr>
        <w:t xml:space="preserve"> public law bodies</w:t>
      </w:r>
    </w:p>
    <w:p w14:paraId="49B94D20" w14:textId="77777777" w:rsidR="004F652B" w:rsidRDefault="004F652B" w:rsidP="004F652B">
      <w:pPr>
        <w:pStyle w:val="ListDash2"/>
        <w:rPr>
          <w:noProof/>
        </w:rPr>
      </w:pPr>
      <w:r>
        <w:rPr>
          <w:rFonts w:ascii="Wingdings" w:eastAsia="Wingdings" w:hAnsi="Wingdings" w:cs="Wingdings"/>
          <w:noProof/>
        </w:rPr>
        <w:t></w:t>
      </w:r>
      <w:r>
        <w:rPr>
          <w:noProof/>
        </w:rPr>
        <w:t xml:space="preserve"> bodies governed by private law with a public service mission to the extent that they are provided with adequate financial guarantees</w:t>
      </w:r>
    </w:p>
    <w:p w14:paraId="64D0A069" w14:textId="77777777" w:rsidR="004F652B" w:rsidRDefault="004F652B" w:rsidP="004F652B">
      <w:pPr>
        <w:pStyle w:val="ListDash2"/>
        <w:rPr>
          <w:noProof/>
        </w:rPr>
      </w:pPr>
      <w:r>
        <w:rPr>
          <w:rFonts w:ascii="Wingdings" w:eastAsia="Wingdings" w:hAnsi="Wingdings" w:cs="Wingdings"/>
          <w:noProof/>
        </w:rPr>
        <w:t></w:t>
      </w:r>
      <w:r>
        <w:rPr>
          <w:noProof/>
        </w:rPr>
        <w:t xml:space="preserve"> bodies governed by the private law of a Member State that are entrusted with the implementation of a public-private partnership and that are provided with adequate financial guarantees</w:t>
      </w:r>
    </w:p>
    <w:p w14:paraId="32A6C98A" w14:textId="77777777" w:rsidR="004F652B" w:rsidRDefault="004F652B" w:rsidP="004F652B">
      <w:pPr>
        <w:pStyle w:val="ListDash2"/>
        <w:rPr>
          <w:noProof/>
        </w:rPr>
      </w:pPr>
      <w:r>
        <w:rPr>
          <w:rFonts w:ascii="Wingdings" w:eastAsia="Wingdings" w:hAnsi="Wingdings" w:cs="Wingdings"/>
          <w:noProof/>
        </w:rPr>
        <w:t></w:t>
      </w:r>
      <w:r>
        <w:rPr>
          <w:noProof/>
        </w:rPr>
        <w:t xml:space="preserve"> bodies or persons entrusted with the implementation of specific actions in the common foreign and security policy pursuant to Title V of the Treaty on European Union, and identified in the relevant basic act</w:t>
      </w:r>
    </w:p>
    <w:p w14:paraId="438E9477" w14:textId="77777777" w:rsidR="004F652B" w:rsidRDefault="004F652B" w:rsidP="004F652B">
      <w:pPr>
        <w:pStyle w:val="ListDash2"/>
        <w:rPr>
          <w:noProof/>
        </w:rPr>
      </w:pPr>
      <w:r>
        <w:rPr>
          <w:rFonts w:ascii="Wingdings" w:eastAsia="Wingdings" w:hAnsi="Wingdings" w:cs="Wingdings"/>
          <w:noProof/>
        </w:rPr>
        <w:t></w:t>
      </w:r>
      <w:r>
        <w:rPr>
          <w:rFonts w:ascii="Wingdings" w:eastAsia="Wingdings" w:hAnsi="Wingdings" w:cs="Wingdings"/>
          <w:noProof/>
        </w:rPr>
        <w:t></w:t>
      </w:r>
      <w:r>
        <w:rPr>
          <w:noProof/>
        </w:rPr>
        <w:t>bodies established in a Member State, governed by the private law of a Member State or Union law and eligible to be entrusted, in accordance with sector-specific rules, with the implementation of Union funds or budgetary guarantees, to the extent that such bodies are controlled by public law bodies or by bodies governed by private law with a public service mission, and are provided with adequate financial guarantees in the form of joint and several liability by the controlling bodies or equivalent financial guarantees and which may be, for each action, limited to the maximum amount of the Union support.</w:t>
      </w:r>
    </w:p>
    <w:p w14:paraId="4FE27132" w14:textId="77777777" w:rsidR="004F652B" w:rsidRDefault="004F652B" w:rsidP="004F652B">
      <w:pPr>
        <w:rPr>
          <w:noProof/>
        </w:rPr>
      </w:pPr>
      <w:r>
        <w:rPr>
          <w:noProof/>
        </w:rPr>
        <w:t xml:space="preserve">Comments </w:t>
      </w:r>
    </w:p>
    <w:p w14:paraId="3D1D6E72" w14:textId="77777777" w:rsidR="004F652B" w:rsidRDefault="004F652B" w:rsidP="004F652B">
      <w:pPr>
        <w:pBdr>
          <w:top w:val="single" w:sz="4" w:space="1" w:color="auto"/>
          <w:left w:val="single" w:sz="4" w:space="4" w:color="auto"/>
          <w:bottom w:val="single" w:sz="4" w:space="1" w:color="auto"/>
          <w:right w:val="single" w:sz="4" w:space="4" w:color="auto"/>
        </w:pBdr>
        <w:rPr>
          <w:noProof/>
        </w:rPr>
      </w:pPr>
    </w:p>
    <w:p w14:paraId="2D22D8BE" w14:textId="77777777" w:rsidR="004F652B" w:rsidRDefault="004F652B">
      <w:pPr>
        <w:spacing w:before="0" w:after="200" w:line="276" w:lineRule="auto"/>
        <w:jc w:val="left"/>
        <w:rPr>
          <w:b/>
          <w:smallCaps/>
          <w:noProof/>
        </w:rPr>
      </w:pPr>
      <w:bookmarkStart w:id="94" w:name="_Toc514938041"/>
      <w:bookmarkStart w:id="95" w:name="_Toc520485042"/>
      <w:bookmarkStart w:id="96" w:name="_Toc160804584"/>
      <w:bookmarkStart w:id="97" w:name="_Toc167220276"/>
      <w:bookmarkStart w:id="98" w:name="_Toc177549009"/>
      <w:bookmarkStart w:id="99" w:name="_Toc167220301"/>
      <w:bookmarkStart w:id="100" w:name="_Toc177549035"/>
      <w:r>
        <w:rPr>
          <w:noProof/>
        </w:rPr>
        <w:br w:type="page"/>
      </w:r>
    </w:p>
    <w:p w14:paraId="2CE1B5E2" w14:textId="77777777" w:rsidR="004F652B" w:rsidRDefault="004F652B" w:rsidP="004F652B">
      <w:pPr>
        <w:pStyle w:val="ManualHeading1"/>
        <w:rPr>
          <w:bCs/>
          <w:noProof/>
          <w:szCs w:val="24"/>
        </w:rPr>
      </w:pPr>
      <w:r w:rsidRPr="0021790A">
        <w:rPr>
          <w:noProof/>
        </w:rPr>
        <w:t>2.</w:t>
      </w:r>
      <w:r w:rsidRPr="0021790A">
        <w:rPr>
          <w:noProof/>
        </w:rPr>
        <w:tab/>
      </w:r>
      <w:r>
        <w:rPr>
          <w:noProof/>
        </w:rPr>
        <w:t>MANAGEMENT MEASURES</w:t>
      </w:r>
      <w:bookmarkEnd w:id="94"/>
      <w:bookmarkEnd w:id="95"/>
      <w:bookmarkEnd w:id="96"/>
      <w:bookmarkEnd w:id="97"/>
      <w:bookmarkEnd w:id="98"/>
      <w:r>
        <w:rPr>
          <w:noProof/>
        </w:rPr>
        <w:t xml:space="preserve"> </w:t>
      </w:r>
    </w:p>
    <w:p w14:paraId="6A0B762A" w14:textId="77777777" w:rsidR="004F652B" w:rsidRDefault="004F652B" w:rsidP="004F652B">
      <w:pPr>
        <w:pStyle w:val="ManualHeading2"/>
        <w:rPr>
          <w:noProof/>
        </w:rPr>
      </w:pPr>
      <w:bookmarkStart w:id="101" w:name="_Toc514938042"/>
      <w:bookmarkStart w:id="102" w:name="_Toc520485043"/>
      <w:bookmarkStart w:id="103" w:name="_Toc160804585"/>
      <w:bookmarkStart w:id="104" w:name="_Toc167220277"/>
      <w:bookmarkStart w:id="105" w:name="_Toc177549010"/>
      <w:r w:rsidRPr="0021790A">
        <w:rPr>
          <w:noProof/>
        </w:rPr>
        <w:t>2.1.</w:t>
      </w:r>
      <w:r w:rsidRPr="0021790A">
        <w:rPr>
          <w:noProof/>
        </w:rPr>
        <w:tab/>
      </w:r>
      <w:r>
        <w:rPr>
          <w:noProof/>
        </w:rPr>
        <w:t>Monitoring and reporting rules</w:t>
      </w:r>
      <w:bookmarkEnd w:id="101"/>
      <w:bookmarkEnd w:id="102"/>
      <w:bookmarkEnd w:id="103"/>
      <w:bookmarkEnd w:id="104"/>
      <w:bookmarkEnd w:id="105"/>
      <w:r>
        <w:rPr>
          <w:noProof/>
        </w:rPr>
        <w:t xml:space="preserve"> </w:t>
      </w:r>
    </w:p>
    <w:p w14:paraId="54C12C02" w14:textId="77777777" w:rsidR="004F652B" w:rsidRPr="00922145" w:rsidRDefault="004F652B" w:rsidP="004F652B">
      <w:pPr>
        <w:pStyle w:val="Text1"/>
        <w:pBdr>
          <w:top w:val="single" w:sz="4" w:space="1" w:color="auto"/>
          <w:left w:val="single" w:sz="4" w:space="4" w:color="auto"/>
          <w:bottom w:val="single" w:sz="4" w:space="1" w:color="auto"/>
          <w:right w:val="single" w:sz="4" w:space="4" w:color="auto"/>
        </w:pBdr>
        <w:rPr>
          <w:rFonts w:eastAsia="Times New Roman"/>
          <w:noProof/>
          <w:lang w:eastAsia="de-DE"/>
        </w:rPr>
      </w:pPr>
      <w:r w:rsidRPr="00922145">
        <w:rPr>
          <w:rFonts w:eastAsia="Times New Roman"/>
          <w:noProof/>
          <w:lang w:eastAsia="de-DE"/>
        </w:rPr>
        <w:t>The monitoring and reporting will follow the principles outlined in the current CSA Regulation</w:t>
      </w:r>
      <w:r w:rsidRPr="00922145">
        <w:rPr>
          <w:rStyle w:val="FootnoteReference"/>
          <w:rFonts w:eastAsia="Times New Roman"/>
          <w:noProof/>
          <w:lang w:eastAsia="de-DE"/>
        </w:rPr>
        <w:footnoteReference w:id="92"/>
      </w:r>
      <w:r w:rsidRPr="00922145">
        <w:rPr>
          <w:rFonts w:eastAsia="Times New Roman"/>
          <w:noProof/>
          <w:lang w:eastAsia="de-DE"/>
        </w:rPr>
        <w:t>, Financial Regulation</w:t>
      </w:r>
      <w:r w:rsidRPr="00922145">
        <w:rPr>
          <w:rStyle w:val="FootnoteReference"/>
          <w:rFonts w:eastAsia="Times New Roman"/>
          <w:noProof/>
          <w:lang w:eastAsia="de-DE"/>
        </w:rPr>
        <w:footnoteReference w:id="93"/>
      </w:r>
      <w:r w:rsidRPr="00922145">
        <w:rPr>
          <w:rFonts w:eastAsia="Times New Roman"/>
          <w:noProof/>
          <w:lang w:eastAsia="de-DE"/>
        </w:rPr>
        <w:t xml:space="preserve"> and in line with the Common Approach on decentralised agencies</w:t>
      </w:r>
      <w:r w:rsidRPr="00922145">
        <w:rPr>
          <w:rStyle w:val="FootnoteReference"/>
          <w:rFonts w:eastAsia="Times New Roman"/>
          <w:noProof/>
          <w:lang w:eastAsia="de-DE"/>
        </w:rPr>
        <w:footnoteReference w:id="94"/>
      </w:r>
      <w:r w:rsidRPr="00922145">
        <w:rPr>
          <w:rFonts w:eastAsia="Times New Roman"/>
          <w:noProof/>
          <w:lang w:eastAsia="de-DE"/>
        </w:rPr>
        <w:t>.</w:t>
      </w:r>
    </w:p>
    <w:p w14:paraId="11C22125" w14:textId="77777777" w:rsidR="004F652B" w:rsidRPr="00922145" w:rsidRDefault="004F652B" w:rsidP="004F652B">
      <w:pPr>
        <w:pStyle w:val="Text1"/>
        <w:pBdr>
          <w:top w:val="single" w:sz="4" w:space="1" w:color="auto"/>
          <w:left w:val="single" w:sz="4" w:space="4" w:color="auto"/>
          <w:bottom w:val="single" w:sz="4" w:space="1" w:color="auto"/>
          <w:right w:val="single" w:sz="4" w:space="4" w:color="auto"/>
        </w:pBdr>
        <w:rPr>
          <w:rFonts w:eastAsia="Times New Roman"/>
          <w:noProof/>
          <w:lang w:eastAsia="de-DE"/>
        </w:rPr>
      </w:pPr>
      <w:r w:rsidRPr="00922145">
        <w:rPr>
          <w:rFonts w:eastAsia="Times New Roman"/>
          <w:noProof/>
          <w:lang w:eastAsia="de-DE"/>
        </w:rPr>
        <w:t>According to Article 40 of the Financial Regulation, ENISA must send each year to the Commission, the European Parliament and the Council a Single Programming Document (SPD) containing multi-annual and annual work programmes and resources programming. In addition, the Commission proposal for amending ENISA mandate introduces the requirement for the Commission, as a member of the Management Board, to cast a positive vote for the Management Board of ENISA to adopt the SPD, for matters, related to human resources and budget. The Commission will also issue an opinion on the draft SPD before the voting procedure in the Management Board takes place, which should be implemented before adoption of the SPD</w:t>
      </w:r>
      <w:r w:rsidRPr="00922145">
        <w:rPr>
          <w:rStyle w:val="FootnoteReference"/>
          <w:rFonts w:eastAsia="Times New Roman"/>
          <w:noProof/>
          <w:lang w:eastAsia="de-DE"/>
        </w:rPr>
        <w:footnoteReference w:id="95"/>
      </w:r>
      <w:r w:rsidRPr="00922145">
        <w:rPr>
          <w:rFonts w:eastAsia="Times New Roman"/>
          <w:noProof/>
          <w:lang w:eastAsia="de-DE"/>
        </w:rPr>
        <w:t xml:space="preserve">. </w:t>
      </w:r>
    </w:p>
    <w:p w14:paraId="5F7E48CE" w14:textId="77777777" w:rsidR="004F652B" w:rsidRPr="00922145" w:rsidRDefault="004F652B" w:rsidP="004F652B">
      <w:pPr>
        <w:pStyle w:val="Text1"/>
        <w:pBdr>
          <w:top w:val="single" w:sz="4" w:space="1" w:color="auto"/>
          <w:left w:val="single" w:sz="4" w:space="4" w:color="auto"/>
          <w:bottom w:val="single" w:sz="4" w:space="1" w:color="auto"/>
          <w:right w:val="single" w:sz="4" w:space="4" w:color="auto"/>
        </w:pBdr>
        <w:rPr>
          <w:rFonts w:eastAsia="Times New Roman"/>
          <w:noProof/>
          <w:lang w:eastAsia="de-DE"/>
        </w:rPr>
      </w:pPr>
      <w:r w:rsidRPr="00922145">
        <w:rPr>
          <w:rFonts w:eastAsia="Times New Roman"/>
          <w:noProof/>
          <w:lang w:eastAsia="de-DE"/>
        </w:rPr>
        <w:t>ENISA must submit a Consolidated Annual Activity Report to the Management Board. This report notably includes information on the achievement of the objectives and results set out in the Single Programming Document. The report must also be sent to the Commission, the European Parliament and to the Council. ENISA's Executive Director should present to the Management Board an ex-post evaluation of ENISA's activities every two years. The Agency should also prepare a follow-up action plan regarding the conclusions of retrospective evaluations and report on progress bi-annually to the Commission. The Management Board should be responsible to monitor the adequate follow-up of such conclusions.</w:t>
      </w:r>
    </w:p>
    <w:p w14:paraId="0ABBE1CD" w14:textId="77777777" w:rsidR="004F652B" w:rsidRPr="00922145" w:rsidRDefault="004F652B" w:rsidP="004F652B">
      <w:pPr>
        <w:pStyle w:val="Text1"/>
        <w:pBdr>
          <w:top w:val="single" w:sz="4" w:space="1" w:color="auto"/>
          <w:left w:val="single" w:sz="4" w:space="4" w:color="auto"/>
          <w:bottom w:val="single" w:sz="4" w:space="1" w:color="auto"/>
          <w:right w:val="single" w:sz="4" w:space="4" w:color="auto"/>
        </w:pBdr>
        <w:rPr>
          <w:rFonts w:eastAsia="Times New Roman"/>
          <w:noProof/>
          <w:lang w:eastAsia="de-DE"/>
        </w:rPr>
      </w:pPr>
      <w:r w:rsidRPr="00922145">
        <w:rPr>
          <w:rFonts w:eastAsia="Times New Roman"/>
          <w:noProof/>
          <w:lang w:eastAsia="de-DE"/>
        </w:rPr>
        <w:t>Alleged instances of maladministration in the activities of the Agency may be subject to inquiries by the European Ombudsman in accordance with the provisions of Article 228 of the Treaty.</w:t>
      </w:r>
    </w:p>
    <w:p w14:paraId="64D23C94" w14:textId="77777777" w:rsidR="004F652B" w:rsidRPr="00922145" w:rsidRDefault="004F652B" w:rsidP="004F652B">
      <w:pPr>
        <w:pStyle w:val="Text1"/>
        <w:pBdr>
          <w:top w:val="single" w:sz="4" w:space="1" w:color="auto"/>
          <w:left w:val="single" w:sz="4" w:space="4" w:color="auto"/>
          <w:bottom w:val="single" w:sz="4" w:space="1" w:color="auto"/>
          <w:right w:val="single" w:sz="4" w:space="4" w:color="auto"/>
        </w:pBdr>
        <w:rPr>
          <w:rFonts w:eastAsia="Times New Roman"/>
          <w:noProof/>
          <w:lang w:eastAsia="de-DE"/>
        </w:rPr>
      </w:pPr>
      <w:r w:rsidRPr="00922145">
        <w:rPr>
          <w:rFonts w:eastAsia="Times New Roman"/>
          <w:noProof/>
          <w:lang w:eastAsia="de-DE"/>
        </w:rPr>
        <w:t>The data sources for planned monitoring would mostly be ENISA, the European Cybersecurity Certification Group, the NIS Cooperation Group, the CSIRTs Network and the Member States' authorities. Besides the data deriving from the reports (including the annual activity reports) of ENISA, the European Cybersecurity Certification Group, the NIS Cooperation Group and the CSIRTs Network and the Commission specific data gathering tools will be used when needed (for example surveys to national authorities, Eurobarometer, dedicated studies and reports from the pan-European exercises).</w:t>
      </w:r>
    </w:p>
    <w:p w14:paraId="706AE210" w14:textId="77777777" w:rsidR="004F652B" w:rsidRPr="000244BF" w:rsidRDefault="004F652B" w:rsidP="004F652B">
      <w:pPr>
        <w:pStyle w:val="Text1"/>
        <w:pBdr>
          <w:top w:val="single" w:sz="4" w:space="1" w:color="auto"/>
          <w:left w:val="single" w:sz="4" w:space="4" w:color="auto"/>
          <w:bottom w:val="single" w:sz="4" w:space="1" w:color="auto"/>
          <w:right w:val="single" w:sz="4" w:space="4" w:color="auto"/>
        </w:pBdr>
        <w:rPr>
          <w:rFonts w:eastAsia="Times New Roman"/>
          <w:noProof/>
          <w:lang w:eastAsia="de-DE"/>
        </w:rPr>
      </w:pPr>
      <w:r w:rsidRPr="00922145">
        <w:rPr>
          <w:rFonts w:eastAsia="Times New Roman"/>
          <w:noProof/>
          <w:lang w:eastAsia="de-DE"/>
        </w:rPr>
        <w:t xml:space="preserve">The Commission proposal for CSA2 </w:t>
      </w:r>
      <w:r w:rsidRPr="000244BF">
        <w:rPr>
          <w:rFonts w:eastAsia="Times New Roman"/>
          <w:noProof/>
          <w:lang w:eastAsia="de-DE"/>
        </w:rPr>
        <w:t xml:space="preserve">continues the established review practice and evaluation of the Agency. As outlined </w:t>
      </w:r>
      <w:r w:rsidRPr="00051159">
        <w:rPr>
          <w:rFonts w:eastAsia="Times New Roman"/>
          <w:noProof/>
          <w:lang w:eastAsia="de-DE"/>
        </w:rPr>
        <w:t>in Article 1</w:t>
      </w:r>
      <w:r w:rsidR="00051159" w:rsidRPr="00051159">
        <w:rPr>
          <w:rFonts w:eastAsia="Times New Roman"/>
          <w:noProof/>
          <w:lang w:eastAsia="de-DE"/>
        </w:rPr>
        <w:t>19</w:t>
      </w:r>
      <w:r w:rsidRPr="000244BF">
        <w:rPr>
          <w:rFonts w:eastAsia="Times New Roman"/>
          <w:noProof/>
          <w:lang w:eastAsia="de-DE"/>
        </w:rPr>
        <w:t xml:space="preserve"> of the proposal for CSA2, the Commission must commission an evaluation of ENISA by [DD MM YYY] and every five years after that. This evaluation will assess, in particular the possible need to modify the mandate of ENISA, and the financial implications of any such modification. On the occasion of every second evaluation, there shall be an assessment of the results achieved by ENISA having regard to its objectives, mandate, mission, governance and tasks, including an assessment of whether the continuation of ENISA is still justified with regard to these objectives, mandate, mission, governance and tasks. </w:t>
      </w:r>
    </w:p>
    <w:p w14:paraId="4F6F7A05" w14:textId="77777777" w:rsidR="004F652B" w:rsidRDefault="004F652B" w:rsidP="004F652B">
      <w:pPr>
        <w:pStyle w:val="Text1"/>
        <w:pBdr>
          <w:top w:val="single" w:sz="4" w:space="1" w:color="auto"/>
          <w:left w:val="single" w:sz="4" w:space="4" w:color="auto"/>
          <w:bottom w:val="single" w:sz="4" w:space="1" w:color="auto"/>
          <w:right w:val="single" w:sz="4" w:space="4" w:color="auto"/>
        </w:pBdr>
        <w:rPr>
          <w:rFonts w:eastAsia="Times New Roman"/>
          <w:noProof/>
          <w:lang w:eastAsia="de-DE"/>
        </w:rPr>
      </w:pPr>
      <w:r w:rsidRPr="000244BF">
        <w:rPr>
          <w:rFonts w:eastAsia="Times New Roman"/>
          <w:noProof/>
          <w:lang w:eastAsia="de-DE"/>
        </w:rPr>
        <w:t>The evaluation shall also assess the impact, effectiveness and efficiency of the provisions of Title III of the Regulation</w:t>
      </w:r>
      <w:r w:rsidRPr="00922145">
        <w:rPr>
          <w:rFonts w:eastAsia="Times New Roman"/>
          <w:noProof/>
          <w:lang w:eastAsia="de-DE"/>
        </w:rPr>
        <w:t xml:space="preserve"> with regard to the objectives of the European Cybersecurity Certification Framework ensuring an adequate level of cybersecurity of ICT products, ICT services, ICT processes, managed security services and entities in the Union and improving the functioning of the internal market. </w:t>
      </w:r>
    </w:p>
    <w:p w14:paraId="02A8F58D" w14:textId="1186614C" w:rsidR="004F652B" w:rsidRDefault="00500223" w:rsidP="004F652B">
      <w:pPr>
        <w:pStyle w:val="Text1"/>
        <w:pBdr>
          <w:top w:val="single" w:sz="4" w:space="1" w:color="auto"/>
          <w:left w:val="single" w:sz="4" w:space="4" w:color="auto"/>
          <w:bottom w:val="single" w:sz="4" w:space="1" w:color="auto"/>
          <w:right w:val="single" w:sz="4" w:space="4" w:color="auto"/>
        </w:pBdr>
        <w:rPr>
          <w:rFonts w:eastAsia="Times New Roman"/>
          <w:noProof/>
          <w:lang w:eastAsia="de-DE"/>
        </w:rPr>
      </w:pPr>
      <w:r w:rsidRPr="7E8A004A">
        <w:rPr>
          <w:rFonts w:eastAsia="Times New Roman"/>
          <w:noProof/>
          <w:lang w:eastAsia="de-DE"/>
        </w:rPr>
        <w:t>The evaluation shall also assess the impact, effectiveness and efficiency of provisions of Title IV of the Regulation with regard to the objectives of the ICT supply chain security framework</w:t>
      </w:r>
      <w:r>
        <w:rPr>
          <w:rFonts w:eastAsia="Times New Roman"/>
          <w:noProof/>
          <w:lang w:eastAsia="de-DE"/>
        </w:rPr>
        <w:t>.</w:t>
      </w:r>
    </w:p>
    <w:p w14:paraId="26E0CCA2" w14:textId="77777777" w:rsidR="004F652B" w:rsidRPr="000244BF" w:rsidRDefault="004F652B" w:rsidP="004F652B">
      <w:pPr>
        <w:pStyle w:val="Text1"/>
        <w:pBdr>
          <w:top w:val="single" w:sz="4" w:space="1" w:color="auto"/>
          <w:left w:val="single" w:sz="4" w:space="4" w:color="auto"/>
          <w:bottom w:val="single" w:sz="4" w:space="1" w:color="auto"/>
          <w:right w:val="single" w:sz="4" w:space="4" w:color="auto"/>
        </w:pBdr>
        <w:rPr>
          <w:rFonts w:eastAsia="Times New Roman"/>
          <w:noProof/>
          <w:lang w:eastAsia="de-DE"/>
        </w:rPr>
      </w:pPr>
      <w:r w:rsidRPr="00922145">
        <w:rPr>
          <w:rFonts w:eastAsia="Times New Roman"/>
          <w:noProof/>
          <w:lang w:eastAsia="de-DE"/>
        </w:rPr>
        <w:t>The Commission shall report to the European Parliament, the Council on all the findings and to the Management Board on the evaluation findings for Title II of the Regulation. The findings of the evaluation shall be made public. </w:t>
      </w:r>
    </w:p>
    <w:p w14:paraId="1917355A" w14:textId="77777777" w:rsidR="004F652B" w:rsidRDefault="004F652B" w:rsidP="004F652B">
      <w:pPr>
        <w:pStyle w:val="ManualHeading2"/>
        <w:rPr>
          <w:bCs/>
          <w:noProof/>
          <w:szCs w:val="24"/>
        </w:rPr>
      </w:pPr>
      <w:bookmarkStart w:id="106" w:name="_Toc514938045"/>
      <w:bookmarkStart w:id="107" w:name="_Toc520485044"/>
      <w:bookmarkStart w:id="108" w:name="_Toc160804586"/>
      <w:bookmarkStart w:id="109" w:name="_Toc167220278"/>
      <w:bookmarkStart w:id="110" w:name="_Toc177549011"/>
      <w:r w:rsidRPr="0021790A">
        <w:rPr>
          <w:noProof/>
        </w:rPr>
        <w:t>2.2.</w:t>
      </w:r>
      <w:r w:rsidRPr="0021790A">
        <w:rPr>
          <w:noProof/>
        </w:rPr>
        <w:tab/>
      </w:r>
      <w:r>
        <w:rPr>
          <w:noProof/>
        </w:rPr>
        <w:t>Management and control system(s)</w:t>
      </w:r>
      <w:bookmarkEnd w:id="106"/>
      <w:bookmarkEnd w:id="107"/>
      <w:bookmarkEnd w:id="108"/>
      <w:bookmarkEnd w:id="109"/>
      <w:bookmarkEnd w:id="110"/>
      <w:r>
        <w:rPr>
          <w:noProof/>
        </w:rPr>
        <w:t xml:space="preserve"> </w:t>
      </w:r>
    </w:p>
    <w:p w14:paraId="2A6687A7" w14:textId="77777777" w:rsidR="004F652B" w:rsidRPr="00721674" w:rsidRDefault="004F652B" w:rsidP="004F652B">
      <w:pPr>
        <w:pStyle w:val="ManualHeading3"/>
        <w:rPr>
          <w:noProof/>
        </w:rPr>
      </w:pPr>
      <w:bookmarkStart w:id="111" w:name="_Toc514938046"/>
      <w:bookmarkStart w:id="112" w:name="_Toc520485045"/>
      <w:bookmarkStart w:id="113" w:name="_Toc160804587"/>
      <w:bookmarkStart w:id="114" w:name="_Toc167220279"/>
      <w:bookmarkStart w:id="115" w:name="_Toc177549012"/>
      <w:r w:rsidRPr="0021790A">
        <w:rPr>
          <w:noProof/>
        </w:rPr>
        <w:t>2.2.1.</w:t>
      </w:r>
      <w:r w:rsidRPr="0021790A">
        <w:rPr>
          <w:noProof/>
        </w:rPr>
        <w:tab/>
      </w:r>
      <w:r>
        <w:rPr>
          <w:noProof/>
        </w:rPr>
        <w:t>Justification of the budget implementation method(s), the funding implementation mechanism(s), the payment modalities and the control strategy proposed</w:t>
      </w:r>
      <w:bookmarkEnd w:id="111"/>
      <w:bookmarkEnd w:id="112"/>
      <w:bookmarkEnd w:id="113"/>
      <w:bookmarkEnd w:id="114"/>
      <w:bookmarkEnd w:id="115"/>
    </w:p>
    <w:p w14:paraId="3A6ECFDC" w14:textId="77777777" w:rsidR="004F652B" w:rsidRPr="00922145" w:rsidRDefault="004F652B" w:rsidP="004F652B">
      <w:pPr>
        <w:pStyle w:val="Text1"/>
        <w:pBdr>
          <w:top w:val="single" w:sz="4" w:space="1" w:color="auto"/>
          <w:left w:val="single" w:sz="4" w:space="4" w:color="auto"/>
          <w:bottom w:val="single" w:sz="4" w:space="1" w:color="auto"/>
          <w:right w:val="single" w:sz="4" w:space="4" w:color="auto"/>
        </w:pBdr>
        <w:rPr>
          <w:rFonts w:eastAsia="Times New Roman"/>
          <w:noProof/>
          <w:lang w:eastAsia="de-DE"/>
        </w:rPr>
      </w:pPr>
      <w:r w:rsidRPr="00922145">
        <w:rPr>
          <w:rFonts w:eastAsia="Times New Roman"/>
          <w:noProof/>
          <w:lang w:eastAsia="de-DE"/>
        </w:rPr>
        <w:t xml:space="preserve">Considering that the proposal impacts the annual EU contribution to ENISA, the EU budget will be implemented via indirect management.  </w:t>
      </w:r>
    </w:p>
    <w:p w14:paraId="4828FB9F" w14:textId="77777777" w:rsidR="004F652B" w:rsidRPr="00922145" w:rsidRDefault="004F652B" w:rsidP="004F652B">
      <w:pPr>
        <w:pStyle w:val="Text1"/>
        <w:pBdr>
          <w:top w:val="single" w:sz="4" w:space="1" w:color="auto"/>
          <w:left w:val="single" w:sz="4" w:space="4" w:color="auto"/>
          <w:bottom w:val="single" w:sz="4" w:space="1" w:color="auto"/>
          <w:right w:val="single" w:sz="4" w:space="4" w:color="auto"/>
        </w:pBdr>
        <w:rPr>
          <w:noProof/>
          <w:color w:val="008000"/>
        </w:rPr>
      </w:pPr>
      <w:r w:rsidRPr="00922145">
        <w:rPr>
          <w:noProof/>
        </w:rPr>
        <w:t xml:space="preserve">Pursuant to the principle of sound financial management, the budget of ENISA shall be implemented in compliance with effective and efficient internal control. ENISA is therefore bound to implement an appropriate control strategy coordinated among appropriate actors involved in the control chain. </w:t>
      </w:r>
    </w:p>
    <w:p w14:paraId="6749CE4A" w14:textId="77777777" w:rsidR="004F652B" w:rsidRDefault="004F652B" w:rsidP="004F652B">
      <w:pPr>
        <w:pStyle w:val="Text1"/>
        <w:pBdr>
          <w:top w:val="single" w:sz="4" w:space="1" w:color="auto"/>
          <w:left w:val="single" w:sz="4" w:space="4" w:color="auto"/>
          <w:bottom w:val="single" w:sz="4" w:space="1" w:color="auto"/>
          <w:right w:val="single" w:sz="4" w:space="4" w:color="auto"/>
        </w:pBdr>
        <w:rPr>
          <w:noProof/>
        </w:rPr>
      </w:pPr>
      <w:r w:rsidRPr="00922145">
        <w:rPr>
          <w:noProof/>
        </w:rPr>
        <w:t>Regarding ex-post controls, ENISA, as a decentralised agency, is notably subject to:</w:t>
      </w:r>
    </w:p>
    <w:p w14:paraId="157BCA52" w14:textId="77777777" w:rsidR="004F652B" w:rsidRDefault="004F652B" w:rsidP="004F652B">
      <w:pPr>
        <w:pStyle w:val="Text1"/>
        <w:pBdr>
          <w:top w:val="single" w:sz="4" w:space="1" w:color="auto"/>
          <w:left w:val="single" w:sz="4" w:space="4" w:color="auto"/>
          <w:bottom w:val="single" w:sz="4" w:space="1" w:color="auto"/>
          <w:right w:val="single" w:sz="4" w:space="4" w:color="auto"/>
        </w:pBdr>
        <w:ind w:left="851"/>
        <w:rPr>
          <w:noProof/>
        </w:rPr>
      </w:pPr>
      <w:r>
        <w:rPr>
          <w:noProof/>
        </w:rPr>
        <w:t>-</w:t>
      </w:r>
      <w:r>
        <w:rPr>
          <w:noProof/>
        </w:rPr>
        <w:tab/>
      </w:r>
      <w:r w:rsidRPr="00922145">
        <w:rPr>
          <w:noProof/>
        </w:rPr>
        <w:t>internal audit by the Internal Audit Service of the Commission</w:t>
      </w:r>
    </w:p>
    <w:p w14:paraId="490D72AC" w14:textId="77777777" w:rsidR="004F652B" w:rsidRPr="00922145" w:rsidRDefault="004F652B" w:rsidP="004F652B">
      <w:pPr>
        <w:pStyle w:val="Text1"/>
        <w:pBdr>
          <w:top w:val="single" w:sz="4" w:space="1" w:color="auto"/>
          <w:left w:val="single" w:sz="4" w:space="4" w:color="auto"/>
          <w:bottom w:val="single" w:sz="4" w:space="1" w:color="auto"/>
          <w:right w:val="single" w:sz="4" w:space="4" w:color="auto"/>
        </w:pBdr>
        <w:ind w:left="1436" w:hanging="585"/>
        <w:rPr>
          <w:noProof/>
        </w:rPr>
      </w:pPr>
      <w:r>
        <w:rPr>
          <w:noProof/>
        </w:rPr>
        <w:t>-</w:t>
      </w:r>
      <w:r>
        <w:rPr>
          <w:noProof/>
        </w:rPr>
        <w:tab/>
      </w:r>
      <w:r w:rsidRPr="00922145">
        <w:rPr>
          <w:noProof/>
        </w:rPr>
        <w:t>annual reports by the European Court of Auditors, giving a statement of assurance as to the reliability of the annual accounts and the legality and regularity of the underlying transactions</w:t>
      </w:r>
    </w:p>
    <w:p w14:paraId="23F503E2" w14:textId="77777777" w:rsidR="004F652B" w:rsidRPr="00922145" w:rsidRDefault="004F652B" w:rsidP="004F652B">
      <w:pPr>
        <w:pStyle w:val="Text1"/>
        <w:pBdr>
          <w:top w:val="single" w:sz="4" w:space="1" w:color="auto"/>
          <w:left w:val="single" w:sz="4" w:space="4" w:color="auto"/>
          <w:bottom w:val="single" w:sz="4" w:space="1" w:color="auto"/>
          <w:right w:val="single" w:sz="4" w:space="4" w:color="auto"/>
        </w:pBdr>
        <w:ind w:left="851"/>
        <w:rPr>
          <w:noProof/>
        </w:rPr>
      </w:pPr>
      <w:r>
        <w:rPr>
          <w:noProof/>
        </w:rPr>
        <w:t>-</w:t>
      </w:r>
      <w:r>
        <w:rPr>
          <w:noProof/>
        </w:rPr>
        <w:tab/>
      </w:r>
      <w:r w:rsidRPr="00922145">
        <w:rPr>
          <w:noProof/>
        </w:rPr>
        <w:t>annual discharge granted by the European Parliament</w:t>
      </w:r>
    </w:p>
    <w:p w14:paraId="09A2AEF3" w14:textId="77777777" w:rsidR="004F652B" w:rsidRPr="00922145" w:rsidRDefault="004F652B" w:rsidP="004F652B">
      <w:pPr>
        <w:pStyle w:val="Text1"/>
        <w:pBdr>
          <w:top w:val="single" w:sz="4" w:space="1" w:color="auto"/>
          <w:left w:val="single" w:sz="4" w:space="4" w:color="auto"/>
          <w:bottom w:val="single" w:sz="4" w:space="1" w:color="auto"/>
          <w:right w:val="single" w:sz="4" w:space="4" w:color="auto"/>
        </w:pBdr>
        <w:ind w:left="1436" w:hanging="585"/>
        <w:rPr>
          <w:noProof/>
        </w:rPr>
      </w:pPr>
      <w:r>
        <w:rPr>
          <w:noProof/>
        </w:rPr>
        <w:t>-</w:t>
      </w:r>
      <w:r>
        <w:rPr>
          <w:noProof/>
        </w:rPr>
        <w:tab/>
      </w:r>
      <w:r w:rsidRPr="00922145">
        <w:rPr>
          <w:noProof/>
        </w:rPr>
        <w:t>possible investigations conducted by OLAF to ensure, in particular, that the resources allocated to agencies are put to proper use.</w:t>
      </w:r>
    </w:p>
    <w:p w14:paraId="411E5C72" w14:textId="77777777" w:rsidR="004F652B" w:rsidRPr="00922145" w:rsidRDefault="004F652B" w:rsidP="004F652B">
      <w:pPr>
        <w:pStyle w:val="Text1"/>
        <w:pBdr>
          <w:top w:val="single" w:sz="4" w:space="1" w:color="auto"/>
          <w:left w:val="single" w:sz="4" w:space="4" w:color="auto"/>
          <w:bottom w:val="single" w:sz="4" w:space="1" w:color="auto"/>
          <w:right w:val="single" w:sz="4" w:space="4" w:color="auto"/>
        </w:pBdr>
        <w:ind w:left="1436" w:hanging="585"/>
        <w:rPr>
          <w:noProof/>
        </w:rPr>
      </w:pPr>
      <w:r>
        <w:rPr>
          <w:noProof/>
        </w:rPr>
        <w:t>-</w:t>
      </w:r>
      <w:r>
        <w:rPr>
          <w:noProof/>
        </w:rPr>
        <w:tab/>
      </w:r>
      <w:r w:rsidRPr="00922145">
        <w:rPr>
          <w:noProof/>
        </w:rPr>
        <w:t>As partner DG to ENISA, DG CNECT will implement its Control Strategy on decentralised agencies to ensure reliable reporting in the framework of its Annual Activity Report (AAR). While decentralised agencies have full responsibility for the implementation of their budget, DG CNECT is responsible for regular payment of annual contributions established by the Budgetary Authority.</w:t>
      </w:r>
    </w:p>
    <w:p w14:paraId="44CD55C9" w14:textId="77777777" w:rsidR="004F652B" w:rsidRDefault="004F652B" w:rsidP="004F652B">
      <w:pPr>
        <w:pStyle w:val="Text1"/>
        <w:pBdr>
          <w:top w:val="single" w:sz="4" w:space="1" w:color="auto"/>
          <w:left w:val="single" w:sz="4" w:space="4" w:color="auto"/>
          <w:bottom w:val="single" w:sz="4" w:space="1" w:color="auto"/>
          <w:right w:val="single" w:sz="4" w:space="4" w:color="auto"/>
        </w:pBdr>
        <w:ind w:left="1436" w:hanging="585"/>
        <w:rPr>
          <w:noProof/>
        </w:rPr>
      </w:pPr>
      <w:r>
        <w:rPr>
          <w:noProof/>
        </w:rPr>
        <w:t>-</w:t>
      </w:r>
      <w:r>
        <w:rPr>
          <w:noProof/>
        </w:rPr>
        <w:tab/>
      </w:r>
      <w:r w:rsidRPr="00922145">
        <w:rPr>
          <w:noProof/>
        </w:rPr>
        <w:t>Finally, the European Ombudsman provides a further layer of control and accountability at ENISA.</w:t>
      </w:r>
    </w:p>
    <w:p w14:paraId="1460C7BB" w14:textId="77777777" w:rsidR="004F652B" w:rsidRDefault="004F652B" w:rsidP="004F652B">
      <w:pPr>
        <w:pStyle w:val="Text1"/>
        <w:pBdr>
          <w:top w:val="single" w:sz="4" w:space="1" w:color="auto"/>
          <w:left w:val="single" w:sz="4" w:space="4" w:color="auto"/>
          <w:bottom w:val="single" w:sz="4" w:space="1" w:color="auto"/>
          <w:right w:val="single" w:sz="4" w:space="4" w:color="auto"/>
        </w:pBdr>
        <w:ind w:left="851"/>
        <w:rPr>
          <w:noProof/>
          <w:color w:val="000000" w:themeColor="text1"/>
        </w:rPr>
      </w:pPr>
      <w:r w:rsidRPr="008D3AE7">
        <w:rPr>
          <w:noProof/>
          <w:color w:val="000000" w:themeColor="text1"/>
        </w:rPr>
        <w:t>Based on the evaluation of the Agency and the Impact Assessment that was conducted presenting the proposal for CSA2 Regulation, it was determined that it is of utmost importance to ensure adequate financial resources in order for ENISA to fulfil the tasks entrusted by the new mandate. An important novelty for the Agency revised mandate will be the introduction of fees mechanism that is envisaged to finance the costs for the maintenance of European cybersecurity certification schemes, adopted under the ECCF.</w:t>
      </w:r>
      <w:r w:rsidRPr="00922145">
        <w:rPr>
          <w:noProof/>
        </w:rPr>
        <w:t xml:space="preserve"> </w:t>
      </w:r>
      <w:r w:rsidRPr="008D3AE7">
        <w:rPr>
          <w:noProof/>
          <w:color w:val="000000" w:themeColor="text1"/>
        </w:rPr>
        <w:t xml:space="preserve">The revised ECCF will formalise the maintenance procedure. The maintenance activity will be led by ENISA and partially financed by fees to cater for its scalable nature (more schemes require more personnel to maintain). </w:t>
      </w:r>
      <w:r w:rsidRPr="77C69157">
        <w:rPr>
          <w:noProof/>
          <w:color w:val="000000" w:themeColor="text1"/>
        </w:rPr>
        <w:t xml:space="preserve">The Agency will also be equipped with the ability to deliver testing tools to support the implementation of conformity assessment procedures both under the ECCF and other relevant EU cyber legislation. </w:t>
      </w:r>
      <w:r w:rsidRPr="008D3AE7">
        <w:rPr>
          <w:noProof/>
          <w:color w:val="000000" w:themeColor="text1"/>
        </w:rPr>
        <w:t>The modalities on the fees will be arranged in an implementing act, adopted by the Commission. Additionally, the revision is envisaging developing and maintaining European individual attestation schemes and issuing decisions on authorising providers to deliver European individual cybersecurity skills attestations</w:t>
      </w:r>
      <w:r>
        <w:rPr>
          <w:noProof/>
          <w:color w:val="000000" w:themeColor="text1"/>
        </w:rPr>
        <w:t>.</w:t>
      </w:r>
      <w:r w:rsidRPr="77C69157">
        <w:rPr>
          <w:noProof/>
          <w:color w:val="000000" w:themeColor="text1"/>
        </w:rPr>
        <w:t xml:space="preserve"> </w:t>
      </w:r>
    </w:p>
    <w:p w14:paraId="5FDAFDE4" w14:textId="77777777" w:rsidR="004F652B" w:rsidRDefault="004F652B" w:rsidP="004F652B">
      <w:pPr>
        <w:pStyle w:val="ManualHeading3"/>
        <w:rPr>
          <w:bCs/>
          <w:noProof/>
          <w:szCs w:val="24"/>
        </w:rPr>
      </w:pPr>
      <w:bookmarkStart w:id="116" w:name="_Toc514938047"/>
      <w:bookmarkStart w:id="117" w:name="_Toc520485046"/>
      <w:bookmarkStart w:id="118" w:name="_Toc160804588"/>
      <w:bookmarkStart w:id="119" w:name="_Toc167220280"/>
      <w:bookmarkStart w:id="120" w:name="_Toc177549013"/>
      <w:r w:rsidRPr="0021790A">
        <w:rPr>
          <w:noProof/>
        </w:rPr>
        <w:t>2.2.2.</w:t>
      </w:r>
      <w:r w:rsidRPr="0021790A">
        <w:rPr>
          <w:noProof/>
        </w:rPr>
        <w:tab/>
      </w:r>
      <w:r>
        <w:rPr>
          <w:noProof/>
        </w:rPr>
        <w:t>Information concerning the risks identified and the internal control system(s) set up to mitigate them</w:t>
      </w:r>
      <w:bookmarkEnd w:id="116"/>
      <w:bookmarkEnd w:id="117"/>
      <w:bookmarkEnd w:id="118"/>
      <w:bookmarkEnd w:id="119"/>
      <w:bookmarkEnd w:id="120"/>
    </w:p>
    <w:p w14:paraId="6F4AED11" w14:textId="4953836E" w:rsidR="004F652B" w:rsidRPr="00EB75C2" w:rsidRDefault="004F652B" w:rsidP="004F652B">
      <w:pPr>
        <w:pStyle w:val="Text1"/>
        <w:pBdr>
          <w:top w:val="single" w:sz="4" w:space="1" w:color="auto"/>
          <w:left w:val="single" w:sz="4" w:space="4" w:color="auto"/>
          <w:bottom w:val="single" w:sz="4" w:space="1" w:color="auto"/>
          <w:right w:val="single" w:sz="4" w:space="4" w:color="auto"/>
        </w:pBdr>
        <w:rPr>
          <w:noProof/>
        </w:rPr>
      </w:pPr>
      <w:r w:rsidRPr="00EB75C2">
        <w:rPr>
          <w:noProof/>
        </w:rPr>
        <w:t xml:space="preserve">The proposal for CSA2 as such aims at mitigating identified risks within ENISA mandate and the ECCF framework, including </w:t>
      </w:r>
      <w:r w:rsidR="001F09FB" w:rsidRPr="00B70297">
        <w:rPr>
          <w:noProof/>
        </w:rPr>
        <w:t>ICT supply chain security framework and</w:t>
      </w:r>
      <w:r w:rsidRPr="00EB75C2">
        <w:rPr>
          <w:noProof/>
        </w:rPr>
        <w:t xml:space="preserve"> simplification provisions. More specifically, ENISA is an European Union agency that already exists and in the revision, the mandate is further delineated, strengthening those areas where the Agency has shown clear added value and adding those new areas where support is needed in view of the new policy priorities and instruments, such as simplification through the integration of a Single Entry Point for reporting; support for a common European situational awareness picture and operational cooperation, reinforced and streamlined European Cybersecurity Certification Framework.  </w:t>
      </w:r>
    </w:p>
    <w:p w14:paraId="28758BD4" w14:textId="77777777" w:rsidR="004F652B" w:rsidRPr="00EB75C2" w:rsidRDefault="004F652B" w:rsidP="004F652B">
      <w:pPr>
        <w:pStyle w:val="Text1"/>
        <w:pBdr>
          <w:top w:val="single" w:sz="4" w:space="1" w:color="auto"/>
          <w:left w:val="single" w:sz="4" w:space="4" w:color="auto"/>
          <w:bottom w:val="single" w:sz="4" w:space="1" w:color="auto"/>
          <w:right w:val="single" w:sz="4" w:space="4" w:color="auto"/>
        </w:pBdr>
        <w:rPr>
          <w:noProof/>
        </w:rPr>
      </w:pPr>
      <w:r w:rsidRPr="00EB75C2">
        <w:rPr>
          <w:noProof/>
        </w:rPr>
        <w:t xml:space="preserve">Another identified risk, and addressed in the proposal, is the number of contribution agreements that the Commission and the Agency have concluded in the recent years. Due to the current geopolitical situation and rapidly evolving cybersecurity threat landscape, the Commission has concluded contribution agreements with the Agency for more than EUR 75 million in total since 2019. Considering that the tasks entrusted to ENISA in those agreements have as of now permanent nature, the unstable flow of budget through contribution agreements poses a risk for the long-term delivery of the outputs of ENISA’s activities. </w:t>
      </w:r>
    </w:p>
    <w:p w14:paraId="40821829" w14:textId="77777777" w:rsidR="004F652B" w:rsidRPr="00EB75C2" w:rsidRDefault="004F652B" w:rsidP="004F652B">
      <w:pPr>
        <w:pStyle w:val="Text1"/>
        <w:pBdr>
          <w:top w:val="single" w:sz="4" w:space="1" w:color="auto"/>
          <w:left w:val="single" w:sz="4" w:space="4" w:color="auto"/>
          <w:bottom w:val="single" w:sz="4" w:space="1" w:color="auto"/>
          <w:right w:val="single" w:sz="4" w:space="4" w:color="auto"/>
        </w:pBdr>
        <w:rPr>
          <w:noProof/>
        </w:rPr>
      </w:pPr>
      <w:r w:rsidRPr="00EB75C2">
        <w:rPr>
          <w:noProof/>
        </w:rPr>
        <w:t>Therefore, the current proposal is among others, reinforcing the Agency’s resource capacity, redefining its tasks and resulting in efficiency gains. In particular, the possibility to collect fees will in long term support a sustainable financial circuit of the Agency through refinancing the costs related to the maintenance of European certification schemes, adopted under ECCF</w:t>
      </w:r>
      <w:r>
        <w:rPr>
          <w:noProof/>
        </w:rPr>
        <w:t>, the testing of tools</w:t>
      </w:r>
      <w:r w:rsidRPr="00EB75C2">
        <w:rPr>
          <w:noProof/>
        </w:rPr>
        <w:t xml:space="preserve"> and to the development, maintenance and implementation of </w:t>
      </w:r>
      <w:r w:rsidRPr="00051159">
        <w:rPr>
          <w:noProof/>
        </w:rPr>
        <w:t xml:space="preserve">European individual cybersecurity skills attestation schemes. In the long run, it is estimated to achieve savings for the EU budget by reaching EUR </w:t>
      </w:r>
      <w:r w:rsidR="00E34F0F">
        <w:rPr>
          <w:noProof/>
        </w:rPr>
        <w:t>18</w:t>
      </w:r>
      <w:r w:rsidRPr="00051159">
        <w:rPr>
          <w:noProof/>
        </w:rPr>
        <w:t>.</w:t>
      </w:r>
      <w:r w:rsidR="00E34F0F">
        <w:rPr>
          <w:noProof/>
        </w:rPr>
        <w:t>5</w:t>
      </w:r>
      <w:r w:rsidRPr="00051159">
        <w:rPr>
          <w:noProof/>
        </w:rPr>
        <w:t xml:space="preserve"> million per year. The Commission</w:t>
      </w:r>
      <w:r w:rsidRPr="00EB75C2">
        <w:rPr>
          <w:noProof/>
        </w:rPr>
        <w:t xml:space="preserve"> will be in the lead for the modalities of the fees and their composition through the adoption of implementing acts. </w:t>
      </w:r>
    </w:p>
    <w:p w14:paraId="59E5B60F" w14:textId="77777777" w:rsidR="004F652B" w:rsidRPr="00EB75C2" w:rsidRDefault="004F652B" w:rsidP="004F652B">
      <w:pPr>
        <w:pStyle w:val="Text1"/>
        <w:pBdr>
          <w:top w:val="single" w:sz="4" w:space="1" w:color="auto"/>
          <w:left w:val="single" w:sz="4" w:space="4" w:color="auto"/>
          <w:bottom w:val="single" w:sz="4" w:space="1" w:color="auto"/>
          <w:right w:val="single" w:sz="4" w:space="4" w:color="auto"/>
        </w:pBdr>
        <w:rPr>
          <w:noProof/>
        </w:rPr>
      </w:pPr>
      <w:r w:rsidRPr="00F841AC">
        <w:rPr>
          <w:noProof/>
        </w:rPr>
        <w:t>The increase of operational tasks for the Agency does not represent a real risk. These tasks would be complementing the action of Member States and supporting them, upon request. They will also be limited to predefined services, by analogue of the Cybersecurity Act (EU) 2019/881</w:t>
      </w:r>
      <w:r w:rsidRPr="00897171">
        <w:rPr>
          <w:rStyle w:val="FootnoteReference"/>
          <w:noProof/>
        </w:rPr>
        <w:footnoteReference w:id="96"/>
      </w:r>
      <w:r w:rsidRPr="00EB75C2">
        <w:rPr>
          <w:noProof/>
        </w:rPr>
        <w:t xml:space="preserve">. The new elements/tasks in the proposal will bring the added value for the European stakeholders that would benefit from ENISA being an information hub, contributing to information sharing and providing alert notification to their constituents.  </w:t>
      </w:r>
    </w:p>
    <w:p w14:paraId="5C863D22" w14:textId="77777777" w:rsidR="004F652B" w:rsidRPr="00EB75C2" w:rsidRDefault="004F652B" w:rsidP="004F652B">
      <w:pPr>
        <w:pStyle w:val="Text1"/>
        <w:pBdr>
          <w:top w:val="single" w:sz="4" w:space="1" w:color="auto"/>
          <w:left w:val="single" w:sz="4" w:space="4" w:color="auto"/>
          <w:bottom w:val="single" w:sz="4" w:space="1" w:color="auto"/>
          <w:right w:val="single" w:sz="4" w:space="4" w:color="auto"/>
        </w:pBdr>
        <w:rPr>
          <w:noProof/>
        </w:rPr>
      </w:pPr>
      <w:r w:rsidRPr="00EB75C2">
        <w:rPr>
          <w:noProof/>
        </w:rPr>
        <w:t>Furthermore, the proposed model of the Agency is aligned with the Common Approach of the Commission towards decentralised agencies, ensuring that there is a sufficient control to foresee that ENISA works towards its objectives. The operational and financial risks of the proposed changes seem to be limited, as the provisions are composed to mitigate current risks. Nevertheless, certain negative aspects might be expected in the long term, in relation to:</w:t>
      </w:r>
    </w:p>
    <w:p w14:paraId="24E41978" w14:textId="77777777" w:rsidR="004F652B" w:rsidRPr="00EB75C2" w:rsidRDefault="004F652B" w:rsidP="004F652B">
      <w:pPr>
        <w:pStyle w:val="Text1"/>
        <w:pBdr>
          <w:top w:val="single" w:sz="4" w:space="1" w:color="auto"/>
          <w:left w:val="single" w:sz="4" w:space="4" w:color="auto"/>
          <w:bottom w:val="single" w:sz="4" w:space="1" w:color="auto"/>
          <w:right w:val="single" w:sz="4" w:space="4" w:color="auto"/>
        </w:pBdr>
        <w:rPr>
          <w:noProof/>
        </w:rPr>
      </w:pPr>
      <w:r w:rsidRPr="00EB75C2">
        <w:rPr>
          <w:noProof/>
        </w:rPr>
        <w:t>- strained operational resources due to increasing operational needs from Member States and constantly evolving cyber risks and threats in the area of cybersecurity.</w:t>
      </w:r>
    </w:p>
    <w:p w14:paraId="5DB1DB72" w14:textId="77777777" w:rsidR="004F652B" w:rsidRPr="00EB75C2" w:rsidRDefault="004F652B" w:rsidP="004F652B">
      <w:pPr>
        <w:pStyle w:val="Text1"/>
        <w:pBdr>
          <w:top w:val="single" w:sz="4" w:space="1" w:color="auto"/>
          <w:left w:val="single" w:sz="4" w:space="4" w:color="auto"/>
          <w:bottom w:val="single" w:sz="4" w:space="1" w:color="auto"/>
          <w:right w:val="single" w:sz="4" w:space="4" w:color="auto"/>
        </w:pBdr>
        <w:rPr>
          <w:noProof/>
        </w:rPr>
      </w:pPr>
      <w:r w:rsidRPr="00EB75C2">
        <w:rPr>
          <w:noProof/>
        </w:rPr>
        <w:t>- rapidly increased budget with expectations for fast implementation.</w:t>
      </w:r>
    </w:p>
    <w:p w14:paraId="0B3C8FDD" w14:textId="77777777" w:rsidR="004F652B" w:rsidRPr="00EB75C2" w:rsidRDefault="004F652B" w:rsidP="004F652B">
      <w:pPr>
        <w:pStyle w:val="Text1"/>
        <w:pBdr>
          <w:top w:val="single" w:sz="4" w:space="1" w:color="auto"/>
          <w:left w:val="single" w:sz="4" w:space="4" w:color="auto"/>
          <w:bottom w:val="single" w:sz="4" w:space="1" w:color="auto"/>
          <w:right w:val="single" w:sz="4" w:space="4" w:color="auto"/>
        </w:pBdr>
        <w:rPr>
          <w:noProof/>
        </w:rPr>
      </w:pPr>
      <w:r w:rsidRPr="00EB75C2">
        <w:rPr>
          <w:noProof/>
        </w:rPr>
        <w:t>- lack of adequate levels of financial and human resources to match operational  needs.</w:t>
      </w:r>
    </w:p>
    <w:p w14:paraId="2D67D6E5" w14:textId="77777777" w:rsidR="004F652B" w:rsidRDefault="004F652B" w:rsidP="004F652B">
      <w:pPr>
        <w:pStyle w:val="Text1"/>
        <w:pBdr>
          <w:top w:val="single" w:sz="4" w:space="1" w:color="auto"/>
          <w:left w:val="single" w:sz="4" w:space="4" w:color="auto"/>
          <w:bottom w:val="single" w:sz="4" w:space="1" w:color="auto"/>
          <w:right w:val="single" w:sz="4" w:space="4" w:color="auto"/>
        </w:pBdr>
        <w:rPr>
          <w:noProof/>
        </w:rPr>
      </w:pPr>
    </w:p>
    <w:p w14:paraId="03ABDF38" w14:textId="77777777" w:rsidR="004F652B" w:rsidRDefault="004F652B" w:rsidP="004F652B">
      <w:pPr>
        <w:pStyle w:val="ManualHeading3"/>
        <w:rPr>
          <w:noProof/>
        </w:rPr>
      </w:pPr>
      <w:bookmarkStart w:id="121" w:name="_Toc514938048"/>
      <w:bookmarkStart w:id="122" w:name="_Toc520485047"/>
      <w:bookmarkStart w:id="123" w:name="_Toc160804589"/>
      <w:bookmarkStart w:id="124" w:name="_Toc167220281"/>
      <w:bookmarkStart w:id="125" w:name="_Toc177549014"/>
      <w:r w:rsidRPr="0021790A">
        <w:rPr>
          <w:noProof/>
        </w:rPr>
        <w:t>2.2.3.</w:t>
      </w:r>
      <w:r w:rsidRPr="0021790A">
        <w:rPr>
          <w:noProof/>
        </w:rPr>
        <w:tab/>
      </w:r>
      <w:r>
        <w:rPr>
          <w:noProof/>
        </w:rPr>
        <w:t>Estimation and justification of the cost-effectiveness of the controls (ratio between the control costs  and the value of the related funds managed), and assessment of the expected levels of risk of error (at payment &amp; at closure)</w:t>
      </w:r>
      <w:bookmarkEnd w:id="121"/>
      <w:bookmarkEnd w:id="122"/>
      <w:bookmarkEnd w:id="123"/>
      <w:bookmarkEnd w:id="124"/>
      <w:bookmarkEnd w:id="125"/>
      <w:r>
        <w:rPr>
          <w:noProof/>
        </w:rPr>
        <w:t xml:space="preserve"> </w:t>
      </w:r>
    </w:p>
    <w:p w14:paraId="739F1A84" w14:textId="77777777" w:rsidR="004F652B" w:rsidRPr="00922145" w:rsidRDefault="004F652B" w:rsidP="004F652B">
      <w:pPr>
        <w:pStyle w:val="Text1"/>
        <w:pBdr>
          <w:top w:val="single" w:sz="4" w:space="1" w:color="auto"/>
          <w:left w:val="single" w:sz="4" w:space="4" w:color="auto"/>
          <w:bottom w:val="single" w:sz="4" w:space="1" w:color="auto"/>
          <w:right w:val="single" w:sz="4" w:space="4" w:color="auto"/>
        </w:pBdr>
        <w:ind w:left="709"/>
        <w:rPr>
          <w:noProof/>
        </w:rPr>
      </w:pPr>
      <w:r w:rsidRPr="00922145">
        <w:rPr>
          <w:noProof/>
        </w:rPr>
        <w:t>The cost incurred by DG CNECT for the monitoring and the supervision of entrusted entities, including ENISA, is approximately EUR 5.25 million, as reported in the Annual Activity Report for 2024</w:t>
      </w:r>
      <w:r w:rsidRPr="00922145">
        <w:rPr>
          <w:rStyle w:val="FootnoteReference"/>
          <w:noProof/>
        </w:rPr>
        <w:footnoteReference w:id="97"/>
      </w:r>
      <w:r w:rsidRPr="00922145">
        <w:rPr>
          <w:noProof/>
        </w:rPr>
        <w:t>. This amount includes primarily personnel costs and represents 0.50% of the operational payments made to these entities during 2024. The overall rate of the cost of control slightly increased to 0.50% in 2024 from 0.46% in 2023, but remains relatively stable compared to previous years.</w:t>
      </w:r>
    </w:p>
    <w:p w14:paraId="39C93C7B" w14:textId="77777777" w:rsidR="004F652B" w:rsidRPr="00051159" w:rsidRDefault="004F652B" w:rsidP="004F652B">
      <w:pPr>
        <w:pStyle w:val="Text1"/>
        <w:pBdr>
          <w:top w:val="single" w:sz="4" w:space="1" w:color="auto"/>
          <w:left w:val="single" w:sz="4" w:space="4" w:color="auto"/>
          <w:bottom w:val="single" w:sz="4" w:space="1" w:color="auto"/>
          <w:right w:val="single" w:sz="4" w:space="4" w:color="auto"/>
        </w:pBdr>
        <w:ind w:left="709"/>
        <w:rPr>
          <w:noProof/>
        </w:rPr>
      </w:pPr>
      <w:r w:rsidRPr="00922145">
        <w:rPr>
          <w:noProof/>
        </w:rPr>
        <w:t xml:space="preserve">More specifically, what concerns ENISA, the costs of control in 2024 amounts to EUR 0.32 million or 0.70% cost of control in 2024, compared to 0.69% in 2023, and 1.22% in 2022. The analysis shows that higher costs of control are mostly associated to the preparation and monitoring of contribution agreements between the Commission and the Agency (human resources cost mainly), which is expected to be significantly reduced in the new mandate and as a result higher levels of efficiencies are expected. In terms of overall costs for DG CNECT compared to the other entrusted </w:t>
      </w:r>
      <w:r w:rsidRPr="00051159">
        <w:rPr>
          <w:noProof/>
        </w:rPr>
        <w:t>entities, ENISA is in the middle, compared to 11 other entities.</w:t>
      </w:r>
    </w:p>
    <w:p w14:paraId="7821FE57" w14:textId="08552EF5" w:rsidR="004F652B" w:rsidRDefault="004F652B" w:rsidP="004F652B">
      <w:pPr>
        <w:pStyle w:val="Text1"/>
        <w:pBdr>
          <w:top w:val="single" w:sz="4" w:space="1" w:color="auto"/>
          <w:left w:val="single" w:sz="4" w:space="4" w:color="auto"/>
          <w:bottom w:val="single" w:sz="4" w:space="1" w:color="auto"/>
          <w:right w:val="single" w:sz="4" w:space="4" w:color="auto"/>
        </w:pBdr>
        <w:ind w:left="709"/>
        <w:rPr>
          <w:noProof/>
        </w:rPr>
      </w:pPr>
      <w:r w:rsidRPr="00051159">
        <w:rPr>
          <w:noProof/>
        </w:rPr>
        <w:t>The proposal for CSA2 envisages increase in DG CNECT personnel with 50 FTEs, of which 1 additional FTE will be specifically assigned for the tasks in relation to DG CNECT being a partner DG to the Agency. This person will be supporting the preparation of Commission opinion on the ENISA single programming document and monitor its implementation; support the supervision of the preparation of the Agency’s budget and monitor its implementation. Assist the Agency in developing its activities in line with the Union policies including by participating in relevant meetings.  The</w:t>
      </w:r>
      <w:r w:rsidRPr="00922145">
        <w:rPr>
          <w:noProof/>
        </w:rPr>
        <w:t xml:space="preserve"> action is justified by the </w:t>
      </w:r>
      <w:r>
        <w:rPr>
          <w:noProof/>
        </w:rPr>
        <w:t>increased</w:t>
      </w:r>
      <w:r w:rsidRPr="00922145">
        <w:rPr>
          <w:noProof/>
        </w:rPr>
        <w:t xml:space="preserve"> monitoring tasks for DG CNECT, which among others envisage casting positive vote of the Commission on issues related to budget and HR.</w:t>
      </w:r>
      <w:r>
        <w:rPr>
          <w:noProof/>
        </w:rPr>
        <w:t xml:space="preserve"> </w:t>
      </w:r>
      <w:r w:rsidR="001F04D8">
        <w:rPr>
          <w:noProof/>
        </w:rPr>
        <w:t xml:space="preserve">It should be noted that the implementation of the provisions in relation to the designation of countries posing strategic cybersecurity risks for specific key assets high-risk suppliers will be fully Commission driven process. The estimated personnel needed for the risk assessments in connection to the above are </w:t>
      </w:r>
      <w:r w:rsidR="001F04D8" w:rsidRPr="00A17D04">
        <w:rPr>
          <w:noProof/>
        </w:rPr>
        <w:t>25 FTEs. The action is justified by the volume of the work the implementation of the policy framework calls for, more specifically the support to the EU’s coordinates risk assessments; economic analysis for each ICT product/service; the preparation of respective implementing acts and following the implementation of the framework; performing ownership and control assessments. The cost of controls for the Commission of implementing the supply chain framework is expected to be specifically impacted by the number of ownership and control assessments (OCA) the Commission will be performing. The results of this task, however, will contribute greatly to savings for the Member States when supervising the implementation of mitigating measures and obligations imposed on the NIS2 entities by the framework. Member States will be able to leverage the results of the OCA assessments directly, rather each one individually to spend resources on the same assessments needs.</w:t>
      </w:r>
      <w:r>
        <w:rPr>
          <w:noProof/>
        </w:rPr>
        <w:t xml:space="preserve"> </w:t>
      </w:r>
      <w:r w:rsidRPr="00922145">
        <w:rPr>
          <w:noProof/>
        </w:rPr>
        <w:t xml:space="preserve">The reinforcement of the </w:t>
      </w:r>
      <w:r>
        <w:rPr>
          <w:noProof/>
        </w:rPr>
        <w:t>European Cybersecurity Certification Framework, standardisation and implementation of related activities, NIS2 Directive implementation(including</w:t>
      </w:r>
      <w:r w:rsidRPr="00922145">
        <w:rPr>
          <w:noProof/>
        </w:rPr>
        <w:t xml:space="preserve"> respective </w:t>
      </w:r>
      <w:r w:rsidRPr="00051159">
        <w:rPr>
          <w:noProof/>
        </w:rPr>
        <w:t>implementation needs, fees implementing acts and support the maintenance of the certification schemes and skills attestation schemes) has been estimated at 19 FTEs, while the operational cooperation and situational awareness policies require additional 5 FTEs.</w:t>
      </w:r>
      <w:r w:rsidRPr="00922145">
        <w:rPr>
          <w:noProof/>
        </w:rPr>
        <w:t xml:space="preserve"> Full description of the tasks in section 3.2.4</w:t>
      </w:r>
      <w:r>
        <w:rPr>
          <w:noProof/>
        </w:rPr>
        <w:t>.</w:t>
      </w:r>
    </w:p>
    <w:p w14:paraId="4B2750A2" w14:textId="77777777" w:rsidR="004F652B" w:rsidRPr="00922145" w:rsidRDefault="004F652B" w:rsidP="004F652B">
      <w:pPr>
        <w:pStyle w:val="Text1"/>
        <w:pBdr>
          <w:top w:val="single" w:sz="4" w:space="1" w:color="auto"/>
          <w:left w:val="single" w:sz="4" w:space="4" w:color="auto"/>
          <w:bottom w:val="single" w:sz="4" w:space="1" w:color="auto"/>
          <w:right w:val="single" w:sz="4" w:space="4" w:color="auto"/>
        </w:pBdr>
        <w:ind w:left="709"/>
        <w:rPr>
          <w:noProof/>
        </w:rPr>
      </w:pPr>
      <w:r w:rsidRPr="00922145">
        <w:rPr>
          <w:noProof/>
        </w:rPr>
        <w:t>ENISA, in its 2023 consolidated annual activity report</w:t>
      </w:r>
      <w:r w:rsidRPr="00922145">
        <w:rPr>
          <w:rStyle w:val="FootnoteReference"/>
          <w:noProof/>
        </w:rPr>
        <w:footnoteReference w:id="98"/>
      </w:r>
      <w:r w:rsidRPr="00922145">
        <w:rPr>
          <w:noProof/>
        </w:rPr>
        <w:t xml:space="preserve">, concluded positively on the assessment of their internal control systems and provided a clean declaration of assurance. In its annual report on EU agencies for the financial year 2023, the ECA issued a clean audit opinion on the accounts and a qualified opinion on the legality and regularity of payments underlying the accounts (also referred in 2.2.2). DG CNECT has taken note of the report, however concluded it does not have an impact on the effectiveness of CNECT’s supervision. ENISA also reports regularly on the measures taken to prevent the reoccurrence of the findings and as for now, there are no indications that the error rate will worsen/be above 2% in the upcoming years. </w:t>
      </w:r>
    </w:p>
    <w:p w14:paraId="3E4D2899" w14:textId="77777777" w:rsidR="004F652B" w:rsidRPr="00922145" w:rsidRDefault="004F652B" w:rsidP="004F652B">
      <w:pPr>
        <w:pStyle w:val="Text1"/>
        <w:pBdr>
          <w:top w:val="single" w:sz="4" w:space="1" w:color="auto"/>
          <w:left w:val="single" w:sz="4" w:space="4" w:color="auto"/>
          <w:bottom w:val="single" w:sz="4" w:space="1" w:color="auto"/>
          <w:right w:val="single" w:sz="4" w:space="4" w:color="auto"/>
        </w:pBdr>
        <w:ind w:left="709"/>
        <w:rPr>
          <w:noProof/>
        </w:rPr>
      </w:pPr>
      <w:r w:rsidRPr="00922145">
        <w:rPr>
          <w:noProof/>
        </w:rPr>
        <w:t>Moreover, Article 80 (2) of ENISA’s Financial rules</w:t>
      </w:r>
      <w:r w:rsidRPr="00922145">
        <w:rPr>
          <w:rStyle w:val="FootnoteReference"/>
          <w:noProof/>
        </w:rPr>
        <w:footnoteReference w:id="99"/>
      </w:r>
      <w:r w:rsidRPr="00922145">
        <w:rPr>
          <w:noProof/>
        </w:rPr>
        <w:t xml:space="preserve"> provides for the possibility for the agency to share an internal audit capability with other Union bodies functioning in the same policy area if the internal audit capability of a single Union body is not cost-effective.</w:t>
      </w:r>
    </w:p>
    <w:p w14:paraId="311B55F1" w14:textId="77777777" w:rsidR="004F652B" w:rsidRDefault="004F652B" w:rsidP="004F652B">
      <w:pPr>
        <w:pStyle w:val="Text1"/>
        <w:pBdr>
          <w:top w:val="single" w:sz="4" w:space="1" w:color="auto"/>
          <w:left w:val="single" w:sz="4" w:space="4" w:color="auto"/>
          <w:bottom w:val="single" w:sz="4" w:space="1" w:color="auto"/>
          <w:right w:val="single" w:sz="4" w:space="4" w:color="auto"/>
        </w:pBdr>
        <w:ind w:left="709"/>
        <w:rPr>
          <w:noProof/>
        </w:rPr>
      </w:pPr>
      <w:r w:rsidRPr="00922145">
        <w:rPr>
          <w:noProof/>
        </w:rPr>
        <w:t xml:space="preserve">In conclusion, considering the proposed increased size of the Agency by more than 100%, compared to the relatively low enhancement of the control costs, the analysis shows a satisfactory cost-effectiveness ratio. Having regard to all the available data, there is no indication that the expected error might be above 2%. </w:t>
      </w:r>
    </w:p>
    <w:p w14:paraId="00BCC8A9" w14:textId="77777777" w:rsidR="004F652B" w:rsidRDefault="004F652B" w:rsidP="004F652B">
      <w:pPr>
        <w:pStyle w:val="ManualHeading2"/>
        <w:rPr>
          <w:bCs/>
          <w:noProof/>
          <w:szCs w:val="24"/>
        </w:rPr>
      </w:pPr>
      <w:bookmarkStart w:id="126" w:name="_Toc514938049"/>
      <w:bookmarkStart w:id="127" w:name="_Toc520485048"/>
      <w:bookmarkStart w:id="128" w:name="_Toc160804590"/>
      <w:bookmarkStart w:id="129" w:name="_Toc167220282"/>
      <w:bookmarkStart w:id="130" w:name="_Toc177549015"/>
      <w:r w:rsidRPr="0021790A">
        <w:rPr>
          <w:noProof/>
        </w:rPr>
        <w:t>2.3.</w:t>
      </w:r>
      <w:r w:rsidRPr="0021790A">
        <w:rPr>
          <w:noProof/>
        </w:rPr>
        <w:tab/>
      </w:r>
      <w:r>
        <w:rPr>
          <w:noProof/>
        </w:rPr>
        <w:t>Measures to prevent fraud and irregularities</w:t>
      </w:r>
      <w:bookmarkEnd w:id="126"/>
      <w:bookmarkEnd w:id="127"/>
      <w:bookmarkEnd w:id="128"/>
      <w:bookmarkEnd w:id="129"/>
      <w:bookmarkEnd w:id="130"/>
      <w:r>
        <w:rPr>
          <w:noProof/>
        </w:rPr>
        <w:t xml:space="preserve"> </w:t>
      </w:r>
    </w:p>
    <w:p w14:paraId="656AA128" w14:textId="77777777" w:rsidR="004F652B" w:rsidRPr="00EB75C2" w:rsidRDefault="004F652B" w:rsidP="004F652B">
      <w:pPr>
        <w:pStyle w:val="Text1"/>
        <w:pBdr>
          <w:top w:val="single" w:sz="4" w:space="1" w:color="auto"/>
          <w:left w:val="single" w:sz="4" w:space="4" w:color="auto"/>
          <w:bottom w:val="single" w:sz="4" w:space="1" w:color="auto"/>
          <w:right w:val="single" w:sz="4" w:space="4" w:color="auto"/>
        </w:pBdr>
        <w:rPr>
          <w:noProof/>
        </w:rPr>
      </w:pPr>
      <w:r w:rsidRPr="00EB75C2">
        <w:rPr>
          <w:noProof/>
        </w:rPr>
        <w:t>The European Union Agency for Cybersecurity will apply the highest standards applicable to preventing fraud and irregularities.</w:t>
      </w:r>
    </w:p>
    <w:p w14:paraId="46B56A5A" w14:textId="77777777" w:rsidR="004F652B" w:rsidRPr="00EB75C2" w:rsidRDefault="004F652B" w:rsidP="004F652B">
      <w:pPr>
        <w:pStyle w:val="Text1"/>
        <w:pBdr>
          <w:top w:val="single" w:sz="4" w:space="1" w:color="auto"/>
          <w:left w:val="single" w:sz="4" w:space="4" w:color="auto"/>
          <w:bottom w:val="single" w:sz="4" w:space="1" w:color="auto"/>
          <w:right w:val="single" w:sz="4" w:space="4" w:color="auto"/>
        </w:pBdr>
        <w:rPr>
          <w:noProof/>
        </w:rPr>
      </w:pPr>
      <w:r w:rsidRPr="00EB75C2">
        <w:rPr>
          <w:noProof/>
        </w:rPr>
        <w:t>Payments for any service or studies requested are checked by the agency’s staff prior to payment, taking into account any contractual obligations, economic principles and good financial or management practice. Anti-fraud provisions (supervision, reporting requirements, etc.) will be included in all agreements and contracts concluded between the agency and recipients of any payments.</w:t>
      </w:r>
    </w:p>
    <w:p w14:paraId="38BDD670" w14:textId="77777777" w:rsidR="004F652B" w:rsidRPr="006C21A9" w:rsidRDefault="004F652B" w:rsidP="004F652B">
      <w:pPr>
        <w:pStyle w:val="Text1"/>
        <w:pBdr>
          <w:top w:val="single" w:sz="4" w:space="1" w:color="auto"/>
          <w:left w:val="single" w:sz="4" w:space="4" w:color="auto"/>
          <w:bottom w:val="single" w:sz="4" w:space="1" w:color="auto"/>
          <w:right w:val="single" w:sz="4" w:space="4" w:color="auto"/>
        </w:pBdr>
        <w:rPr>
          <w:noProof/>
          <w:color w:val="000000" w:themeColor="text1"/>
        </w:rPr>
      </w:pPr>
      <w:r w:rsidRPr="00EB75C2">
        <w:rPr>
          <w:noProof/>
        </w:rPr>
        <w:t xml:space="preserve">In order to combat fraud, corruption and other unlawful activities, the provisions of Regulation (EU, Euratom) No 883/2013 of the European Parliament and of the Council shall apply without restriction. </w:t>
      </w:r>
    </w:p>
    <w:p w14:paraId="65D8550F" w14:textId="77777777" w:rsidR="00EC37C5" w:rsidRDefault="00EC37C5">
      <w:pPr>
        <w:spacing w:before="0" w:after="200" w:line="276" w:lineRule="auto"/>
        <w:jc w:val="left"/>
        <w:rPr>
          <w:caps/>
          <w:noProof/>
        </w:rPr>
      </w:pPr>
    </w:p>
    <w:p w14:paraId="37442081" w14:textId="77777777" w:rsidR="00EC37C5" w:rsidRDefault="00EC37C5" w:rsidP="00EC37C5">
      <w:pPr>
        <w:pStyle w:val="ManualHeading1"/>
        <w:rPr>
          <w:bCs/>
          <w:noProof/>
          <w:szCs w:val="24"/>
        </w:rPr>
      </w:pPr>
      <w:bookmarkStart w:id="131" w:name="_Toc514938050"/>
      <w:bookmarkStart w:id="132" w:name="_Toc520485049"/>
      <w:bookmarkStart w:id="133" w:name="_Toc160804591"/>
      <w:bookmarkStart w:id="134" w:name="_Toc167220283"/>
      <w:bookmarkStart w:id="135" w:name="_Toc177549016"/>
      <w:bookmarkStart w:id="136" w:name="_Toc514938051"/>
      <w:bookmarkStart w:id="137" w:name="_Toc520485050"/>
      <w:bookmarkStart w:id="138" w:name="_Toc160804592"/>
      <w:bookmarkStart w:id="139" w:name="_Toc167220284"/>
      <w:bookmarkStart w:id="140" w:name="_Toc177549017"/>
      <w:r w:rsidRPr="0021790A">
        <w:rPr>
          <w:noProof/>
        </w:rPr>
        <w:t>3.</w:t>
      </w:r>
      <w:r w:rsidRPr="0021790A">
        <w:rPr>
          <w:noProof/>
        </w:rPr>
        <w:tab/>
      </w:r>
      <w:r>
        <w:rPr>
          <w:noProof/>
        </w:rPr>
        <w:t>ESTIMATED FINANCIAL IMPACT OF THE PROPOSAL/INITIATIVE</w:t>
      </w:r>
      <w:bookmarkEnd w:id="131"/>
      <w:bookmarkEnd w:id="132"/>
      <w:bookmarkEnd w:id="133"/>
      <w:bookmarkEnd w:id="134"/>
      <w:bookmarkEnd w:id="135"/>
      <w:r>
        <w:rPr>
          <w:noProof/>
        </w:rPr>
        <w:t xml:space="preserve"> </w:t>
      </w:r>
    </w:p>
    <w:p w14:paraId="4B9FB899" w14:textId="77777777" w:rsidR="00EC37C5" w:rsidRDefault="00EC37C5" w:rsidP="00EC37C5">
      <w:pPr>
        <w:pStyle w:val="ManualHeading2"/>
        <w:rPr>
          <w:noProof/>
        </w:rPr>
      </w:pPr>
      <w:r w:rsidRPr="0021790A">
        <w:rPr>
          <w:noProof/>
        </w:rPr>
        <w:t>3.1.</w:t>
      </w:r>
      <w:r w:rsidRPr="0021790A">
        <w:rPr>
          <w:noProof/>
        </w:rPr>
        <w:tab/>
      </w:r>
      <w:r>
        <w:rPr>
          <w:noProof/>
        </w:rPr>
        <w:t>Heading(s) of the multiannual financial framework and expenditure budget line(s) affected</w:t>
      </w:r>
      <w:bookmarkEnd w:id="136"/>
      <w:bookmarkEnd w:id="137"/>
      <w:bookmarkEnd w:id="138"/>
      <w:bookmarkEnd w:id="139"/>
      <w:bookmarkEnd w:id="140"/>
      <w:r>
        <w:rPr>
          <w:noProof/>
        </w:rPr>
        <w:t xml:space="preserve"> </w:t>
      </w:r>
    </w:p>
    <w:p w14:paraId="4979A737" w14:textId="77777777" w:rsidR="00EC37C5" w:rsidRDefault="00EC37C5" w:rsidP="00EC37C5">
      <w:pPr>
        <w:pStyle w:val="ListBullet1"/>
        <w:rPr>
          <w:noProof/>
        </w:rPr>
      </w:pPr>
      <w:r>
        <w:rPr>
          <w:noProof/>
        </w:rPr>
        <w:t xml:space="preserve">Existing budget lines </w:t>
      </w:r>
    </w:p>
    <w:p w14:paraId="5B10B674" w14:textId="77777777" w:rsidR="00EC37C5" w:rsidRDefault="00EC37C5" w:rsidP="00EC37C5">
      <w:pPr>
        <w:pStyle w:val="Text1"/>
        <w:rPr>
          <w:i/>
          <w:noProof/>
        </w:rPr>
      </w:pPr>
      <w:r w:rsidRPr="009B753E">
        <w:rPr>
          <w:i/>
          <w:noProof/>
          <w:u w:val="single"/>
        </w:rPr>
        <w:t>In order</w:t>
      </w:r>
      <w:r w:rsidRPr="009B753E">
        <w:rPr>
          <w:i/>
          <w:noProof/>
        </w:rPr>
        <w:t xml:space="preserve"> of multiannual financial framework headings and budget lines.</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rsidR="00EC37C5" w14:paraId="0DC569DC" w14:textId="77777777">
        <w:trPr>
          <w:jc w:val="center"/>
        </w:trPr>
        <w:tc>
          <w:tcPr>
            <w:tcW w:w="1092" w:type="dxa"/>
            <w:vMerge w:val="restart"/>
            <w:vAlign w:val="center"/>
          </w:tcPr>
          <w:p w14:paraId="2B34794D" w14:textId="77777777" w:rsidR="00EC37C5" w:rsidRPr="003A769F" w:rsidRDefault="00EC37C5">
            <w:pPr>
              <w:spacing w:before="60" w:after="60"/>
              <w:jc w:val="center"/>
              <w:rPr>
                <w:noProof/>
                <w:lang w:val="en-IE"/>
              </w:rPr>
            </w:pPr>
            <w:r w:rsidRPr="003A769F">
              <w:rPr>
                <w:noProof/>
                <w:sz w:val="18"/>
                <w:lang w:val="en-IE"/>
              </w:rPr>
              <w:t>Heading of multiannual financial framework</w:t>
            </w:r>
          </w:p>
        </w:tc>
        <w:tc>
          <w:tcPr>
            <w:tcW w:w="4002" w:type="dxa"/>
            <w:vAlign w:val="center"/>
          </w:tcPr>
          <w:p w14:paraId="171E4DCD" w14:textId="77777777" w:rsidR="00EC37C5" w:rsidRDefault="00EC37C5">
            <w:pPr>
              <w:spacing w:before="60" w:after="60"/>
              <w:jc w:val="center"/>
              <w:rPr>
                <w:noProof/>
              </w:rPr>
            </w:pPr>
            <w:r>
              <w:rPr>
                <w:noProof/>
                <w:sz w:val="20"/>
              </w:rPr>
              <w:t>Budget line</w:t>
            </w:r>
          </w:p>
        </w:tc>
        <w:tc>
          <w:tcPr>
            <w:tcW w:w="1092" w:type="dxa"/>
            <w:vAlign w:val="center"/>
          </w:tcPr>
          <w:p w14:paraId="009B6840" w14:textId="77777777" w:rsidR="00EC37C5" w:rsidRDefault="00EC37C5">
            <w:pPr>
              <w:spacing w:before="60" w:after="60"/>
              <w:jc w:val="center"/>
              <w:rPr>
                <w:noProof/>
              </w:rPr>
            </w:pPr>
            <w:r>
              <w:rPr>
                <w:noProof/>
                <w:sz w:val="18"/>
              </w:rPr>
              <w:t>Type of expenditure</w:t>
            </w:r>
          </w:p>
        </w:tc>
        <w:tc>
          <w:tcPr>
            <w:tcW w:w="4487" w:type="dxa"/>
            <w:gridSpan w:val="4"/>
            <w:vAlign w:val="center"/>
          </w:tcPr>
          <w:p w14:paraId="64FB0A42" w14:textId="77777777" w:rsidR="00EC37C5" w:rsidRDefault="00EC37C5">
            <w:pPr>
              <w:spacing w:before="60" w:after="60"/>
              <w:jc w:val="center"/>
              <w:rPr>
                <w:noProof/>
              </w:rPr>
            </w:pPr>
            <w:r>
              <w:rPr>
                <w:noProof/>
                <w:sz w:val="20"/>
              </w:rPr>
              <w:t xml:space="preserve">Contribution </w:t>
            </w:r>
          </w:p>
        </w:tc>
      </w:tr>
      <w:tr w:rsidR="00EC37C5" w:rsidRPr="00FF5DD8" w14:paraId="5BAC0102" w14:textId="77777777">
        <w:trPr>
          <w:cantSplit/>
          <w:jc w:val="center"/>
        </w:trPr>
        <w:tc>
          <w:tcPr>
            <w:tcW w:w="1092" w:type="dxa"/>
            <w:vMerge/>
            <w:vAlign w:val="center"/>
          </w:tcPr>
          <w:p w14:paraId="697AE0BB" w14:textId="77777777" w:rsidR="00EC37C5" w:rsidRPr="00FF5DD8" w:rsidRDefault="00EC37C5">
            <w:pPr>
              <w:jc w:val="center"/>
              <w:rPr>
                <w:noProof/>
              </w:rPr>
            </w:pPr>
          </w:p>
        </w:tc>
        <w:tc>
          <w:tcPr>
            <w:tcW w:w="4002" w:type="dxa"/>
            <w:vAlign w:val="center"/>
          </w:tcPr>
          <w:p w14:paraId="2A0C4E89" w14:textId="77777777" w:rsidR="00EC37C5" w:rsidRPr="00FF5DD8" w:rsidRDefault="00EC37C5">
            <w:pPr>
              <w:rPr>
                <w:noProof/>
              </w:rPr>
            </w:pPr>
            <w:r w:rsidRPr="00FF5DD8">
              <w:rPr>
                <w:noProof/>
                <w:sz w:val="20"/>
              </w:rPr>
              <w:t xml:space="preserve">Number </w:t>
            </w:r>
            <w:r w:rsidRPr="00FF5DD8">
              <w:rPr>
                <w:noProof/>
                <w:sz w:val="22"/>
              </w:rPr>
              <w:br/>
            </w:r>
          </w:p>
        </w:tc>
        <w:tc>
          <w:tcPr>
            <w:tcW w:w="1092" w:type="dxa"/>
            <w:vAlign w:val="center"/>
          </w:tcPr>
          <w:p w14:paraId="352DA720" w14:textId="77777777" w:rsidR="00EC37C5" w:rsidRPr="00FF5DD8" w:rsidRDefault="00EC37C5">
            <w:pPr>
              <w:jc w:val="center"/>
              <w:rPr>
                <w:noProof/>
              </w:rPr>
            </w:pPr>
            <w:r w:rsidRPr="00FF5DD8">
              <w:rPr>
                <w:noProof/>
                <w:sz w:val="18"/>
              </w:rPr>
              <w:t>Diff./Non-diff.</w:t>
            </w:r>
            <w:r w:rsidRPr="00FF5DD8">
              <w:rPr>
                <w:rStyle w:val="FootnoteReference"/>
                <w:noProof/>
                <w:sz w:val="18"/>
              </w:rPr>
              <w:footnoteReference w:id="100"/>
            </w:r>
          </w:p>
        </w:tc>
        <w:tc>
          <w:tcPr>
            <w:tcW w:w="966" w:type="dxa"/>
            <w:vAlign w:val="center"/>
          </w:tcPr>
          <w:p w14:paraId="337149CC" w14:textId="77777777" w:rsidR="00EC37C5" w:rsidRPr="00FF5DD8" w:rsidRDefault="00EC37C5">
            <w:pPr>
              <w:jc w:val="center"/>
              <w:rPr>
                <w:b/>
                <w:noProof/>
                <w:sz w:val="18"/>
              </w:rPr>
            </w:pPr>
            <w:r w:rsidRPr="00FF5DD8">
              <w:rPr>
                <w:noProof/>
                <w:sz w:val="18"/>
              </w:rPr>
              <w:t>from EFTA countries</w:t>
            </w:r>
            <w:r w:rsidRPr="00FF5DD8">
              <w:rPr>
                <w:rStyle w:val="FootnoteReference"/>
                <w:noProof/>
                <w:sz w:val="18"/>
              </w:rPr>
              <w:footnoteReference w:id="101"/>
            </w:r>
          </w:p>
        </w:tc>
        <w:tc>
          <w:tcPr>
            <w:tcW w:w="1092" w:type="dxa"/>
            <w:vAlign w:val="center"/>
          </w:tcPr>
          <w:p w14:paraId="1C28E26A" w14:textId="77777777" w:rsidR="00EC37C5" w:rsidRPr="003A769F" w:rsidRDefault="00EC37C5">
            <w:pPr>
              <w:jc w:val="center"/>
              <w:rPr>
                <w:noProof/>
                <w:sz w:val="18"/>
                <w:lang w:val="en-IE"/>
              </w:rPr>
            </w:pPr>
            <w:r w:rsidRPr="003A769F">
              <w:rPr>
                <w:noProof/>
                <w:sz w:val="18"/>
                <w:lang w:val="en-IE"/>
              </w:rPr>
              <w:t>from candidate countries and potential candidates</w:t>
            </w:r>
            <w:r w:rsidRPr="00FF5DD8">
              <w:rPr>
                <w:rStyle w:val="FootnoteReference"/>
                <w:noProof/>
                <w:sz w:val="18"/>
              </w:rPr>
              <w:footnoteReference w:id="102"/>
            </w:r>
          </w:p>
        </w:tc>
        <w:tc>
          <w:tcPr>
            <w:tcW w:w="966" w:type="dxa"/>
            <w:vAlign w:val="center"/>
          </w:tcPr>
          <w:p w14:paraId="6782C509" w14:textId="77777777" w:rsidR="00EC37C5" w:rsidRPr="00FF5DD8" w:rsidRDefault="00EC37C5">
            <w:pPr>
              <w:jc w:val="center"/>
              <w:rPr>
                <w:noProof/>
                <w:sz w:val="18"/>
              </w:rPr>
            </w:pPr>
            <w:r>
              <w:rPr>
                <w:noProof/>
                <w:sz w:val="18"/>
              </w:rPr>
              <w:t>F</w:t>
            </w:r>
            <w:r w:rsidRPr="00FF5DD8">
              <w:rPr>
                <w:noProof/>
                <w:sz w:val="18"/>
              </w:rPr>
              <w:t>rom</w:t>
            </w:r>
            <w:r>
              <w:rPr>
                <w:noProof/>
                <w:sz w:val="18"/>
              </w:rPr>
              <w:t xml:space="preserve"> other </w:t>
            </w:r>
            <w:r w:rsidRPr="00FF5DD8">
              <w:rPr>
                <w:noProof/>
                <w:sz w:val="18"/>
              </w:rPr>
              <w:t>third countries</w:t>
            </w:r>
          </w:p>
        </w:tc>
        <w:tc>
          <w:tcPr>
            <w:tcW w:w="1463" w:type="dxa"/>
            <w:vAlign w:val="center"/>
          </w:tcPr>
          <w:p w14:paraId="1ECDE3E1" w14:textId="77777777" w:rsidR="00EC37C5" w:rsidRPr="00FF5DD8" w:rsidRDefault="00EC37C5">
            <w:pPr>
              <w:jc w:val="center"/>
              <w:rPr>
                <w:noProof/>
              </w:rPr>
            </w:pPr>
            <w:r w:rsidRPr="00154373">
              <w:rPr>
                <w:noProof/>
                <w:sz w:val="18"/>
                <w:szCs w:val="18"/>
                <w:lang w:val="en-IE"/>
              </w:rPr>
              <w:t>other assigned revenue</w:t>
            </w:r>
          </w:p>
        </w:tc>
      </w:tr>
      <w:tr w:rsidR="00EC37C5" w14:paraId="31DAB8ED" w14:textId="77777777">
        <w:trPr>
          <w:jc w:val="center"/>
        </w:trPr>
        <w:tc>
          <w:tcPr>
            <w:tcW w:w="1092" w:type="dxa"/>
            <w:vAlign w:val="center"/>
          </w:tcPr>
          <w:p w14:paraId="70AF947F" w14:textId="77777777" w:rsidR="00EC37C5" w:rsidRDefault="00EC37C5">
            <w:pPr>
              <w:jc w:val="center"/>
              <w:rPr>
                <w:noProof/>
                <w:color w:val="0000FF"/>
              </w:rPr>
            </w:pPr>
          </w:p>
        </w:tc>
        <w:tc>
          <w:tcPr>
            <w:tcW w:w="4002" w:type="dxa"/>
            <w:vAlign w:val="center"/>
          </w:tcPr>
          <w:p w14:paraId="1AE0C61F" w14:textId="77777777" w:rsidR="00EC37C5" w:rsidRDefault="00EC37C5">
            <w:pPr>
              <w:spacing w:before="60"/>
              <w:rPr>
                <w:noProof/>
              </w:rPr>
            </w:pPr>
            <w:r>
              <w:rPr>
                <w:noProof/>
                <w:sz w:val="22"/>
              </w:rPr>
              <w:t>[XX.YY.YY.YY]</w:t>
            </w:r>
          </w:p>
          <w:p w14:paraId="3C1D6203" w14:textId="77777777" w:rsidR="00EC37C5" w:rsidRDefault="00EC37C5">
            <w:pPr>
              <w:spacing w:after="60"/>
              <w:rPr>
                <w:noProof/>
              </w:rPr>
            </w:pPr>
          </w:p>
        </w:tc>
        <w:tc>
          <w:tcPr>
            <w:tcW w:w="1092" w:type="dxa"/>
            <w:vAlign w:val="center"/>
          </w:tcPr>
          <w:p w14:paraId="4E45E342" w14:textId="77777777" w:rsidR="00EC37C5" w:rsidRDefault="00EC37C5">
            <w:pPr>
              <w:jc w:val="center"/>
              <w:rPr>
                <w:noProof/>
                <w:color w:val="0000FF"/>
              </w:rPr>
            </w:pPr>
            <w:r>
              <w:rPr>
                <w:noProof/>
                <w:sz w:val="22"/>
              </w:rPr>
              <w:t>Non-diff.</w:t>
            </w:r>
          </w:p>
        </w:tc>
        <w:tc>
          <w:tcPr>
            <w:tcW w:w="966" w:type="dxa"/>
            <w:vAlign w:val="center"/>
          </w:tcPr>
          <w:p w14:paraId="6A2C3078" w14:textId="77777777" w:rsidR="00EC37C5" w:rsidRPr="008D0E8A" w:rsidRDefault="00EC37C5">
            <w:pPr>
              <w:jc w:val="center"/>
              <w:rPr>
                <w:noProof/>
                <w:sz w:val="20"/>
                <w:szCs w:val="20"/>
              </w:rPr>
            </w:pPr>
            <w:r w:rsidRPr="007974DD">
              <w:rPr>
                <w:noProof/>
                <w:sz w:val="20"/>
                <w:szCs w:val="20"/>
              </w:rPr>
              <w:t>YES</w:t>
            </w:r>
          </w:p>
        </w:tc>
        <w:tc>
          <w:tcPr>
            <w:tcW w:w="1092" w:type="dxa"/>
            <w:vAlign w:val="center"/>
          </w:tcPr>
          <w:p w14:paraId="3C4C4F19" w14:textId="77777777" w:rsidR="00EC37C5" w:rsidRPr="008D0E8A" w:rsidRDefault="00EC37C5">
            <w:pPr>
              <w:jc w:val="center"/>
              <w:rPr>
                <w:noProof/>
                <w:sz w:val="20"/>
                <w:szCs w:val="20"/>
              </w:rPr>
            </w:pPr>
            <w:r w:rsidRPr="007974DD">
              <w:rPr>
                <w:noProof/>
                <w:sz w:val="20"/>
                <w:szCs w:val="20"/>
              </w:rPr>
              <w:t>NO</w:t>
            </w:r>
          </w:p>
        </w:tc>
        <w:tc>
          <w:tcPr>
            <w:tcW w:w="966" w:type="dxa"/>
            <w:vAlign w:val="center"/>
          </w:tcPr>
          <w:p w14:paraId="56835450" w14:textId="77777777" w:rsidR="00EC37C5" w:rsidRPr="008D0E8A" w:rsidRDefault="00EC37C5">
            <w:pPr>
              <w:jc w:val="center"/>
              <w:rPr>
                <w:noProof/>
                <w:sz w:val="20"/>
                <w:szCs w:val="20"/>
              </w:rPr>
            </w:pPr>
            <w:r w:rsidRPr="007974DD">
              <w:rPr>
                <w:noProof/>
                <w:sz w:val="20"/>
                <w:szCs w:val="20"/>
              </w:rPr>
              <w:t>NO</w:t>
            </w:r>
          </w:p>
        </w:tc>
        <w:tc>
          <w:tcPr>
            <w:tcW w:w="1463" w:type="dxa"/>
            <w:vAlign w:val="center"/>
          </w:tcPr>
          <w:p w14:paraId="07465FED" w14:textId="77777777" w:rsidR="00EC37C5" w:rsidRPr="008D0E8A" w:rsidRDefault="00EC37C5">
            <w:pPr>
              <w:jc w:val="center"/>
              <w:rPr>
                <w:noProof/>
                <w:sz w:val="20"/>
                <w:szCs w:val="20"/>
              </w:rPr>
            </w:pPr>
            <w:r w:rsidRPr="007974DD">
              <w:rPr>
                <w:noProof/>
                <w:sz w:val="20"/>
                <w:szCs w:val="20"/>
              </w:rPr>
              <w:t>YES/NO</w:t>
            </w:r>
          </w:p>
        </w:tc>
      </w:tr>
      <w:tr w:rsidR="00EC37C5" w14:paraId="7D6023FE" w14:textId="77777777">
        <w:trPr>
          <w:jc w:val="center"/>
        </w:trPr>
        <w:tc>
          <w:tcPr>
            <w:tcW w:w="1092" w:type="dxa"/>
            <w:vAlign w:val="center"/>
          </w:tcPr>
          <w:p w14:paraId="2EF52DEC" w14:textId="77777777" w:rsidR="00EC37C5" w:rsidRDefault="00EC37C5">
            <w:pPr>
              <w:jc w:val="center"/>
              <w:rPr>
                <w:noProof/>
                <w:color w:val="0000FF"/>
              </w:rPr>
            </w:pPr>
          </w:p>
        </w:tc>
        <w:tc>
          <w:tcPr>
            <w:tcW w:w="4002" w:type="dxa"/>
            <w:vAlign w:val="center"/>
          </w:tcPr>
          <w:p w14:paraId="0EEF77B3" w14:textId="77777777" w:rsidR="00EC37C5" w:rsidRDefault="00EC37C5">
            <w:pPr>
              <w:spacing w:before="60"/>
              <w:rPr>
                <w:noProof/>
              </w:rPr>
            </w:pPr>
            <w:r>
              <w:rPr>
                <w:noProof/>
                <w:sz w:val="22"/>
              </w:rPr>
              <w:t>[XX.YY.YY.YY]</w:t>
            </w:r>
          </w:p>
          <w:p w14:paraId="13CFD403" w14:textId="77777777" w:rsidR="00EC37C5" w:rsidRDefault="00EC37C5">
            <w:pPr>
              <w:spacing w:after="60"/>
              <w:rPr>
                <w:noProof/>
              </w:rPr>
            </w:pPr>
          </w:p>
        </w:tc>
        <w:tc>
          <w:tcPr>
            <w:tcW w:w="1092" w:type="dxa"/>
            <w:vAlign w:val="center"/>
          </w:tcPr>
          <w:p w14:paraId="27054398" w14:textId="77777777" w:rsidR="00EC37C5" w:rsidRDefault="00EC37C5">
            <w:pPr>
              <w:jc w:val="center"/>
              <w:rPr>
                <w:noProof/>
                <w:color w:val="0000FF"/>
              </w:rPr>
            </w:pPr>
            <w:r>
              <w:rPr>
                <w:noProof/>
                <w:sz w:val="22"/>
              </w:rPr>
              <w:t>Diff./Non-diff.</w:t>
            </w:r>
          </w:p>
        </w:tc>
        <w:tc>
          <w:tcPr>
            <w:tcW w:w="966" w:type="dxa"/>
            <w:vAlign w:val="center"/>
          </w:tcPr>
          <w:p w14:paraId="0FFEE328" w14:textId="77777777" w:rsidR="00EC37C5" w:rsidRPr="008D0E8A" w:rsidRDefault="00EC37C5">
            <w:pPr>
              <w:jc w:val="center"/>
              <w:rPr>
                <w:noProof/>
                <w:sz w:val="20"/>
                <w:szCs w:val="20"/>
              </w:rPr>
            </w:pPr>
            <w:r w:rsidRPr="007974DD">
              <w:rPr>
                <w:noProof/>
                <w:sz w:val="20"/>
                <w:szCs w:val="20"/>
              </w:rPr>
              <w:t>YES/NO</w:t>
            </w:r>
          </w:p>
        </w:tc>
        <w:tc>
          <w:tcPr>
            <w:tcW w:w="1092" w:type="dxa"/>
            <w:vAlign w:val="center"/>
          </w:tcPr>
          <w:p w14:paraId="405D2D34" w14:textId="77777777" w:rsidR="00EC37C5" w:rsidRPr="008D0E8A" w:rsidRDefault="00EC37C5">
            <w:pPr>
              <w:jc w:val="center"/>
              <w:rPr>
                <w:noProof/>
                <w:sz w:val="20"/>
                <w:szCs w:val="20"/>
              </w:rPr>
            </w:pPr>
            <w:r w:rsidRPr="007974DD">
              <w:rPr>
                <w:noProof/>
                <w:sz w:val="20"/>
                <w:szCs w:val="20"/>
              </w:rPr>
              <w:t>YES/NO</w:t>
            </w:r>
          </w:p>
        </w:tc>
        <w:tc>
          <w:tcPr>
            <w:tcW w:w="966" w:type="dxa"/>
            <w:vAlign w:val="center"/>
          </w:tcPr>
          <w:p w14:paraId="519BFC28" w14:textId="77777777" w:rsidR="00EC37C5" w:rsidRPr="008D0E8A" w:rsidRDefault="00EC37C5">
            <w:pPr>
              <w:jc w:val="center"/>
              <w:rPr>
                <w:noProof/>
                <w:sz w:val="20"/>
                <w:szCs w:val="20"/>
              </w:rPr>
            </w:pPr>
            <w:r w:rsidRPr="007974DD">
              <w:rPr>
                <w:noProof/>
                <w:sz w:val="20"/>
                <w:szCs w:val="20"/>
              </w:rPr>
              <w:t>YES/NO</w:t>
            </w:r>
          </w:p>
        </w:tc>
        <w:tc>
          <w:tcPr>
            <w:tcW w:w="1463" w:type="dxa"/>
            <w:vAlign w:val="center"/>
          </w:tcPr>
          <w:p w14:paraId="68256352" w14:textId="77777777" w:rsidR="00EC37C5" w:rsidRPr="008D0E8A" w:rsidRDefault="00EC37C5">
            <w:pPr>
              <w:jc w:val="center"/>
              <w:rPr>
                <w:noProof/>
                <w:sz w:val="20"/>
                <w:szCs w:val="20"/>
              </w:rPr>
            </w:pPr>
            <w:r w:rsidRPr="007974DD">
              <w:rPr>
                <w:noProof/>
                <w:sz w:val="20"/>
                <w:szCs w:val="20"/>
              </w:rPr>
              <w:t>YES/NO</w:t>
            </w:r>
          </w:p>
        </w:tc>
      </w:tr>
      <w:tr w:rsidR="00EC37C5" w14:paraId="423EE088" w14:textId="77777777">
        <w:trPr>
          <w:jc w:val="center"/>
        </w:trPr>
        <w:tc>
          <w:tcPr>
            <w:tcW w:w="1092" w:type="dxa"/>
            <w:vAlign w:val="center"/>
          </w:tcPr>
          <w:p w14:paraId="6C51B3FE" w14:textId="77777777" w:rsidR="00EC37C5" w:rsidRDefault="00EC37C5">
            <w:pPr>
              <w:jc w:val="center"/>
              <w:rPr>
                <w:noProof/>
                <w:color w:val="0000FF"/>
              </w:rPr>
            </w:pPr>
          </w:p>
        </w:tc>
        <w:tc>
          <w:tcPr>
            <w:tcW w:w="4002" w:type="dxa"/>
            <w:vAlign w:val="center"/>
          </w:tcPr>
          <w:p w14:paraId="157306B2" w14:textId="77777777" w:rsidR="00EC37C5" w:rsidRDefault="00EC37C5">
            <w:pPr>
              <w:spacing w:before="60"/>
              <w:rPr>
                <w:noProof/>
              </w:rPr>
            </w:pPr>
            <w:r>
              <w:rPr>
                <w:noProof/>
                <w:sz w:val="22"/>
              </w:rPr>
              <w:t>[XX.YY.YY.YY]</w:t>
            </w:r>
          </w:p>
          <w:p w14:paraId="78D49208" w14:textId="77777777" w:rsidR="00EC37C5" w:rsidRDefault="00EC37C5">
            <w:pPr>
              <w:spacing w:after="60"/>
              <w:rPr>
                <w:noProof/>
              </w:rPr>
            </w:pPr>
          </w:p>
        </w:tc>
        <w:tc>
          <w:tcPr>
            <w:tcW w:w="1092" w:type="dxa"/>
            <w:vAlign w:val="center"/>
          </w:tcPr>
          <w:p w14:paraId="0DF34607" w14:textId="77777777" w:rsidR="00EC37C5" w:rsidRDefault="00EC37C5">
            <w:pPr>
              <w:jc w:val="center"/>
              <w:rPr>
                <w:noProof/>
                <w:color w:val="0000FF"/>
              </w:rPr>
            </w:pPr>
            <w:r>
              <w:rPr>
                <w:noProof/>
                <w:sz w:val="22"/>
              </w:rPr>
              <w:t>Diff./Non-diff.</w:t>
            </w:r>
          </w:p>
        </w:tc>
        <w:tc>
          <w:tcPr>
            <w:tcW w:w="966" w:type="dxa"/>
            <w:vAlign w:val="center"/>
          </w:tcPr>
          <w:p w14:paraId="48D23D9B" w14:textId="77777777" w:rsidR="00EC37C5" w:rsidRPr="008D0E8A" w:rsidRDefault="00EC37C5">
            <w:pPr>
              <w:jc w:val="center"/>
              <w:rPr>
                <w:noProof/>
                <w:sz w:val="20"/>
                <w:szCs w:val="20"/>
              </w:rPr>
            </w:pPr>
            <w:r w:rsidRPr="007974DD">
              <w:rPr>
                <w:noProof/>
                <w:sz w:val="20"/>
                <w:szCs w:val="20"/>
              </w:rPr>
              <w:t>YES/NO</w:t>
            </w:r>
          </w:p>
        </w:tc>
        <w:tc>
          <w:tcPr>
            <w:tcW w:w="1092" w:type="dxa"/>
            <w:vAlign w:val="center"/>
          </w:tcPr>
          <w:p w14:paraId="44922C97" w14:textId="77777777" w:rsidR="00EC37C5" w:rsidRPr="008D0E8A" w:rsidRDefault="00EC37C5">
            <w:pPr>
              <w:jc w:val="center"/>
              <w:rPr>
                <w:noProof/>
                <w:sz w:val="20"/>
                <w:szCs w:val="20"/>
              </w:rPr>
            </w:pPr>
            <w:r w:rsidRPr="007974DD">
              <w:rPr>
                <w:noProof/>
                <w:sz w:val="20"/>
                <w:szCs w:val="20"/>
              </w:rPr>
              <w:t>YES/NO</w:t>
            </w:r>
          </w:p>
        </w:tc>
        <w:tc>
          <w:tcPr>
            <w:tcW w:w="966" w:type="dxa"/>
            <w:vAlign w:val="center"/>
          </w:tcPr>
          <w:p w14:paraId="36C5690F" w14:textId="77777777" w:rsidR="00EC37C5" w:rsidRPr="008D0E8A" w:rsidRDefault="00EC37C5">
            <w:pPr>
              <w:jc w:val="center"/>
              <w:rPr>
                <w:noProof/>
                <w:sz w:val="20"/>
                <w:szCs w:val="20"/>
              </w:rPr>
            </w:pPr>
            <w:r w:rsidRPr="007974DD">
              <w:rPr>
                <w:noProof/>
                <w:sz w:val="20"/>
                <w:szCs w:val="20"/>
              </w:rPr>
              <w:t>YES/NO</w:t>
            </w:r>
          </w:p>
        </w:tc>
        <w:tc>
          <w:tcPr>
            <w:tcW w:w="1463" w:type="dxa"/>
            <w:vAlign w:val="center"/>
          </w:tcPr>
          <w:p w14:paraId="4E5C33DF" w14:textId="77777777" w:rsidR="00EC37C5" w:rsidRPr="008D0E8A" w:rsidRDefault="00EC37C5">
            <w:pPr>
              <w:jc w:val="center"/>
              <w:rPr>
                <w:noProof/>
                <w:sz w:val="20"/>
                <w:szCs w:val="20"/>
              </w:rPr>
            </w:pPr>
            <w:r w:rsidRPr="007974DD">
              <w:rPr>
                <w:noProof/>
                <w:sz w:val="20"/>
                <w:szCs w:val="20"/>
              </w:rPr>
              <w:t>YES/NO</w:t>
            </w:r>
          </w:p>
        </w:tc>
      </w:tr>
    </w:tbl>
    <w:p w14:paraId="0138982D" w14:textId="77777777" w:rsidR="00EC37C5" w:rsidRDefault="00EC37C5" w:rsidP="00EC37C5">
      <w:pPr>
        <w:pStyle w:val="ListBullet1"/>
        <w:rPr>
          <w:noProof/>
        </w:rPr>
      </w:pPr>
      <w:r>
        <w:rPr>
          <w:noProof/>
        </w:rPr>
        <w:t xml:space="preserve">New budget lines requested </w:t>
      </w:r>
    </w:p>
    <w:p w14:paraId="7332B6DC" w14:textId="77777777" w:rsidR="00EC37C5" w:rsidRDefault="00EC37C5" w:rsidP="00EC37C5">
      <w:pPr>
        <w:pStyle w:val="Text1"/>
        <w:rPr>
          <w:i/>
          <w:noProof/>
          <w:sz w:val="20"/>
        </w:rPr>
      </w:pPr>
      <w:r>
        <w:rPr>
          <w:i/>
          <w:noProof/>
          <w:u w:val="single"/>
        </w:rPr>
        <w:t>In order</w:t>
      </w:r>
      <w:r>
        <w:rPr>
          <w:i/>
          <w:noProof/>
        </w:rPr>
        <w:t xml:space="preserve"> of multiannual financial framework headings and budget lines.</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rsidR="00EC37C5" w14:paraId="5817240D" w14:textId="77777777">
        <w:trPr>
          <w:jc w:val="center"/>
        </w:trPr>
        <w:tc>
          <w:tcPr>
            <w:tcW w:w="1080" w:type="dxa"/>
            <w:vMerge w:val="restart"/>
            <w:vAlign w:val="center"/>
          </w:tcPr>
          <w:p w14:paraId="7B9DFED2" w14:textId="77777777" w:rsidR="00EC37C5" w:rsidRPr="003A769F" w:rsidRDefault="00EC37C5">
            <w:pPr>
              <w:spacing w:before="60" w:after="60"/>
              <w:jc w:val="center"/>
              <w:rPr>
                <w:noProof/>
                <w:sz w:val="18"/>
                <w:szCs w:val="18"/>
                <w:lang w:val="en-IE"/>
              </w:rPr>
            </w:pPr>
            <w:r w:rsidRPr="003A769F">
              <w:rPr>
                <w:noProof/>
                <w:sz w:val="18"/>
                <w:lang w:val="en-IE"/>
              </w:rPr>
              <w:t>Heading of multiannual financial framework</w:t>
            </w:r>
          </w:p>
        </w:tc>
        <w:tc>
          <w:tcPr>
            <w:tcW w:w="3960" w:type="dxa"/>
            <w:vAlign w:val="center"/>
          </w:tcPr>
          <w:p w14:paraId="7745AF0E" w14:textId="77777777" w:rsidR="00EC37C5" w:rsidRDefault="00EC37C5">
            <w:pPr>
              <w:spacing w:before="60" w:after="60"/>
              <w:jc w:val="center"/>
              <w:rPr>
                <w:noProof/>
              </w:rPr>
            </w:pPr>
            <w:r>
              <w:rPr>
                <w:noProof/>
                <w:sz w:val="20"/>
              </w:rPr>
              <w:t>Budget line</w:t>
            </w:r>
          </w:p>
        </w:tc>
        <w:tc>
          <w:tcPr>
            <w:tcW w:w="1080" w:type="dxa"/>
            <w:vAlign w:val="center"/>
          </w:tcPr>
          <w:p w14:paraId="47599429" w14:textId="77777777" w:rsidR="00EC37C5" w:rsidRDefault="00EC37C5">
            <w:pPr>
              <w:spacing w:before="60" w:after="60"/>
              <w:jc w:val="center"/>
              <w:rPr>
                <w:noProof/>
              </w:rPr>
            </w:pPr>
            <w:r>
              <w:rPr>
                <w:noProof/>
                <w:sz w:val="18"/>
              </w:rPr>
              <w:t>Type of expenditure</w:t>
            </w:r>
          </w:p>
        </w:tc>
        <w:tc>
          <w:tcPr>
            <w:tcW w:w="4440" w:type="dxa"/>
            <w:gridSpan w:val="4"/>
            <w:vAlign w:val="center"/>
          </w:tcPr>
          <w:p w14:paraId="5295CE46" w14:textId="77777777" w:rsidR="00EC37C5" w:rsidRDefault="00EC37C5">
            <w:pPr>
              <w:spacing w:before="60" w:after="60"/>
              <w:jc w:val="center"/>
              <w:rPr>
                <w:noProof/>
              </w:rPr>
            </w:pPr>
            <w:r>
              <w:rPr>
                <w:noProof/>
                <w:sz w:val="20"/>
              </w:rPr>
              <w:t xml:space="preserve">Contribution </w:t>
            </w:r>
          </w:p>
        </w:tc>
      </w:tr>
      <w:tr w:rsidR="00EC37C5" w14:paraId="34745586" w14:textId="77777777">
        <w:trPr>
          <w:cantSplit/>
          <w:jc w:val="center"/>
        </w:trPr>
        <w:tc>
          <w:tcPr>
            <w:tcW w:w="1080" w:type="dxa"/>
            <w:vMerge/>
            <w:vAlign w:val="center"/>
          </w:tcPr>
          <w:p w14:paraId="0ACEF1A6" w14:textId="77777777" w:rsidR="00EC37C5" w:rsidRDefault="00EC37C5">
            <w:pPr>
              <w:jc w:val="center"/>
              <w:rPr>
                <w:noProof/>
              </w:rPr>
            </w:pPr>
          </w:p>
        </w:tc>
        <w:tc>
          <w:tcPr>
            <w:tcW w:w="3960" w:type="dxa"/>
            <w:vAlign w:val="center"/>
          </w:tcPr>
          <w:p w14:paraId="40192880" w14:textId="77777777" w:rsidR="00EC37C5" w:rsidRDefault="00EC37C5">
            <w:pPr>
              <w:rPr>
                <w:noProof/>
              </w:rPr>
            </w:pPr>
            <w:r>
              <w:rPr>
                <w:noProof/>
                <w:sz w:val="20"/>
              </w:rPr>
              <w:t xml:space="preserve">Number </w:t>
            </w:r>
            <w:r>
              <w:rPr>
                <w:noProof/>
                <w:sz w:val="22"/>
              </w:rPr>
              <w:br/>
            </w:r>
          </w:p>
        </w:tc>
        <w:tc>
          <w:tcPr>
            <w:tcW w:w="1080" w:type="dxa"/>
            <w:vAlign w:val="center"/>
          </w:tcPr>
          <w:p w14:paraId="20337D03" w14:textId="77777777" w:rsidR="00EC37C5" w:rsidRDefault="00EC37C5">
            <w:pPr>
              <w:jc w:val="center"/>
              <w:rPr>
                <w:noProof/>
              </w:rPr>
            </w:pPr>
            <w:r>
              <w:rPr>
                <w:noProof/>
                <w:sz w:val="18"/>
              </w:rPr>
              <w:t>Diff./Non-diff.</w:t>
            </w:r>
          </w:p>
        </w:tc>
        <w:tc>
          <w:tcPr>
            <w:tcW w:w="956" w:type="dxa"/>
            <w:vAlign w:val="center"/>
          </w:tcPr>
          <w:p w14:paraId="724F8CA4" w14:textId="77777777" w:rsidR="00EC37C5" w:rsidRDefault="00EC37C5">
            <w:pPr>
              <w:jc w:val="center"/>
              <w:rPr>
                <w:noProof/>
                <w:sz w:val="18"/>
              </w:rPr>
            </w:pPr>
            <w:r>
              <w:rPr>
                <w:noProof/>
                <w:sz w:val="18"/>
              </w:rPr>
              <w:t>from EFTA countries</w:t>
            </w:r>
          </w:p>
        </w:tc>
        <w:tc>
          <w:tcPr>
            <w:tcW w:w="1080" w:type="dxa"/>
            <w:vAlign w:val="center"/>
          </w:tcPr>
          <w:p w14:paraId="70D36464" w14:textId="77777777" w:rsidR="00EC37C5" w:rsidRPr="003A769F" w:rsidRDefault="00EC37C5">
            <w:pPr>
              <w:jc w:val="center"/>
              <w:rPr>
                <w:noProof/>
                <w:sz w:val="18"/>
                <w:lang w:val="en-IE"/>
              </w:rPr>
            </w:pPr>
            <w:r w:rsidRPr="003A769F">
              <w:rPr>
                <w:noProof/>
                <w:sz w:val="18"/>
                <w:lang w:val="en-IE"/>
              </w:rPr>
              <w:t>from candidate countries and potential candidates</w:t>
            </w:r>
          </w:p>
        </w:tc>
        <w:tc>
          <w:tcPr>
            <w:tcW w:w="956" w:type="dxa"/>
            <w:vAlign w:val="center"/>
          </w:tcPr>
          <w:p w14:paraId="78BF310F" w14:textId="77777777" w:rsidR="00EC37C5" w:rsidRPr="00FF5DD8" w:rsidRDefault="00EC37C5">
            <w:pPr>
              <w:jc w:val="center"/>
              <w:rPr>
                <w:noProof/>
                <w:sz w:val="18"/>
              </w:rPr>
            </w:pPr>
            <w:r w:rsidRPr="00FF5DD8">
              <w:rPr>
                <w:noProof/>
                <w:sz w:val="18"/>
              </w:rPr>
              <w:t>from other third countries</w:t>
            </w:r>
          </w:p>
        </w:tc>
        <w:tc>
          <w:tcPr>
            <w:tcW w:w="1448" w:type="dxa"/>
            <w:vAlign w:val="center"/>
          </w:tcPr>
          <w:p w14:paraId="59C9F978" w14:textId="77777777" w:rsidR="00EC37C5" w:rsidRPr="00FF5DD8" w:rsidRDefault="00EC37C5">
            <w:pPr>
              <w:jc w:val="center"/>
              <w:rPr>
                <w:noProof/>
              </w:rPr>
            </w:pPr>
            <w:r w:rsidRPr="00154373">
              <w:rPr>
                <w:noProof/>
                <w:sz w:val="18"/>
                <w:szCs w:val="18"/>
                <w:lang w:val="en-IE"/>
              </w:rPr>
              <w:t xml:space="preserve">other assigned revenue </w:t>
            </w:r>
          </w:p>
        </w:tc>
      </w:tr>
      <w:tr w:rsidR="00EC37C5" w14:paraId="4D90DBAB" w14:textId="77777777">
        <w:trPr>
          <w:cantSplit/>
          <w:jc w:val="center"/>
        </w:trPr>
        <w:tc>
          <w:tcPr>
            <w:tcW w:w="1080" w:type="dxa"/>
            <w:vAlign w:val="center"/>
          </w:tcPr>
          <w:p w14:paraId="6E01C2DA" w14:textId="77777777" w:rsidR="00EC37C5" w:rsidRDefault="00EC37C5">
            <w:pPr>
              <w:jc w:val="center"/>
              <w:rPr>
                <w:noProof/>
                <w:color w:val="0000FF"/>
              </w:rPr>
            </w:pPr>
          </w:p>
        </w:tc>
        <w:tc>
          <w:tcPr>
            <w:tcW w:w="3960" w:type="dxa"/>
            <w:vAlign w:val="center"/>
          </w:tcPr>
          <w:p w14:paraId="549D28D8" w14:textId="77777777" w:rsidR="00EC37C5" w:rsidRDefault="00EC37C5">
            <w:pPr>
              <w:spacing w:before="60"/>
              <w:rPr>
                <w:noProof/>
              </w:rPr>
            </w:pPr>
            <w:r>
              <w:rPr>
                <w:noProof/>
                <w:sz w:val="22"/>
              </w:rPr>
              <w:t>[XX.YY.YY.YY]</w:t>
            </w:r>
          </w:p>
          <w:p w14:paraId="2C34C5DB" w14:textId="77777777" w:rsidR="00EC37C5" w:rsidRDefault="00EC37C5">
            <w:pPr>
              <w:spacing w:after="60"/>
              <w:rPr>
                <w:noProof/>
              </w:rPr>
            </w:pPr>
          </w:p>
        </w:tc>
        <w:tc>
          <w:tcPr>
            <w:tcW w:w="1080" w:type="dxa"/>
            <w:vAlign w:val="center"/>
          </w:tcPr>
          <w:p w14:paraId="7F971ECC" w14:textId="77777777" w:rsidR="00EC37C5" w:rsidRDefault="00EC37C5">
            <w:pPr>
              <w:jc w:val="center"/>
              <w:rPr>
                <w:noProof/>
                <w:color w:val="0000FF"/>
              </w:rPr>
            </w:pPr>
            <w:r>
              <w:rPr>
                <w:noProof/>
                <w:sz w:val="22"/>
              </w:rPr>
              <w:t>Diff./Non-diff.</w:t>
            </w:r>
          </w:p>
        </w:tc>
        <w:tc>
          <w:tcPr>
            <w:tcW w:w="956" w:type="dxa"/>
            <w:vAlign w:val="center"/>
          </w:tcPr>
          <w:p w14:paraId="638579CF" w14:textId="77777777" w:rsidR="00EC37C5" w:rsidRPr="008D0E8A" w:rsidRDefault="00EC37C5">
            <w:pPr>
              <w:jc w:val="center"/>
              <w:rPr>
                <w:noProof/>
                <w:sz w:val="20"/>
                <w:szCs w:val="20"/>
              </w:rPr>
            </w:pPr>
            <w:r w:rsidRPr="007974DD">
              <w:rPr>
                <w:noProof/>
                <w:sz w:val="20"/>
                <w:szCs w:val="20"/>
              </w:rPr>
              <w:t>YES/NO</w:t>
            </w:r>
          </w:p>
        </w:tc>
        <w:tc>
          <w:tcPr>
            <w:tcW w:w="1080" w:type="dxa"/>
            <w:vAlign w:val="center"/>
          </w:tcPr>
          <w:p w14:paraId="129EE43A" w14:textId="77777777" w:rsidR="00EC37C5" w:rsidRPr="008D0E8A" w:rsidRDefault="00EC37C5">
            <w:pPr>
              <w:jc w:val="center"/>
              <w:rPr>
                <w:noProof/>
                <w:sz w:val="20"/>
                <w:szCs w:val="20"/>
              </w:rPr>
            </w:pPr>
            <w:r w:rsidRPr="007974DD">
              <w:rPr>
                <w:noProof/>
                <w:sz w:val="20"/>
                <w:szCs w:val="20"/>
              </w:rPr>
              <w:t>YES/NO</w:t>
            </w:r>
          </w:p>
        </w:tc>
        <w:tc>
          <w:tcPr>
            <w:tcW w:w="956" w:type="dxa"/>
            <w:vAlign w:val="center"/>
          </w:tcPr>
          <w:p w14:paraId="74A6395E" w14:textId="77777777" w:rsidR="00EC37C5" w:rsidRPr="008D0E8A" w:rsidRDefault="00EC37C5">
            <w:pPr>
              <w:jc w:val="center"/>
              <w:rPr>
                <w:noProof/>
                <w:sz w:val="20"/>
                <w:szCs w:val="20"/>
              </w:rPr>
            </w:pPr>
            <w:r w:rsidRPr="007974DD">
              <w:rPr>
                <w:noProof/>
                <w:sz w:val="20"/>
                <w:szCs w:val="20"/>
              </w:rPr>
              <w:t>YES/NO</w:t>
            </w:r>
          </w:p>
        </w:tc>
        <w:tc>
          <w:tcPr>
            <w:tcW w:w="1448" w:type="dxa"/>
            <w:vAlign w:val="center"/>
          </w:tcPr>
          <w:p w14:paraId="27F3C31C" w14:textId="77777777" w:rsidR="00EC37C5" w:rsidRPr="008D0E8A" w:rsidRDefault="00EC37C5">
            <w:pPr>
              <w:jc w:val="center"/>
              <w:rPr>
                <w:noProof/>
                <w:sz w:val="20"/>
                <w:szCs w:val="20"/>
              </w:rPr>
            </w:pPr>
            <w:r w:rsidRPr="007974DD">
              <w:rPr>
                <w:noProof/>
                <w:sz w:val="20"/>
                <w:szCs w:val="20"/>
              </w:rPr>
              <w:t>YES/NO</w:t>
            </w:r>
          </w:p>
        </w:tc>
      </w:tr>
      <w:tr w:rsidR="00EC37C5" w14:paraId="07F69E42" w14:textId="77777777">
        <w:trPr>
          <w:cantSplit/>
          <w:jc w:val="center"/>
        </w:trPr>
        <w:tc>
          <w:tcPr>
            <w:tcW w:w="1080" w:type="dxa"/>
            <w:vAlign w:val="center"/>
          </w:tcPr>
          <w:p w14:paraId="4948086F" w14:textId="77777777" w:rsidR="00EC37C5" w:rsidRDefault="00EC37C5">
            <w:pPr>
              <w:jc w:val="center"/>
              <w:rPr>
                <w:noProof/>
                <w:color w:val="0000FF"/>
              </w:rPr>
            </w:pPr>
          </w:p>
        </w:tc>
        <w:tc>
          <w:tcPr>
            <w:tcW w:w="3960" w:type="dxa"/>
            <w:vAlign w:val="center"/>
          </w:tcPr>
          <w:p w14:paraId="6B7877F1" w14:textId="77777777" w:rsidR="00EC37C5" w:rsidRDefault="00EC37C5">
            <w:pPr>
              <w:spacing w:before="60"/>
              <w:rPr>
                <w:noProof/>
              </w:rPr>
            </w:pPr>
            <w:r>
              <w:rPr>
                <w:noProof/>
                <w:sz w:val="22"/>
              </w:rPr>
              <w:t>[XX.YY.YY.YY]</w:t>
            </w:r>
          </w:p>
          <w:p w14:paraId="079E4ECB" w14:textId="77777777" w:rsidR="00EC37C5" w:rsidRDefault="00EC37C5">
            <w:pPr>
              <w:spacing w:after="60"/>
              <w:rPr>
                <w:noProof/>
              </w:rPr>
            </w:pPr>
          </w:p>
        </w:tc>
        <w:tc>
          <w:tcPr>
            <w:tcW w:w="1080" w:type="dxa"/>
            <w:vAlign w:val="center"/>
          </w:tcPr>
          <w:p w14:paraId="5F416722" w14:textId="77777777" w:rsidR="00EC37C5" w:rsidRDefault="00EC37C5">
            <w:pPr>
              <w:jc w:val="center"/>
              <w:rPr>
                <w:noProof/>
                <w:color w:val="0000FF"/>
              </w:rPr>
            </w:pPr>
            <w:r>
              <w:rPr>
                <w:noProof/>
                <w:sz w:val="22"/>
              </w:rPr>
              <w:t>Diff./Non-diff.</w:t>
            </w:r>
          </w:p>
        </w:tc>
        <w:tc>
          <w:tcPr>
            <w:tcW w:w="956" w:type="dxa"/>
            <w:vAlign w:val="center"/>
          </w:tcPr>
          <w:p w14:paraId="6B1E75B1" w14:textId="77777777" w:rsidR="00EC37C5" w:rsidRPr="008D0E8A" w:rsidRDefault="00EC37C5">
            <w:pPr>
              <w:jc w:val="center"/>
              <w:rPr>
                <w:noProof/>
                <w:sz w:val="20"/>
                <w:szCs w:val="20"/>
              </w:rPr>
            </w:pPr>
            <w:r w:rsidRPr="007974DD">
              <w:rPr>
                <w:noProof/>
                <w:sz w:val="20"/>
                <w:szCs w:val="20"/>
              </w:rPr>
              <w:t>YES/NO</w:t>
            </w:r>
          </w:p>
        </w:tc>
        <w:tc>
          <w:tcPr>
            <w:tcW w:w="1080" w:type="dxa"/>
            <w:vAlign w:val="center"/>
          </w:tcPr>
          <w:p w14:paraId="0A95E830" w14:textId="77777777" w:rsidR="00EC37C5" w:rsidRPr="008D0E8A" w:rsidRDefault="00EC37C5">
            <w:pPr>
              <w:jc w:val="center"/>
              <w:rPr>
                <w:noProof/>
                <w:sz w:val="20"/>
                <w:szCs w:val="20"/>
              </w:rPr>
            </w:pPr>
            <w:r w:rsidRPr="007974DD">
              <w:rPr>
                <w:noProof/>
                <w:sz w:val="20"/>
                <w:szCs w:val="20"/>
              </w:rPr>
              <w:t>YES/NO</w:t>
            </w:r>
          </w:p>
        </w:tc>
        <w:tc>
          <w:tcPr>
            <w:tcW w:w="956" w:type="dxa"/>
            <w:vAlign w:val="center"/>
          </w:tcPr>
          <w:p w14:paraId="33F927AB" w14:textId="77777777" w:rsidR="00EC37C5" w:rsidRPr="008D0E8A" w:rsidRDefault="00EC37C5">
            <w:pPr>
              <w:jc w:val="center"/>
              <w:rPr>
                <w:noProof/>
                <w:sz w:val="20"/>
                <w:szCs w:val="20"/>
              </w:rPr>
            </w:pPr>
            <w:r w:rsidRPr="007974DD">
              <w:rPr>
                <w:noProof/>
                <w:sz w:val="20"/>
                <w:szCs w:val="20"/>
              </w:rPr>
              <w:t>YES/NO</w:t>
            </w:r>
          </w:p>
        </w:tc>
        <w:tc>
          <w:tcPr>
            <w:tcW w:w="1448" w:type="dxa"/>
            <w:vAlign w:val="center"/>
          </w:tcPr>
          <w:p w14:paraId="7873A7BB" w14:textId="77777777" w:rsidR="00EC37C5" w:rsidRPr="008D0E8A" w:rsidRDefault="00EC37C5">
            <w:pPr>
              <w:jc w:val="center"/>
              <w:rPr>
                <w:noProof/>
                <w:sz w:val="20"/>
                <w:szCs w:val="20"/>
              </w:rPr>
            </w:pPr>
            <w:r w:rsidRPr="007974DD">
              <w:rPr>
                <w:noProof/>
                <w:sz w:val="20"/>
                <w:szCs w:val="20"/>
              </w:rPr>
              <w:t>YES/NO</w:t>
            </w:r>
          </w:p>
        </w:tc>
      </w:tr>
      <w:tr w:rsidR="00EC37C5" w14:paraId="279B0FCF" w14:textId="77777777">
        <w:trPr>
          <w:jc w:val="center"/>
        </w:trPr>
        <w:tc>
          <w:tcPr>
            <w:tcW w:w="1080" w:type="dxa"/>
            <w:vAlign w:val="center"/>
          </w:tcPr>
          <w:p w14:paraId="1B21FE0E" w14:textId="77777777" w:rsidR="00EC37C5" w:rsidRDefault="00EC37C5">
            <w:pPr>
              <w:jc w:val="center"/>
              <w:rPr>
                <w:noProof/>
                <w:color w:val="0000FF"/>
              </w:rPr>
            </w:pPr>
          </w:p>
        </w:tc>
        <w:tc>
          <w:tcPr>
            <w:tcW w:w="3960" w:type="dxa"/>
            <w:vAlign w:val="center"/>
          </w:tcPr>
          <w:p w14:paraId="021C1BC8" w14:textId="77777777" w:rsidR="00EC37C5" w:rsidRDefault="00EC37C5">
            <w:pPr>
              <w:spacing w:before="60"/>
              <w:rPr>
                <w:noProof/>
              </w:rPr>
            </w:pPr>
            <w:r>
              <w:rPr>
                <w:noProof/>
                <w:sz w:val="22"/>
              </w:rPr>
              <w:t>[XX.YY.YY.YY]</w:t>
            </w:r>
          </w:p>
          <w:p w14:paraId="0B628015" w14:textId="77777777" w:rsidR="00EC37C5" w:rsidRDefault="00EC37C5">
            <w:pPr>
              <w:spacing w:after="60"/>
              <w:rPr>
                <w:noProof/>
                <w:color w:val="0000FF"/>
              </w:rPr>
            </w:pPr>
          </w:p>
        </w:tc>
        <w:tc>
          <w:tcPr>
            <w:tcW w:w="1080" w:type="dxa"/>
            <w:vAlign w:val="center"/>
          </w:tcPr>
          <w:p w14:paraId="5CD8507D" w14:textId="77777777" w:rsidR="00EC37C5" w:rsidRDefault="00EC37C5">
            <w:pPr>
              <w:jc w:val="center"/>
              <w:rPr>
                <w:noProof/>
                <w:color w:val="0000FF"/>
              </w:rPr>
            </w:pPr>
            <w:r>
              <w:rPr>
                <w:noProof/>
                <w:sz w:val="22"/>
              </w:rPr>
              <w:t>Diff./Non-diff.</w:t>
            </w:r>
          </w:p>
        </w:tc>
        <w:tc>
          <w:tcPr>
            <w:tcW w:w="956" w:type="dxa"/>
            <w:vAlign w:val="center"/>
          </w:tcPr>
          <w:p w14:paraId="7194B858" w14:textId="77777777" w:rsidR="00EC37C5" w:rsidRPr="008D0E8A" w:rsidRDefault="00EC37C5">
            <w:pPr>
              <w:jc w:val="center"/>
              <w:rPr>
                <w:noProof/>
                <w:sz w:val="20"/>
                <w:szCs w:val="20"/>
              </w:rPr>
            </w:pPr>
            <w:r w:rsidRPr="007974DD">
              <w:rPr>
                <w:noProof/>
                <w:sz w:val="20"/>
                <w:szCs w:val="20"/>
              </w:rPr>
              <w:t>YES/NO</w:t>
            </w:r>
          </w:p>
        </w:tc>
        <w:tc>
          <w:tcPr>
            <w:tcW w:w="1080" w:type="dxa"/>
            <w:vAlign w:val="center"/>
          </w:tcPr>
          <w:p w14:paraId="7170FCEE" w14:textId="77777777" w:rsidR="00EC37C5" w:rsidRPr="008D0E8A" w:rsidRDefault="00EC37C5">
            <w:pPr>
              <w:jc w:val="center"/>
              <w:rPr>
                <w:noProof/>
                <w:color w:val="0000FF"/>
                <w:sz w:val="20"/>
                <w:szCs w:val="20"/>
              </w:rPr>
            </w:pPr>
            <w:r w:rsidRPr="007974DD">
              <w:rPr>
                <w:noProof/>
                <w:sz w:val="20"/>
                <w:szCs w:val="20"/>
              </w:rPr>
              <w:t>YES/NO</w:t>
            </w:r>
          </w:p>
        </w:tc>
        <w:tc>
          <w:tcPr>
            <w:tcW w:w="956" w:type="dxa"/>
            <w:vAlign w:val="center"/>
          </w:tcPr>
          <w:p w14:paraId="16A42522" w14:textId="77777777" w:rsidR="00EC37C5" w:rsidRPr="008D0E8A" w:rsidRDefault="00EC37C5">
            <w:pPr>
              <w:jc w:val="center"/>
              <w:rPr>
                <w:noProof/>
                <w:color w:val="0000FF"/>
                <w:sz w:val="20"/>
                <w:szCs w:val="20"/>
              </w:rPr>
            </w:pPr>
            <w:r w:rsidRPr="007974DD">
              <w:rPr>
                <w:noProof/>
                <w:sz w:val="20"/>
                <w:szCs w:val="20"/>
              </w:rPr>
              <w:t>YES/NO</w:t>
            </w:r>
          </w:p>
        </w:tc>
        <w:tc>
          <w:tcPr>
            <w:tcW w:w="1448" w:type="dxa"/>
            <w:vAlign w:val="center"/>
          </w:tcPr>
          <w:p w14:paraId="323147C5" w14:textId="77777777" w:rsidR="00EC37C5" w:rsidRPr="008D0E8A" w:rsidRDefault="00EC37C5">
            <w:pPr>
              <w:jc w:val="center"/>
              <w:rPr>
                <w:noProof/>
                <w:sz w:val="20"/>
                <w:szCs w:val="20"/>
              </w:rPr>
            </w:pPr>
            <w:r w:rsidRPr="007974DD">
              <w:rPr>
                <w:noProof/>
                <w:sz w:val="20"/>
                <w:szCs w:val="20"/>
              </w:rPr>
              <w:t>YES/NO</w:t>
            </w:r>
          </w:p>
        </w:tc>
      </w:tr>
    </w:tbl>
    <w:p w14:paraId="02BA375E" w14:textId="77777777" w:rsidR="00EC37C5" w:rsidRDefault="00EC37C5" w:rsidP="00EC37C5">
      <w:pPr>
        <w:rPr>
          <w:noProof/>
        </w:rPr>
        <w:sectPr w:rsidR="00EC37C5" w:rsidSect="000033F2">
          <w:pgSz w:w="11907" w:h="16840" w:code="1"/>
          <w:pgMar w:top="1134" w:right="1418" w:bottom="1134" w:left="1418" w:header="709" w:footer="709" w:gutter="0"/>
          <w:cols w:space="708"/>
          <w:docGrid w:linePitch="360"/>
        </w:sectPr>
      </w:pPr>
    </w:p>
    <w:p w14:paraId="3CEAC958" w14:textId="77777777" w:rsidR="00EC37C5" w:rsidRDefault="00EC37C5" w:rsidP="00EC37C5">
      <w:pPr>
        <w:pStyle w:val="ManualHeading2"/>
        <w:rPr>
          <w:bCs/>
          <w:noProof/>
          <w:szCs w:val="24"/>
        </w:rPr>
      </w:pPr>
      <w:bookmarkStart w:id="141" w:name="_Toc514938052"/>
      <w:bookmarkStart w:id="142" w:name="_Toc520485051"/>
      <w:bookmarkStart w:id="143" w:name="_Toc160804593"/>
      <w:bookmarkStart w:id="144" w:name="_Toc167220285"/>
      <w:bookmarkStart w:id="145" w:name="_Toc177549018"/>
      <w:r w:rsidRPr="0021790A">
        <w:rPr>
          <w:noProof/>
        </w:rPr>
        <w:t>3.2.</w:t>
      </w:r>
      <w:r w:rsidRPr="0021790A">
        <w:rPr>
          <w:noProof/>
        </w:rPr>
        <w:tab/>
      </w:r>
      <w:r>
        <w:rPr>
          <w:noProof/>
        </w:rPr>
        <w:t>Estimated financial impact of the proposal on appropriations</w:t>
      </w:r>
      <w:bookmarkEnd w:id="141"/>
      <w:bookmarkEnd w:id="142"/>
      <w:bookmarkEnd w:id="143"/>
      <w:bookmarkEnd w:id="144"/>
      <w:bookmarkEnd w:id="145"/>
      <w:r>
        <w:rPr>
          <w:noProof/>
        </w:rPr>
        <w:t xml:space="preserve"> </w:t>
      </w:r>
    </w:p>
    <w:p w14:paraId="163B17A8" w14:textId="77777777" w:rsidR="00EC37C5" w:rsidRDefault="00EC37C5" w:rsidP="00EC37C5">
      <w:pPr>
        <w:pStyle w:val="ManualHeading3"/>
        <w:rPr>
          <w:noProof/>
        </w:rPr>
      </w:pPr>
      <w:bookmarkStart w:id="146" w:name="_Toc514938053"/>
      <w:bookmarkStart w:id="147" w:name="_Toc520485052"/>
      <w:bookmarkStart w:id="148" w:name="_Toc160804594"/>
      <w:bookmarkStart w:id="149" w:name="_Toc167220286"/>
      <w:bookmarkStart w:id="150" w:name="_Toc177549019"/>
      <w:r w:rsidRPr="0021790A">
        <w:rPr>
          <w:noProof/>
        </w:rPr>
        <w:t>3.2.1.</w:t>
      </w:r>
      <w:r w:rsidRPr="0021790A">
        <w:rPr>
          <w:noProof/>
        </w:rPr>
        <w:tab/>
      </w:r>
      <w:r>
        <w:rPr>
          <w:noProof/>
        </w:rPr>
        <w:t>Summary of estimated impact on operational appropriations</w:t>
      </w:r>
      <w:bookmarkEnd w:id="146"/>
      <w:bookmarkEnd w:id="147"/>
      <w:bookmarkEnd w:id="148"/>
      <w:bookmarkEnd w:id="149"/>
      <w:bookmarkEnd w:id="150"/>
      <w:r>
        <w:rPr>
          <w:noProof/>
        </w:rPr>
        <w:t xml:space="preserve"> </w:t>
      </w:r>
    </w:p>
    <w:p w14:paraId="7407349C" w14:textId="77777777" w:rsidR="00EC37C5" w:rsidRDefault="00EC37C5" w:rsidP="00EC37C5">
      <w:pPr>
        <w:pStyle w:val="ListDash1"/>
        <w:rPr>
          <w:noProof/>
        </w:rPr>
      </w:pPr>
      <w:r>
        <w:rPr>
          <w:rFonts w:ascii="Wingdings" w:eastAsia="Wingdings" w:hAnsi="Wingdings" w:cs="Wingdings"/>
          <w:noProof/>
        </w:rPr>
        <w:t></w:t>
      </w:r>
      <w:r>
        <w:rPr>
          <w:noProof/>
        </w:rPr>
        <w:tab/>
        <w:t xml:space="preserve">The proposal/initiative does not require the use of operational appropriations </w:t>
      </w:r>
    </w:p>
    <w:p w14:paraId="537A47CC" w14:textId="77777777" w:rsidR="00EC37C5" w:rsidRDefault="00EC37C5" w:rsidP="00EC37C5">
      <w:pPr>
        <w:pStyle w:val="ListDash1"/>
        <w:rPr>
          <w:noProof/>
        </w:rPr>
      </w:pPr>
      <w:r w:rsidRPr="00922145">
        <w:rPr>
          <w:rFonts w:ascii="Wingdings" w:eastAsia="Wingdings" w:hAnsi="Wingdings" w:cs="Wingdings"/>
          <w:noProof/>
        </w:rPr>
        <w:t></w:t>
      </w:r>
      <w:r>
        <w:rPr>
          <w:noProof/>
        </w:rPr>
        <w:tab/>
        <w:t>The proposal/initiative requires the use of operational appropriations, as explained below</w:t>
      </w:r>
    </w:p>
    <w:p w14:paraId="15213228" w14:textId="77777777" w:rsidR="00EC37C5" w:rsidRDefault="00EC37C5" w:rsidP="00EC37C5">
      <w:pPr>
        <w:pStyle w:val="ManualHeading3"/>
        <w:rPr>
          <w:noProof/>
        </w:rPr>
      </w:pPr>
      <w:bookmarkStart w:id="151" w:name="_Toc160804595"/>
      <w:bookmarkStart w:id="152" w:name="_Toc167220287"/>
      <w:bookmarkStart w:id="153" w:name="_Toc177549020"/>
      <w:r>
        <w:rPr>
          <w:noProof/>
        </w:rPr>
        <w:t>3.2.1.1.</w:t>
      </w:r>
      <w:r>
        <w:rPr>
          <w:noProof/>
        </w:rPr>
        <w:tab/>
        <w:t>Appropriations from voted budget</w:t>
      </w:r>
      <w:bookmarkEnd w:id="151"/>
      <w:bookmarkEnd w:id="152"/>
      <w:bookmarkEnd w:id="153"/>
    </w:p>
    <w:p w14:paraId="358DE23A" w14:textId="77777777" w:rsidR="00EC37C5" w:rsidRDefault="00EC37C5" w:rsidP="00EC37C5">
      <w:pPr>
        <w:rPr>
          <w:noProof/>
          <w:sz w:val="16"/>
        </w:rPr>
      </w:pPr>
    </w:p>
    <w:p w14:paraId="1F2C9FAB" w14:textId="77777777" w:rsidR="00EC37C5" w:rsidRPr="00922145" w:rsidRDefault="00EC37C5" w:rsidP="00EC37C5">
      <w:pPr>
        <w:ind w:right="679"/>
        <w:jc w:val="right"/>
        <w:rPr>
          <w:noProof/>
          <w:sz w:val="18"/>
          <w:szCs w:val="18"/>
        </w:rPr>
      </w:pPr>
      <w:r w:rsidRPr="00922145">
        <w:rPr>
          <w:noProof/>
          <w:sz w:val="18"/>
          <w:szCs w:val="18"/>
        </w:rPr>
        <w:t>EUR million (to three decimal places)</w:t>
      </w:r>
    </w:p>
    <w:tbl>
      <w:tblPr>
        <w:tblW w:w="1403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23"/>
        <w:gridCol w:w="959"/>
        <w:gridCol w:w="959"/>
        <w:gridCol w:w="959"/>
        <w:gridCol w:w="959"/>
        <w:gridCol w:w="959"/>
        <w:gridCol w:w="959"/>
        <w:gridCol w:w="960"/>
        <w:gridCol w:w="1199"/>
      </w:tblGrid>
      <w:tr w:rsidR="00EC37C5" w:rsidRPr="00922145" w14:paraId="4B1BD2EB" w14:textId="77777777">
        <w:trPr>
          <w:trHeight w:val="744"/>
        </w:trPr>
        <w:tc>
          <w:tcPr>
            <w:tcW w:w="6123" w:type="dxa"/>
            <w:vAlign w:val="center"/>
          </w:tcPr>
          <w:p w14:paraId="0DF6195F" w14:textId="77777777" w:rsidR="00EC37C5" w:rsidRPr="00922145" w:rsidRDefault="00EC37C5">
            <w:pPr>
              <w:jc w:val="center"/>
              <w:rPr>
                <w:noProof/>
                <w:sz w:val="20"/>
                <w:szCs w:val="20"/>
              </w:rPr>
            </w:pPr>
            <w:r w:rsidRPr="00922145">
              <w:rPr>
                <w:noProof/>
                <w:sz w:val="20"/>
                <w:szCs w:val="20"/>
              </w:rPr>
              <w:t>Agency: ENISA</w:t>
            </w:r>
          </w:p>
        </w:tc>
        <w:tc>
          <w:tcPr>
            <w:tcW w:w="959" w:type="dxa"/>
            <w:vAlign w:val="center"/>
          </w:tcPr>
          <w:p w14:paraId="35381878" w14:textId="77777777" w:rsidR="00EC37C5" w:rsidRPr="00922145" w:rsidRDefault="00EC37C5">
            <w:pPr>
              <w:jc w:val="center"/>
              <w:rPr>
                <w:b/>
                <w:bCs/>
                <w:noProof/>
                <w:sz w:val="20"/>
                <w:szCs w:val="20"/>
              </w:rPr>
            </w:pPr>
            <w:r w:rsidRPr="00922145">
              <w:rPr>
                <w:noProof/>
                <w:sz w:val="18"/>
              </w:rPr>
              <w:t xml:space="preserve">Year </w:t>
            </w:r>
            <w:r w:rsidRPr="00922145">
              <w:rPr>
                <w:b/>
                <w:noProof/>
                <w:sz w:val="18"/>
              </w:rPr>
              <w:t>2028</w:t>
            </w:r>
          </w:p>
        </w:tc>
        <w:tc>
          <w:tcPr>
            <w:tcW w:w="959" w:type="dxa"/>
            <w:vAlign w:val="center"/>
          </w:tcPr>
          <w:p w14:paraId="440F8DF5" w14:textId="77777777" w:rsidR="00EC37C5" w:rsidRPr="00922145" w:rsidRDefault="00EC37C5">
            <w:pPr>
              <w:jc w:val="center"/>
              <w:rPr>
                <w:noProof/>
                <w:color w:val="000000"/>
                <w:sz w:val="20"/>
                <w:szCs w:val="20"/>
                <w:lang w:eastAsia="en-IE"/>
              </w:rPr>
            </w:pPr>
            <w:r w:rsidRPr="00922145">
              <w:rPr>
                <w:noProof/>
                <w:sz w:val="18"/>
              </w:rPr>
              <w:t xml:space="preserve">Year </w:t>
            </w:r>
            <w:r w:rsidRPr="00922145">
              <w:rPr>
                <w:b/>
                <w:noProof/>
                <w:sz w:val="18"/>
              </w:rPr>
              <w:t>2029</w:t>
            </w:r>
          </w:p>
        </w:tc>
        <w:tc>
          <w:tcPr>
            <w:tcW w:w="959" w:type="dxa"/>
            <w:vAlign w:val="center"/>
          </w:tcPr>
          <w:p w14:paraId="23C5CC18" w14:textId="77777777" w:rsidR="00EC37C5" w:rsidRPr="00922145" w:rsidRDefault="00EC37C5">
            <w:pPr>
              <w:jc w:val="center"/>
              <w:rPr>
                <w:noProof/>
                <w:color w:val="000000"/>
                <w:sz w:val="20"/>
                <w:szCs w:val="20"/>
                <w:lang w:eastAsia="en-IE"/>
              </w:rPr>
            </w:pPr>
            <w:r w:rsidRPr="00922145">
              <w:rPr>
                <w:noProof/>
                <w:sz w:val="18"/>
              </w:rPr>
              <w:t xml:space="preserve">Year </w:t>
            </w:r>
            <w:r w:rsidRPr="00922145">
              <w:rPr>
                <w:b/>
                <w:noProof/>
                <w:sz w:val="18"/>
              </w:rPr>
              <w:t>2030</w:t>
            </w:r>
          </w:p>
        </w:tc>
        <w:tc>
          <w:tcPr>
            <w:tcW w:w="959" w:type="dxa"/>
            <w:vAlign w:val="center"/>
          </w:tcPr>
          <w:p w14:paraId="76337142" w14:textId="77777777" w:rsidR="00EC37C5" w:rsidRPr="00922145" w:rsidRDefault="00EC37C5">
            <w:pPr>
              <w:jc w:val="center"/>
              <w:rPr>
                <w:noProof/>
                <w:color w:val="000000"/>
                <w:sz w:val="20"/>
                <w:szCs w:val="20"/>
                <w:lang w:eastAsia="en-IE"/>
              </w:rPr>
            </w:pPr>
            <w:r w:rsidRPr="00922145">
              <w:rPr>
                <w:noProof/>
                <w:sz w:val="18"/>
              </w:rPr>
              <w:t xml:space="preserve">Year </w:t>
            </w:r>
            <w:r w:rsidRPr="00922145">
              <w:rPr>
                <w:b/>
                <w:noProof/>
                <w:sz w:val="18"/>
              </w:rPr>
              <w:t>2031</w:t>
            </w:r>
          </w:p>
        </w:tc>
        <w:tc>
          <w:tcPr>
            <w:tcW w:w="959" w:type="dxa"/>
            <w:vAlign w:val="center"/>
          </w:tcPr>
          <w:p w14:paraId="2E8CE830" w14:textId="77777777" w:rsidR="00EC37C5" w:rsidRPr="00922145" w:rsidRDefault="00EC37C5">
            <w:pPr>
              <w:jc w:val="center"/>
              <w:rPr>
                <w:b/>
                <w:bCs/>
                <w:noProof/>
                <w:sz w:val="20"/>
                <w:szCs w:val="20"/>
              </w:rPr>
            </w:pPr>
            <w:r w:rsidRPr="00922145">
              <w:rPr>
                <w:noProof/>
                <w:sz w:val="18"/>
              </w:rPr>
              <w:t xml:space="preserve">Year </w:t>
            </w:r>
            <w:r w:rsidRPr="00922145">
              <w:rPr>
                <w:b/>
                <w:bCs/>
                <w:noProof/>
                <w:sz w:val="18"/>
              </w:rPr>
              <w:t>2032</w:t>
            </w:r>
          </w:p>
        </w:tc>
        <w:tc>
          <w:tcPr>
            <w:tcW w:w="959" w:type="dxa"/>
            <w:vAlign w:val="center"/>
          </w:tcPr>
          <w:p w14:paraId="6EB452F9" w14:textId="77777777" w:rsidR="00EC37C5" w:rsidRPr="00922145" w:rsidRDefault="00EC37C5">
            <w:pPr>
              <w:jc w:val="center"/>
              <w:rPr>
                <w:b/>
                <w:bCs/>
                <w:noProof/>
                <w:sz w:val="20"/>
                <w:szCs w:val="20"/>
              </w:rPr>
            </w:pPr>
            <w:r w:rsidRPr="00922145">
              <w:rPr>
                <w:noProof/>
                <w:sz w:val="18"/>
              </w:rPr>
              <w:t xml:space="preserve">Year </w:t>
            </w:r>
            <w:r w:rsidRPr="00922145">
              <w:rPr>
                <w:b/>
                <w:bCs/>
                <w:noProof/>
                <w:sz w:val="18"/>
              </w:rPr>
              <w:t>2033</w:t>
            </w:r>
          </w:p>
        </w:tc>
        <w:tc>
          <w:tcPr>
            <w:tcW w:w="960" w:type="dxa"/>
            <w:vAlign w:val="center"/>
          </w:tcPr>
          <w:p w14:paraId="16E01CFC" w14:textId="77777777" w:rsidR="00EC37C5" w:rsidRPr="00922145" w:rsidRDefault="00EC37C5">
            <w:pPr>
              <w:jc w:val="center"/>
              <w:rPr>
                <w:b/>
                <w:bCs/>
                <w:noProof/>
                <w:sz w:val="20"/>
                <w:szCs w:val="20"/>
              </w:rPr>
            </w:pPr>
            <w:r w:rsidRPr="00922145">
              <w:rPr>
                <w:noProof/>
                <w:sz w:val="18"/>
              </w:rPr>
              <w:t xml:space="preserve">Year </w:t>
            </w:r>
            <w:r w:rsidRPr="00922145">
              <w:rPr>
                <w:b/>
                <w:bCs/>
                <w:noProof/>
                <w:sz w:val="18"/>
              </w:rPr>
              <w:t>2034</w:t>
            </w:r>
          </w:p>
        </w:tc>
        <w:tc>
          <w:tcPr>
            <w:tcW w:w="1199" w:type="dxa"/>
            <w:vAlign w:val="center"/>
          </w:tcPr>
          <w:p w14:paraId="2EC4B335" w14:textId="77777777" w:rsidR="00EC37C5" w:rsidRPr="00922145" w:rsidRDefault="00EC37C5">
            <w:pPr>
              <w:jc w:val="center"/>
              <w:rPr>
                <w:b/>
                <w:noProof/>
                <w:sz w:val="20"/>
                <w:szCs w:val="20"/>
              </w:rPr>
            </w:pPr>
            <w:r w:rsidRPr="00922145">
              <w:rPr>
                <w:rFonts w:eastAsia="Times New Roman"/>
                <w:b/>
                <w:bCs/>
                <w:noProof/>
                <w:color w:val="000000"/>
                <w:sz w:val="20"/>
                <w:szCs w:val="20"/>
                <w:lang w:eastAsia="en-IE"/>
              </w:rPr>
              <w:t>TOTAL MFF 2028-2034</w:t>
            </w:r>
          </w:p>
        </w:tc>
      </w:tr>
      <w:tr w:rsidR="008E3FA9" w:rsidRPr="00922145" w14:paraId="405B6EEE" w14:textId="77777777">
        <w:trPr>
          <w:trHeight w:val="484"/>
        </w:trPr>
        <w:tc>
          <w:tcPr>
            <w:tcW w:w="6123" w:type="dxa"/>
            <w:vAlign w:val="center"/>
          </w:tcPr>
          <w:p w14:paraId="057752F9" w14:textId="77777777" w:rsidR="008E3FA9" w:rsidRPr="00922145" w:rsidRDefault="008E3FA9" w:rsidP="008E3FA9">
            <w:pPr>
              <w:jc w:val="left"/>
              <w:rPr>
                <w:bCs/>
                <w:noProof/>
                <w:sz w:val="20"/>
                <w:szCs w:val="20"/>
              </w:rPr>
            </w:pPr>
            <w:r w:rsidRPr="00922145">
              <w:rPr>
                <w:bCs/>
                <w:noProof/>
                <w:sz w:val="20"/>
                <w:szCs w:val="20"/>
              </w:rPr>
              <w:t>Budget line:</w:t>
            </w:r>
            <w:r w:rsidRPr="00922145">
              <w:rPr>
                <w:noProof/>
                <w:sz w:val="20"/>
                <w:szCs w:val="20"/>
              </w:rPr>
              <w:t xml:space="preserve"> &lt;…….&gt;</w:t>
            </w:r>
            <w:r w:rsidRPr="00922145">
              <w:rPr>
                <w:bCs/>
                <w:noProof/>
                <w:sz w:val="20"/>
                <w:szCs w:val="20"/>
              </w:rPr>
              <w:t xml:space="preserve"> / EU Budget </w:t>
            </w:r>
            <w:r>
              <w:rPr>
                <w:bCs/>
                <w:noProof/>
                <w:sz w:val="20"/>
                <w:szCs w:val="20"/>
              </w:rPr>
              <w:t xml:space="preserve">additional </w:t>
            </w:r>
            <w:r w:rsidRPr="00922145">
              <w:rPr>
                <w:bCs/>
                <w:noProof/>
                <w:sz w:val="20"/>
                <w:szCs w:val="20"/>
              </w:rPr>
              <w:t>contribution to the agency</w:t>
            </w:r>
          </w:p>
        </w:tc>
        <w:tc>
          <w:tcPr>
            <w:tcW w:w="959" w:type="dxa"/>
            <w:shd w:val="clear" w:color="auto" w:fill="D9D9D9" w:themeFill="background1" w:themeFillShade="D9"/>
          </w:tcPr>
          <w:p w14:paraId="4DB6C684" w14:textId="5456E346" w:rsidR="008E3FA9" w:rsidRPr="00B50FCF" w:rsidRDefault="008E3FA9" w:rsidP="008E3FA9">
            <w:pPr>
              <w:spacing w:before="20" w:after="20"/>
              <w:jc w:val="right"/>
              <w:rPr>
                <w:noProof/>
                <w:color w:val="000000"/>
                <w:sz w:val="20"/>
                <w:szCs w:val="20"/>
              </w:rPr>
            </w:pPr>
            <w:r w:rsidRPr="00B50FCF">
              <w:rPr>
                <w:noProof/>
                <w:color w:val="000000"/>
                <w:sz w:val="20"/>
                <w:szCs w:val="20"/>
              </w:rPr>
              <w:t>€2</w:t>
            </w:r>
            <w:r>
              <w:rPr>
                <w:noProof/>
                <w:color w:val="000000"/>
                <w:sz w:val="20"/>
                <w:szCs w:val="20"/>
              </w:rPr>
              <w:t>0,900</w:t>
            </w:r>
          </w:p>
        </w:tc>
        <w:tc>
          <w:tcPr>
            <w:tcW w:w="959" w:type="dxa"/>
            <w:shd w:val="clear" w:color="auto" w:fill="D9D9D9" w:themeFill="background1" w:themeFillShade="D9"/>
          </w:tcPr>
          <w:p w14:paraId="77EA884C" w14:textId="2642081C" w:rsidR="008E3FA9" w:rsidRPr="00B50FCF" w:rsidRDefault="008E3FA9" w:rsidP="008E3FA9">
            <w:pPr>
              <w:spacing w:before="20" w:after="20"/>
              <w:jc w:val="right"/>
              <w:rPr>
                <w:noProof/>
                <w:color w:val="000000"/>
                <w:sz w:val="20"/>
                <w:szCs w:val="20"/>
              </w:rPr>
            </w:pPr>
            <w:r w:rsidRPr="00B50FCF">
              <w:rPr>
                <w:noProof/>
                <w:color w:val="000000"/>
                <w:sz w:val="20"/>
                <w:szCs w:val="20"/>
              </w:rPr>
              <w:t>€20,</w:t>
            </w:r>
            <w:r>
              <w:rPr>
                <w:noProof/>
                <w:color w:val="000000"/>
                <w:sz w:val="20"/>
                <w:szCs w:val="20"/>
              </w:rPr>
              <w:t>594</w:t>
            </w:r>
          </w:p>
        </w:tc>
        <w:tc>
          <w:tcPr>
            <w:tcW w:w="959" w:type="dxa"/>
            <w:shd w:val="clear" w:color="auto" w:fill="D9D9D9" w:themeFill="background1" w:themeFillShade="D9"/>
          </w:tcPr>
          <w:p w14:paraId="7B7BBD59" w14:textId="351DFE6F" w:rsidR="008E3FA9" w:rsidRPr="00B50FCF" w:rsidRDefault="008E3FA9" w:rsidP="008E3FA9">
            <w:pPr>
              <w:spacing w:before="20" w:after="20"/>
              <w:jc w:val="right"/>
              <w:rPr>
                <w:noProof/>
                <w:color w:val="000000"/>
                <w:sz w:val="20"/>
                <w:szCs w:val="20"/>
              </w:rPr>
            </w:pPr>
            <w:r w:rsidRPr="00B50FCF">
              <w:rPr>
                <w:noProof/>
                <w:color w:val="000000"/>
                <w:sz w:val="20"/>
                <w:szCs w:val="20"/>
              </w:rPr>
              <w:t>€2</w:t>
            </w:r>
            <w:r>
              <w:rPr>
                <w:noProof/>
                <w:color w:val="000000"/>
                <w:sz w:val="20"/>
                <w:szCs w:val="20"/>
              </w:rPr>
              <w:t>5,338</w:t>
            </w:r>
          </w:p>
        </w:tc>
        <w:tc>
          <w:tcPr>
            <w:tcW w:w="959" w:type="dxa"/>
            <w:shd w:val="clear" w:color="auto" w:fill="D9D9D9" w:themeFill="background1" w:themeFillShade="D9"/>
          </w:tcPr>
          <w:p w14:paraId="551BF558" w14:textId="2DC85383" w:rsidR="008E3FA9" w:rsidRPr="00B50FCF" w:rsidRDefault="008E3FA9" w:rsidP="008E3FA9">
            <w:pPr>
              <w:spacing w:before="20" w:after="20"/>
              <w:jc w:val="right"/>
              <w:rPr>
                <w:noProof/>
                <w:color w:val="000000"/>
                <w:sz w:val="20"/>
                <w:szCs w:val="20"/>
              </w:rPr>
            </w:pPr>
            <w:r w:rsidRPr="00B50FCF">
              <w:rPr>
                <w:noProof/>
                <w:color w:val="000000"/>
                <w:sz w:val="20"/>
                <w:szCs w:val="20"/>
              </w:rPr>
              <w:t>€2</w:t>
            </w:r>
            <w:r>
              <w:rPr>
                <w:noProof/>
                <w:color w:val="000000"/>
                <w:sz w:val="20"/>
                <w:szCs w:val="20"/>
              </w:rPr>
              <w:t>6,801</w:t>
            </w:r>
          </w:p>
        </w:tc>
        <w:tc>
          <w:tcPr>
            <w:tcW w:w="959" w:type="dxa"/>
            <w:shd w:val="clear" w:color="auto" w:fill="D9D9D9" w:themeFill="background1" w:themeFillShade="D9"/>
          </w:tcPr>
          <w:p w14:paraId="2CA00E1B" w14:textId="0B2C999D" w:rsidR="008E3FA9" w:rsidRPr="00B50FCF" w:rsidRDefault="008E3FA9" w:rsidP="008E3FA9">
            <w:pPr>
              <w:spacing w:before="20" w:after="20"/>
              <w:jc w:val="right"/>
              <w:rPr>
                <w:noProof/>
                <w:color w:val="000000"/>
                <w:sz w:val="20"/>
                <w:szCs w:val="20"/>
              </w:rPr>
            </w:pPr>
            <w:r w:rsidRPr="00B50FCF">
              <w:rPr>
                <w:noProof/>
                <w:color w:val="000000"/>
                <w:sz w:val="20"/>
                <w:szCs w:val="20"/>
              </w:rPr>
              <w:t>€26,</w:t>
            </w:r>
            <w:r>
              <w:rPr>
                <w:noProof/>
                <w:color w:val="000000"/>
                <w:sz w:val="20"/>
                <w:szCs w:val="20"/>
              </w:rPr>
              <w:t>801</w:t>
            </w:r>
          </w:p>
        </w:tc>
        <w:tc>
          <w:tcPr>
            <w:tcW w:w="959" w:type="dxa"/>
            <w:shd w:val="clear" w:color="auto" w:fill="D9D9D9" w:themeFill="background1" w:themeFillShade="D9"/>
          </w:tcPr>
          <w:p w14:paraId="1349F32F" w14:textId="316BAB70" w:rsidR="008E3FA9" w:rsidRPr="00B50FCF" w:rsidRDefault="008E3FA9" w:rsidP="008E3FA9">
            <w:pPr>
              <w:spacing w:before="20" w:after="20"/>
              <w:jc w:val="right"/>
              <w:rPr>
                <w:noProof/>
                <w:color w:val="000000"/>
                <w:sz w:val="20"/>
                <w:szCs w:val="20"/>
              </w:rPr>
            </w:pPr>
            <w:r w:rsidRPr="00B50FCF">
              <w:rPr>
                <w:noProof/>
                <w:color w:val="000000"/>
                <w:sz w:val="20"/>
                <w:szCs w:val="20"/>
              </w:rPr>
              <w:t>€2</w:t>
            </w:r>
            <w:r>
              <w:rPr>
                <w:noProof/>
                <w:color w:val="000000"/>
                <w:sz w:val="20"/>
                <w:szCs w:val="20"/>
              </w:rPr>
              <w:t>6,301</w:t>
            </w:r>
          </w:p>
        </w:tc>
        <w:tc>
          <w:tcPr>
            <w:tcW w:w="960" w:type="dxa"/>
            <w:shd w:val="clear" w:color="auto" w:fill="D9D9D9" w:themeFill="background1" w:themeFillShade="D9"/>
          </w:tcPr>
          <w:p w14:paraId="17030F98" w14:textId="369D190D" w:rsidR="008E3FA9" w:rsidRPr="00B50FCF" w:rsidRDefault="008E3FA9" w:rsidP="008E3FA9">
            <w:pPr>
              <w:spacing w:before="20" w:after="20"/>
              <w:jc w:val="right"/>
              <w:rPr>
                <w:noProof/>
                <w:color w:val="000000"/>
                <w:sz w:val="20"/>
                <w:szCs w:val="20"/>
              </w:rPr>
            </w:pPr>
            <w:r w:rsidRPr="00B50FCF">
              <w:rPr>
                <w:noProof/>
                <w:color w:val="000000"/>
                <w:sz w:val="20"/>
                <w:szCs w:val="20"/>
              </w:rPr>
              <w:t>€2</w:t>
            </w:r>
            <w:r>
              <w:rPr>
                <w:noProof/>
                <w:color w:val="000000"/>
                <w:sz w:val="20"/>
                <w:szCs w:val="20"/>
              </w:rPr>
              <w:t>6</w:t>
            </w:r>
            <w:r w:rsidRPr="00B50FCF">
              <w:rPr>
                <w:noProof/>
                <w:color w:val="000000"/>
                <w:sz w:val="20"/>
                <w:szCs w:val="20"/>
              </w:rPr>
              <w:t>,</w:t>
            </w:r>
            <w:r>
              <w:rPr>
                <w:noProof/>
                <w:color w:val="000000"/>
                <w:sz w:val="20"/>
                <w:szCs w:val="20"/>
              </w:rPr>
              <w:t>301</w:t>
            </w:r>
          </w:p>
        </w:tc>
        <w:tc>
          <w:tcPr>
            <w:tcW w:w="1199" w:type="dxa"/>
            <w:shd w:val="clear" w:color="auto" w:fill="D9D9D9" w:themeFill="background1" w:themeFillShade="D9"/>
            <w:vAlign w:val="center"/>
          </w:tcPr>
          <w:p w14:paraId="6B79F290" w14:textId="2198D107" w:rsidR="008E3FA9" w:rsidRPr="00922145" w:rsidRDefault="008E3FA9" w:rsidP="008E3FA9">
            <w:pPr>
              <w:spacing w:before="20" w:after="20"/>
              <w:jc w:val="right"/>
              <w:rPr>
                <w:b/>
                <w:noProof/>
                <w:sz w:val="20"/>
                <w:szCs w:val="20"/>
              </w:rPr>
            </w:pPr>
            <w:r>
              <w:rPr>
                <w:noProof/>
                <w:color w:val="000000"/>
                <w:sz w:val="20"/>
                <w:szCs w:val="20"/>
              </w:rPr>
              <w:t>173,006</w:t>
            </w:r>
          </w:p>
        </w:tc>
      </w:tr>
    </w:tbl>
    <w:p w14:paraId="0E0B07EB" w14:textId="6E3205BC" w:rsidR="00EC37C5" w:rsidRDefault="00EC37C5" w:rsidP="007E6A63">
      <w:pPr>
        <w:spacing w:after="0"/>
        <w:ind w:left="142" w:right="822"/>
        <w:rPr>
          <w:noProof/>
          <w:sz w:val="20"/>
          <w:szCs w:val="20"/>
        </w:rPr>
      </w:pPr>
      <w:r w:rsidRPr="00922145">
        <w:rPr>
          <w:noProof/>
        </w:rPr>
        <w:t xml:space="preserve">The appropriations / EU budget contribution to the agency will be compensated by a reduction of the envelope of the following programme </w:t>
      </w:r>
      <w:r w:rsidRPr="00922145">
        <w:rPr>
          <w:noProof/>
          <w:sz w:val="20"/>
          <w:szCs w:val="20"/>
        </w:rPr>
        <w:t>&lt;…….&gt;</w:t>
      </w:r>
      <w:r w:rsidRPr="00922145">
        <w:rPr>
          <w:noProof/>
        </w:rPr>
        <w:t xml:space="preserve"> / budget line:  </w:t>
      </w:r>
      <w:r w:rsidRPr="00922145">
        <w:rPr>
          <w:noProof/>
          <w:sz w:val="20"/>
          <w:szCs w:val="20"/>
        </w:rPr>
        <w:t xml:space="preserve">&lt;…….&gt; </w:t>
      </w:r>
      <w:r w:rsidRPr="00922145">
        <w:rPr>
          <w:noProof/>
        </w:rPr>
        <w:t xml:space="preserve">/ in the year(s) :  </w:t>
      </w:r>
      <w:r w:rsidRPr="00922145">
        <w:rPr>
          <w:noProof/>
          <w:sz w:val="20"/>
          <w:szCs w:val="20"/>
        </w:rPr>
        <w:t>&lt;…….&gt; .</w:t>
      </w:r>
    </w:p>
    <w:p w14:paraId="66FC4A7B" w14:textId="1AA1EC6D" w:rsidR="007E6A63" w:rsidRPr="00AB3669" w:rsidRDefault="007E6A63" w:rsidP="007E6A63">
      <w:pPr>
        <w:spacing w:after="0"/>
        <w:ind w:left="142" w:right="822"/>
        <w:rPr>
          <w:noProof/>
        </w:rPr>
      </w:pPr>
    </w:p>
    <w:tbl>
      <w:tblPr>
        <w:tblW w:w="5000" w:type="pct"/>
        <w:tblLook w:val="04A0" w:firstRow="1" w:lastRow="0" w:firstColumn="1" w:lastColumn="0" w:noHBand="0" w:noVBand="1"/>
      </w:tblPr>
      <w:tblGrid>
        <w:gridCol w:w="989"/>
        <w:gridCol w:w="635"/>
        <w:gridCol w:w="791"/>
        <w:gridCol w:w="446"/>
        <w:gridCol w:w="272"/>
        <w:gridCol w:w="130"/>
        <w:gridCol w:w="997"/>
        <w:gridCol w:w="262"/>
        <w:gridCol w:w="236"/>
        <w:gridCol w:w="859"/>
        <w:gridCol w:w="165"/>
        <w:gridCol w:w="145"/>
        <w:gridCol w:w="1115"/>
        <w:gridCol w:w="17"/>
        <w:gridCol w:w="1132"/>
        <w:gridCol w:w="111"/>
        <w:gridCol w:w="1209"/>
        <w:gridCol w:w="54"/>
        <w:gridCol w:w="1263"/>
        <w:gridCol w:w="122"/>
        <w:gridCol w:w="1129"/>
        <w:gridCol w:w="11"/>
        <w:gridCol w:w="1058"/>
        <w:gridCol w:w="60"/>
        <w:gridCol w:w="1012"/>
      </w:tblGrid>
      <w:tr w:rsidR="00EC37C5" w:rsidRPr="00922145" w14:paraId="5D0C1871" w14:textId="77777777" w:rsidTr="008E3FA9">
        <w:trPr>
          <w:trHeight w:val="410"/>
        </w:trPr>
        <w:tc>
          <w:tcPr>
            <w:tcW w:w="1147" w:type="pct"/>
            <w:gridSpan w:val="6"/>
            <w:vMerge w:val="restart"/>
            <w:tcBorders>
              <w:top w:val="single" w:sz="8" w:space="0" w:color="auto"/>
              <w:left w:val="single" w:sz="8" w:space="0" w:color="auto"/>
              <w:bottom w:val="single" w:sz="8" w:space="0" w:color="000000"/>
              <w:right w:val="single" w:sz="8" w:space="0" w:color="000000"/>
            </w:tcBorders>
            <w:vAlign w:val="center"/>
            <w:hideMark/>
          </w:tcPr>
          <w:p w14:paraId="583B8009" w14:textId="77777777" w:rsidR="00EC37C5" w:rsidRPr="00922145" w:rsidRDefault="00EC37C5">
            <w:pPr>
              <w:spacing w:before="0" w:after="0"/>
              <w:jc w:val="center"/>
              <w:rPr>
                <w:rFonts w:eastAsia="Times New Roman"/>
                <w:b/>
                <w:bCs/>
                <w:noProof/>
                <w:color w:val="000000"/>
                <w:sz w:val="22"/>
                <w:lang w:eastAsia="en-IE"/>
              </w:rPr>
            </w:pPr>
            <w:r w:rsidRPr="00922145">
              <w:rPr>
                <w:rFonts w:eastAsia="Times New Roman"/>
                <w:b/>
                <w:bCs/>
                <w:noProof/>
                <w:color w:val="000000"/>
                <w:sz w:val="22"/>
                <w:lang w:eastAsia="en-IE"/>
              </w:rPr>
              <w:t> </w:t>
            </w:r>
          </w:p>
        </w:tc>
        <w:tc>
          <w:tcPr>
            <w:tcW w:w="443" w:type="pct"/>
            <w:gridSpan w:val="2"/>
            <w:tcBorders>
              <w:top w:val="single" w:sz="8" w:space="0" w:color="auto"/>
              <w:left w:val="nil"/>
              <w:bottom w:val="single" w:sz="8" w:space="0" w:color="auto"/>
              <w:right w:val="single" w:sz="8" w:space="0" w:color="auto"/>
            </w:tcBorders>
            <w:vAlign w:val="center"/>
            <w:hideMark/>
          </w:tcPr>
          <w:p w14:paraId="7DABC5EA" w14:textId="77777777" w:rsidR="00EC37C5" w:rsidRPr="00922145" w:rsidRDefault="00EC37C5">
            <w:pPr>
              <w:spacing w:before="0" w:after="0"/>
              <w:jc w:val="center"/>
              <w:rPr>
                <w:rFonts w:eastAsia="Times New Roman"/>
                <w:noProof/>
                <w:color w:val="000000"/>
                <w:sz w:val="20"/>
                <w:szCs w:val="20"/>
                <w:lang w:eastAsia="en-IE"/>
              </w:rPr>
            </w:pPr>
            <w:r w:rsidRPr="00922145">
              <w:rPr>
                <w:rFonts w:eastAsia="Times New Roman"/>
                <w:noProof/>
                <w:color w:val="000000"/>
                <w:sz w:val="20"/>
                <w:szCs w:val="20"/>
                <w:lang w:eastAsia="en-IE"/>
              </w:rPr>
              <w:t>Year</w:t>
            </w:r>
          </w:p>
        </w:tc>
        <w:tc>
          <w:tcPr>
            <w:tcW w:w="443" w:type="pct"/>
            <w:gridSpan w:val="3"/>
            <w:tcBorders>
              <w:top w:val="single" w:sz="8" w:space="0" w:color="auto"/>
              <w:left w:val="nil"/>
              <w:bottom w:val="single" w:sz="8" w:space="0" w:color="auto"/>
              <w:right w:val="single" w:sz="8" w:space="0" w:color="auto"/>
            </w:tcBorders>
            <w:vAlign w:val="center"/>
            <w:hideMark/>
          </w:tcPr>
          <w:p w14:paraId="41D48A62" w14:textId="77777777" w:rsidR="00EC37C5" w:rsidRPr="00922145" w:rsidRDefault="00EC37C5">
            <w:pPr>
              <w:spacing w:before="0" w:after="0"/>
              <w:jc w:val="center"/>
              <w:rPr>
                <w:rFonts w:eastAsia="Times New Roman"/>
                <w:noProof/>
                <w:color w:val="000000"/>
                <w:sz w:val="20"/>
                <w:szCs w:val="20"/>
                <w:lang w:eastAsia="en-IE"/>
              </w:rPr>
            </w:pPr>
            <w:r w:rsidRPr="00922145">
              <w:rPr>
                <w:rFonts w:eastAsia="Times New Roman"/>
                <w:noProof/>
                <w:color w:val="000000"/>
                <w:sz w:val="20"/>
                <w:szCs w:val="20"/>
                <w:lang w:eastAsia="en-IE"/>
              </w:rPr>
              <w:t>Year</w:t>
            </w:r>
          </w:p>
        </w:tc>
        <w:tc>
          <w:tcPr>
            <w:tcW w:w="443" w:type="pct"/>
            <w:gridSpan w:val="2"/>
            <w:tcBorders>
              <w:top w:val="single" w:sz="8" w:space="0" w:color="auto"/>
              <w:left w:val="nil"/>
              <w:bottom w:val="single" w:sz="8" w:space="0" w:color="auto"/>
              <w:right w:val="single" w:sz="8" w:space="0" w:color="auto"/>
            </w:tcBorders>
            <w:vAlign w:val="center"/>
            <w:hideMark/>
          </w:tcPr>
          <w:p w14:paraId="11CDAC7E" w14:textId="77777777" w:rsidR="00EC37C5" w:rsidRPr="00922145" w:rsidRDefault="00EC37C5">
            <w:pPr>
              <w:spacing w:before="0" w:after="0"/>
              <w:jc w:val="center"/>
              <w:rPr>
                <w:rFonts w:eastAsia="Times New Roman"/>
                <w:noProof/>
                <w:color w:val="000000"/>
                <w:sz w:val="20"/>
                <w:szCs w:val="20"/>
                <w:lang w:eastAsia="en-IE"/>
              </w:rPr>
            </w:pPr>
            <w:r w:rsidRPr="00922145">
              <w:rPr>
                <w:rFonts w:eastAsia="Times New Roman"/>
                <w:noProof/>
                <w:color w:val="000000"/>
                <w:sz w:val="20"/>
                <w:szCs w:val="20"/>
                <w:lang w:eastAsia="en-IE"/>
              </w:rPr>
              <w:t>Year</w:t>
            </w:r>
          </w:p>
        </w:tc>
        <w:tc>
          <w:tcPr>
            <w:tcW w:w="443" w:type="pct"/>
            <w:gridSpan w:val="3"/>
            <w:tcBorders>
              <w:top w:val="single" w:sz="8" w:space="0" w:color="auto"/>
              <w:left w:val="nil"/>
              <w:bottom w:val="single" w:sz="8" w:space="0" w:color="auto"/>
              <w:right w:val="single" w:sz="8" w:space="0" w:color="auto"/>
            </w:tcBorders>
            <w:vAlign w:val="center"/>
            <w:hideMark/>
          </w:tcPr>
          <w:p w14:paraId="1A5F1DEA" w14:textId="77777777" w:rsidR="00EC37C5" w:rsidRPr="00922145" w:rsidRDefault="00EC37C5">
            <w:pPr>
              <w:spacing w:before="0" w:after="0"/>
              <w:jc w:val="center"/>
              <w:rPr>
                <w:rFonts w:eastAsia="Times New Roman"/>
                <w:noProof/>
                <w:color w:val="000000"/>
                <w:sz w:val="20"/>
                <w:szCs w:val="20"/>
                <w:lang w:eastAsia="en-IE"/>
              </w:rPr>
            </w:pPr>
            <w:r w:rsidRPr="00922145">
              <w:rPr>
                <w:rFonts w:eastAsia="Times New Roman"/>
                <w:noProof/>
                <w:color w:val="000000"/>
                <w:sz w:val="20"/>
                <w:szCs w:val="20"/>
                <w:lang w:eastAsia="en-IE"/>
              </w:rPr>
              <w:t>Year</w:t>
            </w:r>
          </w:p>
        </w:tc>
        <w:tc>
          <w:tcPr>
            <w:tcW w:w="444" w:type="pct"/>
            <w:gridSpan w:val="2"/>
            <w:tcBorders>
              <w:top w:val="single" w:sz="8" w:space="0" w:color="auto"/>
              <w:left w:val="nil"/>
              <w:bottom w:val="single" w:sz="8" w:space="0" w:color="auto"/>
              <w:right w:val="single" w:sz="8" w:space="0" w:color="auto"/>
            </w:tcBorders>
            <w:vAlign w:val="center"/>
            <w:hideMark/>
          </w:tcPr>
          <w:p w14:paraId="4E0B6011" w14:textId="77777777" w:rsidR="00EC37C5" w:rsidRPr="00922145" w:rsidRDefault="00EC37C5">
            <w:pPr>
              <w:spacing w:before="0" w:after="0"/>
              <w:jc w:val="center"/>
              <w:rPr>
                <w:rFonts w:eastAsia="Times New Roman"/>
                <w:noProof/>
                <w:color w:val="000000"/>
                <w:sz w:val="20"/>
                <w:szCs w:val="20"/>
                <w:lang w:eastAsia="en-IE"/>
              </w:rPr>
            </w:pPr>
            <w:r w:rsidRPr="00922145">
              <w:rPr>
                <w:rFonts w:eastAsia="Times New Roman"/>
                <w:noProof/>
                <w:color w:val="000000"/>
                <w:sz w:val="20"/>
                <w:szCs w:val="20"/>
                <w:lang w:eastAsia="en-IE"/>
              </w:rPr>
              <w:t>Year</w:t>
            </w:r>
          </w:p>
        </w:tc>
        <w:tc>
          <w:tcPr>
            <w:tcW w:w="444" w:type="pct"/>
            <w:tcBorders>
              <w:top w:val="single" w:sz="8" w:space="0" w:color="auto"/>
              <w:left w:val="nil"/>
              <w:bottom w:val="single" w:sz="8" w:space="0" w:color="auto"/>
              <w:right w:val="single" w:sz="8" w:space="0" w:color="auto"/>
            </w:tcBorders>
            <w:vAlign w:val="center"/>
            <w:hideMark/>
          </w:tcPr>
          <w:p w14:paraId="25713FA6" w14:textId="77777777" w:rsidR="00EC37C5" w:rsidRPr="00922145" w:rsidRDefault="00EC37C5">
            <w:pPr>
              <w:spacing w:before="0" w:after="0"/>
              <w:jc w:val="center"/>
              <w:rPr>
                <w:rFonts w:eastAsia="Times New Roman"/>
                <w:noProof/>
                <w:color w:val="000000"/>
                <w:sz w:val="20"/>
                <w:szCs w:val="20"/>
                <w:lang w:eastAsia="en-IE"/>
              </w:rPr>
            </w:pPr>
            <w:r w:rsidRPr="00922145">
              <w:rPr>
                <w:rFonts w:eastAsia="Times New Roman"/>
                <w:noProof/>
                <w:color w:val="000000"/>
                <w:sz w:val="20"/>
                <w:szCs w:val="20"/>
                <w:lang w:eastAsia="en-IE"/>
              </w:rPr>
              <w:t>Year</w:t>
            </w:r>
          </w:p>
        </w:tc>
        <w:tc>
          <w:tcPr>
            <w:tcW w:w="444" w:type="pct"/>
            <w:gridSpan w:val="3"/>
            <w:tcBorders>
              <w:top w:val="single" w:sz="8" w:space="0" w:color="auto"/>
              <w:left w:val="nil"/>
              <w:bottom w:val="single" w:sz="8" w:space="0" w:color="auto"/>
              <w:right w:val="single" w:sz="8" w:space="0" w:color="auto"/>
            </w:tcBorders>
            <w:vAlign w:val="center"/>
            <w:hideMark/>
          </w:tcPr>
          <w:p w14:paraId="04A3841F" w14:textId="77777777" w:rsidR="00EC37C5" w:rsidRPr="00922145" w:rsidRDefault="00EC37C5">
            <w:pPr>
              <w:spacing w:before="0" w:after="0"/>
              <w:jc w:val="center"/>
              <w:rPr>
                <w:rFonts w:eastAsia="Times New Roman"/>
                <w:noProof/>
                <w:color w:val="000000"/>
                <w:sz w:val="20"/>
                <w:szCs w:val="20"/>
                <w:lang w:eastAsia="en-IE"/>
              </w:rPr>
            </w:pPr>
            <w:r w:rsidRPr="00922145">
              <w:rPr>
                <w:rFonts w:eastAsia="Times New Roman"/>
                <w:noProof/>
                <w:color w:val="000000"/>
                <w:sz w:val="20"/>
                <w:szCs w:val="20"/>
                <w:lang w:eastAsia="en-IE"/>
              </w:rPr>
              <w:t>Year</w:t>
            </w:r>
          </w:p>
        </w:tc>
        <w:tc>
          <w:tcPr>
            <w:tcW w:w="749" w:type="pct"/>
            <w:gridSpan w:val="3"/>
            <w:vMerge w:val="restart"/>
            <w:tcBorders>
              <w:top w:val="single" w:sz="8" w:space="0" w:color="auto"/>
              <w:left w:val="single" w:sz="8" w:space="0" w:color="auto"/>
              <w:bottom w:val="single" w:sz="8" w:space="0" w:color="000000"/>
              <w:right w:val="single" w:sz="8" w:space="0" w:color="auto"/>
            </w:tcBorders>
            <w:vAlign w:val="center"/>
            <w:hideMark/>
          </w:tcPr>
          <w:p w14:paraId="10105150" w14:textId="77777777" w:rsidR="00EC37C5" w:rsidRPr="00922145" w:rsidRDefault="00EC37C5">
            <w:pPr>
              <w:spacing w:before="0" w:after="0"/>
              <w:jc w:val="center"/>
              <w:rPr>
                <w:rFonts w:eastAsia="Times New Roman"/>
                <w:b/>
                <w:bCs/>
                <w:noProof/>
                <w:color w:val="000000"/>
                <w:sz w:val="20"/>
                <w:szCs w:val="20"/>
                <w:lang w:eastAsia="en-IE"/>
              </w:rPr>
            </w:pPr>
            <w:r w:rsidRPr="00922145">
              <w:rPr>
                <w:rFonts w:eastAsia="Times New Roman"/>
                <w:b/>
                <w:bCs/>
                <w:noProof/>
                <w:color w:val="000000"/>
                <w:sz w:val="20"/>
                <w:szCs w:val="20"/>
                <w:lang w:eastAsia="en-IE"/>
              </w:rPr>
              <w:t>TOTAL MFF 2028-2034</w:t>
            </w:r>
          </w:p>
        </w:tc>
      </w:tr>
      <w:tr w:rsidR="00EC37C5" w:rsidRPr="00922145" w14:paraId="4CF1C205" w14:textId="77777777" w:rsidTr="008E3FA9">
        <w:trPr>
          <w:trHeight w:val="300"/>
        </w:trPr>
        <w:tc>
          <w:tcPr>
            <w:tcW w:w="1147" w:type="pct"/>
            <w:gridSpan w:val="6"/>
            <w:vMerge/>
            <w:tcBorders>
              <w:top w:val="single" w:sz="8" w:space="0" w:color="auto"/>
              <w:left w:val="single" w:sz="8" w:space="0" w:color="auto"/>
              <w:bottom w:val="single" w:sz="8" w:space="0" w:color="000000"/>
              <w:right w:val="single" w:sz="8" w:space="0" w:color="000000"/>
            </w:tcBorders>
            <w:vAlign w:val="center"/>
            <w:hideMark/>
          </w:tcPr>
          <w:p w14:paraId="3412919A" w14:textId="77777777" w:rsidR="00EC37C5" w:rsidRPr="00922145" w:rsidRDefault="00EC37C5">
            <w:pPr>
              <w:spacing w:before="0" w:after="0"/>
              <w:jc w:val="left"/>
              <w:rPr>
                <w:rFonts w:eastAsia="Times New Roman"/>
                <w:b/>
                <w:bCs/>
                <w:noProof/>
                <w:color w:val="000000"/>
                <w:sz w:val="22"/>
                <w:lang w:eastAsia="en-IE"/>
              </w:rPr>
            </w:pPr>
          </w:p>
        </w:tc>
        <w:tc>
          <w:tcPr>
            <w:tcW w:w="443" w:type="pct"/>
            <w:gridSpan w:val="2"/>
            <w:tcBorders>
              <w:top w:val="nil"/>
              <w:left w:val="nil"/>
              <w:bottom w:val="single" w:sz="8" w:space="0" w:color="auto"/>
              <w:right w:val="single" w:sz="8" w:space="0" w:color="auto"/>
            </w:tcBorders>
            <w:vAlign w:val="center"/>
            <w:hideMark/>
          </w:tcPr>
          <w:p w14:paraId="47687FA9" w14:textId="77777777" w:rsidR="00EC37C5" w:rsidRPr="00922145" w:rsidRDefault="00EC37C5">
            <w:pPr>
              <w:spacing w:before="0" w:after="0"/>
              <w:jc w:val="center"/>
              <w:rPr>
                <w:rFonts w:eastAsia="Times New Roman"/>
                <w:b/>
                <w:bCs/>
                <w:noProof/>
                <w:color w:val="000000"/>
                <w:sz w:val="20"/>
                <w:szCs w:val="20"/>
                <w:lang w:eastAsia="en-IE"/>
              </w:rPr>
            </w:pPr>
            <w:r w:rsidRPr="00922145">
              <w:rPr>
                <w:rFonts w:eastAsia="Times New Roman"/>
                <w:b/>
                <w:bCs/>
                <w:noProof/>
                <w:color w:val="000000"/>
                <w:sz w:val="20"/>
                <w:szCs w:val="20"/>
                <w:lang w:eastAsia="en-IE"/>
              </w:rPr>
              <w:t>2028</w:t>
            </w:r>
          </w:p>
        </w:tc>
        <w:tc>
          <w:tcPr>
            <w:tcW w:w="443" w:type="pct"/>
            <w:gridSpan w:val="3"/>
            <w:tcBorders>
              <w:top w:val="nil"/>
              <w:left w:val="nil"/>
              <w:bottom w:val="single" w:sz="8" w:space="0" w:color="auto"/>
              <w:right w:val="single" w:sz="8" w:space="0" w:color="auto"/>
            </w:tcBorders>
            <w:vAlign w:val="center"/>
            <w:hideMark/>
          </w:tcPr>
          <w:p w14:paraId="0EF65183" w14:textId="77777777" w:rsidR="00EC37C5" w:rsidRPr="00922145" w:rsidRDefault="00EC37C5">
            <w:pPr>
              <w:spacing w:before="0" w:after="0"/>
              <w:jc w:val="center"/>
              <w:rPr>
                <w:rFonts w:eastAsia="Times New Roman"/>
                <w:b/>
                <w:bCs/>
                <w:noProof/>
                <w:color w:val="000000"/>
                <w:sz w:val="20"/>
                <w:szCs w:val="20"/>
                <w:lang w:eastAsia="en-IE"/>
              </w:rPr>
            </w:pPr>
            <w:r w:rsidRPr="00922145">
              <w:rPr>
                <w:rFonts w:eastAsia="Times New Roman"/>
                <w:b/>
                <w:bCs/>
                <w:noProof/>
                <w:color w:val="000000"/>
                <w:sz w:val="20"/>
                <w:szCs w:val="20"/>
                <w:lang w:eastAsia="en-IE"/>
              </w:rPr>
              <w:t>2029</w:t>
            </w:r>
          </w:p>
        </w:tc>
        <w:tc>
          <w:tcPr>
            <w:tcW w:w="443" w:type="pct"/>
            <w:gridSpan w:val="2"/>
            <w:tcBorders>
              <w:top w:val="nil"/>
              <w:left w:val="nil"/>
              <w:bottom w:val="single" w:sz="8" w:space="0" w:color="auto"/>
              <w:right w:val="single" w:sz="8" w:space="0" w:color="auto"/>
            </w:tcBorders>
            <w:vAlign w:val="center"/>
            <w:hideMark/>
          </w:tcPr>
          <w:p w14:paraId="1AA1BD46" w14:textId="77777777" w:rsidR="00EC37C5" w:rsidRPr="00922145" w:rsidRDefault="00EC37C5">
            <w:pPr>
              <w:spacing w:before="0" w:after="0"/>
              <w:jc w:val="center"/>
              <w:rPr>
                <w:rFonts w:eastAsia="Times New Roman"/>
                <w:b/>
                <w:bCs/>
                <w:noProof/>
                <w:color w:val="000000"/>
                <w:sz w:val="20"/>
                <w:szCs w:val="20"/>
                <w:lang w:eastAsia="en-IE"/>
              </w:rPr>
            </w:pPr>
            <w:r w:rsidRPr="00922145">
              <w:rPr>
                <w:rFonts w:eastAsia="Times New Roman"/>
                <w:b/>
                <w:bCs/>
                <w:noProof/>
                <w:color w:val="000000"/>
                <w:sz w:val="20"/>
                <w:szCs w:val="20"/>
                <w:lang w:eastAsia="en-IE"/>
              </w:rPr>
              <w:t>2030</w:t>
            </w:r>
          </w:p>
        </w:tc>
        <w:tc>
          <w:tcPr>
            <w:tcW w:w="443" w:type="pct"/>
            <w:gridSpan w:val="3"/>
            <w:tcBorders>
              <w:top w:val="nil"/>
              <w:left w:val="nil"/>
              <w:bottom w:val="single" w:sz="8" w:space="0" w:color="auto"/>
              <w:right w:val="single" w:sz="8" w:space="0" w:color="auto"/>
            </w:tcBorders>
            <w:vAlign w:val="center"/>
            <w:hideMark/>
          </w:tcPr>
          <w:p w14:paraId="49E6E020" w14:textId="77777777" w:rsidR="00EC37C5" w:rsidRPr="00922145" w:rsidRDefault="00EC37C5">
            <w:pPr>
              <w:spacing w:before="0" w:after="0"/>
              <w:jc w:val="center"/>
              <w:rPr>
                <w:rFonts w:eastAsia="Times New Roman"/>
                <w:b/>
                <w:bCs/>
                <w:noProof/>
                <w:color w:val="000000"/>
                <w:sz w:val="20"/>
                <w:szCs w:val="20"/>
                <w:lang w:eastAsia="en-IE"/>
              </w:rPr>
            </w:pPr>
            <w:r w:rsidRPr="00922145">
              <w:rPr>
                <w:rFonts w:eastAsia="Times New Roman"/>
                <w:b/>
                <w:bCs/>
                <w:noProof/>
                <w:color w:val="000000"/>
                <w:sz w:val="20"/>
                <w:szCs w:val="20"/>
                <w:lang w:eastAsia="en-IE"/>
              </w:rPr>
              <w:t>2031</w:t>
            </w:r>
          </w:p>
        </w:tc>
        <w:tc>
          <w:tcPr>
            <w:tcW w:w="444" w:type="pct"/>
            <w:gridSpan w:val="2"/>
            <w:tcBorders>
              <w:top w:val="nil"/>
              <w:left w:val="nil"/>
              <w:bottom w:val="single" w:sz="8" w:space="0" w:color="auto"/>
              <w:right w:val="single" w:sz="8" w:space="0" w:color="auto"/>
            </w:tcBorders>
            <w:vAlign w:val="center"/>
            <w:hideMark/>
          </w:tcPr>
          <w:p w14:paraId="39310038" w14:textId="77777777" w:rsidR="00EC37C5" w:rsidRPr="00922145" w:rsidRDefault="00EC37C5">
            <w:pPr>
              <w:spacing w:before="0" w:after="0"/>
              <w:jc w:val="center"/>
              <w:rPr>
                <w:rFonts w:eastAsia="Times New Roman"/>
                <w:b/>
                <w:bCs/>
                <w:noProof/>
                <w:color w:val="000000"/>
                <w:sz w:val="20"/>
                <w:szCs w:val="20"/>
                <w:lang w:eastAsia="en-IE"/>
              </w:rPr>
            </w:pPr>
            <w:r w:rsidRPr="00922145">
              <w:rPr>
                <w:rFonts w:eastAsia="Times New Roman"/>
                <w:b/>
                <w:bCs/>
                <w:noProof/>
                <w:color w:val="000000"/>
                <w:sz w:val="20"/>
                <w:szCs w:val="20"/>
                <w:lang w:eastAsia="en-IE"/>
              </w:rPr>
              <w:t>2032</w:t>
            </w:r>
          </w:p>
        </w:tc>
        <w:tc>
          <w:tcPr>
            <w:tcW w:w="444" w:type="pct"/>
            <w:tcBorders>
              <w:top w:val="nil"/>
              <w:left w:val="nil"/>
              <w:bottom w:val="single" w:sz="8" w:space="0" w:color="auto"/>
              <w:right w:val="single" w:sz="8" w:space="0" w:color="auto"/>
            </w:tcBorders>
            <w:vAlign w:val="center"/>
            <w:hideMark/>
          </w:tcPr>
          <w:p w14:paraId="27E240F5" w14:textId="77777777" w:rsidR="00EC37C5" w:rsidRPr="00922145" w:rsidRDefault="00EC37C5">
            <w:pPr>
              <w:spacing w:before="0" w:after="0"/>
              <w:jc w:val="center"/>
              <w:rPr>
                <w:rFonts w:eastAsia="Times New Roman"/>
                <w:b/>
                <w:bCs/>
                <w:noProof/>
                <w:color w:val="000000"/>
                <w:sz w:val="20"/>
                <w:szCs w:val="20"/>
                <w:lang w:eastAsia="en-IE"/>
              </w:rPr>
            </w:pPr>
            <w:r w:rsidRPr="00922145">
              <w:rPr>
                <w:rFonts w:eastAsia="Times New Roman"/>
                <w:b/>
                <w:bCs/>
                <w:noProof/>
                <w:color w:val="000000"/>
                <w:sz w:val="20"/>
                <w:szCs w:val="20"/>
                <w:lang w:eastAsia="en-IE"/>
              </w:rPr>
              <w:t>2033</w:t>
            </w:r>
          </w:p>
        </w:tc>
        <w:tc>
          <w:tcPr>
            <w:tcW w:w="444" w:type="pct"/>
            <w:gridSpan w:val="3"/>
            <w:tcBorders>
              <w:top w:val="nil"/>
              <w:left w:val="nil"/>
              <w:bottom w:val="single" w:sz="8" w:space="0" w:color="auto"/>
              <w:right w:val="single" w:sz="8" w:space="0" w:color="auto"/>
            </w:tcBorders>
            <w:vAlign w:val="center"/>
            <w:hideMark/>
          </w:tcPr>
          <w:p w14:paraId="2DE2BDF6" w14:textId="77777777" w:rsidR="00EC37C5" w:rsidRPr="00922145" w:rsidRDefault="00EC37C5">
            <w:pPr>
              <w:spacing w:before="0" w:after="0"/>
              <w:jc w:val="center"/>
              <w:rPr>
                <w:rFonts w:eastAsia="Times New Roman"/>
                <w:b/>
                <w:bCs/>
                <w:noProof/>
                <w:color w:val="000000"/>
                <w:sz w:val="20"/>
                <w:szCs w:val="20"/>
                <w:lang w:eastAsia="en-IE"/>
              </w:rPr>
            </w:pPr>
            <w:r w:rsidRPr="00922145">
              <w:rPr>
                <w:rFonts w:eastAsia="Times New Roman"/>
                <w:b/>
                <w:bCs/>
                <w:noProof/>
                <w:color w:val="000000"/>
                <w:sz w:val="20"/>
                <w:szCs w:val="20"/>
                <w:lang w:eastAsia="en-IE"/>
              </w:rPr>
              <w:t>2034</w:t>
            </w:r>
          </w:p>
        </w:tc>
        <w:tc>
          <w:tcPr>
            <w:tcW w:w="749" w:type="pct"/>
            <w:gridSpan w:val="3"/>
            <w:vMerge/>
            <w:tcBorders>
              <w:top w:val="single" w:sz="8" w:space="0" w:color="auto"/>
              <w:left w:val="single" w:sz="8" w:space="0" w:color="auto"/>
              <w:bottom w:val="single" w:sz="8" w:space="0" w:color="000000"/>
              <w:right w:val="single" w:sz="8" w:space="0" w:color="auto"/>
            </w:tcBorders>
            <w:vAlign w:val="center"/>
            <w:hideMark/>
          </w:tcPr>
          <w:p w14:paraId="6E9E60BA" w14:textId="77777777" w:rsidR="00EC37C5" w:rsidRPr="00922145" w:rsidRDefault="00EC37C5">
            <w:pPr>
              <w:spacing w:before="0" w:after="0"/>
              <w:jc w:val="left"/>
              <w:rPr>
                <w:rFonts w:eastAsia="Times New Roman"/>
                <w:b/>
                <w:bCs/>
                <w:noProof/>
                <w:color w:val="000000"/>
                <w:sz w:val="20"/>
                <w:szCs w:val="20"/>
                <w:lang w:eastAsia="en-IE"/>
              </w:rPr>
            </w:pPr>
          </w:p>
        </w:tc>
      </w:tr>
      <w:tr w:rsidR="008E3FA9" w:rsidRPr="00922145" w14:paraId="4C35A37E" w14:textId="77777777" w:rsidTr="008E3FA9">
        <w:trPr>
          <w:trHeight w:val="860"/>
        </w:trPr>
        <w:tc>
          <w:tcPr>
            <w:tcW w:w="570" w:type="pct"/>
            <w:gridSpan w:val="2"/>
            <w:vMerge w:val="restart"/>
            <w:tcBorders>
              <w:top w:val="nil"/>
              <w:left w:val="single" w:sz="8" w:space="0" w:color="auto"/>
              <w:bottom w:val="single" w:sz="8" w:space="0" w:color="000000"/>
              <w:right w:val="single" w:sz="8" w:space="0" w:color="auto"/>
            </w:tcBorders>
            <w:vAlign w:val="center"/>
            <w:hideMark/>
          </w:tcPr>
          <w:p w14:paraId="71AD1CCB" w14:textId="77777777" w:rsidR="008E3FA9" w:rsidRPr="00922145" w:rsidRDefault="008E3FA9" w:rsidP="008E3FA9">
            <w:pPr>
              <w:spacing w:before="0" w:after="0"/>
              <w:rPr>
                <w:rFonts w:eastAsia="Times New Roman"/>
                <w:noProof/>
                <w:color w:val="000000"/>
                <w:sz w:val="21"/>
                <w:szCs w:val="21"/>
                <w:lang w:eastAsia="en-IE"/>
              </w:rPr>
            </w:pPr>
            <w:r w:rsidRPr="00922145">
              <w:rPr>
                <w:rFonts w:eastAsia="Times New Roman"/>
                <w:noProof/>
                <w:color w:val="000000"/>
                <w:sz w:val="21"/>
                <w:szCs w:val="21"/>
                <w:lang w:eastAsia="en-IE"/>
              </w:rPr>
              <w:t>TOTAL operational appropriations</w:t>
            </w:r>
          </w:p>
        </w:tc>
        <w:tc>
          <w:tcPr>
            <w:tcW w:w="435" w:type="pct"/>
            <w:gridSpan w:val="2"/>
            <w:tcBorders>
              <w:top w:val="nil"/>
              <w:left w:val="nil"/>
              <w:bottom w:val="single" w:sz="8" w:space="0" w:color="auto"/>
              <w:right w:val="single" w:sz="8" w:space="0" w:color="auto"/>
            </w:tcBorders>
            <w:vAlign w:val="center"/>
            <w:hideMark/>
          </w:tcPr>
          <w:p w14:paraId="193695EE" w14:textId="77777777" w:rsidR="008E3FA9" w:rsidRPr="00922145" w:rsidRDefault="008E3FA9" w:rsidP="008E3FA9">
            <w:pPr>
              <w:spacing w:before="0" w:after="0"/>
              <w:rPr>
                <w:rFonts w:eastAsia="Times New Roman"/>
                <w:noProof/>
                <w:color w:val="000000"/>
                <w:sz w:val="18"/>
                <w:szCs w:val="18"/>
                <w:lang w:eastAsia="en-IE"/>
              </w:rPr>
            </w:pPr>
            <w:r w:rsidRPr="00922145">
              <w:rPr>
                <w:rFonts w:eastAsia="Times New Roman"/>
                <w:noProof/>
                <w:color w:val="000000"/>
                <w:sz w:val="18"/>
                <w:szCs w:val="18"/>
                <w:lang w:eastAsia="en-IE"/>
              </w:rPr>
              <w:t>Commitments</w:t>
            </w:r>
          </w:p>
        </w:tc>
        <w:tc>
          <w:tcPr>
            <w:tcW w:w="142" w:type="pct"/>
            <w:gridSpan w:val="2"/>
            <w:tcBorders>
              <w:top w:val="nil"/>
              <w:left w:val="nil"/>
              <w:bottom w:val="single" w:sz="8" w:space="0" w:color="auto"/>
              <w:right w:val="single" w:sz="8" w:space="0" w:color="auto"/>
            </w:tcBorders>
            <w:vAlign w:val="center"/>
            <w:hideMark/>
          </w:tcPr>
          <w:p w14:paraId="5E227A71" w14:textId="77777777" w:rsidR="008E3FA9" w:rsidRPr="00922145" w:rsidRDefault="008E3FA9" w:rsidP="008E3FA9">
            <w:pPr>
              <w:spacing w:before="0" w:after="0"/>
              <w:jc w:val="center"/>
              <w:rPr>
                <w:rFonts w:eastAsia="Times New Roman"/>
                <w:noProof/>
                <w:color w:val="000000"/>
                <w:sz w:val="14"/>
                <w:szCs w:val="14"/>
                <w:lang w:eastAsia="en-IE"/>
              </w:rPr>
            </w:pPr>
            <w:r w:rsidRPr="00922145">
              <w:rPr>
                <w:rFonts w:eastAsia="Times New Roman"/>
                <w:noProof/>
                <w:color w:val="000000"/>
                <w:sz w:val="14"/>
                <w:szCs w:val="14"/>
                <w:lang w:eastAsia="en-IE"/>
              </w:rPr>
              <w:t>(4)</w:t>
            </w:r>
          </w:p>
        </w:tc>
        <w:tc>
          <w:tcPr>
            <w:tcW w:w="443" w:type="pct"/>
            <w:gridSpan w:val="2"/>
            <w:tcBorders>
              <w:top w:val="nil"/>
              <w:left w:val="nil"/>
              <w:bottom w:val="single" w:sz="8" w:space="0" w:color="auto"/>
              <w:right w:val="single" w:sz="8" w:space="0" w:color="auto"/>
            </w:tcBorders>
            <w:shd w:val="clear" w:color="000000" w:fill="D9D9D9"/>
            <w:hideMark/>
          </w:tcPr>
          <w:p w14:paraId="6BC0169E" w14:textId="06815546" w:rsidR="008E3FA9" w:rsidRPr="00922145" w:rsidRDefault="008E3FA9" w:rsidP="008E3FA9">
            <w:pPr>
              <w:spacing w:before="0" w:after="0"/>
              <w:jc w:val="right"/>
              <w:rPr>
                <w:rFonts w:eastAsia="Times New Roman"/>
                <w:noProof/>
                <w:color w:val="000000"/>
                <w:sz w:val="20"/>
                <w:szCs w:val="20"/>
                <w:lang w:eastAsia="en-IE"/>
              </w:rPr>
            </w:pPr>
            <w:r w:rsidRPr="00B50FCF">
              <w:rPr>
                <w:noProof/>
                <w:color w:val="000000"/>
                <w:sz w:val="20"/>
                <w:szCs w:val="20"/>
              </w:rPr>
              <w:t>€2</w:t>
            </w:r>
            <w:r>
              <w:rPr>
                <w:noProof/>
                <w:color w:val="000000"/>
                <w:sz w:val="20"/>
                <w:szCs w:val="20"/>
              </w:rPr>
              <w:t>0,900</w:t>
            </w:r>
          </w:p>
        </w:tc>
        <w:tc>
          <w:tcPr>
            <w:tcW w:w="443" w:type="pct"/>
            <w:gridSpan w:val="3"/>
            <w:tcBorders>
              <w:top w:val="nil"/>
              <w:left w:val="nil"/>
              <w:bottom w:val="single" w:sz="8" w:space="0" w:color="auto"/>
              <w:right w:val="single" w:sz="8" w:space="0" w:color="auto"/>
            </w:tcBorders>
            <w:shd w:val="clear" w:color="000000" w:fill="D9D9D9"/>
            <w:hideMark/>
          </w:tcPr>
          <w:p w14:paraId="433095DF" w14:textId="6550CB3A" w:rsidR="008E3FA9" w:rsidRPr="00922145" w:rsidRDefault="008E3FA9" w:rsidP="008E3FA9">
            <w:pPr>
              <w:spacing w:before="0" w:after="0"/>
              <w:jc w:val="right"/>
              <w:rPr>
                <w:rFonts w:eastAsia="Times New Roman"/>
                <w:noProof/>
                <w:color w:val="000000"/>
                <w:sz w:val="20"/>
                <w:szCs w:val="20"/>
                <w:lang w:eastAsia="en-IE"/>
              </w:rPr>
            </w:pPr>
            <w:r w:rsidRPr="00B50FCF">
              <w:rPr>
                <w:noProof/>
                <w:color w:val="000000"/>
                <w:sz w:val="20"/>
                <w:szCs w:val="20"/>
              </w:rPr>
              <w:t>€20,</w:t>
            </w:r>
            <w:r>
              <w:rPr>
                <w:noProof/>
                <w:color w:val="000000"/>
                <w:sz w:val="20"/>
                <w:szCs w:val="20"/>
              </w:rPr>
              <w:t>594</w:t>
            </w:r>
          </w:p>
        </w:tc>
        <w:tc>
          <w:tcPr>
            <w:tcW w:w="443" w:type="pct"/>
            <w:gridSpan w:val="2"/>
            <w:tcBorders>
              <w:top w:val="nil"/>
              <w:left w:val="nil"/>
              <w:bottom w:val="single" w:sz="8" w:space="0" w:color="auto"/>
              <w:right w:val="single" w:sz="8" w:space="0" w:color="auto"/>
            </w:tcBorders>
            <w:shd w:val="clear" w:color="000000" w:fill="D9D9D9"/>
            <w:hideMark/>
          </w:tcPr>
          <w:p w14:paraId="39F26A33" w14:textId="50C3C827" w:rsidR="008E3FA9" w:rsidRPr="00922145" w:rsidRDefault="008E3FA9" w:rsidP="008E3FA9">
            <w:pPr>
              <w:spacing w:before="0" w:after="0"/>
              <w:jc w:val="right"/>
              <w:rPr>
                <w:rFonts w:eastAsia="Times New Roman"/>
                <w:noProof/>
                <w:color w:val="000000"/>
                <w:sz w:val="20"/>
                <w:szCs w:val="20"/>
                <w:lang w:eastAsia="en-IE"/>
              </w:rPr>
            </w:pPr>
            <w:r w:rsidRPr="00B50FCF">
              <w:rPr>
                <w:noProof/>
                <w:color w:val="000000"/>
                <w:sz w:val="20"/>
                <w:szCs w:val="20"/>
              </w:rPr>
              <w:t>€2</w:t>
            </w:r>
            <w:r>
              <w:rPr>
                <w:noProof/>
                <w:color w:val="000000"/>
                <w:sz w:val="20"/>
                <w:szCs w:val="20"/>
              </w:rPr>
              <w:t>5,338</w:t>
            </w:r>
          </w:p>
        </w:tc>
        <w:tc>
          <w:tcPr>
            <w:tcW w:w="443" w:type="pct"/>
            <w:gridSpan w:val="3"/>
            <w:tcBorders>
              <w:top w:val="nil"/>
              <w:left w:val="nil"/>
              <w:bottom w:val="single" w:sz="8" w:space="0" w:color="auto"/>
              <w:right w:val="single" w:sz="8" w:space="0" w:color="auto"/>
            </w:tcBorders>
            <w:shd w:val="clear" w:color="000000" w:fill="D9D9D9"/>
            <w:hideMark/>
          </w:tcPr>
          <w:p w14:paraId="23E0E65E" w14:textId="668F2EC6" w:rsidR="008E3FA9" w:rsidRPr="00922145" w:rsidRDefault="008E3FA9" w:rsidP="008E3FA9">
            <w:pPr>
              <w:spacing w:before="0" w:after="0"/>
              <w:jc w:val="right"/>
              <w:rPr>
                <w:rFonts w:eastAsia="Times New Roman"/>
                <w:noProof/>
                <w:color w:val="000000"/>
                <w:sz w:val="20"/>
                <w:szCs w:val="20"/>
                <w:lang w:eastAsia="en-IE"/>
              </w:rPr>
            </w:pPr>
            <w:r w:rsidRPr="00B50FCF">
              <w:rPr>
                <w:noProof/>
                <w:color w:val="000000"/>
                <w:sz w:val="20"/>
                <w:szCs w:val="20"/>
              </w:rPr>
              <w:t>€2</w:t>
            </w:r>
            <w:r>
              <w:rPr>
                <w:noProof/>
                <w:color w:val="000000"/>
                <w:sz w:val="20"/>
                <w:szCs w:val="20"/>
              </w:rPr>
              <w:t>6,801</w:t>
            </w:r>
          </w:p>
        </w:tc>
        <w:tc>
          <w:tcPr>
            <w:tcW w:w="444" w:type="pct"/>
            <w:gridSpan w:val="2"/>
            <w:tcBorders>
              <w:top w:val="nil"/>
              <w:left w:val="nil"/>
              <w:bottom w:val="single" w:sz="8" w:space="0" w:color="auto"/>
              <w:right w:val="single" w:sz="8" w:space="0" w:color="auto"/>
            </w:tcBorders>
            <w:shd w:val="clear" w:color="000000" w:fill="D9D9D9"/>
            <w:hideMark/>
          </w:tcPr>
          <w:p w14:paraId="05F274B3" w14:textId="5712195C" w:rsidR="008E3FA9" w:rsidRPr="00922145" w:rsidRDefault="008E3FA9" w:rsidP="008E3FA9">
            <w:pPr>
              <w:spacing w:before="0" w:after="0"/>
              <w:jc w:val="right"/>
              <w:rPr>
                <w:rFonts w:eastAsia="Times New Roman"/>
                <w:noProof/>
                <w:color w:val="000000"/>
                <w:sz w:val="20"/>
                <w:szCs w:val="20"/>
                <w:lang w:eastAsia="en-IE"/>
              </w:rPr>
            </w:pPr>
            <w:r w:rsidRPr="00B50FCF">
              <w:rPr>
                <w:noProof/>
                <w:color w:val="000000"/>
                <w:sz w:val="20"/>
                <w:szCs w:val="20"/>
              </w:rPr>
              <w:t>€26,</w:t>
            </w:r>
            <w:r>
              <w:rPr>
                <w:noProof/>
                <w:color w:val="000000"/>
                <w:sz w:val="20"/>
                <w:szCs w:val="20"/>
              </w:rPr>
              <w:t>801</w:t>
            </w:r>
          </w:p>
        </w:tc>
        <w:tc>
          <w:tcPr>
            <w:tcW w:w="444" w:type="pct"/>
            <w:tcBorders>
              <w:top w:val="nil"/>
              <w:left w:val="nil"/>
              <w:bottom w:val="single" w:sz="8" w:space="0" w:color="auto"/>
              <w:right w:val="single" w:sz="8" w:space="0" w:color="auto"/>
            </w:tcBorders>
            <w:shd w:val="clear" w:color="000000" w:fill="D9D9D9"/>
            <w:hideMark/>
          </w:tcPr>
          <w:p w14:paraId="4173B49E" w14:textId="4BABB0F7" w:rsidR="008E3FA9" w:rsidRPr="00922145" w:rsidRDefault="008E3FA9" w:rsidP="008E3FA9">
            <w:pPr>
              <w:spacing w:before="0" w:after="0"/>
              <w:jc w:val="right"/>
              <w:rPr>
                <w:rFonts w:eastAsia="Times New Roman"/>
                <w:noProof/>
                <w:color w:val="000000"/>
                <w:sz w:val="20"/>
                <w:szCs w:val="20"/>
                <w:lang w:eastAsia="en-IE"/>
              </w:rPr>
            </w:pPr>
            <w:r w:rsidRPr="00B50FCF">
              <w:rPr>
                <w:noProof/>
                <w:color w:val="000000"/>
                <w:sz w:val="20"/>
                <w:szCs w:val="20"/>
              </w:rPr>
              <w:t>€2</w:t>
            </w:r>
            <w:r>
              <w:rPr>
                <w:noProof/>
                <w:color w:val="000000"/>
                <w:sz w:val="20"/>
                <w:szCs w:val="20"/>
              </w:rPr>
              <w:t>6,301</w:t>
            </w:r>
          </w:p>
        </w:tc>
        <w:tc>
          <w:tcPr>
            <w:tcW w:w="444" w:type="pct"/>
            <w:gridSpan w:val="3"/>
            <w:tcBorders>
              <w:top w:val="nil"/>
              <w:left w:val="nil"/>
              <w:bottom w:val="single" w:sz="8" w:space="0" w:color="auto"/>
              <w:right w:val="single" w:sz="8" w:space="0" w:color="auto"/>
            </w:tcBorders>
            <w:shd w:val="clear" w:color="000000" w:fill="D9D9D9"/>
            <w:hideMark/>
          </w:tcPr>
          <w:p w14:paraId="0EE4F714" w14:textId="5D18F3BA" w:rsidR="008E3FA9" w:rsidRPr="00922145" w:rsidRDefault="008E3FA9" w:rsidP="008E3FA9">
            <w:pPr>
              <w:spacing w:before="0" w:after="0"/>
              <w:jc w:val="right"/>
              <w:rPr>
                <w:rFonts w:eastAsia="Times New Roman"/>
                <w:noProof/>
                <w:color w:val="000000"/>
                <w:sz w:val="20"/>
                <w:szCs w:val="20"/>
                <w:lang w:eastAsia="en-IE"/>
              </w:rPr>
            </w:pPr>
            <w:r w:rsidRPr="00B50FCF">
              <w:rPr>
                <w:noProof/>
                <w:color w:val="000000"/>
                <w:sz w:val="20"/>
                <w:szCs w:val="20"/>
              </w:rPr>
              <w:t>€2</w:t>
            </w:r>
            <w:r>
              <w:rPr>
                <w:noProof/>
                <w:color w:val="000000"/>
                <w:sz w:val="20"/>
                <w:szCs w:val="20"/>
              </w:rPr>
              <w:t>6,301</w:t>
            </w:r>
          </w:p>
        </w:tc>
        <w:tc>
          <w:tcPr>
            <w:tcW w:w="749" w:type="pct"/>
            <w:gridSpan w:val="3"/>
            <w:tcBorders>
              <w:top w:val="nil"/>
              <w:left w:val="nil"/>
              <w:bottom w:val="single" w:sz="8" w:space="0" w:color="auto"/>
              <w:right w:val="single" w:sz="8" w:space="0" w:color="auto"/>
            </w:tcBorders>
            <w:shd w:val="clear" w:color="000000" w:fill="D9D9D9"/>
            <w:vAlign w:val="center"/>
            <w:hideMark/>
          </w:tcPr>
          <w:p w14:paraId="00E78067" w14:textId="5915E2E1" w:rsidR="008E3FA9" w:rsidRPr="00922145" w:rsidRDefault="008E3FA9" w:rsidP="008E3FA9">
            <w:pPr>
              <w:spacing w:before="0" w:after="0"/>
              <w:jc w:val="right"/>
              <w:rPr>
                <w:rFonts w:eastAsia="Times New Roman"/>
                <w:b/>
                <w:bCs/>
                <w:noProof/>
                <w:color w:val="000000"/>
                <w:sz w:val="20"/>
                <w:szCs w:val="20"/>
                <w:lang w:eastAsia="en-IE"/>
              </w:rPr>
            </w:pPr>
            <w:r>
              <w:rPr>
                <w:noProof/>
                <w:color w:val="000000"/>
                <w:sz w:val="20"/>
                <w:szCs w:val="20"/>
              </w:rPr>
              <w:t>173,006</w:t>
            </w:r>
          </w:p>
        </w:tc>
      </w:tr>
      <w:tr w:rsidR="008E3FA9" w:rsidRPr="00922145" w14:paraId="1265BF02" w14:textId="77777777" w:rsidTr="008E3FA9">
        <w:trPr>
          <w:trHeight w:val="300"/>
        </w:trPr>
        <w:tc>
          <w:tcPr>
            <w:tcW w:w="570" w:type="pct"/>
            <w:gridSpan w:val="2"/>
            <w:vMerge/>
            <w:tcBorders>
              <w:top w:val="nil"/>
              <w:left w:val="single" w:sz="8" w:space="0" w:color="auto"/>
              <w:bottom w:val="single" w:sz="8" w:space="0" w:color="000000"/>
              <w:right w:val="single" w:sz="8" w:space="0" w:color="auto"/>
            </w:tcBorders>
            <w:vAlign w:val="center"/>
            <w:hideMark/>
          </w:tcPr>
          <w:p w14:paraId="40CDFBD5" w14:textId="77777777" w:rsidR="008E3FA9" w:rsidRPr="00922145" w:rsidRDefault="008E3FA9" w:rsidP="008E3FA9">
            <w:pPr>
              <w:spacing w:before="0" w:after="0"/>
              <w:jc w:val="left"/>
              <w:rPr>
                <w:rFonts w:eastAsia="Times New Roman"/>
                <w:noProof/>
                <w:color w:val="000000"/>
                <w:sz w:val="21"/>
                <w:szCs w:val="21"/>
                <w:lang w:eastAsia="en-IE"/>
              </w:rPr>
            </w:pPr>
          </w:p>
        </w:tc>
        <w:tc>
          <w:tcPr>
            <w:tcW w:w="435" w:type="pct"/>
            <w:gridSpan w:val="2"/>
            <w:tcBorders>
              <w:top w:val="nil"/>
              <w:left w:val="nil"/>
              <w:bottom w:val="single" w:sz="8" w:space="0" w:color="auto"/>
              <w:right w:val="single" w:sz="8" w:space="0" w:color="auto"/>
            </w:tcBorders>
            <w:vAlign w:val="center"/>
            <w:hideMark/>
          </w:tcPr>
          <w:p w14:paraId="3942DE44" w14:textId="77777777" w:rsidR="008E3FA9" w:rsidRPr="00922145" w:rsidRDefault="008E3FA9" w:rsidP="008E3FA9">
            <w:pPr>
              <w:spacing w:before="0" w:after="0"/>
              <w:rPr>
                <w:rFonts w:eastAsia="Times New Roman"/>
                <w:noProof/>
                <w:color w:val="000000"/>
                <w:sz w:val="18"/>
                <w:szCs w:val="18"/>
                <w:lang w:eastAsia="en-IE"/>
              </w:rPr>
            </w:pPr>
            <w:r w:rsidRPr="00922145">
              <w:rPr>
                <w:rFonts w:eastAsia="Times New Roman"/>
                <w:noProof/>
                <w:color w:val="000000"/>
                <w:sz w:val="18"/>
                <w:szCs w:val="18"/>
                <w:lang w:eastAsia="en-IE"/>
              </w:rPr>
              <w:t>Payments</w:t>
            </w:r>
          </w:p>
        </w:tc>
        <w:tc>
          <w:tcPr>
            <w:tcW w:w="142" w:type="pct"/>
            <w:gridSpan w:val="2"/>
            <w:tcBorders>
              <w:top w:val="nil"/>
              <w:left w:val="nil"/>
              <w:bottom w:val="single" w:sz="8" w:space="0" w:color="auto"/>
              <w:right w:val="single" w:sz="8" w:space="0" w:color="auto"/>
            </w:tcBorders>
            <w:vAlign w:val="center"/>
            <w:hideMark/>
          </w:tcPr>
          <w:p w14:paraId="55559FE8" w14:textId="77777777" w:rsidR="008E3FA9" w:rsidRPr="00922145" w:rsidRDefault="008E3FA9" w:rsidP="008E3FA9">
            <w:pPr>
              <w:spacing w:before="0" w:after="0"/>
              <w:jc w:val="center"/>
              <w:rPr>
                <w:rFonts w:eastAsia="Times New Roman"/>
                <w:noProof/>
                <w:color w:val="000000"/>
                <w:sz w:val="14"/>
                <w:szCs w:val="14"/>
                <w:lang w:eastAsia="en-IE"/>
              </w:rPr>
            </w:pPr>
            <w:r w:rsidRPr="00922145">
              <w:rPr>
                <w:rFonts w:eastAsia="Times New Roman"/>
                <w:noProof/>
                <w:color w:val="000000"/>
                <w:sz w:val="14"/>
                <w:szCs w:val="14"/>
                <w:lang w:eastAsia="en-IE"/>
              </w:rPr>
              <w:t>(5)</w:t>
            </w:r>
          </w:p>
        </w:tc>
        <w:tc>
          <w:tcPr>
            <w:tcW w:w="443" w:type="pct"/>
            <w:gridSpan w:val="2"/>
            <w:tcBorders>
              <w:top w:val="nil"/>
              <w:left w:val="nil"/>
              <w:bottom w:val="single" w:sz="8" w:space="0" w:color="auto"/>
              <w:right w:val="single" w:sz="8" w:space="0" w:color="auto"/>
            </w:tcBorders>
            <w:shd w:val="clear" w:color="000000" w:fill="D9D9D9"/>
            <w:hideMark/>
          </w:tcPr>
          <w:p w14:paraId="50E472E1" w14:textId="1E7948F9" w:rsidR="008E3FA9" w:rsidRPr="00922145" w:rsidRDefault="008E3FA9" w:rsidP="008E3FA9">
            <w:pPr>
              <w:spacing w:before="0" w:after="0"/>
              <w:jc w:val="right"/>
              <w:rPr>
                <w:rFonts w:eastAsia="Times New Roman"/>
                <w:noProof/>
                <w:color w:val="000000"/>
                <w:sz w:val="20"/>
                <w:szCs w:val="20"/>
                <w:lang w:eastAsia="en-IE"/>
              </w:rPr>
            </w:pPr>
            <w:r w:rsidRPr="00B50FCF">
              <w:rPr>
                <w:noProof/>
                <w:color w:val="000000"/>
                <w:sz w:val="20"/>
                <w:szCs w:val="20"/>
              </w:rPr>
              <w:t>€2</w:t>
            </w:r>
            <w:r>
              <w:rPr>
                <w:noProof/>
                <w:color w:val="000000"/>
                <w:sz w:val="20"/>
                <w:szCs w:val="20"/>
              </w:rPr>
              <w:t>0,900</w:t>
            </w:r>
          </w:p>
        </w:tc>
        <w:tc>
          <w:tcPr>
            <w:tcW w:w="443" w:type="pct"/>
            <w:gridSpan w:val="3"/>
            <w:tcBorders>
              <w:top w:val="nil"/>
              <w:left w:val="nil"/>
              <w:bottom w:val="single" w:sz="8" w:space="0" w:color="auto"/>
              <w:right w:val="single" w:sz="8" w:space="0" w:color="auto"/>
            </w:tcBorders>
            <w:shd w:val="clear" w:color="000000" w:fill="D9D9D9"/>
            <w:hideMark/>
          </w:tcPr>
          <w:p w14:paraId="6717F548" w14:textId="19153727" w:rsidR="008E3FA9" w:rsidRPr="00922145" w:rsidRDefault="008E3FA9" w:rsidP="008E3FA9">
            <w:pPr>
              <w:spacing w:before="0" w:after="0"/>
              <w:jc w:val="right"/>
              <w:rPr>
                <w:rFonts w:eastAsia="Times New Roman"/>
                <w:noProof/>
                <w:color w:val="000000"/>
                <w:sz w:val="20"/>
                <w:szCs w:val="20"/>
                <w:lang w:eastAsia="en-IE"/>
              </w:rPr>
            </w:pPr>
            <w:r w:rsidRPr="00B50FCF">
              <w:rPr>
                <w:noProof/>
                <w:color w:val="000000"/>
                <w:sz w:val="20"/>
                <w:szCs w:val="20"/>
              </w:rPr>
              <w:t>€20,</w:t>
            </w:r>
            <w:r>
              <w:rPr>
                <w:noProof/>
                <w:color w:val="000000"/>
                <w:sz w:val="20"/>
                <w:szCs w:val="20"/>
              </w:rPr>
              <w:t>594</w:t>
            </w:r>
          </w:p>
        </w:tc>
        <w:tc>
          <w:tcPr>
            <w:tcW w:w="443" w:type="pct"/>
            <w:gridSpan w:val="2"/>
            <w:tcBorders>
              <w:top w:val="nil"/>
              <w:left w:val="nil"/>
              <w:bottom w:val="single" w:sz="8" w:space="0" w:color="auto"/>
              <w:right w:val="single" w:sz="8" w:space="0" w:color="auto"/>
            </w:tcBorders>
            <w:shd w:val="clear" w:color="000000" w:fill="D9D9D9"/>
            <w:hideMark/>
          </w:tcPr>
          <w:p w14:paraId="1D29B94E" w14:textId="180BDF7E" w:rsidR="008E3FA9" w:rsidRPr="00922145" w:rsidRDefault="008E3FA9" w:rsidP="008E3FA9">
            <w:pPr>
              <w:spacing w:before="0" w:after="0"/>
              <w:jc w:val="right"/>
              <w:rPr>
                <w:rFonts w:eastAsia="Times New Roman"/>
                <w:noProof/>
                <w:color w:val="000000"/>
                <w:sz w:val="20"/>
                <w:szCs w:val="20"/>
                <w:lang w:eastAsia="en-IE"/>
              </w:rPr>
            </w:pPr>
            <w:r w:rsidRPr="00B50FCF">
              <w:rPr>
                <w:noProof/>
                <w:color w:val="000000"/>
                <w:sz w:val="20"/>
                <w:szCs w:val="20"/>
              </w:rPr>
              <w:t>€2</w:t>
            </w:r>
            <w:r>
              <w:rPr>
                <w:noProof/>
                <w:color w:val="000000"/>
                <w:sz w:val="20"/>
                <w:szCs w:val="20"/>
              </w:rPr>
              <w:t>5,338</w:t>
            </w:r>
          </w:p>
        </w:tc>
        <w:tc>
          <w:tcPr>
            <w:tcW w:w="443" w:type="pct"/>
            <w:gridSpan w:val="3"/>
            <w:tcBorders>
              <w:top w:val="nil"/>
              <w:left w:val="nil"/>
              <w:bottom w:val="single" w:sz="8" w:space="0" w:color="auto"/>
              <w:right w:val="single" w:sz="8" w:space="0" w:color="auto"/>
            </w:tcBorders>
            <w:shd w:val="clear" w:color="000000" w:fill="D9D9D9"/>
            <w:hideMark/>
          </w:tcPr>
          <w:p w14:paraId="64B69942" w14:textId="2D4C0DC8" w:rsidR="008E3FA9" w:rsidRPr="00922145" w:rsidRDefault="008E3FA9" w:rsidP="008E3FA9">
            <w:pPr>
              <w:spacing w:before="0" w:after="0"/>
              <w:jc w:val="right"/>
              <w:rPr>
                <w:rFonts w:eastAsia="Times New Roman"/>
                <w:noProof/>
                <w:color w:val="000000"/>
                <w:sz w:val="20"/>
                <w:szCs w:val="20"/>
                <w:lang w:eastAsia="en-IE"/>
              </w:rPr>
            </w:pPr>
            <w:r w:rsidRPr="00B50FCF">
              <w:rPr>
                <w:noProof/>
                <w:color w:val="000000"/>
                <w:sz w:val="20"/>
                <w:szCs w:val="20"/>
              </w:rPr>
              <w:t>€2</w:t>
            </w:r>
            <w:r>
              <w:rPr>
                <w:noProof/>
                <w:color w:val="000000"/>
                <w:sz w:val="20"/>
                <w:szCs w:val="20"/>
              </w:rPr>
              <w:t>6,801</w:t>
            </w:r>
          </w:p>
        </w:tc>
        <w:tc>
          <w:tcPr>
            <w:tcW w:w="444" w:type="pct"/>
            <w:gridSpan w:val="2"/>
            <w:tcBorders>
              <w:top w:val="nil"/>
              <w:left w:val="nil"/>
              <w:bottom w:val="single" w:sz="8" w:space="0" w:color="auto"/>
              <w:right w:val="single" w:sz="8" w:space="0" w:color="auto"/>
            </w:tcBorders>
            <w:shd w:val="clear" w:color="000000" w:fill="D9D9D9"/>
            <w:hideMark/>
          </w:tcPr>
          <w:p w14:paraId="4C227475" w14:textId="3EAD92DC" w:rsidR="008E3FA9" w:rsidRPr="00922145" w:rsidRDefault="008E3FA9" w:rsidP="008E3FA9">
            <w:pPr>
              <w:spacing w:before="0" w:after="0"/>
              <w:jc w:val="right"/>
              <w:rPr>
                <w:rFonts w:eastAsia="Times New Roman"/>
                <w:noProof/>
                <w:color w:val="000000"/>
                <w:sz w:val="20"/>
                <w:szCs w:val="20"/>
                <w:lang w:eastAsia="en-IE"/>
              </w:rPr>
            </w:pPr>
            <w:r w:rsidRPr="00B50FCF">
              <w:rPr>
                <w:noProof/>
                <w:color w:val="000000"/>
                <w:sz w:val="20"/>
                <w:szCs w:val="20"/>
              </w:rPr>
              <w:t>€26,</w:t>
            </w:r>
            <w:r>
              <w:rPr>
                <w:noProof/>
                <w:color w:val="000000"/>
                <w:sz w:val="20"/>
                <w:szCs w:val="20"/>
              </w:rPr>
              <w:t>801</w:t>
            </w:r>
          </w:p>
        </w:tc>
        <w:tc>
          <w:tcPr>
            <w:tcW w:w="444" w:type="pct"/>
            <w:tcBorders>
              <w:top w:val="nil"/>
              <w:left w:val="nil"/>
              <w:bottom w:val="single" w:sz="8" w:space="0" w:color="auto"/>
              <w:right w:val="single" w:sz="8" w:space="0" w:color="auto"/>
            </w:tcBorders>
            <w:shd w:val="clear" w:color="000000" w:fill="D9D9D9"/>
            <w:hideMark/>
          </w:tcPr>
          <w:p w14:paraId="60DA9387" w14:textId="112B9669" w:rsidR="008E3FA9" w:rsidRPr="00922145" w:rsidRDefault="008E3FA9" w:rsidP="008E3FA9">
            <w:pPr>
              <w:spacing w:before="0" w:after="0"/>
              <w:jc w:val="right"/>
              <w:rPr>
                <w:rFonts w:eastAsia="Times New Roman"/>
                <w:noProof/>
                <w:color w:val="000000"/>
                <w:sz w:val="20"/>
                <w:szCs w:val="20"/>
                <w:lang w:eastAsia="en-IE"/>
              </w:rPr>
            </w:pPr>
            <w:r w:rsidRPr="00B50FCF">
              <w:rPr>
                <w:noProof/>
                <w:color w:val="000000"/>
                <w:sz w:val="20"/>
                <w:szCs w:val="20"/>
              </w:rPr>
              <w:t>€2</w:t>
            </w:r>
            <w:r>
              <w:rPr>
                <w:noProof/>
                <w:color w:val="000000"/>
                <w:sz w:val="20"/>
                <w:szCs w:val="20"/>
              </w:rPr>
              <w:t>6,301</w:t>
            </w:r>
          </w:p>
        </w:tc>
        <w:tc>
          <w:tcPr>
            <w:tcW w:w="444" w:type="pct"/>
            <w:gridSpan w:val="3"/>
            <w:tcBorders>
              <w:top w:val="nil"/>
              <w:left w:val="nil"/>
              <w:bottom w:val="single" w:sz="8" w:space="0" w:color="auto"/>
              <w:right w:val="single" w:sz="8" w:space="0" w:color="auto"/>
            </w:tcBorders>
            <w:shd w:val="clear" w:color="000000" w:fill="D9D9D9"/>
            <w:hideMark/>
          </w:tcPr>
          <w:p w14:paraId="3C5A98E1" w14:textId="42456346" w:rsidR="008E3FA9" w:rsidRPr="00922145" w:rsidRDefault="008E3FA9" w:rsidP="008E3FA9">
            <w:pPr>
              <w:spacing w:before="0" w:after="0"/>
              <w:jc w:val="right"/>
              <w:rPr>
                <w:rFonts w:eastAsia="Times New Roman"/>
                <w:noProof/>
                <w:color w:val="000000"/>
                <w:sz w:val="20"/>
                <w:szCs w:val="20"/>
                <w:lang w:eastAsia="en-IE"/>
              </w:rPr>
            </w:pPr>
            <w:r w:rsidRPr="00B50FCF">
              <w:rPr>
                <w:noProof/>
                <w:color w:val="000000"/>
                <w:sz w:val="20"/>
                <w:szCs w:val="20"/>
              </w:rPr>
              <w:t>€2</w:t>
            </w:r>
            <w:r>
              <w:rPr>
                <w:noProof/>
                <w:color w:val="000000"/>
                <w:sz w:val="20"/>
                <w:szCs w:val="20"/>
              </w:rPr>
              <w:t>6,301</w:t>
            </w:r>
          </w:p>
        </w:tc>
        <w:tc>
          <w:tcPr>
            <w:tcW w:w="749" w:type="pct"/>
            <w:gridSpan w:val="3"/>
            <w:tcBorders>
              <w:top w:val="nil"/>
              <w:left w:val="nil"/>
              <w:bottom w:val="single" w:sz="8" w:space="0" w:color="auto"/>
              <w:right w:val="single" w:sz="8" w:space="0" w:color="auto"/>
            </w:tcBorders>
            <w:shd w:val="clear" w:color="000000" w:fill="D9D9D9"/>
            <w:vAlign w:val="center"/>
            <w:hideMark/>
          </w:tcPr>
          <w:p w14:paraId="7AA7CCB9" w14:textId="0B85E24A" w:rsidR="008E3FA9" w:rsidRPr="00922145" w:rsidRDefault="008E3FA9" w:rsidP="008E3FA9">
            <w:pPr>
              <w:spacing w:before="0" w:after="0"/>
              <w:jc w:val="right"/>
              <w:rPr>
                <w:rFonts w:eastAsia="Times New Roman"/>
                <w:b/>
                <w:bCs/>
                <w:noProof/>
                <w:color w:val="000000"/>
                <w:sz w:val="20"/>
                <w:szCs w:val="20"/>
                <w:lang w:eastAsia="en-IE"/>
              </w:rPr>
            </w:pPr>
            <w:r>
              <w:rPr>
                <w:noProof/>
                <w:color w:val="000000"/>
                <w:sz w:val="20"/>
                <w:szCs w:val="20"/>
              </w:rPr>
              <w:t>173,006</w:t>
            </w:r>
          </w:p>
        </w:tc>
      </w:tr>
      <w:tr w:rsidR="008E3FA9" w:rsidRPr="00922145" w14:paraId="6D9479FD" w14:textId="77777777" w:rsidTr="008E3FA9">
        <w:trPr>
          <w:trHeight w:val="1180"/>
        </w:trPr>
        <w:tc>
          <w:tcPr>
            <w:tcW w:w="1005" w:type="pct"/>
            <w:gridSpan w:val="4"/>
            <w:tcBorders>
              <w:top w:val="single" w:sz="8" w:space="0" w:color="auto"/>
              <w:left w:val="single" w:sz="8" w:space="0" w:color="auto"/>
              <w:bottom w:val="single" w:sz="8" w:space="0" w:color="auto"/>
              <w:right w:val="single" w:sz="8" w:space="0" w:color="000000"/>
            </w:tcBorders>
            <w:vAlign w:val="center"/>
            <w:hideMark/>
          </w:tcPr>
          <w:p w14:paraId="645D757C" w14:textId="77777777" w:rsidR="008E3FA9" w:rsidRPr="00922145" w:rsidRDefault="008E3FA9" w:rsidP="008E3FA9">
            <w:pPr>
              <w:spacing w:before="0" w:after="0"/>
              <w:rPr>
                <w:rFonts w:eastAsia="Times New Roman"/>
                <w:noProof/>
                <w:color w:val="000000"/>
                <w:sz w:val="21"/>
                <w:szCs w:val="21"/>
                <w:lang w:eastAsia="en-IE"/>
              </w:rPr>
            </w:pPr>
            <w:r w:rsidRPr="00922145">
              <w:rPr>
                <w:rFonts w:eastAsia="Times New Roman"/>
                <w:noProof/>
                <w:color w:val="000000"/>
                <w:sz w:val="21"/>
                <w:szCs w:val="21"/>
                <w:lang w:eastAsia="en-IE"/>
              </w:rPr>
              <w:t xml:space="preserve">TOTAL appropriations of an administrative nature financed from the envelope for specific programmes </w:t>
            </w:r>
          </w:p>
        </w:tc>
        <w:tc>
          <w:tcPr>
            <w:tcW w:w="142" w:type="pct"/>
            <w:gridSpan w:val="2"/>
            <w:tcBorders>
              <w:top w:val="nil"/>
              <w:left w:val="nil"/>
              <w:bottom w:val="single" w:sz="8" w:space="0" w:color="auto"/>
              <w:right w:val="single" w:sz="8" w:space="0" w:color="auto"/>
            </w:tcBorders>
            <w:vAlign w:val="center"/>
            <w:hideMark/>
          </w:tcPr>
          <w:p w14:paraId="7070F401" w14:textId="77777777" w:rsidR="008E3FA9" w:rsidRPr="00922145" w:rsidRDefault="008E3FA9" w:rsidP="008E3FA9">
            <w:pPr>
              <w:spacing w:before="0" w:after="0"/>
              <w:jc w:val="center"/>
              <w:rPr>
                <w:rFonts w:eastAsia="Times New Roman"/>
                <w:noProof/>
                <w:color w:val="000000"/>
                <w:sz w:val="14"/>
                <w:szCs w:val="14"/>
                <w:lang w:eastAsia="en-IE"/>
              </w:rPr>
            </w:pPr>
            <w:r w:rsidRPr="00922145">
              <w:rPr>
                <w:rFonts w:eastAsia="Times New Roman"/>
                <w:noProof/>
                <w:color w:val="000000"/>
                <w:sz w:val="14"/>
                <w:szCs w:val="14"/>
                <w:lang w:eastAsia="en-IE"/>
              </w:rPr>
              <w:t>(6)</w:t>
            </w:r>
          </w:p>
        </w:tc>
        <w:tc>
          <w:tcPr>
            <w:tcW w:w="443" w:type="pct"/>
            <w:gridSpan w:val="2"/>
            <w:tcBorders>
              <w:top w:val="nil"/>
              <w:left w:val="nil"/>
              <w:bottom w:val="single" w:sz="8" w:space="0" w:color="auto"/>
              <w:right w:val="single" w:sz="8" w:space="0" w:color="auto"/>
            </w:tcBorders>
            <w:shd w:val="clear" w:color="000000" w:fill="D9D9D9"/>
            <w:vAlign w:val="center"/>
            <w:hideMark/>
          </w:tcPr>
          <w:p w14:paraId="384DC206" w14:textId="74640715" w:rsidR="008E3FA9" w:rsidRPr="00922145" w:rsidRDefault="008E3FA9" w:rsidP="008E3FA9">
            <w:pPr>
              <w:spacing w:before="0" w:after="0"/>
              <w:jc w:val="right"/>
              <w:rPr>
                <w:rFonts w:eastAsia="Times New Roman"/>
                <w:noProof/>
                <w:color w:val="000000"/>
                <w:sz w:val="20"/>
                <w:szCs w:val="20"/>
                <w:lang w:eastAsia="en-IE"/>
              </w:rPr>
            </w:pPr>
            <w:r>
              <w:rPr>
                <w:rFonts w:eastAsia="Times New Roman"/>
                <w:noProof/>
                <w:color w:val="000000"/>
                <w:sz w:val="20"/>
                <w:szCs w:val="20"/>
                <w:lang w:eastAsia="en-IE"/>
              </w:rPr>
              <w:t>1,365</w:t>
            </w:r>
          </w:p>
        </w:tc>
        <w:tc>
          <w:tcPr>
            <w:tcW w:w="443" w:type="pct"/>
            <w:gridSpan w:val="3"/>
            <w:tcBorders>
              <w:top w:val="nil"/>
              <w:left w:val="nil"/>
              <w:bottom w:val="single" w:sz="8" w:space="0" w:color="auto"/>
              <w:right w:val="single" w:sz="8" w:space="0" w:color="auto"/>
            </w:tcBorders>
            <w:shd w:val="clear" w:color="000000" w:fill="D9D9D9"/>
            <w:vAlign w:val="center"/>
            <w:hideMark/>
          </w:tcPr>
          <w:p w14:paraId="1A193D2B" w14:textId="47BE89D6" w:rsidR="008E3FA9" w:rsidRPr="00922145" w:rsidRDefault="008E3FA9" w:rsidP="008E3FA9">
            <w:pPr>
              <w:spacing w:before="0" w:after="0"/>
              <w:jc w:val="right"/>
              <w:rPr>
                <w:rFonts w:eastAsia="Times New Roman"/>
                <w:noProof/>
                <w:color w:val="000000"/>
                <w:sz w:val="20"/>
                <w:szCs w:val="20"/>
                <w:lang w:eastAsia="en-IE"/>
              </w:rPr>
            </w:pPr>
            <w:r>
              <w:rPr>
                <w:rFonts w:eastAsia="Times New Roman"/>
                <w:noProof/>
                <w:color w:val="000000"/>
                <w:sz w:val="20"/>
                <w:szCs w:val="20"/>
                <w:lang w:eastAsia="en-IE"/>
              </w:rPr>
              <w:t>`1,365</w:t>
            </w:r>
          </w:p>
        </w:tc>
        <w:tc>
          <w:tcPr>
            <w:tcW w:w="443" w:type="pct"/>
            <w:gridSpan w:val="2"/>
            <w:tcBorders>
              <w:top w:val="nil"/>
              <w:left w:val="nil"/>
              <w:bottom w:val="single" w:sz="8" w:space="0" w:color="auto"/>
              <w:right w:val="single" w:sz="8" w:space="0" w:color="auto"/>
            </w:tcBorders>
            <w:shd w:val="clear" w:color="000000" w:fill="D9D9D9"/>
            <w:vAlign w:val="center"/>
            <w:hideMark/>
          </w:tcPr>
          <w:p w14:paraId="554C5E0E" w14:textId="5C2EF4A3" w:rsidR="008E3FA9" w:rsidRPr="00922145" w:rsidRDefault="008E3FA9" w:rsidP="008E3FA9">
            <w:pPr>
              <w:spacing w:before="0" w:after="0"/>
              <w:jc w:val="right"/>
              <w:rPr>
                <w:rFonts w:eastAsia="Times New Roman"/>
                <w:noProof/>
                <w:color w:val="000000"/>
                <w:sz w:val="20"/>
                <w:szCs w:val="20"/>
                <w:lang w:eastAsia="en-IE"/>
              </w:rPr>
            </w:pPr>
            <w:r>
              <w:rPr>
                <w:rFonts w:eastAsia="Times New Roman"/>
                <w:noProof/>
                <w:color w:val="000000"/>
                <w:sz w:val="20"/>
                <w:szCs w:val="20"/>
                <w:lang w:eastAsia="en-IE"/>
              </w:rPr>
              <w:t>1,470</w:t>
            </w:r>
          </w:p>
        </w:tc>
        <w:tc>
          <w:tcPr>
            <w:tcW w:w="443" w:type="pct"/>
            <w:gridSpan w:val="3"/>
            <w:tcBorders>
              <w:top w:val="nil"/>
              <w:left w:val="nil"/>
              <w:bottom w:val="single" w:sz="8" w:space="0" w:color="auto"/>
              <w:right w:val="single" w:sz="8" w:space="0" w:color="auto"/>
            </w:tcBorders>
            <w:shd w:val="clear" w:color="000000" w:fill="D9D9D9"/>
            <w:vAlign w:val="center"/>
            <w:hideMark/>
          </w:tcPr>
          <w:p w14:paraId="6DC12B34" w14:textId="1747C835" w:rsidR="008E3FA9" w:rsidRPr="00922145" w:rsidRDefault="008E3FA9" w:rsidP="008E3FA9">
            <w:pPr>
              <w:spacing w:before="0" w:after="0"/>
              <w:jc w:val="right"/>
              <w:rPr>
                <w:rFonts w:eastAsia="Times New Roman"/>
                <w:noProof/>
                <w:color w:val="000000"/>
                <w:sz w:val="20"/>
                <w:szCs w:val="20"/>
                <w:lang w:eastAsia="en-IE"/>
              </w:rPr>
            </w:pPr>
            <w:r>
              <w:rPr>
                <w:rFonts w:eastAsia="Times New Roman"/>
                <w:noProof/>
                <w:color w:val="000000"/>
                <w:sz w:val="20"/>
                <w:szCs w:val="20"/>
                <w:lang w:eastAsia="en-IE"/>
              </w:rPr>
              <w:t>1,785</w:t>
            </w:r>
          </w:p>
        </w:tc>
        <w:tc>
          <w:tcPr>
            <w:tcW w:w="444" w:type="pct"/>
            <w:gridSpan w:val="2"/>
            <w:tcBorders>
              <w:top w:val="nil"/>
              <w:left w:val="nil"/>
              <w:bottom w:val="single" w:sz="8" w:space="0" w:color="auto"/>
              <w:right w:val="single" w:sz="8" w:space="0" w:color="auto"/>
            </w:tcBorders>
            <w:shd w:val="clear" w:color="000000" w:fill="D9D9D9"/>
            <w:vAlign w:val="center"/>
            <w:hideMark/>
          </w:tcPr>
          <w:p w14:paraId="26A36E37" w14:textId="04098550" w:rsidR="008E3FA9" w:rsidRPr="00922145" w:rsidRDefault="008E3FA9" w:rsidP="008E3FA9">
            <w:pPr>
              <w:spacing w:before="0" w:after="0"/>
              <w:jc w:val="right"/>
              <w:rPr>
                <w:rFonts w:eastAsia="Times New Roman"/>
                <w:noProof/>
                <w:color w:val="000000"/>
                <w:sz w:val="20"/>
                <w:szCs w:val="20"/>
                <w:lang w:eastAsia="en-IE"/>
              </w:rPr>
            </w:pPr>
            <w:r>
              <w:rPr>
                <w:rFonts w:eastAsia="Times New Roman"/>
                <w:noProof/>
                <w:color w:val="000000"/>
                <w:sz w:val="20"/>
                <w:szCs w:val="20"/>
                <w:lang w:eastAsia="en-IE"/>
              </w:rPr>
              <w:t>2,100</w:t>
            </w:r>
          </w:p>
        </w:tc>
        <w:tc>
          <w:tcPr>
            <w:tcW w:w="444" w:type="pct"/>
            <w:tcBorders>
              <w:top w:val="nil"/>
              <w:left w:val="nil"/>
              <w:bottom w:val="single" w:sz="8" w:space="0" w:color="auto"/>
              <w:right w:val="single" w:sz="8" w:space="0" w:color="auto"/>
            </w:tcBorders>
            <w:shd w:val="clear" w:color="000000" w:fill="D9D9D9"/>
            <w:vAlign w:val="center"/>
            <w:hideMark/>
          </w:tcPr>
          <w:p w14:paraId="66C8056D" w14:textId="0831FBD9" w:rsidR="008E3FA9" w:rsidRPr="00922145" w:rsidRDefault="008E3FA9" w:rsidP="008E3FA9">
            <w:pPr>
              <w:spacing w:before="0" w:after="0"/>
              <w:jc w:val="right"/>
              <w:rPr>
                <w:rFonts w:eastAsia="Times New Roman"/>
                <w:noProof/>
                <w:color w:val="000000"/>
                <w:sz w:val="20"/>
                <w:szCs w:val="20"/>
                <w:lang w:eastAsia="en-IE"/>
              </w:rPr>
            </w:pPr>
            <w:r>
              <w:rPr>
                <w:rFonts w:eastAsia="Times New Roman"/>
                <w:noProof/>
                <w:color w:val="000000"/>
                <w:sz w:val="20"/>
                <w:szCs w:val="20"/>
                <w:lang w:eastAsia="en-IE"/>
              </w:rPr>
              <w:t>2,415</w:t>
            </w:r>
          </w:p>
        </w:tc>
        <w:tc>
          <w:tcPr>
            <w:tcW w:w="444" w:type="pct"/>
            <w:gridSpan w:val="3"/>
            <w:tcBorders>
              <w:top w:val="nil"/>
              <w:left w:val="nil"/>
              <w:bottom w:val="single" w:sz="8" w:space="0" w:color="auto"/>
              <w:right w:val="single" w:sz="8" w:space="0" w:color="auto"/>
            </w:tcBorders>
            <w:shd w:val="clear" w:color="000000" w:fill="D9D9D9"/>
            <w:vAlign w:val="center"/>
            <w:hideMark/>
          </w:tcPr>
          <w:p w14:paraId="22851173" w14:textId="4A15A25F" w:rsidR="008E3FA9" w:rsidRPr="00922145" w:rsidRDefault="008E3FA9" w:rsidP="008E3FA9">
            <w:pPr>
              <w:spacing w:before="0" w:after="0"/>
              <w:jc w:val="right"/>
              <w:rPr>
                <w:rFonts w:eastAsia="Times New Roman"/>
                <w:noProof/>
                <w:color w:val="000000"/>
                <w:sz w:val="20"/>
                <w:szCs w:val="20"/>
                <w:lang w:eastAsia="en-IE"/>
              </w:rPr>
            </w:pPr>
            <w:r>
              <w:rPr>
                <w:rFonts w:eastAsia="Times New Roman"/>
                <w:noProof/>
                <w:color w:val="000000"/>
                <w:sz w:val="20"/>
                <w:szCs w:val="20"/>
                <w:lang w:eastAsia="en-IE"/>
              </w:rPr>
              <w:t>2,625</w:t>
            </w:r>
          </w:p>
        </w:tc>
        <w:tc>
          <w:tcPr>
            <w:tcW w:w="749" w:type="pct"/>
            <w:gridSpan w:val="3"/>
            <w:tcBorders>
              <w:top w:val="nil"/>
              <w:left w:val="nil"/>
              <w:bottom w:val="single" w:sz="8" w:space="0" w:color="auto"/>
              <w:right w:val="single" w:sz="8" w:space="0" w:color="auto"/>
            </w:tcBorders>
            <w:shd w:val="clear" w:color="000000" w:fill="D9D9D9"/>
            <w:vAlign w:val="center"/>
            <w:hideMark/>
          </w:tcPr>
          <w:p w14:paraId="65FB1D00" w14:textId="7D60AC15" w:rsidR="008E3FA9" w:rsidRPr="00922145" w:rsidRDefault="008E3FA9" w:rsidP="008E3FA9">
            <w:pPr>
              <w:spacing w:before="0" w:after="0"/>
              <w:jc w:val="right"/>
              <w:rPr>
                <w:rFonts w:eastAsia="Times New Roman"/>
                <w:b/>
                <w:bCs/>
                <w:noProof/>
                <w:color w:val="000000"/>
                <w:sz w:val="20"/>
                <w:szCs w:val="20"/>
                <w:lang w:eastAsia="en-IE"/>
              </w:rPr>
            </w:pPr>
            <w:r>
              <w:rPr>
                <w:rFonts w:eastAsia="Times New Roman"/>
                <w:b/>
                <w:bCs/>
                <w:noProof/>
                <w:color w:val="000000"/>
                <w:sz w:val="20"/>
                <w:szCs w:val="20"/>
                <w:lang w:eastAsia="en-IE"/>
              </w:rPr>
              <w:t>13,125</w:t>
            </w:r>
          </w:p>
        </w:tc>
      </w:tr>
      <w:tr w:rsidR="008E3FA9" w:rsidRPr="00922145" w14:paraId="7A4127C8" w14:textId="77777777" w:rsidTr="008E3FA9">
        <w:trPr>
          <w:trHeight w:val="579"/>
        </w:trPr>
        <w:tc>
          <w:tcPr>
            <w:tcW w:w="570" w:type="pct"/>
            <w:gridSpan w:val="2"/>
            <w:tcBorders>
              <w:top w:val="nil"/>
              <w:left w:val="single" w:sz="8" w:space="0" w:color="auto"/>
              <w:bottom w:val="nil"/>
              <w:right w:val="single" w:sz="8" w:space="0" w:color="auto"/>
            </w:tcBorders>
            <w:shd w:val="thinDiagStripe" w:color="C0C0C0" w:fill="E6E6E6"/>
            <w:vAlign w:val="center"/>
            <w:hideMark/>
          </w:tcPr>
          <w:p w14:paraId="7418DBD0" w14:textId="77777777" w:rsidR="008E3FA9" w:rsidRPr="00922145" w:rsidRDefault="008E3FA9" w:rsidP="008E3FA9">
            <w:pPr>
              <w:spacing w:before="0" w:after="0"/>
              <w:jc w:val="center"/>
              <w:rPr>
                <w:rFonts w:eastAsia="Times New Roman"/>
                <w:b/>
                <w:bCs/>
                <w:noProof/>
                <w:color w:val="000000"/>
                <w:sz w:val="22"/>
                <w:lang w:eastAsia="en-IE"/>
              </w:rPr>
            </w:pPr>
            <w:r w:rsidRPr="00922145">
              <w:rPr>
                <w:rFonts w:eastAsia="Times New Roman"/>
                <w:b/>
                <w:bCs/>
                <w:noProof/>
                <w:color w:val="000000"/>
                <w:sz w:val="22"/>
                <w:lang w:eastAsia="en-IE"/>
              </w:rPr>
              <w:t>TOTAL appropriations under HEADING 2</w:t>
            </w:r>
          </w:p>
        </w:tc>
        <w:tc>
          <w:tcPr>
            <w:tcW w:w="577" w:type="pct"/>
            <w:gridSpan w:val="4"/>
            <w:tcBorders>
              <w:top w:val="nil"/>
              <w:left w:val="nil"/>
              <w:bottom w:val="single" w:sz="8" w:space="0" w:color="auto"/>
              <w:right w:val="single" w:sz="8" w:space="0" w:color="auto"/>
            </w:tcBorders>
            <w:vAlign w:val="center"/>
            <w:hideMark/>
          </w:tcPr>
          <w:p w14:paraId="78B5B2F8" w14:textId="77777777" w:rsidR="008E3FA9" w:rsidRPr="00922145" w:rsidRDefault="008E3FA9" w:rsidP="008E3FA9">
            <w:pPr>
              <w:spacing w:before="0" w:after="0"/>
              <w:rPr>
                <w:rFonts w:eastAsia="Times New Roman"/>
                <w:noProof/>
                <w:color w:val="000000"/>
                <w:sz w:val="18"/>
                <w:szCs w:val="18"/>
                <w:lang w:eastAsia="en-IE"/>
              </w:rPr>
            </w:pPr>
            <w:r w:rsidRPr="00922145">
              <w:rPr>
                <w:rFonts w:eastAsia="Times New Roman"/>
                <w:noProof/>
                <w:color w:val="000000"/>
                <w:sz w:val="18"/>
                <w:szCs w:val="18"/>
                <w:lang w:eastAsia="en-IE"/>
              </w:rPr>
              <w:t>Commitments</w:t>
            </w:r>
          </w:p>
        </w:tc>
        <w:tc>
          <w:tcPr>
            <w:tcW w:w="443" w:type="pct"/>
            <w:gridSpan w:val="2"/>
            <w:tcBorders>
              <w:top w:val="nil"/>
              <w:left w:val="nil"/>
              <w:bottom w:val="single" w:sz="8" w:space="0" w:color="auto"/>
              <w:right w:val="single" w:sz="8" w:space="0" w:color="auto"/>
            </w:tcBorders>
            <w:vAlign w:val="center"/>
            <w:hideMark/>
          </w:tcPr>
          <w:p w14:paraId="6D9FD066" w14:textId="77777777" w:rsidR="008E3FA9" w:rsidRPr="00922145" w:rsidRDefault="008E3FA9" w:rsidP="008E3FA9">
            <w:pPr>
              <w:spacing w:before="0" w:after="0"/>
              <w:jc w:val="center"/>
              <w:rPr>
                <w:rFonts w:eastAsia="Times New Roman"/>
                <w:noProof/>
                <w:color w:val="000000"/>
                <w:sz w:val="14"/>
                <w:szCs w:val="14"/>
                <w:lang w:eastAsia="en-IE"/>
              </w:rPr>
            </w:pPr>
            <w:r w:rsidRPr="00922145">
              <w:rPr>
                <w:rFonts w:eastAsia="Times New Roman"/>
                <w:noProof/>
                <w:color w:val="000000"/>
                <w:sz w:val="14"/>
                <w:szCs w:val="14"/>
                <w:lang w:eastAsia="en-IE"/>
              </w:rPr>
              <w:t>=4+6</w:t>
            </w:r>
          </w:p>
        </w:tc>
        <w:tc>
          <w:tcPr>
            <w:tcW w:w="443" w:type="pct"/>
            <w:gridSpan w:val="3"/>
            <w:tcBorders>
              <w:top w:val="nil"/>
              <w:left w:val="nil"/>
              <w:bottom w:val="single" w:sz="8" w:space="0" w:color="auto"/>
              <w:right w:val="single" w:sz="8" w:space="0" w:color="auto"/>
            </w:tcBorders>
            <w:shd w:val="clear" w:color="000000" w:fill="D9D9D9"/>
            <w:hideMark/>
          </w:tcPr>
          <w:p w14:paraId="270AC015" w14:textId="173074AD" w:rsidR="008E3FA9" w:rsidRPr="00922145" w:rsidRDefault="008E3FA9" w:rsidP="008E3FA9">
            <w:pPr>
              <w:spacing w:before="0" w:after="0"/>
              <w:jc w:val="right"/>
              <w:rPr>
                <w:rFonts w:eastAsia="Times New Roman"/>
                <w:b/>
                <w:bCs/>
                <w:noProof/>
                <w:color w:val="000000"/>
                <w:sz w:val="20"/>
                <w:szCs w:val="20"/>
                <w:lang w:eastAsia="en-IE"/>
              </w:rPr>
            </w:pPr>
            <w:r w:rsidRPr="00404F1A">
              <w:rPr>
                <w:noProof/>
                <w:color w:val="000000"/>
                <w:sz w:val="20"/>
                <w:szCs w:val="20"/>
              </w:rPr>
              <w:t>€22,</w:t>
            </w:r>
            <w:r>
              <w:rPr>
                <w:noProof/>
                <w:color w:val="000000"/>
                <w:sz w:val="20"/>
                <w:szCs w:val="20"/>
              </w:rPr>
              <w:t>265</w:t>
            </w:r>
          </w:p>
        </w:tc>
        <w:tc>
          <w:tcPr>
            <w:tcW w:w="443" w:type="pct"/>
            <w:gridSpan w:val="2"/>
            <w:tcBorders>
              <w:top w:val="nil"/>
              <w:left w:val="nil"/>
              <w:bottom w:val="single" w:sz="8" w:space="0" w:color="auto"/>
              <w:right w:val="single" w:sz="8" w:space="0" w:color="auto"/>
            </w:tcBorders>
            <w:shd w:val="clear" w:color="000000" w:fill="D9D9D9"/>
            <w:hideMark/>
          </w:tcPr>
          <w:p w14:paraId="6277B62D" w14:textId="3A3479F7" w:rsidR="008E3FA9" w:rsidRPr="00922145" w:rsidRDefault="008E3FA9" w:rsidP="008E3FA9">
            <w:pPr>
              <w:spacing w:before="0" w:after="0"/>
              <w:jc w:val="right"/>
              <w:rPr>
                <w:rFonts w:eastAsia="Times New Roman"/>
                <w:b/>
                <w:bCs/>
                <w:noProof/>
                <w:color w:val="000000"/>
                <w:sz w:val="20"/>
                <w:szCs w:val="20"/>
                <w:lang w:eastAsia="en-IE"/>
              </w:rPr>
            </w:pPr>
            <w:r w:rsidRPr="00404F1A">
              <w:rPr>
                <w:noProof/>
                <w:color w:val="000000"/>
                <w:sz w:val="20"/>
                <w:szCs w:val="20"/>
              </w:rPr>
              <w:t>€2</w:t>
            </w:r>
            <w:r>
              <w:rPr>
                <w:noProof/>
                <w:color w:val="000000"/>
                <w:sz w:val="20"/>
                <w:szCs w:val="20"/>
              </w:rPr>
              <w:t>1</w:t>
            </w:r>
            <w:r w:rsidRPr="00404F1A">
              <w:rPr>
                <w:noProof/>
                <w:color w:val="000000"/>
                <w:sz w:val="20"/>
                <w:szCs w:val="20"/>
              </w:rPr>
              <w:t>,</w:t>
            </w:r>
            <w:r>
              <w:rPr>
                <w:noProof/>
                <w:color w:val="000000"/>
                <w:sz w:val="20"/>
                <w:szCs w:val="20"/>
              </w:rPr>
              <w:t>959</w:t>
            </w:r>
          </w:p>
        </w:tc>
        <w:tc>
          <w:tcPr>
            <w:tcW w:w="443" w:type="pct"/>
            <w:gridSpan w:val="3"/>
            <w:tcBorders>
              <w:top w:val="nil"/>
              <w:left w:val="nil"/>
              <w:bottom w:val="single" w:sz="8" w:space="0" w:color="auto"/>
              <w:right w:val="single" w:sz="8" w:space="0" w:color="auto"/>
            </w:tcBorders>
            <w:shd w:val="clear" w:color="000000" w:fill="D9D9D9"/>
            <w:hideMark/>
          </w:tcPr>
          <w:p w14:paraId="2594C04E" w14:textId="1748E2BC" w:rsidR="008E3FA9" w:rsidRPr="00922145" w:rsidRDefault="008E3FA9" w:rsidP="008E3FA9">
            <w:pPr>
              <w:spacing w:before="0" w:after="0"/>
              <w:jc w:val="right"/>
              <w:rPr>
                <w:rFonts w:eastAsia="Times New Roman"/>
                <w:b/>
                <w:bCs/>
                <w:noProof/>
                <w:color w:val="000000"/>
                <w:sz w:val="20"/>
                <w:szCs w:val="20"/>
                <w:lang w:eastAsia="en-IE"/>
              </w:rPr>
            </w:pPr>
            <w:r w:rsidRPr="00404F1A">
              <w:rPr>
                <w:noProof/>
                <w:color w:val="000000"/>
                <w:sz w:val="20"/>
                <w:szCs w:val="20"/>
              </w:rPr>
              <w:t>€2</w:t>
            </w:r>
            <w:r>
              <w:rPr>
                <w:noProof/>
                <w:color w:val="000000"/>
                <w:sz w:val="20"/>
                <w:szCs w:val="20"/>
              </w:rPr>
              <w:t>6,808</w:t>
            </w:r>
          </w:p>
        </w:tc>
        <w:tc>
          <w:tcPr>
            <w:tcW w:w="444" w:type="pct"/>
            <w:gridSpan w:val="2"/>
            <w:tcBorders>
              <w:top w:val="nil"/>
              <w:left w:val="nil"/>
              <w:bottom w:val="single" w:sz="8" w:space="0" w:color="auto"/>
              <w:right w:val="single" w:sz="8" w:space="0" w:color="auto"/>
            </w:tcBorders>
            <w:shd w:val="clear" w:color="000000" w:fill="D9D9D9"/>
            <w:hideMark/>
          </w:tcPr>
          <w:p w14:paraId="56A22FA6" w14:textId="42784CD7" w:rsidR="008E3FA9" w:rsidRPr="00922145" w:rsidRDefault="008E3FA9" w:rsidP="008E3FA9">
            <w:pPr>
              <w:spacing w:before="0" w:after="0"/>
              <w:jc w:val="right"/>
              <w:rPr>
                <w:rFonts w:eastAsia="Times New Roman"/>
                <w:b/>
                <w:bCs/>
                <w:noProof/>
                <w:color w:val="000000"/>
                <w:sz w:val="20"/>
                <w:szCs w:val="20"/>
                <w:lang w:eastAsia="en-IE"/>
              </w:rPr>
            </w:pPr>
            <w:r w:rsidRPr="00404F1A">
              <w:rPr>
                <w:noProof/>
                <w:color w:val="000000"/>
                <w:sz w:val="20"/>
                <w:szCs w:val="20"/>
              </w:rPr>
              <w:t>€2</w:t>
            </w:r>
            <w:r>
              <w:rPr>
                <w:noProof/>
                <w:color w:val="000000"/>
                <w:sz w:val="20"/>
                <w:szCs w:val="20"/>
              </w:rPr>
              <w:t>8,586</w:t>
            </w:r>
          </w:p>
        </w:tc>
        <w:tc>
          <w:tcPr>
            <w:tcW w:w="444" w:type="pct"/>
            <w:tcBorders>
              <w:top w:val="nil"/>
              <w:left w:val="nil"/>
              <w:bottom w:val="single" w:sz="8" w:space="0" w:color="auto"/>
              <w:right w:val="single" w:sz="8" w:space="0" w:color="auto"/>
            </w:tcBorders>
            <w:shd w:val="clear" w:color="000000" w:fill="D9D9D9"/>
            <w:hideMark/>
          </w:tcPr>
          <w:p w14:paraId="270ADFCD" w14:textId="5D7847AC" w:rsidR="008E3FA9" w:rsidRPr="00922145" w:rsidRDefault="008E3FA9" w:rsidP="008E3FA9">
            <w:pPr>
              <w:spacing w:before="0" w:after="0"/>
              <w:jc w:val="right"/>
              <w:rPr>
                <w:rFonts w:eastAsia="Times New Roman"/>
                <w:b/>
                <w:bCs/>
                <w:noProof/>
                <w:color w:val="000000"/>
                <w:sz w:val="20"/>
                <w:szCs w:val="20"/>
                <w:lang w:eastAsia="en-IE"/>
              </w:rPr>
            </w:pPr>
            <w:r w:rsidRPr="00404F1A">
              <w:rPr>
                <w:noProof/>
                <w:color w:val="000000"/>
                <w:sz w:val="20"/>
                <w:szCs w:val="20"/>
              </w:rPr>
              <w:t>€2</w:t>
            </w:r>
            <w:r>
              <w:rPr>
                <w:noProof/>
                <w:color w:val="000000"/>
                <w:sz w:val="20"/>
                <w:szCs w:val="20"/>
              </w:rPr>
              <w:t>8,901</w:t>
            </w:r>
          </w:p>
        </w:tc>
        <w:tc>
          <w:tcPr>
            <w:tcW w:w="444" w:type="pct"/>
            <w:gridSpan w:val="3"/>
            <w:tcBorders>
              <w:top w:val="nil"/>
              <w:left w:val="nil"/>
              <w:bottom w:val="single" w:sz="8" w:space="0" w:color="auto"/>
              <w:right w:val="single" w:sz="8" w:space="0" w:color="auto"/>
            </w:tcBorders>
            <w:shd w:val="clear" w:color="000000" w:fill="D9D9D9"/>
            <w:hideMark/>
          </w:tcPr>
          <w:p w14:paraId="673895E9" w14:textId="617EE9FD" w:rsidR="008E3FA9" w:rsidRPr="00922145" w:rsidRDefault="008E3FA9" w:rsidP="008E3FA9">
            <w:pPr>
              <w:spacing w:before="0" w:after="0"/>
              <w:jc w:val="right"/>
              <w:rPr>
                <w:rFonts w:eastAsia="Times New Roman"/>
                <w:b/>
                <w:bCs/>
                <w:noProof/>
                <w:color w:val="000000"/>
                <w:sz w:val="20"/>
                <w:szCs w:val="20"/>
                <w:lang w:eastAsia="en-IE"/>
              </w:rPr>
            </w:pPr>
            <w:r w:rsidRPr="00404F1A">
              <w:rPr>
                <w:noProof/>
                <w:color w:val="000000"/>
                <w:sz w:val="20"/>
                <w:szCs w:val="20"/>
              </w:rPr>
              <w:t>€2</w:t>
            </w:r>
            <w:r>
              <w:rPr>
                <w:noProof/>
                <w:color w:val="000000"/>
                <w:sz w:val="20"/>
                <w:szCs w:val="20"/>
              </w:rPr>
              <w:t>8,716</w:t>
            </w:r>
          </w:p>
        </w:tc>
        <w:tc>
          <w:tcPr>
            <w:tcW w:w="372" w:type="pct"/>
            <w:tcBorders>
              <w:top w:val="nil"/>
              <w:left w:val="nil"/>
              <w:bottom w:val="single" w:sz="8" w:space="0" w:color="auto"/>
              <w:right w:val="single" w:sz="8" w:space="0" w:color="auto"/>
            </w:tcBorders>
            <w:shd w:val="clear" w:color="000000" w:fill="D9D9D9"/>
            <w:hideMark/>
          </w:tcPr>
          <w:p w14:paraId="00DBEEB4" w14:textId="1DC00232" w:rsidR="008E3FA9" w:rsidRPr="00922145" w:rsidRDefault="008E3FA9" w:rsidP="008E3FA9">
            <w:pPr>
              <w:spacing w:before="0" w:after="0"/>
              <w:jc w:val="right"/>
              <w:rPr>
                <w:rFonts w:eastAsia="Times New Roman"/>
                <w:b/>
                <w:bCs/>
                <w:noProof/>
                <w:color w:val="000000"/>
                <w:sz w:val="20"/>
                <w:szCs w:val="20"/>
                <w:lang w:eastAsia="en-IE"/>
              </w:rPr>
            </w:pPr>
            <w:r w:rsidRPr="00404F1A">
              <w:rPr>
                <w:noProof/>
                <w:color w:val="000000"/>
                <w:sz w:val="20"/>
                <w:szCs w:val="20"/>
              </w:rPr>
              <w:t>€2</w:t>
            </w:r>
            <w:r>
              <w:rPr>
                <w:noProof/>
                <w:color w:val="000000"/>
                <w:sz w:val="20"/>
                <w:szCs w:val="20"/>
              </w:rPr>
              <w:t>8,926</w:t>
            </w:r>
          </w:p>
        </w:tc>
        <w:tc>
          <w:tcPr>
            <w:tcW w:w="377" w:type="pct"/>
            <w:gridSpan w:val="2"/>
            <w:tcBorders>
              <w:top w:val="nil"/>
              <w:left w:val="nil"/>
              <w:bottom w:val="single" w:sz="8" w:space="0" w:color="auto"/>
              <w:right w:val="single" w:sz="8" w:space="0" w:color="auto"/>
            </w:tcBorders>
            <w:shd w:val="clear" w:color="000000" w:fill="D9D9D9"/>
            <w:vAlign w:val="center"/>
            <w:hideMark/>
          </w:tcPr>
          <w:p w14:paraId="106127D1" w14:textId="1013152E" w:rsidR="008E3FA9" w:rsidRPr="00922145" w:rsidRDefault="008E3FA9" w:rsidP="008E3FA9">
            <w:pPr>
              <w:spacing w:before="0" w:after="0"/>
              <w:jc w:val="right"/>
              <w:rPr>
                <w:rFonts w:eastAsia="Times New Roman"/>
                <w:b/>
                <w:bCs/>
                <w:noProof/>
                <w:color w:val="000000"/>
                <w:sz w:val="20"/>
                <w:szCs w:val="20"/>
                <w:lang w:eastAsia="en-IE"/>
              </w:rPr>
            </w:pPr>
            <w:r>
              <w:rPr>
                <w:noProof/>
                <w:color w:val="000000"/>
                <w:sz w:val="20"/>
                <w:szCs w:val="20"/>
              </w:rPr>
              <w:t>186,161</w:t>
            </w:r>
          </w:p>
        </w:tc>
      </w:tr>
      <w:tr w:rsidR="008E3FA9" w:rsidRPr="00922145" w14:paraId="57EB6819" w14:textId="77777777" w:rsidTr="008E3FA9">
        <w:trPr>
          <w:trHeight w:val="552"/>
        </w:trPr>
        <w:tc>
          <w:tcPr>
            <w:tcW w:w="570" w:type="pct"/>
            <w:gridSpan w:val="2"/>
            <w:tcBorders>
              <w:top w:val="nil"/>
              <w:left w:val="single" w:sz="8" w:space="0" w:color="auto"/>
              <w:bottom w:val="single" w:sz="8" w:space="0" w:color="auto"/>
              <w:right w:val="single" w:sz="8" w:space="0" w:color="auto"/>
            </w:tcBorders>
            <w:shd w:val="thinDiagStripe" w:color="C0C0C0" w:fill="E6E6E6"/>
            <w:vAlign w:val="center"/>
            <w:hideMark/>
          </w:tcPr>
          <w:p w14:paraId="30A02B77" w14:textId="77777777" w:rsidR="008E3FA9" w:rsidRPr="00922145" w:rsidRDefault="008E3FA9" w:rsidP="008E3FA9">
            <w:pPr>
              <w:spacing w:before="0" w:after="0"/>
              <w:jc w:val="center"/>
              <w:rPr>
                <w:rFonts w:eastAsia="Times New Roman"/>
                <w:noProof/>
                <w:color w:val="000000"/>
                <w:sz w:val="22"/>
                <w:lang w:eastAsia="en-IE"/>
              </w:rPr>
            </w:pPr>
            <w:r w:rsidRPr="00922145">
              <w:rPr>
                <w:rFonts w:eastAsia="Times New Roman"/>
                <w:noProof/>
                <w:color w:val="000000"/>
                <w:sz w:val="22"/>
                <w:lang w:eastAsia="en-IE"/>
              </w:rPr>
              <w:t>of the multiannual financial framework</w:t>
            </w:r>
          </w:p>
        </w:tc>
        <w:tc>
          <w:tcPr>
            <w:tcW w:w="577" w:type="pct"/>
            <w:gridSpan w:val="4"/>
            <w:tcBorders>
              <w:top w:val="nil"/>
              <w:left w:val="nil"/>
              <w:bottom w:val="single" w:sz="8" w:space="0" w:color="auto"/>
              <w:right w:val="single" w:sz="8" w:space="0" w:color="auto"/>
            </w:tcBorders>
            <w:vAlign w:val="center"/>
            <w:hideMark/>
          </w:tcPr>
          <w:p w14:paraId="0BB04395" w14:textId="77777777" w:rsidR="008E3FA9" w:rsidRPr="00922145" w:rsidRDefault="008E3FA9" w:rsidP="008E3FA9">
            <w:pPr>
              <w:spacing w:before="0" w:after="0"/>
              <w:rPr>
                <w:rFonts w:eastAsia="Times New Roman"/>
                <w:noProof/>
                <w:color w:val="000000"/>
                <w:sz w:val="18"/>
                <w:szCs w:val="18"/>
                <w:lang w:eastAsia="en-IE"/>
              </w:rPr>
            </w:pPr>
            <w:r w:rsidRPr="00922145">
              <w:rPr>
                <w:rFonts w:eastAsia="Times New Roman"/>
                <w:noProof/>
                <w:color w:val="000000"/>
                <w:sz w:val="18"/>
                <w:szCs w:val="18"/>
                <w:lang w:eastAsia="en-IE"/>
              </w:rPr>
              <w:t>Payments</w:t>
            </w:r>
          </w:p>
        </w:tc>
        <w:tc>
          <w:tcPr>
            <w:tcW w:w="443" w:type="pct"/>
            <w:gridSpan w:val="2"/>
            <w:tcBorders>
              <w:top w:val="nil"/>
              <w:left w:val="nil"/>
              <w:bottom w:val="single" w:sz="8" w:space="0" w:color="auto"/>
              <w:right w:val="single" w:sz="8" w:space="0" w:color="auto"/>
            </w:tcBorders>
            <w:vAlign w:val="center"/>
            <w:hideMark/>
          </w:tcPr>
          <w:p w14:paraId="041D6C52" w14:textId="77777777" w:rsidR="008E3FA9" w:rsidRPr="00922145" w:rsidRDefault="008E3FA9" w:rsidP="008E3FA9">
            <w:pPr>
              <w:spacing w:before="0" w:after="0"/>
              <w:jc w:val="center"/>
              <w:rPr>
                <w:rFonts w:eastAsia="Times New Roman"/>
                <w:noProof/>
                <w:color w:val="000000"/>
                <w:sz w:val="14"/>
                <w:szCs w:val="14"/>
                <w:lang w:eastAsia="en-IE"/>
              </w:rPr>
            </w:pPr>
            <w:r w:rsidRPr="00922145">
              <w:rPr>
                <w:rFonts w:eastAsia="Times New Roman"/>
                <w:noProof/>
                <w:color w:val="000000"/>
                <w:sz w:val="14"/>
                <w:szCs w:val="14"/>
                <w:lang w:eastAsia="en-IE"/>
              </w:rPr>
              <w:t>=5+6</w:t>
            </w:r>
          </w:p>
        </w:tc>
        <w:tc>
          <w:tcPr>
            <w:tcW w:w="443" w:type="pct"/>
            <w:gridSpan w:val="3"/>
            <w:tcBorders>
              <w:top w:val="nil"/>
              <w:left w:val="nil"/>
              <w:bottom w:val="single" w:sz="8" w:space="0" w:color="auto"/>
              <w:right w:val="single" w:sz="8" w:space="0" w:color="auto"/>
            </w:tcBorders>
            <w:shd w:val="clear" w:color="000000" w:fill="D9D9D9"/>
            <w:hideMark/>
          </w:tcPr>
          <w:p w14:paraId="77D13A50" w14:textId="1A93C83B" w:rsidR="008E3FA9" w:rsidRPr="00922145" w:rsidRDefault="008E3FA9" w:rsidP="008E3FA9">
            <w:pPr>
              <w:spacing w:before="0" w:after="0"/>
              <w:jc w:val="right"/>
              <w:rPr>
                <w:rFonts w:eastAsia="Times New Roman"/>
                <w:b/>
                <w:bCs/>
                <w:noProof/>
                <w:color w:val="000000"/>
                <w:sz w:val="20"/>
                <w:szCs w:val="20"/>
                <w:lang w:eastAsia="en-IE"/>
              </w:rPr>
            </w:pPr>
            <w:r w:rsidRPr="00404F1A">
              <w:rPr>
                <w:noProof/>
                <w:color w:val="000000"/>
                <w:sz w:val="20"/>
                <w:szCs w:val="20"/>
              </w:rPr>
              <w:t>€22,</w:t>
            </w:r>
            <w:r>
              <w:rPr>
                <w:noProof/>
                <w:color w:val="000000"/>
                <w:sz w:val="20"/>
                <w:szCs w:val="20"/>
              </w:rPr>
              <w:t>265</w:t>
            </w:r>
          </w:p>
        </w:tc>
        <w:tc>
          <w:tcPr>
            <w:tcW w:w="443" w:type="pct"/>
            <w:gridSpan w:val="2"/>
            <w:tcBorders>
              <w:top w:val="nil"/>
              <w:left w:val="nil"/>
              <w:bottom w:val="single" w:sz="8" w:space="0" w:color="auto"/>
              <w:right w:val="single" w:sz="8" w:space="0" w:color="auto"/>
            </w:tcBorders>
            <w:shd w:val="clear" w:color="000000" w:fill="D9D9D9"/>
            <w:hideMark/>
          </w:tcPr>
          <w:p w14:paraId="30B6F591" w14:textId="584282E1" w:rsidR="008E3FA9" w:rsidRPr="00922145" w:rsidRDefault="008E3FA9" w:rsidP="008E3FA9">
            <w:pPr>
              <w:spacing w:before="0" w:after="0"/>
              <w:jc w:val="right"/>
              <w:rPr>
                <w:rFonts w:eastAsia="Times New Roman"/>
                <w:b/>
                <w:bCs/>
                <w:noProof/>
                <w:color w:val="000000"/>
                <w:sz w:val="20"/>
                <w:szCs w:val="20"/>
                <w:lang w:eastAsia="en-IE"/>
              </w:rPr>
            </w:pPr>
            <w:r w:rsidRPr="00404F1A">
              <w:rPr>
                <w:noProof/>
                <w:color w:val="000000"/>
                <w:sz w:val="20"/>
                <w:szCs w:val="20"/>
              </w:rPr>
              <w:t>€20,8</w:t>
            </w:r>
            <w:r>
              <w:rPr>
                <w:noProof/>
                <w:color w:val="000000"/>
                <w:sz w:val="20"/>
                <w:szCs w:val="20"/>
              </w:rPr>
              <w:t>90</w:t>
            </w:r>
          </w:p>
        </w:tc>
        <w:tc>
          <w:tcPr>
            <w:tcW w:w="443" w:type="pct"/>
            <w:gridSpan w:val="3"/>
            <w:tcBorders>
              <w:top w:val="nil"/>
              <w:left w:val="nil"/>
              <w:bottom w:val="single" w:sz="8" w:space="0" w:color="auto"/>
              <w:right w:val="single" w:sz="8" w:space="0" w:color="auto"/>
            </w:tcBorders>
            <w:shd w:val="clear" w:color="000000" w:fill="D9D9D9"/>
            <w:hideMark/>
          </w:tcPr>
          <w:p w14:paraId="75F781BB" w14:textId="4BF619B5" w:rsidR="008E3FA9" w:rsidRPr="00922145" w:rsidRDefault="008E3FA9" w:rsidP="008E3FA9">
            <w:pPr>
              <w:spacing w:before="0" w:after="0"/>
              <w:jc w:val="right"/>
              <w:rPr>
                <w:rFonts w:eastAsia="Times New Roman"/>
                <w:b/>
                <w:bCs/>
                <w:noProof/>
                <w:color w:val="000000"/>
                <w:sz w:val="20"/>
                <w:szCs w:val="20"/>
                <w:lang w:eastAsia="en-IE"/>
              </w:rPr>
            </w:pPr>
            <w:r w:rsidRPr="00404F1A">
              <w:rPr>
                <w:noProof/>
                <w:color w:val="000000"/>
                <w:sz w:val="20"/>
                <w:szCs w:val="20"/>
              </w:rPr>
              <w:t>€24,85</w:t>
            </w:r>
            <w:r>
              <w:rPr>
                <w:noProof/>
                <w:color w:val="000000"/>
                <w:sz w:val="20"/>
                <w:szCs w:val="20"/>
              </w:rPr>
              <w:t>1</w:t>
            </w:r>
          </w:p>
        </w:tc>
        <w:tc>
          <w:tcPr>
            <w:tcW w:w="444" w:type="pct"/>
            <w:gridSpan w:val="2"/>
            <w:tcBorders>
              <w:top w:val="nil"/>
              <w:left w:val="nil"/>
              <w:bottom w:val="single" w:sz="8" w:space="0" w:color="auto"/>
              <w:right w:val="single" w:sz="8" w:space="0" w:color="auto"/>
            </w:tcBorders>
            <w:shd w:val="clear" w:color="000000" w:fill="D9D9D9"/>
            <w:hideMark/>
          </w:tcPr>
          <w:p w14:paraId="3338DCC5" w14:textId="6610CF13" w:rsidR="008E3FA9" w:rsidRPr="00922145" w:rsidRDefault="008E3FA9" w:rsidP="008E3FA9">
            <w:pPr>
              <w:spacing w:before="0" w:after="0"/>
              <w:jc w:val="right"/>
              <w:rPr>
                <w:rFonts w:eastAsia="Times New Roman"/>
                <w:b/>
                <w:bCs/>
                <w:noProof/>
                <w:color w:val="000000"/>
                <w:sz w:val="20"/>
                <w:szCs w:val="20"/>
                <w:lang w:eastAsia="en-IE"/>
              </w:rPr>
            </w:pPr>
            <w:r w:rsidRPr="00404F1A">
              <w:rPr>
                <w:noProof/>
                <w:color w:val="000000"/>
                <w:sz w:val="20"/>
                <w:szCs w:val="20"/>
              </w:rPr>
              <w:t>€26,25</w:t>
            </w:r>
            <w:r>
              <w:rPr>
                <w:noProof/>
                <w:color w:val="000000"/>
                <w:sz w:val="20"/>
                <w:szCs w:val="20"/>
              </w:rPr>
              <w:t>4</w:t>
            </w:r>
          </w:p>
        </w:tc>
        <w:tc>
          <w:tcPr>
            <w:tcW w:w="444" w:type="pct"/>
            <w:tcBorders>
              <w:top w:val="nil"/>
              <w:left w:val="nil"/>
              <w:bottom w:val="single" w:sz="8" w:space="0" w:color="auto"/>
              <w:right w:val="single" w:sz="8" w:space="0" w:color="auto"/>
            </w:tcBorders>
            <w:shd w:val="clear" w:color="000000" w:fill="D9D9D9"/>
            <w:hideMark/>
          </w:tcPr>
          <w:p w14:paraId="277A3288" w14:textId="448A5673" w:rsidR="008E3FA9" w:rsidRPr="00922145" w:rsidRDefault="008E3FA9" w:rsidP="008E3FA9">
            <w:pPr>
              <w:spacing w:before="0" w:after="0"/>
              <w:jc w:val="right"/>
              <w:rPr>
                <w:rFonts w:eastAsia="Times New Roman"/>
                <w:b/>
                <w:bCs/>
                <w:noProof/>
                <w:color w:val="000000"/>
                <w:sz w:val="20"/>
                <w:szCs w:val="20"/>
                <w:lang w:eastAsia="en-IE"/>
              </w:rPr>
            </w:pPr>
            <w:r w:rsidRPr="00404F1A">
              <w:rPr>
                <w:noProof/>
                <w:color w:val="000000"/>
                <w:sz w:val="20"/>
                <w:szCs w:val="20"/>
              </w:rPr>
              <w:t>€26,25</w:t>
            </w:r>
            <w:r>
              <w:rPr>
                <w:noProof/>
                <w:color w:val="000000"/>
                <w:sz w:val="20"/>
                <w:szCs w:val="20"/>
              </w:rPr>
              <w:t>4</w:t>
            </w:r>
          </w:p>
        </w:tc>
        <w:tc>
          <w:tcPr>
            <w:tcW w:w="444" w:type="pct"/>
            <w:gridSpan w:val="3"/>
            <w:tcBorders>
              <w:top w:val="nil"/>
              <w:left w:val="nil"/>
              <w:bottom w:val="single" w:sz="8" w:space="0" w:color="auto"/>
              <w:right w:val="single" w:sz="8" w:space="0" w:color="auto"/>
            </w:tcBorders>
            <w:shd w:val="clear" w:color="000000" w:fill="D9D9D9"/>
            <w:hideMark/>
          </w:tcPr>
          <w:p w14:paraId="15F15164" w14:textId="089662B6" w:rsidR="008E3FA9" w:rsidRPr="00922145" w:rsidRDefault="008E3FA9" w:rsidP="008E3FA9">
            <w:pPr>
              <w:spacing w:before="0" w:after="0"/>
              <w:jc w:val="right"/>
              <w:rPr>
                <w:rFonts w:eastAsia="Times New Roman"/>
                <w:b/>
                <w:bCs/>
                <w:noProof/>
                <w:color w:val="000000"/>
                <w:sz w:val="20"/>
                <w:szCs w:val="20"/>
                <w:lang w:eastAsia="en-IE"/>
              </w:rPr>
            </w:pPr>
            <w:r w:rsidRPr="00404F1A">
              <w:rPr>
                <w:noProof/>
                <w:color w:val="000000"/>
                <w:sz w:val="20"/>
                <w:szCs w:val="20"/>
              </w:rPr>
              <w:t>€25,75</w:t>
            </w:r>
            <w:r>
              <w:rPr>
                <w:noProof/>
                <w:color w:val="000000"/>
                <w:sz w:val="20"/>
                <w:szCs w:val="20"/>
              </w:rPr>
              <w:t>4</w:t>
            </w:r>
          </w:p>
        </w:tc>
        <w:tc>
          <w:tcPr>
            <w:tcW w:w="372" w:type="pct"/>
            <w:tcBorders>
              <w:top w:val="nil"/>
              <w:left w:val="nil"/>
              <w:bottom w:val="single" w:sz="8" w:space="0" w:color="auto"/>
              <w:right w:val="single" w:sz="8" w:space="0" w:color="auto"/>
            </w:tcBorders>
            <w:shd w:val="clear" w:color="000000" w:fill="D9D9D9"/>
            <w:hideMark/>
          </w:tcPr>
          <w:p w14:paraId="65CC35D4" w14:textId="4B2B72F5" w:rsidR="008E3FA9" w:rsidRPr="00922145" w:rsidRDefault="008E3FA9" w:rsidP="008E3FA9">
            <w:pPr>
              <w:spacing w:before="0" w:after="0"/>
              <w:jc w:val="right"/>
              <w:rPr>
                <w:rFonts w:eastAsia="Times New Roman"/>
                <w:b/>
                <w:bCs/>
                <w:noProof/>
                <w:color w:val="000000"/>
                <w:sz w:val="20"/>
                <w:szCs w:val="20"/>
                <w:lang w:eastAsia="en-IE"/>
              </w:rPr>
            </w:pPr>
            <w:r w:rsidRPr="00404F1A">
              <w:rPr>
                <w:noProof/>
                <w:color w:val="000000"/>
                <w:sz w:val="20"/>
                <w:szCs w:val="20"/>
              </w:rPr>
              <w:t>€25,75</w:t>
            </w:r>
            <w:r>
              <w:rPr>
                <w:noProof/>
                <w:color w:val="000000"/>
                <w:sz w:val="20"/>
                <w:szCs w:val="20"/>
              </w:rPr>
              <w:t>4</w:t>
            </w:r>
          </w:p>
        </w:tc>
        <w:tc>
          <w:tcPr>
            <w:tcW w:w="377" w:type="pct"/>
            <w:gridSpan w:val="2"/>
            <w:tcBorders>
              <w:top w:val="nil"/>
              <w:left w:val="nil"/>
              <w:bottom w:val="single" w:sz="8" w:space="0" w:color="auto"/>
              <w:right w:val="single" w:sz="8" w:space="0" w:color="auto"/>
            </w:tcBorders>
            <w:shd w:val="clear" w:color="000000" w:fill="D9D9D9"/>
            <w:vAlign w:val="center"/>
            <w:hideMark/>
          </w:tcPr>
          <w:p w14:paraId="6639F150" w14:textId="7F3F31D8" w:rsidR="008E3FA9" w:rsidRPr="00922145" w:rsidRDefault="008E3FA9" w:rsidP="008E3FA9">
            <w:pPr>
              <w:spacing w:before="0" w:after="0"/>
              <w:jc w:val="right"/>
              <w:rPr>
                <w:rFonts w:eastAsia="Times New Roman"/>
                <w:b/>
                <w:bCs/>
                <w:noProof/>
                <w:color w:val="000000"/>
                <w:sz w:val="20"/>
                <w:szCs w:val="20"/>
                <w:lang w:eastAsia="en-IE"/>
              </w:rPr>
            </w:pPr>
            <w:r>
              <w:rPr>
                <w:noProof/>
                <w:color w:val="000000"/>
                <w:sz w:val="20"/>
                <w:szCs w:val="20"/>
              </w:rPr>
              <w:t>186,161</w:t>
            </w:r>
          </w:p>
        </w:tc>
      </w:tr>
      <w:tr w:rsidR="00EC37C5" w:rsidRPr="00922145" w14:paraId="2A98D775" w14:textId="77777777" w:rsidTr="008E3FA9">
        <w:trPr>
          <w:trHeight w:val="410"/>
        </w:trPr>
        <w:tc>
          <w:tcPr>
            <w:tcW w:w="1673" w:type="pct"/>
            <w:gridSpan w:val="9"/>
            <w:vMerge w:val="restart"/>
            <w:tcBorders>
              <w:top w:val="single" w:sz="8" w:space="0" w:color="auto"/>
              <w:left w:val="single" w:sz="8" w:space="0" w:color="auto"/>
              <w:bottom w:val="single" w:sz="8" w:space="0" w:color="000000" w:themeColor="text1"/>
              <w:right w:val="single" w:sz="8" w:space="0" w:color="000000" w:themeColor="text1"/>
            </w:tcBorders>
            <w:vAlign w:val="center"/>
            <w:hideMark/>
          </w:tcPr>
          <w:p w14:paraId="57E9328A" w14:textId="77777777" w:rsidR="00EC37C5" w:rsidRPr="00922145" w:rsidRDefault="00EC37C5">
            <w:pPr>
              <w:spacing w:before="0" w:after="0"/>
              <w:jc w:val="center"/>
              <w:rPr>
                <w:rFonts w:eastAsia="Times New Roman"/>
                <w:noProof/>
                <w:color w:val="000000"/>
                <w:szCs w:val="24"/>
                <w:lang w:eastAsia="en-IE"/>
              </w:rPr>
            </w:pPr>
            <w:r w:rsidRPr="00922145">
              <w:rPr>
                <w:rFonts w:eastAsia="Times New Roman"/>
                <w:noProof/>
                <w:color w:val="000000"/>
                <w:szCs w:val="24"/>
                <w:lang w:eastAsia="en-IE"/>
              </w:rPr>
              <w:t>DG: CNECT</w:t>
            </w:r>
          </w:p>
        </w:tc>
        <w:tc>
          <w:tcPr>
            <w:tcW w:w="411" w:type="pct"/>
            <w:gridSpan w:val="3"/>
            <w:tcBorders>
              <w:top w:val="single" w:sz="8" w:space="0" w:color="auto"/>
              <w:left w:val="nil"/>
              <w:bottom w:val="nil"/>
              <w:right w:val="single" w:sz="8" w:space="0" w:color="auto"/>
            </w:tcBorders>
            <w:vAlign w:val="center"/>
            <w:hideMark/>
          </w:tcPr>
          <w:p w14:paraId="2844CBD3" w14:textId="77777777" w:rsidR="00EC37C5" w:rsidRPr="00922145" w:rsidRDefault="00EC37C5">
            <w:pPr>
              <w:spacing w:before="0" w:after="0"/>
              <w:jc w:val="center"/>
              <w:rPr>
                <w:rFonts w:eastAsia="Times New Roman"/>
                <w:noProof/>
                <w:color w:val="000000"/>
                <w:sz w:val="20"/>
                <w:szCs w:val="20"/>
                <w:lang w:eastAsia="en-IE"/>
              </w:rPr>
            </w:pPr>
            <w:r w:rsidRPr="00922145">
              <w:rPr>
                <w:rFonts w:eastAsia="Times New Roman"/>
                <w:noProof/>
                <w:color w:val="000000"/>
                <w:sz w:val="20"/>
                <w:szCs w:val="20"/>
                <w:lang w:eastAsia="en-IE"/>
              </w:rPr>
              <w:t>Year</w:t>
            </w:r>
          </w:p>
        </w:tc>
        <w:tc>
          <w:tcPr>
            <w:tcW w:w="398" w:type="pct"/>
            <w:gridSpan w:val="2"/>
            <w:tcBorders>
              <w:top w:val="single" w:sz="8" w:space="0" w:color="auto"/>
              <w:left w:val="nil"/>
              <w:bottom w:val="nil"/>
              <w:right w:val="single" w:sz="8" w:space="0" w:color="auto"/>
            </w:tcBorders>
            <w:vAlign w:val="center"/>
            <w:hideMark/>
          </w:tcPr>
          <w:p w14:paraId="724C2282" w14:textId="77777777" w:rsidR="00EC37C5" w:rsidRPr="00922145" w:rsidRDefault="00EC37C5">
            <w:pPr>
              <w:spacing w:before="0" w:after="0"/>
              <w:jc w:val="center"/>
              <w:rPr>
                <w:rFonts w:eastAsia="Times New Roman"/>
                <w:noProof/>
                <w:color w:val="000000"/>
                <w:sz w:val="20"/>
                <w:szCs w:val="20"/>
                <w:lang w:eastAsia="en-IE"/>
              </w:rPr>
            </w:pPr>
            <w:r w:rsidRPr="00922145">
              <w:rPr>
                <w:rFonts w:eastAsia="Times New Roman"/>
                <w:noProof/>
                <w:color w:val="000000"/>
                <w:sz w:val="20"/>
                <w:szCs w:val="20"/>
                <w:lang w:eastAsia="en-IE"/>
              </w:rPr>
              <w:t>Year</w:t>
            </w:r>
          </w:p>
        </w:tc>
        <w:tc>
          <w:tcPr>
            <w:tcW w:w="398" w:type="pct"/>
            <w:tcBorders>
              <w:top w:val="single" w:sz="8" w:space="0" w:color="auto"/>
              <w:left w:val="nil"/>
              <w:bottom w:val="nil"/>
              <w:right w:val="single" w:sz="8" w:space="0" w:color="auto"/>
            </w:tcBorders>
            <w:vAlign w:val="center"/>
            <w:hideMark/>
          </w:tcPr>
          <w:p w14:paraId="6DD4D2A7" w14:textId="77777777" w:rsidR="00EC37C5" w:rsidRPr="00922145" w:rsidRDefault="00EC37C5">
            <w:pPr>
              <w:spacing w:before="0" w:after="0"/>
              <w:jc w:val="center"/>
              <w:rPr>
                <w:rFonts w:eastAsia="Times New Roman"/>
                <w:noProof/>
                <w:color w:val="000000"/>
                <w:sz w:val="20"/>
                <w:szCs w:val="20"/>
                <w:lang w:eastAsia="en-IE"/>
              </w:rPr>
            </w:pPr>
            <w:r w:rsidRPr="00922145">
              <w:rPr>
                <w:rFonts w:eastAsia="Times New Roman"/>
                <w:noProof/>
                <w:color w:val="000000"/>
                <w:sz w:val="20"/>
                <w:szCs w:val="20"/>
                <w:lang w:eastAsia="en-IE"/>
              </w:rPr>
              <w:t>Year</w:t>
            </w:r>
          </w:p>
        </w:tc>
        <w:tc>
          <w:tcPr>
            <w:tcW w:w="464" w:type="pct"/>
            <w:gridSpan w:val="2"/>
            <w:tcBorders>
              <w:top w:val="single" w:sz="8" w:space="0" w:color="auto"/>
              <w:left w:val="nil"/>
              <w:bottom w:val="nil"/>
              <w:right w:val="single" w:sz="8" w:space="0" w:color="auto"/>
            </w:tcBorders>
            <w:vAlign w:val="center"/>
            <w:hideMark/>
          </w:tcPr>
          <w:p w14:paraId="18A25392" w14:textId="77777777" w:rsidR="00EC37C5" w:rsidRPr="00922145" w:rsidRDefault="00EC37C5">
            <w:pPr>
              <w:spacing w:before="0" w:after="0"/>
              <w:jc w:val="center"/>
              <w:rPr>
                <w:rFonts w:eastAsia="Times New Roman"/>
                <w:noProof/>
                <w:color w:val="000000"/>
                <w:sz w:val="20"/>
                <w:szCs w:val="20"/>
                <w:lang w:eastAsia="en-IE"/>
              </w:rPr>
            </w:pPr>
            <w:r w:rsidRPr="00922145">
              <w:rPr>
                <w:rFonts w:eastAsia="Times New Roman"/>
                <w:noProof/>
                <w:color w:val="000000"/>
                <w:sz w:val="20"/>
                <w:szCs w:val="20"/>
                <w:lang w:eastAsia="en-IE"/>
              </w:rPr>
              <w:t>Year</w:t>
            </w:r>
          </w:p>
        </w:tc>
        <w:tc>
          <w:tcPr>
            <w:tcW w:w="506" w:type="pct"/>
            <w:gridSpan w:val="3"/>
            <w:tcBorders>
              <w:top w:val="single" w:sz="8" w:space="0" w:color="auto"/>
              <w:left w:val="nil"/>
              <w:bottom w:val="nil"/>
              <w:right w:val="single" w:sz="8" w:space="0" w:color="auto"/>
            </w:tcBorders>
            <w:vAlign w:val="center"/>
            <w:hideMark/>
          </w:tcPr>
          <w:p w14:paraId="266CC81B" w14:textId="77777777" w:rsidR="00EC37C5" w:rsidRPr="00922145" w:rsidRDefault="00EC37C5">
            <w:pPr>
              <w:spacing w:before="0" w:after="0"/>
              <w:jc w:val="center"/>
              <w:rPr>
                <w:rFonts w:eastAsia="Times New Roman"/>
                <w:noProof/>
                <w:color w:val="000000"/>
                <w:sz w:val="20"/>
                <w:szCs w:val="20"/>
                <w:lang w:eastAsia="en-IE"/>
              </w:rPr>
            </w:pPr>
            <w:r w:rsidRPr="00922145">
              <w:rPr>
                <w:rFonts w:eastAsia="Times New Roman"/>
                <w:noProof/>
                <w:color w:val="000000"/>
                <w:sz w:val="20"/>
                <w:szCs w:val="20"/>
                <w:lang w:eastAsia="en-IE"/>
              </w:rPr>
              <w:t>Year</w:t>
            </w:r>
          </w:p>
        </w:tc>
        <w:tc>
          <w:tcPr>
            <w:tcW w:w="397" w:type="pct"/>
            <w:tcBorders>
              <w:top w:val="single" w:sz="8" w:space="0" w:color="auto"/>
              <w:left w:val="nil"/>
              <w:bottom w:val="nil"/>
              <w:right w:val="single" w:sz="8" w:space="0" w:color="auto"/>
            </w:tcBorders>
            <w:vAlign w:val="center"/>
            <w:hideMark/>
          </w:tcPr>
          <w:p w14:paraId="364572E6" w14:textId="77777777" w:rsidR="00EC37C5" w:rsidRPr="00922145" w:rsidRDefault="00EC37C5">
            <w:pPr>
              <w:spacing w:before="0" w:after="0"/>
              <w:jc w:val="center"/>
              <w:rPr>
                <w:rFonts w:eastAsia="Times New Roman"/>
                <w:noProof/>
                <w:color w:val="000000"/>
                <w:sz w:val="20"/>
                <w:szCs w:val="20"/>
                <w:lang w:eastAsia="en-IE"/>
              </w:rPr>
            </w:pPr>
            <w:r w:rsidRPr="00922145">
              <w:rPr>
                <w:rFonts w:eastAsia="Times New Roman"/>
                <w:noProof/>
                <w:color w:val="000000"/>
                <w:sz w:val="20"/>
                <w:szCs w:val="20"/>
                <w:lang w:eastAsia="en-IE"/>
              </w:rPr>
              <w:t>Year</w:t>
            </w:r>
          </w:p>
        </w:tc>
        <w:tc>
          <w:tcPr>
            <w:tcW w:w="397" w:type="pct"/>
            <w:gridSpan w:val="3"/>
            <w:tcBorders>
              <w:top w:val="single" w:sz="8" w:space="0" w:color="auto"/>
              <w:left w:val="nil"/>
              <w:bottom w:val="nil"/>
              <w:right w:val="single" w:sz="8" w:space="0" w:color="auto"/>
            </w:tcBorders>
            <w:vAlign w:val="center"/>
            <w:hideMark/>
          </w:tcPr>
          <w:p w14:paraId="2155B926" w14:textId="77777777" w:rsidR="00EC37C5" w:rsidRPr="00922145" w:rsidRDefault="00EC37C5">
            <w:pPr>
              <w:spacing w:before="0" w:after="0"/>
              <w:jc w:val="center"/>
              <w:rPr>
                <w:rFonts w:eastAsia="Times New Roman"/>
                <w:noProof/>
                <w:color w:val="000000"/>
                <w:sz w:val="20"/>
                <w:szCs w:val="20"/>
                <w:lang w:eastAsia="en-IE"/>
              </w:rPr>
            </w:pPr>
            <w:r w:rsidRPr="00922145">
              <w:rPr>
                <w:rFonts w:eastAsia="Times New Roman"/>
                <w:noProof/>
                <w:color w:val="000000"/>
                <w:sz w:val="20"/>
                <w:szCs w:val="20"/>
                <w:lang w:eastAsia="en-IE"/>
              </w:rPr>
              <w:t>Year</w:t>
            </w:r>
          </w:p>
        </w:tc>
        <w:tc>
          <w:tcPr>
            <w:tcW w:w="356" w:type="pct"/>
            <w:vMerge w:val="restart"/>
            <w:tcBorders>
              <w:top w:val="single" w:sz="8" w:space="0" w:color="auto"/>
              <w:left w:val="single" w:sz="8" w:space="0" w:color="auto"/>
              <w:bottom w:val="single" w:sz="8" w:space="0" w:color="000000" w:themeColor="text1"/>
              <w:right w:val="single" w:sz="8" w:space="0" w:color="auto"/>
            </w:tcBorders>
            <w:vAlign w:val="center"/>
            <w:hideMark/>
          </w:tcPr>
          <w:p w14:paraId="70ACA73E" w14:textId="77777777" w:rsidR="00EC37C5" w:rsidRPr="00922145" w:rsidRDefault="00EC37C5">
            <w:pPr>
              <w:spacing w:before="0" w:after="0"/>
              <w:jc w:val="center"/>
              <w:rPr>
                <w:rFonts w:eastAsia="Times New Roman"/>
                <w:b/>
                <w:bCs/>
                <w:noProof/>
                <w:color w:val="000000"/>
                <w:sz w:val="20"/>
                <w:szCs w:val="20"/>
                <w:lang w:eastAsia="en-IE"/>
              </w:rPr>
            </w:pPr>
            <w:r w:rsidRPr="00922145">
              <w:rPr>
                <w:rFonts w:eastAsia="Times New Roman"/>
                <w:b/>
                <w:bCs/>
                <w:noProof/>
                <w:color w:val="000000"/>
                <w:sz w:val="20"/>
                <w:szCs w:val="20"/>
                <w:lang w:eastAsia="en-IE"/>
              </w:rPr>
              <w:t>TOTAL MFF 2028-2034</w:t>
            </w:r>
          </w:p>
        </w:tc>
      </w:tr>
      <w:tr w:rsidR="00EC37C5" w:rsidRPr="00922145" w14:paraId="29E2F81F" w14:textId="77777777" w:rsidTr="008E3FA9">
        <w:trPr>
          <w:trHeight w:val="300"/>
        </w:trPr>
        <w:tc>
          <w:tcPr>
            <w:tcW w:w="1673" w:type="pct"/>
            <w:gridSpan w:val="9"/>
            <w:vMerge/>
            <w:vAlign w:val="center"/>
            <w:hideMark/>
          </w:tcPr>
          <w:p w14:paraId="448E6691" w14:textId="77777777" w:rsidR="00EC37C5" w:rsidRPr="00922145" w:rsidRDefault="00EC37C5">
            <w:pPr>
              <w:spacing w:before="0" w:after="0"/>
              <w:jc w:val="left"/>
              <w:rPr>
                <w:rFonts w:eastAsia="Times New Roman"/>
                <w:noProof/>
                <w:color w:val="000000"/>
                <w:szCs w:val="24"/>
                <w:lang w:eastAsia="en-IE"/>
              </w:rPr>
            </w:pPr>
          </w:p>
        </w:tc>
        <w:tc>
          <w:tcPr>
            <w:tcW w:w="411" w:type="pct"/>
            <w:gridSpan w:val="3"/>
            <w:tcBorders>
              <w:top w:val="nil"/>
              <w:left w:val="nil"/>
              <w:bottom w:val="single" w:sz="8" w:space="0" w:color="auto"/>
              <w:right w:val="single" w:sz="8" w:space="0" w:color="auto"/>
            </w:tcBorders>
            <w:vAlign w:val="center"/>
            <w:hideMark/>
          </w:tcPr>
          <w:p w14:paraId="260191F5" w14:textId="77777777" w:rsidR="00EC37C5" w:rsidRPr="00922145" w:rsidRDefault="00EC37C5">
            <w:pPr>
              <w:spacing w:before="0" w:after="0"/>
              <w:jc w:val="center"/>
              <w:rPr>
                <w:rFonts w:eastAsia="Times New Roman"/>
                <w:b/>
                <w:bCs/>
                <w:noProof/>
                <w:color w:val="000000"/>
                <w:sz w:val="20"/>
                <w:szCs w:val="20"/>
                <w:lang w:eastAsia="en-IE"/>
              </w:rPr>
            </w:pPr>
            <w:r w:rsidRPr="00922145">
              <w:rPr>
                <w:rFonts w:eastAsia="Times New Roman"/>
                <w:b/>
                <w:bCs/>
                <w:noProof/>
                <w:color w:val="000000"/>
                <w:sz w:val="20"/>
                <w:szCs w:val="20"/>
                <w:lang w:eastAsia="en-IE"/>
              </w:rPr>
              <w:t>2028</w:t>
            </w:r>
          </w:p>
        </w:tc>
        <w:tc>
          <w:tcPr>
            <w:tcW w:w="398" w:type="pct"/>
            <w:gridSpan w:val="2"/>
            <w:tcBorders>
              <w:top w:val="nil"/>
              <w:left w:val="nil"/>
              <w:bottom w:val="single" w:sz="8" w:space="0" w:color="auto"/>
              <w:right w:val="single" w:sz="8" w:space="0" w:color="auto"/>
            </w:tcBorders>
            <w:vAlign w:val="center"/>
            <w:hideMark/>
          </w:tcPr>
          <w:p w14:paraId="25493035" w14:textId="77777777" w:rsidR="00EC37C5" w:rsidRPr="00922145" w:rsidRDefault="00EC37C5">
            <w:pPr>
              <w:spacing w:before="0" w:after="0"/>
              <w:jc w:val="center"/>
              <w:rPr>
                <w:rFonts w:eastAsia="Times New Roman"/>
                <w:b/>
                <w:bCs/>
                <w:noProof/>
                <w:color w:val="000000"/>
                <w:sz w:val="20"/>
                <w:szCs w:val="20"/>
                <w:lang w:eastAsia="en-IE"/>
              </w:rPr>
            </w:pPr>
            <w:r w:rsidRPr="00922145">
              <w:rPr>
                <w:rFonts w:eastAsia="Times New Roman"/>
                <w:b/>
                <w:bCs/>
                <w:noProof/>
                <w:color w:val="000000"/>
                <w:sz w:val="20"/>
                <w:szCs w:val="20"/>
                <w:lang w:eastAsia="en-IE"/>
              </w:rPr>
              <w:t>2029</w:t>
            </w:r>
          </w:p>
        </w:tc>
        <w:tc>
          <w:tcPr>
            <w:tcW w:w="398" w:type="pct"/>
            <w:tcBorders>
              <w:top w:val="nil"/>
              <w:left w:val="nil"/>
              <w:bottom w:val="single" w:sz="8" w:space="0" w:color="auto"/>
              <w:right w:val="single" w:sz="8" w:space="0" w:color="auto"/>
            </w:tcBorders>
            <w:vAlign w:val="center"/>
            <w:hideMark/>
          </w:tcPr>
          <w:p w14:paraId="03CB30AF" w14:textId="77777777" w:rsidR="00EC37C5" w:rsidRPr="00922145" w:rsidRDefault="00EC37C5">
            <w:pPr>
              <w:spacing w:before="0" w:after="0"/>
              <w:jc w:val="center"/>
              <w:rPr>
                <w:rFonts w:eastAsia="Times New Roman"/>
                <w:b/>
                <w:bCs/>
                <w:noProof/>
                <w:color w:val="000000"/>
                <w:sz w:val="20"/>
                <w:szCs w:val="20"/>
                <w:lang w:eastAsia="en-IE"/>
              </w:rPr>
            </w:pPr>
            <w:r w:rsidRPr="00922145">
              <w:rPr>
                <w:rFonts w:eastAsia="Times New Roman"/>
                <w:b/>
                <w:bCs/>
                <w:noProof/>
                <w:color w:val="000000"/>
                <w:sz w:val="20"/>
                <w:szCs w:val="20"/>
                <w:lang w:eastAsia="en-IE"/>
              </w:rPr>
              <w:t>2030</w:t>
            </w:r>
          </w:p>
        </w:tc>
        <w:tc>
          <w:tcPr>
            <w:tcW w:w="464" w:type="pct"/>
            <w:gridSpan w:val="2"/>
            <w:tcBorders>
              <w:top w:val="nil"/>
              <w:left w:val="nil"/>
              <w:bottom w:val="single" w:sz="8" w:space="0" w:color="auto"/>
              <w:right w:val="single" w:sz="8" w:space="0" w:color="auto"/>
            </w:tcBorders>
            <w:vAlign w:val="center"/>
            <w:hideMark/>
          </w:tcPr>
          <w:p w14:paraId="25174B5E" w14:textId="77777777" w:rsidR="00EC37C5" w:rsidRPr="00922145" w:rsidRDefault="00EC37C5">
            <w:pPr>
              <w:spacing w:before="0" w:after="0"/>
              <w:jc w:val="center"/>
              <w:rPr>
                <w:rFonts w:eastAsia="Times New Roman"/>
                <w:b/>
                <w:bCs/>
                <w:noProof/>
                <w:color w:val="000000"/>
                <w:sz w:val="20"/>
                <w:szCs w:val="20"/>
                <w:lang w:eastAsia="en-IE"/>
              </w:rPr>
            </w:pPr>
            <w:r w:rsidRPr="00922145">
              <w:rPr>
                <w:rFonts w:eastAsia="Times New Roman"/>
                <w:b/>
                <w:bCs/>
                <w:noProof/>
                <w:color w:val="000000"/>
                <w:sz w:val="20"/>
                <w:szCs w:val="20"/>
                <w:lang w:eastAsia="en-IE"/>
              </w:rPr>
              <w:t>2031</w:t>
            </w:r>
          </w:p>
        </w:tc>
        <w:tc>
          <w:tcPr>
            <w:tcW w:w="506" w:type="pct"/>
            <w:gridSpan w:val="3"/>
            <w:tcBorders>
              <w:top w:val="nil"/>
              <w:left w:val="nil"/>
              <w:bottom w:val="single" w:sz="8" w:space="0" w:color="auto"/>
              <w:right w:val="single" w:sz="8" w:space="0" w:color="auto"/>
            </w:tcBorders>
            <w:vAlign w:val="center"/>
            <w:hideMark/>
          </w:tcPr>
          <w:p w14:paraId="09B32BEB" w14:textId="77777777" w:rsidR="00EC37C5" w:rsidRPr="00922145" w:rsidRDefault="00EC37C5">
            <w:pPr>
              <w:spacing w:before="0" w:after="0"/>
              <w:jc w:val="center"/>
              <w:rPr>
                <w:rFonts w:eastAsia="Times New Roman"/>
                <w:b/>
                <w:bCs/>
                <w:noProof/>
                <w:color w:val="000000"/>
                <w:sz w:val="20"/>
                <w:szCs w:val="20"/>
                <w:lang w:eastAsia="en-IE"/>
              </w:rPr>
            </w:pPr>
            <w:r w:rsidRPr="00922145">
              <w:rPr>
                <w:rFonts w:eastAsia="Times New Roman"/>
                <w:b/>
                <w:bCs/>
                <w:noProof/>
                <w:color w:val="000000"/>
                <w:sz w:val="20"/>
                <w:szCs w:val="20"/>
                <w:lang w:eastAsia="en-IE"/>
              </w:rPr>
              <w:t>2032</w:t>
            </w:r>
          </w:p>
        </w:tc>
        <w:tc>
          <w:tcPr>
            <w:tcW w:w="397" w:type="pct"/>
            <w:tcBorders>
              <w:top w:val="nil"/>
              <w:left w:val="nil"/>
              <w:bottom w:val="single" w:sz="8" w:space="0" w:color="auto"/>
              <w:right w:val="single" w:sz="8" w:space="0" w:color="auto"/>
            </w:tcBorders>
            <w:vAlign w:val="center"/>
            <w:hideMark/>
          </w:tcPr>
          <w:p w14:paraId="39A896E3" w14:textId="77777777" w:rsidR="00EC37C5" w:rsidRPr="00922145" w:rsidRDefault="00EC37C5">
            <w:pPr>
              <w:spacing w:before="0" w:after="0"/>
              <w:jc w:val="center"/>
              <w:rPr>
                <w:rFonts w:eastAsia="Times New Roman"/>
                <w:b/>
                <w:bCs/>
                <w:noProof/>
                <w:color w:val="000000"/>
                <w:sz w:val="20"/>
                <w:szCs w:val="20"/>
                <w:lang w:eastAsia="en-IE"/>
              </w:rPr>
            </w:pPr>
            <w:r w:rsidRPr="00922145">
              <w:rPr>
                <w:rFonts w:eastAsia="Times New Roman"/>
                <w:b/>
                <w:bCs/>
                <w:noProof/>
                <w:color w:val="000000"/>
                <w:sz w:val="20"/>
                <w:szCs w:val="20"/>
                <w:lang w:eastAsia="en-IE"/>
              </w:rPr>
              <w:t>2033</w:t>
            </w:r>
          </w:p>
        </w:tc>
        <w:tc>
          <w:tcPr>
            <w:tcW w:w="397" w:type="pct"/>
            <w:gridSpan w:val="3"/>
            <w:tcBorders>
              <w:top w:val="nil"/>
              <w:left w:val="nil"/>
              <w:bottom w:val="single" w:sz="8" w:space="0" w:color="auto"/>
              <w:right w:val="single" w:sz="8" w:space="0" w:color="auto"/>
            </w:tcBorders>
            <w:vAlign w:val="center"/>
            <w:hideMark/>
          </w:tcPr>
          <w:p w14:paraId="13B14501" w14:textId="77777777" w:rsidR="00EC37C5" w:rsidRPr="00922145" w:rsidRDefault="00EC37C5">
            <w:pPr>
              <w:spacing w:before="0" w:after="0"/>
              <w:jc w:val="center"/>
              <w:rPr>
                <w:rFonts w:eastAsia="Times New Roman"/>
                <w:b/>
                <w:bCs/>
                <w:noProof/>
                <w:color w:val="000000"/>
                <w:sz w:val="20"/>
                <w:szCs w:val="20"/>
                <w:lang w:eastAsia="en-IE"/>
              </w:rPr>
            </w:pPr>
            <w:r w:rsidRPr="00922145">
              <w:rPr>
                <w:rFonts w:eastAsia="Times New Roman"/>
                <w:b/>
                <w:bCs/>
                <w:noProof/>
                <w:color w:val="000000"/>
                <w:sz w:val="20"/>
                <w:szCs w:val="20"/>
                <w:lang w:eastAsia="en-IE"/>
              </w:rPr>
              <w:t>2034</w:t>
            </w:r>
          </w:p>
        </w:tc>
        <w:tc>
          <w:tcPr>
            <w:tcW w:w="356" w:type="pct"/>
            <w:vMerge/>
            <w:vAlign w:val="center"/>
            <w:hideMark/>
          </w:tcPr>
          <w:p w14:paraId="12B0F63B" w14:textId="77777777" w:rsidR="00EC37C5" w:rsidRPr="00922145" w:rsidRDefault="00EC37C5">
            <w:pPr>
              <w:spacing w:before="0" w:after="0"/>
              <w:jc w:val="left"/>
              <w:rPr>
                <w:rFonts w:eastAsia="Times New Roman"/>
                <w:b/>
                <w:bCs/>
                <w:noProof/>
                <w:color w:val="000000"/>
                <w:sz w:val="20"/>
                <w:szCs w:val="20"/>
                <w:lang w:eastAsia="en-IE"/>
              </w:rPr>
            </w:pPr>
          </w:p>
        </w:tc>
      </w:tr>
      <w:tr w:rsidR="008E3FA9" w:rsidRPr="00922145" w14:paraId="5F398CD3" w14:textId="77777777" w:rsidTr="008E3FA9">
        <w:trPr>
          <w:trHeight w:val="300"/>
        </w:trPr>
        <w:tc>
          <w:tcPr>
            <w:tcW w:w="1673" w:type="pct"/>
            <w:gridSpan w:val="9"/>
            <w:tcBorders>
              <w:top w:val="single" w:sz="8" w:space="0" w:color="auto"/>
              <w:left w:val="single" w:sz="8" w:space="0" w:color="auto"/>
              <w:bottom w:val="single" w:sz="8" w:space="0" w:color="auto"/>
              <w:right w:val="single" w:sz="8" w:space="0" w:color="000000" w:themeColor="text1"/>
            </w:tcBorders>
            <w:vAlign w:val="center"/>
            <w:hideMark/>
          </w:tcPr>
          <w:p w14:paraId="03558A11" w14:textId="77777777" w:rsidR="008E3FA9" w:rsidRPr="00922145" w:rsidRDefault="008E3FA9" w:rsidP="008E3FA9">
            <w:pPr>
              <w:spacing w:before="0" w:after="0"/>
              <w:jc w:val="left"/>
              <w:rPr>
                <w:rFonts w:ascii="Wingdings" w:eastAsia="Times New Roman" w:hAnsi="Wingdings"/>
                <w:noProof/>
                <w:color w:val="000000"/>
                <w:sz w:val="22"/>
                <w:lang w:eastAsia="en-IE"/>
              </w:rPr>
            </w:pPr>
            <w:r w:rsidRPr="00922145">
              <w:rPr>
                <w:rFonts w:ascii="Wingdings" w:eastAsia="Times New Roman" w:hAnsi="Wingdings"/>
                <w:noProof/>
                <w:color w:val="000000"/>
                <w:sz w:val="22"/>
                <w:lang w:eastAsia="en-IE"/>
              </w:rPr>
              <w:t></w:t>
            </w:r>
            <w:r w:rsidRPr="00922145">
              <w:rPr>
                <w:rFonts w:eastAsia="Times New Roman"/>
                <w:noProof/>
                <w:color w:val="000000"/>
                <w:sz w:val="22"/>
                <w:lang w:eastAsia="en-IE"/>
              </w:rPr>
              <w:t xml:space="preserve"> Human resources </w:t>
            </w:r>
          </w:p>
        </w:tc>
        <w:tc>
          <w:tcPr>
            <w:tcW w:w="411" w:type="pct"/>
            <w:gridSpan w:val="3"/>
            <w:tcBorders>
              <w:top w:val="nil"/>
              <w:left w:val="nil"/>
              <w:bottom w:val="single" w:sz="8" w:space="0" w:color="auto"/>
              <w:right w:val="single" w:sz="8" w:space="0" w:color="auto"/>
            </w:tcBorders>
            <w:shd w:val="clear" w:color="auto" w:fill="D9D9D9" w:themeFill="background1" w:themeFillShade="D9"/>
            <w:vAlign w:val="center"/>
            <w:hideMark/>
          </w:tcPr>
          <w:p w14:paraId="3525BE02" w14:textId="77777777" w:rsidR="008E3FA9" w:rsidRPr="00922145" w:rsidRDefault="008E3FA9" w:rsidP="008E3FA9">
            <w:pPr>
              <w:spacing w:before="0" w:after="0"/>
              <w:jc w:val="center"/>
              <w:rPr>
                <w:rFonts w:ascii="Arial Narrow" w:hAnsi="Arial Narrow" w:cs="Calibri"/>
                <w:b/>
                <w:bCs/>
                <w:noProof/>
                <w:color w:val="000000"/>
                <w:sz w:val="20"/>
                <w:szCs w:val="20"/>
              </w:rPr>
            </w:pPr>
            <w:r>
              <w:rPr>
                <w:rFonts w:ascii="Arial Narrow" w:hAnsi="Arial Narrow" w:cs="Calibri"/>
                <w:b/>
                <w:bCs/>
                <w:noProof/>
                <w:color w:val="000000"/>
                <w:sz w:val="20"/>
                <w:szCs w:val="20"/>
              </w:rPr>
              <w:t xml:space="preserve"> 3,693</w:t>
            </w:r>
          </w:p>
          <w:p w14:paraId="6F20694F" w14:textId="40987DFA" w:rsidR="008E3FA9" w:rsidRPr="00D9174C" w:rsidRDefault="008E3FA9" w:rsidP="008E3FA9">
            <w:pPr>
              <w:rPr>
                <w:rFonts w:ascii="Arial Narrow" w:hAnsi="Arial Narrow" w:cs="Calibri"/>
                <w:b/>
                <w:bCs/>
                <w:noProof/>
                <w:color w:val="000000"/>
                <w:sz w:val="20"/>
                <w:szCs w:val="20"/>
              </w:rPr>
            </w:pPr>
          </w:p>
        </w:tc>
        <w:tc>
          <w:tcPr>
            <w:tcW w:w="398" w:type="pct"/>
            <w:gridSpan w:val="2"/>
            <w:tcBorders>
              <w:top w:val="nil"/>
              <w:left w:val="nil"/>
              <w:bottom w:val="single" w:sz="8" w:space="0" w:color="auto"/>
              <w:right w:val="single" w:sz="8" w:space="0" w:color="auto"/>
            </w:tcBorders>
            <w:shd w:val="clear" w:color="auto" w:fill="D9D9D9" w:themeFill="background1" w:themeFillShade="D9"/>
            <w:hideMark/>
          </w:tcPr>
          <w:p w14:paraId="4974FBD4" w14:textId="38901539" w:rsidR="008E3FA9" w:rsidRPr="00922145" w:rsidRDefault="008E3FA9" w:rsidP="008E3FA9">
            <w:pPr>
              <w:spacing w:before="0" w:after="0"/>
              <w:jc w:val="center"/>
              <w:rPr>
                <w:rFonts w:eastAsia="Times New Roman"/>
                <w:noProof/>
                <w:color w:val="000000"/>
                <w:sz w:val="20"/>
                <w:szCs w:val="20"/>
                <w:lang w:eastAsia="en-IE"/>
              </w:rPr>
            </w:pPr>
            <w:r>
              <w:rPr>
                <w:rFonts w:ascii="Arial Narrow" w:hAnsi="Arial Narrow" w:cs="Calibri"/>
                <w:b/>
                <w:bCs/>
                <w:noProof/>
                <w:color w:val="000000"/>
                <w:sz w:val="20"/>
                <w:szCs w:val="20"/>
              </w:rPr>
              <w:t xml:space="preserve"> 3,693</w:t>
            </w:r>
          </w:p>
        </w:tc>
        <w:tc>
          <w:tcPr>
            <w:tcW w:w="398" w:type="pct"/>
            <w:tcBorders>
              <w:top w:val="nil"/>
              <w:left w:val="nil"/>
              <w:bottom w:val="single" w:sz="8" w:space="0" w:color="auto"/>
              <w:right w:val="single" w:sz="8" w:space="0" w:color="auto"/>
            </w:tcBorders>
            <w:shd w:val="clear" w:color="auto" w:fill="D9D9D9" w:themeFill="background1" w:themeFillShade="D9"/>
            <w:hideMark/>
          </w:tcPr>
          <w:p w14:paraId="27EDBEDF" w14:textId="13E4AC13" w:rsidR="008E3FA9" w:rsidRPr="00922145" w:rsidRDefault="008E3FA9" w:rsidP="008E3FA9">
            <w:pPr>
              <w:spacing w:before="0" w:after="0"/>
              <w:jc w:val="center"/>
              <w:rPr>
                <w:rFonts w:eastAsia="Times New Roman"/>
                <w:noProof/>
                <w:color w:val="000000"/>
                <w:sz w:val="20"/>
                <w:szCs w:val="20"/>
                <w:lang w:eastAsia="en-IE"/>
              </w:rPr>
            </w:pPr>
            <w:r>
              <w:rPr>
                <w:rFonts w:ascii="Arial Narrow" w:hAnsi="Arial Narrow" w:cs="Calibri"/>
                <w:b/>
                <w:bCs/>
                <w:noProof/>
                <w:color w:val="000000"/>
                <w:sz w:val="20"/>
                <w:szCs w:val="20"/>
              </w:rPr>
              <w:t xml:space="preserve"> 4,574</w:t>
            </w:r>
          </w:p>
        </w:tc>
        <w:tc>
          <w:tcPr>
            <w:tcW w:w="464" w:type="pct"/>
            <w:gridSpan w:val="2"/>
            <w:tcBorders>
              <w:top w:val="nil"/>
              <w:left w:val="nil"/>
              <w:bottom w:val="single" w:sz="8" w:space="0" w:color="auto"/>
              <w:right w:val="single" w:sz="8" w:space="0" w:color="auto"/>
            </w:tcBorders>
            <w:shd w:val="clear" w:color="auto" w:fill="D9D9D9" w:themeFill="background1" w:themeFillShade="D9"/>
          </w:tcPr>
          <w:p w14:paraId="66C03618" w14:textId="06DC02B6" w:rsidR="008E3FA9" w:rsidRPr="00922145" w:rsidRDefault="008E3FA9" w:rsidP="008E3FA9">
            <w:pPr>
              <w:spacing w:before="0" w:after="0"/>
              <w:jc w:val="center"/>
              <w:rPr>
                <w:rFonts w:eastAsia="Times New Roman"/>
                <w:noProof/>
                <w:color w:val="000000"/>
                <w:sz w:val="20"/>
                <w:szCs w:val="20"/>
                <w:lang w:eastAsia="en-IE"/>
              </w:rPr>
            </w:pPr>
            <w:r>
              <w:rPr>
                <w:rFonts w:ascii="Arial Narrow" w:hAnsi="Arial Narrow" w:cs="Calibri"/>
                <w:b/>
                <w:bCs/>
                <w:noProof/>
                <w:color w:val="000000"/>
                <w:sz w:val="20"/>
                <w:szCs w:val="20"/>
              </w:rPr>
              <w:t xml:space="preserve"> 5,277 </w:t>
            </w:r>
          </w:p>
        </w:tc>
        <w:tc>
          <w:tcPr>
            <w:tcW w:w="506" w:type="pct"/>
            <w:gridSpan w:val="3"/>
            <w:tcBorders>
              <w:top w:val="nil"/>
              <w:left w:val="nil"/>
              <w:bottom w:val="single" w:sz="8" w:space="0" w:color="auto"/>
              <w:right w:val="single" w:sz="8" w:space="0" w:color="auto"/>
            </w:tcBorders>
            <w:shd w:val="clear" w:color="auto" w:fill="D9D9D9" w:themeFill="background1" w:themeFillShade="D9"/>
            <w:hideMark/>
          </w:tcPr>
          <w:p w14:paraId="76E822B0" w14:textId="37382FFC" w:rsidR="008E3FA9" w:rsidRPr="00922145" w:rsidRDefault="008E3FA9" w:rsidP="008E3FA9">
            <w:pPr>
              <w:spacing w:before="0" w:after="0"/>
              <w:jc w:val="center"/>
              <w:rPr>
                <w:rFonts w:eastAsia="Times New Roman"/>
                <w:noProof/>
                <w:color w:val="000000"/>
                <w:sz w:val="20"/>
                <w:szCs w:val="20"/>
                <w:lang w:eastAsia="en-IE"/>
              </w:rPr>
            </w:pPr>
            <w:r>
              <w:rPr>
                <w:rFonts w:ascii="Arial Narrow" w:hAnsi="Arial Narrow" w:cs="Calibri"/>
                <w:b/>
                <w:bCs/>
                <w:noProof/>
                <w:color w:val="000000"/>
                <w:sz w:val="20"/>
                <w:szCs w:val="20"/>
              </w:rPr>
              <w:t xml:space="preserve"> 5,980</w:t>
            </w:r>
          </w:p>
        </w:tc>
        <w:tc>
          <w:tcPr>
            <w:tcW w:w="397" w:type="pct"/>
            <w:tcBorders>
              <w:top w:val="nil"/>
              <w:left w:val="nil"/>
              <w:bottom w:val="single" w:sz="8" w:space="0" w:color="auto"/>
              <w:right w:val="single" w:sz="8" w:space="0" w:color="auto"/>
            </w:tcBorders>
            <w:shd w:val="clear" w:color="auto" w:fill="D9D9D9" w:themeFill="background1" w:themeFillShade="D9"/>
          </w:tcPr>
          <w:p w14:paraId="4287B053" w14:textId="65520682" w:rsidR="008E3FA9" w:rsidRPr="00922145" w:rsidRDefault="008E3FA9" w:rsidP="008E3FA9">
            <w:pPr>
              <w:spacing w:before="0" w:after="0"/>
              <w:jc w:val="center"/>
              <w:rPr>
                <w:rFonts w:eastAsia="Times New Roman"/>
                <w:noProof/>
                <w:color w:val="000000"/>
                <w:sz w:val="20"/>
                <w:szCs w:val="20"/>
                <w:lang w:eastAsia="en-IE"/>
              </w:rPr>
            </w:pPr>
            <w:r>
              <w:rPr>
                <w:rFonts w:ascii="Arial Narrow" w:hAnsi="Arial Narrow" w:cs="Calibri"/>
                <w:b/>
                <w:bCs/>
                <w:noProof/>
                <w:color w:val="000000"/>
                <w:sz w:val="20"/>
                <w:szCs w:val="20"/>
              </w:rPr>
              <w:t xml:space="preserve"> 6,683 </w:t>
            </w:r>
          </w:p>
        </w:tc>
        <w:tc>
          <w:tcPr>
            <w:tcW w:w="397" w:type="pct"/>
            <w:gridSpan w:val="3"/>
            <w:tcBorders>
              <w:top w:val="nil"/>
              <w:left w:val="nil"/>
              <w:bottom w:val="single" w:sz="8" w:space="0" w:color="auto"/>
              <w:right w:val="single" w:sz="8" w:space="0" w:color="auto"/>
            </w:tcBorders>
            <w:shd w:val="clear" w:color="auto" w:fill="D9D9D9" w:themeFill="background1" w:themeFillShade="D9"/>
            <w:hideMark/>
          </w:tcPr>
          <w:p w14:paraId="6A8439B0" w14:textId="5A3809AE" w:rsidR="008E3FA9" w:rsidRPr="00922145" w:rsidRDefault="008E3FA9" w:rsidP="008E3FA9">
            <w:pPr>
              <w:spacing w:before="0" w:after="0"/>
              <w:jc w:val="center"/>
              <w:rPr>
                <w:rFonts w:eastAsia="Times New Roman"/>
                <w:noProof/>
                <w:color w:val="000000"/>
                <w:sz w:val="20"/>
                <w:szCs w:val="20"/>
                <w:lang w:eastAsia="en-IE"/>
              </w:rPr>
            </w:pPr>
            <w:r>
              <w:rPr>
                <w:rFonts w:ascii="Arial Narrow" w:hAnsi="Arial Narrow" w:cs="Calibri"/>
                <w:b/>
                <w:bCs/>
                <w:noProof/>
                <w:color w:val="000000"/>
                <w:sz w:val="20"/>
                <w:szCs w:val="20"/>
              </w:rPr>
              <w:t>7,475</w:t>
            </w:r>
          </w:p>
        </w:tc>
        <w:tc>
          <w:tcPr>
            <w:tcW w:w="356" w:type="pct"/>
            <w:tcBorders>
              <w:top w:val="nil"/>
              <w:left w:val="nil"/>
              <w:bottom w:val="single" w:sz="8" w:space="0" w:color="auto"/>
              <w:right w:val="single" w:sz="8" w:space="0" w:color="auto"/>
            </w:tcBorders>
            <w:shd w:val="clear" w:color="auto" w:fill="D9D9D9" w:themeFill="background1" w:themeFillShade="D9"/>
            <w:vAlign w:val="center"/>
            <w:hideMark/>
          </w:tcPr>
          <w:p w14:paraId="2AE82FB0" w14:textId="77777777" w:rsidR="008E3FA9" w:rsidRPr="00922145" w:rsidRDefault="008E3FA9" w:rsidP="008E3FA9">
            <w:pPr>
              <w:spacing w:before="0" w:after="0"/>
              <w:jc w:val="right"/>
              <w:rPr>
                <w:rFonts w:eastAsia="Times New Roman"/>
                <w:b/>
                <w:bCs/>
                <w:noProof/>
                <w:color w:val="000000"/>
                <w:sz w:val="20"/>
                <w:szCs w:val="20"/>
                <w:lang w:eastAsia="en-IE"/>
              </w:rPr>
            </w:pPr>
          </w:p>
          <w:p w14:paraId="287A4F2D" w14:textId="77777777" w:rsidR="008E3FA9" w:rsidRDefault="008E3FA9" w:rsidP="008E3FA9">
            <w:pPr>
              <w:spacing w:before="0" w:after="0"/>
              <w:jc w:val="right"/>
              <w:rPr>
                <w:rFonts w:eastAsia="Times New Roman"/>
                <w:b/>
                <w:bCs/>
                <w:noProof/>
                <w:color w:val="000000"/>
                <w:sz w:val="20"/>
                <w:szCs w:val="20"/>
                <w:lang w:eastAsia="en-IE"/>
              </w:rPr>
            </w:pPr>
            <w:r>
              <w:rPr>
                <w:rFonts w:eastAsia="Times New Roman"/>
                <w:b/>
                <w:bCs/>
                <w:noProof/>
                <w:color w:val="000000"/>
                <w:sz w:val="20"/>
                <w:szCs w:val="20"/>
                <w:lang w:eastAsia="en-IE"/>
              </w:rPr>
              <w:t xml:space="preserve">37,375 </w:t>
            </w:r>
          </w:p>
          <w:p w14:paraId="17DEF3BE" w14:textId="32D8314D" w:rsidR="008E3FA9" w:rsidRPr="00922145" w:rsidRDefault="008E3FA9" w:rsidP="008E3FA9">
            <w:pPr>
              <w:spacing w:before="0" w:after="0"/>
              <w:jc w:val="right"/>
              <w:rPr>
                <w:rFonts w:eastAsia="Times New Roman"/>
                <w:b/>
                <w:bCs/>
                <w:noProof/>
                <w:color w:val="000000"/>
                <w:sz w:val="20"/>
                <w:szCs w:val="20"/>
                <w:lang w:eastAsia="en-IE"/>
              </w:rPr>
            </w:pPr>
          </w:p>
        </w:tc>
      </w:tr>
      <w:tr w:rsidR="00EC37C5" w:rsidRPr="00922145" w14:paraId="49A1AE6A" w14:textId="77777777" w:rsidTr="008E3FA9">
        <w:trPr>
          <w:trHeight w:val="300"/>
        </w:trPr>
        <w:tc>
          <w:tcPr>
            <w:tcW w:w="1673" w:type="pct"/>
            <w:gridSpan w:val="9"/>
            <w:tcBorders>
              <w:top w:val="single" w:sz="8" w:space="0" w:color="auto"/>
              <w:left w:val="single" w:sz="8" w:space="0" w:color="auto"/>
              <w:bottom w:val="single" w:sz="8" w:space="0" w:color="auto"/>
              <w:right w:val="single" w:sz="8" w:space="0" w:color="000000" w:themeColor="text1"/>
            </w:tcBorders>
            <w:vAlign w:val="center"/>
            <w:hideMark/>
          </w:tcPr>
          <w:p w14:paraId="3DDC5B76" w14:textId="77777777" w:rsidR="00EC37C5" w:rsidRPr="00922145" w:rsidRDefault="00EC37C5">
            <w:pPr>
              <w:spacing w:before="0" w:after="0"/>
              <w:jc w:val="left"/>
              <w:rPr>
                <w:rFonts w:ascii="Wingdings" w:eastAsia="Times New Roman" w:hAnsi="Wingdings"/>
                <w:noProof/>
                <w:color w:val="000000"/>
                <w:sz w:val="22"/>
                <w:lang w:eastAsia="en-IE"/>
              </w:rPr>
            </w:pPr>
            <w:r w:rsidRPr="00922145">
              <w:rPr>
                <w:rFonts w:ascii="Wingdings" w:eastAsia="Times New Roman" w:hAnsi="Wingdings"/>
                <w:noProof/>
                <w:color w:val="000000"/>
                <w:sz w:val="22"/>
                <w:lang w:eastAsia="en-IE"/>
              </w:rPr>
              <w:t></w:t>
            </w:r>
            <w:r w:rsidRPr="00922145">
              <w:rPr>
                <w:rFonts w:eastAsia="Times New Roman"/>
                <w:noProof/>
                <w:color w:val="000000"/>
                <w:sz w:val="22"/>
                <w:lang w:eastAsia="en-IE"/>
              </w:rPr>
              <w:t xml:space="preserve"> Other administrative expenditure </w:t>
            </w:r>
          </w:p>
        </w:tc>
        <w:tc>
          <w:tcPr>
            <w:tcW w:w="411" w:type="pct"/>
            <w:gridSpan w:val="3"/>
            <w:tcBorders>
              <w:top w:val="nil"/>
              <w:left w:val="nil"/>
              <w:bottom w:val="single" w:sz="8" w:space="0" w:color="auto"/>
              <w:right w:val="single" w:sz="8" w:space="0" w:color="auto"/>
            </w:tcBorders>
            <w:shd w:val="clear" w:color="auto" w:fill="D9D9D9" w:themeFill="background1" w:themeFillShade="D9"/>
            <w:vAlign w:val="center"/>
            <w:hideMark/>
          </w:tcPr>
          <w:p w14:paraId="49AD8B6B" w14:textId="77777777" w:rsidR="00EC37C5" w:rsidRPr="00922145" w:rsidRDefault="00EC37C5">
            <w:pPr>
              <w:spacing w:before="0" w:after="0"/>
              <w:jc w:val="center"/>
              <w:rPr>
                <w:rFonts w:eastAsia="Times New Roman"/>
                <w:noProof/>
                <w:color w:val="000000"/>
                <w:sz w:val="20"/>
                <w:szCs w:val="20"/>
                <w:lang w:eastAsia="en-IE"/>
              </w:rPr>
            </w:pPr>
            <w:r w:rsidRPr="00922145">
              <w:rPr>
                <w:rFonts w:eastAsia="Times New Roman"/>
                <w:noProof/>
                <w:color w:val="000000"/>
                <w:sz w:val="20"/>
                <w:szCs w:val="20"/>
                <w:lang w:eastAsia="en-IE"/>
              </w:rPr>
              <w:t>0</w:t>
            </w:r>
          </w:p>
        </w:tc>
        <w:tc>
          <w:tcPr>
            <w:tcW w:w="398" w:type="pct"/>
            <w:gridSpan w:val="2"/>
            <w:tcBorders>
              <w:top w:val="nil"/>
              <w:left w:val="nil"/>
              <w:bottom w:val="single" w:sz="8" w:space="0" w:color="auto"/>
              <w:right w:val="single" w:sz="8" w:space="0" w:color="auto"/>
            </w:tcBorders>
            <w:shd w:val="clear" w:color="auto" w:fill="D9D9D9" w:themeFill="background1" w:themeFillShade="D9"/>
            <w:vAlign w:val="center"/>
            <w:hideMark/>
          </w:tcPr>
          <w:p w14:paraId="21CA61A3" w14:textId="77777777" w:rsidR="00EC37C5" w:rsidRPr="00922145" w:rsidRDefault="00EC37C5">
            <w:pPr>
              <w:spacing w:before="0" w:after="0"/>
              <w:jc w:val="center"/>
              <w:rPr>
                <w:rFonts w:eastAsia="Times New Roman"/>
                <w:noProof/>
                <w:color w:val="000000"/>
                <w:sz w:val="20"/>
                <w:szCs w:val="20"/>
                <w:lang w:eastAsia="en-IE"/>
              </w:rPr>
            </w:pPr>
            <w:r w:rsidRPr="00922145">
              <w:rPr>
                <w:rFonts w:eastAsia="Times New Roman"/>
                <w:noProof/>
                <w:color w:val="000000"/>
                <w:sz w:val="20"/>
                <w:szCs w:val="20"/>
                <w:lang w:eastAsia="en-IE"/>
              </w:rPr>
              <w:t>0</w:t>
            </w:r>
          </w:p>
        </w:tc>
        <w:tc>
          <w:tcPr>
            <w:tcW w:w="398" w:type="pct"/>
            <w:tcBorders>
              <w:top w:val="nil"/>
              <w:left w:val="nil"/>
              <w:bottom w:val="single" w:sz="8" w:space="0" w:color="auto"/>
              <w:right w:val="single" w:sz="8" w:space="0" w:color="auto"/>
            </w:tcBorders>
            <w:shd w:val="clear" w:color="auto" w:fill="D9D9D9" w:themeFill="background1" w:themeFillShade="D9"/>
            <w:vAlign w:val="center"/>
            <w:hideMark/>
          </w:tcPr>
          <w:p w14:paraId="6C1074EA" w14:textId="77777777" w:rsidR="00EC37C5" w:rsidRPr="00922145" w:rsidRDefault="00EC37C5">
            <w:pPr>
              <w:spacing w:before="0" w:after="0"/>
              <w:jc w:val="center"/>
              <w:rPr>
                <w:rFonts w:eastAsia="Times New Roman"/>
                <w:noProof/>
                <w:color w:val="000000"/>
                <w:sz w:val="20"/>
                <w:szCs w:val="20"/>
                <w:lang w:eastAsia="en-IE"/>
              </w:rPr>
            </w:pPr>
            <w:r w:rsidRPr="00922145">
              <w:rPr>
                <w:rFonts w:eastAsia="Times New Roman"/>
                <w:noProof/>
                <w:color w:val="000000"/>
                <w:sz w:val="20"/>
                <w:szCs w:val="20"/>
                <w:lang w:eastAsia="en-IE"/>
              </w:rPr>
              <w:t>0</w:t>
            </w:r>
          </w:p>
        </w:tc>
        <w:tc>
          <w:tcPr>
            <w:tcW w:w="464" w:type="pct"/>
            <w:gridSpan w:val="2"/>
            <w:tcBorders>
              <w:top w:val="nil"/>
              <w:left w:val="nil"/>
              <w:bottom w:val="single" w:sz="8" w:space="0" w:color="auto"/>
              <w:right w:val="single" w:sz="8" w:space="0" w:color="auto"/>
            </w:tcBorders>
            <w:shd w:val="clear" w:color="auto" w:fill="D9D9D9" w:themeFill="background1" w:themeFillShade="D9"/>
            <w:vAlign w:val="center"/>
            <w:hideMark/>
          </w:tcPr>
          <w:p w14:paraId="4E6238E2" w14:textId="77777777" w:rsidR="00EC37C5" w:rsidRPr="00922145" w:rsidRDefault="00EC37C5">
            <w:pPr>
              <w:spacing w:before="0" w:after="0"/>
              <w:jc w:val="center"/>
              <w:rPr>
                <w:rFonts w:eastAsia="Times New Roman"/>
                <w:noProof/>
                <w:color w:val="000000"/>
                <w:sz w:val="20"/>
                <w:szCs w:val="20"/>
                <w:lang w:eastAsia="en-IE"/>
              </w:rPr>
            </w:pPr>
            <w:r w:rsidRPr="00922145">
              <w:rPr>
                <w:rFonts w:eastAsia="Times New Roman"/>
                <w:noProof/>
                <w:color w:val="000000"/>
                <w:sz w:val="20"/>
                <w:szCs w:val="20"/>
                <w:lang w:eastAsia="en-IE"/>
              </w:rPr>
              <w:t>0</w:t>
            </w:r>
          </w:p>
        </w:tc>
        <w:tc>
          <w:tcPr>
            <w:tcW w:w="506" w:type="pct"/>
            <w:gridSpan w:val="3"/>
            <w:tcBorders>
              <w:top w:val="nil"/>
              <w:left w:val="nil"/>
              <w:bottom w:val="single" w:sz="8" w:space="0" w:color="auto"/>
              <w:right w:val="single" w:sz="8" w:space="0" w:color="auto"/>
            </w:tcBorders>
            <w:shd w:val="clear" w:color="auto" w:fill="D9D9D9" w:themeFill="background1" w:themeFillShade="D9"/>
            <w:vAlign w:val="center"/>
            <w:hideMark/>
          </w:tcPr>
          <w:p w14:paraId="292D03F4" w14:textId="77777777" w:rsidR="00EC37C5" w:rsidRPr="00922145" w:rsidRDefault="00EC37C5">
            <w:pPr>
              <w:spacing w:before="0" w:after="0"/>
              <w:jc w:val="center"/>
              <w:rPr>
                <w:rFonts w:eastAsia="Times New Roman"/>
                <w:noProof/>
                <w:color w:val="000000"/>
                <w:sz w:val="20"/>
                <w:szCs w:val="20"/>
                <w:lang w:eastAsia="en-IE"/>
              </w:rPr>
            </w:pPr>
            <w:r w:rsidRPr="00922145">
              <w:rPr>
                <w:rFonts w:eastAsia="Times New Roman"/>
                <w:noProof/>
                <w:color w:val="000000"/>
                <w:sz w:val="20"/>
                <w:szCs w:val="20"/>
                <w:lang w:eastAsia="en-IE"/>
              </w:rPr>
              <w:t>0</w:t>
            </w:r>
          </w:p>
        </w:tc>
        <w:tc>
          <w:tcPr>
            <w:tcW w:w="397" w:type="pct"/>
            <w:tcBorders>
              <w:top w:val="nil"/>
              <w:left w:val="nil"/>
              <w:bottom w:val="single" w:sz="8" w:space="0" w:color="auto"/>
              <w:right w:val="single" w:sz="8" w:space="0" w:color="auto"/>
            </w:tcBorders>
            <w:shd w:val="clear" w:color="auto" w:fill="D9D9D9" w:themeFill="background1" w:themeFillShade="D9"/>
            <w:vAlign w:val="center"/>
            <w:hideMark/>
          </w:tcPr>
          <w:p w14:paraId="3EFD76EA" w14:textId="77777777" w:rsidR="00EC37C5" w:rsidRPr="00922145" w:rsidRDefault="00EC37C5">
            <w:pPr>
              <w:spacing w:before="0" w:after="0"/>
              <w:jc w:val="center"/>
              <w:rPr>
                <w:rFonts w:eastAsia="Times New Roman"/>
                <w:noProof/>
                <w:color w:val="000000"/>
                <w:sz w:val="20"/>
                <w:szCs w:val="20"/>
                <w:lang w:eastAsia="en-IE"/>
              </w:rPr>
            </w:pPr>
            <w:r w:rsidRPr="00922145">
              <w:rPr>
                <w:rFonts w:eastAsia="Times New Roman"/>
                <w:noProof/>
                <w:color w:val="000000"/>
                <w:sz w:val="20"/>
                <w:szCs w:val="20"/>
                <w:lang w:eastAsia="en-IE"/>
              </w:rPr>
              <w:t>0</w:t>
            </w:r>
          </w:p>
        </w:tc>
        <w:tc>
          <w:tcPr>
            <w:tcW w:w="397" w:type="pct"/>
            <w:gridSpan w:val="3"/>
            <w:tcBorders>
              <w:top w:val="nil"/>
              <w:left w:val="nil"/>
              <w:bottom w:val="single" w:sz="8" w:space="0" w:color="auto"/>
              <w:right w:val="single" w:sz="8" w:space="0" w:color="auto"/>
            </w:tcBorders>
            <w:shd w:val="clear" w:color="auto" w:fill="D9D9D9" w:themeFill="background1" w:themeFillShade="D9"/>
            <w:vAlign w:val="center"/>
            <w:hideMark/>
          </w:tcPr>
          <w:p w14:paraId="1CC7CF98" w14:textId="77777777" w:rsidR="00EC37C5" w:rsidRPr="00922145" w:rsidRDefault="00EC37C5">
            <w:pPr>
              <w:spacing w:before="0" w:after="0"/>
              <w:jc w:val="center"/>
              <w:rPr>
                <w:rFonts w:eastAsia="Times New Roman"/>
                <w:noProof/>
                <w:color w:val="000000"/>
                <w:sz w:val="20"/>
                <w:szCs w:val="20"/>
                <w:lang w:eastAsia="en-IE"/>
              </w:rPr>
            </w:pPr>
            <w:r w:rsidRPr="00922145">
              <w:rPr>
                <w:rFonts w:eastAsia="Times New Roman"/>
                <w:noProof/>
                <w:color w:val="000000"/>
                <w:sz w:val="20"/>
                <w:szCs w:val="20"/>
                <w:lang w:eastAsia="en-IE"/>
              </w:rPr>
              <w:t>0</w:t>
            </w:r>
          </w:p>
        </w:tc>
        <w:tc>
          <w:tcPr>
            <w:tcW w:w="356" w:type="pct"/>
            <w:tcBorders>
              <w:top w:val="nil"/>
              <w:left w:val="nil"/>
              <w:bottom w:val="single" w:sz="8" w:space="0" w:color="auto"/>
              <w:right w:val="single" w:sz="8" w:space="0" w:color="auto"/>
            </w:tcBorders>
            <w:shd w:val="clear" w:color="auto" w:fill="D9D9D9" w:themeFill="background1" w:themeFillShade="D9"/>
            <w:vAlign w:val="center"/>
            <w:hideMark/>
          </w:tcPr>
          <w:p w14:paraId="3873B2DE" w14:textId="77777777" w:rsidR="00EC37C5" w:rsidRPr="00922145" w:rsidRDefault="00EC37C5">
            <w:pPr>
              <w:spacing w:before="0" w:after="0"/>
              <w:jc w:val="right"/>
              <w:rPr>
                <w:rFonts w:eastAsia="Times New Roman"/>
                <w:b/>
                <w:bCs/>
                <w:noProof/>
                <w:color w:val="000000"/>
                <w:sz w:val="20"/>
                <w:szCs w:val="20"/>
                <w:lang w:eastAsia="en-IE"/>
              </w:rPr>
            </w:pPr>
            <w:r w:rsidRPr="00922145">
              <w:rPr>
                <w:rFonts w:eastAsia="Times New Roman"/>
                <w:b/>
                <w:bCs/>
                <w:noProof/>
                <w:color w:val="000000"/>
                <w:sz w:val="20"/>
                <w:szCs w:val="20"/>
                <w:lang w:eastAsia="en-IE"/>
              </w:rPr>
              <w:t>0</w:t>
            </w:r>
          </w:p>
        </w:tc>
      </w:tr>
      <w:tr w:rsidR="008E3FA9" w:rsidRPr="00922145" w14:paraId="218276C7" w14:textId="77777777" w:rsidTr="008E3FA9">
        <w:trPr>
          <w:trHeight w:val="850"/>
        </w:trPr>
        <w:tc>
          <w:tcPr>
            <w:tcW w:w="347" w:type="pct"/>
            <w:tcBorders>
              <w:top w:val="nil"/>
              <w:left w:val="single" w:sz="8" w:space="0" w:color="auto"/>
              <w:bottom w:val="single" w:sz="8" w:space="0" w:color="auto"/>
              <w:right w:val="single" w:sz="8" w:space="0" w:color="auto"/>
            </w:tcBorders>
            <w:vAlign w:val="center"/>
            <w:hideMark/>
          </w:tcPr>
          <w:p w14:paraId="5AACE216" w14:textId="77777777" w:rsidR="008E3FA9" w:rsidRPr="00922145" w:rsidRDefault="008E3FA9" w:rsidP="008E3FA9">
            <w:pPr>
              <w:spacing w:before="0" w:after="0"/>
              <w:jc w:val="center"/>
              <w:rPr>
                <w:rFonts w:eastAsia="Times New Roman"/>
                <w:b/>
                <w:bCs/>
                <w:noProof/>
                <w:color w:val="000000"/>
                <w:sz w:val="22"/>
                <w:lang w:eastAsia="en-IE"/>
              </w:rPr>
            </w:pPr>
            <w:r w:rsidRPr="00922145">
              <w:rPr>
                <w:rFonts w:eastAsia="Times New Roman"/>
                <w:b/>
                <w:bCs/>
                <w:noProof/>
                <w:color w:val="000000"/>
                <w:sz w:val="22"/>
                <w:lang w:eastAsia="en-IE"/>
              </w:rPr>
              <w:t xml:space="preserve">TOTAL DG </w:t>
            </w:r>
            <w:r w:rsidRPr="00922145">
              <w:rPr>
                <w:rFonts w:eastAsia="Times New Roman"/>
                <w:noProof/>
                <w:color w:val="000000"/>
                <w:sz w:val="22"/>
                <w:lang w:eastAsia="en-IE"/>
              </w:rPr>
              <w:t>CNECT</w:t>
            </w:r>
          </w:p>
        </w:tc>
        <w:tc>
          <w:tcPr>
            <w:tcW w:w="501" w:type="pct"/>
            <w:gridSpan w:val="2"/>
            <w:tcBorders>
              <w:top w:val="single" w:sz="8" w:space="0" w:color="auto"/>
              <w:left w:val="nil"/>
              <w:bottom w:val="single" w:sz="8" w:space="0" w:color="auto"/>
              <w:right w:val="single" w:sz="8" w:space="0" w:color="000000" w:themeColor="text1"/>
            </w:tcBorders>
            <w:vAlign w:val="center"/>
            <w:hideMark/>
          </w:tcPr>
          <w:p w14:paraId="356A4E12" w14:textId="77777777" w:rsidR="008E3FA9" w:rsidRPr="00922145" w:rsidRDefault="008E3FA9" w:rsidP="008E3FA9">
            <w:pPr>
              <w:spacing w:before="0" w:after="0"/>
              <w:jc w:val="left"/>
              <w:rPr>
                <w:rFonts w:eastAsia="Times New Roman"/>
                <w:noProof/>
                <w:color w:val="000000"/>
                <w:sz w:val="18"/>
                <w:szCs w:val="18"/>
                <w:lang w:eastAsia="en-IE"/>
              </w:rPr>
            </w:pPr>
            <w:r w:rsidRPr="00922145">
              <w:rPr>
                <w:rFonts w:eastAsia="Times New Roman"/>
                <w:noProof/>
                <w:color w:val="000000"/>
                <w:sz w:val="18"/>
                <w:szCs w:val="18"/>
                <w:lang w:eastAsia="en-IE"/>
              </w:rPr>
              <w:t xml:space="preserve">Appropriations </w:t>
            </w:r>
          </w:p>
        </w:tc>
        <w:tc>
          <w:tcPr>
            <w:tcW w:w="253" w:type="pct"/>
            <w:gridSpan w:val="2"/>
            <w:tcBorders>
              <w:top w:val="nil"/>
              <w:left w:val="nil"/>
              <w:bottom w:val="single" w:sz="8" w:space="0" w:color="auto"/>
              <w:right w:val="single" w:sz="8" w:space="0" w:color="auto"/>
            </w:tcBorders>
            <w:shd w:val="clear" w:color="auto" w:fill="D9D9D9" w:themeFill="background1" w:themeFillShade="D9"/>
            <w:vAlign w:val="center"/>
          </w:tcPr>
          <w:p w14:paraId="170220A4" w14:textId="77777777" w:rsidR="008E3FA9" w:rsidRPr="00922145" w:rsidRDefault="008E3FA9" w:rsidP="008E3FA9">
            <w:pPr>
              <w:spacing w:before="0" w:after="0"/>
              <w:jc w:val="center"/>
              <w:rPr>
                <w:rFonts w:ascii="Arial Narrow" w:hAnsi="Arial Narrow" w:cs="Calibri"/>
                <w:b/>
                <w:bCs/>
                <w:noProof/>
                <w:color w:val="000000"/>
                <w:sz w:val="20"/>
                <w:szCs w:val="20"/>
              </w:rPr>
            </w:pPr>
            <w:r w:rsidRPr="795B1C27">
              <w:rPr>
                <w:rFonts w:ascii="Arial Narrow" w:hAnsi="Arial Narrow" w:cs="Calibri"/>
                <w:b/>
                <w:noProof/>
                <w:color w:val="000000" w:themeColor="text1"/>
                <w:sz w:val="20"/>
                <w:szCs w:val="20"/>
              </w:rPr>
              <w:t xml:space="preserve"> </w:t>
            </w:r>
            <w:r>
              <w:rPr>
                <w:rFonts w:ascii="Arial Narrow" w:hAnsi="Arial Narrow" w:cs="Calibri"/>
                <w:b/>
                <w:noProof/>
                <w:color w:val="000000" w:themeColor="text1"/>
                <w:sz w:val="20"/>
                <w:szCs w:val="20"/>
              </w:rPr>
              <w:t>3,693</w:t>
            </w:r>
          </w:p>
          <w:p w14:paraId="588E8356" w14:textId="77777777" w:rsidR="008E3FA9" w:rsidRPr="00DD57AE" w:rsidRDefault="008E3FA9" w:rsidP="008E3FA9">
            <w:pPr>
              <w:spacing w:before="0" w:after="0"/>
              <w:jc w:val="center"/>
              <w:rPr>
                <w:rFonts w:eastAsia="Times New Roman"/>
                <w:b/>
                <w:bCs/>
                <w:noProof/>
                <w:color w:val="000000"/>
                <w:sz w:val="20"/>
                <w:szCs w:val="20"/>
                <w:lang w:eastAsia="en-IE"/>
              </w:rPr>
            </w:pPr>
          </w:p>
        </w:tc>
        <w:tc>
          <w:tcPr>
            <w:tcW w:w="397" w:type="pct"/>
            <w:gridSpan w:val="2"/>
            <w:tcBorders>
              <w:top w:val="nil"/>
              <w:left w:val="nil"/>
              <w:bottom w:val="single" w:sz="8" w:space="0" w:color="auto"/>
              <w:right w:val="single" w:sz="8" w:space="0" w:color="auto"/>
            </w:tcBorders>
            <w:shd w:val="clear" w:color="auto" w:fill="D9D9D9" w:themeFill="background1" w:themeFillShade="D9"/>
          </w:tcPr>
          <w:p w14:paraId="6E516949" w14:textId="0132A3FD" w:rsidR="008E3FA9" w:rsidRPr="00DD57AE" w:rsidRDefault="008E3FA9" w:rsidP="008E3FA9">
            <w:pPr>
              <w:spacing w:before="0" w:after="0"/>
              <w:jc w:val="center"/>
              <w:rPr>
                <w:rFonts w:eastAsia="Times New Roman"/>
                <w:b/>
                <w:bCs/>
                <w:noProof/>
                <w:color w:val="000000"/>
                <w:sz w:val="20"/>
                <w:szCs w:val="20"/>
                <w:lang w:eastAsia="en-IE"/>
              </w:rPr>
            </w:pPr>
            <w:r>
              <w:rPr>
                <w:rFonts w:ascii="Arial Narrow" w:hAnsi="Arial Narrow" w:cs="Calibri"/>
                <w:b/>
                <w:bCs/>
                <w:noProof/>
                <w:color w:val="000000"/>
                <w:sz w:val="20"/>
                <w:szCs w:val="20"/>
              </w:rPr>
              <w:t xml:space="preserve"> 3,693</w:t>
            </w:r>
          </w:p>
        </w:tc>
        <w:tc>
          <w:tcPr>
            <w:tcW w:w="477" w:type="pct"/>
            <w:gridSpan w:val="3"/>
            <w:tcBorders>
              <w:top w:val="nil"/>
              <w:left w:val="nil"/>
              <w:bottom w:val="single" w:sz="8" w:space="0" w:color="auto"/>
              <w:right w:val="single" w:sz="8" w:space="0" w:color="auto"/>
            </w:tcBorders>
            <w:shd w:val="clear" w:color="auto" w:fill="D9D9D9" w:themeFill="background1" w:themeFillShade="D9"/>
          </w:tcPr>
          <w:p w14:paraId="4440F6B4" w14:textId="6EC63891" w:rsidR="008E3FA9" w:rsidRPr="00DD57AE" w:rsidRDefault="008E3FA9" w:rsidP="008E3FA9">
            <w:pPr>
              <w:spacing w:before="0" w:after="0"/>
              <w:jc w:val="center"/>
              <w:rPr>
                <w:b/>
                <w:bCs/>
                <w:noProof/>
                <w:color w:val="000000"/>
                <w:sz w:val="20"/>
                <w:szCs w:val="20"/>
              </w:rPr>
            </w:pPr>
            <w:r>
              <w:rPr>
                <w:rFonts w:ascii="Arial Narrow" w:hAnsi="Arial Narrow" w:cs="Calibri"/>
                <w:b/>
                <w:bCs/>
                <w:noProof/>
                <w:color w:val="000000"/>
                <w:sz w:val="20"/>
                <w:szCs w:val="20"/>
              </w:rPr>
              <w:t xml:space="preserve"> 4,574</w:t>
            </w:r>
          </w:p>
        </w:tc>
        <w:tc>
          <w:tcPr>
            <w:tcW w:w="507" w:type="pct"/>
            <w:gridSpan w:val="4"/>
            <w:tcBorders>
              <w:top w:val="nil"/>
              <w:left w:val="nil"/>
              <w:bottom w:val="single" w:sz="8" w:space="0" w:color="auto"/>
              <w:right w:val="single" w:sz="8" w:space="0" w:color="auto"/>
            </w:tcBorders>
            <w:shd w:val="clear" w:color="auto" w:fill="D9D9D9" w:themeFill="background1" w:themeFillShade="D9"/>
          </w:tcPr>
          <w:p w14:paraId="0B452180" w14:textId="378EA185" w:rsidR="008E3FA9" w:rsidRPr="00DD57AE" w:rsidRDefault="008E3FA9" w:rsidP="008E3FA9">
            <w:pPr>
              <w:spacing w:before="0" w:after="0"/>
              <w:jc w:val="center"/>
              <w:rPr>
                <w:b/>
                <w:bCs/>
                <w:noProof/>
                <w:color w:val="000000"/>
                <w:sz w:val="20"/>
                <w:szCs w:val="20"/>
              </w:rPr>
            </w:pPr>
            <w:r>
              <w:rPr>
                <w:rFonts w:ascii="Arial Narrow" w:hAnsi="Arial Narrow" w:cs="Calibri"/>
                <w:b/>
                <w:bCs/>
                <w:noProof/>
                <w:color w:val="000000"/>
                <w:sz w:val="20"/>
                <w:szCs w:val="20"/>
              </w:rPr>
              <w:t xml:space="preserve"> 5,277 </w:t>
            </w:r>
          </w:p>
        </w:tc>
        <w:tc>
          <w:tcPr>
            <w:tcW w:w="398" w:type="pct"/>
            <w:tcBorders>
              <w:top w:val="nil"/>
              <w:left w:val="nil"/>
              <w:bottom w:val="single" w:sz="8" w:space="0" w:color="auto"/>
              <w:right w:val="single" w:sz="8" w:space="0" w:color="auto"/>
            </w:tcBorders>
            <w:shd w:val="clear" w:color="auto" w:fill="D9D9D9" w:themeFill="background1" w:themeFillShade="D9"/>
          </w:tcPr>
          <w:p w14:paraId="7622D143" w14:textId="5C31DBF9" w:rsidR="008E3FA9" w:rsidRPr="00DD57AE" w:rsidRDefault="008E3FA9" w:rsidP="008E3FA9">
            <w:pPr>
              <w:spacing w:before="0" w:after="0"/>
              <w:jc w:val="center"/>
              <w:rPr>
                <w:b/>
                <w:bCs/>
                <w:noProof/>
                <w:color w:val="000000"/>
                <w:sz w:val="20"/>
                <w:szCs w:val="20"/>
              </w:rPr>
            </w:pPr>
            <w:r>
              <w:rPr>
                <w:rFonts w:ascii="Arial Narrow" w:hAnsi="Arial Narrow" w:cs="Calibri"/>
                <w:b/>
                <w:bCs/>
                <w:noProof/>
                <w:color w:val="000000"/>
                <w:sz w:val="20"/>
                <w:szCs w:val="20"/>
              </w:rPr>
              <w:t xml:space="preserve"> 5,980</w:t>
            </w:r>
          </w:p>
        </w:tc>
        <w:tc>
          <w:tcPr>
            <w:tcW w:w="464" w:type="pct"/>
            <w:gridSpan w:val="2"/>
            <w:tcBorders>
              <w:top w:val="nil"/>
              <w:left w:val="nil"/>
              <w:bottom w:val="single" w:sz="8" w:space="0" w:color="auto"/>
              <w:right w:val="single" w:sz="8" w:space="0" w:color="auto"/>
            </w:tcBorders>
            <w:shd w:val="clear" w:color="auto" w:fill="D9D9D9" w:themeFill="background1" w:themeFillShade="D9"/>
          </w:tcPr>
          <w:p w14:paraId="30C2E629" w14:textId="06AEDB49" w:rsidR="008E3FA9" w:rsidRPr="00DD57AE" w:rsidRDefault="008E3FA9" w:rsidP="008E3FA9">
            <w:pPr>
              <w:spacing w:before="0" w:after="0"/>
              <w:jc w:val="center"/>
              <w:rPr>
                <w:b/>
                <w:bCs/>
                <w:noProof/>
                <w:color w:val="000000"/>
                <w:sz w:val="20"/>
                <w:szCs w:val="20"/>
              </w:rPr>
            </w:pPr>
            <w:r>
              <w:rPr>
                <w:rFonts w:ascii="Arial Narrow" w:hAnsi="Arial Narrow" w:cs="Calibri"/>
                <w:b/>
                <w:bCs/>
                <w:noProof/>
                <w:color w:val="000000"/>
                <w:sz w:val="20"/>
                <w:szCs w:val="20"/>
              </w:rPr>
              <w:t xml:space="preserve"> 6,683 </w:t>
            </w:r>
          </w:p>
        </w:tc>
        <w:tc>
          <w:tcPr>
            <w:tcW w:w="506" w:type="pct"/>
            <w:gridSpan w:val="3"/>
            <w:tcBorders>
              <w:top w:val="nil"/>
              <w:left w:val="nil"/>
              <w:bottom w:val="single" w:sz="8" w:space="0" w:color="auto"/>
              <w:right w:val="single" w:sz="8" w:space="0" w:color="auto"/>
            </w:tcBorders>
            <w:shd w:val="clear" w:color="auto" w:fill="D9D9D9" w:themeFill="background1" w:themeFillShade="D9"/>
          </w:tcPr>
          <w:p w14:paraId="40047F3F" w14:textId="2E425159" w:rsidR="008E3FA9" w:rsidRPr="00DD57AE" w:rsidRDefault="008E3FA9" w:rsidP="008E3FA9">
            <w:pPr>
              <w:spacing w:before="0" w:after="0"/>
              <w:jc w:val="center"/>
              <w:rPr>
                <w:b/>
                <w:bCs/>
                <w:noProof/>
                <w:color w:val="000000"/>
                <w:sz w:val="20"/>
                <w:szCs w:val="20"/>
              </w:rPr>
            </w:pPr>
            <w:r>
              <w:rPr>
                <w:rFonts w:ascii="Arial Narrow" w:hAnsi="Arial Narrow" w:cs="Calibri"/>
                <w:b/>
                <w:bCs/>
                <w:noProof/>
                <w:color w:val="000000"/>
                <w:sz w:val="20"/>
                <w:szCs w:val="20"/>
              </w:rPr>
              <w:t>7,475</w:t>
            </w:r>
          </w:p>
        </w:tc>
        <w:tc>
          <w:tcPr>
            <w:tcW w:w="1150" w:type="pct"/>
            <w:gridSpan w:val="5"/>
            <w:tcBorders>
              <w:top w:val="nil"/>
              <w:left w:val="nil"/>
              <w:bottom w:val="single" w:sz="8" w:space="0" w:color="auto"/>
              <w:right w:val="single" w:sz="8" w:space="0" w:color="auto"/>
            </w:tcBorders>
            <w:shd w:val="clear" w:color="auto" w:fill="D9D9D9" w:themeFill="background1" w:themeFillShade="D9"/>
            <w:vAlign w:val="center"/>
            <w:hideMark/>
          </w:tcPr>
          <w:p w14:paraId="0C4801A9" w14:textId="77777777" w:rsidR="008E3FA9" w:rsidRPr="00922145" w:rsidRDefault="008E3FA9" w:rsidP="008E3FA9">
            <w:pPr>
              <w:spacing w:before="0" w:after="0"/>
              <w:jc w:val="right"/>
              <w:rPr>
                <w:rFonts w:eastAsia="Times New Roman"/>
                <w:b/>
                <w:bCs/>
                <w:noProof/>
                <w:color w:val="000000"/>
                <w:sz w:val="20"/>
                <w:szCs w:val="20"/>
                <w:lang w:eastAsia="en-IE"/>
              </w:rPr>
            </w:pPr>
          </w:p>
          <w:p w14:paraId="4174751B" w14:textId="77777777" w:rsidR="008E3FA9" w:rsidRDefault="008E3FA9" w:rsidP="008E3FA9">
            <w:pPr>
              <w:spacing w:before="0" w:after="0"/>
              <w:jc w:val="right"/>
              <w:rPr>
                <w:rFonts w:eastAsia="Times New Roman"/>
                <w:b/>
                <w:noProof/>
                <w:color w:val="000000" w:themeColor="text1"/>
                <w:sz w:val="20"/>
                <w:szCs w:val="20"/>
                <w:lang w:eastAsia="en-IE"/>
              </w:rPr>
            </w:pPr>
            <w:r w:rsidRPr="795B1C27">
              <w:rPr>
                <w:rFonts w:eastAsia="Times New Roman"/>
                <w:b/>
                <w:noProof/>
                <w:color w:val="000000" w:themeColor="text1"/>
                <w:sz w:val="20"/>
                <w:szCs w:val="20"/>
                <w:lang w:eastAsia="en-IE"/>
              </w:rPr>
              <w:t xml:space="preserve"> </w:t>
            </w:r>
          </w:p>
          <w:p w14:paraId="180F642B" w14:textId="2BBD55F1" w:rsidR="008E3FA9" w:rsidRPr="00DD57AE" w:rsidRDefault="008E3FA9" w:rsidP="008E3FA9">
            <w:pPr>
              <w:spacing w:before="0" w:after="0"/>
              <w:jc w:val="right"/>
              <w:rPr>
                <w:rFonts w:eastAsia="Times New Roman"/>
                <w:b/>
                <w:bCs/>
                <w:noProof/>
                <w:color w:val="000000"/>
                <w:sz w:val="20"/>
                <w:szCs w:val="20"/>
                <w:lang w:eastAsia="en-IE"/>
              </w:rPr>
            </w:pPr>
            <w:r>
              <w:rPr>
                <w:rFonts w:eastAsia="Times New Roman"/>
                <w:b/>
                <w:bCs/>
                <w:noProof/>
                <w:color w:val="000000"/>
                <w:sz w:val="20"/>
                <w:szCs w:val="20"/>
                <w:lang w:eastAsia="en-IE"/>
              </w:rPr>
              <w:t>37,375</w:t>
            </w:r>
          </w:p>
        </w:tc>
      </w:tr>
      <w:tr w:rsidR="00EC37C5" w:rsidRPr="00922145" w14:paraId="790F6FDC" w14:textId="77777777" w:rsidTr="008E3FA9">
        <w:trPr>
          <w:trHeight w:val="300"/>
        </w:trPr>
        <w:tc>
          <w:tcPr>
            <w:tcW w:w="347" w:type="pct"/>
            <w:tcBorders>
              <w:top w:val="nil"/>
              <w:left w:val="nil"/>
              <w:bottom w:val="nil"/>
              <w:right w:val="nil"/>
            </w:tcBorders>
            <w:noWrap/>
            <w:vAlign w:val="bottom"/>
            <w:hideMark/>
          </w:tcPr>
          <w:p w14:paraId="251369C4" w14:textId="77777777" w:rsidR="00EC37C5" w:rsidRPr="00922145" w:rsidRDefault="00EC37C5">
            <w:pPr>
              <w:spacing w:before="0" w:after="0"/>
              <w:jc w:val="right"/>
              <w:rPr>
                <w:rFonts w:eastAsia="Times New Roman"/>
                <w:b/>
                <w:bCs/>
                <w:noProof/>
                <w:color w:val="000000"/>
                <w:sz w:val="20"/>
                <w:szCs w:val="20"/>
                <w:lang w:eastAsia="en-IE"/>
              </w:rPr>
            </w:pPr>
          </w:p>
        </w:tc>
        <w:tc>
          <w:tcPr>
            <w:tcW w:w="754" w:type="pct"/>
            <w:gridSpan w:val="4"/>
            <w:tcBorders>
              <w:top w:val="nil"/>
              <w:left w:val="nil"/>
              <w:bottom w:val="nil"/>
              <w:right w:val="nil"/>
            </w:tcBorders>
            <w:noWrap/>
            <w:vAlign w:val="bottom"/>
            <w:hideMark/>
          </w:tcPr>
          <w:p w14:paraId="74CD43E4" w14:textId="77777777" w:rsidR="00EC37C5" w:rsidRPr="00922145" w:rsidRDefault="00EC37C5">
            <w:pPr>
              <w:spacing w:before="0" w:after="0"/>
              <w:jc w:val="left"/>
              <w:rPr>
                <w:rFonts w:eastAsia="Times New Roman"/>
                <w:noProof/>
                <w:sz w:val="20"/>
                <w:szCs w:val="20"/>
                <w:lang w:eastAsia="en-IE"/>
              </w:rPr>
            </w:pPr>
          </w:p>
        </w:tc>
        <w:tc>
          <w:tcPr>
            <w:tcW w:w="397" w:type="pct"/>
            <w:gridSpan w:val="2"/>
            <w:tcBorders>
              <w:top w:val="nil"/>
              <w:left w:val="nil"/>
              <w:bottom w:val="nil"/>
              <w:right w:val="nil"/>
            </w:tcBorders>
            <w:noWrap/>
            <w:vAlign w:val="bottom"/>
            <w:hideMark/>
          </w:tcPr>
          <w:p w14:paraId="01B26ACF" w14:textId="77777777" w:rsidR="00EC37C5" w:rsidRPr="00922145" w:rsidRDefault="00EC37C5">
            <w:pPr>
              <w:spacing w:before="0" w:after="0"/>
              <w:jc w:val="left"/>
              <w:rPr>
                <w:rFonts w:eastAsia="Times New Roman"/>
                <w:noProof/>
                <w:sz w:val="20"/>
                <w:szCs w:val="20"/>
                <w:lang w:eastAsia="en-IE"/>
              </w:rPr>
            </w:pPr>
          </w:p>
        </w:tc>
        <w:tc>
          <w:tcPr>
            <w:tcW w:w="175" w:type="pct"/>
            <w:gridSpan w:val="2"/>
            <w:tcBorders>
              <w:top w:val="nil"/>
              <w:left w:val="nil"/>
              <w:bottom w:val="nil"/>
              <w:right w:val="nil"/>
            </w:tcBorders>
            <w:noWrap/>
            <w:vAlign w:val="bottom"/>
            <w:hideMark/>
          </w:tcPr>
          <w:p w14:paraId="34B826BF" w14:textId="77777777" w:rsidR="00EC37C5" w:rsidRPr="00922145" w:rsidRDefault="00EC37C5">
            <w:pPr>
              <w:spacing w:before="0" w:after="0"/>
              <w:jc w:val="left"/>
              <w:rPr>
                <w:rFonts w:eastAsia="Times New Roman"/>
                <w:noProof/>
                <w:sz w:val="20"/>
                <w:szCs w:val="20"/>
                <w:lang w:eastAsia="en-IE"/>
              </w:rPr>
            </w:pPr>
          </w:p>
        </w:tc>
        <w:tc>
          <w:tcPr>
            <w:tcW w:w="411" w:type="pct"/>
            <w:gridSpan w:val="3"/>
            <w:tcBorders>
              <w:top w:val="nil"/>
              <w:left w:val="nil"/>
              <w:bottom w:val="nil"/>
              <w:right w:val="nil"/>
            </w:tcBorders>
            <w:noWrap/>
            <w:vAlign w:val="bottom"/>
            <w:hideMark/>
          </w:tcPr>
          <w:p w14:paraId="17B332ED" w14:textId="77777777" w:rsidR="00EC37C5" w:rsidRPr="00922145" w:rsidRDefault="00EC37C5">
            <w:pPr>
              <w:spacing w:before="0" w:after="0"/>
              <w:jc w:val="left"/>
              <w:rPr>
                <w:rFonts w:eastAsia="Times New Roman"/>
                <w:noProof/>
                <w:sz w:val="20"/>
                <w:szCs w:val="20"/>
                <w:lang w:eastAsia="en-IE"/>
              </w:rPr>
            </w:pPr>
          </w:p>
        </w:tc>
        <w:tc>
          <w:tcPr>
            <w:tcW w:w="398" w:type="pct"/>
            <w:gridSpan w:val="2"/>
            <w:tcBorders>
              <w:top w:val="nil"/>
              <w:left w:val="nil"/>
              <w:bottom w:val="nil"/>
              <w:right w:val="nil"/>
            </w:tcBorders>
            <w:noWrap/>
            <w:vAlign w:val="bottom"/>
            <w:hideMark/>
          </w:tcPr>
          <w:p w14:paraId="50B567CB" w14:textId="77777777" w:rsidR="00EC37C5" w:rsidRPr="00922145" w:rsidRDefault="00EC37C5">
            <w:pPr>
              <w:spacing w:before="0" w:after="0"/>
              <w:jc w:val="left"/>
              <w:rPr>
                <w:rFonts w:eastAsia="Times New Roman"/>
                <w:noProof/>
                <w:sz w:val="20"/>
                <w:szCs w:val="20"/>
                <w:lang w:eastAsia="en-IE"/>
              </w:rPr>
            </w:pPr>
          </w:p>
        </w:tc>
        <w:tc>
          <w:tcPr>
            <w:tcW w:w="398" w:type="pct"/>
            <w:tcBorders>
              <w:top w:val="nil"/>
              <w:left w:val="nil"/>
              <w:bottom w:val="nil"/>
              <w:right w:val="nil"/>
            </w:tcBorders>
            <w:noWrap/>
            <w:vAlign w:val="bottom"/>
            <w:hideMark/>
          </w:tcPr>
          <w:p w14:paraId="5A5BAB57" w14:textId="77777777" w:rsidR="00EC37C5" w:rsidRPr="00922145" w:rsidRDefault="00EC37C5">
            <w:pPr>
              <w:spacing w:before="0" w:after="0"/>
              <w:jc w:val="left"/>
              <w:rPr>
                <w:rFonts w:eastAsia="Times New Roman"/>
                <w:noProof/>
                <w:sz w:val="20"/>
                <w:szCs w:val="20"/>
                <w:lang w:eastAsia="en-IE"/>
              </w:rPr>
            </w:pPr>
          </w:p>
        </w:tc>
        <w:tc>
          <w:tcPr>
            <w:tcW w:w="464" w:type="pct"/>
            <w:gridSpan w:val="2"/>
            <w:tcBorders>
              <w:top w:val="nil"/>
              <w:left w:val="nil"/>
              <w:bottom w:val="nil"/>
              <w:right w:val="nil"/>
            </w:tcBorders>
            <w:noWrap/>
            <w:vAlign w:val="bottom"/>
            <w:hideMark/>
          </w:tcPr>
          <w:p w14:paraId="09C90538" w14:textId="77777777" w:rsidR="00EC37C5" w:rsidRPr="00922145" w:rsidRDefault="00EC37C5">
            <w:pPr>
              <w:spacing w:before="0" w:after="0"/>
              <w:jc w:val="left"/>
              <w:rPr>
                <w:rFonts w:eastAsia="Times New Roman"/>
                <w:noProof/>
                <w:sz w:val="20"/>
                <w:szCs w:val="20"/>
                <w:lang w:eastAsia="en-IE"/>
              </w:rPr>
            </w:pPr>
          </w:p>
        </w:tc>
        <w:tc>
          <w:tcPr>
            <w:tcW w:w="506" w:type="pct"/>
            <w:gridSpan w:val="3"/>
            <w:tcBorders>
              <w:top w:val="nil"/>
              <w:left w:val="nil"/>
              <w:bottom w:val="nil"/>
              <w:right w:val="nil"/>
            </w:tcBorders>
            <w:noWrap/>
            <w:vAlign w:val="bottom"/>
            <w:hideMark/>
          </w:tcPr>
          <w:p w14:paraId="7FD9FC4C" w14:textId="77777777" w:rsidR="00EC37C5" w:rsidRPr="00922145" w:rsidRDefault="00EC37C5">
            <w:pPr>
              <w:spacing w:before="0" w:after="0"/>
              <w:jc w:val="left"/>
              <w:rPr>
                <w:rFonts w:eastAsia="Times New Roman"/>
                <w:noProof/>
                <w:sz w:val="20"/>
                <w:szCs w:val="20"/>
                <w:lang w:eastAsia="en-IE"/>
              </w:rPr>
            </w:pPr>
          </w:p>
        </w:tc>
        <w:tc>
          <w:tcPr>
            <w:tcW w:w="397" w:type="pct"/>
            <w:tcBorders>
              <w:top w:val="nil"/>
              <w:left w:val="nil"/>
              <w:bottom w:val="nil"/>
              <w:right w:val="nil"/>
            </w:tcBorders>
            <w:noWrap/>
            <w:vAlign w:val="bottom"/>
            <w:hideMark/>
          </w:tcPr>
          <w:p w14:paraId="68B0F056" w14:textId="77777777" w:rsidR="00EC37C5" w:rsidRPr="00922145" w:rsidRDefault="00EC37C5">
            <w:pPr>
              <w:spacing w:before="0" w:after="0"/>
              <w:jc w:val="left"/>
              <w:rPr>
                <w:rFonts w:eastAsia="Times New Roman"/>
                <w:noProof/>
                <w:sz w:val="20"/>
                <w:szCs w:val="20"/>
                <w:lang w:eastAsia="en-IE"/>
              </w:rPr>
            </w:pPr>
          </w:p>
        </w:tc>
        <w:tc>
          <w:tcPr>
            <w:tcW w:w="397" w:type="pct"/>
            <w:gridSpan w:val="3"/>
            <w:tcBorders>
              <w:top w:val="nil"/>
              <w:left w:val="nil"/>
              <w:bottom w:val="nil"/>
              <w:right w:val="nil"/>
            </w:tcBorders>
            <w:noWrap/>
            <w:vAlign w:val="bottom"/>
            <w:hideMark/>
          </w:tcPr>
          <w:p w14:paraId="6700EF7A" w14:textId="77777777" w:rsidR="00EC37C5" w:rsidRPr="00922145" w:rsidRDefault="00EC37C5">
            <w:pPr>
              <w:spacing w:before="0" w:after="0"/>
              <w:jc w:val="left"/>
              <w:rPr>
                <w:rFonts w:eastAsia="Times New Roman"/>
                <w:noProof/>
                <w:sz w:val="20"/>
                <w:szCs w:val="20"/>
                <w:lang w:eastAsia="en-IE"/>
              </w:rPr>
            </w:pPr>
          </w:p>
        </w:tc>
        <w:tc>
          <w:tcPr>
            <w:tcW w:w="356" w:type="pct"/>
            <w:tcBorders>
              <w:top w:val="nil"/>
              <w:left w:val="nil"/>
              <w:bottom w:val="nil"/>
              <w:right w:val="nil"/>
            </w:tcBorders>
            <w:noWrap/>
            <w:vAlign w:val="bottom"/>
            <w:hideMark/>
          </w:tcPr>
          <w:p w14:paraId="29F00C2A" w14:textId="77777777" w:rsidR="00EC37C5" w:rsidRPr="00922145" w:rsidRDefault="00EC37C5">
            <w:pPr>
              <w:spacing w:before="0" w:after="0"/>
              <w:jc w:val="left"/>
              <w:rPr>
                <w:rFonts w:eastAsia="Times New Roman"/>
                <w:noProof/>
                <w:sz w:val="20"/>
                <w:szCs w:val="20"/>
                <w:lang w:eastAsia="en-IE"/>
              </w:rPr>
            </w:pPr>
          </w:p>
        </w:tc>
      </w:tr>
      <w:tr w:rsidR="00EC37C5" w:rsidRPr="00922145" w14:paraId="4702636A" w14:textId="77777777" w:rsidTr="008E3FA9">
        <w:trPr>
          <w:trHeight w:val="300"/>
        </w:trPr>
        <w:tc>
          <w:tcPr>
            <w:tcW w:w="347" w:type="pct"/>
            <w:tcBorders>
              <w:top w:val="nil"/>
              <w:left w:val="nil"/>
              <w:bottom w:val="nil"/>
              <w:right w:val="nil"/>
            </w:tcBorders>
            <w:noWrap/>
            <w:vAlign w:val="bottom"/>
            <w:hideMark/>
          </w:tcPr>
          <w:p w14:paraId="60434B7F" w14:textId="77777777" w:rsidR="00EC37C5" w:rsidRPr="00922145" w:rsidRDefault="00EC37C5">
            <w:pPr>
              <w:spacing w:before="0" w:after="0"/>
              <w:rPr>
                <w:rFonts w:eastAsia="Times New Roman"/>
                <w:b/>
                <w:bCs/>
                <w:noProof/>
                <w:color w:val="000000"/>
                <w:sz w:val="20"/>
                <w:szCs w:val="20"/>
                <w:lang w:eastAsia="en-IE"/>
              </w:rPr>
            </w:pPr>
          </w:p>
        </w:tc>
        <w:tc>
          <w:tcPr>
            <w:tcW w:w="754" w:type="pct"/>
            <w:gridSpan w:val="4"/>
            <w:tcBorders>
              <w:top w:val="nil"/>
              <w:left w:val="nil"/>
              <w:bottom w:val="nil"/>
              <w:right w:val="nil"/>
            </w:tcBorders>
            <w:noWrap/>
            <w:vAlign w:val="bottom"/>
            <w:hideMark/>
          </w:tcPr>
          <w:p w14:paraId="10B43BA7" w14:textId="77777777" w:rsidR="00EC37C5" w:rsidRDefault="00EC37C5">
            <w:pPr>
              <w:spacing w:before="0" w:after="0"/>
              <w:jc w:val="left"/>
              <w:rPr>
                <w:rFonts w:eastAsia="Times New Roman"/>
                <w:noProof/>
                <w:sz w:val="20"/>
                <w:szCs w:val="20"/>
                <w:lang w:eastAsia="en-IE"/>
              </w:rPr>
            </w:pPr>
          </w:p>
          <w:p w14:paraId="6D613A73" w14:textId="77777777" w:rsidR="00EC37C5" w:rsidRPr="00922145" w:rsidRDefault="00EC37C5">
            <w:pPr>
              <w:spacing w:before="0" w:after="0"/>
              <w:jc w:val="left"/>
              <w:rPr>
                <w:rFonts w:eastAsia="Times New Roman"/>
                <w:noProof/>
                <w:sz w:val="20"/>
                <w:szCs w:val="20"/>
                <w:lang w:eastAsia="en-IE"/>
              </w:rPr>
            </w:pPr>
          </w:p>
        </w:tc>
        <w:tc>
          <w:tcPr>
            <w:tcW w:w="397" w:type="pct"/>
            <w:gridSpan w:val="2"/>
            <w:tcBorders>
              <w:top w:val="nil"/>
              <w:left w:val="nil"/>
              <w:bottom w:val="nil"/>
              <w:right w:val="nil"/>
            </w:tcBorders>
            <w:noWrap/>
            <w:vAlign w:val="bottom"/>
            <w:hideMark/>
          </w:tcPr>
          <w:p w14:paraId="460C443D" w14:textId="77777777" w:rsidR="00EC37C5" w:rsidRPr="00922145" w:rsidRDefault="00EC37C5">
            <w:pPr>
              <w:spacing w:before="0" w:after="0"/>
              <w:jc w:val="left"/>
              <w:rPr>
                <w:rFonts w:eastAsia="Times New Roman"/>
                <w:noProof/>
                <w:sz w:val="20"/>
                <w:szCs w:val="20"/>
                <w:lang w:eastAsia="en-IE"/>
              </w:rPr>
            </w:pPr>
          </w:p>
        </w:tc>
        <w:tc>
          <w:tcPr>
            <w:tcW w:w="175" w:type="pct"/>
            <w:gridSpan w:val="2"/>
            <w:tcBorders>
              <w:top w:val="nil"/>
              <w:left w:val="nil"/>
              <w:bottom w:val="nil"/>
              <w:right w:val="nil"/>
            </w:tcBorders>
            <w:noWrap/>
            <w:vAlign w:val="bottom"/>
            <w:hideMark/>
          </w:tcPr>
          <w:p w14:paraId="5FA2B8BE" w14:textId="77777777" w:rsidR="00EC37C5" w:rsidRPr="00922145" w:rsidRDefault="00EC37C5">
            <w:pPr>
              <w:spacing w:before="0" w:after="0"/>
              <w:jc w:val="left"/>
              <w:rPr>
                <w:rFonts w:eastAsia="Times New Roman"/>
                <w:noProof/>
                <w:sz w:val="20"/>
                <w:szCs w:val="20"/>
                <w:lang w:eastAsia="en-IE"/>
              </w:rPr>
            </w:pPr>
          </w:p>
        </w:tc>
        <w:tc>
          <w:tcPr>
            <w:tcW w:w="411" w:type="pct"/>
            <w:gridSpan w:val="3"/>
            <w:tcBorders>
              <w:top w:val="nil"/>
              <w:left w:val="nil"/>
              <w:bottom w:val="nil"/>
              <w:right w:val="nil"/>
            </w:tcBorders>
            <w:noWrap/>
            <w:vAlign w:val="bottom"/>
            <w:hideMark/>
          </w:tcPr>
          <w:p w14:paraId="00963009" w14:textId="77777777" w:rsidR="00EC37C5" w:rsidRPr="00922145" w:rsidRDefault="00EC37C5">
            <w:pPr>
              <w:spacing w:before="0" w:after="0"/>
              <w:jc w:val="left"/>
              <w:rPr>
                <w:rFonts w:eastAsia="Times New Roman"/>
                <w:noProof/>
                <w:sz w:val="20"/>
                <w:szCs w:val="20"/>
                <w:lang w:eastAsia="en-IE"/>
              </w:rPr>
            </w:pPr>
          </w:p>
        </w:tc>
        <w:tc>
          <w:tcPr>
            <w:tcW w:w="398" w:type="pct"/>
            <w:gridSpan w:val="2"/>
            <w:tcBorders>
              <w:top w:val="nil"/>
              <w:left w:val="nil"/>
              <w:bottom w:val="nil"/>
              <w:right w:val="nil"/>
            </w:tcBorders>
            <w:noWrap/>
            <w:vAlign w:val="bottom"/>
            <w:hideMark/>
          </w:tcPr>
          <w:p w14:paraId="1CBD8909" w14:textId="77777777" w:rsidR="00EC37C5" w:rsidRPr="00922145" w:rsidRDefault="00EC37C5">
            <w:pPr>
              <w:spacing w:before="0" w:after="0"/>
              <w:jc w:val="left"/>
              <w:rPr>
                <w:rFonts w:eastAsia="Times New Roman"/>
                <w:noProof/>
                <w:sz w:val="20"/>
                <w:szCs w:val="20"/>
                <w:lang w:eastAsia="en-IE"/>
              </w:rPr>
            </w:pPr>
          </w:p>
        </w:tc>
        <w:tc>
          <w:tcPr>
            <w:tcW w:w="398" w:type="pct"/>
            <w:tcBorders>
              <w:top w:val="nil"/>
              <w:left w:val="nil"/>
              <w:bottom w:val="nil"/>
              <w:right w:val="nil"/>
            </w:tcBorders>
            <w:noWrap/>
            <w:vAlign w:val="bottom"/>
            <w:hideMark/>
          </w:tcPr>
          <w:p w14:paraId="2E3EE7DA" w14:textId="77777777" w:rsidR="00EC37C5" w:rsidRPr="00922145" w:rsidRDefault="00EC37C5">
            <w:pPr>
              <w:spacing w:before="0" w:after="0"/>
              <w:jc w:val="left"/>
              <w:rPr>
                <w:rFonts w:eastAsia="Times New Roman"/>
                <w:noProof/>
                <w:sz w:val="20"/>
                <w:szCs w:val="20"/>
                <w:lang w:eastAsia="en-IE"/>
              </w:rPr>
            </w:pPr>
          </w:p>
        </w:tc>
        <w:tc>
          <w:tcPr>
            <w:tcW w:w="464" w:type="pct"/>
            <w:gridSpan w:val="2"/>
            <w:tcBorders>
              <w:top w:val="nil"/>
              <w:left w:val="nil"/>
              <w:bottom w:val="nil"/>
              <w:right w:val="nil"/>
            </w:tcBorders>
            <w:noWrap/>
            <w:vAlign w:val="bottom"/>
            <w:hideMark/>
          </w:tcPr>
          <w:p w14:paraId="3E516369" w14:textId="77777777" w:rsidR="00EC37C5" w:rsidRPr="00922145" w:rsidRDefault="00EC37C5">
            <w:pPr>
              <w:spacing w:before="0" w:after="0"/>
              <w:jc w:val="left"/>
              <w:rPr>
                <w:rFonts w:eastAsia="Times New Roman"/>
                <w:noProof/>
                <w:sz w:val="20"/>
                <w:szCs w:val="20"/>
                <w:lang w:eastAsia="en-IE"/>
              </w:rPr>
            </w:pPr>
          </w:p>
        </w:tc>
        <w:tc>
          <w:tcPr>
            <w:tcW w:w="506" w:type="pct"/>
            <w:gridSpan w:val="3"/>
            <w:tcBorders>
              <w:top w:val="nil"/>
              <w:left w:val="nil"/>
              <w:bottom w:val="nil"/>
              <w:right w:val="nil"/>
            </w:tcBorders>
            <w:noWrap/>
            <w:vAlign w:val="bottom"/>
            <w:hideMark/>
          </w:tcPr>
          <w:p w14:paraId="535F80BB" w14:textId="77777777" w:rsidR="00EC37C5" w:rsidRPr="00922145" w:rsidRDefault="00EC37C5">
            <w:pPr>
              <w:spacing w:before="0" w:after="0"/>
              <w:jc w:val="left"/>
              <w:rPr>
                <w:rFonts w:eastAsia="Times New Roman"/>
                <w:noProof/>
                <w:sz w:val="20"/>
                <w:szCs w:val="20"/>
                <w:lang w:eastAsia="en-IE"/>
              </w:rPr>
            </w:pPr>
          </w:p>
        </w:tc>
        <w:tc>
          <w:tcPr>
            <w:tcW w:w="397" w:type="pct"/>
            <w:tcBorders>
              <w:top w:val="nil"/>
              <w:left w:val="nil"/>
              <w:bottom w:val="nil"/>
              <w:right w:val="nil"/>
            </w:tcBorders>
            <w:noWrap/>
            <w:vAlign w:val="bottom"/>
            <w:hideMark/>
          </w:tcPr>
          <w:p w14:paraId="11DA7654" w14:textId="77777777" w:rsidR="00EC37C5" w:rsidRPr="00922145" w:rsidRDefault="00EC37C5">
            <w:pPr>
              <w:spacing w:before="0" w:after="0"/>
              <w:jc w:val="left"/>
              <w:rPr>
                <w:rFonts w:eastAsia="Times New Roman"/>
                <w:noProof/>
                <w:sz w:val="20"/>
                <w:szCs w:val="20"/>
                <w:lang w:eastAsia="en-IE"/>
              </w:rPr>
            </w:pPr>
          </w:p>
        </w:tc>
        <w:tc>
          <w:tcPr>
            <w:tcW w:w="397" w:type="pct"/>
            <w:gridSpan w:val="3"/>
            <w:tcBorders>
              <w:top w:val="nil"/>
              <w:left w:val="nil"/>
              <w:bottom w:val="nil"/>
              <w:right w:val="nil"/>
            </w:tcBorders>
            <w:noWrap/>
            <w:vAlign w:val="bottom"/>
            <w:hideMark/>
          </w:tcPr>
          <w:p w14:paraId="04FA39AE" w14:textId="77777777" w:rsidR="00EC37C5" w:rsidRPr="00922145" w:rsidRDefault="00EC37C5">
            <w:pPr>
              <w:spacing w:before="0" w:after="0"/>
              <w:jc w:val="left"/>
              <w:rPr>
                <w:rFonts w:eastAsia="Times New Roman"/>
                <w:noProof/>
                <w:sz w:val="20"/>
                <w:szCs w:val="20"/>
                <w:lang w:eastAsia="en-IE"/>
              </w:rPr>
            </w:pPr>
          </w:p>
        </w:tc>
        <w:tc>
          <w:tcPr>
            <w:tcW w:w="356" w:type="pct"/>
            <w:tcBorders>
              <w:top w:val="nil"/>
              <w:left w:val="nil"/>
              <w:bottom w:val="nil"/>
              <w:right w:val="nil"/>
            </w:tcBorders>
            <w:noWrap/>
            <w:vAlign w:val="bottom"/>
            <w:hideMark/>
          </w:tcPr>
          <w:p w14:paraId="0E836E6D" w14:textId="77777777" w:rsidR="00EC37C5" w:rsidRDefault="00EC37C5">
            <w:pPr>
              <w:spacing w:before="0" w:after="0"/>
              <w:jc w:val="left"/>
              <w:rPr>
                <w:rFonts w:eastAsia="Times New Roman"/>
                <w:noProof/>
                <w:sz w:val="20"/>
                <w:szCs w:val="20"/>
                <w:lang w:eastAsia="en-IE"/>
              </w:rPr>
            </w:pPr>
          </w:p>
          <w:p w14:paraId="63301780" w14:textId="77777777" w:rsidR="00EC37C5" w:rsidRPr="00922145" w:rsidRDefault="00EC37C5">
            <w:pPr>
              <w:rPr>
                <w:noProof/>
                <w:lang w:eastAsia="en-IE"/>
              </w:rPr>
            </w:pPr>
          </w:p>
        </w:tc>
      </w:tr>
      <w:tr w:rsidR="00EC37C5" w:rsidRPr="00922145" w14:paraId="08FF3CC2" w14:textId="77777777" w:rsidTr="008E3FA9">
        <w:trPr>
          <w:trHeight w:val="300"/>
        </w:trPr>
        <w:tc>
          <w:tcPr>
            <w:tcW w:w="347" w:type="pct"/>
            <w:tcBorders>
              <w:top w:val="nil"/>
              <w:left w:val="nil"/>
              <w:bottom w:val="nil"/>
              <w:right w:val="nil"/>
            </w:tcBorders>
            <w:noWrap/>
            <w:vAlign w:val="bottom"/>
            <w:hideMark/>
          </w:tcPr>
          <w:p w14:paraId="41ACB226" w14:textId="77777777" w:rsidR="00EC37C5" w:rsidRPr="00922145" w:rsidRDefault="00EC37C5">
            <w:pPr>
              <w:spacing w:before="0" w:after="0"/>
              <w:rPr>
                <w:rFonts w:eastAsia="Times New Roman"/>
                <w:b/>
                <w:bCs/>
                <w:noProof/>
                <w:color w:val="000000"/>
                <w:sz w:val="20"/>
                <w:szCs w:val="20"/>
                <w:lang w:eastAsia="en-IE"/>
              </w:rPr>
            </w:pPr>
          </w:p>
        </w:tc>
        <w:tc>
          <w:tcPr>
            <w:tcW w:w="754" w:type="pct"/>
            <w:gridSpan w:val="4"/>
            <w:tcBorders>
              <w:top w:val="nil"/>
              <w:left w:val="nil"/>
              <w:bottom w:val="nil"/>
              <w:right w:val="nil"/>
            </w:tcBorders>
            <w:noWrap/>
            <w:vAlign w:val="bottom"/>
            <w:hideMark/>
          </w:tcPr>
          <w:p w14:paraId="193B3113" w14:textId="77777777" w:rsidR="00EC37C5" w:rsidRPr="00922145" w:rsidRDefault="00EC37C5">
            <w:pPr>
              <w:spacing w:before="0" w:after="0"/>
              <w:jc w:val="left"/>
              <w:rPr>
                <w:rFonts w:eastAsia="Times New Roman"/>
                <w:noProof/>
                <w:sz w:val="20"/>
                <w:szCs w:val="20"/>
                <w:lang w:eastAsia="en-IE"/>
              </w:rPr>
            </w:pPr>
          </w:p>
        </w:tc>
        <w:tc>
          <w:tcPr>
            <w:tcW w:w="397" w:type="pct"/>
            <w:gridSpan w:val="2"/>
            <w:tcBorders>
              <w:top w:val="nil"/>
              <w:left w:val="nil"/>
              <w:bottom w:val="nil"/>
              <w:right w:val="nil"/>
            </w:tcBorders>
            <w:noWrap/>
            <w:vAlign w:val="bottom"/>
            <w:hideMark/>
          </w:tcPr>
          <w:p w14:paraId="0ED67481" w14:textId="77777777" w:rsidR="00EC37C5" w:rsidRPr="00922145" w:rsidRDefault="00EC37C5">
            <w:pPr>
              <w:spacing w:before="0" w:after="0"/>
              <w:jc w:val="left"/>
              <w:rPr>
                <w:rFonts w:eastAsia="Times New Roman"/>
                <w:noProof/>
                <w:sz w:val="20"/>
                <w:szCs w:val="20"/>
                <w:lang w:eastAsia="en-IE"/>
              </w:rPr>
            </w:pPr>
          </w:p>
        </w:tc>
        <w:tc>
          <w:tcPr>
            <w:tcW w:w="175" w:type="pct"/>
            <w:gridSpan w:val="2"/>
            <w:tcBorders>
              <w:top w:val="nil"/>
              <w:left w:val="nil"/>
              <w:bottom w:val="nil"/>
              <w:right w:val="nil"/>
            </w:tcBorders>
            <w:noWrap/>
            <w:vAlign w:val="bottom"/>
            <w:hideMark/>
          </w:tcPr>
          <w:p w14:paraId="54404118" w14:textId="77777777" w:rsidR="00EC37C5" w:rsidRPr="00922145" w:rsidRDefault="00EC37C5">
            <w:pPr>
              <w:spacing w:before="0" w:after="0"/>
              <w:jc w:val="left"/>
              <w:rPr>
                <w:rFonts w:eastAsia="Times New Roman"/>
                <w:noProof/>
                <w:sz w:val="20"/>
                <w:szCs w:val="20"/>
                <w:lang w:eastAsia="en-IE"/>
              </w:rPr>
            </w:pPr>
          </w:p>
        </w:tc>
        <w:tc>
          <w:tcPr>
            <w:tcW w:w="411" w:type="pct"/>
            <w:gridSpan w:val="3"/>
            <w:tcBorders>
              <w:top w:val="nil"/>
              <w:left w:val="nil"/>
              <w:bottom w:val="nil"/>
              <w:right w:val="nil"/>
            </w:tcBorders>
            <w:noWrap/>
            <w:vAlign w:val="bottom"/>
            <w:hideMark/>
          </w:tcPr>
          <w:p w14:paraId="400E1374" w14:textId="77777777" w:rsidR="00EC37C5" w:rsidRPr="00922145" w:rsidRDefault="00EC37C5">
            <w:pPr>
              <w:spacing w:before="0" w:after="0"/>
              <w:jc w:val="left"/>
              <w:rPr>
                <w:rFonts w:eastAsia="Times New Roman"/>
                <w:noProof/>
                <w:sz w:val="20"/>
                <w:szCs w:val="20"/>
                <w:lang w:eastAsia="en-IE"/>
              </w:rPr>
            </w:pPr>
          </w:p>
        </w:tc>
        <w:tc>
          <w:tcPr>
            <w:tcW w:w="398" w:type="pct"/>
            <w:gridSpan w:val="2"/>
            <w:tcBorders>
              <w:top w:val="nil"/>
              <w:left w:val="nil"/>
              <w:bottom w:val="nil"/>
              <w:right w:val="nil"/>
            </w:tcBorders>
            <w:noWrap/>
            <w:vAlign w:val="bottom"/>
            <w:hideMark/>
          </w:tcPr>
          <w:p w14:paraId="770D2BE5" w14:textId="77777777" w:rsidR="00EC37C5" w:rsidRPr="00922145" w:rsidRDefault="00EC37C5">
            <w:pPr>
              <w:spacing w:before="0" w:after="0"/>
              <w:jc w:val="left"/>
              <w:rPr>
                <w:rFonts w:eastAsia="Times New Roman"/>
                <w:noProof/>
                <w:sz w:val="20"/>
                <w:szCs w:val="20"/>
                <w:lang w:eastAsia="en-IE"/>
              </w:rPr>
            </w:pPr>
          </w:p>
        </w:tc>
        <w:tc>
          <w:tcPr>
            <w:tcW w:w="398" w:type="pct"/>
            <w:tcBorders>
              <w:top w:val="nil"/>
              <w:left w:val="nil"/>
              <w:bottom w:val="nil"/>
              <w:right w:val="nil"/>
            </w:tcBorders>
            <w:noWrap/>
            <w:vAlign w:val="bottom"/>
            <w:hideMark/>
          </w:tcPr>
          <w:p w14:paraId="4F59D977" w14:textId="77777777" w:rsidR="00EC37C5" w:rsidRPr="00922145" w:rsidRDefault="00EC37C5">
            <w:pPr>
              <w:spacing w:before="0" w:after="0"/>
              <w:jc w:val="left"/>
              <w:rPr>
                <w:rFonts w:eastAsia="Times New Roman"/>
                <w:noProof/>
                <w:sz w:val="20"/>
                <w:szCs w:val="20"/>
                <w:lang w:eastAsia="en-IE"/>
              </w:rPr>
            </w:pPr>
          </w:p>
        </w:tc>
        <w:tc>
          <w:tcPr>
            <w:tcW w:w="464" w:type="pct"/>
            <w:gridSpan w:val="2"/>
            <w:tcBorders>
              <w:top w:val="nil"/>
              <w:left w:val="nil"/>
              <w:bottom w:val="nil"/>
              <w:right w:val="nil"/>
            </w:tcBorders>
            <w:noWrap/>
            <w:vAlign w:val="bottom"/>
            <w:hideMark/>
          </w:tcPr>
          <w:p w14:paraId="44F88C03" w14:textId="77777777" w:rsidR="00EC37C5" w:rsidRPr="00922145" w:rsidRDefault="00EC37C5">
            <w:pPr>
              <w:spacing w:before="0" w:after="0"/>
              <w:jc w:val="left"/>
              <w:rPr>
                <w:rFonts w:eastAsia="Times New Roman"/>
                <w:noProof/>
                <w:sz w:val="20"/>
                <w:szCs w:val="20"/>
                <w:lang w:eastAsia="en-IE"/>
              </w:rPr>
            </w:pPr>
          </w:p>
        </w:tc>
        <w:tc>
          <w:tcPr>
            <w:tcW w:w="506" w:type="pct"/>
            <w:gridSpan w:val="3"/>
            <w:tcBorders>
              <w:top w:val="nil"/>
              <w:left w:val="nil"/>
              <w:bottom w:val="nil"/>
              <w:right w:val="nil"/>
            </w:tcBorders>
            <w:noWrap/>
            <w:vAlign w:val="bottom"/>
            <w:hideMark/>
          </w:tcPr>
          <w:p w14:paraId="0E202A81" w14:textId="77777777" w:rsidR="00EC37C5" w:rsidRPr="00922145" w:rsidRDefault="00EC37C5">
            <w:pPr>
              <w:spacing w:before="0" w:after="0"/>
              <w:jc w:val="left"/>
              <w:rPr>
                <w:rFonts w:eastAsia="Times New Roman"/>
                <w:noProof/>
                <w:sz w:val="20"/>
                <w:szCs w:val="20"/>
                <w:lang w:eastAsia="en-IE"/>
              </w:rPr>
            </w:pPr>
          </w:p>
        </w:tc>
        <w:tc>
          <w:tcPr>
            <w:tcW w:w="397" w:type="pct"/>
            <w:tcBorders>
              <w:top w:val="nil"/>
              <w:left w:val="nil"/>
              <w:bottom w:val="nil"/>
              <w:right w:val="nil"/>
            </w:tcBorders>
            <w:noWrap/>
            <w:vAlign w:val="bottom"/>
            <w:hideMark/>
          </w:tcPr>
          <w:p w14:paraId="030B616C" w14:textId="77777777" w:rsidR="00EC37C5" w:rsidRPr="00922145" w:rsidRDefault="00EC37C5">
            <w:pPr>
              <w:spacing w:before="0" w:after="0"/>
              <w:jc w:val="left"/>
              <w:rPr>
                <w:rFonts w:eastAsia="Times New Roman"/>
                <w:noProof/>
                <w:sz w:val="20"/>
                <w:szCs w:val="20"/>
                <w:lang w:eastAsia="en-IE"/>
              </w:rPr>
            </w:pPr>
          </w:p>
        </w:tc>
        <w:tc>
          <w:tcPr>
            <w:tcW w:w="397" w:type="pct"/>
            <w:gridSpan w:val="3"/>
            <w:tcBorders>
              <w:top w:val="nil"/>
              <w:left w:val="nil"/>
              <w:bottom w:val="nil"/>
              <w:right w:val="nil"/>
            </w:tcBorders>
            <w:noWrap/>
            <w:vAlign w:val="bottom"/>
            <w:hideMark/>
          </w:tcPr>
          <w:p w14:paraId="66A51571" w14:textId="77777777" w:rsidR="00EC37C5" w:rsidRPr="00922145" w:rsidRDefault="00EC37C5">
            <w:pPr>
              <w:spacing w:before="0" w:after="0"/>
              <w:jc w:val="left"/>
              <w:rPr>
                <w:rFonts w:eastAsia="Times New Roman"/>
                <w:noProof/>
                <w:sz w:val="20"/>
                <w:szCs w:val="20"/>
                <w:lang w:eastAsia="en-IE"/>
              </w:rPr>
            </w:pPr>
          </w:p>
        </w:tc>
        <w:tc>
          <w:tcPr>
            <w:tcW w:w="356" w:type="pct"/>
            <w:tcBorders>
              <w:top w:val="nil"/>
              <w:left w:val="nil"/>
              <w:bottom w:val="nil"/>
              <w:right w:val="nil"/>
            </w:tcBorders>
            <w:noWrap/>
            <w:vAlign w:val="bottom"/>
            <w:hideMark/>
          </w:tcPr>
          <w:p w14:paraId="66348C82" w14:textId="77777777" w:rsidR="00EC37C5" w:rsidRPr="00922145" w:rsidRDefault="00EC37C5">
            <w:pPr>
              <w:spacing w:before="0" w:after="0"/>
              <w:jc w:val="left"/>
              <w:rPr>
                <w:rFonts w:eastAsia="Times New Roman"/>
                <w:noProof/>
                <w:sz w:val="20"/>
                <w:szCs w:val="20"/>
                <w:lang w:eastAsia="en-IE"/>
              </w:rPr>
            </w:pPr>
          </w:p>
        </w:tc>
      </w:tr>
      <w:tr w:rsidR="008E3FA9" w:rsidRPr="00922145" w14:paraId="7B0C0971" w14:textId="77777777" w:rsidTr="008E3FA9">
        <w:trPr>
          <w:trHeight w:val="1430"/>
        </w:trPr>
        <w:tc>
          <w:tcPr>
            <w:tcW w:w="1101" w:type="pct"/>
            <w:gridSpan w:val="5"/>
            <w:tcBorders>
              <w:top w:val="single" w:sz="8" w:space="0" w:color="auto"/>
              <w:left w:val="single" w:sz="8" w:space="0" w:color="auto"/>
              <w:bottom w:val="single" w:sz="8" w:space="0" w:color="auto"/>
              <w:right w:val="single" w:sz="8" w:space="0" w:color="000000" w:themeColor="text1"/>
            </w:tcBorders>
            <w:shd w:val="clear" w:color="auto" w:fill="E6E6E6"/>
            <w:vAlign w:val="center"/>
            <w:hideMark/>
          </w:tcPr>
          <w:p w14:paraId="42CA96AC" w14:textId="77777777" w:rsidR="008E3FA9" w:rsidRPr="00922145" w:rsidRDefault="008E3FA9" w:rsidP="008E3FA9">
            <w:pPr>
              <w:spacing w:before="0" w:after="0"/>
              <w:jc w:val="center"/>
              <w:rPr>
                <w:rFonts w:eastAsia="Times New Roman"/>
                <w:b/>
                <w:bCs/>
                <w:noProof/>
                <w:color w:val="000000"/>
                <w:sz w:val="22"/>
                <w:lang w:eastAsia="en-IE"/>
              </w:rPr>
            </w:pPr>
            <w:r w:rsidRPr="00922145">
              <w:rPr>
                <w:rFonts w:eastAsia="Times New Roman"/>
                <w:b/>
                <w:bCs/>
                <w:noProof/>
                <w:color w:val="000000"/>
                <w:sz w:val="22"/>
                <w:lang w:eastAsia="en-IE"/>
              </w:rPr>
              <w:t xml:space="preserve">TOTAL appropriations under HEADING 4 of the multiannual financial framework </w:t>
            </w:r>
          </w:p>
        </w:tc>
        <w:tc>
          <w:tcPr>
            <w:tcW w:w="572" w:type="pct"/>
            <w:gridSpan w:val="4"/>
            <w:tcBorders>
              <w:top w:val="single" w:sz="8" w:space="0" w:color="auto"/>
              <w:left w:val="nil"/>
              <w:bottom w:val="single" w:sz="8" w:space="0" w:color="auto"/>
              <w:right w:val="single" w:sz="8" w:space="0" w:color="000000" w:themeColor="text1"/>
            </w:tcBorders>
            <w:vAlign w:val="center"/>
            <w:hideMark/>
          </w:tcPr>
          <w:p w14:paraId="7103272A" w14:textId="77777777" w:rsidR="008E3FA9" w:rsidRPr="00922145" w:rsidRDefault="008E3FA9" w:rsidP="008E3FA9">
            <w:pPr>
              <w:spacing w:before="0" w:after="0"/>
              <w:jc w:val="center"/>
              <w:rPr>
                <w:rFonts w:eastAsia="Times New Roman"/>
                <w:noProof/>
                <w:color w:val="000000"/>
                <w:sz w:val="18"/>
                <w:szCs w:val="18"/>
                <w:lang w:eastAsia="en-IE"/>
              </w:rPr>
            </w:pPr>
            <w:r w:rsidRPr="00922145">
              <w:rPr>
                <w:rFonts w:eastAsia="Times New Roman"/>
                <w:noProof/>
                <w:color w:val="000000"/>
                <w:sz w:val="18"/>
                <w:szCs w:val="18"/>
                <w:lang w:eastAsia="en-IE"/>
              </w:rPr>
              <w:t>(Total commitments = Total payments)</w:t>
            </w:r>
          </w:p>
        </w:tc>
        <w:tc>
          <w:tcPr>
            <w:tcW w:w="411" w:type="pct"/>
            <w:gridSpan w:val="3"/>
            <w:tcBorders>
              <w:top w:val="single" w:sz="8" w:space="0" w:color="auto"/>
              <w:left w:val="nil"/>
              <w:bottom w:val="single" w:sz="8" w:space="0" w:color="auto"/>
              <w:right w:val="single" w:sz="8" w:space="0" w:color="auto"/>
            </w:tcBorders>
            <w:shd w:val="clear" w:color="auto" w:fill="D9D9D9" w:themeFill="background1" w:themeFillShade="D9"/>
            <w:vAlign w:val="center"/>
          </w:tcPr>
          <w:p w14:paraId="6AED3EAD" w14:textId="77777777" w:rsidR="008E3FA9" w:rsidRDefault="008E3FA9" w:rsidP="008E3FA9">
            <w:pPr>
              <w:spacing w:before="0" w:after="0"/>
              <w:jc w:val="center"/>
              <w:rPr>
                <w:rFonts w:ascii="Arial Narrow" w:hAnsi="Arial Narrow" w:cs="Calibri"/>
                <w:b/>
                <w:noProof/>
                <w:color w:val="000000" w:themeColor="text1"/>
                <w:sz w:val="20"/>
                <w:szCs w:val="20"/>
              </w:rPr>
            </w:pPr>
          </w:p>
          <w:p w14:paraId="2A8A6112" w14:textId="77777777" w:rsidR="008E3FA9" w:rsidRDefault="008E3FA9" w:rsidP="008E3FA9">
            <w:pPr>
              <w:spacing w:before="0" w:after="0"/>
              <w:jc w:val="center"/>
              <w:rPr>
                <w:rFonts w:ascii="Arial Narrow" w:hAnsi="Arial Narrow" w:cs="Calibri"/>
                <w:b/>
                <w:noProof/>
                <w:color w:val="000000" w:themeColor="text1"/>
                <w:sz w:val="20"/>
                <w:szCs w:val="20"/>
              </w:rPr>
            </w:pPr>
            <w:r>
              <w:rPr>
                <w:rFonts w:ascii="Arial Narrow" w:hAnsi="Arial Narrow" w:cs="Calibri"/>
                <w:b/>
                <w:noProof/>
                <w:color w:val="000000" w:themeColor="text1"/>
                <w:sz w:val="20"/>
                <w:szCs w:val="20"/>
              </w:rPr>
              <w:t>2,328</w:t>
            </w:r>
            <w:r w:rsidRPr="795B1C27">
              <w:rPr>
                <w:rFonts w:ascii="Arial Narrow" w:hAnsi="Arial Narrow" w:cs="Calibri"/>
                <w:b/>
                <w:noProof/>
                <w:color w:val="000000" w:themeColor="text1"/>
                <w:sz w:val="20"/>
                <w:szCs w:val="20"/>
              </w:rPr>
              <w:t xml:space="preserve"> </w:t>
            </w:r>
          </w:p>
          <w:p w14:paraId="19BAB8E6" w14:textId="77777777" w:rsidR="008E3FA9" w:rsidRPr="00922145" w:rsidRDefault="008E3FA9" w:rsidP="008E3FA9">
            <w:pPr>
              <w:spacing w:before="0" w:after="0"/>
              <w:jc w:val="center"/>
              <w:rPr>
                <w:rFonts w:ascii="Arial Narrow" w:hAnsi="Arial Narrow" w:cs="Calibri"/>
                <w:b/>
                <w:bCs/>
                <w:noProof/>
                <w:color w:val="000000"/>
                <w:sz w:val="20"/>
                <w:szCs w:val="20"/>
              </w:rPr>
            </w:pPr>
          </w:p>
          <w:p w14:paraId="720C7223" w14:textId="77777777" w:rsidR="008E3FA9" w:rsidRPr="00DD57AE" w:rsidRDefault="008E3FA9" w:rsidP="008E3FA9">
            <w:pPr>
              <w:spacing w:before="0" w:after="0"/>
              <w:rPr>
                <w:rFonts w:eastAsia="Times New Roman"/>
                <w:b/>
                <w:bCs/>
                <w:noProof/>
                <w:color w:val="000000"/>
                <w:sz w:val="20"/>
                <w:szCs w:val="20"/>
                <w:lang w:eastAsia="en-IE"/>
              </w:rPr>
            </w:pPr>
          </w:p>
        </w:tc>
        <w:tc>
          <w:tcPr>
            <w:tcW w:w="398" w:type="pct"/>
            <w:gridSpan w:val="2"/>
            <w:tcBorders>
              <w:top w:val="single" w:sz="8" w:space="0" w:color="auto"/>
              <w:left w:val="nil"/>
              <w:bottom w:val="single" w:sz="8" w:space="0" w:color="auto"/>
              <w:right w:val="single" w:sz="8" w:space="0" w:color="auto"/>
            </w:tcBorders>
            <w:shd w:val="clear" w:color="auto" w:fill="D9D9D9" w:themeFill="background1" w:themeFillShade="D9"/>
          </w:tcPr>
          <w:p w14:paraId="50054716" w14:textId="77777777" w:rsidR="008E3FA9" w:rsidRDefault="008E3FA9" w:rsidP="008E3FA9">
            <w:pPr>
              <w:spacing w:before="0" w:after="0"/>
              <w:jc w:val="center"/>
              <w:rPr>
                <w:rFonts w:ascii="Arial Narrow" w:hAnsi="Arial Narrow" w:cs="Calibri"/>
                <w:b/>
                <w:bCs/>
                <w:noProof/>
                <w:color w:val="000000"/>
                <w:sz w:val="20"/>
                <w:szCs w:val="20"/>
              </w:rPr>
            </w:pPr>
          </w:p>
          <w:p w14:paraId="758505E2" w14:textId="77777777" w:rsidR="008E3FA9" w:rsidRDefault="008E3FA9" w:rsidP="008E3FA9">
            <w:pPr>
              <w:spacing w:before="0" w:after="0"/>
              <w:jc w:val="center"/>
              <w:rPr>
                <w:rFonts w:ascii="Arial Narrow" w:hAnsi="Arial Narrow" w:cs="Calibri"/>
                <w:b/>
                <w:bCs/>
                <w:noProof/>
                <w:color w:val="000000"/>
                <w:sz w:val="20"/>
                <w:szCs w:val="20"/>
              </w:rPr>
            </w:pPr>
          </w:p>
          <w:p w14:paraId="0B3FA8B7" w14:textId="77777777" w:rsidR="008E3FA9" w:rsidRDefault="008E3FA9" w:rsidP="008E3FA9">
            <w:pPr>
              <w:spacing w:before="0" w:after="0"/>
              <w:jc w:val="center"/>
              <w:rPr>
                <w:rFonts w:ascii="Arial Narrow" w:hAnsi="Arial Narrow" w:cs="Calibri"/>
                <w:b/>
                <w:bCs/>
                <w:noProof/>
                <w:color w:val="000000"/>
                <w:sz w:val="20"/>
                <w:szCs w:val="20"/>
              </w:rPr>
            </w:pPr>
            <w:r>
              <w:rPr>
                <w:rFonts w:ascii="Arial Narrow" w:hAnsi="Arial Narrow" w:cs="Calibri"/>
                <w:b/>
                <w:bCs/>
                <w:noProof/>
                <w:color w:val="000000"/>
                <w:sz w:val="20"/>
                <w:szCs w:val="20"/>
              </w:rPr>
              <w:t xml:space="preserve">2,328 </w:t>
            </w:r>
          </w:p>
          <w:p w14:paraId="6283A325" w14:textId="2B53FC5D" w:rsidR="008E3FA9" w:rsidRPr="00DD57AE" w:rsidRDefault="008E3FA9" w:rsidP="008E3FA9">
            <w:pPr>
              <w:spacing w:before="0" w:after="0"/>
              <w:jc w:val="center"/>
              <w:rPr>
                <w:rFonts w:eastAsia="Times New Roman"/>
                <w:b/>
                <w:bCs/>
                <w:noProof/>
                <w:color w:val="000000"/>
                <w:sz w:val="20"/>
                <w:szCs w:val="20"/>
                <w:lang w:eastAsia="en-IE"/>
              </w:rPr>
            </w:pPr>
          </w:p>
        </w:tc>
        <w:tc>
          <w:tcPr>
            <w:tcW w:w="398" w:type="pct"/>
            <w:tcBorders>
              <w:top w:val="single" w:sz="8" w:space="0" w:color="auto"/>
              <w:left w:val="nil"/>
              <w:bottom w:val="single" w:sz="8" w:space="0" w:color="auto"/>
              <w:right w:val="single" w:sz="8" w:space="0" w:color="auto"/>
            </w:tcBorders>
            <w:shd w:val="clear" w:color="auto" w:fill="D9D9D9" w:themeFill="background1" w:themeFillShade="D9"/>
          </w:tcPr>
          <w:p w14:paraId="1842409C" w14:textId="77777777" w:rsidR="008E3FA9" w:rsidRDefault="008E3FA9" w:rsidP="008E3FA9">
            <w:pPr>
              <w:spacing w:before="0" w:after="0"/>
              <w:jc w:val="center"/>
              <w:rPr>
                <w:rFonts w:ascii="Arial Narrow" w:hAnsi="Arial Narrow" w:cs="Calibri"/>
                <w:b/>
                <w:bCs/>
                <w:noProof/>
                <w:color w:val="000000"/>
                <w:sz w:val="20"/>
                <w:szCs w:val="20"/>
              </w:rPr>
            </w:pPr>
          </w:p>
          <w:p w14:paraId="40B5702C" w14:textId="77777777" w:rsidR="008E3FA9" w:rsidRDefault="008E3FA9" w:rsidP="008E3FA9">
            <w:pPr>
              <w:spacing w:before="0" w:after="0"/>
              <w:jc w:val="center"/>
              <w:rPr>
                <w:rFonts w:ascii="Arial Narrow" w:hAnsi="Arial Narrow" w:cs="Calibri"/>
                <w:b/>
                <w:bCs/>
                <w:noProof/>
                <w:color w:val="000000"/>
                <w:sz w:val="20"/>
                <w:szCs w:val="20"/>
              </w:rPr>
            </w:pPr>
          </w:p>
          <w:p w14:paraId="0B9D171D" w14:textId="77777777" w:rsidR="008E3FA9" w:rsidRDefault="008E3FA9" w:rsidP="008E3FA9">
            <w:pPr>
              <w:spacing w:before="0" w:after="0"/>
              <w:jc w:val="center"/>
              <w:rPr>
                <w:rFonts w:ascii="Arial Narrow" w:hAnsi="Arial Narrow" w:cs="Calibri"/>
                <w:b/>
                <w:bCs/>
                <w:noProof/>
                <w:color w:val="000000"/>
                <w:sz w:val="20"/>
                <w:szCs w:val="20"/>
              </w:rPr>
            </w:pPr>
            <w:r>
              <w:rPr>
                <w:rFonts w:ascii="Arial Narrow" w:hAnsi="Arial Narrow" w:cs="Calibri"/>
                <w:b/>
                <w:bCs/>
                <w:noProof/>
                <w:color w:val="000000"/>
                <w:sz w:val="20"/>
                <w:szCs w:val="20"/>
              </w:rPr>
              <w:t xml:space="preserve">3,104 </w:t>
            </w:r>
          </w:p>
          <w:p w14:paraId="6F16BB26" w14:textId="24382077" w:rsidR="008E3FA9" w:rsidRPr="00DD57AE" w:rsidRDefault="008E3FA9" w:rsidP="008E3FA9">
            <w:pPr>
              <w:spacing w:before="0" w:after="0"/>
              <w:jc w:val="center"/>
              <w:rPr>
                <w:rFonts w:eastAsia="Times New Roman"/>
                <w:b/>
                <w:bCs/>
                <w:noProof/>
                <w:color w:val="000000"/>
                <w:sz w:val="20"/>
                <w:szCs w:val="20"/>
                <w:lang w:eastAsia="en-IE"/>
              </w:rPr>
            </w:pPr>
          </w:p>
        </w:tc>
        <w:tc>
          <w:tcPr>
            <w:tcW w:w="464" w:type="pct"/>
            <w:gridSpan w:val="2"/>
            <w:tcBorders>
              <w:top w:val="single" w:sz="8" w:space="0" w:color="auto"/>
              <w:left w:val="nil"/>
              <w:bottom w:val="single" w:sz="8" w:space="0" w:color="auto"/>
              <w:right w:val="single" w:sz="8" w:space="0" w:color="auto"/>
            </w:tcBorders>
            <w:shd w:val="clear" w:color="auto" w:fill="D9D9D9" w:themeFill="background1" w:themeFillShade="D9"/>
          </w:tcPr>
          <w:p w14:paraId="3844BC2E" w14:textId="77777777" w:rsidR="008E3FA9" w:rsidRDefault="008E3FA9" w:rsidP="008E3FA9">
            <w:pPr>
              <w:spacing w:before="0" w:after="0"/>
              <w:jc w:val="center"/>
              <w:rPr>
                <w:rFonts w:ascii="Arial Narrow" w:hAnsi="Arial Narrow" w:cs="Calibri"/>
                <w:b/>
                <w:bCs/>
                <w:noProof/>
                <w:color w:val="000000"/>
                <w:sz w:val="20"/>
                <w:szCs w:val="20"/>
              </w:rPr>
            </w:pPr>
          </w:p>
          <w:p w14:paraId="3FF3EFBA" w14:textId="77777777" w:rsidR="008E3FA9" w:rsidRDefault="008E3FA9" w:rsidP="008E3FA9">
            <w:pPr>
              <w:spacing w:before="0" w:after="0"/>
              <w:jc w:val="center"/>
              <w:rPr>
                <w:rFonts w:ascii="Arial Narrow" w:hAnsi="Arial Narrow" w:cs="Calibri"/>
                <w:b/>
                <w:bCs/>
                <w:noProof/>
                <w:color w:val="000000"/>
                <w:sz w:val="20"/>
                <w:szCs w:val="20"/>
              </w:rPr>
            </w:pPr>
          </w:p>
          <w:p w14:paraId="0C408332" w14:textId="77777777" w:rsidR="008E3FA9" w:rsidRDefault="008E3FA9" w:rsidP="008E3FA9">
            <w:pPr>
              <w:spacing w:before="0" w:after="0"/>
              <w:jc w:val="center"/>
              <w:rPr>
                <w:rFonts w:ascii="Arial Narrow" w:hAnsi="Arial Narrow" w:cs="Calibri"/>
                <w:b/>
                <w:bCs/>
                <w:noProof/>
                <w:color w:val="000000"/>
                <w:sz w:val="20"/>
                <w:szCs w:val="20"/>
              </w:rPr>
            </w:pPr>
            <w:r>
              <w:rPr>
                <w:rFonts w:ascii="Arial Narrow" w:hAnsi="Arial Narrow" w:cs="Calibri"/>
                <w:b/>
                <w:bCs/>
                <w:noProof/>
                <w:color w:val="000000"/>
                <w:sz w:val="20"/>
                <w:szCs w:val="20"/>
              </w:rPr>
              <w:t xml:space="preserve">3,492 </w:t>
            </w:r>
          </w:p>
          <w:p w14:paraId="5616928B" w14:textId="248C5FD2" w:rsidR="008E3FA9" w:rsidRPr="00DD57AE" w:rsidRDefault="008E3FA9" w:rsidP="008E3FA9">
            <w:pPr>
              <w:spacing w:before="0" w:after="0"/>
              <w:jc w:val="center"/>
              <w:rPr>
                <w:rFonts w:eastAsia="Times New Roman"/>
                <w:b/>
                <w:bCs/>
                <w:noProof/>
                <w:color w:val="000000"/>
                <w:sz w:val="20"/>
                <w:szCs w:val="20"/>
                <w:lang w:eastAsia="en-IE"/>
              </w:rPr>
            </w:pPr>
          </w:p>
        </w:tc>
        <w:tc>
          <w:tcPr>
            <w:tcW w:w="506" w:type="pct"/>
            <w:gridSpan w:val="3"/>
            <w:tcBorders>
              <w:top w:val="single" w:sz="8" w:space="0" w:color="auto"/>
              <w:left w:val="nil"/>
              <w:bottom w:val="single" w:sz="8" w:space="0" w:color="auto"/>
              <w:right w:val="single" w:sz="8" w:space="0" w:color="auto"/>
            </w:tcBorders>
            <w:shd w:val="clear" w:color="auto" w:fill="D9D9D9" w:themeFill="background1" w:themeFillShade="D9"/>
          </w:tcPr>
          <w:p w14:paraId="6FAE6FC3" w14:textId="77777777" w:rsidR="008E3FA9" w:rsidRDefault="008E3FA9" w:rsidP="008E3FA9">
            <w:pPr>
              <w:spacing w:before="0" w:after="0"/>
              <w:jc w:val="center"/>
              <w:rPr>
                <w:rFonts w:ascii="Arial Narrow" w:hAnsi="Arial Narrow" w:cs="Calibri"/>
                <w:b/>
                <w:bCs/>
                <w:noProof/>
                <w:color w:val="000000"/>
                <w:sz w:val="20"/>
                <w:szCs w:val="20"/>
              </w:rPr>
            </w:pPr>
          </w:p>
          <w:p w14:paraId="120278B7" w14:textId="77777777" w:rsidR="008E3FA9" w:rsidRDefault="008E3FA9" w:rsidP="008E3FA9">
            <w:pPr>
              <w:spacing w:before="0" w:after="0"/>
              <w:jc w:val="center"/>
              <w:rPr>
                <w:rFonts w:ascii="Arial Narrow" w:hAnsi="Arial Narrow" w:cs="Calibri"/>
                <w:b/>
                <w:bCs/>
                <w:noProof/>
                <w:color w:val="000000"/>
                <w:sz w:val="20"/>
                <w:szCs w:val="20"/>
              </w:rPr>
            </w:pPr>
          </w:p>
          <w:p w14:paraId="03DDB51D" w14:textId="77777777" w:rsidR="008E3FA9" w:rsidRDefault="008E3FA9" w:rsidP="008E3FA9">
            <w:pPr>
              <w:spacing w:before="0" w:after="0"/>
              <w:jc w:val="center"/>
              <w:rPr>
                <w:rFonts w:ascii="Arial Narrow" w:hAnsi="Arial Narrow" w:cs="Calibri"/>
                <w:b/>
                <w:bCs/>
                <w:noProof/>
                <w:color w:val="000000"/>
                <w:sz w:val="20"/>
                <w:szCs w:val="20"/>
              </w:rPr>
            </w:pPr>
            <w:r>
              <w:rPr>
                <w:rFonts w:ascii="Arial Narrow" w:hAnsi="Arial Narrow" w:cs="Calibri"/>
                <w:b/>
                <w:bCs/>
                <w:noProof/>
                <w:color w:val="000000"/>
                <w:sz w:val="20"/>
                <w:szCs w:val="20"/>
              </w:rPr>
              <w:t xml:space="preserve">3,880 </w:t>
            </w:r>
          </w:p>
          <w:p w14:paraId="3B00D482" w14:textId="21F5D9BA" w:rsidR="008E3FA9" w:rsidRPr="00DD57AE" w:rsidRDefault="008E3FA9" w:rsidP="008E3FA9">
            <w:pPr>
              <w:spacing w:before="0" w:after="0"/>
              <w:jc w:val="center"/>
              <w:rPr>
                <w:rFonts w:eastAsia="Times New Roman"/>
                <w:b/>
                <w:bCs/>
                <w:noProof/>
                <w:color w:val="000000"/>
                <w:sz w:val="20"/>
                <w:szCs w:val="20"/>
                <w:lang w:eastAsia="en-IE"/>
              </w:rPr>
            </w:pPr>
          </w:p>
        </w:tc>
        <w:tc>
          <w:tcPr>
            <w:tcW w:w="397" w:type="pct"/>
            <w:tcBorders>
              <w:top w:val="single" w:sz="8" w:space="0" w:color="auto"/>
              <w:left w:val="nil"/>
              <w:bottom w:val="single" w:sz="8" w:space="0" w:color="auto"/>
              <w:right w:val="single" w:sz="8" w:space="0" w:color="auto"/>
            </w:tcBorders>
            <w:shd w:val="clear" w:color="auto" w:fill="D9D9D9" w:themeFill="background1" w:themeFillShade="D9"/>
          </w:tcPr>
          <w:p w14:paraId="3A112565" w14:textId="77777777" w:rsidR="008E3FA9" w:rsidRDefault="008E3FA9" w:rsidP="008E3FA9">
            <w:pPr>
              <w:spacing w:before="0" w:after="0"/>
              <w:jc w:val="center"/>
              <w:rPr>
                <w:rFonts w:ascii="Arial Narrow" w:hAnsi="Arial Narrow" w:cs="Calibri"/>
                <w:b/>
                <w:bCs/>
                <w:noProof/>
                <w:color w:val="000000"/>
                <w:sz w:val="20"/>
                <w:szCs w:val="20"/>
              </w:rPr>
            </w:pPr>
          </w:p>
          <w:p w14:paraId="3ED453C1" w14:textId="77777777" w:rsidR="008E3FA9" w:rsidRDefault="008E3FA9" w:rsidP="008E3FA9">
            <w:pPr>
              <w:spacing w:before="0" w:after="0"/>
              <w:jc w:val="center"/>
              <w:rPr>
                <w:rFonts w:ascii="Arial Narrow" w:hAnsi="Arial Narrow" w:cs="Calibri"/>
                <w:b/>
                <w:bCs/>
                <w:noProof/>
                <w:color w:val="000000"/>
                <w:sz w:val="20"/>
                <w:szCs w:val="20"/>
              </w:rPr>
            </w:pPr>
          </w:p>
          <w:p w14:paraId="729DF890" w14:textId="77777777" w:rsidR="008E3FA9" w:rsidRDefault="008E3FA9" w:rsidP="008E3FA9">
            <w:pPr>
              <w:spacing w:before="0" w:after="0"/>
              <w:jc w:val="center"/>
              <w:rPr>
                <w:rFonts w:ascii="Arial Narrow" w:hAnsi="Arial Narrow" w:cs="Calibri"/>
                <w:b/>
                <w:bCs/>
                <w:noProof/>
                <w:color w:val="000000"/>
                <w:sz w:val="20"/>
                <w:szCs w:val="20"/>
              </w:rPr>
            </w:pPr>
            <w:r>
              <w:rPr>
                <w:rFonts w:ascii="Arial Narrow" w:hAnsi="Arial Narrow" w:cs="Calibri"/>
                <w:b/>
                <w:bCs/>
                <w:noProof/>
                <w:color w:val="000000"/>
                <w:sz w:val="20"/>
                <w:szCs w:val="20"/>
              </w:rPr>
              <w:t xml:space="preserve">4,268 </w:t>
            </w:r>
          </w:p>
          <w:p w14:paraId="29E55C4A" w14:textId="3155AA45" w:rsidR="008E3FA9" w:rsidRPr="00DD57AE" w:rsidRDefault="008E3FA9" w:rsidP="008E3FA9">
            <w:pPr>
              <w:spacing w:before="0" w:after="0"/>
              <w:jc w:val="center"/>
              <w:rPr>
                <w:rFonts w:eastAsia="Times New Roman"/>
                <w:b/>
                <w:bCs/>
                <w:noProof/>
                <w:color w:val="000000"/>
                <w:sz w:val="20"/>
                <w:szCs w:val="20"/>
                <w:lang w:eastAsia="en-IE"/>
              </w:rPr>
            </w:pPr>
            <w:r>
              <w:rPr>
                <w:rFonts w:ascii="Arial Narrow" w:hAnsi="Arial Narrow" w:cs="Calibri"/>
                <w:b/>
                <w:bCs/>
                <w:noProof/>
                <w:color w:val="000000"/>
                <w:sz w:val="20"/>
                <w:szCs w:val="20"/>
              </w:rPr>
              <w:t xml:space="preserve"> </w:t>
            </w:r>
          </w:p>
        </w:tc>
        <w:tc>
          <w:tcPr>
            <w:tcW w:w="397" w:type="pct"/>
            <w:gridSpan w:val="3"/>
            <w:tcBorders>
              <w:top w:val="single" w:sz="8" w:space="0" w:color="auto"/>
              <w:left w:val="nil"/>
              <w:bottom w:val="single" w:sz="8" w:space="0" w:color="auto"/>
              <w:right w:val="single" w:sz="8" w:space="0" w:color="auto"/>
            </w:tcBorders>
            <w:shd w:val="clear" w:color="auto" w:fill="D9D9D9" w:themeFill="background1" w:themeFillShade="D9"/>
          </w:tcPr>
          <w:p w14:paraId="30B4EBAB" w14:textId="77777777" w:rsidR="008E3FA9" w:rsidRDefault="008E3FA9" w:rsidP="008E3FA9">
            <w:pPr>
              <w:spacing w:before="0" w:after="0"/>
              <w:rPr>
                <w:rFonts w:ascii="Arial Narrow" w:hAnsi="Arial Narrow" w:cs="Calibri"/>
                <w:b/>
                <w:bCs/>
                <w:noProof/>
                <w:color w:val="000000"/>
                <w:sz w:val="20"/>
                <w:szCs w:val="20"/>
              </w:rPr>
            </w:pPr>
          </w:p>
          <w:p w14:paraId="27C1BDFD" w14:textId="77777777" w:rsidR="008E3FA9" w:rsidRDefault="008E3FA9" w:rsidP="008E3FA9">
            <w:pPr>
              <w:spacing w:before="0" w:after="0"/>
              <w:rPr>
                <w:rFonts w:ascii="Arial Narrow" w:hAnsi="Arial Narrow" w:cs="Calibri"/>
                <w:b/>
                <w:bCs/>
                <w:noProof/>
                <w:color w:val="000000"/>
                <w:sz w:val="20"/>
                <w:szCs w:val="20"/>
              </w:rPr>
            </w:pPr>
          </w:p>
          <w:p w14:paraId="4EA25599" w14:textId="77777777" w:rsidR="008E3FA9" w:rsidRDefault="008E3FA9" w:rsidP="008E3FA9">
            <w:pPr>
              <w:spacing w:before="0" w:after="0"/>
              <w:rPr>
                <w:rFonts w:ascii="Arial Narrow" w:hAnsi="Arial Narrow" w:cs="Calibri"/>
                <w:b/>
                <w:bCs/>
                <w:noProof/>
                <w:color w:val="000000"/>
                <w:sz w:val="20"/>
                <w:szCs w:val="20"/>
              </w:rPr>
            </w:pPr>
            <w:r>
              <w:rPr>
                <w:rFonts w:ascii="Arial Narrow" w:hAnsi="Arial Narrow" w:cs="Calibri"/>
                <w:b/>
                <w:bCs/>
                <w:noProof/>
                <w:color w:val="000000"/>
                <w:sz w:val="20"/>
                <w:szCs w:val="20"/>
              </w:rPr>
              <w:t>4,850</w:t>
            </w:r>
          </w:p>
          <w:p w14:paraId="5F124D49" w14:textId="3E71D995" w:rsidR="008E3FA9" w:rsidRPr="00DD57AE" w:rsidRDefault="008E3FA9" w:rsidP="008E3FA9">
            <w:pPr>
              <w:spacing w:before="0" w:after="0"/>
              <w:jc w:val="center"/>
              <w:rPr>
                <w:rFonts w:eastAsia="Times New Roman"/>
                <w:b/>
                <w:bCs/>
                <w:noProof/>
                <w:color w:val="000000"/>
                <w:sz w:val="20"/>
                <w:szCs w:val="20"/>
                <w:lang w:eastAsia="en-IE"/>
              </w:rPr>
            </w:pPr>
          </w:p>
        </w:tc>
        <w:tc>
          <w:tcPr>
            <w:tcW w:w="356" w:type="pct"/>
            <w:tcBorders>
              <w:top w:val="single" w:sz="8" w:space="0" w:color="auto"/>
              <w:left w:val="nil"/>
              <w:bottom w:val="single" w:sz="8" w:space="0" w:color="auto"/>
              <w:right w:val="single" w:sz="8" w:space="0" w:color="auto"/>
            </w:tcBorders>
            <w:shd w:val="clear" w:color="auto" w:fill="D9D9D9" w:themeFill="background1" w:themeFillShade="D9"/>
            <w:vAlign w:val="center"/>
          </w:tcPr>
          <w:p w14:paraId="45E7DF69" w14:textId="77777777" w:rsidR="008E3FA9" w:rsidRPr="00922145" w:rsidRDefault="008E3FA9" w:rsidP="008E3FA9">
            <w:pPr>
              <w:spacing w:before="0" w:after="0"/>
              <w:jc w:val="right"/>
              <w:rPr>
                <w:rFonts w:eastAsia="Times New Roman"/>
                <w:b/>
                <w:bCs/>
                <w:noProof/>
                <w:color w:val="000000"/>
                <w:sz w:val="20"/>
                <w:szCs w:val="20"/>
                <w:lang w:eastAsia="en-IE"/>
              </w:rPr>
            </w:pPr>
          </w:p>
          <w:p w14:paraId="1811B9A7" w14:textId="6B728CB1" w:rsidR="008E3FA9" w:rsidRPr="00DD57AE" w:rsidRDefault="008E3FA9" w:rsidP="008E3FA9">
            <w:pPr>
              <w:spacing w:before="0" w:after="0"/>
              <w:jc w:val="right"/>
              <w:rPr>
                <w:rFonts w:eastAsia="Times New Roman"/>
                <w:b/>
                <w:bCs/>
                <w:noProof/>
                <w:color w:val="000000"/>
                <w:sz w:val="20"/>
                <w:szCs w:val="20"/>
                <w:lang w:eastAsia="en-IE"/>
              </w:rPr>
            </w:pPr>
            <w:r w:rsidRPr="795B1C27">
              <w:rPr>
                <w:rFonts w:eastAsia="Times New Roman"/>
                <w:b/>
                <w:noProof/>
                <w:color w:val="000000" w:themeColor="text1"/>
                <w:sz w:val="20"/>
                <w:szCs w:val="20"/>
                <w:lang w:eastAsia="en-IE"/>
              </w:rPr>
              <w:t xml:space="preserve"> </w:t>
            </w:r>
            <w:r>
              <w:rPr>
                <w:rFonts w:eastAsia="Times New Roman"/>
                <w:b/>
                <w:noProof/>
                <w:color w:val="000000" w:themeColor="text1"/>
                <w:sz w:val="20"/>
                <w:szCs w:val="20"/>
                <w:lang w:eastAsia="en-IE"/>
              </w:rPr>
              <w:t>24,25</w:t>
            </w:r>
          </w:p>
        </w:tc>
      </w:tr>
    </w:tbl>
    <w:p w14:paraId="17D322B9" w14:textId="77777777" w:rsidR="00EC37C5" w:rsidRPr="00922145" w:rsidRDefault="00EC37C5" w:rsidP="00EC37C5">
      <w:pPr>
        <w:jc w:val="right"/>
        <w:rPr>
          <w:noProof/>
          <w:sz w:val="20"/>
        </w:rPr>
      </w:pPr>
    </w:p>
    <w:p w14:paraId="19E7D1A0" w14:textId="77777777" w:rsidR="00EC37C5" w:rsidRPr="00922145" w:rsidRDefault="00EC37C5" w:rsidP="00EC37C5">
      <w:pPr>
        <w:jc w:val="right"/>
        <w:rPr>
          <w:noProof/>
          <w:sz w:val="20"/>
        </w:rPr>
      </w:pPr>
    </w:p>
    <w:p w14:paraId="6D61A65D" w14:textId="77777777" w:rsidR="00EC37C5" w:rsidRPr="00922145" w:rsidRDefault="00EC37C5" w:rsidP="00EC37C5">
      <w:pPr>
        <w:jc w:val="right"/>
        <w:rPr>
          <w:noProof/>
          <w:sz w:val="20"/>
        </w:rPr>
      </w:pPr>
      <w:r w:rsidRPr="00922145">
        <w:rPr>
          <w:noProof/>
          <w:sz w:val="20"/>
        </w:rPr>
        <w:t>EUR million (to three decimal places)</w:t>
      </w:r>
    </w:p>
    <w:tbl>
      <w:tblPr>
        <w:tblW w:w="5000" w:type="pct"/>
        <w:tblLook w:val="04A0" w:firstRow="1" w:lastRow="0" w:firstColumn="1" w:lastColumn="0" w:noHBand="0" w:noVBand="1"/>
      </w:tblPr>
      <w:tblGrid>
        <w:gridCol w:w="1625"/>
        <w:gridCol w:w="220"/>
        <w:gridCol w:w="1018"/>
        <w:gridCol w:w="213"/>
        <w:gridCol w:w="1149"/>
        <w:gridCol w:w="213"/>
        <w:gridCol w:w="1422"/>
        <w:gridCol w:w="213"/>
        <w:gridCol w:w="1149"/>
        <w:gridCol w:w="213"/>
        <w:gridCol w:w="1149"/>
        <w:gridCol w:w="213"/>
        <w:gridCol w:w="1149"/>
        <w:gridCol w:w="213"/>
        <w:gridCol w:w="1149"/>
        <w:gridCol w:w="213"/>
        <w:gridCol w:w="1149"/>
        <w:gridCol w:w="213"/>
        <w:gridCol w:w="1337"/>
      </w:tblGrid>
      <w:tr w:rsidR="00EC37C5" w:rsidRPr="00922145" w14:paraId="63B65DC3" w14:textId="77777777" w:rsidTr="008E3FA9">
        <w:trPr>
          <w:trHeight w:val="410"/>
        </w:trPr>
        <w:tc>
          <w:tcPr>
            <w:tcW w:w="1006" w:type="pct"/>
            <w:gridSpan w:val="3"/>
            <w:vMerge w:val="restart"/>
            <w:tcBorders>
              <w:top w:val="single" w:sz="8" w:space="0" w:color="auto"/>
              <w:left w:val="single" w:sz="8" w:space="0" w:color="auto"/>
              <w:bottom w:val="single" w:sz="8" w:space="0" w:color="000000"/>
              <w:right w:val="single" w:sz="8" w:space="0" w:color="000000"/>
            </w:tcBorders>
            <w:vAlign w:val="center"/>
            <w:hideMark/>
          </w:tcPr>
          <w:p w14:paraId="56382350" w14:textId="77777777" w:rsidR="00EC37C5" w:rsidRPr="00922145" w:rsidRDefault="00EC37C5">
            <w:pPr>
              <w:spacing w:before="0" w:after="0"/>
              <w:jc w:val="center"/>
              <w:rPr>
                <w:rFonts w:eastAsia="Times New Roman"/>
                <w:noProof/>
                <w:color w:val="000000"/>
                <w:szCs w:val="24"/>
                <w:lang w:eastAsia="en-IE"/>
              </w:rPr>
            </w:pPr>
            <w:r w:rsidRPr="00922145">
              <w:rPr>
                <w:rFonts w:eastAsia="Times New Roman"/>
                <w:noProof/>
                <w:color w:val="000000"/>
                <w:szCs w:val="24"/>
                <w:lang w:eastAsia="en-IE"/>
              </w:rPr>
              <w:t> </w:t>
            </w:r>
          </w:p>
        </w:tc>
        <w:tc>
          <w:tcPr>
            <w:tcW w:w="479" w:type="pct"/>
            <w:gridSpan w:val="2"/>
            <w:tcBorders>
              <w:top w:val="single" w:sz="8" w:space="0" w:color="auto"/>
              <w:left w:val="nil"/>
              <w:bottom w:val="nil"/>
              <w:right w:val="single" w:sz="8" w:space="0" w:color="auto"/>
            </w:tcBorders>
            <w:vAlign w:val="center"/>
            <w:hideMark/>
          </w:tcPr>
          <w:p w14:paraId="42AF92B2" w14:textId="77777777" w:rsidR="00EC37C5" w:rsidRPr="00922145" w:rsidRDefault="00EC37C5">
            <w:pPr>
              <w:spacing w:before="0" w:after="0"/>
              <w:jc w:val="center"/>
              <w:rPr>
                <w:rFonts w:eastAsia="Times New Roman"/>
                <w:noProof/>
                <w:color w:val="000000"/>
                <w:sz w:val="20"/>
                <w:szCs w:val="20"/>
                <w:lang w:eastAsia="en-IE"/>
              </w:rPr>
            </w:pPr>
            <w:r w:rsidRPr="00922145">
              <w:rPr>
                <w:rFonts w:eastAsia="Times New Roman"/>
                <w:noProof/>
                <w:color w:val="000000"/>
                <w:sz w:val="20"/>
                <w:szCs w:val="20"/>
                <w:lang w:eastAsia="en-IE"/>
              </w:rPr>
              <w:t>Year</w:t>
            </w:r>
          </w:p>
        </w:tc>
        <w:tc>
          <w:tcPr>
            <w:tcW w:w="575" w:type="pct"/>
            <w:gridSpan w:val="2"/>
            <w:tcBorders>
              <w:top w:val="single" w:sz="8" w:space="0" w:color="auto"/>
              <w:left w:val="nil"/>
              <w:bottom w:val="nil"/>
              <w:right w:val="single" w:sz="8" w:space="0" w:color="auto"/>
            </w:tcBorders>
            <w:vAlign w:val="center"/>
            <w:hideMark/>
          </w:tcPr>
          <w:p w14:paraId="649BA050" w14:textId="77777777" w:rsidR="00EC37C5" w:rsidRPr="00922145" w:rsidRDefault="00EC37C5">
            <w:pPr>
              <w:spacing w:before="0" w:after="0"/>
              <w:jc w:val="center"/>
              <w:rPr>
                <w:rFonts w:eastAsia="Times New Roman"/>
                <w:noProof/>
                <w:color w:val="000000"/>
                <w:sz w:val="20"/>
                <w:szCs w:val="20"/>
                <w:lang w:eastAsia="en-IE"/>
              </w:rPr>
            </w:pPr>
            <w:r w:rsidRPr="00922145">
              <w:rPr>
                <w:rFonts w:eastAsia="Times New Roman"/>
                <w:noProof/>
                <w:color w:val="000000"/>
                <w:sz w:val="20"/>
                <w:szCs w:val="20"/>
                <w:lang w:eastAsia="en-IE"/>
              </w:rPr>
              <w:t>Year</w:t>
            </w:r>
          </w:p>
        </w:tc>
        <w:tc>
          <w:tcPr>
            <w:tcW w:w="479" w:type="pct"/>
            <w:gridSpan w:val="2"/>
            <w:tcBorders>
              <w:top w:val="single" w:sz="8" w:space="0" w:color="auto"/>
              <w:left w:val="nil"/>
              <w:bottom w:val="nil"/>
              <w:right w:val="single" w:sz="8" w:space="0" w:color="auto"/>
            </w:tcBorders>
            <w:vAlign w:val="center"/>
            <w:hideMark/>
          </w:tcPr>
          <w:p w14:paraId="4161FB3F" w14:textId="77777777" w:rsidR="00EC37C5" w:rsidRPr="00922145" w:rsidRDefault="00EC37C5">
            <w:pPr>
              <w:spacing w:before="0" w:after="0"/>
              <w:jc w:val="center"/>
              <w:rPr>
                <w:rFonts w:eastAsia="Times New Roman"/>
                <w:noProof/>
                <w:color w:val="000000"/>
                <w:sz w:val="20"/>
                <w:szCs w:val="20"/>
                <w:lang w:eastAsia="en-IE"/>
              </w:rPr>
            </w:pPr>
            <w:r w:rsidRPr="00922145">
              <w:rPr>
                <w:rFonts w:eastAsia="Times New Roman"/>
                <w:noProof/>
                <w:color w:val="000000"/>
                <w:sz w:val="20"/>
                <w:szCs w:val="20"/>
                <w:lang w:eastAsia="en-IE"/>
              </w:rPr>
              <w:t>Year</w:t>
            </w:r>
          </w:p>
        </w:tc>
        <w:tc>
          <w:tcPr>
            <w:tcW w:w="479" w:type="pct"/>
            <w:gridSpan w:val="2"/>
            <w:tcBorders>
              <w:top w:val="single" w:sz="8" w:space="0" w:color="auto"/>
              <w:left w:val="nil"/>
              <w:bottom w:val="nil"/>
              <w:right w:val="single" w:sz="8" w:space="0" w:color="auto"/>
            </w:tcBorders>
            <w:vAlign w:val="center"/>
            <w:hideMark/>
          </w:tcPr>
          <w:p w14:paraId="66F08616" w14:textId="77777777" w:rsidR="00EC37C5" w:rsidRPr="00922145" w:rsidRDefault="00EC37C5">
            <w:pPr>
              <w:spacing w:before="0" w:after="0"/>
              <w:jc w:val="center"/>
              <w:rPr>
                <w:rFonts w:eastAsia="Times New Roman"/>
                <w:noProof/>
                <w:color w:val="000000"/>
                <w:sz w:val="20"/>
                <w:szCs w:val="20"/>
                <w:lang w:eastAsia="en-IE"/>
              </w:rPr>
            </w:pPr>
            <w:r w:rsidRPr="00922145">
              <w:rPr>
                <w:rFonts w:eastAsia="Times New Roman"/>
                <w:noProof/>
                <w:color w:val="000000"/>
                <w:sz w:val="20"/>
                <w:szCs w:val="20"/>
                <w:lang w:eastAsia="en-IE"/>
              </w:rPr>
              <w:t>Year</w:t>
            </w:r>
          </w:p>
        </w:tc>
        <w:tc>
          <w:tcPr>
            <w:tcW w:w="479" w:type="pct"/>
            <w:gridSpan w:val="2"/>
            <w:tcBorders>
              <w:top w:val="single" w:sz="8" w:space="0" w:color="auto"/>
              <w:left w:val="nil"/>
              <w:bottom w:val="nil"/>
              <w:right w:val="single" w:sz="8" w:space="0" w:color="auto"/>
            </w:tcBorders>
            <w:vAlign w:val="center"/>
            <w:hideMark/>
          </w:tcPr>
          <w:p w14:paraId="3454F0E8" w14:textId="77777777" w:rsidR="00EC37C5" w:rsidRPr="00922145" w:rsidRDefault="00EC37C5">
            <w:pPr>
              <w:spacing w:before="0" w:after="0"/>
              <w:jc w:val="center"/>
              <w:rPr>
                <w:rFonts w:eastAsia="Times New Roman"/>
                <w:noProof/>
                <w:color w:val="000000"/>
                <w:sz w:val="20"/>
                <w:szCs w:val="20"/>
                <w:lang w:eastAsia="en-IE"/>
              </w:rPr>
            </w:pPr>
            <w:r w:rsidRPr="00922145">
              <w:rPr>
                <w:rFonts w:eastAsia="Times New Roman"/>
                <w:noProof/>
                <w:color w:val="000000"/>
                <w:sz w:val="20"/>
                <w:szCs w:val="20"/>
                <w:lang w:eastAsia="en-IE"/>
              </w:rPr>
              <w:t>Year</w:t>
            </w:r>
          </w:p>
        </w:tc>
        <w:tc>
          <w:tcPr>
            <w:tcW w:w="479" w:type="pct"/>
            <w:gridSpan w:val="2"/>
            <w:tcBorders>
              <w:top w:val="single" w:sz="8" w:space="0" w:color="auto"/>
              <w:left w:val="nil"/>
              <w:bottom w:val="nil"/>
              <w:right w:val="single" w:sz="8" w:space="0" w:color="auto"/>
            </w:tcBorders>
            <w:vAlign w:val="center"/>
            <w:hideMark/>
          </w:tcPr>
          <w:p w14:paraId="39AAB1DF" w14:textId="77777777" w:rsidR="00EC37C5" w:rsidRPr="00922145" w:rsidRDefault="00EC37C5">
            <w:pPr>
              <w:spacing w:before="0" w:after="0"/>
              <w:jc w:val="center"/>
              <w:rPr>
                <w:rFonts w:eastAsia="Times New Roman"/>
                <w:noProof/>
                <w:color w:val="000000"/>
                <w:sz w:val="20"/>
                <w:szCs w:val="20"/>
                <w:lang w:eastAsia="en-IE"/>
              </w:rPr>
            </w:pPr>
            <w:r w:rsidRPr="00922145">
              <w:rPr>
                <w:rFonts w:eastAsia="Times New Roman"/>
                <w:noProof/>
                <w:color w:val="000000"/>
                <w:sz w:val="20"/>
                <w:szCs w:val="20"/>
                <w:lang w:eastAsia="en-IE"/>
              </w:rPr>
              <w:t>Year</w:t>
            </w:r>
          </w:p>
        </w:tc>
        <w:tc>
          <w:tcPr>
            <w:tcW w:w="479" w:type="pct"/>
            <w:gridSpan w:val="2"/>
            <w:tcBorders>
              <w:top w:val="single" w:sz="8" w:space="0" w:color="auto"/>
              <w:left w:val="nil"/>
              <w:bottom w:val="nil"/>
              <w:right w:val="single" w:sz="8" w:space="0" w:color="auto"/>
            </w:tcBorders>
            <w:vAlign w:val="center"/>
            <w:hideMark/>
          </w:tcPr>
          <w:p w14:paraId="64769DB0" w14:textId="77777777" w:rsidR="00EC37C5" w:rsidRPr="00922145" w:rsidRDefault="00EC37C5">
            <w:pPr>
              <w:spacing w:before="0" w:after="0"/>
              <w:jc w:val="center"/>
              <w:rPr>
                <w:rFonts w:eastAsia="Times New Roman"/>
                <w:noProof/>
                <w:color w:val="000000"/>
                <w:sz w:val="20"/>
                <w:szCs w:val="20"/>
                <w:lang w:eastAsia="en-IE"/>
              </w:rPr>
            </w:pPr>
            <w:r w:rsidRPr="00922145">
              <w:rPr>
                <w:rFonts w:eastAsia="Times New Roman"/>
                <w:noProof/>
                <w:color w:val="000000"/>
                <w:sz w:val="20"/>
                <w:szCs w:val="20"/>
                <w:lang w:eastAsia="en-IE"/>
              </w:rPr>
              <w:t>Year</w:t>
            </w:r>
          </w:p>
        </w:tc>
        <w:tc>
          <w:tcPr>
            <w:tcW w:w="546" w:type="pct"/>
            <w:gridSpan w:val="2"/>
            <w:vMerge w:val="restart"/>
            <w:tcBorders>
              <w:top w:val="single" w:sz="8" w:space="0" w:color="auto"/>
              <w:left w:val="single" w:sz="8" w:space="0" w:color="auto"/>
              <w:bottom w:val="single" w:sz="8" w:space="0" w:color="000000"/>
              <w:right w:val="single" w:sz="8" w:space="0" w:color="auto"/>
            </w:tcBorders>
            <w:vAlign w:val="center"/>
            <w:hideMark/>
          </w:tcPr>
          <w:p w14:paraId="358C556F" w14:textId="77777777" w:rsidR="00EC37C5" w:rsidRPr="00922145" w:rsidRDefault="00EC37C5">
            <w:pPr>
              <w:spacing w:before="0" w:after="0"/>
              <w:jc w:val="center"/>
              <w:rPr>
                <w:rFonts w:eastAsia="Times New Roman"/>
                <w:b/>
                <w:bCs/>
                <w:noProof/>
                <w:color w:val="000000"/>
                <w:sz w:val="20"/>
                <w:szCs w:val="20"/>
                <w:lang w:eastAsia="en-IE"/>
              </w:rPr>
            </w:pPr>
            <w:r w:rsidRPr="00922145">
              <w:rPr>
                <w:rFonts w:eastAsia="Times New Roman"/>
                <w:b/>
                <w:bCs/>
                <w:noProof/>
                <w:color w:val="000000"/>
                <w:sz w:val="20"/>
                <w:szCs w:val="20"/>
                <w:lang w:eastAsia="en-IE"/>
              </w:rPr>
              <w:t>TOTAL MFF 2028-2034</w:t>
            </w:r>
          </w:p>
        </w:tc>
      </w:tr>
      <w:tr w:rsidR="00EC37C5" w:rsidRPr="00922145" w14:paraId="6D6C06FB" w14:textId="77777777" w:rsidTr="008E3FA9">
        <w:trPr>
          <w:trHeight w:val="300"/>
        </w:trPr>
        <w:tc>
          <w:tcPr>
            <w:tcW w:w="1006" w:type="pct"/>
            <w:gridSpan w:val="3"/>
            <w:vMerge/>
            <w:tcBorders>
              <w:top w:val="single" w:sz="8" w:space="0" w:color="auto"/>
              <w:left w:val="single" w:sz="8" w:space="0" w:color="auto"/>
              <w:bottom w:val="single" w:sz="8" w:space="0" w:color="000000"/>
              <w:right w:val="single" w:sz="8" w:space="0" w:color="000000"/>
            </w:tcBorders>
            <w:vAlign w:val="center"/>
            <w:hideMark/>
          </w:tcPr>
          <w:p w14:paraId="6637E4E5" w14:textId="77777777" w:rsidR="00EC37C5" w:rsidRPr="00922145" w:rsidRDefault="00EC37C5">
            <w:pPr>
              <w:spacing w:before="0" w:after="0"/>
              <w:jc w:val="left"/>
              <w:rPr>
                <w:rFonts w:eastAsia="Times New Roman"/>
                <w:noProof/>
                <w:color w:val="000000"/>
                <w:szCs w:val="24"/>
                <w:lang w:eastAsia="en-IE"/>
              </w:rPr>
            </w:pPr>
          </w:p>
        </w:tc>
        <w:tc>
          <w:tcPr>
            <w:tcW w:w="479" w:type="pct"/>
            <w:gridSpan w:val="2"/>
            <w:tcBorders>
              <w:top w:val="nil"/>
              <w:left w:val="nil"/>
              <w:bottom w:val="single" w:sz="8" w:space="0" w:color="auto"/>
              <w:right w:val="single" w:sz="8" w:space="0" w:color="auto"/>
            </w:tcBorders>
            <w:vAlign w:val="center"/>
            <w:hideMark/>
          </w:tcPr>
          <w:p w14:paraId="095503FB" w14:textId="77777777" w:rsidR="00EC37C5" w:rsidRPr="00922145" w:rsidRDefault="00EC37C5">
            <w:pPr>
              <w:spacing w:before="0" w:after="0"/>
              <w:jc w:val="center"/>
              <w:rPr>
                <w:rFonts w:eastAsia="Times New Roman"/>
                <w:b/>
                <w:bCs/>
                <w:noProof/>
                <w:color w:val="000000"/>
                <w:sz w:val="20"/>
                <w:szCs w:val="20"/>
                <w:lang w:eastAsia="en-IE"/>
              </w:rPr>
            </w:pPr>
            <w:r w:rsidRPr="00922145">
              <w:rPr>
                <w:rFonts w:eastAsia="Times New Roman"/>
                <w:b/>
                <w:bCs/>
                <w:noProof/>
                <w:color w:val="000000"/>
                <w:sz w:val="20"/>
                <w:szCs w:val="20"/>
                <w:lang w:eastAsia="en-IE"/>
              </w:rPr>
              <w:t>2028</w:t>
            </w:r>
          </w:p>
        </w:tc>
        <w:tc>
          <w:tcPr>
            <w:tcW w:w="575" w:type="pct"/>
            <w:gridSpan w:val="2"/>
            <w:tcBorders>
              <w:top w:val="nil"/>
              <w:left w:val="nil"/>
              <w:bottom w:val="single" w:sz="8" w:space="0" w:color="auto"/>
              <w:right w:val="single" w:sz="8" w:space="0" w:color="auto"/>
            </w:tcBorders>
            <w:vAlign w:val="center"/>
            <w:hideMark/>
          </w:tcPr>
          <w:p w14:paraId="1D865F0C" w14:textId="77777777" w:rsidR="00EC37C5" w:rsidRPr="00922145" w:rsidRDefault="00EC37C5">
            <w:pPr>
              <w:spacing w:before="0" w:after="0"/>
              <w:jc w:val="center"/>
              <w:rPr>
                <w:rFonts w:eastAsia="Times New Roman"/>
                <w:b/>
                <w:bCs/>
                <w:noProof/>
                <w:color w:val="000000"/>
                <w:sz w:val="20"/>
                <w:szCs w:val="20"/>
                <w:lang w:eastAsia="en-IE"/>
              </w:rPr>
            </w:pPr>
            <w:r w:rsidRPr="00922145">
              <w:rPr>
                <w:rFonts w:eastAsia="Times New Roman"/>
                <w:b/>
                <w:bCs/>
                <w:noProof/>
                <w:color w:val="000000"/>
                <w:sz w:val="20"/>
                <w:szCs w:val="20"/>
                <w:lang w:eastAsia="en-IE"/>
              </w:rPr>
              <w:t>2029</w:t>
            </w:r>
          </w:p>
        </w:tc>
        <w:tc>
          <w:tcPr>
            <w:tcW w:w="479" w:type="pct"/>
            <w:gridSpan w:val="2"/>
            <w:tcBorders>
              <w:top w:val="nil"/>
              <w:left w:val="nil"/>
              <w:bottom w:val="single" w:sz="8" w:space="0" w:color="auto"/>
              <w:right w:val="single" w:sz="8" w:space="0" w:color="auto"/>
            </w:tcBorders>
            <w:vAlign w:val="center"/>
            <w:hideMark/>
          </w:tcPr>
          <w:p w14:paraId="46F8FEF0" w14:textId="77777777" w:rsidR="00EC37C5" w:rsidRPr="00922145" w:rsidRDefault="00EC37C5">
            <w:pPr>
              <w:spacing w:before="0" w:after="0"/>
              <w:jc w:val="center"/>
              <w:rPr>
                <w:rFonts w:eastAsia="Times New Roman"/>
                <w:b/>
                <w:bCs/>
                <w:noProof/>
                <w:color w:val="000000"/>
                <w:sz w:val="20"/>
                <w:szCs w:val="20"/>
                <w:lang w:eastAsia="en-IE"/>
              </w:rPr>
            </w:pPr>
            <w:r w:rsidRPr="00922145">
              <w:rPr>
                <w:rFonts w:eastAsia="Times New Roman"/>
                <w:b/>
                <w:bCs/>
                <w:noProof/>
                <w:color w:val="000000"/>
                <w:sz w:val="20"/>
                <w:szCs w:val="20"/>
                <w:lang w:eastAsia="en-IE"/>
              </w:rPr>
              <w:t>2030</w:t>
            </w:r>
          </w:p>
        </w:tc>
        <w:tc>
          <w:tcPr>
            <w:tcW w:w="479" w:type="pct"/>
            <w:gridSpan w:val="2"/>
            <w:tcBorders>
              <w:top w:val="nil"/>
              <w:left w:val="nil"/>
              <w:bottom w:val="single" w:sz="8" w:space="0" w:color="auto"/>
              <w:right w:val="single" w:sz="8" w:space="0" w:color="auto"/>
            </w:tcBorders>
            <w:vAlign w:val="center"/>
            <w:hideMark/>
          </w:tcPr>
          <w:p w14:paraId="59592423" w14:textId="77777777" w:rsidR="00EC37C5" w:rsidRPr="00922145" w:rsidRDefault="00EC37C5">
            <w:pPr>
              <w:spacing w:before="0" w:after="0"/>
              <w:jc w:val="center"/>
              <w:rPr>
                <w:rFonts w:eastAsia="Times New Roman"/>
                <w:b/>
                <w:bCs/>
                <w:noProof/>
                <w:color w:val="000000"/>
                <w:sz w:val="20"/>
                <w:szCs w:val="20"/>
                <w:lang w:eastAsia="en-IE"/>
              </w:rPr>
            </w:pPr>
            <w:r w:rsidRPr="00922145">
              <w:rPr>
                <w:rFonts w:eastAsia="Times New Roman"/>
                <w:b/>
                <w:bCs/>
                <w:noProof/>
                <w:color w:val="000000"/>
                <w:sz w:val="20"/>
                <w:szCs w:val="20"/>
                <w:lang w:eastAsia="en-IE"/>
              </w:rPr>
              <w:t>2031</w:t>
            </w:r>
          </w:p>
        </w:tc>
        <w:tc>
          <w:tcPr>
            <w:tcW w:w="479" w:type="pct"/>
            <w:gridSpan w:val="2"/>
            <w:tcBorders>
              <w:top w:val="nil"/>
              <w:left w:val="nil"/>
              <w:bottom w:val="single" w:sz="8" w:space="0" w:color="auto"/>
              <w:right w:val="single" w:sz="8" w:space="0" w:color="auto"/>
            </w:tcBorders>
            <w:vAlign w:val="center"/>
            <w:hideMark/>
          </w:tcPr>
          <w:p w14:paraId="4BCC4295" w14:textId="77777777" w:rsidR="00EC37C5" w:rsidRPr="00922145" w:rsidRDefault="00EC37C5">
            <w:pPr>
              <w:spacing w:before="0" w:after="0"/>
              <w:jc w:val="center"/>
              <w:rPr>
                <w:rFonts w:eastAsia="Times New Roman"/>
                <w:b/>
                <w:bCs/>
                <w:noProof/>
                <w:color w:val="000000"/>
                <w:sz w:val="20"/>
                <w:szCs w:val="20"/>
                <w:lang w:eastAsia="en-IE"/>
              </w:rPr>
            </w:pPr>
            <w:r w:rsidRPr="00922145">
              <w:rPr>
                <w:rFonts w:eastAsia="Times New Roman"/>
                <w:b/>
                <w:bCs/>
                <w:noProof/>
                <w:color w:val="000000"/>
                <w:sz w:val="20"/>
                <w:szCs w:val="20"/>
                <w:lang w:eastAsia="en-IE"/>
              </w:rPr>
              <w:t>2032</w:t>
            </w:r>
          </w:p>
        </w:tc>
        <w:tc>
          <w:tcPr>
            <w:tcW w:w="479" w:type="pct"/>
            <w:gridSpan w:val="2"/>
            <w:tcBorders>
              <w:top w:val="nil"/>
              <w:left w:val="nil"/>
              <w:bottom w:val="single" w:sz="8" w:space="0" w:color="auto"/>
              <w:right w:val="single" w:sz="8" w:space="0" w:color="auto"/>
            </w:tcBorders>
            <w:vAlign w:val="center"/>
            <w:hideMark/>
          </w:tcPr>
          <w:p w14:paraId="76232F3C" w14:textId="77777777" w:rsidR="00EC37C5" w:rsidRPr="00922145" w:rsidRDefault="00EC37C5">
            <w:pPr>
              <w:spacing w:before="0" w:after="0"/>
              <w:jc w:val="center"/>
              <w:rPr>
                <w:rFonts w:eastAsia="Times New Roman"/>
                <w:b/>
                <w:bCs/>
                <w:noProof/>
                <w:color w:val="000000"/>
                <w:sz w:val="20"/>
                <w:szCs w:val="20"/>
                <w:lang w:eastAsia="en-IE"/>
              </w:rPr>
            </w:pPr>
            <w:r w:rsidRPr="00922145">
              <w:rPr>
                <w:rFonts w:eastAsia="Times New Roman"/>
                <w:b/>
                <w:bCs/>
                <w:noProof/>
                <w:color w:val="000000"/>
                <w:sz w:val="20"/>
                <w:szCs w:val="20"/>
                <w:lang w:eastAsia="en-IE"/>
              </w:rPr>
              <w:t>2033</w:t>
            </w:r>
          </w:p>
        </w:tc>
        <w:tc>
          <w:tcPr>
            <w:tcW w:w="479" w:type="pct"/>
            <w:gridSpan w:val="2"/>
            <w:tcBorders>
              <w:top w:val="nil"/>
              <w:left w:val="nil"/>
              <w:bottom w:val="single" w:sz="8" w:space="0" w:color="auto"/>
              <w:right w:val="single" w:sz="8" w:space="0" w:color="auto"/>
            </w:tcBorders>
            <w:vAlign w:val="center"/>
            <w:hideMark/>
          </w:tcPr>
          <w:p w14:paraId="3ED7FA39" w14:textId="77777777" w:rsidR="00EC37C5" w:rsidRPr="00922145" w:rsidRDefault="00EC37C5">
            <w:pPr>
              <w:spacing w:before="0" w:after="0"/>
              <w:jc w:val="center"/>
              <w:rPr>
                <w:rFonts w:eastAsia="Times New Roman"/>
                <w:b/>
                <w:bCs/>
                <w:noProof/>
                <w:color w:val="000000"/>
                <w:sz w:val="20"/>
                <w:szCs w:val="20"/>
                <w:lang w:eastAsia="en-IE"/>
              </w:rPr>
            </w:pPr>
            <w:r w:rsidRPr="00922145">
              <w:rPr>
                <w:rFonts w:eastAsia="Times New Roman"/>
                <w:b/>
                <w:bCs/>
                <w:noProof/>
                <w:color w:val="000000"/>
                <w:sz w:val="20"/>
                <w:szCs w:val="20"/>
                <w:lang w:eastAsia="en-IE"/>
              </w:rPr>
              <w:t>2034</w:t>
            </w:r>
          </w:p>
        </w:tc>
        <w:tc>
          <w:tcPr>
            <w:tcW w:w="546" w:type="pct"/>
            <w:gridSpan w:val="2"/>
            <w:vMerge/>
            <w:tcBorders>
              <w:top w:val="single" w:sz="8" w:space="0" w:color="auto"/>
              <w:left w:val="single" w:sz="8" w:space="0" w:color="auto"/>
              <w:bottom w:val="single" w:sz="8" w:space="0" w:color="000000"/>
              <w:right w:val="single" w:sz="8" w:space="0" w:color="auto"/>
            </w:tcBorders>
            <w:vAlign w:val="center"/>
            <w:hideMark/>
          </w:tcPr>
          <w:p w14:paraId="7EA7260F" w14:textId="77777777" w:rsidR="00EC37C5" w:rsidRPr="00922145" w:rsidRDefault="00EC37C5">
            <w:pPr>
              <w:spacing w:before="0" w:after="0"/>
              <w:jc w:val="left"/>
              <w:rPr>
                <w:rFonts w:eastAsia="Times New Roman"/>
                <w:b/>
                <w:bCs/>
                <w:noProof/>
                <w:color w:val="000000"/>
                <w:sz w:val="20"/>
                <w:szCs w:val="20"/>
                <w:lang w:eastAsia="en-IE"/>
              </w:rPr>
            </w:pPr>
          </w:p>
        </w:tc>
      </w:tr>
      <w:tr w:rsidR="008E3FA9" w:rsidRPr="00922145" w14:paraId="459ABABD" w14:textId="77777777" w:rsidTr="008E3FA9">
        <w:trPr>
          <w:trHeight w:val="321"/>
        </w:trPr>
        <w:tc>
          <w:tcPr>
            <w:tcW w:w="571" w:type="pct"/>
            <w:tcBorders>
              <w:top w:val="nil"/>
              <w:left w:val="single" w:sz="8" w:space="0" w:color="auto"/>
              <w:bottom w:val="single" w:sz="8" w:space="0" w:color="auto"/>
              <w:right w:val="single" w:sz="8" w:space="0" w:color="000000"/>
            </w:tcBorders>
            <w:shd w:val="clear" w:color="000000" w:fill="C0C0C0"/>
            <w:vAlign w:val="center"/>
            <w:hideMark/>
          </w:tcPr>
          <w:p w14:paraId="6454BCFF" w14:textId="77777777" w:rsidR="008E3FA9" w:rsidRPr="00922145" w:rsidRDefault="008E3FA9" w:rsidP="008E3FA9">
            <w:pPr>
              <w:spacing w:before="0" w:after="0"/>
              <w:jc w:val="center"/>
              <w:rPr>
                <w:rFonts w:eastAsia="Times New Roman"/>
                <w:b/>
                <w:bCs/>
                <w:noProof/>
                <w:color w:val="000000"/>
                <w:sz w:val="22"/>
                <w:lang w:eastAsia="en-IE"/>
              </w:rPr>
            </w:pPr>
            <w:r w:rsidRPr="00922145">
              <w:rPr>
                <w:rFonts w:eastAsia="Times New Roman"/>
                <w:b/>
                <w:bCs/>
                <w:noProof/>
                <w:color w:val="000000"/>
                <w:sz w:val="22"/>
                <w:lang w:eastAsia="en-IE"/>
              </w:rPr>
              <w:t>TOTAL appropriations under HEADINGS 1 to 4</w:t>
            </w:r>
          </w:p>
        </w:tc>
        <w:tc>
          <w:tcPr>
            <w:tcW w:w="435" w:type="pct"/>
            <w:gridSpan w:val="2"/>
            <w:tcBorders>
              <w:top w:val="nil"/>
              <w:left w:val="nil"/>
              <w:bottom w:val="single" w:sz="8" w:space="0" w:color="auto"/>
              <w:right w:val="single" w:sz="8" w:space="0" w:color="auto"/>
            </w:tcBorders>
            <w:vAlign w:val="center"/>
            <w:hideMark/>
          </w:tcPr>
          <w:p w14:paraId="21E37F8B" w14:textId="77777777" w:rsidR="008E3FA9" w:rsidRPr="00922145" w:rsidRDefault="008E3FA9" w:rsidP="008E3FA9">
            <w:pPr>
              <w:spacing w:before="0" w:after="0"/>
              <w:rPr>
                <w:rFonts w:eastAsia="Times New Roman"/>
                <w:noProof/>
                <w:color w:val="000000"/>
                <w:sz w:val="18"/>
                <w:szCs w:val="18"/>
                <w:lang w:eastAsia="en-IE"/>
              </w:rPr>
            </w:pPr>
            <w:r w:rsidRPr="00922145">
              <w:rPr>
                <w:rFonts w:eastAsia="Times New Roman"/>
                <w:noProof/>
                <w:color w:val="000000"/>
                <w:sz w:val="18"/>
                <w:szCs w:val="18"/>
                <w:lang w:eastAsia="en-IE"/>
              </w:rPr>
              <w:t>Commitments</w:t>
            </w:r>
          </w:p>
        </w:tc>
        <w:tc>
          <w:tcPr>
            <w:tcW w:w="479" w:type="pct"/>
            <w:gridSpan w:val="2"/>
            <w:tcBorders>
              <w:top w:val="nil"/>
              <w:left w:val="nil"/>
              <w:bottom w:val="single" w:sz="8" w:space="0" w:color="auto"/>
              <w:right w:val="single" w:sz="8" w:space="0" w:color="auto"/>
            </w:tcBorders>
            <w:shd w:val="clear" w:color="000000" w:fill="D9D9D9"/>
            <w:vAlign w:val="bottom"/>
            <w:hideMark/>
          </w:tcPr>
          <w:p w14:paraId="1682A2D9" w14:textId="77777777" w:rsidR="008E3FA9" w:rsidRDefault="008E3FA9" w:rsidP="008E3FA9">
            <w:pPr>
              <w:spacing w:before="0" w:after="0"/>
              <w:jc w:val="right"/>
              <w:rPr>
                <w:noProof/>
                <w:color w:val="000000"/>
                <w:sz w:val="20"/>
                <w:szCs w:val="20"/>
              </w:rPr>
            </w:pPr>
            <w:r>
              <w:rPr>
                <w:noProof/>
                <w:color w:val="000000"/>
                <w:sz w:val="20"/>
                <w:szCs w:val="20"/>
              </w:rPr>
              <w:t xml:space="preserve">24,594 </w:t>
            </w:r>
          </w:p>
          <w:p w14:paraId="2FA0C978" w14:textId="7278AEE7" w:rsidR="008E3FA9" w:rsidRPr="00DD57AE" w:rsidRDefault="008E3FA9" w:rsidP="008E3FA9">
            <w:pPr>
              <w:spacing w:before="0" w:after="0"/>
              <w:jc w:val="right"/>
              <w:rPr>
                <w:rFonts w:eastAsia="Times New Roman"/>
                <w:noProof/>
                <w:color w:val="000000"/>
                <w:sz w:val="20"/>
                <w:szCs w:val="20"/>
                <w:lang w:eastAsia="en-IE"/>
              </w:rPr>
            </w:pPr>
          </w:p>
        </w:tc>
        <w:tc>
          <w:tcPr>
            <w:tcW w:w="575" w:type="pct"/>
            <w:gridSpan w:val="2"/>
            <w:tcBorders>
              <w:top w:val="nil"/>
              <w:left w:val="nil"/>
              <w:bottom w:val="single" w:sz="8" w:space="0" w:color="auto"/>
              <w:right w:val="single" w:sz="8" w:space="0" w:color="auto"/>
            </w:tcBorders>
            <w:shd w:val="clear" w:color="000000" w:fill="D9D9D9"/>
            <w:vAlign w:val="bottom"/>
            <w:hideMark/>
          </w:tcPr>
          <w:p w14:paraId="465DCF7E" w14:textId="2F851567" w:rsidR="008E3FA9" w:rsidRPr="008E3FA9" w:rsidRDefault="008E3FA9" w:rsidP="008E3FA9">
            <w:pPr>
              <w:spacing w:before="0" w:after="0"/>
              <w:jc w:val="right"/>
              <w:rPr>
                <w:rFonts w:eastAsia="Times New Roman"/>
                <w:noProof/>
                <w:color w:val="000000"/>
                <w:sz w:val="20"/>
                <w:szCs w:val="20"/>
                <w:lang w:eastAsia="en-IE"/>
              </w:rPr>
            </w:pPr>
            <w:r w:rsidRPr="008E3FA9">
              <w:rPr>
                <w:noProof/>
                <w:color w:val="000000"/>
                <w:sz w:val="20"/>
                <w:szCs w:val="20"/>
              </w:rPr>
              <w:t>24,257</w:t>
            </w:r>
          </w:p>
        </w:tc>
        <w:tc>
          <w:tcPr>
            <w:tcW w:w="479" w:type="pct"/>
            <w:gridSpan w:val="2"/>
            <w:tcBorders>
              <w:top w:val="nil"/>
              <w:left w:val="nil"/>
              <w:bottom w:val="single" w:sz="8" w:space="0" w:color="auto"/>
              <w:right w:val="single" w:sz="8" w:space="0" w:color="auto"/>
            </w:tcBorders>
            <w:shd w:val="clear" w:color="000000" w:fill="D9D9D9"/>
            <w:vAlign w:val="bottom"/>
            <w:hideMark/>
          </w:tcPr>
          <w:p w14:paraId="1F92E769" w14:textId="77777777" w:rsidR="008E3FA9" w:rsidRPr="008E3FA9" w:rsidRDefault="008E3FA9" w:rsidP="008E3FA9">
            <w:pPr>
              <w:spacing w:before="0" w:after="0"/>
              <w:jc w:val="right"/>
              <w:rPr>
                <w:noProof/>
                <w:color w:val="000000"/>
                <w:sz w:val="20"/>
                <w:szCs w:val="20"/>
              </w:rPr>
            </w:pPr>
            <w:r w:rsidRPr="008E3FA9">
              <w:rPr>
                <w:noProof/>
                <w:color w:val="000000"/>
                <w:sz w:val="20"/>
                <w:szCs w:val="20"/>
              </w:rPr>
              <w:t xml:space="preserve">29,912 </w:t>
            </w:r>
          </w:p>
          <w:p w14:paraId="17EDF8E1" w14:textId="71884454" w:rsidR="008E3FA9" w:rsidRPr="008E3FA9" w:rsidRDefault="008E3FA9" w:rsidP="008E3FA9">
            <w:pPr>
              <w:spacing w:before="0" w:after="0"/>
              <w:jc w:val="right"/>
              <w:rPr>
                <w:rFonts w:eastAsia="Times New Roman"/>
                <w:noProof/>
                <w:color w:val="000000"/>
                <w:sz w:val="20"/>
                <w:szCs w:val="20"/>
                <w:lang w:eastAsia="en-IE"/>
              </w:rPr>
            </w:pPr>
          </w:p>
        </w:tc>
        <w:tc>
          <w:tcPr>
            <w:tcW w:w="479" w:type="pct"/>
            <w:gridSpan w:val="2"/>
            <w:tcBorders>
              <w:top w:val="nil"/>
              <w:left w:val="nil"/>
              <w:bottom w:val="single" w:sz="8" w:space="0" w:color="auto"/>
              <w:right w:val="single" w:sz="8" w:space="0" w:color="auto"/>
            </w:tcBorders>
            <w:shd w:val="clear" w:color="000000" w:fill="D9D9D9"/>
            <w:vAlign w:val="bottom"/>
            <w:hideMark/>
          </w:tcPr>
          <w:p w14:paraId="61C47C90" w14:textId="77777777" w:rsidR="008E3FA9" w:rsidRPr="008E3FA9" w:rsidRDefault="008E3FA9" w:rsidP="008E3FA9">
            <w:pPr>
              <w:spacing w:before="0" w:after="0"/>
              <w:jc w:val="right"/>
              <w:rPr>
                <w:noProof/>
                <w:color w:val="000000"/>
                <w:sz w:val="20"/>
                <w:szCs w:val="20"/>
              </w:rPr>
            </w:pPr>
            <w:r w:rsidRPr="008E3FA9">
              <w:rPr>
                <w:noProof/>
                <w:color w:val="000000"/>
                <w:sz w:val="20"/>
                <w:szCs w:val="20"/>
              </w:rPr>
              <w:t xml:space="preserve">32,078 </w:t>
            </w:r>
          </w:p>
          <w:p w14:paraId="1F719CFE" w14:textId="0720FC00" w:rsidR="008E3FA9" w:rsidRPr="008E3FA9" w:rsidRDefault="008E3FA9" w:rsidP="008E3FA9">
            <w:pPr>
              <w:spacing w:before="0" w:after="0"/>
              <w:jc w:val="right"/>
              <w:rPr>
                <w:rFonts w:eastAsia="Times New Roman"/>
                <w:noProof/>
                <w:color w:val="000000"/>
                <w:sz w:val="20"/>
                <w:szCs w:val="20"/>
                <w:lang w:eastAsia="en-IE"/>
              </w:rPr>
            </w:pPr>
          </w:p>
        </w:tc>
        <w:tc>
          <w:tcPr>
            <w:tcW w:w="479" w:type="pct"/>
            <w:gridSpan w:val="2"/>
            <w:tcBorders>
              <w:top w:val="nil"/>
              <w:left w:val="nil"/>
              <w:bottom w:val="single" w:sz="8" w:space="0" w:color="auto"/>
              <w:right w:val="single" w:sz="8" w:space="0" w:color="auto"/>
            </w:tcBorders>
            <w:shd w:val="clear" w:color="000000" w:fill="D9D9D9"/>
            <w:vAlign w:val="bottom"/>
            <w:hideMark/>
          </w:tcPr>
          <w:p w14:paraId="64A07A2A" w14:textId="6A21772F" w:rsidR="008E3FA9" w:rsidRPr="008E3FA9" w:rsidRDefault="008E3FA9" w:rsidP="008E3FA9">
            <w:pPr>
              <w:spacing w:before="0" w:after="0"/>
              <w:jc w:val="right"/>
              <w:rPr>
                <w:rFonts w:eastAsia="Times New Roman"/>
                <w:noProof/>
                <w:color w:val="000000"/>
                <w:sz w:val="20"/>
                <w:szCs w:val="20"/>
                <w:lang w:eastAsia="en-IE"/>
              </w:rPr>
            </w:pPr>
            <w:r w:rsidRPr="008E3FA9">
              <w:rPr>
                <w:noProof/>
                <w:color w:val="000000"/>
                <w:sz w:val="20"/>
                <w:szCs w:val="20"/>
              </w:rPr>
              <w:t xml:space="preserve"> 32,781</w:t>
            </w:r>
          </w:p>
        </w:tc>
        <w:tc>
          <w:tcPr>
            <w:tcW w:w="479" w:type="pct"/>
            <w:gridSpan w:val="2"/>
            <w:tcBorders>
              <w:top w:val="nil"/>
              <w:left w:val="nil"/>
              <w:bottom w:val="single" w:sz="8" w:space="0" w:color="auto"/>
              <w:right w:val="single" w:sz="8" w:space="0" w:color="auto"/>
            </w:tcBorders>
            <w:shd w:val="clear" w:color="000000" w:fill="D9D9D9"/>
            <w:vAlign w:val="bottom"/>
            <w:hideMark/>
          </w:tcPr>
          <w:p w14:paraId="7B7B7871" w14:textId="38155DAA" w:rsidR="008E3FA9" w:rsidRPr="008E3FA9" w:rsidRDefault="008E3FA9" w:rsidP="008E3FA9">
            <w:pPr>
              <w:spacing w:before="0" w:after="0"/>
              <w:jc w:val="right"/>
              <w:rPr>
                <w:rFonts w:eastAsia="Times New Roman"/>
                <w:noProof/>
                <w:color w:val="000000"/>
                <w:sz w:val="20"/>
                <w:szCs w:val="20"/>
                <w:lang w:eastAsia="en-IE"/>
              </w:rPr>
            </w:pPr>
            <w:r w:rsidRPr="008E3FA9">
              <w:rPr>
                <w:noProof/>
                <w:color w:val="000000"/>
                <w:sz w:val="20"/>
                <w:szCs w:val="20"/>
              </w:rPr>
              <w:t xml:space="preserve"> 32,984</w:t>
            </w:r>
          </w:p>
        </w:tc>
        <w:tc>
          <w:tcPr>
            <w:tcW w:w="479" w:type="pct"/>
            <w:gridSpan w:val="2"/>
            <w:tcBorders>
              <w:top w:val="nil"/>
              <w:left w:val="nil"/>
              <w:bottom w:val="single" w:sz="8" w:space="0" w:color="auto"/>
              <w:right w:val="single" w:sz="8" w:space="0" w:color="auto"/>
            </w:tcBorders>
            <w:shd w:val="clear" w:color="000000" w:fill="D9D9D9"/>
            <w:vAlign w:val="bottom"/>
            <w:hideMark/>
          </w:tcPr>
          <w:p w14:paraId="4AC8896D" w14:textId="55F417BE" w:rsidR="008E3FA9" w:rsidRPr="008E3FA9" w:rsidRDefault="008E3FA9" w:rsidP="008E3FA9">
            <w:pPr>
              <w:spacing w:before="0" w:after="0"/>
              <w:jc w:val="right"/>
              <w:rPr>
                <w:rFonts w:eastAsia="Times New Roman"/>
                <w:noProof/>
                <w:color w:val="000000"/>
                <w:sz w:val="20"/>
                <w:szCs w:val="20"/>
                <w:lang w:eastAsia="en-IE"/>
              </w:rPr>
            </w:pPr>
            <w:r w:rsidRPr="008E3FA9">
              <w:rPr>
                <w:noProof/>
                <w:color w:val="000000"/>
                <w:sz w:val="20"/>
                <w:szCs w:val="20"/>
              </w:rPr>
              <w:t>33,776</w:t>
            </w:r>
          </w:p>
        </w:tc>
        <w:tc>
          <w:tcPr>
            <w:tcW w:w="546" w:type="pct"/>
            <w:gridSpan w:val="2"/>
            <w:tcBorders>
              <w:top w:val="nil"/>
              <w:left w:val="nil"/>
              <w:bottom w:val="single" w:sz="8" w:space="0" w:color="auto"/>
              <w:right w:val="single" w:sz="8" w:space="0" w:color="auto"/>
            </w:tcBorders>
            <w:shd w:val="clear" w:color="000000" w:fill="D9D9D9"/>
            <w:vAlign w:val="bottom"/>
            <w:hideMark/>
          </w:tcPr>
          <w:p w14:paraId="0A4CF68A" w14:textId="75A78CD5" w:rsidR="008E3FA9" w:rsidRPr="008E3FA9" w:rsidRDefault="008E3FA9" w:rsidP="008E3FA9">
            <w:pPr>
              <w:spacing w:before="0" w:after="0"/>
              <w:jc w:val="right"/>
              <w:rPr>
                <w:rFonts w:eastAsia="Times New Roman"/>
                <w:noProof/>
                <w:color w:val="000000"/>
                <w:sz w:val="20"/>
                <w:szCs w:val="20"/>
                <w:lang w:eastAsia="en-IE"/>
              </w:rPr>
            </w:pPr>
            <w:r w:rsidRPr="008E3FA9">
              <w:rPr>
                <w:noProof/>
                <w:color w:val="000000"/>
                <w:sz w:val="20"/>
                <w:szCs w:val="20"/>
              </w:rPr>
              <w:t xml:space="preserve">210,38 </w:t>
            </w:r>
          </w:p>
        </w:tc>
      </w:tr>
      <w:tr w:rsidR="008E3FA9" w:rsidRPr="00922145" w14:paraId="2376F396" w14:textId="77777777" w:rsidTr="008E3FA9">
        <w:trPr>
          <w:trHeight w:val="247"/>
        </w:trPr>
        <w:tc>
          <w:tcPr>
            <w:tcW w:w="648" w:type="pct"/>
            <w:gridSpan w:val="2"/>
            <w:tcBorders>
              <w:top w:val="nil"/>
              <w:left w:val="single" w:sz="8" w:space="0" w:color="auto"/>
              <w:bottom w:val="single" w:sz="8" w:space="0" w:color="auto"/>
              <w:right w:val="single" w:sz="8" w:space="0" w:color="000000"/>
            </w:tcBorders>
            <w:shd w:val="clear" w:color="000000" w:fill="C0C0C0"/>
            <w:vAlign w:val="center"/>
            <w:hideMark/>
          </w:tcPr>
          <w:p w14:paraId="5BFABDC0" w14:textId="77777777" w:rsidR="008E3FA9" w:rsidRPr="00922145" w:rsidRDefault="008E3FA9" w:rsidP="008E3FA9">
            <w:pPr>
              <w:spacing w:before="0" w:after="0"/>
              <w:jc w:val="center"/>
              <w:rPr>
                <w:rFonts w:eastAsia="Times New Roman"/>
                <w:noProof/>
                <w:color w:val="000000"/>
                <w:sz w:val="22"/>
                <w:lang w:eastAsia="en-IE"/>
              </w:rPr>
            </w:pPr>
            <w:r w:rsidRPr="00922145">
              <w:rPr>
                <w:rFonts w:eastAsia="Times New Roman"/>
                <w:noProof/>
                <w:color w:val="000000"/>
                <w:sz w:val="22"/>
                <w:lang w:eastAsia="en-IE"/>
              </w:rPr>
              <w:t>of the multiannual financial framework</w:t>
            </w:r>
            <w:r w:rsidRPr="00922145">
              <w:rPr>
                <w:rFonts w:eastAsia="Times New Roman"/>
                <w:b/>
                <w:bCs/>
                <w:noProof/>
                <w:color w:val="000000"/>
                <w:sz w:val="22"/>
                <w:lang w:eastAsia="en-IE"/>
              </w:rPr>
              <w:t xml:space="preserve"> </w:t>
            </w:r>
          </w:p>
        </w:tc>
        <w:tc>
          <w:tcPr>
            <w:tcW w:w="433" w:type="pct"/>
            <w:gridSpan w:val="2"/>
            <w:tcBorders>
              <w:top w:val="nil"/>
              <w:left w:val="nil"/>
              <w:bottom w:val="single" w:sz="8" w:space="0" w:color="auto"/>
              <w:right w:val="single" w:sz="8" w:space="0" w:color="auto"/>
            </w:tcBorders>
            <w:vAlign w:val="center"/>
            <w:hideMark/>
          </w:tcPr>
          <w:p w14:paraId="3D4E4777" w14:textId="77777777" w:rsidR="008E3FA9" w:rsidRPr="00DD57AE" w:rsidRDefault="008E3FA9" w:rsidP="008E3FA9">
            <w:pPr>
              <w:spacing w:before="0" w:after="0"/>
              <w:rPr>
                <w:rFonts w:eastAsia="Times New Roman"/>
                <w:noProof/>
                <w:color w:val="000000"/>
                <w:sz w:val="20"/>
                <w:szCs w:val="20"/>
                <w:lang w:eastAsia="en-IE"/>
              </w:rPr>
            </w:pPr>
            <w:r w:rsidRPr="00DD57AE">
              <w:rPr>
                <w:rFonts w:eastAsia="Times New Roman"/>
                <w:noProof/>
                <w:color w:val="000000"/>
                <w:sz w:val="20"/>
                <w:szCs w:val="20"/>
                <w:lang w:eastAsia="en-IE"/>
              </w:rPr>
              <w:t>Payments</w:t>
            </w:r>
          </w:p>
        </w:tc>
        <w:tc>
          <w:tcPr>
            <w:tcW w:w="479" w:type="pct"/>
            <w:gridSpan w:val="2"/>
            <w:tcBorders>
              <w:top w:val="nil"/>
              <w:left w:val="nil"/>
              <w:bottom w:val="single" w:sz="8" w:space="0" w:color="auto"/>
              <w:right w:val="single" w:sz="8" w:space="0" w:color="auto"/>
            </w:tcBorders>
            <w:shd w:val="clear" w:color="000000" w:fill="D9D9D9"/>
            <w:vAlign w:val="bottom"/>
            <w:hideMark/>
          </w:tcPr>
          <w:p w14:paraId="641B3735" w14:textId="77777777" w:rsidR="008E3FA9" w:rsidRPr="008E3FA9" w:rsidRDefault="008E3FA9" w:rsidP="008E3FA9">
            <w:pPr>
              <w:spacing w:before="0" w:after="0"/>
              <w:jc w:val="right"/>
              <w:rPr>
                <w:noProof/>
                <w:color w:val="000000"/>
                <w:sz w:val="20"/>
                <w:szCs w:val="20"/>
              </w:rPr>
            </w:pPr>
            <w:r w:rsidRPr="008E3FA9">
              <w:rPr>
                <w:noProof/>
                <w:color w:val="000000"/>
                <w:sz w:val="20"/>
                <w:szCs w:val="20"/>
              </w:rPr>
              <w:t xml:space="preserve">24,594 </w:t>
            </w:r>
          </w:p>
          <w:p w14:paraId="7F187C77" w14:textId="6B71E1FB" w:rsidR="008E3FA9" w:rsidRPr="008E3FA9" w:rsidRDefault="008E3FA9" w:rsidP="008E3FA9">
            <w:pPr>
              <w:spacing w:before="0" w:after="0"/>
              <w:jc w:val="right"/>
              <w:rPr>
                <w:rFonts w:eastAsia="Times New Roman"/>
                <w:b/>
                <w:bCs/>
                <w:noProof/>
                <w:color w:val="000000"/>
                <w:sz w:val="20"/>
                <w:szCs w:val="20"/>
                <w:lang w:eastAsia="en-IE"/>
              </w:rPr>
            </w:pPr>
          </w:p>
        </w:tc>
        <w:tc>
          <w:tcPr>
            <w:tcW w:w="575" w:type="pct"/>
            <w:gridSpan w:val="2"/>
            <w:tcBorders>
              <w:top w:val="nil"/>
              <w:left w:val="nil"/>
              <w:bottom w:val="single" w:sz="8" w:space="0" w:color="auto"/>
              <w:right w:val="single" w:sz="8" w:space="0" w:color="auto"/>
            </w:tcBorders>
            <w:shd w:val="clear" w:color="000000" w:fill="D9D9D9"/>
            <w:vAlign w:val="bottom"/>
            <w:hideMark/>
          </w:tcPr>
          <w:p w14:paraId="696BD212" w14:textId="47033B7A" w:rsidR="008E3FA9" w:rsidRPr="008E3FA9" w:rsidRDefault="008E3FA9" w:rsidP="008E3FA9">
            <w:pPr>
              <w:spacing w:before="0" w:after="0"/>
              <w:jc w:val="right"/>
              <w:rPr>
                <w:rFonts w:eastAsia="Times New Roman"/>
                <w:b/>
                <w:bCs/>
                <w:noProof/>
                <w:color w:val="000000"/>
                <w:sz w:val="20"/>
                <w:szCs w:val="20"/>
                <w:lang w:eastAsia="en-IE"/>
              </w:rPr>
            </w:pPr>
            <w:r w:rsidRPr="008E3FA9">
              <w:rPr>
                <w:noProof/>
                <w:color w:val="000000"/>
                <w:sz w:val="20"/>
                <w:szCs w:val="20"/>
              </w:rPr>
              <w:t>24,257</w:t>
            </w:r>
          </w:p>
        </w:tc>
        <w:tc>
          <w:tcPr>
            <w:tcW w:w="479" w:type="pct"/>
            <w:gridSpan w:val="2"/>
            <w:tcBorders>
              <w:top w:val="nil"/>
              <w:left w:val="nil"/>
              <w:bottom w:val="single" w:sz="8" w:space="0" w:color="auto"/>
              <w:right w:val="single" w:sz="8" w:space="0" w:color="auto"/>
            </w:tcBorders>
            <w:shd w:val="clear" w:color="000000" w:fill="D9D9D9"/>
            <w:vAlign w:val="bottom"/>
            <w:hideMark/>
          </w:tcPr>
          <w:p w14:paraId="620DA038" w14:textId="77777777" w:rsidR="008E3FA9" w:rsidRPr="008E3FA9" w:rsidRDefault="008E3FA9" w:rsidP="008E3FA9">
            <w:pPr>
              <w:spacing w:before="0" w:after="0"/>
              <w:jc w:val="right"/>
              <w:rPr>
                <w:noProof/>
                <w:color w:val="000000"/>
                <w:sz w:val="20"/>
                <w:szCs w:val="20"/>
              </w:rPr>
            </w:pPr>
            <w:r w:rsidRPr="008E3FA9">
              <w:rPr>
                <w:noProof/>
                <w:color w:val="000000"/>
                <w:sz w:val="20"/>
                <w:szCs w:val="20"/>
              </w:rPr>
              <w:t xml:space="preserve">29,912 </w:t>
            </w:r>
          </w:p>
          <w:p w14:paraId="6866EBA8" w14:textId="5566C2A9" w:rsidR="008E3FA9" w:rsidRPr="008E3FA9" w:rsidRDefault="008E3FA9" w:rsidP="008E3FA9">
            <w:pPr>
              <w:spacing w:before="0" w:after="0"/>
              <w:jc w:val="right"/>
              <w:rPr>
                <w:rFonts w:eastAsia="Times New Roman"/>
                <w:b/>
                <w:bCs/>
                <w:noProof/>
                <w:color w:val="000000"/>
                <w:sz w:val="20"/>
                <w:szCs w:val="20"/>
                <w:lang w:eastAsia="en-IE"/>
              </w:rPr>
            </w:pPr>
          </w:p>
        </w:tc>
        <w:tc>
          <w:tcPr>
            <w:tcW w:w="479" w:type="pct"/>
            <w:gridSpan w:val="2"/>
            <w:tcBorders>
              <w:top w:val="nil"/>
              <w:left w:val="nil"/>
              <w:bottom w:val="single" w:sz="8" w:space="0" w:color="auto"/>
              <w:right w:val="single" w:sz="8" w:space="0" w:color="auto"/>
            </w:tcBorders>
            <w:shd w:val="clear" w:color="000000" w:fill="D9D9D9"/>
            <w:vAlign w:val="bottom"/>
            <w:hideMark/>
          </w:tcPr>
          <w:p w14:paraId="3FC88093" w14:textId="77777777" w:rsidR="008E3FA9" w:rsidRPr="008E3FA9" w:rsidRDefault="008E3FA9" w:rsidP="008E3FA9">
            <w:pPr>
              <w:spacing w:before="0" w:after="0"/>
              <w:jc w:val="right"/>
              <w:rPr>
                <w:noProof/>
                <w:color w:val="000000"/>
                <w:sz w:val="20"/>
                <w:szCs w:val="20"/>
              </w:rPr>
            </w:pPr>
            <w:r w:rsidRPr="008E3FA9">
              <w:rPr>
                <w:noProof/>
                <w:color w:val="000000"/>
                <w:sz w:val="20"/>
                <w:szCs w:val="20"/>
              </w:rPr>
              <w:t xml:space="preserve">32,078 </w:t>
            </w:r>
          </w:p>
          <w:p w14:paraId="4F6B742E" w14:textId="1F8E6573" w:rsidR="008E3FA9" w:rsidRPr="008E3FA9" w:rsidRDefault="008E3FA9" w:rsidP="008E3FA9">
            <w:pPr>
              <w:spacing w:before="0" w:after="0"/>
              <w:jc w:val="right"/>
              <w:rPr>
                <w:rFonts w:eastAsia="Times New Roman"/>
                <w:b/>
                <w:bCs/>
                <w:noProof/>
                <w:color w:val="000000"/>
                <w:sz w:val="20"/>
                <w:szCs w:val="20"/>
                <w:lang w:eastAsia="en-IE"/>
              </w:rPr>
            </w:pPr>
          </w:p>
        </w:tc>
        <w:tc>
          <w:tcPr>
            <w:tcW w:w="479" w:type="pct"/>
            <w:gridSpan w:val="2"/>
            <w:tcBorders>
              <w:top w:val="nil"/>
              <w:left w:val="nil"/>
              <w:bottom w:val="single" w:sz="8" w:space="0" w:color="auto"/>
              <w:right w:val="single" w:sz="8" w:space="0" w:color="auto"/>
            </w:tcBorders>
            <w:shd w:val="clear" w:color="000000" w:fill="D9D9D9"/>
            <w:vAlign w:val="bottom"/>
            <w:hideMark/>
          </w:tcPr>
          <w:p w14:paraId="6854F4FB" w14:textId="40000E97" w:rsidR="008E3FA9" w:rsidRPr="008E3FA9" w:rsidRDefault="008E3FA9" w:rsidP="008E3FA9">
            <w:pPr>
              <w:spacing w:before="0" w:after="0"/>
              <w:jc w:val="right"/>
              <w:rPr>
                <w:rFonts w:eastAsia="Times New Roman"/>
                <w:b/>
                <w:bCs/>
                <w:noProof/>
                <w:color w:val="000000"/>
                <w:sz w:val="20"/>
                <w:szCs w:val="20"/>
                <w:lang w:eastAsia="en-IE"/>
              </w:rPr>
            </w:pPr>
            <w:r w:rsidRPr="008E3FA9">
              <w:rPr>
                <w:noProof/>
                <w:color w:val="000000"/>
                <w:sz w:val="20"/>
                <w:szCs w:val="20"/>
              </w:rPr>
              <w:t xml:space="preserve"> 32,781</w:t>
            </w:r>
          </w:p>
        </w:tc>
        <w:tc>
          <w:tcPr>
            <w:tcW w:w="479" w:type="pct"/>
            <w:gridSpan w:val="2"/>
            <w:tcBorders>
              <w:top w:val="nil"/>
              <w:left w:val="nil"/>
              <w:bottom w:val="single" w:sz="8" w:space="0" w:color="auto"/>
              <w:right w:val="single" w:sz="8" w:space="0" w:color="auto"/>
            </w:tcBorders>
            <w:shd w:val="clear" w:color="000000" w:fill="D9D9D9"/>
            <w:vAlign w:val="bottom"/>
            <w:hideMark/>
          </w:tcPr>
          <w:p w14:paraId="1E472D15" w14:textId="7890426F" w:rsidR="008E3FA9" w:rsidRPr="008E3FA9" w:rsidRDefault="008E3FA9" w:rsidP="008E3FA9">
            <w:pPr>
              <w:spacing w:before="0" w:after="0"/>
              <w:jc w:val="right"/>
              <w:rPr>
                <w:rFonts w:eastAsia="Times New Roman"/>
                <w:b/>
                <w:bCs/>
                <w:noProof/>
                <w:color w:val="000000"/>
                <w:sz w:val="20"/>
                <w:szCs w:val="20"/>
                <w:lang w:eastAsia="en-IE"/>
              </w:rPr>
            </w:pPr>
            <w:r w:rsidRPr="008E3FA9">
              <w:rPr>
                <w:noProof/>
                <w:color w:val="000000"/>
                <w:sz w:val="20"/>
                <w:szCs w:val="20"/>
              </w:rPr>
              <w:t xml:space="preserve"> 32,984</w:t>
            </w:r>
          </w:p>
        </w:tc>
        <w:tc>
          <w:tcPr>
            <w:tcW w:w="479" w:type="pct"/>
            <w:gridSpan w:val="2"/>
            <w:tcBorders>
              <w:top w:val="nil"/>
              <w:left w:val="nil"/>
              <w:bottom w:val="single" w:sz="8" w:space="0" w:color="auto"/>
              <w:right w:val="single" w:sz="8" w:space="0" w:color="auto"/>
            </w:tcBorders>
            <w:shd w:val="clear" w:color="000000" w:fill="D9D9D9"/>
            <w:vAlign w:val="bottom"/>
            <w:hideMark/>
          </w:tcPr>
          <w:p w14:paraId="2B9947B0" w14:textId="4389F1CE" w:rsidR="008E3FA9" w:rsidRPr="008E3FA9" w:rsidRDefault="008E3FA9" w:rsidP="008E3FA9">
            <w:pPr>
              <w:spacing w:before="0" w:after="0"/>
              <w:jc w:val="right"/>
              <w:rPr>
                <w:rFonts w:eastAsia="Times New Roman"/>
                <w:b/>
                <w:bCs/>
                <w:noProof/>
                <w:color w:val="000000"/>
                <w:sz w:val="20"/>
                <w:szCs w:val="20"/>
                <w:lang w:eastAsia="en-IE"/>
              </w:rPr>
            </w:pPr>
            <w:r w:rsidRPr="008E3FA9">
              <w:rPr>
                <w:noProof/>
                <w:color w:val="000000"/>
                <w:sz w:val="20"/>
                <w:szCs w:val="20"/>
              </w:rPr>
              <w:t>33,776</w:t>
            </w:r>
          </w:p>
        </w:tc>
        <w:tc>
          <w:tcPr>
            <w:tcW w:w="471" w:type="pct"/>
            <w:tcBorders>
              <w:top w:val="nil"/>
              <w:left w:val="nil"/>
              <w:bottom w:val="single" w:sz="8" w:space="0" w:color="auto"/>
              <w:right w:val="single" w:sz="8" w:space="0" w:color="auto"/>
            </w:tcBorders>
            <w:shd w:val="clear" w:color="000000" w:fill="D9D9D9"/>
            <w:vAlign w:val="bottom"/>
            <w:hideMark/>
          </w:tcPr>
          <w:p w14:paraId="325FE23C" w14:textId="26B31714" w:rsidR="008E3FA9" w:rsidRPr="008E3FA9" w:rsidRDefault="008E3FA9" w:rsidP="008E3FA9">
            <w:pPr>
              <w:spacing w:before="0" w:after="0"/>
              <w:jc w:val="right"/>
              <w:rPr>
                <w:rFonts w:eastAsia="Times New Roman"/>
                <w:b/>
                <w:bCs/>
                <w:noProof/>
                <w:color w:val="000000"/>
                <w:sz w:val="20"/>
                <w:szCs w:val="20"/>
                <w:lang w:eastAsia="en-IE"/>
              </w:rPr>
            </w:pPr>
            <w:r w:rsidRPr="008E3FA9">
              <w:rPr>
                <w:noProof/>
                <w:color w:val="000000"/>
                <w:sz w:val="20"/>
                <w:szCs w:val="20"/>
              </w:rPr>
              <w:t xml:space="preserve">210,38 </w:t>
            </w:r>
          </w:p>
        </w:tc>
      </w:tr>
    </w:tbl>
    <w:p w14:paraId="256B8887" w14:textId="77777777" w:rsidR="00EC37C5" w:rsidRPr="00922145" w:rsidRDefault="00EC37C5" w:rsidP="00EC37C5">
      <w:pPr>
        <w:rPr>
          <w:noProof/>
        </w:rPr>
      </w:pPr>
    </w:p>
    <w:p w14:paraId="29615E03" w14:textId="77777777" w:rsidR="00EC37C5" w:rsidRPr="00B33C43" w:rsidRDefault="00EC37C5" w:rsidP="00EC37C5">
      <w:pPr>
        <w:rPr>
          <w:noProof/>
        </w:rPr>
      </w:pPr>
    </w:p>
    <w:p w14:paraId="1760710F" w14:textId="77777777" w:rsidR="00EC37C5" w:rsidRDefault="00EC37C5" w:rsidP="00EC37C5">
      <w:pPr>
        <w:pStyle w:val="ManualHeading3"/>
        <w:rPr>
          <w:bCs/>
          <w:noProof/>
          <w:szCs w:val="24"/>
        </w:rPr>
      </w:pPr>
      <w:bookmarkStart w:id="154" w:name="_Toc514938054"/>
      <w:bookmarkStart w:id="155" w:name="_Toc520485053"/>
      <w:bookmarkStart w:id="156" w:name="_Toc160804597"/>
      <w:bookmarkStart w:id="157" w:name="_Toc167220289"/>
      <w:bookmarkStart w:id="158" w:name="_Toc177549022"/>
      <w:r w:rsidRPr="0021790A">
        <w:rPr>
          <w:noProof/>
        </w:rPr>
        <w:t>3.2.2.</w:t>
      </w:r>
      <w:r w:rsidRPr="0021790A">
        <w:rPr>
          <w:noProof/>
        </w:rPr>
        <w:tab/>
      </w:r>
      <w:r>
        <w:rPr>
          <w:noProof/>
        </w:rPr>
        <w:t xml:space="preserve">Estimated output funded from operational </w:t>
      </w:r>
      <w:r w:rsidRPr="009C39E5">
        <w:rPr>
          <w:noProof/>
        </w:rPr>
        <w:t>appropriations</w:t>
      </w:r>
      <w:bookmarkEnd w:id="154"/>
      <w:bookmarkEnd w:id="155"/>
      <w:r w:rsidRPr="009C39E5">
        <w:rPr>
          <w:noProof/>
        </w:rPr>
        <w:t xml:space="preserve"> (not to be completed for decentralised agencies)</w:t>
      </w:r>
      <w:bookmarkEnd w:id="156"/>
      <w:bookmarkEnd w:id="157"/>
      <w:bookmarkEnd w:id="158"/>
    </w:p>
    <w:p w14:paraId="69DE095D" w14:textId="77777777" w:rsidR="00EC37C5" w:rsidRPr="003A769F" w:rsidRDefault="00EC37C5" w:rsidP="00EC37C5">
      <w:pPr>
        <w:jc w:val="right"/>
        <w:rPr>
          <w:noProof/>
          <w:sz w:val="20"/>
          <w:lang w:val="en-IE"/>
        </w:rPr>
      </w:pPr>
      <w:r w:rsidRPr="003A769F">
        <w:rPr>
          <w:noProof/>
          <w:sz w:val="20"/>
          <w:lang w:val="en-IE"/>
        </w:rPr>
        <w:t>Commitment appropriations in EUR million (to three decimal places)</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720"/>
        <w:gridCol w:w="900"/>
        <w:gridCol w:w="51"/>
        <w:gridCol w:w="669"/>
        <w:gridCol w:w="540"/>
        <w:gridCol w:w="648"/>
        <w:gridCol w:w="432"/>
        <w:gridCol w:w="720"/>
        <w:gridCol w:w="540"/>
        <w:gridCol w:w="720"/>
        <w:gridCol w:w="720"/>
        <w:gridCol w:w="900"/>
      </w:tblGrid>
      <w:tr w:rsidR="00EC37C5" w14:paraId="4143A6EF" w14:textId="77777777">
        <w:trPr>
          <w:jc w:val="center"/>
        </w:trPr>
        <w:tc>
          <w:tcPr>
            <w:tcW w:w="1423" w:type="dxa"/>
            <w:vMerge w:val="restart"/>
            <w:vAlign w:val="center"/>
          </w:tcPr>
          <w:p w14:paraId="061A287A" w14:textId="77777777" w:rsidR="00EC37C5" w:rsidRDefault="00EC37C5">
            <w:pPr>
              <w:ind w:right="-29"/>
              <w:jc w:val="center"/>
              <w:rPr>
                <w:b/>
                <w:noProof/>
                <w:sz w:val="18"/>
                <w:szCs w:val="18"/>
              </w:rPr>
            </w:pPr>
            <w:r>
              <w:rPr>
                <w:b/>
                <w:noProof/>
                <w:sz w:val="18"/>
              </w:rPr>
              <w:t xml:space="preserve">Indicate objectives and outputs </w:t>
            </w:r>
          </w:p>
          <w:p w14:paraId="348F952E" w14:textId="77777777" w:rsidR="00EC37C5" w:rsidRDefault="00EC37C5">
            <w:pPr>
              <w:ind w:right="-29"/>
              <w:jc w:val="center"/>
              <w:rPr>
                <w:b/>
                <w:noProof/>
                <w:sz w:val="18"/>
                <w:szCs w:val="18"/>
              </w:rPr>
            </w:pPr>
          </w:p>
          <w:p w14:paraId="035ADCC8" w14:textId="77777777" w:rsidR="00EC37C5" w:rsidRDefault="00EC37C5">
            <w:pPr>
              <w:ind w:right="-29"/>
              <w:jc w:val="center"/>
              <w:rPr>
                <w:noProof/>
                <w:sz w:val="18"/>
                <w:szCs w:val="18"/>
              </w:rPr>
            </w:pPr>
            <w:r>
              <w:rPr>
                <w:rFonts w:ascii="Wingdings" w:eastAsia="Wingdings" w:hAnsi="Wingdings" w:cs="Wingdings"/>
                <w:noProof/>
                <w:sz w:val="18"/>
              </w:rPr>
              <w:t></w:t>
            </w:r>
          </w:p>
        </w:tc>
        <w:tc>
          <w:tcPr>
            <w:tcW w:w="720" w:type="dxa"/>
            <w:vAlign w:val="center"/>
          </w:tcPr>
          <w:p w14:paraId="4FD49AAE" w14:textId="77777777" w:rsidR="00EC37C5" w:rsidRDefault="00EC37C5">
            <w:pPr>
              <w:ind w:right="-29"/>
              <w:jc w:val="center"/>
              <w:rPr>
                <w:noProof/>
                <w:sz w:val="18"/>
                <w:szCs w:val="18"/>
              </w:rPr>
            </w:pPr>
          </w:p>
        </w:tc>
        <w:tc>
          <w:tcPr>
            <w:tcW w:w="701" w:type="dxa"/>
            <w:vAlign w:val="center"/>
          </w:tcPr>
          <w:p w14:paraId="2A3EDDA1" w14:textId="77777777" w:rsidR="00EC37C5" w:rsidRDefault="00EC37C5">
            <w:pPr>
              <w:ind w:right="-29"/>
              <w:jc w:val="center"/>
              <w:rPr>
                <w:noProof/>
                <w:sz w:val="18"/>
                <w:szCs w:val="18"/>
              </w:rPr>
            </w:pPr>
          </w:p>
        </w:tc>
        <w:tc>
          <w:tcPr>
            <w:tcW w:w="1224" w:type="dxa"/>
            <w:gridSpan w:val="2"/>
            <w:tcBorders>
              <w:left w:val="nil"/>
            </w:tcBorders>
            <w:vAlign w:val="center"/>
          </w:tcPr>
          <w:p w14:paraId="48C929DA" w14:textId="77777777" w:rsidR="00EC37C5" w:rsidRDefault="00EC37C5">
            <w:pPr>
              <w:ind w:right="-29"/>
              <w:jc w:val="center"/>
              <w:rPr>
                <w:noProof/>
                <w:sz w:val="18"/>
                <w:szCs w:val="18"/>
              </w:rPr>
            </w:pPr>
            <w:r>
              <w:rPr>
                <w:noProof/>
                <w:sz w:val="18"/>
              </w:rPr>
              <w:t xml:space="preserve">Year </w:t>
            </w:r>
            <w:r>
              <w:rPr>
                <w:noProof/>
                <w:sz w:val="22"/>
              </w:rPr>
              <w:br/>
            </w:r>
            <w:r>
              <w:rPr>
                <w:b/>
                <w:noProof/>
                <w:sz w:val="18"/>
              </w:rPr>
              <w:t>2028</w:t>
            </w:r>
          </w:p>
        </w:tc>
        <w:tc>
          <w:tcPr>
            <w:tcW w:w="1260" w:type="dxa"/>
            <w:gridSpan w:val="2"/>
            <w:vAlign w:val="center"/>
          </w:tcPr>
          <w:p w14:paraId="68576B28" w14:textId="77777777" w:rsidR="00EC37C5" w:rsidRDefault="00EC37C5">
            <w:pPr>
              <w:ind w:right="-29"/>
              <w:jc w:val="center"/>
              <w:rPr>
                <w:noProof/>
                <w:sz w:val="18"/>
                <w:szCs w:val="18"/>
              </w:rPr>
            </w:pPr>
            <w:r>
              <w:rPr>
                <w:noProof/>
                <w:sz w:val="18"/>
              </w:rPr>
              <w:t xml:space="preserve">Year </w:t>
            </w:r>
            <w:r>
              <w:rPr>
                <w:noProof/>
                <w:sz w:val="22"/>
              </w:rPr>
              <w:br/>
            </w:r>
            <w:r>
              <w:rPr>
                <w:b/>
                <w:noProof/>
                <w:sz w:val="18"/>
              </w:rPr>
              <w:t>2029</w:t>
            </w:r>
          </w:p>
        </w:tc>
        <w:tc>
          <w:tcPr>
            <w:tcW w:w="1440" w:type="dxa"/>
            <w:gridSpan w:val="2"/>
            <w:vAlign w:val="center"/>
          </w:tcPr>
          <w:p w14:paraId="7CB6CB00" w14:textId="77777777" w:rsidR="00EC37C5" w:rsidRDefault="00EC37C5">
            <w:pPr>
              <w:ind w:right="-29"/>
              <w:jc w:val="center"/>
              <w:rPr>
                <w:noProof/>
                <w:sz w:val="18"/>
                <w:szCs w:val="18"/>
              </w:rPr>
            </w:pPr>
            <w:r>
              <w:rPr>
                <w:noProof/>
                <w:sz w:val="18"/>
              </w:rPr>
              <w:t xml:space="preserve">Year </w:t>
            </w:r>
            <w:r>
              <w:rPr>
                <w:noProof/>
                <w:sz w:val="22"/>
              </w:rPr>
              <w:br/>
            </w:r>
            <w:r>
              <w:rPr>
                <w:b/>
                <w:noProof/>
                <w:sz w:val="18"/>
              </w:rPr>
              <w:t>2030</w:t>
            </w:r>
          </w:p>
        </w:tc>
        <w:tc>
          <w:tcPr>
            <w:tcW w:w="1620" w:type="dxa"/>
            <w:gridSpan w:val="3"/>
            <w:vAlign w:val="center"/>
          </w:tcPr>
          <w:p w14:paraId="0B96A74E" w14:textId="77777777" w:rsidR="00EC37C5" w:rsidRDefault="00EC37C5">
            <w:pPr>
              <w:ind w:right="-29"/>
              <w:jc w:val="center"/>
              <w:rPr>
                <w:noProof/>
                <w:sz w:val="18"/>
                <w:szCs w:val="18"/>
              </w:rPr>
            </w:pPr>
            <w:r>
              <w:rPr>
                <w:noProof/>
                <w:sz w:val="18"/>
              </w:rPr>
              <w:t xml:space="preserve">Year </w:t>
            </w:r>
            <w:r>
              <w:rPr>
                <w:noProof/>
                <w:sz w:val="22"/>
              </w:rPr>
              <w:br/>
            </w:r>
            <w:r>
              <w:rPr>
                <w:b/>
                <w:noProof/>
                <w:sz w:val="18"/>
              </w:rPr>
              <w:t>2031</w:t>
            </w:r>
          </w:p>
        </w:tc>
        <w:tc>
          <w:tcPr>
            <w:tcW w:w="3600" w:type="dxa"/>
            <w:gridSpan w:val="6"/>
            <w:vAlign w:val="center"/>
          </w:tcPr>
          <w:p w14:paraId="2D9D08D2" w14:textId="77777777" w:rsidR="00EC37C5" w:rsidRPr="003A769F" w:rsidRDefault="00EC37C5">
            <w:pPr>
              <w:jc w:val="center"/>
              <w:rPr>
                <w:noProof/>
                <w:sz w:val="18"/>
                <w:szCs w:val="18"/>
                <w:lang w:val="en-IE"/>
              </w:rPr>
            </w:pPr>
            <w:r w:rsidRPr="003A769F">
              <w:rPr>
                <w:noProof/>
                <w:sz w:val="18"/>
                <w:lang w:val="en-IE"/>
              </w:rPr>
              <w:t xml:space="preserve">Enter as many years as necessary to show the duration of the impact (see </w:t>
            </w:r>
            <w:r>
              <w:rPr>
                <w:noProof/>
                <w:sz w:val="18"/>
                <w:lang w:val="en-IE"/>
              </w:rPr>
              <w:t>Section</w:t>
            </w:r>
            <w:r w:rsidRPr="003A769F">
              <w:rPr>
                <w:noProof/>
                <w:sz w:val="18"/>
                <w:lang w:val="en-IE"/>
              </w:rPr>
              <w:t>1.6)</w:t>
            </w:r>
          </w:p>
        </w:tc>
        <w:tc>
          <w:tcPr>
            <w:tcW w:w="1620" w:type="dxa"/>
            <w:gridSpan w:val="2"/>
            <w:tcBorders>
              <w:left w:val="nil"/>
              <w:bottom w:val="nil"/>
            </w:tcBorders>
            <w:vAlign w:val="center"/>
          </w:tcPr>
          <w:p w14:paraId="7C681D94" w14:textId="77777777" w:rsidR="00EC37C5" w:rsidRDefault="00EC37C5">
            <w:pPr>
              <w:ind w:right="-29"/>
              <w:jc w:val="center"/>
              <w:rPr>
                <w:noProof/>
                <w:sz w:val="18"/>
                <w:szCs w:val="18"/>
              </w:rPr>
            </w:pPr>
            <w:r>
              <w:rPr>
                <w:b/>
                <w:noProof/>
                <w:sz w:val="18"/>
              </w:rPr>
              <w:t>TOTAL</w:t>
            </w:r>
          </w:p>
        </w:tc>
      </w:tr>
      <w:tr w:rsidR="00EC37C5" w14:paraId="1E54ECF2" w14:textId="77777777">
        <w:trPr>
          <w:jc w:val="center"/>
        </w:trPr>
        <w:tc>
          <w:tcPr>
            <w:tcW w:w="1423" w:type="dxa"/>
            <w:vMerge/>
            <w:vAlign w:val="center"/>
          </w:tcPr>
          <w:p w14:paraId="5B67F584" w14:textId="77777777" w:rsidR="00EC37C5" w:rsidRDefault="00EC37C5">
            <w:pPr>
              <w:ind w:right="-29"/>
              <w:jc w:val="center"/>
              <w:rPr>
                <w:noProof/>
                <w:sz w:val="18"/>
                <w:szCs w:val="18"/>
              </w:rPr>
            </w:pPr>
          </w:p>
        </w:tc>
        <w:tc>
          <w:tcPr>
            <w:tcW w:w="12185" w:type="dxa"/>
            <w:gridSpan w:val="19"/>
            <w:vAlign w:val="center"/>
          </w:tcPr>
          <w:p w14:paraId="3E42A8DD" w14:textId="77777777" w:rsidR="00EC37C5" w:rsidRDefault="00EC37C5">
            <w:pPr>
              <w:spacing w:before="60" w:after="60"/>
              <w:ind w:right="-29"/>
              <w:jc w:val="center"/>
              <w:rPr>
                <w:noProof/>
                <w:sz w:val="18"/>
                <w:szCs w:val="18"/>
              </w:rPr>
            </w:pPr>
            <w:r>
              <w:rPr>
                <w:b/>
                <w:noProof/>
                <w:sz w:val="18"/>
              </w:rPr>
              <w:t>OUTPUTS</w:t>
            </w:r>
          </w:p>
        </w:tc>
      </w:tr>
      <w:tr w:rsidR="00EC37C5" w14:paraId="782F055F" w14:textId="77777777">
        <w:trPr>
          <w:cantSplit/>
          <w:trHeight w:val="1134"/>
          <w:jc w:val="center"/>
        </w:trPr>
        <w:tc>
          <w:tcPr>
            <w:tcW w:w="1423" w:type="dxa"/>
            <w:vMerge/>
            <w:vAlign w:val="center"/>
          </w:tcPr>
          <w:p w14:paraId="3B12BE68" w14:textId="77777777" w:rsidR="00EC37C5" w:rsidRDefault="00EC37C5">
            <w:pPr>
              <w:rPr>
                <w:noProof/>
                <w:sz w:val="18"/>
                <w:szCs w:val="18"/>
              </w:rPr>
            </w:pPr>
          </w:p>
        </w:tc>
        <w:tc>
          <w:tcPr>
            <w:tcW w:w="720" w:type="dxa"/>
            <w:vAlign w:val="center"/>
          </w:tcPr>
          <w:p w14:paraId="591F61FD" w14:textId="77777777" w:rsidR="00EC37C5" w:rsidRDefault="00EC37C5">
            <w:pPr>
              <w:jc w:val="center"/>
              <w:rPr>
                <w:noProof/>
                <w:sz w:val="18"/>
                <w:szCs w:val="18"/>
              </w:rPr>
            </w:pPr>
            <w:r>
              <w:rPr>
                <w:noProof/>
                <w:sz w:val="18"/>
              </w:rPr>
              <w:t>Type</w:t>
            </w:r>
            <w:r>
              <w:rPr>
                <w:rStyle w:val="FootnoteReference"/>
                <w:noProof/>
                <w:sz w:val="18"/>
              </w:rPr>
              <w:footnoteReference w:id="103"/>
            </w:r>
          </w:p>
          <w:p w14:paraId="23FF0852" w14:textId="77777777" w:rsidR="00EC37C5" w:rsidRDefault="00EC37C5">
            <w:pPr>
              <w:spacing w:before="0" w:after="0"/>
              <w:jc w:val="center"/>
              <w:rPr>
                <w:noProof/>
                <w:sz w:val="18"/>
                <w:szCs w:val="18"/>
              </w:rPr>
            </w:pPr>
          </w:p>
        </w:tc>
        <w:tc>
          <w:tcPr>
            <w:tcW w:w="701" w:type="dxa"/>
            <w:vAlign w:val="center"/>
          </w:tcPr>
          <w:p w14:paraId="09EEEA5D" w14:textId="77777777" w:rsidR="00EC37C5" w:rsidRDefault="00EC37C5">
            <w:pPr>
              <w:jc w:val="center"/>
              <w:rPr>
                <w:noProof/>
                <w:sz w:val="18"/>
                <w:szCs w:val="18"/>
              </w:rPr>
            </w:pPr>
            <w:r>
              <w:rPr>
                <w:noProof/>
                <w:sz w:val="18"/>
              </w:rPr>
              <w:t>Average cost</w:t>
            </w:r>
          </w:p>
        </w:tc>
        <w:tc>
          <w:tcPr>
            <w:tcW w:w="504" w:type="dxa"/>
            <w:tcBorders>
              <w:left w:val="nil"/>
              <w:right w:val="dashSmallGap" w:sz="4" w:space="0" w:color="auto"/>
            </w:tcBorders>
            <w:shd w:val="pct10" w:color="auto" w:fill="auto"/>
            <w:textDirection w:val="btLr"/>
            <w:vAlign w:val="center"/>
          </w:tcPr>
          <w:p w14:paraId="2DA1AA95" w14:textId="77777777" w:rsidR="00EC37C5" w:rsidRDefault="00EC37C5">
            <w:pPr>
              <w:ind w:left="113" w:right="113"/>
              <w:jc w:val="center"/>
              <w:rPr>
                <w:noProof/>
                <w:sz w:val="18"/>
                <w:szCs w:val="18"/>
              </w:rPr>
            </w:pPr>
            <w:r>
              <w:rPr>
                <w:noProof/>
                <w:sz w:val="18"/>
              </w:rPr>
              <w:t>No</w:t>
            </w:r>
          </w:p>
        </w:tc>
        <w:tc>
          <w:tcPr>
            <w:tcW w:w="720" w:type="dxa"/>
            <w:tcBorders>
              <w:left w:val="dashSmallGap" w:sz="4" w:space="0" w:color="auto"/>
            </w:tcBorders>
            <w:shd w:val="pct10" w:color="auto" w:fill="auto"/>
            <w:vAlign w:val="center"/>
          </w:tcPr>
          <w:p w14:paraId="2E19E3D5" w14:textId="77777777" w:rsidR="00EC37C5" w:rsidRDefault="00EC37C5">
            <w:pPr>
              <w:jc w:val="center"/>
              <w:rPr>
                <w:noProof/>
                <w:sz w:val="18"/>
                <w:szCs w:val="18"/>
              </w:rPr>
            </w:pPr>
            <w:r>
              <w:rPr>
                <w:noProof/>
                <w:sz w:val="18"/>
              </w:rPr>
              <w:t>Cost</w:t>
            </w:r>
          </w:p>
        </w:tc>
        <w:tc>
          <w:tcPr>
            <w:tcW w:w="540" w:type="dxa"/>
            <w:tcBorders>
              <w:right w:val="dashSmallGap" w:sz="4" w:space="0" w:color="auto"/>
            </w:tcBorders>
            <w:shd w:val="pct10" w:color="auto" w:fill="auto"/>
            <w:textDirection w:val="btLr"/>
            <w:vAlign w:val="center"/>
          </w:tcPr>
          <w:p w14:paraId="324623B8" w14:textId="77777777" w:rsidR="00EC37C5" w:rsidRDefault="00EC37C5">
            <w:pPr>
              <w:ind w:left="113" w:right="113"/>
              <w:jc w:val="center"/>
              <w:rPr>
                <w:noProof/>
                <w:sz w:val="18"/>
                <w:szCs w:val="18"/>
              </w:rPr>
            </w:pPr>
            <w:r>
              <w:rPr>
                <w:noProof/>
                <w:sz w:val="18"/>
              </w:rPr>
              <w:t>No</w:t>
            </w:r>
          </w:p>
        </w:tc>
        <w:tc>
          <w:tcPr>
            <w:tcW w:w="720" w:type="dxa"/>
            <w:tcBorders>
              <w:left w:val="dashSmallGap" w:sz="4" w:space="0" w:color="auto"/>
            </w:tcBorders>
            <w:shd w:val="pct10" w:color="auto" w:fill="auto"/>
            <w:vAlign w:val="center"/>
          </w:tcPr>
          <w:p w14:paraId="47D50C4E" w14:textId="77777777" w:rsidR="00EC37C5" w:rsidRDefault="00EC37C5">
            <w:pPr>
              <w:jc w:val="center"/>
              <w:rPr>
                <w:noProof/>
                <w:sz w:val="18"/>
                <w:szCs w:val="18"/>
              </w:rPr>
            </w:pPr>
            <w:r>
              <w:rPr>
                <w:noProof/>
                <w:sz w:val="18"/>
              </w:rPr>
              <w:t>Cost</w:t>
            </w:r>
          </w:p>
        </w:tc>
        <w:tc>
          <w:tcPr>
            <w:tcW w:w="720" w:type="dxa"/>
            <w:tcBorders>
              <w:right w:val="dashSmallGap" w:sz="4" w:space="0" w:color="auto"/>
            </w:tcBorders>
            <w:shd w:val="pct10" w:color="auto" w:fill="auto"/>
            <w:textDirection w:val="btLr"/>
            <w:vAlign w:val="center"/>
          </w:tcPr>
          <w:p w14:paraId="5345EA98" w14:textId="77777777" w:rsidR="00EC37C5" w:rsidRDefault="00EC37C5">
            <w:pPr>
              <w:ind w:left="113" w:right="113"/>
              <w:jc w:val="center"/>
              <w:rPr>
                <w:noProof/>
                <w:sz w:val="18"/>
                <w:szCs w:val="18"/>
              </w:rPr>
            </w:pPr>
            <w:r>
              <w:rPr>
                <w:noProof/>
                <w:sz w:val="18"/>
              </w:rPr>
              <w:t>No</w:t>
            </w:r>
          </w:p>
        </w:tc>
        <w:tc>
          <w:tcPr>
            <w:tcW w:w="720" w:type="dxa"/>
            <w:tcBorders>
              <w:left w:val="dashSmallGap" w:sz="4" w:space="0" w:color="auto"/>
            </w:tcBorders>
            <w:shd w:val="pct10" w:color="auto" w:fill="auto"/>
            <w:vAlign w:val="center"/>
          </w:tcPr>
          <w:p w14:paraId="3C45B664" w14:textId="77777777" w:rsidR="00EC37C5" w:rsidRDefault="00EC37C5">
            <w:pPr>
              <w:jc w:val="center"/>
              <w:rPr>
                <w:noProof/>
                <w:sz w:val="18"/>
                <w:szCs w:val="18"/>
              </w:rPr>
            </w:pPr>
            <w:r>
              <w:rPr>
                <w:noProof/>
                <w:sz w:val="18"/>
              </w:rPr>
              <w:t>Cost</w:t>
            </w:r>
          </w:p>
        </w:tc>
        <w:tc>
          <w:tcPr>
            <w:tcW w:w="900" w:type="dxa"/>
            <w:tcBorders>
              <w:right w:val="dashSmallGap" w:sz="4" w:space="0" w:color="auto"/>
            </w:tcBorders>
            <w:shd w:val="pct10" w:color="auto" w:fill="auto"/>
            <w:textDirection w:val="btLr"/>
            <w:vAlign w:val="center"/>
          </w:tcPr>
          <w:p w14:paraId="5972E6C1" w14:textId="77777777" w:rsidR="00EC37C5" w:rsidRDefault="00EC37C5">
            <w:pPr>
              <w:ind w:left="113" w:right="113"/>
              <w:jc w:val="center"/>
              <w:rPr>
                <w:noProof/>
                <w:sz w:val="18"/>
                <w:szCs w:val="18"/>
              </w:rPr>
            </w:pPr>
            <w:r>
              <w:rPr>
                <w:noProof/>
                <w:sz w:val="18"/>
              </w:rPr>
              <w:t>No</w:t>
            </w:r>
          </w:p>
        </w:tc>
        <w:tc>
          <w:tcPr>
            <w:tcW w:w="720" w:type="dxa"/>
            <w:gridSpan w:val="2"/>
            <w:tcBorders>
              <w:left w:val="dashSmallGap" w:sz="4" w:space="0" w:color="auto"/>
            </w:tcBorders>
            <w:shd w:val="pct10" w:color="auto" w:fill="auto"/>
            <w:vAlign w:val="center"/>
          </w:tcPr>
          <w:p w14:paraId="280B5E72" w14:textId="77777777" w:rsidR="00EC37C5" w:rsidRDefault="00EC37C5">
            <w:pPr>
              <w:jc w:val="center"/>
              <w:rPr>
                <w:noProof/>
                <w:sz w:val="18"/>
                <w:szCs w:val="18"/>
              </w:rPr>
            </w:pPr>
            <w:r>
              <w:rPr>
                <w:noProof/>
                <w:sz w:val="18"/>
              </w:rPr>
              <w:t>Cost</w:t>
            </w:r>
          </w:p>
        </w:tc>
        <w:tc>
          <w:tcPr>
            <w:tcW w:w="540" w:type="dxa"/>
            <w:tcBorders>
              <w:right w:val="dashSmallGap" w:sz="4" w:space="0" w:color="auto"/>
            </w:tcBorders>
            <w:shd w:val="pct10" w:color="auto" w:fill="auto"/>
            <w:textDirection w:val="btLr"/>
            <w:vAlign w:val="center"/>
          </w:tcPr>
          <w:p w14:paraId="5732F735" w14:textId="77777777" w:rsidR="00EC37C5" w:rsidRDefault="00EC37C5">
            <w:pPr>
              <w:ind w:left="113" w:right="113"/>
              <w:jc w:val="center"/>
              <w:rPr>
                <w:noProof/>
                <w:sz w:val="18"/>
                <w:szCs w:val="18"/>
              </w:rPr>
            </w:pPr>
            <w:r>
              <w:rPr>
                <w:noProof/>
                <w:sz w:val="18"/>
              </w:rPr>
              <w:t>No</w:t>
            </w:r>
          </w:p>
        </w:tc>
        <w:tc>
          <w:tcPr>
            <w:tcW w:w="648" w:type="dxa"/>
            <w:tcBorders>
              <w:left w:val="dashSmallGap" w:sz="4" w:space="0" w:color="auto"/>
            </w:tcBorders>
            <w:shd w:val="pct10" w:color="auto" w:fill="auto"/>
            <w:vAlign w:val="center"/>
          </w:tcPr>
          <w:p w14:paraId="59428425" w14:textId="77777777" w:rsidR="00EC37C5" w:rsidRDefault="00EC37C5">
            <w:pPr>
              <w:jc w:val="center"/>
              <w:rPr>
                <w:noProof/>
                <w:sz w:val="18"/>
                <w:szCs w:val="18"/>
              </w:rPr>
            </w:pPr>
            <w:r>
              <w:rPr>
                <w:noProof/>
                <w:sz w:val="18"/>
              </w:rPr>
              <w:t>Cost</w:t>
            </w:r>
          </w:p>
        </w:tc>
        <w:tc>
          <w:tcPr>
            <w:tcW w:w="432" w:type="dxa"/>
            <w:tcBorders>
              <w:right w:val="dashSmallGap" w:sz="4" w:space="0" w:color="auto"/>
            </w:tcBorders>
            <w:shd w:val="pct10" w:color="auto" w:fill="auto"/>
            <w:textDirection w:val="btLr"/>
            <w:vAlign w:val="center"/>
          </w:tcPr>
          <w:p w14:paraId="67D45BC0" w14:textId="77777777" w:rsidR="00EC37C5" w:rsidRDefault="00EC37C5">
            <w:pPr>
              <w:ind w:left="113" w:right="113"/>
              <w:jc w:val="center"/>
              <w:rPr>
                <w:noProof/>
                <w:sz w:val="18"/>
                <w:szCs w:val="18"/>
              </w:rPr>
            </w:pPr>
            <w:r>
              <w:rPr>
                <w:noProof/>
                <w:sz w:val="18"/>
              </w:rPr>
              <w:t>No</w:t>
            </w:r>
          </w:p>
        </w:tc>
        <w:tc>
          <w:tcPr>
            <w:tcW w:w="720" w:type="dxa"/>
            <w:tcBorders>
              <w:left w:val="dashSmallGap" w:sz="4" w:space="0" w:color="auto"/>
            </w:tcBorders>
            <w:shd w:val="pct10" w:color="auto" w:fill="auto"/>
            <w:vAlign w:val="center"/>
          </w:tcPr>
          <w:p w14:paraId="58D0CC8F" w14:textId="77777777" w:rsidR="00EC37C5" w:rsidRDefault="00EC37C5">
            <w:pPr>
              <w:jc w:val="center"/>
              <w:rPr>
                <w:noProof/>
                <w:sz w:val="18"/>
                <w:szCs w:val="18"/>
              </w:rPr>
            </w:pPr>
            <w:r>
              <w:rPr>
                <w:noProof/>
                <w:sz w:val="18"/>
              </w:rPr>
              <w:t>Cost</w:t>
            </w:r>
          </w:p>
        </w:tc>
        <w:tc>
          <w:tcPr>
            <w:tcW w:w="540" w:type="dxa"/>
            <w:tcBorders>
              <w:right w:val="dashSmallGap" w:sz="4" w:space="0" w:color="auto"/>
            </w:tcBorders>
            <w:shd w:val="pct10" w:color="auto" w:fill="auto"/>
            <w:textDirection w:val="btLr"/>
            <w:vAlign w:val="center"/>
          </w:tcPr>
          <w:p w14:paraId="5D4474CC" w14:textId="77777777" w:rsidR="00EC37C5" w:rsidRDefault="00EC37C5">
            <w:pPr>
              <w:ind w:left="113" w:right="113"/>
              <w:jc w:val="center"/>
              <w:rPr>
                <w:noProof/>
                <w:sz w:val="18"/>
                <w:szCs w:val="18"/>
              </w:rPr>
            </w:pPr>
            <w:r>
              <w:rPr>
                <w:noProof/>
                <w:sz w:val="18"/>
              </w:rPr>
              <w:t>No</w:t>
            </w:r>
          </w:p>
        </w:tc>
        <w:tc>
          <w:tcPr>
            <w:tcW w:w="720" w:type="dxa"/>
            <w:tcBorders>
              <w:left w:val="dashSmallGap" w:sz="4" w:space="0" w:color="auto"/>
            </w:tcBorders>
            <w:shd w:val="pct10" w:color="auto" w:fill="auto"/>
            <w:vAlign w:val="center"/>
          </w:tcPr>
          <w:p w14:paraId="264190B3" w14:textId="77777777" w:rsidR="00EC37C5" w:rsidRDefault="00EC37C5">
            <w:pPr>
              <w:jc w:val="center"/>
              <w:rPr>
                <w:noProof/>
                <w:sz w:val="18"/>
                <w:szCs w:val="18"/>
              </w:rPr>
            </w:pPr>
            <w:r>
              <w:rPr>
                <w:noProof/>
                <w:sz w:val="18"/>
              </w:rPr>
              <w:t>Cost</w:t>
            </w:r>
          </w:p>
        </w:tc>
        <w:tc>
          <w:tcPr>
            <w:tcW w:w="720" w:type="dxa"/>
            <w:tcBorders>
              <w:right w:val="dashSmallGap" w:sz="4" w:space="0" w:color="auto"/>
            </w:tcBorders>
            <w:shd w:val="pct10" w:color="auto" w:fill="auto"/>
            <w:vAlign w:val="center"/>
          </w:tcPr>
          <w:p w14:paraId="3C58EDA8" w14:textId="77777777" w:rsidR="00EC37C5" w:rsidRDefault="00EC37C5">
            <w:pPr>
              <w:jc w:val="center"/>
              <w:rPr>
                <w:noProof/>
                <w:sz w:val="18"/>
                <w:szCs w:val="18"/>
              </w:rPr>
            </w:pPr>
            <w:r>
              <w:rPr>
                <w:noProof/>
                <w:sz w:val="18"/>
              </w:rPr>
              <w:t>Total No</w:t>
            </w:r>
          </w:p>
        </w:tc>
        <w:tc>
          <w:tcPr>
            <w:tcW w:w="900" w:type="dxa"/>
            <w:tcBorders>
              <w:left w:val="dashSmallGap" w:sz="4" w:space="0" w:color="auto"/>
            </w:tcBorders>
            <w:shd w:val="pct10" w:color="auto" w:fill="auto"/>
            <w:vAlign w:val="center"/>
          </w:tcPr>
          <w:p w14:paraId="3AA21C93" w14:textId="77777777" w:rsidR="00EC37C5" w:rsidRDefault="00EC37C5">
            <w:pPr>
              <w:jc w:val="center"/>
              <w:rPr>
                <w:noProof/>
                <w:sz w:val="18"/>
                <w:szCs w:val="18"/>
              </w:rPr>
            </w:pPr>
            <w:r>
              <w:rPr>
                <w:noProof/>
                <w:sz w:val="18"/>
              </w:rPr>
              <w:t>Total cost</w:t>
            </w:r>
          </w:p>
        </w:tc>
      </w:tr>
      <w:tr w:rsidR="00EC37C5" w14:paraId="452FFAF8" w14:textId="77777777">
        <w:trPr>
          <w:jc w:val="center"/>
        </w:trPr>
        <w:tc>
          <w:tcPr>
            <w:tcW w:w="2844" w:type="dxa"/>
            <w:gridSpan w:val="3"/>
            <w:vAlign w:val="center"/>
          </w:tcPr>
          <w:p w14:paraId="3EEE02C6" w14:textId="77777777" w:rsidR="00EC37C5" w:rsidRDefault="00EC37C5">
            <w:pPr>
              <w:spacing w:before="60" w:after="60"/>
              <w:ind w:right="-29"/>
              <w:jc w:val="center"/>
              <w:rPr>
                <w:noProof/>
                <w:sz w:val="18"/>
                <w:szCs w:val="18"/>
              </w:rPr>
            </w:pPr>
            <w:r>
              <w:rPr>
                <w:noProof/>
                <w:sz w:val="18"/>
              </w:rPr>
              <w:t>SPECIFIC OBJECTIVE No 1</w:t>
            </w:r>
            <w:r>
              <w:rPr>
                <w:rStyle w:val="FootnoteReference"/>
                <w:noProof/>
                <w:sz w:val="18"/>
              </w:rPr>
              <w:footnoteReference w:id="104"/>
            </w:r>
            <w:r>
              <w:rPr>
                <w:noProof/>
                <w:sz w:val="18"/>
              </w:rPr>
              <w:t>…</w:t>
            </w:r>
          </w:p>
        </w:tc>
        <w:tc>
          <w:tcPr>
            <w:tcW w:w="504" w:type="dxa"/>
            <w:tcBorders>
              <w:top w:val="nil"/>
              <w:left w:val="nil"/>
              <w:bottom w:val="nil"/>
              <w:right w:val="nil"/>
            </w:tcBorders>
          </w:tcPr>
          <w:p w14:paraId="4BED4A1C" w14:textId="77777777" w:rsidR="00EC37C5" w:rsidRDefault="00EC37C5">
            <w:pPr>
              <w:spacing w:before="60" w:after="60"/>
              <w:ind w:right="-29"/>
              <w:jc w:val="center"/>
              <w:rPr>
                <w:noProof/>
                <w:sz w:val="18"/>
                <w:szCs w:val="18"/>
              </w:rPr>
            </w:pPr>
          </w:p>
        </w:tc>
        <w:tc>
          <w:tcPr>
            <w:tcW w:w="720" w:type="dxa"/>
            <w:tcBorders>
              <w:top w:val="nil"/>
              <w:left w:val="nil"/>
              <w:bottom w:val="nil"/>
              <w:right w:val="nil"/>
            </w:tcBorders>
          </w:tcPr>
          <w:p w14:paraId="6940E864" w14:textId="77777777" w:rsidR="00EC37C5" w:rsidRDefault="00EC37C5">
            <w:pPr>
              <w:spacing w:before="60" w:after="60"/>
              <w:ind w:right="-29"/>
              <w:jc w:val="center"/>
              <w:rPr>
                <w:noProof/>
                <w:sz w:val="18"/>
                <w:szCs w:val="18"/>
              </w:rPr>
            </w:pPr>
          </w:p>
        </w:tc>
        <w:tc>
          <w:tcPr>
            <w:tcW w:w="540" w:type="dxa"/>
            <w:tcBorders>
              <w:top w:val="nil"/>
              <w:left w:val="nil"/>
              <w:bottom w:val="nil"/>
              <w:right w:val="nil"/>
            </w:tcBorders>
          </w:tcPr>
          <w:p w14:paraId="7A202475" w14:textId="77777777" w:rsidR="00EC37C5" w:rsidRDefault="00EC37C5">
            <w:pPr>
              <w:spacing w:before="60" w:after="60"/>
              <w:ind w:right="-29"/>
              <w:jc w:val="center"/>
              <w:rPr>
                <w:noProof/>
                <w:sz w:val="18"/>
                <w:szCs w:val="18"/>
              </w:rPr>
            </w:pPr>
          </w:p>
        </w:tc>
        <w:tc>
          <w:tcPr>
            <w:tcW w:w="720" w:type="dxa"/>
            <w:tcBorders>
              <w:top w:val="nil"/>
              <w:left w:val="nil"/>
              <w:bottom w:val="nil"/>
              <w:right w:val="nil"/>
            </w:tcBorders>
          </w:tcPr>
          <w:p w14:paraId="3E239E6E" w14:textId="77777777" w:rsidR="00EC37C5" w:rsidRDefault="00EC37C5">
            <w:pPr>
              <w:spacing w:before="60" w:after="60"/>
              <w:ind w:right="-29"/>
              <w:jc w:val="center"/>
              <w:rPr>
                <w:noProof/>
                <w:sz w:val="18"/>
                <w:szCs w:val="18"/>
              </w:rPr>
            </w:pPr>
          </w:p>
        </w:tc>
        <w:tc>
          <w:tcPr>
            <w:tcW w:w="720" w:type="dxa"/>
            <w:tcBorders>
              <w:top w:val="nil"/>
              <w:left w:val="nil"/>
              <w:bottom w:val="nil"/>
              <w:right w:val="nil"/>
            </w:tcBorders>
          </w:tcPr>
          <w:p w14:paraId="7781BA99" w14:textId="77777777" w:rsidR="00EC37C5" w:rsidRDefault="00EC37C5">
            <w:pPr>
              <w:spacing w:before="60" w:after="60"/>
              <w:ind w:right="-29"/>
              <w:jc w:val="center"/>
              <w:rPr>
                <w:noProof/>
                <w:sz w:val="18"/>
                <w:szCs w:val="18"/>
              </w:rPr>
            </w:pPr>
          </w:p>
        </w:tc>
        <w:tc>
          <w:tcPr>
            <w:tcW w:w="720" w:type="dxa"/>
            <w:tcBorders>
              <w:top w:val="nil"/>
              <w:left w:val="nil"/>
              <w:bottom w:val="nil"/>
              <w:right w:val="nil"/>
            </w:tcBorders>
          </w:tcPr>
          <w:p w14:paraId="46E07B37" w14:textId="77777777" w:rsidR="00EC37C5" w:rsidRDefault="00EC37C5">
            <w:pPr>
              <w:spacing w:before="60" w:after="60"/>
              <w:ind w:right="-29"/>
              <w:jc w:val="center"/>
              <w:rPr>
                <w:noProof/>
                <w:sz w:val="18"/>
                <w:szCs w:val="18"/>
              </w:rPr>
            </w:pPr>
          </w:p>
        </w:tc>
        <w:tc>
          <w:tcPr>
            <w:tcW w:w="900" w:type="dxa"/>
            <w:tcBorders>
              <w:top w:val="nil"/>
              <w:left w:val="nil"/>
              <w:bottom w:val="nil"/>
              <w:right w:val="nil"/>
            </w:tcBorders>
          </w:tcPr>
          <w:p w14:paraId="2CE3BBBB" w14:textId="77777777" w:rsidR="00EC37C5" w:rsidRDefault="00EC37C5">
            <w:pPr>
              <w:spacing w:before="60" w:after="60"/>
              <w:ind w:right="-29"/>
              <w:jc w:val="center"/>
              <w:rPr>
                <w:noProof/>
                <w:sz w:val="18"/>
                <w:szCs w:val="18"/>
              </w:rPr>
            </w:pPr>
          </w:p>
        </w:tc>
        <w:tc>
          <w:tcPr>
            <w:tcW w:w="720" w:type="dxa"/>
            <w:gridSpan w:val="2"/>
            <w:tcBorders>
              <w:top w:val="nil"/>
              <w:left w:val="nil"/>
              <w:bottom w:val="nil"/>
              <w:right w:val="nil"/>
            </w:tcBorders>
          </w:tcPr>
          <w:p w14:paraId="37A5CB1A" w14:textId="77777777" w:rsidR="00EC37C5" w:rsidRDefault="00EC37C5">
            <w:pPr>
              <w:spacing w:before="60" w:after="60"/>
              <w:ind w:right="-29"/>
              <w:jc w:val="center"/>
              <w:rPr>
                <w:noProof/>
                <w:sz w:val="18"/>
                <w:szCs w:val="18"/>
              </w:rPr>
            </w:pPr>
          </w:p>
        </w:tc>
        <w:tc>
          <w:tcPr>
            <w:tcW w:w="540" w:type="dxa"/>
            <w:tcBorders>
              <w:top w:val="nil"/>
              <w:left w:val="nil"/>
              <w:bottom w:val="nil"/>
              <w:right w:val="nil"/>
            </w:tcBorders>
          </w:tcPr>
          <w:p w14:paraId="6E6D79F0" w14:textId="77777777" w:rsidR="00EC37C5" w:rsidRDefault="00EC37C5">
            <w:pPr>
              <w:spacing w:before="60" w:after="60"/>
              <w:ind w:right="-29"/>
              <w:jc w:val="center"/>
              <w:rPr>
                <w:noProof/>
                <w:sz w:val="18"/>
                <w:szCs w:val="18"/>
              </w:rPr>
            </w:pPr>
          </w:p>
        </w:tc>
        <w:tc>
          <w:tcPr>
            <w:tcW w:w="648" w:type="dxa"/>
            <w:tcBorders>
              <w:top w:val="nil"/>
              <w:left w:val="nil"/>
              <w:bottom w:val="nil"/>
              <w:right w:val="nil"/>
            </w:tcBorders>
          </w:tcPr>
          <w:p w14:paraId="78EBCFB0" w14:textId="77777777" w:rsidR="00EC37C5" w:rsidRDefault="00EC37C5">
            <w:pPr>
              <w:spacing w:before="60" w:after="60"/>
              <w:ind w:right="-29"/>
              <w:jc w:val="center"/>
              <w:rPr>
                <w:noProof/>
                <w:sz w:val="18"/>
                <w:szCs w:val="18"/>
              </w:rPr>
            </w:pPr>
          </w:p>
        </w:tc>
        <w:tc>
          <w:tcPr>
            <w:tcW w:w="432" w:type="dxa"/>
            <w:tcBorders>
              <w:top w:val="nil"/>
              <w:left w:val="nil"/>
              <w:bottom w:val="nil"/>
              <w:right w:val="nil"/>
            </w:tcBorders>
          </w:tcPr>
          <w:p w14:paraId="098B9B89" w14:textId="77777777" w:rsidR="00EC37C5" w:rsidRDefault="00EC37C5">
            <w:pPr>
              <w:spacing w:before="60" w:after="60"/>
              <w:ind w:right="-29"/>
              <w:jc w:val="center"/>
              <w:rPr>
                <w:noProof/>
                <w:sz w:val="18"/>
                <w:szCs w:val="18"/>
              </w:rPr>
            </w:pPr>
          </w:p>
        </w:tc>
        <w:tc>
          <w:tcPr>
            <w:tcW w:w="720" w:type="dxa"/>
            <w:tcBorders>
              <w:top w:val="nil"/>
              <w:left w:val="nil"/>
              <w:bottom w:val="nil"/>
              <w:right w:val="nil"/>
            </w:tcBorders>
          </w:tcPr>
          <w:p w14:paraId="4BDA8F57" w14:textId="77777777" w:rsidR="00EC37C5" w:rsidRDefault="00EC37C5">
            <w:pPr>
              <w:spacing w:before="60" w:after="60"/>
              <w:ind w:right="-29"/>
              <w:jc w:val="center"/>
              <w:rPr>
                <w:noProof/>
                <w:sz w:val="18"/>
                <w:szCs w:val="18"/>
              </w:rPr>
            </w:pPr>
          </w:p>
        </w:tc>
        <w:tc>
          <w:tcPr>
            <w:tcW w:w="540" w:type="dxa"/>
            <w:tcBorders>
              <w:top w:val="nil"/>
              <w:left w:val="nil"/>
              <w:bottom w:val="nil"/>
              <w:right w:val="nil"/>
            </w:tcBorders>
          </w:tcPr>
          <w:p w14:paraId="1AB9DBC4" w14:textId="77777777" w:rsidR="00EC37C5" w:rsidRDefault="00EC37C5">
            <w:pPr>
              <w:spacing w:before="60" w:after="60"/>
              <w:ind w:right="-29"/>
              <w:jc w:val="center"/>
              <w:rPr>
                <w:noProof/>
                <w:sz w:val="18"/>
                <w:szCs w:val="18"/>
              </w:rPr>
            </w:pPr>
          </w:p>
        </w:tc>
        <w:tc>
          <w:tcPr>
            <w:tcW w:w="720" w:type="dxa"/>
            <w:tcBorders>
              <w:top w:val="nil"/>
              <w:left w:val="nil"/>
              <w:bottom w:val="nil"/>
              <w:right w:val="nil"/>
            </w:tcBorders>
          </w:tcPr>
          <w:p w14:paraId="6730BBE7" w14:textId="77777777" w:rsidR="00EC37C5" w:rsidRDefault="00EC37C5">
            <w:pPr>
              <w:spacing w:before="60" w:after="60"/>
              <w:ind w:right="-29"/>
              <w:jc w:val="center"/>
              <w:rPr>
                <w:noProof/>
                <w:sz w:val="18"/>
                <w:szCs w:val="18"/>
              </w:rPr>
            </w:pPr>
          </w:p>
        </w:tc>
        <w:tc>
          <w:tcPr>
            <w:tcW w:w="720" w:type="dxa"/>
            <w:tcBorders>
              <w:top w:val="nil"/>
              <w:left w:val="nil"/>
              <w:bottom w:val="nil"/>
              <w:right w:val="nil"/>
            </w:tcBorders>
          </w:tcPr>
          <w:p w14:paraId="53A5749E" w14:textId="77777777" w:rsidR="00EC37C5" w:rsidRDefault="00EC37C5">
            <w:pPr>
              <w:spacing w:before="60" w:after="60"/>
              <w:ind w:right="-29"/>
              <w:jc w:val="center"/>
              <w:rPr>
                <w:noProof/>
                <w:sz w:val="18"/>
                <w:szCs w:val="18"/>
              </w:rPr>
            </w:pPr>
          </w:p>
        </w:tc>
        <w:tc>
          <w:tcPr>
            <w:tcW w:w="900" w:type="dxa"/>
            <w:tcBorders>
              <w:top w:val="nil"/>
              <w:left w:val="nil"/>
              <w:bottom w:val="nil"/>
              <w:right w:val="nil"/>
            </w:tcBorders>
          </w:tcPr>
          <w:p w14:paraId="0D77BA3A" w14:textId="77777777" w:rsidR="00EC37C5" w:rsidRDefault="00EC37C5">
            <w:pPr>
              <w:spacing w:before="60" w:after="60"/>
              <w:ind w:right="-29"/>
              <w:jc w:val="center"/>
              <w:rPr>
                <w:noProof/>
                <w:sz w:val="18"/>
                <w:szCs w:val="18"/>
              </w:rPr>
            </w:pPr>
          </w:p>
        </w:tc>
      </w:tr>
      <w:tr w:rsidR="00EC37C5" w14:paraId="0D01DD1C" w14:textId="77777777">
        <w:trPr>
          <w:trHeight w:hRule="exact" w:val="369"/>
          <w:jc w:val="center"/>
        </w:trPr>
        <w:tc>
          <w:tcPr>
            <w:tcW w:w="1423" w:type="dxa"/>
          </w:tcPr>
          <w:p w14:paraId="5CBBC2E6" w14:textId="77777777" w:rsidR="00EC37C5" w:rsidRDefault="00EC37C5">
            <w:pPr>
              <w:ind w:right="-29"/>
              <w:jc w:val="center"/>
              <w:rPr>
                <w:noProof/>
                <w:sz w:val="18"/>
                <w:szCs w:val="18"/>
              </w:rPr>
            </w:pPr>
            <w:r>
              <w:rPr>
                <w:noProof/>
                <w:sz w:val="18"/>
              </w:rPr>
              <w:t>- Output</w:t>
            </w:r>
          </w:p>
        </w:tc>
        <w:tc>
          <w:tcPr>
            <w:tcW w:w="720" w:type="dxa"/>
          </w:tcPr>
          <w:p w14:paraId="2A30E459" w14:textId="77777777" w:rsidR="00EC37C5" w:rsidRDefault="00EC37C5">
            <w:pPr>
              <w:ind w:right="-29"/>
              <w:jc w:val="center"/>
              <w:rPr>
                <w:noProof/>
                <w:sz w:val="18"/>
                <w:szCs w:val="18"/>
              </w:rPr>
            </w:pPr>
          </w:p>
        </w:tc>
        <w:tc>
          <w:tcPr>
            <w:tcW w:w="701" w:type="dxa"/>
          </w:tcPr>
          <w:p w14:paraId="30B4E84D" w14:textId="77777777" w:rsidR="00EC37C5" w:rsidRDefault="00EC37C5">
            <w:pPr>
              <w:ind w:right="-29"/>
              <w:jc w:val="center"/>
              <w:rPr>
                <w:noProof/>
                <w:sz w:val="18"/>
                <w:szCs w:val="18"/>
              </w:rPr>
            </w:pPr>
          </w:p>
        </w:tc>
        <w:tc>
          <w:tcPr>
            <w:tcW w:w="504" w:type="dxa"/>
            <w:tcBorders>
              <w:right w:val="dashSmallGap" w:sz="4" w:space="0" w:color="auto"/>
            </w:tcBorders>
          </w:tcPr>
          <w:p w14:paraId="27408DC4" w14:textId="77777777" w:rsidR="00EC37C5" w:rsidRDefault="00EC37C5">
            <w:pPr>
              <w:ind w:right="-29"/>
              <w:jc w:val="center"/>
              <w:rPr>
                <w:noProof/>
                <w:sz w:val="18"/>
                <w:szCs w:val="18"/>
              </w:rPr>
            </w:pPr>
          </w:p>
        </w:tc>
        <w:tc>
          <w:tcPr>
            <w:tcW w:w="720" w:type="dxa"/>
            <w:tcBorders>
              <w:left w:val="dashSmallGap" w:sz="4" w:space="0" w:color="auto"/>
            </w:tcBorders>
          </w:tcPr>
          <w:p w14:paraId="728B7017" w14:textId="77777777" w:rsidR="00EC37C5" w:rsidRDefault="00EC37C5">
            <w:pPr>
              <w:ind w:right="-29"/>
              <w:jc w:val="center"/>
              <w:rPr>
                <w:noProof/>
                <w:sz w:val="18"/>
                <w:szCs w:val="18"/>
              </w:rPr>
            </w:pPr>
          </w:p>
        </w:tc>
        <w:tc>
          <w:tcPr>
            <w:tcW w:w="540" w:type="dxa"/>
            <w:tcBorders>
              <w:right w:val="dashSmallGap" w:sz="4" w:space="0" w:color="auto"/>
            </w:tcBorders>
          </w:tcPr>
          <w:p w14:paraId="6A582507" w14:textId="77777777" w:rsidR="00EC37C5" w:rsidRDefault="00EC37C5">
            <w:pPr>
              <w:ind w:right="-29"/>
              <w:jc w:val="center"/>
              <w:rPr>
                <w:noProof/>
                <w:sz w:val="18"/>
                <w:szCs w:val="18"/>
              </w:rPr>
            </w:pPr>
          </w:p>
        </w:tc>
        <w:tc>
          <w:tcPr>
            <w:tcW w:w="720" w:type="dxa"/>
            <w:tcBorders>
              <w:left w:val="dashSmallGap" w:sz="4" w:space="0" w:color="auto"/>
            </w:tcBorders>
          </w:tcPr>
          <w:p w14:paraId="5291755A" w14:textId="77777777" w:rsidR="00EC37C5" w:rsidRDefault="00EC37C5">
            <w:pPr>
              <w:ind w:right="-29"/>
              <w:jc w:val="center"/>
              <w:rPr>
                <w:noProof/>
                <w:sz w:val="18"/>
                <w:szCs w:val="18"/>
              </w:rPr>
            </w:pPr>
          </w:p>
        </w:tc>
        <w:tc>
          <w:tcPr>
            <w:tcW w:w="720" w:type="dxa"/>
            <w:tcBorders>
              <w:right w:val="dashSmallGap" w:sz="4" w:space="0" w:color="auto"/>
            </w:tcBorders>
          </w:tcPr>
          <w:p w14:paraId="314FE88B" w14:textId="77777777" w:rsidR="00EC37C5" w:rsidRDefault="00EC37C5">
            <w:pPr>
              <w:ind w:right="-29"/>
              <w:jc w:val="center"/>
              <w:rPr>
                <w:noProof/>
                <w:sz w:val="18"/>
                <w:szCs w:val="18"/>
              </w:rPr>
            </w:pPr>
          </w:p>
        </w:tc>
        <w:tc>
          <w:tcPr>
            <w:tcW w:w="720" w:type="dxa"/>
            <w:tcBorders>
              <w:left w:val="dashSmallGap" w:sz="4" w:space="0" w:color="auto"/>
            </w:tcBorders>
          </w:tcPr>
          <w:p w14:paraId="6198F715" w14:textId="77777777" w:rsidR="00EC37C5" w:rsidRDefault="00EC37C5">
            <w:pPr>
              <w:ind w:right="-29"/>
              <w:jc w:val="center"/>
              <w:rPr>
                <w:noProof/>
                <w:sz w:val="18"/>
                <w:szCs w:val="18"/>
              </w:rPr>
            </w:pPr>
          </w:p>
        </w:tc>
        <w:tc>
          <w:tcPr>
            <w:tcW w:w="900" w:type="dxa"/>
            <w:tcBorders>
              <w:right w:val="dashSmallGap" w:sz="4" w:space="0" w:color="auto"/>
            </w:tcBorders>
          </w:tcPr>
          <w:p w14:paraId="444BD19F" w14:textId="77777777" w:rsidR="00EC37C5" w:rsidRDefault="00EC37C5">
            <w:pPr>
              <w:ind w:right="-29"/>
              <w:jc w:val="center"/>
              <w:rPr>
                <w:noProof/>
                <w:sz w:val="18"/>
                <w:szCs w:val="18"/>
              </w:rPr>
            </w:pPr>
          </w:p>
        </w:tc>
        <w:tc>
          <w:tcPr>
            <w:tcW w:w="720" w:type="dxa"/>
            <w:gridSpan w:val="2"/>
            <w:tcBorders>
              <w:left w:val="dashSmallGap" w:sz="4" w:space="0" w:color="auto"/>
            </w:tcBorders>
          </w:tcPr>
          <w:p w14:paraId="2BB5974E" w14:textId="77777777" w:rsidR="00EC37C5" w:rsidRDefault="00EC37C5">
            <w:pPr>
              <w:ind w:right="-29"/>
              <w:jc w:val="center"/>
              <w:rPr>
                <w:noProof/>
                <w:sz w:val="18"/>
                <w:szCs w:val="18"/>
              </w:rPr>
            </w:pPr>
          </w:p>
        </w:tc>
        <w:tc>
          <w:tcPr>
            <w:tcW w:w="540" w:type="dxa"/>
            <w:tcBorders>
              <w:right w:val="dashSmallGap" w:sz="4" w:space="0" w:color="auto"/>
            </w:tcBorders>
          </w:tcPr>
          <w:p w14:paraId="707A5D4E" w14:textId="77777777" w:rsidR="00EC37C5" w:rsidRDefault="00EC37C5">
            <w:pPr>
              <w:ind w:right="-29"/>
              <w:jc w:val="center"/>
              <w:rPr>
                <w:noProof/>
                <w:sz w:val="18"/>
                <w:szCs w:val="18"/>
              </w:rPr>
            </w:pPr>
          </w:p>
        </w:tc>
        <w:tc>
          <w:tcPr>
            <w:tcW w:w="648" w:type="dxa"/>
            <w:tcBorders>
              <w:left w:val="dashSmallGap" w:sz="4" w:space="0" w:color="auto"/>
            </w:tcBorders>
          </w:tcPr>
          <w:p w14:paraId="215A6E9A" w14:textId="77777777" w:rsidR="00EC37C5" w:rsidRDefault="00EC37C5">
            <w:pPr>
              <w:ind w:right="-29"/>
              <w:jc w:val="center"/>
              <w:rPr>
                <w:noProof/>
                <w:sz w:val="18"/>
                <w:szCs w:val="18"/>
              </w:rPr>
            </w:pPr>
          </w:p>
        </w:tc>
        <w:tc>
          <w:tcPr>
            <w:tcW w:w="432" w:type="dxa"/>
            <w:tcBorders>
              <w:right w:val="dashSmallGap" w:sz="4" w:space="0" w:color="auto"/>
            </w:tcBorders>
          </w:tcPr>
          <w:p w14:paraId="2551C7C3" w14:textId="77777777" w:rsidR="00EC37C5" w:rsidRDefault="00EC37C5">
            <w:pPr>
              <w:ind w:right="-29"/>
              <w:jc w:val="center"/>
              <w:rPr>
                <w:noProof/>
                <w:sz w:val="18"/>
                <w:szCs w:val="18"/>
              </w:rPr>
            </w:pPr>
          </w:p>
        </w:tc>
        <w:tc>
          <w:tcPr>
            <w:tcW w:w="720" w:type="dxa"/>
            <w:tcBorders>
              <w:left w:val="dashSmallGap" w:sz="4" w:space="0" w:color="auto"/>
            </w:tcBorders>
          </w:tcPr>
          <w:p w14:paraId="4D69580F" w14:textId="77777777" w:rsidR="00EC37C5" w:rsidRDefault="00EC37C5">
            <w:pPr>
              <w:ind w:right="-29"/>
              <w:jc w:val="center"/>
              <w:rPr>
                <w:noProof/>
                <w:sz w:val="18"/>
                <w:szCs w:val="18"/>
              </w:rPr>
            </w:pPr>
          </w:p>
        </w:tc>
        <w:tc>
          <w:tcPr>
            <w:tcW w:w="540" w:type="dxa"/>
            <w:tcBorders>
              <w:right w:val="dashSmallGap" w:sz="4" w:space="0" w:color="auto"/>
            </w:tcBorders>
          </w:tcPr>
          <w:p w14:paraId="5D641795" w14:textId="77777777" w:rsidR="00EC37C5" w:rsidRDefault="00EC37C5">
            <w:pPr>
              <w:ind w:right="-29"/>
              <w:jc w:val="center"/>
              <w:rPr>
                <w:noProof/>
                <w:sz w:val="18"/>
                <w:szCs w:val="18"/>
              </w:rPr>
            </w:pPr>
          </w:p>
        </w:tc>
        <w:tc>
          <w:tcPr>
            <w:tcW w:w="720" w:type="dxa"/>
            <w:tcBorders>
              <w:left w:val="dashSmallGap" w:sz="4" w:space="0" w:color="auto"/>
            </w:tcBorders>
          </w:tcPr>
          <w:p w14:paraId="63E98AB0" w14:textId="77777777" w:rsidR="00EC37C5" w:rsidRDefault="00EC37C5">
            <w:pPr>
              <w:ind w:right="-29"/>
              <w:jc w:val="center"/>
              <w:rPr>
                <w:noProof/>
                <w:sz w:val="18"/>
                <w:szCs w:val="18"/>
              </w:rPr>
            </w:pPr>
          </w:p>
        </w:tc>
        <w:tc>
          <w:tcPr>
            <w:tcW w:w="720" w:type="dxa"/>
          </w:tcPr>
          <w:p w14:paraId="117A80CB" w14:textId="77777777" w:rsidR="00EC37C5" w:rsidRDefault="00EC37C5">
            <w:pPr>
              <w:ind w:right="-29"/>
              <w:jc w:val="center"/>
              <w:rPr>
                <w:noProof/>
                <w:sz w:val="18"/>
                <w:szCs w:val="18"/>
              </w:rPr>
            </w:pPr>
          </w:p>
        </w:tc>
        <w:tc>
          <w:tcPr>
            <w:tcW w:w="900" w:type="dxa"/>
          </w:tcPr>
          <w:p w14:paraId="23ABB314" w14:textId="77777777" w:rsidR="00EC37C5" w:rsidRDefault="00EC37C5">
            <w:pPr>
              <w:ind w:right="-29"/>
              <w:jc w:val="center"/>
              <w:rPr>
                <w:noProof/>
                <w:sz w:val="18"/>
                <w:szCs w:val="18"/>
              </w:rPr>
            </w:pPr>
          </w:p>
        </w:tc>
      </w:tr>
      <w:tr w:rsidR="00EC37C5" w14:paraId="01B2848A" w14:textId="77777777">
        <w:trPr>
          <w:trHeight w:hRule="exact" w:val="369"/>
          <w:jc w:val="center"/>
        </w:trPr>
        <w:tc>
          <w:tcPr>
            <w:tcW w:w="1423" w:type="dxa"/>
          </w:tcPr>
          <w:p w14:paraId="1B8C42A8" w14:textId="77777777" w:rsidR="00EC37C5" w:rsidRDefault="00EC37C5">
            <w:pPr>
              <w:ind w:right="-29"/>
              <w:jc w:val="center"/>
              <w:rPr>
                <w:noProof/>
                <w:sz w:val="18"/>
                <w:szCs w:val="18"/>
              </w:rPr>
            </w:pPr>
            <w:r>
              <w:rPr>
                <w:noProof/>
                <w:sz w:val="18"/>
              </w:rPr>
              <w:t>- Output</w:t>
            </w:r>
          </w:p>
        </w:tc>
        <w:tc>
          <w:tcPr>
            <w:tcW w:w="720" w:type="dxa"/>
          </w:tcPr>
          <w:p w14:paraId="6EE5E572" w14:textId="77777777" w:rsidR="00EC37C5" w:rsidRDefault="00EC37C5">
            <w:pPr>
              <w:ind w:right="-29"/>
              <w:jc w:val="center"/>
              <w:rPr>
                <w:noProof/>
                <w:sz w:val="18"/>
                <w:szCs w:val="18"/>
              </w:rPr>
            </w:pPr>
          </w:p>
        </w:tc>
        <w:tc>
          <w:tcPr>
            <w:tcW w:w="701" w:type="dxa"/>
          </w:tcPr>
          <w:p w14:paraId="04A02C05" w14:textId="77777777" w:rsidR="00EC37C5" w:rsidRDefault="00EC37C5">
            <w:pPr>
              <w:ind w:right="-29"/>
              <w:jc w:val="center"/>
              <w:rPr>
                <w:noProof/>
                <w:sz w:val="18"/>
                <w:szCs w:val="18"/>
              </w:rPr>
            </w:pPr>
          </w:p>
        </w:tc>
        <w:tc>
          <w:tcPr>
            <w:tcW w:w="504" w:type="dxa"/>
            <w:tcBorders>
              <w:right w:val="dashSmallGap" w:sz="4" w:space="0" w:color="auto"/>
            </w:tcBorders>
          </w:tcPr>
          <w:p w14:paraId="0FC57AFC" w14:textId="77777777" w:rsidR="00EC37C5" w:rsidRDefault="00EC37C5">
            <w:pPr>
              <w:ind w:right="-29"/>
              <w:jc w:val="center"/>
              <w:rPr>
                <w:noProof/>
                <w:sz w:val="18"/>
                <w:szCs w:val="18"/>
              </w:rPr>
            </w:pPr>
          </w:p>
        </w:tc>
        <w:tc>
          <w:tcPr>
            <w:tcW w:w="720" w:type="dxa"/>
            <w:tcBorders>
              <w:left w:val="dashSmallGap" w:sz="4" w:space="0" w:color="auto"/>
            </w:tcBorders>
          </w:tcPr>
          <w:p w14:paraId="260BCDBF" w14:textId="77777777" w:rsidR="00EC37C5" w:rsidRDefault="00EC37C5">
            <w:pPr>
              <w:ind w:right="-29"/>
              <w:jc w:val="center"/>
              <w:rPr>
                <w:noProof/>
                <w:sz w:val="18"/>
                <w:szCs w:val="18"/>
              </w:rPr>
            </w:pPr>
          </w:p>
        </w:tc>
        <w:tc>
          <w:tcPr>
            <w:tcW w:w="540" w:type="dxa"/>
            <w:tcBorders>
              <w:right w:val="dashSmallGap" w:sz="4" w:space="0" w:color="auto"/>
            </w:tcBorders>
          </w:tcPr>
          <w:p w14:paraId="2DE0D4B5" w14:textId="77777777" w:rsidR="00EC37C5" w:rsidRDefault="00EC37C5">
            <w:pPr>
              <w:ind w:right="-29"/>
              <w:jc w:val="center"/>
              <w:rPr>
                <w:noProof/>
                <w:sz w:val="18"/>
                <w:szCs w:val="18"/>
              </w:rPr>
            </w:pPr>
          </w:p>
        </w:tc>
        <w:tc>
          <w:tcPr>
            <w:tcW w:w="720" w:type="dxa"/>
            <w:tcBorders>
              <w:left w:val="dashSmallGap" w:sz="4" w:space="0" w:color="auto"/>
            </w:tcBorders>
          </w:tcPr>
          <w:p w14:paraId="254CDFB3" w14:textId="77777777" w:rsidR="00EC37C5" w:rsidRDefault="00EC37C5">
            <w:pPr>
              <w:ind w:right="-29"/>
              <w:jc w:val="center"/>
              <w:rPr>
                <w:noProof/>
                <w:sz w:val="18"/>
                <w:szCs w:val="18"/>
              </w:rPr>
            </w:pPr>
          </w:p>
        </w:tc>
        <w:tc>
          <w:tcPr>
            <w:tcW w:w="720" w:type="dxa"/>
            <w:tcBorders>
              <w:right w:val="dashSmallGap" w:sz="4" w:space="0" w:color="auto"/>
            </w:tcBorders>
          </w:tcPr>
          <w:p w14:paraId="112E957F" w14:textId="77777777" w:rsidR="00EC37C5" w:rsidRDefault="00EC37C5">
            <w:pPr>
              <w:ind w:right="-29"/>
              <w:jc w:val="center"/>
              <w:rPr>
                <w:noProof/>
                <w:sz w:val="18"/>
                <w:szCs w:val="18"/>
              </w:rPr>
            </w:pPr>
          </w:p>
        </w:tc>
        <w:tc>
          <w:tcPr>
            <w:tcW w:w="720" w:type="dxa"/>
            <w:tcBorders>
              <w:left w:val="dashSmallGap" w:sz="4" w:space="0" w:color="auto"/>
            </w:tcBorders>
          </w:tcPr>
          <w:p w14:paraId="4329D6D8" w14:textId="77777777" w:rsidR="00EC37C5" w:rsidRDefault="00EC37C5">
            <w:pPr>
              <w:ind w:right="-29"/>
              <w:jc w:val="center"/>
              <w:rPr>
                <w:noProof/>
                <w:sz w:val="18"/>
                <w:szCs w:val="18"/>
              </w:rPr>
            </w:pPr>
          </w:p>
        </w:tc>
        <w:tc>
          <w:tcPr>
            <w:tcW w:w="900" w:type="dxa"/>
            <w:tcBorders>
              <w:right w:val="dashSmallGap" w:sz="4" w:space="0" w:color="auto"/>
            </w:tcBorders>
          </w:tcPr>
          <w:p w14:paraId="3723EEAA" w14:textId="77777777" w:rsidR="00EC37C5" w:rsidRDefault="00EC37C5">
            <w:pPr>
              <w:ind w:right="-29"/>
              <w:jc w:val="center"/>
              <w:rPr>
                <w:noProof/>
                <w:sz w:val="18"/>
                <w:szCs w:val="18"/>
              </w:rPr>
            </w:pPr>
          </w:p>
        </w:tc>
        <w:tc>
          <w:tcPr>
            <w:tcW w:w="720" w:type="dxa"/>
            <w:gridSpan w:val="2"/>
            <w:tcBorders>
              <w:left w:val="dashSmallGap" w:sz="4" w:space="0" w:color="auto"/>
            </w:tcBorders>
          </w:tcPr>
          <w:p w14:paraId="7887D38F" w14:textId="77777777" w:rsidR="00EC37C5" w:rsidRDefault="00EC37C5">
            <w:pPr>
              <w:ind w:right="-29"/>
              <w:jc w:val="center"/>
              <w:rPr>
                <w:noProof/>
                <w:sz w:val="18"/>
                <w:szCs w:val="18"/>
              </w:rPr>
            </w:pPr>
          </w:p>
        </w:tc>
        <w:tc>
          <w:tcPr>
            <w:tcW w:w="540" w:type="dxa"/>
            <w:tcBorders>
              <w:right w:val="dashSmallGap" w:sz="4" w:space="0" w:color="auto"/>
            </w:tcBorders>
          </w:tcPr>
          <w:p w14:paraId="0DCC130F" w14:textId="77777777" w:rsidR="00EC37C5" w:rsidRDefault="00EC37C5">
            <w:pPr>
              <w:ind w:right="-29"/>
              <w:jc w:val="center"/>
              <w:rPr>
                <w:noProof/>
                <w:sz w:val="18"/>
                <w:szCs w:val="18"/>
              </w:rPr>
            </w:pPr>
          </w:p>
        </w:tc>
        <w:tc>
          <w:tcPr>
            <w:tcW w:w="648" w:type="dxa"/>
            <w:tcBorders>
              <w:left w:val="dashSmallGap" w:sz="4" w:space="0" w:color="auto"/>
            </w:tcBorders>
          </w:tcPr>
          <w:p w14:paraId="6903CE89" w14:textId="77777777" w:rsidR="00EC37C5" w:rsidRDefault="00EC37C5">
            <w:pPr>
              <w:ind w:right="-29"/>
              <w:jc w:val="center"/>
              <w:rPr>
                <w:noProof/>
                <w:sz w:val="18"/>
                <w:szCs w:val="18"/>
              </w:rPr>
            </w:pPr>
          </w:p>
        </w:tc>
        <w:tc>
          <w:tcPr>
            <w:tcW w:w="432" w:type="dxa"/>
            <w:tcBorders>
              <w:right w:val="dashSmallGap" w:sz="4" w:space="0" w:color="auto"/>
            </w:tcBorders>
          </w:tcPr>
          <w:p w14:paraId="52173E6D" w14:textId="77777777" w:rsidR="00EC37C5" w:rsidRDefault="00EC37C5">
            <w:pPr>
              <w:ind w:right="-29"/>
              <w:jc w:val="center"/>
              <w:rPr>
                <w:noProof/>
                <w:sz w:val="18"/>
                <w:szCs w:val="18"/>
              </w:rPr>
            </w:pPr>
          </w:p>
        </w:tc>
        <w:tc>
          <w:tcPr>
            <w:tcW w:w="720" w:type="dxa"/>
            <w:tcBorders>
              <w:left w:val="dashSmallGap" w:sz="4" w:space="0" w:color="auto"/>
            </w:tcBorders>
          </w:tcPr>
          <w:p w14:paraId="60C2C193" w14:textId="77777777" w:rsidR="00EC37C5" w:rsidRDefault="00EC37C5">
            <w:pPr>
              <w:ind w:right="-29"/>
              <w:jc w:val="center"/>
              <w:rPr>
                <w:noProof/>
                <w:sz w:val="18"/>
                <w:szCs w:val="18"/>
              </w:rPr>
            </w:pPr>
          </w:p>
        </w:tc>
        <w:tc>
          <w:tcPr>
            <w:tcW w:w="540" w:type="dxa"/>
            <w:tcBorders>
              <w:right w:val="dashSmallGap" w:sz="4" w:space="0" w:color="auto"/>
            </w:tcBorders>
          </w:tcPr>
          <w:p w14:paraId="2A890669" w14:textId="77777777" w:rsidR="00EC37C5" w:rsidRDefault="00EC37C5">
            <w:pPr>
              <w:ind w:right="-29"/>
              <w:jc w:val="center"/>
              <w:rPr>
                <w:noProof/>
                <w:sz w:val="18"/>
                <w:szCs w:val="18"/>
              </w:rPr>
            </w:pPr>
          </w:p>
        </w:tc>
        <w:tc>
          <w:tcPr>
            <w:tcW w:w="720" w:type="dxa"/>
            <w:tcBorders>
              <w:left w:val="dashSmallGap" w:sz="4" w:space="0" w:color="auto"/>
            </w:tcBorders>
          </w:tcPr>
          <w:p w14:paraId="65C7B419" w14:textId="77777777" w:rsidR="00EC37C5" w:rsidRDefault="00EC37C5">
            <w:pPr>
              <w:ind w:right="-29"/>
              <w:jc w:val="center"/>
              <w:rPr>
                <w:noProof/>
                <w:sz w:val="18"/>
                <w:szCs w:val="18"/>
              </w:rPr>
            </w:pPr>
          </w:p>
        </w:tc>
        <w:tc>
          <w:tcPr>
            <w:tcW w:w="720" w:type="dxa"/>
          </w:tcPr>
          <w:p w14:paraId="395507A3" w14:textId="77777777" w:rsidR="00EC37C5" w:rsidRDefault="00EC37C5">
            <w:pPr>
              <w:ind w:right="-29"/>
              <w:jc w:val="center"/>
              <w:rPr>
                <w:noProof/>
                <w:sz w:val="18"/>
                <w:szCs w:val="18"/>
              </w:rPr>
            </w:pPr>
          </w:p>
        </w:tc>
        <w:tc>
          <w:tcPr>
            <w:tcW w:w="900" w:type="dxa"/>
          </w:tcPr>
          <w:p w14:paraId="0E12C8EA" w14:textId="77777777" w:rsidR="00EC37C5" w:rsidRDefault="00EC37C5">
            <w:pPr>
              <w:ind w:right="-29"/>
              <w:jc w:val="center"/>
              <w:rPr>
                <w:noProof/>
                <w:sz w:val="18"/>
                <w:szCs w:val="18"/>
              </w:rPr>
            </w:pPr>
          </w:p>
        </w:tc>
      </w:tr>
      <w:tr w:rsidR="00EC37C5" w14:paraId="54C0AFC6" w14:textId="77777777">
        <w:trPr>
          <w:trHeight w:hRule="exact" w:val="369"/>
          <w:jc w:val="center"/>
        </w:trPr>
        <w:tc>
          <w:tcPr>
            <w:tcW w:w="1423" w:type="dxa"/>
          </w:tcPr>
          <w:p w14:paraId="38935935" w14:textId="77777777" w:rsidR="00EC37C5" w:rsidRDefault="00EC37C5">
            <w:pPr>
              <w:ind w:right="-29"/>
              <w:jc w:val="center"/>
              <w:rPr>
                <w:noProof/>
                <w:sz w:val="18"/>
                <w:szCs w:val="18"/>
              </w:rPr>
            </w:pPr>
            <w:r>
              <w:rPr>
                <w:noProof/>
                <w:sz w:val="18"/>
              </w:rPr>
              <w:t>- Output</w:t>
            </w:r>
          </w:p>
        </w:tc>
        <w:tc>
          <w:tcPr>
            <w:tcW w:w="720" w:type="dxa"/>
          </w:tcPr>
          <w:p w14:paraId="07D20D24" w14:textId="77777777" w:rsidR="00EC37C5" w:rsidRDefault="00EC37C5">
            <w:pPr>
              <w:ind w:right="-29"/>
              <w:jc w:val="center"/>
              <w:rPr>
                <w:noProof/>
                <w:sz w:val="18"/>
                <w:szCs w:val="18"/>
              </w:rPr>
            </w:pPr>
          </w:p>
        </w:tc>
        <w:tc>
          <w:tcPr>
            <w:tcW w:w="701" w:type="dxa"/>
          </w:tcPr>
          <w:p w14:paraId="204EE21E" w14:textId="77777777" w:rsidR="00EC37C5" w:rsidRDefault="00EC37C5">
            <w:pPr>
              <w:ind w:right="-29"/>
              <w:jc w:val="center"/>
              <w:rPr>
                <w:noProof/>
                <w:sz w:val="18"/>
                <w:szCs w:val="18"/>
              </w:rPr>
            </w:pPr>
          </w:p>
        </w:tc>
        <w:tc>
          <w:tcPr>
            <w:tcW w:w="504" w:type="dxa"/>
          </w:tcPr>
          <w:p w14:paraId="0D4549AE" w14:textId="77777777" w:rsidR="00EC37C5" w:rsidRDefault="00EC37C5">
            <w:pPr>
              <w:ind w:right="-29"/>
              <w:jc w:val="center"/>
              <w:rPr>
                <w:noProof/>
                <w:sz w:val="18"/>
                <w:szCs w:val="18"/>
              </w:rPr>
            </w:pPr>
          </w:p>
        </w:tc>
        <w:tc>
          <w:tcPr>
            <w:tcW w:w="720" w:type="dxa"/>
          </w:tcPr>
          <w:p w14:paraId="36285534" w14:textId="77777777" w:rsidR="00EC37C5" w:rsidRDefault="00EC37C5">
            <w:pPr>
              <w:ind w:right="-29"/>
              <w:jc w:val="center"/>
              <w:rPr>
                <w:noProof/>
                <w:sz w:val="18"/>
                <w:szCs w:val="18"/>
              </w:rPr>
            </w:pPr>
          </w:p>
        </w:tc>
        <w:tc>
          <w:tcPr>
            <w:tcW w:w="540" w:type="dxa"/>
          </w:tcPr>
          <w:p w14:paraId="4459802F" w14:textId="77777777" w:rsidR="00EC37C5" w:rsidRDefault="00EC37C5">
            <w:pPr>
              <w:ind w:right="-29"/>
              <w:jc w:val="center"/>
              <w:rPr>
                <w:noProof/>
                <w:sz w:val="18"/>
                <w:szCs w:val="18"/>
              </w:rPr>
            </w:pPr>
          </w:p>
        </w:tc>
        <w:tc>
          <w:tcPr>
            <w:tcW w:w="720" w:type="dxa"/>
          </w:tcPr>
          <w:p w14:paraId="3897722D" w14:textId="77777777" w:rsidR="00EC37C5" w:rsidRDefault="00EC37C5">
            <w:pPr>
              <w:ind w:right="-29"/>
              <w:jc w:val="center"/>
              <w:rPr>
                <w:noProof/>
                <w:sz w:val="18"/>
                <w:szCs w:val="18"/>
              </w:rPr>
            </w:pPr>
          </w:p>
        </w:tc>
        <w:tc>
          <w:tcPr>
            <w:tcW w:w="720" w:type="dxa"/>
          </w:tcPr>
          <w:p w14:paraId="2503FFCA" w14:textId="77777777" w:rsidR="00EC37C5" w:rsidRDefault="00EC37C5">
            <w:pPr>
              <w:ind w:right="-29"/>
              <w:jc w:val="center"/>
              <w:rPr>
                <w:noProof/>
                <w:sz w:val="18"/>
                <w:szCs w:val="18"/>
              </w:rPr>
            </w:pPr>
          </w:p>
        </w:tc>
        <w:tc>
          <w:tcPr>
            <w:tcW w:w="720" w:type="dxa"/>
          </w:tcPr>
          <w:p w14:paraId="2578C140" w14:textId="77777777" w:rsidR="00EC37C5" w:rsidRDefault="00EC37C5">
            <w:pPr>
              <w:ind w:right="-29"/>
              <w:jc w:val="center"/>
              <w:rPr>
                <w:noProof/>
                <w:sz w:val="18"/>
                <w:szCs w:val="18"/>
              </w:rPr>
            </w:pPr>
          </w:p>
        </w:tc>
        <w:tc>
          <w:tcPr>
            <w:tcW w:w="900" w:type="dxa"/>
          </w:tcPr>
          <w:p w14:paraId="249A7810" w14:textId="77777777" w:rsidR="00EC37C5" w:rsidRDefault="00EC37C5">
            <w:pPr>
              <w:ind w:right="-29"/>
              <w:jc w:val="center"/>
              <w:rPr>
                <w:noProof/>
                <w:sz w:val="18"/>
                <w:szCs w:val="18"/>
              </w:rPr>
            </w:pPr>
          </w:p>
        </w:tc>
        <w:tc>
          <w:tcPr>
            <w:tcW w:w="720" w:type="dxa"/>
            <w:gridSpan w:val="2"/>
          </w:tcPr>
          <w:p w14:paraId="54FCC00C" w14:textId="77777777" w:rsidR="00EC37C5" w:rsidRDefault="00EC37C5">
            <w:pPr>
              <w:ind w:right="-29"/>
              <w:jc w:val="center"/>
              <w:rPr>
                <w:noProof/>
                <w:sz w:val="18"/>
                <w:szCs w:val="18"/>
              </w:rPr>
            </w:pPr>
          </w:p>
        </w:tc>
        <w:tc>
          <w:tcPr>
            <w:tcW w:w="540" w:type="dxa"/>
          </w:tcPr>
          <w:p w14:paraId="7F607C13" w14:textId="77777777" w:rsidR="00EC37C5" w:rsidRDefault="00EC37C5">
            <w:pPr>
              <w:ind w:right="-29"/>
              <w:jc w:val="center"/>
              <w:rPr>
                <w:noProof/>
                <w:sz w:val="18"/>
                <w:szCs w:val="18"/>
              </w:rPr>
            </w:pPr>
          </w:p>
        </w:tc>
        <w:tc>
          <w:tcPr>
            <w:tcW w:w="648" w:type="dxa"/>
          </w:tcPr>
          <w:p w14:paraId="3384DE70" w14:textId="77777777" w:rsidR="00EC37C5" w:rsidRDefault="00EC37C5">
            <w:pPr>
              <w:ind w:right="-29"/>
              <w:jc w:val="center"/>
              <w:rPr>
                <w:noProof/>
                <w:sz w:val="18"/>
                <w:szCs w:val="18"/>
              </w:rPr>
            </w:pPr>
          </w:p>
        </w:tc>
        <w:tc>
          <w:tcPr>
            <w:tcW w:w="432" w:type="dxa"/>
          </w:tcPr>
          <w:p w14:paraId="0B563A25" w14:textId="77777777" w:rsidR="00EC37C5" w:rsidRDefault="00EC37C5">
            <w:pPr>
              <w:ind w:right="-29"/>
              <w:jc w:val="center"/>
              <w:rPr>
                <w:noProof/>
                <w:sz w:val="18"/>
                <w:szCs w:val="18"/>
              </w:rPr>
            </w:pPr>
          </w:p>
        </w:tc>
        <w:tc>
          <w:tcPr>
            <w:tcW w:w="720" w:type="dxa"/>
          </w:tcPr>
          <w:p w14:paraId="06014D8D" w14:textId="77777777" w:rsidR="00EC37C5" w:rsidRDefault="00EC37C5">
            <w:pPr>
              <w:ind w:right="-29"/>
              <w:jc w:val="center"/>
              <w:rPr>
                <w:noProof/>
                <w:sz w:val="18"/>
                <w:szCs w:val="18"/>
              </w:rPr>
            </w:pPr>
          </w:p>
        </w:tc>
        <w:tc>
          <w:tcPr>
            <w:tcW w:w="540" w:type="dxa"/>
          </w:tcPr>
          <w:p w14:paraId="7B08BEDC" w14:textId="77777777" w:rsidR="00EC37C5" w:rsidRDefault="00EC37C5">
            <w:pPr>
              <w:ind w:right="-29"/>
              <w:jc w:val="center"/>
              <w:rPr>
                <w:noProof/>
                <w:sz w:val="18"/>
                <w:szCs w:val="18"/>
              </w:rPr>
            </w:pPr>
          </w:p>
        </w:tc>
        <w:tc>
          <w:tcPr>
            <w:tcW w:w="720" w:type="dxa"/>
          </w:tcPr>
          <w:p w14:paraId="198EF74F" w14:textId="77777777" w:rsidR="00EC37C5" w:rsidRDefault="00EC37C5">
            <w:pPr>
              <w:ind w:right="-29"/>
              <w:jc w:val="center"/>
              <w:rPr>
                <w:noProof/>
                <w:sz w:val="18"/>
                <w:szCs w:val="18"/>
              </w:rPr>
            </w:pPr>
          </w:p>
        </w:tc>
        <w:tc>
          <w:tcPr>
            <w:tcW w:w="720" w:type="dxa"/>
          </w:tcPr>
          <w:p w14:paraId="1CB24F11" w14:textId="77777777" w:rsidR="00EC37C5" w:rsidRDefault="00EC37C5">
            <w:pPr>
              <w:ind w:right="-29"/>
              <w:jc w:val="center"/>
              <w:rPr>
                <w:noProof/>
                <w:sz w:val="18"/>
                <w:szCs w:val="18"/>
              </w:rPr>
            </w:pPr>
          </w:p>
        </w:tc>
        <w:tc>
          <w:tcPr>
            <w:tcW w:w="900" w:type="dxa"/>
          </w:tcPr>
          <w:p w14:paraId="7F900FF2" w14:textId="77777777" w:rsidR="00EC37C5" w:rsidRDefault="00EC37C5">
            <w:pPr>
              <w:ind w:right="-29"/>
              <w:jc w:val="center"/>
              <w:rPr>
                <w:noProof/>
                <w:sz w:val="18"/>
                <w:szCs w:val="18"/>
              </w:rPr>
            </w:pPr>
          </w:p>
        </w:tc>
      </w:tr>
      <w:tr w:rsidR="00EC37C5" w:rsidRPr="003A769F" w14:paraId="7FB8467A" w14:textId="77777777">
        <w:trPr>
          <w:trHeight w:val="77"/>
          <w:jc w:val="center"/>
        </w:trPr>
        <w:tc>
          <w:tcPr>
            <w:tcW w:w="2844" w:type="dxa"/>
            <w:gridSpan w:val="3"/>
            <w:tcBorders>
              <w:bottom w:val="single" w:sz="12" w:space="0" w:color="auto"/>
            </w:tcBorders>
            <w:vAlign w:val="center"/>
          </w:tcPr>
          <w:p w14:paraId="7F241851" w14:textId="77777777" w:rsidR="00EC37C5" w:rsidRPr="003A769F" w:rsidRDefault="00EC37C5">
            <w:pPr>
              <w:ind w:right="-29"/>
              <w:jc w:val="center"/>
              <w:rPr>
                <w:noProof/>
                <w:sz w:val="18"/>
                <w:szCs w:val="18"/>
                <w:lang w:val="en-IE"/>
              </w:rPr>
            </w:pPr>
            <w:r w:rsidRPr="003A769F">
              <w:rPr>
                <w:noProof/>
                <w:sz w:val="18"/>
                <w:lang w:val="en-IE"/>
              </w:rPr>
              <w:t>Subtotal for specific objective No 1</w:t>
            </w:r>
          </w:p>
        </w:tc>
        <w:tc>
          <w:tcPr>
            <w:tcW w:w="504" w:type="dxa"/>
            <w:tcBorders>
              <w:bottom w:val="single" w:sz="12" w:space="0" w:color="auto"/>
            </w:tcBorders>
          </w:tcPr>
          <w:p w14:paraId="26C5D004" w14:textId="77777777" w:rsidR="00EC37C5" w:rsidRPr="003A769F" w:rsidRDefault="00EC37C5">
            <w:pPr>
              <w:ind w:right="-29"/>
              <w:jc w:val="center"/>
              <w:rPr>
                <w:noProof/>
                <w:sz w:val="18"/>
                <w:szCs w:val="18"/>
                <w:lang w:val="en-IE"/>
              </w:rPr>
            </w:pPr>
          </w:p>
        </w:tc>
        <w:tc>
          <w:tcPr>
            <w:tcW w:w="720" w:type="dxa"/>
            <w:tcBorders>
              <w:bottom w:val="single" w:sz="12" w:space="0" w:color="auto"/>
            </w:tcBorders>
          </w:tcPr>
          <w:p w14:paraId="0DC9F536" w14:textId="77777777" w:rsidR="00EC37C5" w:rsidRPr="003A769F" w:rsidRDefault="00EC37C5">
            <w:pPr>
              <w:ind w:right="-29"/>
              <w:jc w:val="center"/>
              <w:rPr>
                <w:noProof/>
                <w:sz w:val="18"/>
                <w:szCs w:val="18"/>
                <w:lang w:val="en-IE"/>
              </w:rPr>
            </w:pPr>
          </w:p>
        </w:tc>
        <w:tc>
          <w:tcPr>
            <w:tcW w:w="540" w:type="dxa"/>
            <w:tcBorders>
              <w:bottom w:val="single" w:sz="12" w:space="0" w:color="auto"/>
            </w:tcBorders>
          </w:tcPr>
          <w:p w14:paraId="17D0BE3C" w14:textId="77777777" w:rsidR="00EC37C5" w:rsidRPr="003A769F" w:rsidRDefault="00EC37C5">
            <w:pPr>
              <w:ind w:right="-29"/>
              <w:jc w:val="center"/>
              <w:rPr>
                <w:noProof/>
                <w:sz w:val="18"/>
                <w:szCs w:val="18"/>
                <w:lang w:val="en-IE"/>
              </w:rPr>
            </w:pPr>
          </w:p>
        </w:tc>
        <w:tc>
          <w:tcPr>
            <w:tcW w:w="720" w:type="dxa"/>
            <w:tcBorders>
              <w:bottom w:val="single" w:sz="12" w:space="0" w:color="auto"/>
            </w:tcBorders>
          </w:tcPr>
          <w:p w14:paraId="3E1EBE51" w14:textId="77777777" w:rsidR="00EC37C5" w:rsidRPr="003A769F" w:rsidRDefault="00EC37C5">
            <w:pPr>
              <w:ind w:right="-29"/>
              <w:jc w:val="center"/>
              <w:rPr>
                <w:noProof/>
                <w:sz w:val="18"/>
                <w:szCs w:val="18"/>
                <w:lang w:val="en-IE"/>
              </w:rPr>
            </w:pPr>
          </w:p>
        </w:tc>
        <w:tc>
          <w:tcPr>
            <w:tcW w:w="720" w:type="dxa"/>
            <w:tcBorders>
              <w:bottom w:val="single" w:sz="12" w:space="0" w:color="auto"/>
            </w:tcBorders>
          </w:tcPr>
          <w:p w14:paraId="3C77FDF2" w14:textId="77777777" w:rsidR="00EC37C5" w:rsidRPr="003A769F" w:rsidRDefault="00EC37C5">
            <w:pPr>
              <w:ind w:right="-29"/>
              <w:jc w:val="center"/>
              <w:rPr>
                <w:noProof/>
                <w:sz w:val="18"/>
                <w:szCs w:val="18"/>
                <w:lang w:val="en-IE"/>
              </w:rPr>
            </w:pPr>
          </w:p>
        </w:tc>
        <w:tc>
          <w:tcPr>
            <w:tcW w:w="720" w:type="dxa"/>
            <w:tcBorders>
              <w:bottom w:val="single" w:sz="12" w:space="0" w:color="auto"/>
            </w:tcBorders>
          </w:tcPr>
          <w:p w14:paraId="6256028E" w14:textId="77777777" w:rsidR="00EC37C5" w:rsidRPr="003A769F" w:rsidRDefault="00EC37C5">
            <w:pPr>
              <w:ind w:right="-29"/>
              <w:jc w:val="center"/>
              <w:rPr>
                <w:noProof/>
                <w:sz w:val="18"/>
                <w:szCs w:val="18"/>
                <w:lang w:val="en-IE"/>
              </w:rPr>
            </w:pPr>
          </w:p>
        </w:tc>
        <w:tc>
          <w:tcPr>
            <w:tcW w:w="900" w:type="dxa"/>
            <w:tcBorders>
              <w:bottom w:val="single" w:sz="12" w:space="0" w:color="auto"/>
            </w:tcBorders>
          </w:tcPr>
          <w:p w14:paraId="18ACF308" w14:textId="77777777" w:rsidR="00EC37C5" w:rsidRPr="003A769F" w:rsidRDefault="00EC37C5">
            <w:pPr>
              <w:ind w:right="-29"/>
              <w:jc w:val="center"/>
              <w:rPr>
                <w:noProof/>
                <w:sz w:val="18"/>
                <w:szCs w:val="18"/>
                <w:lang w:val="en-IE"/>
              </w:rPr>
            </w:pPr>
          </w:p>
        </w:tc>
        <w:tc>
          <w:tcPr>
            <w:tcW w:w="720" w:type="dxa"/>
            <w:gridSpan w:val="2"/>
            <w:tcBorders>
              <w:bottom w:val="single" w:sz="12" w:space="0" w:color="auto"/>
            </w:tcBorders>
          </w:tcPr>
          <w:p w14:paraId="3DF42D88" w14:textId="77777777" w:rsidR="00EC37C5" w:rsidRPr="003A769F" w:rsidRDefault="00EC37C5">
            <w:pPr>
              <w:ind w:right="-29"/>
              <w:jc w:val="center"/>
              <w:rPr>
                <w:noProof/>
                <w:sz w:val="18"/>
                <w:szCs w:val="18"/>
                <w:lang w:val="en-IE"/>
              </w:rPr>
            </w:pPr>
          </w:p>
        </w:tc>
        <w:tc>
          <w:tcPr>
            <w:tcW w:w="540" w:type="dxa"/>
            <w:tcBorders>
              <w:bottom w:val="single" w:sz="12" w:space="0" w:color="auto"/>
            </w:tcBorders>
          </w:tcPr>
          <w:p w14:paraId="5B839A03" w14:textId="77777777" w:rsidR="00EC37C5" w:rsidRPr="003A769F" w:rsidRDefault="00EC37C5">
            <w:pPr>
              <w:ind w:right="-29"/>
              <w:jc w:val="center"/>
              <w:rPr>
                <w:noProof/>
                <w:sz w:val="18"/>
                <w:szCs w:val="18"/>
                <w:lang w:val="en-IE"/>
              </w:rPr>
            </w:pPr>
          </w:p>
        </w:tc>
        <w:tc>
          <w:tcPr>
            <w:tcW w:w="648" w:type="dxa"/>
            <w:tcBorders>
              <w:bottom w:val="single" w:sz="12" w:space="0" w:color="auto"/>
            </w:tcBorders>
          </w:tcPr>
          <w:p w14:paraId="62B85C99" w14:textId="77777777" w:rsidR="00EC37C5" w:rsidRPr="003A769F" w:rsidRDefault="00EC37C5">
            <w:pPr>
              <w:ind w:right="-29"/>
              <w:jc w:val="center"/>
              <w:rPr>
                <w:noProof/>
                <w:sz w:val="18"/>
                <w:szCs w:val="18"/>
                <w:lang w:val="en-IE"/>
              </w:rPr>
            </w:pPr>
          </w:p>
        </w:tc>
        <w:tc>
          <w:tcPr>
            <w:tcW w:w="432" w:type="dxa"/>
            <w:tcBorders>
              <w:bottom w:val="single" w:sz="12" w:space="0" w:color="auto"/>
            </w:tcBorders>
          </w:tcPr>
          <w:p w14:paraId="55C54EEB" w14:textId="77777777" w:rsidR="00EC37C5" w:rsidRPr="003A769F" w:rsidRDefault="00EC37C5">
            <w:pPr>
              <w:ind w:right="-29"/>
              <w:jc w:val="center"/>
              <w:rPr>
                <w:noProof/>
                <w:sz w:val="18"/>
                <w:szCs w:val="18"/>
                <w:lang w:val="en-IE"/>
              </w:rPr>
            </w:pPr>
          </w:p>
        </w:tc>
        <w:tc>
          <w:tcPr>
            <w:tcW w:w="720" w:type="dxa"/>
            <w:tcBorders>
              <w:bottom w:val="single" w:sz="12" w:space="0" w:color="auto"/>
            </w:tcBorders>
          </w:tcPr>
          <w:p w14:paraId="0D717872" w14:textId="77777777" w:rsidR="00EC37C5" w:rsidRPr="003A769F" w:rsidRDefault="00EC37C5">
            <w:pPr>
              <w:ind w:right="-29"/>
              <w:jc w:val="center"/>
              <w:rPr>
                <w:noProof/>
                <w:sz w:val="18"/>
                <w:szCs w:val="18"/>
                <w:lang w:val="en-IE"/>
              </w:rPr>
            </w:pPr>
          </w:p>
        </w:tc>
        <w:tc>
          <w:tcPr>
            <w:tcW w:w="540" w:type="dxa"/>
            <w:tcBorders>
              <w:bottom w:val="single" w:sz="12" w:space="0" w:color="auto"/>
            </w:tcBorders>
          </w:tcPr>
          <w:p w14:paraId="5526768B" w14:textId="77777777" w:rsidR="00EC37C5" w:rsidRPr="003A769F" w:rsidRDefault="00EC37C5">
            <w:pPr>
              <w:ind w:right="-29"/>
              <w:jc w:val="center"/>
              <w:rPr>
                <w:noProof/>
                <w:sz w:val="18"/>
                <w:szCs w:val="18"/>
                <w:lang w:val="en-IE"/>
              </w:rPr>
            </w:pPr>
          </w:p>
        </w:tc>
        <w:tc>
          <w:tcPr>
            <w:tcW w:w="720" w:type="dxa"/>
            <w:tcBorders>
              <w:bottom w:val="single" w:sz="12" w:space="0" w:color="auto"/>
            </w:tcBorders>
          </w:tcPr>
          <w:p w14:paraId="3F9E9720" w14:textId="77777777" w:rsidR="00EC37C5" w:rsidRPr="003A769F" w:rsidRDefault="00EC37C5">
            <w:pPr>
              <w:ind w:right="-29"/>
              <w:jc w:val="center"/>
              <w:rPr>
                <w:noProof/>
                <w:sz w:val="18"/>
                <w:szCs w:val="18"/>
                <w:lang w:val="en-IE"/>
              </w:rPr>
            </w:pPr>
          </w:p>
        </w:tc>
        <w:tc>
          <w:tcPr>
            <w:tcW w:w="720" w:type="dxa"/>
            <w:tcBorders>
              <w:bottom w:val="single" w:sz="12" w:space="0" w:color="auto"/>
            </w:tcBorders>
          </w:tcPr>
          <w:p w14:paraId="42187E4B" w14:textId="77777777" w:rsidR="00EC37C5" w:rsidRPr="003A769F" w:rsidRDefault="00EC37C5">
            <w:pPr>
              <w:ind w:right="-29"/>
              <w:jc w:val="center"/>
              <w:rPr>
                <w:noProof/>
                <w:sz w:val="18"/>
                <w:szCs w:val="18"/>
                <w:lang w:val="en-IE"/>
              </w:rPr>
            </w:pPr>
          </w:p>
        </w:tc>
        <w:tc>
          <w:tcPr>
            <w:tcW w:w="900" w:type="dxa"/>
            <w:tcBorders>
              <w:bottom w:val="single" w:sz="12" w:space="0" w:color="auto"/>
            </w:tcBorders>
          </w:tcPr>
          <w:p w14:paraId="40B1CAA7" w14:textId="77777777" w:rsidR="00EC37C5" w:rsidRPr="003A769F" w:rsidRDefault="00EC37C5">
            <w:pPr>
              <w:ind w:right="-29"/>
              <w:jc w:val="center"/>
              <w:rPr>
                <w:noProof/>
                <w:sz w:val="18"/>
                <w:szCs w:val="18"/>
                <w:lang w:val="en-IE"/>
              </w:rPr>
            </w:pPr>
          </w:p>
        </w:tc>
      </w:tr>
      <w:tr w:rsidR="00EC37C5" w14:paraId="3BAD751E" w14:textId="77777777">
        <w:trPr>
          <w:jc w:val="center"/>
        </w:trPr>
        <w:tc>
          <w:tcPr>
            <w:tcW w:w="2844" w:type="dxa"/>
            <w:gridSpan w:val="3"/>
            <w:vAlign w:val="center"/>
          </w:tcPr>
          <w:p w14:paraId="5B74A00B" w14:textId="77777777" w:rsidR="00EC37C5" w:rsidRDefault="00EC37C5">
            <w:pPr>
              <w:spacing w:before="60" w:after="60"/>
              <w:ind w:right="-29"/>
              <w:jc w:val="center"/>
              <w:rPr>
                <w:noProof/>
                <w:sz w:val="18"/>
                <w:szCs w:val="18"/>
              </w:rPr>
            </w:pPr>
            <w:r>
              <w:rPr>
                <w:noProof/>
                <w:sz w:val="18"/>
              </w:rPr>
              <w:t>SPECIFIC OBJECTIVE No 2 ...</w:t>
            </w:r>
          </w:p>
        </w:tc>
        <w:tc>
          <w:tcPr>
            <w:tcW w:w="504" w:type="dxa"/>
            <w:tcBorders>
              <w:top w:val="nil"/>
              <w:left w:val="nil"/>
              <w:bottom w:val="nil"/>
              <w:right w:val="nil"/>
            </w:tcBorders>
          </w:tcPr>
          <w:p w14:paraId="242CAB3A" w14:textId="77777777" w:rsidR="00EC37C5" w:rsidRDefault="00EC37C5">
            <w:pPr>
              <w:spacing w:before="60" w:after="60"/>
              <w:ind w:right="-29"/>
              <w:jc w:val="center"/>
              <w:rPr>
                <w:noProof/>
                <w:sz w:val="18"/>
                <w:szCs w:val="18"/>
              </w:rPr>
            </w:pPr>
          </w:p>
        </w:tc>
        <w:tc>
          <w:tcPr>
            <w:tcW w:w="720" w:type="dxa"/>
            <w:tcBorders>
              <w:top w:val="nil"/>
              <w:left w:val="nil"/>
              <w:bottom w:val="nil"/>
              <w:right w:val="nil"/>
            </w:tcBorders>
          </w:tcPr>
          <w:p w14:paraId="60B192C1" w14:textId="77777777" w:rsidR="00EC37C5" w:rsidRDefault="00EC37C5">
            <w:pPr>
              <w:spacing w:before="60" w:after="60"/>
              <w:ind w:right="-29"/>
              <w:jc w:val="center"/>
              <w:rPr>
                <w:noProof/>
                <w:sz w:val="18"/>
                <w:szCs w:val="18"/>
              </w:rPr>
            </w:pPr>
          </w:p>
        </w:tc>
        <w:tc>
          <w:tcPr>
            <w:tcW w:w="540" w:type="dxa"/>
            <w:tcBorders>
              <w:top w:val="nil"/>
              <w:left w:val="nil"/>
              <w:bottom w:val="nil"/>
              <w:right w:val="nil"/>
            </w:tcBorders>
          </w:tcPr>
          <w:p w14:paraId="1757E948" w14:textId="77777777" w:rsidR="00EC37C5" w:rsidRDefault="00EC37C5">
            <w:pPr>
              <w:spacing w:before="60" w:after="60"/>
              <w:ind w:right="-29"/>
              <w:jc w:val="center"/>
              <w:rPr>
                <w:noProof/>
                <w:sz w:val="18"/>
                <w:szCs w:val="18"/>
              </w:rPr>
            </w:pPr>
          </w:p>
        </w:tc>
        <w:tc>
          <w:tcPr>
            <w:tcW w:w="720" w:type="dxa"/>
            <w:tcBorders>
              <w:top w:val="nil"/>
              <w:left w:val="nil"/>
              <w:bottom w:val="nil"/>
              <w:right w:val="nil"/>
            </w:tcBorders>
          </w:tcPr>
          <w:p w14:paraId="229D299A" w14:textId="77777777" w:rsidR="00EC37C5" w:rsidRDefault="00EC37C5">
            <w:pPr>
              <w:spacing w:before="60" w:after="60"/>
              <w:ind w:right="-29"/>
              <w:jc w:val="center"/>
              <w:rPr>
                <w:noProof/>
                <w:sz w:val="18"/>
                <w:szCs w:val="18"/>
              </w:rPr>
            </w:pPr>
          </w:p>
        </w:tc>
        <w:tc>
          <w:tcPr>
            <w:tcW w:w="720" w:type="dxa"/>
            <w:tcBorders>
              <w:top w:val="nil"/>
              <w:left w:val="nil"/>
              <w:bottom w:val="nil"/>
              <w:right w:val="nil"/>
            </w:tcBorders>
          </w:tcPr>
          <w:p w14:paraId="0251C680" w14:textId="77777777" w:rsidR="00EC37C5" w:rsidRDefault="00EC37C5">
            <w:pPr>
              <w:spacing w:before="60" w:after="60"/>
              <w:ind w:right="-29"/>
              <w:jc w:val="center"/>
              <w:rPr>
                <w:noProof/>
                <w:sz w:val="18"/>
                <w:szCs w:val="18"/>
              </w:rPr>
            </w:pPr>
          </w:p>
        </w:tc>
        <w:tc>
          <w:tcPr>
            <w:tcW w:w="720" w:type="dxa"/>
            <w:tcBorders>
              <w:top w:val="nil"/>
              <w:left w:val="nil"/>
              <w:bottom w:val="nil"/>
              <w:right w:val="nil"/>
            </w:tcBorders>
          </w:tcPr>
          <w:p w14:paraId="1638CFE7" w14:textId="77777777" w:rsidR="00EC37C5" w:rsidRDefault="00EC37C5">
            <w:pPr>
              <w:spacing w:before="60" w:after="60"/>
              <w:ind w:right="-29"/>
              <w:jc w:val="center"/>
              <w:rPr>
                <w:noProof/>
                <w:sz w:val="18"/>
                <w:szCs w:val="18"/>
              </w:rPr>
            </w:pPr>
          </w:p>
        </w:tc>
        <w:tc>
          <w:tcPr>
            <w:tcW w:w="900" w:type="dxa"/>
            <w:tcBorders>
              <w:top w:val="nil"/>
              <w:left w:val="nil"/>
              <w:bottom w:val="nil"/>
              <w:right w:val="nil"/>
            </w:tcBorders>
          </w:tcPr>
          <w:p w14:paraId="1C8C9BA0" w14:textId="77777777" w:rsidR="00EC37C5" w:rsidRDefault="00EC37C5">
            <w:pPr>
              <w:spacing w:before="60" w:after="60"/>
              <w:ind w:right="-29"/>
              <w:jc w:val="center"/>
              <w:rPr>
                <w:noProof/>
                <w:sz w:val="18"/>
                <w:szCs w:val="18"/>
              </w:rPr>
            </w:pPr>
          </w:p>
        </w:tc>
        <w:tc>
          <w:tcPr>
            <w:tcW w:w="720" w:type="dxa"/>
            <w:gridSpan w:val="2"/>
            <w:tcBorders>
              <w:top w:val="nil"/>
              <w:left w:val="nil"/>
              <w:bottom w:val="nil"/>
              <w:right w:val="nil"/>
            </w:tcBorders>
          </w:tcPr>
          <w:p w14:paraId="593B1746" w14:textId="77777777" w:rsidR="00EC37C5" w:rsidRDefault="00EC37C5">
            <w:pPr>
              <w:spacing w:before="60" w:after="60"/>
              <w:ind w:right="-29"/>
              <w:jc w:val="center"/>
              <w:rPr>
                <w:noProof/>
                <w:sz w:val="18"/>
                <w:szCs w:val="18"/>
              </w:rPr>
            </w:pPr>
          </w:p>
        </w:tc>
        <w:tc>
          <w:tcPr>
            <w:tcW w:w="540" w:type="dxa"/>
            <w:tcBorders>
              <w:top w:val="nil"/>
              <w:left w:val="nil"/>
              <w:bottom w:val="nil"/>
              <w:right w:val="nil"/>
            </w:tcBorders>
          </w:tcPr>
          <w:p w14:paraId="4AF8C394" w14:textId="77777777" w:rsidR="00EC37C5" w:rsidRDefault="00EC37C5">
            <w:pPr>
              <w:spacing w:before="60" w:after="60"/>
              <w:ind w:right="-29"/>
              <w:jc w:val="center"/>
              <w:rPr>
                <w:noProof/>
                <w:sz w:val="18"/>
                <w:szCs w:val="18"/>
              </w:rPr>
            </w:pPr>
          </w:p>
        </w:tc>
        <w:tc>
          <w:tcPr>
            <w:tcW w:w="648" w:type="dxa"/>
            <w:tcBorders>
              <w:top w:val="nil"/>
              <w:left w:val="nil"/>
              <w:bottom w:val="nil"/>
              <w:right w:val="nil"/>
            </w:tcBorders>
          </w:tcPr>
          <w:p w14:paraId="4473D4DD" w14:textId="77777777" w:rsidR="00EC37C5" w:rsidRDefault="00EC37C5">
            <w:pPr>
              <w:spacing w:before="60" w:after="60"/>
              <w:ind w:right="-29"/>
              <w:jc w:val="center"/>
              <w:rPr>
                <w:noProof/>
                <w:sz w:val="18"/>
                <w:szCs w:val="18"/>
              </w:rPr>
            </w:pPr>
          </w:p>
        </w:tc>
        <w:tc>
          <w:tcPr>
            <w:tcW w:w="432" w:type="dxa"/>
            <w:tcBorders>
              <w:top w:val="nil"/>
              <w:left w:val="nil"/>
              <w:bottom w:val="nil"/>
              <w:right w:val="nil"/>
            </w:tcBorders>
          </w:tcPr>
          <w:p w14:paraId="2ABA02CB" w14:textId="77777777" w:rsidR="00EC37C5" w:rsidRDefault="00EC37C5">
            <w:pPr>
              <w:spacing w:before="60" w:after="60"/>
              <w:ind w:right="-29"/>
              <w:jc w:val="center"/>
              <w:rPr>
                <w:noProof/>
                <w:sz w:val="18"/>
                <w:szCs w:val="18"/>
              </w:rPr>
            </w:pPr>
          </w:p>
        </w:tc>
        <w:tc>
          <w:tcPr>
            <w:tcW w:w="720" w:type="dxa"/>
            <w:tcBorders>
              <w:top w:val="nil"/>
              <w:left w:val="nil"/>
              <w:bottom w:val="nil"/>
              <w:right w:val="nil"/>
            </w:tcBorders>
          </w:tcPr>
          <w:p w14:paraId="3D09FDCA" w14:textId="77777777" w:rsidR="00EC37C5" w:rsidRDefault="00EC37C5">
            <w:pPr>
              <w:spacing w:before="60" w:after="60"/>
              <w:ind w:right="-29"/>
              <w:jc w:val="center"/>
              <w:rPr>
                <w:noProof/>
                <w:sz w:val="18"/>
                <w:szCs w:val="18"/>
              </w:rPr>
            </w:pPr>
          </w:p>
        </w:tc>
        <w:tc>
          <w:tcPr>
            <w:tcW w:w="540" w:type="dxa"/>
            <w:tcBorders>
              <w:top w:val="nil"/>
              <w:left w:val="nil"/>
              <w:bottom w:val="nil"/>
              <w:right w:val="nil"/>
            </w:tcBorders>
          </w:tcPr>
          <w:p w14:paraId="4359F245" w14:textId="77777777" w:rsidR="00EC37C5" w:rsidRDefault="00EC37C5">
            <w:pPr>
              <w:spacing w:before="60" w:after="60"/>
              <w:ind w:right="-29"/>
              <w:jc w:val="center"/>
              <w:rPr>
                <w:noProof/>
                <w:sz w:val="18"/>
                <w:szCs w:val="18"/>
              </w:rPr>
            </w:pPr>
          </w:p>
        </w:tc>
        <w:tc>
          <w:tcPr>
            <w:tcW w:w="720" w:type="dxa"/>
            <w:tcBorders>
              <w:top w:val="nil"/>
              <w:left w:val="nil"/>
              <w:bottom w:val="nil"/>
              <w:right w:val="nil"/>
            </w:tcBorders>
          </w:tcPr>
          <w:p w14:paraId="6CB00A45" w14:textId="77777777" w:rsidR="00EC37C5" w:rsidRDefault="00EC37C5">
            <w:pPr>
              <w:spacing w:before="60" w:after="60"/>
              <w:ind w:right="-29"/>
              <w:jc w:val="center"/>
              <w:rPr>
                <w:noProof/>
                <w:sz w:val="18"/>
                <w:szCs w:val="18"/>
              </w:rPr>
            </w:pPr>
          </w:p>
        </w:tc>
        <w:tc>
          <w:tcPr>
            <w:tcW w:w="720" w:type="dxa"/>
            <w:tcBorders>
              <w:top w:val="nil"/>
              <w:left w:val="nil"/>
              <w:bottom w:val="nil"/>
              <w:right w:val="nil"/>
            </w:tcBorders>
          </w:tcPr>
          <w:p w14:paraId="3886E4AA" w14:textId="77777777" w:rsidR="00EC37C5" w:rsidRDefault="00EC37C5">
            <w:pPr>
              <w:spacing w:before="60" w:after="60"/>
              <w:ind w:right="-29"/>
              <w:jc w:val="center"/>
              <w:rPr>
                <w:noProof/>
                <w:sz w:val="18"/>
                <w:szCs w:val="18"/>
              </w:rPr>
            </w:pPr>
          </w:p>
        </w:tc>
        <w:tc>
          <w:tcPr>
            <w:tcW w:w="900" w:type="dxa"/>
            <w:tcBorders>
              <w:top w:val="nil"/>
              <w:left w:val="nil"/>
              <w:bottom w:val="nil"/>
              <w:right w:val="nil"/>
            </w:tcBorders>
          </w:tcPr>
          <w:p w14:paraId="29FF214E" w14:textId="77777777" w:rsidR="00EC37C5" w:rsidRDefault="00EC37C5">
            <w:pPr>
              <w:spacing w:before="60" w:after="60"/>
              <w:ind w:right="-29"/>
              <w:jc w:val="center"/>
              <w:rPr>
                <w:noProof/>
                <w:sz w:val="18"/>
                <w:szCs w:val="18"/>
              </w:rPr>
            </w:pPr>
          </w:p>
        </w:tc>
      </w:tr>
      <w:tr w:rsidR="00EC37C5" w14:paraId="20E5A8FE" w14:textId="77777777">
        <w:trPr>
          <w:trHeight w:hRule="exact" w:val="369"/>
          <w:jc w:val="center"/>
        </w:trPr>
        <w:tc>
          <w:tcPr>
            <w:tcW w:w="1423" w:type="dxa"/>
          </w:tcPr>
          <w:p w14:paraId="0872DA31" w14:textId="77777777" w:rsidR="00EC37C5" w:rsidRDefault="00EC37C5">
            <w:pPr>
              <w:ind w:right="-29"/>
              <w:jc w:val="center"/>
              <w:rPr>
                <w:noProof/>
                <w:sz w:val="18"/>
                <w:szCs w:val="18"/>
              </w:rPr>
            </w:pPr>
            <w:r>
              <w:rPr>
                <w:noProof/>
                <w:sz w:val="18"/>
              </w:rPr>
              <w:t>- Output</w:t>
            </w:r>
          </w:p>
        </w:tc>
        <w:tc>
          <w:tcPr>
            <w:tcW w:w="720" w:type="dxa"/>
          </w:tcPr>
          <w:p w14:paraId="3929388F" w14:textId="77777777" w:rsidR="00EC37C5" w:rsidRDefault="00EC37C5">
            <w:pPr>
              <w:ind w:right="-29"/>
              <w:jc w:val="center"/>
              <w:rPr>
                <w:noProof/>
                <w:sz w:val="18"/>
                <w:szCs w:val="18"/>
              </w:rPr>
            </w:pPr>
          </w:p>
        </w:tc>
        <w:tc>
          <w:tcPr>
            <w:tcW w:w="701" w:type="dxa"/>
          </w:tcPr>
          <w:p w14:paraId="7D6B869C" w14:textId="77777777" w:rsidR="00EC37C5" w:rsidRDefault="00EC37C5">
            <w:pPr>
              <w:ind w:right="-29"/>
              <w:jc w:val="center"/>
              <w:rPr>
                <w:noProof/>
                <w:sz w:val="18"/>
                <w:szCs w:val="18"/>
              </w:rPr>
            </w:pPr>
          </w:p>
        </w:tc>
        <w:tc>
          <w:tcPr>
            <w:tcW w:w="504" w:type="dxa"/>
          </w:tcPr>
          <w:p w14:paraId="21180583" w14:textId="77777777" w:rsidR="00EC37C5" w:rsidRDefault="00EC37C5">
            <w:pPr>
              <w:ind w:right="-29"/>
              <w:jc w:val="center"/>
              <w:rPr>
                <w:noProof/>
                <w:sz w:val="18"/>
                <w:szCs w:val="18"/>
              </w:rPr>
            </w:pPr>
          </w:p>
        </w:tc>
        <w:tc>
          <w:tcPr>
            <w:tcW w:w="720" w:type="dxa"/>
          </w:tcPr>
          <w:p w14:paraId="3198295D" w14:textId="77777777" w:rsidR="00EC37C5" w:rsidRDefault="00EC37C5">
            <w:pPr>
              <w:ind w:right="-29"/>
              <w:jc w:val="center"/>
              <w:rPr>
                <w:noProof/>
                <w:sz w:val="18"/>
                <w:szCs w:val="18"/>
              </w:rPr>
            </w:pPr>
          </w:p>
        </w:tc>
        <w:tc>
          <w:tcPr>
            <w:tcW w:w="540" w:type="dxa"/>
          </w:tcPr>
          <w:p w14:paraId="3577A629" w14:textId="77777777" w:rsidR="00EC37C5" w:rsidRDefault="00EC37C5">
            <w:pPr>
              <w:ind w:right="-29"/>
              <w:jc w:val="center"/>
              <w:rPr>
                <w:noProof/>
                <w:sz w:val="18"/>
                <w:szCs w:val="18"/>
              </w:rPr>
            </w:pPr>
          </w:p>
        </w:tc>
        <w:tc>
          <w:tcPr>
            <w:tcW w:w="720" w:type="dxa"/>
          </w:tcPr>
          <w:p w14:paraId="4A2E3069" w14:textId="77777777" w:rsidR="00EC37C5" w:rsidRDefault="00EC37C5">
            <w:pPr>
              <w:ind w:right="-29"/>
              <w:jc w:val="center"/>
              <w:rPr>
                <w:noProof/>
                <w:sz w:val="18"/>
                <w:szCs w:val="18"/>
              </w:rPr>
            </w:pPr>
          </w:p>
        </w:tc>
        <w:tc>
          <w:tcPr>
            <w:tcW w:w="720" w:type="dxa"/>
          </w:tcPr>
          <w:p w14:paraId="69040ADA" w14:textId="77777777" w:rsidR="00EC37C5" w:rsidRDefault="00EC37C5">
            <w:pPr>
              <w:ind w:right="-29"/>
              <w:jc w:val="center"/>
              <w:rPr>
                <w:noProof/>
                <w:sz w:val="18"/>
                <w:szCs w:val="18"/>
              </w:rPr>
            </w:pPr>
          </w:p>
        </w:tc>
        <w:tc>
          <w:tcPr>
            <w:tcW w:w="720" w:type="dxa"/>
          </w:tcPr>
          <w:p w14:paraId="5B213DD0" w14:textId="77777777" w:rsidR="00EC37C5" w:rsidRDefault="00EC37C5">
            <w:pPr>
              <w:ind w:right="-29"/>
              <w:jc w:val="center"/>
              <w:rPr>
                <w:noProof/>
                <w:sz w:val="18"/>
                <w:szCs w:val="18"/>
              </w:rPr>
            </w:pPr>
          </w:p>
        </w:tc>
        <w:tc>
          <w:tcPr>
            <w:tcW w:w="900" w:type="dxa"/>
          </w:tcPr>
          <w:p w14:paraId="254D2EA1" w14:textId="77777777" w:rsidR="00EC37C5" w:rsidRDefault="00EC37C5">
            <w:pPr>
              <w:ind w:right="-29"/>
              <w:jc w:val="center"/>
              <w:rPr>
                <w:noProof/>
                <w:sz w:val="18"/>
                <w:szCs w:val="18"/>
              </w:rPr>
            </w:pPr>
          </w:p>
        </w:tc>
        <w:tc>
          <w:tcPr>
            <w:tcW w:w="720" w:type="dxa"/>
            <w:gridSpan w:val="2"/>
          </w:tcPr>
          <w:p w14:paraId="1D0296B4" w14:textId="77777777" w:rsidR="00EC37C5" w:rsidRDefault="00EC37C5">
            <w:pPr>
              <w:ind w:right="-29"/>
              <w:jc w:val="center"/>
              <w:rPr>
                <w:noProof/>
                <w:sz w:val="18"/>
                <w:szCs w:val="18"/>
              </w:rPr>
            </w:pPr>
          </w:p>
        </w:tc>
        <w:tc>
          <w:tcPr>
            <w:tcW w:w="540" w:type="dxa"/>
          </w:tcPr>
          <w:p w14:paraId="075C446C" w14:textId="77777777" w:rsidR="00EC37C5" w:rsidRDefault="00EC37C5">
            <w:pPr>
              <w:ind w:right="-29"/>
              <w:jc w:val="center"/>
              <w:rPr>
                <w:noProof/>
                <w:sz w:val="18"/>
                <w:szCs w:val="18"/>
              </w:rPr>
            </w:pPr>
          </w:p>
        </w:tc>
        <w:tc>
          <w:tcPr>
            <w:tcW w:w="648" w:type="dxa"/>
          </w:tcPr>
          <w:p w14:paraId="79B98C38" w14:textId="77777777" w:rsidR="00EC37C5" w:rsidRDefault="00EC37C5">
            <w:pPr>
              <w:ind w:right="-29"/>
              <w:jc w:val="center"/>
              <w:rPr>
                <w:noProof/>
                <w:sz w:val="18"/>
                <w:szCs w:val="18"/>
              </w:rPr>
            </w:pPr>
          </w:p>
        </w:tc>
        <w:tc>
          <w:tcPr>
            <w:tcW w:w="432" w:type="dxa"/>
          </w:tcPr>
          <w:p w14:paraId="5E4527E5" w14:textId="77777777" w:rsidR="00EC37C5" w:rsidRDefault="00EC37C5">
            <w:pPr>
              <w:ind w:right="-29"/>
              <w:jc w:val="center"/>
              <w:rPr>
                <w:noProof/>
                <w:sz w:val="18"/>
                <w:szCs w:val="18"/>
              </w:rPr>
            </w:pPr>
          </w:p>
        </w:tc>
        <w:tc>
          <w:tcPr>
            <w:tcW w:w="720" w:type="dxa"/>
          </w:tcPr>
          <w:p w14:paraId="1E18573B" w14:textId="77777777" w:rsidR="00EC37C5" w:rsidRDefault="00EC37C5">
            <w:pPr>
              <w:ind w:right="-29"/>
              <w:jc w:val="center"/>
              <w:rPr>
                <w:noProof/>
                <w:sz w:val="18"/>
                <w:szCs w:val="18"/>
              </w:rPr>
            </w:pPr>
          </w:p>
        </w:tc>
        <w:tc>
          <w:tcPr>
            <w:tcW w:w="540" w:type="dxa"/>
          </w:tcPr>
          <w:p w14:paraId="26D74083" w14:textId="77777777" w:rsidR="00EC37C5" w:rsidRDefault="00EC37C5">
            <w:pPr>
              <w:ind w:right="-29"/>
              <w:jc w:val="center"/>
              <w:rPr>
                <w:noProof/>
                <w:sz w:val="18"/>
                <w:szCs w:val="18"/>
              </w:rPr>
            </w:pPr>
          </w:p>
        </w:tc>
        <w:tc>
          <w:tcPr>
            <w:tcW w:w="720" w:type="dxa"/>
          </w:tcPr>
          <w:p w14:paraId="2AD29F68" w14:textId="77777777" w:rsidR="00EC37C5" w:rsidRDefault="00EC37C5">
            <w:pPr>
              <w:ind w:right="-29"/>
              <w:jc w:val="center"/>
              <w:rPr>
                <w:noProof/>
                <w:sz w:val="18"/>
                <w:szCs w:val="18"/>
              </w:rPr>
            </w:pPr>
          </w:p>
        </w:tc>
        <w:tc>
          <w:tcPr>
            <w:tcW w:w="720" w:type="dxa"/>
          </w:tcPr>
          <w:p w14:paraId="6D3A2D00" w14:textId="77777777" w:rsidR="00EC37C5" w:rsidRDefault="00EC37C5">
            <w:pPr>
              <w:ind w:right="-29"/>
              <w:jc w:val="center"/>
              <w:rPr>
                <w:noProof/>
                <w:sz w:val="18"/>
                <w:szCs w:val="18"/>
              </w:rPr>
            </w:pPr>
          </w:p>
        </w:tc>
        <w:tc>
          <w:tcPr>
            <w:tcW w:w="900" w:type="dxa"/>
          </w:tcPr>
          <w:p w14:paraId="6BDD3921" w14:textId="77777777" w:rsidR="00EC37C5" w:rsidRDefault="00EC37C5">
            <w:pPr>
              <w:ind w:right="-29"/>
              <w:jc w:val="center"/>
              <w:rPr>
                <w:noProof/>
                <w:sz w:val="18"/>
                <w:szCs w:val="18"/>
              </w:rPr>
            </w:pPr>
          </w:p>
        </w:tc>
      </w:tr>
      <w:tr w:rsidR="00EC37C5" w:rsidRPr="003A769F" w14:paraId="6177F247" w14:textId="77777777">
        <w:trPr>
          <w:jc w:val="center"/>
        </w:trPr>
        <w:tc>
          <w:tcPr>
            <w:tcW w:w="2844" w:type="dxa"/>
            <w:gridSpan w:val="3"/>
            <w:tcBorders>
              <w:bottom w:val="single" w:sz="12" w:space="0" w:color="auto"/>
            </w:tcBorders>
            <w:vAlign w:val="center"/>
          </w:tcPr>
          <w:p w14:paraId="2590D172" w14:textId="77777777" w:rsidR="00EC37C5" w:rsidRPr="003A769F" w:rsidRDefault="00EC37C5">
            <w:pPr>
              <w:jc w:val="center"/>
              <w:rPr>
                <w:noProof/>
                <w:sz w:val="18"/>
                <w:szCs w:val="18"/>
                <w:lang w:val="en-IE"/>
              </w:rPr>
            </w:pPr>
            <w:r w:rsidRPr="003A769F">
              <w:rPr>
                <w:noProof/>
                <w:sz w:val="18"/>
                <w:lang w:val="en-IE"/>
              </w:rPr>
              <w:t>Subtotal for specific objective No 2</w:t>
            </w:r>
          </w:p>
        </w:tc>
        <w:tc>
          <w:tcPr>
            <w:tcW w:w="504" w:type="dxa"/>
            <w:tcBorders>
              <w:bottom w:val="single" w:sz="12" w:space="0" w:color="auto"/>
            </w:tcBorders>
          </w:tcPr>
          <w:p w14:paraId="3FBFCC98" w14:textId="77777777" w:rsidR="00EC37C5" w:rsidRPr="003A769F" w:rsidRDefault="00EC37C5">
            <w:pPr>
              <w:ind w:right="-29"/>
              <w:jc w:val="center"/>
              <w:rPr>
                <w:noProof/>
                <w:sz w:val="18"/>
                <w:szCs w:val="18"/>
                <w:lang w:val="en-IE"/>
              </w:rPr>
            </w:pPr>
          </w:p>
        </w:tc>
        <w:tc>
          <w:tcPr>
            <w:tcW w:w="720" w:type="dxa"/>
            <w:tcBorders>
              <w:bottom w:val="single" w:sz="12" w:space="0" w:color="auto"/>
            </w:tcBorders>
          </w:tcPr>
          <w:p w14:paraId="3C18B651" w14:textId="77777777" w:rsidR="00EC37C5" w:rsidRPr="003A769F" w:rsidRDefault="00EC37C5">
            <w:pPr>
              <w:ind w:right="-29"/>
              <w:jc w:val="center"/>
              <w:rPr>
                <w:noProof/>
                <w:sz w:val="18"/>
                <w:szCs w:val="18"/>
                <w:lang w:val="en-IE"/>
              </w:rPr>
            </w:pPr>
          </w:p>
        </w:tc>
        <w:tc>
          <w:tcPr>
            <w:tcW w:w="540" w:type="dxa"/>
            <w:tcBorders>
              <w:bottom w:val="single" w:sz="12" w:space="0" w:color="auto"/>
            </w:tcBorders>
          </w:tcPr>
          <w:p w14:paraId="1B1705C3" w14:textId="77777777" w:rsidR="00EC37C5" w:rsidRPr="003A769F" w:rsidRDefault="00EC37C5">
            <w:pPr>
              <w:ind w:right="-29"/>
              <w:jc w:val="center"/>
              <w:rPr>
                <w:noProof/>
                <w:sz w:val="18"/>
                <w:szCs w:val="18"/>
                <w:lang w:val="en-IE"/>
              </w:rPr>
            </w:pPr>
          </w:p>
        </w:tc>
        <w:tc>
          <w:tcPr>
            <w:tcW w:w="720" w:type="dxa"/>
            <w:tcBorders>
              <w:bottom w:val="single" w:sz="12" w:space="0" w:color="auto"/>
            </w:tcBorders>
          </w:tcPr>
          <w:p w14:paraId="5D44D67D" w14:textId="77777777" w:rsidR="00EC37C5" w:rsidRPr="003A769F" w:rsidRDefault="00EC37C5">
            <w:pPr>
              <w:ind w:right="-29"/>
              <w:jc w:val="center"/>
              <w:rPr>
                <w:noProof/>
                <w:sz w:val="18"/>
                <w:szCs w:val="18"/>
                <w:lang w:val="en-IE"/>
              </w:rPr>
            </w:pPr>
          </w:p>
        </w:tc>
        <w:tc>
          <w:tcPr>
            <w:tcW w:w="720" w:type="dxa"/>
            <w:tcBorders>
              <w:bottom w:val="single" w:sz="12" w:space="0" w:color="auto"/>
            </w:tcBorders>
          </w:tcPr>
          <w:p w14:paraId="34E572A5" w14:textId="77777777" w:rsidR="00EC37C5" w:rsidRPr="003A769F" w:rsidRDefault="00EC37C5">
            <w:pPr>
              <w:ind w:right="-29"/>
              <w:jc w:val="center"/>
              <w:rPr>
                <w:noProof/>
                <w:sz w:val="18"/>
                <w:szCs w:val="18"/>
                <w:lang w:val="en-IE"/>
              </w:rPr>
            </w:pPr>
          </w:p>
        </w:tc>
        <w:tc>
          <w:tcPr>
            <w:tcW w:w="720" w:type="dxa"/>
            <w:tcBorders>
              <w:bottom w:val="single" w:sz="12" w:space="0" w:color="auto"/>
            </w:tcBorders>
          </w:tcPr>
          <w:p w14:paraId="616BF9BC" w14:textId="77777777" w:rsidR="00EC37C5" w:rsidRPr="003A769F" w:rsidRDefault="00EC37C5">
            <w:pPr>
              <w:ind w:right="-29"/>
              <w:jc w:val="center"/>
              <w:rPr>
                <w:noProof/>
                <w:sz w:val="18"/>
                <w:szCs w:val="18"/>
                <w:lang w:val="en-IE"/>
              </w:rPr>
            </w:pPr>
          </w:p>
        </w:tc>
        <w:tc>
          <w:tcPr>
            <w:tcW w:w="951" w:type="dxa"/>
            <w:gridSpan w:val="2"/>
            <w:tcBorders>
              <w:bottom w:val="single" w:sz="12" w:space="0" w:color="auto"/>
            </w:tcBorders>
          </w:tcPr>
          <w:p w14:paraId="06587A51" w14:textId="77777777" w:rsidR="00EC37C5" w:rsidRPr="003A769F" w:rsidRDefault="00EC37C5">
            <w:pPr>
              <w:ind w:right="-29"/>
              <w:jc w:val="center"/>
              <w:rPr>
                <w:noProof/>
                <w:sz w:val="18"/>
                <w:szCs w:val="18"/>
                <w:lang w:val="en-IE"/>
              </w:rPr>
            </w:pPr>
          </w:p>
        </w:tc>
        <w:tc>
          <w:tcPr>
            <w:tcW w:w="669" w:type="dxa"/>
            <w:tcBorders>
              <w:bottom w:val="single" w:sz="12" w:space="0" w:color="auto"/>
            </w:tcBorders>
          </w:tcPr>
          <w:p w14:paraId="0B5920D0" w14:textId="77777777" w:rsidR="00EC37C5" w:rsidRPr="003A769F" w:rsidRDefault="00EC37C5">
            <w:pPr>
              <w:ind w:right="-29"/>
              <w:jc w:val="center"/>
              <w:rPr>
                <w:noProof/>
                <w:sz w:val="18"/>
                <w:szCs w:val="18"/>
                <w:lang w:val="en-IE"/>
              </w:rPr>
            </w:pPr>
          </w:p>
        </w:tc>
        <w:tc>
          <w:tcPr>
            <w:tcW w:w="540" w:type="dxa"/>
            <w:tcBorders>
              <w:bottom w:val="single" w:sz="12" w:space="0" w:color="auto"/>
            </w:tcBorders>
          </w:tcPr>
          <w:p w14:paraId="754C858E" w14:textId="77777777" w:rsidR="00EC37C5" w:rsidRPr="003A769F" w:rsidRDefault="00EC37C5">
            <w:pPr>
              <w:ind w:right="-29"/>
              <w:jc w:val="center"/>
              <w:rPr>
                <w:noProof/>
                <w:sz w:val="18"/>
                <w:szCs w:val="18"/>
                <w:lang w:val="en-IE"/>
              </w:rPr>
            </w:pPr>
          </w:p>
        </w:tc>
        <w:tc>
          <w:tcPr>
            <w:tcW w:w="648" w:type="dxa"/>
            <w:tcBorders>
              <w:bottom w:val="single" w:sz="12" w:space="0" w:color="auto"/>
            </w:tcBorders>
          </w:tcPr>
          <w:p w14:paraId="13AC890E" w14:textId="77777777" w:rsidR="00EC37C5" w:rsidRPr="003A769F" w:rsidRDefault="00EC37C5">
            <w:pPr>
              <w:ind w:right="-29"/>
              <w:jc w:val="center"/>
              <w:rPr>
                <w:noProof/>
                <w:sz w:val="18"/>
                <w:szCs w:val="18"/>
                <w:lang w:val="en-IE"/>
              </w:rPr>
            </w:pPr>
          </w:p>
        </w:tc>
        <w:tc>
          <w:tcPr>
            <w:tcW w:w="432" w:type="dxa"/>
            <w:tcBorders>
              <w:bottom w:val="single" w:sz="12" w:space="0" w:color="auto"/>
            </w:tcBorders>
          </w:tcPr>
          <w:p w14:paraId="5D12AA49" w14:textId="77777777" w:rsidR="00EC37C5" w:rsidRPr="003A769F" w:rsidRDefault="00EC37C5">
            <w:pPr>
              <w:ind w:right="-29"/>
              <w:jc w:val="center"/>
              <w:rPr>
                <w:noProof/>
                <w:sz w:val="18"/>
                <w:szCs w:val="18"/>
                <w:lang w:val="en-IE"/>
              </w:rPr>
            </w:pPr>
          </w:p>
        </w:tc>
        <w:tc>
          <w:tcPr>
            <w:tcW w:w="720" w:type="dxa"/>
            <w:tcBorders>
              <w:bottom w:val="single" w:sz="12" w:space="0" w:color="auto"/>
            </w:tcBorders>
          </w:tcPr>
          <w:p w14:paraId="301BA84F" w14:textId="77777777" w:rsidR="00EC37C5" w:rsidRPr="003A769F" w:rsidRDefault="00EC37C5">
            <w:pPr>
              <w:ind w:right="-29"/>
              <w:jc w:val="center"/>
              <w:rPr>
                <w:noProof/>
                <w:sz w:val="18"/>
                <w:szCs w:val="18"/>
                <w:lang w:val="en-IE"/>
              </w:rPr>
            </w:pPr>
          </w:p>
        </w:tc>
        <w:tc>
          <w:tcPr>
            <w:tcW w:w="540" w:type="dxa"/>
            <w:tcBorders>
              <w:bottom w:val="single" w:sz="12" w:space="0" w:color="auto"/>
            </w:tcBorders>
          </w:tcPr>
          <w:p w14:paraId="3014A6DB" w14:textId="77777777" w:rsidR="00EC37C5" w:rsidRPr="003A769F" w:rsidRDefault="00EC37C5">
            <w:pPr>
              <w:ind w:right="-29"/>
              <w:jc w:val="center"/>
              <w:rPr>
                <w:noProof/>
                <w:sz w:val="18"/>
                <w:szCs w:val="18"/>
                <w:lang w:val="en-IE"/>
              </w:rPr>
            </w:pPr>
          </w:p>
        </w:tc>
        <w:tc>
          <w:tcPr>
            <w:tcW w:w="720" w:type="dxa"/>
            <w:tcBorders>
              <w:bottom w:val="single" w:sz="12" w:space="0" w:color="auto"/>
            </w:tcBorders>
          </w:tcPr>
          <w:p w14:paraId="2351F654" w14:textId="77777777" w:rsidR="00EC37C5" w:rsidRPr="003A769F" w:rsidRDefault="00EC37C5">
            <w:pPr>
              <w:ind w:right="-29"/>
              <w:jc w:val="center"/>
              <w:rPr>
                <w:noProof/>
                <w:sz w:val="18"/>
                <w:szCs w:val="18"/>
                <w:lang w:val="en-IE"/>
              </w:rPr>
            </w:pPr>
          </w:p>
        </w:tc>
        <w:tc>
          <w:tcPr>
            <w:tcW w:w="720" w:type="dxa"/>
            <w:tcBorders>
              <w:bottom w:val="single" w:sz="12" w:space="0" w:color="auto"/>
            </w:tcBorders>
          </w:tcPr>
          <w:p w14:paraId="1A63B508" w14:textId="77777777" w:rsidR="00EC37C5" w:rsidRPr="003A769F" w:rsidRDefault="00EC37C5">
            <w:pPr>
              <w:ind w:right="-29"/>
              <w:jc w:val="center"/>
              <w:rPr>
                <w:noProof/>
                <w:sz w:val="18"/>
                <w:szCs w:val="18"/>
                <w:lang w:val="en-IE"/>
              </w:rPr>
            </w:pPr>
          </w:p>
        </w:tc>
        <w:tc>
          <w:tcPr>
            <w:tcW w:w="900" w:type="dxa"/>
            <w:tcBorders>
              <w:bottom w:val="single" w:sz="12" w:space="0" w:color="auto"/>
            </w:tcBorders>
          </w:tcPr>
          <w:p w14:paraId="7E24B670" w14:textId="77777777" w:rsidR="00EC37C5" w:rsidRPr="003A769F" w:rsidRDefault="00EC37C5">
            <w:pPr>
              <w:ind w:right="-29"/>
              <w:jc w:val="center"/>
              <w:rPr>
                <w:noProof/>
                <w:sz w:val="18"/>
                <w:szCs w:val="18"/>
                <w:lang w:val="en-IE"/>
              </w:rPr>
            </w:pPr>
          </w:p>
        </w:tc>
      </w:tr>
      <w:tr w:rsidR="00EC37C5" w14:paraId="2CC2959F" w14:textId="77777777">
        <w:trPr>
          <w:jc w:val="center"/>
        </w:trPr>
        <w:tc>
          <w:tcPr>
            <w:tcW w:w="2844" w:type="dxa"/>
            <w:gridSpan w:val="3"/>
            <w:tcBorders>
              <w:top w:val="single" w:sz="12" w:space="0" w:color="auto"/>
              <w:left w:val="single" w:sz="12" w:space="0" w:color="auto"/>
              <w:bottom w:val="single" w:sz="12" w:space="0" w:color="auto"/>
            </w:tcBorders>
            <w:vAlign w:val="center"/>
          </w:tcPr>
          <w:p w14:paraId="519676EB" w14:textId="77777777" w:rsidR="00EC37C5" w:rsidRDefault="00EC37C5">
            <w:pPr>
              <w:ind w:right="-29"/>
              <w:jc w:val="center"/>
              <w:rPr>
                <w:noProof/>
                <w:sz w:val="18"/>
                <w:szCs w:val="18"/>
              </w:rPr>
            </w:pPr>
            <w:r>
              <w:rPr>
                <w:b/>
                <w:noProof/>
                <w:sz w:val="18"/>
              </w:rPr>
              <w:t>TOTALS</w:t>
            </w:r>
          </w:p>
        </w:tc>
        <w:tc>
          <w:tcPr>
            <w:tcW w:w="504" w:type="dxa"/>
            <w:tcBorders>
              <w:top w:val="single" w:sz="12" w:space="0" w:color="auto"/>
              <w:bottom w:val="single" w:sz="12" w:space="0" w:color="auto"/>
            </w:tcBorders>
          </w:tcPr>
          <w:p w14:paraId="145CE925" w14:textId="77777777" w:rsidR="00EC37C5" w:rsidRDefault="00EC37C5">
            <w:pPr>
              <w:spacing w:before="180" w:after="180"/>
              <w:ind w:right="-29"/>
              <w:jc w:val="center"/>
              <w:rPr>
                <w:noProof/>
                <w:sz w:val="18"/>
                <w:szCs w:val="18"/>
              </w:rPr>
            </w:pPr>
          </w:p>
        </w:tc>
        <w:tc>
          <w:tcPr>
            <w:tcW w:w="720" w:type="dxa"/>
            <w:tcBorders>
              <w:top w:val="single" w:sz="12" w:space="0" w:color="auto"/>
              <w:bottom w:val="single" w:sz="12" w:space="0" w:color="auto"/>
            </w:tcBorders>
          </w:tcPr>
          <w:p w14:paraId="4B68E6C4" w14:textId="77777777" w:rsidR="00EC37C5" w:rsidRDefault="00EC37C5">
            <w:pPr>
              <w:spacing w:before="180" w:after="180"/>
              <w:ind w:right="-29"/>
              <w:jc w:val="center"/>
              <w:rPr>
                <w:noProof/>
                <w:sz w:val="18"/>
                <w:szCs w:val="18"/>
              </w:rPr>
            </w:pPr>
          </w:p>
        </w:tc>
        <w:tc>
          <w:tcPr>
            <w:tcW w:w="540" w:type="dxa"/>
            <w:tcBorders>
              <w:top w:val="single" w:sz="12" w:space="0" w:color="auto"/>
              <w:bottom w:val="single" w:sz="12" w:space="0" w:color="auto"/>
            </w:tcBorders>
          </w:tcPr>
          <w:p w14:paraId="1269BB22" w14:textId="77777777" w:rsidR="00EC37C5" w:rsidRDefault="00EC37C5">
            <w:pPr>
              <w:spacing w:before="180" w:after="180"/>
              <w:ind w:right="-29"/>
              <w:jc w:val="center"/>
              <w:rPr>
                <w:noProof/>
                <w:sz w:val="18"/>
                <w:szCs w:val="18"/>
              </w:rPr>
            </w:pPr>
          </w:p>
        </w:tc>
        <w:tc>
          <w:tcPr>
            <w:tcW w:w="720" w:type="dxa"/>
            <w:tcBorders>
              <w:top w:val="single" w:sz="12" w:space="0" w:color="auto"/>
              <w:bottom w:val="single" w:sz="12" w:space="0" w:color="auto"/>
            </w:tcBorders>
          </w:tcPr>
          <w:p w14:paraId="7D3CB73A" w14:textId="77777777" w:rsidR="00EC37C5" w:rsidRDefault="00EC37C5">
            <w:pPr>
              <w:spacing w:before="180" w:after="180"/>
              <w:ind w:right="-29"/>
              <w:jc w:val="center"/>
              <w:rPr>
                <w:noProof/>
                <w:sz w:val="18"/>
                <w:szCs w:val="18"/>
              </w:rPr>
            </w:pPr>
          </w:p>
        </w:tc>
        <w:tc>
          <w:tcPr>
            <w:tcW w:w="720" w:type="dxa"/>
            <w:tcBorders>
              <w:top w:val="single" w:sz="12" w:space="0" w:color="auto"/>
              <w:bottom w:val="single" w:sz="12" w:space="0" w:color="auto"/>
            </w:tcBorders>
          </w:tcPr>
          <w:p w14:paraId="1D4E2EE6" w14:textId="77777777" w:rsidR="00EC37C5" w:rsidRDefault="00EC37C5">
            <w:pPr>
              <w:spacing w:before="180" w:after="180"/>
              <w:ind w:right="-29"/>
              <w:jc w:val="center"/>
              <w:rPr>
                <w:noProof/>
                <w:sz w:val="18"/>
                <w:szCs w:val="18"/>
              </w:rPr>
            </w:pPr>
          </w:p>
        </w:tc>
        <w:tc>
          <w:tcPr>
            <w:tcW w:w="720" w:type="dxa"/>
            <w:tcBorders>
              <w:top w:val="single" w:sz="12" w:space="0" w:color="auto"/>
              <w:bottom w:val="single" w:sz="12" w:space="0" w:color="auto"/>
            </w:tcBorders>
          </w:tcPr>
          <w:p w14:paraId="5B69E6B9" w14:textId="77777777" w:rsidR="00EC37C5" w:rsidRDefault="00EC37C5">
            <w:pPr>
              <w:spacing w:before="180" w:after="180"/>
              <w:ind w:right="-29"/>
              <w:jc w:val="center"/>
              <w:rPr>
                <w:noProof/>
                <w:sz w:val="18"/>
                <w:szCs w:val="18"/>
              </w:rPr>
            </w:pPr>
          </w:p>
        </w:tc>
        <w:tc>
          <w:tcPr>
            <w:tcW w:w="900" w:type="dxa"/>
            <w:tcBorders>
              <w:top w:val="single" w:sz="12" w:space="0" w:color="auto"/>
              <w:bottom w:val="single" w:sz="12" w:space="0" w:color="auto"/>
            </w:tcBorders>
          </w:tcPr>
          <w:p w14:paraId="08C537C1" w14:textId="77777777" w:rsidR="00EC37C5" w:rsidRDefault="00EC37C5">
            <w:pPr>
              <w:spacing w:before="180" w:after="180"/>
              <w:ind w:right="-29"/>
              <w:jc w:val="center"/>
              <w:rPr>
                <w:noProof/>
                <w:sz w:val="18"/>
                <w:szCs w:val="18"/>
              </w:rPr>
            </w:pPr>
          </w:p>
        </w:tc>
        <w:tc>
          <w:tcPr>
            <w:tcW w:w="720" w:type="dxa"/>
            <w:gridSpan w:val="2"/>
            <w:tcBorders>
              <w:top w:val="single" w:sz="12" w:space="0" w:color="auto"/>
              <w:bottom w:val="single" w:sz="12" w:space="0" w:color="auto"/>
            </w:tcBorders>
          </w:tcPr>
          <w:p w14:paraId="10F893D9" w14:textId="77777777" w:rsidR="00EC37C5" w:rsidRDefault="00EC37C5">
            <w:pPr>
              <w:spacing w:before="180" w:after="180"/>
              <w:ind w:right="-29"/>
              <w:jc w:val="center"/>
              <w:rPr>
                <w:noProof/>
                <w:sz w:val="18"/>
                <w:szCs w:val="18"/>
              </w:rPr>
            </w:pPr>
          </w:p>
        </w:tc>
        <w:tc>
          <w:tcPr>
            <w:tcW w:w="540" w:type="dxa"/>
            <w:tcBorders>
              <w:top w:val="single" w:sz="12" w:space="0" w:color="auto"/>
              <w:bottom w:val="single" w:sz="12" w:space="0" w:color="auto"/>
            </w:tcBorders>
          </w:tcPr>
          <w:p w14:paraId="2B4CB02B" w14:textId="77777777" w:rsidR="00EC37C5" w:rsidRDefault="00EC37C5">
            <w:pPr>
              <w:spacing w:before="180" w:after="180"/>
              <w:ind w:right="-29"/>
              <w:jc w:val="center"/>
              <w:rPr>
                <w:noProof/>
                <w:sz w:val="18"/>
                <w:szCs w:val="18"/>
              </w:rPr>
            </w:pPr>
          </w:p>
        </w:tc>
        <w:tc>
          <w:tcPr>
            <w:tcW w:w="648" w:type="dxa"/>
            <w:tcBorders>
              <w:top w:val="single" w:sz="12" w:space="0" w:color="auto"/>
              <w:bottom w:val="single" w:sz="12" w:space="0" w:color="auto"/>
            </w:tcBorders>
          </w:tcPr>
          <w:p w14:paraId="380F2E46" w14:textId="77777777" w:rsidR="00EC37C5" w:rsidRDefault="00EC37C5">
            <w:pPr>
              <w:spacing w:before="180" w:after="180"/>
              <w:ind w:right="-29"/>
              <w:jc w:val="center"/>
              <w:rPr>
                <w:noProof/>
                <w:sz w:val="18"/>
                <w:szCs w:val="18"/>
              </w:rPr>
            </w:pPr>
          </w:p>
        </w:tc>
        <w:tc>
          <w:tcPr>
            <w:tcW w:w="432" w:type="dxa"/>
            <w:tcBorders>
              <w:top w:val="single" w:sz="12" w:space="0" w:color="auto"/>
              <w:bottom w:val="single" w:sz="12" w:space="0" w:color="auto"/>
            </w:tcBorders>
          </w:tcPr>
          <w:p w14:paraId="396F064D" w14:textId="77777777" w:rsidR="00EC37C5" w:rsidRDefault="00EC37C5">
            <w:pPr>
              <w:spacing w:before="180" w:after="180"/>
              <w:ind w:right="-29"/>
              <w:jc w:val="center"/>
              <w:rPr>
                <w:noProof/>
                <w:sz w:val="18"/>
                <w:szCs w:val="18"/>
              </w:rPr>
            </w:pPr>
          </w:p>
        </w:tc>
        <w:tc>
          <w:tcPr>
            <w:tcW w:w="720" w:type="dxa"/>
            <w:tcBorders>
              <w:top w:val="single" w:sz="12" w:space="0" w:color="auto"/>
              <w:bottom w:val="single" w:sz="12" w:space="0" w:color="auto"/>
            </w:tcBorders>
          </w:tcPr>
          <w:p w14:paraId="73518DC3" w14:textId="77777777" w:rsidR="00EC37C5" w:rsidRDefault="00EC37C5">
            <w:pPr>
              <w:spacing w:before="180" w:after="180"/>
              <w:ind w:right="-29"/>
              <w:jc w:val="center"/>
              <w:rPr>
                <w:noProof/>
                <w:sz w:val="18"/>
                <w:szCs w:val="18"/>
              </w:rPr>
            </w:pPr>
          </w:p>
        </w:tc>
        <w:tc>
          <w:tcPr>
            <w:tcW w:w="540" w:type="dxa"/>
            <w:tcBorders>
              <w:top w:val="single" w:sz="12" w:space="0" w:color="auto"/>
              <w:bottom w:val="single" w:sz="12" w:space="0" w:color="auto"/>
            </w:tcBorders>
          </w:tcPr>
          <w:p w14:paraId="1AB87138" w14:textId="77777777" w:rsidR="00EC37C5" w:rsidRDefault="00EC37C5">
            <w:pPr>
              <w:spacing w:before="180" w:after="180"/>
              <w:ind w:right="-29"/>
              <w:jc w:val="center"/>
              <w:rPr>
                <w:noProof/>
                <w:sz w:val="18"/>
                <w:szCs w:val="18"/>
              </w:rPr>
            </w:pPr>
          </w:p>
        </w:tc>
        <w:tc>
          <w:tcPr>
            <w:tcW w:w="720" w:type="dxa"/>
            <w:tcBorders>
              <w:top w:val="single" w:sz="12" w:space="0" w:color="auto"/>
              <w:bottom w:val="single" w:sz="12" w:space="0" w:color="auto"/>
            </w:tcBorders>
          </w:tcPr>
          <w:p w14:paraId="30DC4317" w14:textId="77777777" w:rsidR="00EC37C5" w:rsidRDefault="00EC37C5">
            <w:pPr>
              <w:spacing w:before="180" w:after="180"/>
              <w:ind w:right="-29"/>
              <w:jc w:val="center"/>
              <w:rPr>
                <w:noProof/>
                <w:sz w:val="18"/>
                <w:szCs w:val="18"/>
              </w:rPr>
            </w:pPr>
          </w:p>
        </w:tc>
        <w:tc>
          <w:tcPr>
            <w:tcW w:w="720" w:type="dxa"/>
            <w:tcBorders>
              <w:top w:val="single" w:sz="12" w:space="0" w:color="auto"/>
              <w:bottom w:val="single" w:sz="12" w:space="0" w:color="auto"/>
            </w:tcBorders>
          </w:tcPr>
          <w:p w14:paraId="0D06A9B7" w14:textId="77777777" w:rsidR="00EC37C5" w:rsidRDefault="00EC37C5">
            <w:pPr>
              <w:spacing w:before="180" w:after="180"/>
              <w:ind w:right="-29"/>
              <w:jc w:val="center"/>
              <w:rPr>
                <w:noProof/>
                <w:sz w:val="18"/>
                <w:szCs w:val="18"/>
              </w:rPr>
            </w:pPr>
          </w:p>
        </w:tc>
        <w:tc>
          <w:tcPr>
            <w:tcW w:w="900" w:type="dxa"/>
            <w:tcBorders>
              <w:top w:val="single" w:sz="12" w:space="0" w:color="auto"/>
              <w:bottom w:val="single" w:sz="12" w:space="0" w:color="auto"/>
              <w:right w:val="single" w:sz="12" w:space="0" w:color="auto"/>
            </w:tcBorders>
          </w:tcPr>
          <w:p w14:paraId="53A99B95" w14:textId="77777777" w:rsidR="00EC37C5" w:rsidRDefault="00EC37C5">
            <w:pPr>
              <w:spacing w:before="180" w:after="180"/>
              <w:ind w:right="-29"/>
              <w:jc w:val="center"/>
              <w:rPr>
                <w:noProof/>
                <w:sz w:val="18"/>
                <w:szCs w:val="18"/>
              </w:rPr>
            </w:pPr>
          </w:p>
        </w:tc>
      </w:tr>
    </w:tbl>
    <w:p w14:paraId="3FF2BD38" w14:textId="77777777" w:rsidR="00EC37C5" w:rsidRDefault="00EC37C5" w:rsidP="00EC37C5">
      <w:pPr>
        <w:rPr>
          <w:noProof/>
        </w:rPr>
        <w:sectPr w:rsidR="00EC37C5" w:rsidSect="000033F2">
          <w:headerReference w:type="default" r:id="rId16"/>
          <w:footerReference w:type="default" r:id="rId17"/>
          <w:pgSz w:w="16840" w:h="11907" w:orient="landscape" w:code="9"/>
          <w:pgMar w:top="1134" w:right="1418" w:bottom="567" w:left="1418" w:header="709" w:footer="709" w:gutter="0"/>
          <w:cols w:space="708"/>
          <w:docGrid w:linePitch="360"/>
        </w:sectPr>
      </w:pPr>
    </w:p>
    <w:p w14:paraId="5E51D99F" w14:textId="77777777" w:rsidR="00EC37C5" w:rsidRPr="00910A6B" w:rsidRDefault="00EC37C5" w:rsidP="00EC37C5">
      <w:pPr>
        <w:pStyle w:val="ManualHeading3"/>
        <w:rPr>
          <w:bCs/>
          <w:noProof/>
          <w:szCs w:val="24"/>
        </w:rPr>
      </w:pPr>
      <w:bookmarkStart w:id="159" w:name="_Toc514938055"/>
      <w:bookmarkStart w:id="160" w:name="_Toc520485054"/>
      <w:bookmarkStart w:id="161" w:name="_Toc160804598"/>
      <w:bookmarkStart w:id="162" w:name="_Toc167220290"/>
      <w:bookmarkStart w:id="163" w:name="_Toc177549023"/>
      <w:r w:rsidRPr="0021790A">
        <w:rPr>
          <w:noProof/>
        </w:rPr>
        <w:t>3.2.3.</w:t>
      </w:r>
      <w:r w:rsidRPr="0021790A">
        <w:rPr>
          <w:noProof/>
        </w:rPr>
        <w:tab/>
      </w:r>
      <w:r>
        <w:rPr>
          <w:noProof/>
        </w:rPr>
        <w:t>Summary of estimated impact on administrative appropriations</w:t>
      </w:r>
      <w:bookmarkEnd w:id="159"/>
      <w:bookmarkEnd w:id="160"/>
      <w:bookmarkEnd w:id="161"/>
      <w:bookmarkEnd w:id="162"/>
      <w:bookmarkEnd w:id="163"/>
      <w:r>
        <w:rPr>
          <w:noProof/>
        </w:rPr>
        <w:t xml:space="preserve"> </w:t>
      </w:r>
    </w:p>
    <w:p w14:paraId="05167F28" w14:textId="77777777" w:rsidR="00EC37C5" w:rsidRDefault="00EC37C5" w:rsidP="00EC37C5">
      <w:pPr>
        <w:pStyle w:val="ListDash1"/>
        <w:rPr>
          <w:noProof/>
        </w:rPr>
      </w:pPr>
      <w:r>
        <w:rPr>
          <w:rFonts w:ascii="Wingdings" w:eastAsia="Wingdings" w:hAnsi="Wingdings" w:cs="Wingdings"/>
          <w:noProof/>
        </w:rPr>
        <w:t></w:t>
      </w:r>
      <w:r>
        <w:rPr>
          <w:noProof/>
        </w:rPr>
        <w:tab/>
        <w:t xml:space="preserve">The proposal/initiative does not require the use of appropriations of an administrative nature </w:t>
      </w:r>
    </w:p>
    <w:p w14:paraId="4B18E591" w14:textId="77777777" w:rsidR="00EC37C5" w:rsidRDefault="00EC37C5" w:rsidP="00EC37C5">
      <w:pPr>
        <w:pStyle w:val="ListDash1"/>
        <w:rPr>
          <w:noProof/>
        </w:rPr>
      </w:pPr>
      <w:r w:rsidRPr="00922145">
        <w:rPr>
          <w:rFonts w:ascii="Wingdings" w:eastAsia="Wingdings" w:hAnsi="Wingdings" w:cs="Wingdings"/>
          <w:noProof/>
        </w:rPr>
        <w:t></w:t>
      </w:r>
      <w:r w:rsidRPr="00922145">
        <w:rPr>
          <w:noProof/>
        </w:rPr>
        <w:tab/>
      </w:r>
      <w:r>
        <w:rPr>
          <w:noProof/>
        </w:rPr>
        <w:t>The proposal/initiative requires the use of appropriations of an administrative nature, as explained below</w:t>
      </w:r>
    </w:p>
    <w:p w14:paraId="152BC2D2" w14:textId="77777777" w:rsidR="00EC37C5" w:rsidRPr="00922145" w:rsidRDefault="00EC37C5" w:rsidP="00EC37C5">
      <w:pPr>
        <w:pStyle w:val="ManualHeading3"/>
        <w:rPr>
          <w:noProof/>
        </w:rPr>
      </w:pPr>
      <w:bookmarkStart w:id="164" w:name="_Toc167220291"/>
      <w:bookmarkStart w:id="165" w:name="_Toc177549024"/>
      <w:r w:rsidRPr="003268F2">
        <w:rPr>
          <w:noProof/>
        </w:rPr>
        <w:t>3.2.3.1</w:t>
      </w:r>
      <w:r>
        <w:rPr>
          <w:noProof/>
        </w:rPr>
        <w:t>.</w:t>
      </w:r>
      <w:r w:rsidRPr="003268F2">
        <w:rPr>
          <w:noProof/>
        </w:rPr>
        <w:t xml:space="preserve"> </w:t>
      </w:r>
      <w:r w:rsidRPr="003A7A3D">
        <w:rPr>
          <w:noProof/>
        </w:rPr>
        <w:t>Appropriations</w:t>
      </w:r>
      <w:r>
        <w:rPr>
          <w:noProof/>
        </w:rPr>
        <w:t xml:space="preserve"> </w:t>
      </w:r>
      <w:r>
        <w:rPr>
          <w:rFonts w:eastAsia="Calibri"/>
          <w:noProof/>
        </w:rPr>
        <w:t>from</w:t>
      </w:r>
      <w:r>
        <w:rPr>
          <w:noProof/>
        </w:rPr>
        <w:t xml:space="preserve"> voted budget</w:t>
      </w:r>
      <w:bookmarkEnd w:id="164"/>
      <w:bookmarkEnd w:id="165"/>
      <w:r>
        <w:rPr>
          <w:noProof/>
        </w:rPr>
        <w:t xml:space="preserve"> </w:t>
      </w:r>
    </w:p>
    <w:p w14:paraId="4ADDAF48" w14:textId="77777777" w:rsidR="00EC37C5" w:rsidRPr="00922145" w:rsidRDefault="00EC37C5" w:rsidP="00EC37C5">
      <w:pPr>
        <w:pStyle w:val="ManualHeading3"/>
        <w:rPr>
          <w:noProof/>
        </w:rPr>
      </w:pPr>
      <w:r>
        <w:rPr>
          <w:noProof/>
        </w:rPr>
        <w:t>(additional)</w:t>
      </w:r>
    </w:p>
    <w:tbl>
      <w:tblPr>
        <w:tblW w:w="5000" w:type="pct"/>
        <w:tblLook w:val="04A0" w:firstRow="1" w:lastRow="0" w:firstColumn="1" w:lastColumn="0" w:noHBand="0" w:noVBand="1"/>
      </w:tblPr>
      <w:tblGrid>
        <w:gridCol w:w="1837"/>
        <w:gridCol w:w="616"/>
        <w:gridCol w:w="954"/>
        <w:gridCol w:w="955"/>
        <w:gridCol w:w="955"/>
        <w:gridCol w:w="955"/>
        <w:gridCol w:w="957"/>
        <w:gridCol w:w="957"/>
        <w:gridCol w:w="1101"/>
      </w:tblGrid>
      <w:tr w:rsidR="00EC37C5" w:rsidRPr="00922145" w14:paraId="6BD33C29" w14:textId="77777777" w:rsidTr="00BA43C6">
        <w:trPr>
          <w:trHeight w:val="300"/>
        </w:trPr>
        <w:tc>
          <w:tcPr>
            <w:tcW w:w="989" w:type="pct"/>
            <w:vMerge w:val="restart"/>
            <w:tcBorders>
              <w:top w:val="single" w:sz="8" w:space="0" w:color="auto"/>
              <w:left w:val="single" w:sz="8" w:space="0" w:color="auto"/>
              <w:bottom w:val="single" w:sz="8" w:space="0" w:color="auto"/>
              <w:right w:val="single" w:sz="8" w:space="0" w:color="auto"/>
            </w:tcBorders>
            <w:vAlign w:val="center"/>
            <w:hideMark/>
          </w:tcPr>
          <w:p w14:paraId="359A3174" w14:textId="77777777" w:rsidR="00EC37C5" w:rsidRPr="00922145" w:rsidRDefault="00EC37C5">
            <w:pPr>
              <w:spacing w:before="0" w:after="0"/>
              <w:jc w:val="center"/>
              <w:rPr>
                <w:b/>
                <w:bCs/>
                <w:noProof/>
                <w:color w:val="000000"/>
                <w:sz w:val="18"/>
                <w:szCs w:val="18"/>
                <w:lang w:eastAsia="en-IE"/>
              </w:rPr>
            </w:pPr>
            <w:r w:rsidRPr="00922145">
              <w:rPr>
                <w:b/>
                <w:bCs/>
                <w:noProof/>
                <w:color w:val="000000"/>
                <w:sz w:val="18"/>
                <w:szCs w:val="18"/>
                <w:lang w:eastAsia="en-IE"/>
              </w:rPr>
              <w:t>VOTED APPROPRIATIONS</w:t>
            </w:r>
          </w:p>
        </w:tc>
        <w:tc>
          <w:tcPr>
            <w:tcW w:w="332" w:type="pct"/>
            <w:tcBorders>
              <w:top w:val="single" w:sz="8" w:space="0" w:color="auto"/>
              <w:left w:val="nil"/>
              <w:bottom w:val="single" w:sz="8" w:space="0" w:color="auto"/>
              <w:right w:val="single" w:sz="8" w:space="0" w:color="auto"/>
            </w:tcBorders>
            <w:vAlign w:val="center"/>
            <w:hideMark/>
          </w:tcPr>
          <w:p w14:paraId="7767EFE0" w14:textId="77777777" w:rsidR="00EC37C5" w:rsidRPr="00922145" w:rsidRDefault="00EC37C5">
            <w:pPr>
              <w:spacing w:before="0" w:after="0"/>
              <w:jc w:val="center"/>
              <w:rPr>
                <w:noProof/>
                <w:color w:val="000000"/>
                <w:sz w:val="18"/>
                <w:szCs w:val="18"/>
                <w:lang w:eastAsia="en-IE"/>
              </w:rPr>
            </w:pPr>
            <w:r w:rsidRPr="00922145">
              <w:rPr>
                <w:noProof/>
                <w:color w:val="000000"/>
                <w:sz w:val="18"/>
                <w:szCs w:val="18"/>
                <w:lang w:eastAsia="en-IE"/>
              </w:rPr>
              <w:t>Year</w:t>
            </w:r>
          </w:p>
        </w:tc>
        <w:tc>
          <w:tcPr>
            <w:tcW w:w="514" w:type="pct"/>
            <w:tcBorders>
              <w:top w:val="single" w:sz="8" w:space="0" w:color="auto"/>
              <w:left w:val="nil"/>
              <w:bottom w:val="single" w:sz="8" w:space="0" w:color="auto"/>
              <w:right w:val="single" w:sz="8" w:space="0" w:color="auto"/>
            </w:tcBorders>
            <w:vAlign w:val="center"/>
            <w:hideMark/>
          </w:tcPr>
          <w:p w14:paraId="696A622D" w14:textId="77777777" w:rsidR="00EC37C5" w:rsidRPr="00922145" w:rsidRDefault="00EC37C5">
            <w:pPr>
              <w:spacing w:before="0" w:after="0"/>
              <w:jc w:val="center"/>
              <w:rPr>
                <w:noProof/>
                <w:color w:val="000000"/>
                <w:sz w:val="18"/>
                <w:szCs w:val="18"/>
                <w:lang w:eastAsia="en-IE"/>
              </w:rPr>
            </w:pPr>
            <w:r w:rsidRPr="00922145">
              <w:rPr>
                <w:noProof/>
                <w:color w:val="000000"/>
                <w:sz w:val="18"/>
                <w:szCs w:val="18"/>
                <w:lang w:eastAsia="en-IE"/>
              </w:rPr>
              <w:t>Year</w:t>
            </w:r>
          </w:p>
        </w:tc>
        <w:tc>
          <w:tcPr>
            <w:tcW w:w="514" w:type="pct"/>
            <w:tcBorders>
              <w:top w:val="single" w:sz="8" w:space="0" w:color="auto"/>
              <w:left w:val="nil"/>
              <w:bottom w:val="single" w:sz="8" w:space="0" w:color="auto"/>
              <w:right w:val="single" w:sz="8" w:space="0" w:color="auto"/>
            </w:tcBorders>
            <w:vAlign w:val="center"/>
            <w:hideMark/>
          </w:tcPr>
          <w:p w14:paraId="314557A7" w14:textId="77777777" w:rsidR="00EC37C5" w:rsidRPr="00922145" w:rsidRDefault="00EC37C5">
            <w:pPr>
              <w:spacing w:before="0" w:after="0"/>
              <w:jc w:val="center"/>
              <w:rPr>
                <w:noProof/>
                <w:color w:val="000000"/>
                <w:sz w:val="18"/>
                <w:szCs w:val="18"/>
                <w:lang w:eastAsia="en-IE"/>
              </w:rPr>
            </w:pPr>
            <w:r w:rsidRPr="00922145">
              <w:rPr>
                <w:noProof/>
                <w:color w:val="000000"/>
                <w:sz w:val="18"/>
                <w:szCs w:val="18"/>
                <w:lang w:eastAsia="en-IE"/>
              </w:rPr>
              <w:t>Year</w:t>
            </w:r>
          </w:p>
        </w:tc>
        <w:tc>
          <w:tcPr>
            <w:tcW w:w="514" w:type="pct"/>
            <w:tcBorders>
              <w:top w:val="single" w:sz="8" w:space="0" w:color="auto"/>
              <w:left w:val="nil"/>
              <w:bottom w:val="single" w:sz="8" w:space="0" w:color="auto"/>
              <w:right w:val="single" w:sz="8" w:space="0" w:color="auto"/>
            </w:tcBorders>
            <w:vAlign w:val="center"/>
            <w:hideMark/>
          </w:tcPr>
          <w:p w14:paraId="4C406C72" w14:textId="77777777" w:rsidR="00EC37C5" w:rsidRPr="00922145" w:rsidRDefault="00EC37C5">
            <w:pPr>
              <w:spacing w:before="0" w:after="0"/>
              <w:jc w:val="center"/>
              <w:rPr>
                <w:noProof/>
                <w:color w:val="000000"/>
                <w:sz w:val="18"/>
                <w:szCs w:val="18"/>
                <w:lang w:eastAsia="en-IE"/>
              </w:rPr>
            </w:pPr>
            <w:r w:rsidRPr="00922145">
              <w:rPr>
                <w:noProof/>
                <w:color w:val="000000"/>
                <w:sz w:val="18"/>
                <w:szCs w:val="18"/>
                <w:lang w:eastAsia="en-IE"/>
              </w:rPr>
              <w:t>Year</w:t>
            </w:r>
          </w:p>
        </w:tc>
        <w:tc>
          <w:tcPr>
            <w:tcW w:w="514" w:type="pct"/>
            <w:tcBorders>
              <w:top w:val="single" w:sz="8" w:space="0" w:color="auto"/>
              <w:left w:val="single" w:sz="8" w:space="0" w:color="auto"/>
              <w:bottom w:val="single" w:sz="8" w:space="0" w:color="auto"/>
              <w:right w:val="single" w:sz="8" w:space="0" w:color="auto"/>
            </w:tcBorders>
            <w:vAlign w:val="center"/>
          </w:tcPr>
          <w:p w14:paraId="5E8D35E4" w14:textId="77777777" w:rsidR="00EC37C5" w:rsidRPr="00922145" w:rsidRDefault="00EC37C5">
            <w:pPr>
              <w:spacing w:before="0" w:after="0"/>
              <w:jc w:val="center"/>
              <w:rPr>
                <w:noProof/>
                <w:color w:val="000000"/>
                <w:sz w:val="18"/>
                <w:szCs w:val="18"/>
                <w:lang w:eastAsia="en-IE"/>
              </w:rPr>
            </w:pPr>
            <w:r w:rsidRPr="00922145">
              <w:rPr>
                <w:noProof/>
                <w:color w:val="000000"/>
                <w:sz w:val="18"/>
                <w:szCs w:val="18"/>
                <w:lang w:eastAsia="en-IE"/>
              </w:rPr>
              <w:t>Year</w:t>
            </w:r>
          </w:p>
        </w:tc>
        <w:tc>
          <w:tcPr>
            <w:tcW w:w="515" w:type="pct"/>
            <w:tcBorders>
              <w:top w:val="single" w:sz="8" w:space="0" w:color="auto"/>
              <w:left w:val="single" w:sz="8" w:space="0" w:color="auto"/>
              <w:bottom w:val="single" w:sz="8" w:space="0" w:color="auto"/>
              <w:right w:val="single" w:sz="8" w:space="0" w:color="auto"/>
            </w:tcBorders>
            <w:vAlign w:val="center"/>
          </w:tcPr>
          <w:p w14:paraId="6A595BEB" w14:textId="77777777" w:rsidR="00EC37C5" w:rsidRPr="00922145" w:rsidRDefault="00EC37C5">
            <w:pPr>
              <w:spacing w:before="0" w:after="0"/>
              <w:jc w:val="center"/>
              <w:rPr>
                <w:noProof/>
                <w:color w:val="000000"/>
                <w:sz w:val="18"/>
                <w:szCs w:val="18"/>
                <w:lang w:eastAsia="en-IE"/>
              </w:rPr>
            </w:pPr>
            <w:r w:rsidRPr="00922145">
              <w:rPr>
                <w:noProof/>
                <w:color w:val="000000"/>
                <w:sz w:val="18"/>
                <w:szCs w:val="18"/>
                <w:lang w:eastAsia="en-IE"/>
              </w:rPr>
              <w:t>Year</w:t>
            </w:r>
          </w:p>
        </w:tc>
        <w:tc>
          <w:tcPr>
            <w:tcW w:w="515" w:type="pct"/>
            <w:tcBorders>
              <w:top w:val="single" w:sz="8" w:space="0" w:color="auto"/>
              <w:left w:val="single" w:sz="8" w:space="0" w:color="auto"/>
              <w:bottom w:val="single" w:sz="8" w:space="0" w:color="auto"/>
              <w:right w:val="single" w:sz="8" w:space="0" w:color="auto"/>
            </w:tcBorders>
            <w:vAlign w:val="center"/>
          </w:tcPr>
          <w:p w14:paraId="01283C63" w14:textId="77777777" w:rsidR="00EC37C5" w:rsidRPr="00922145" w:rsidRDefault="00EC37C5">
            <w:pPr>
              <w:spacing w:before="0" w:after="0"/>
              <w:jc w:val="center"/>
              <w:rPr>
                <w:noProof/>
                <w:color w:val="000000"/>
                <w:sz w:val="18"/>
                <w:szCs w:val="18"/>
                <w:lang w:eastAsia="en-IE"/>
              </w:rPr>
            </w:pPr>
            <w:r w:rsidRPr="00922145">
              <w:rPr>
                <w:noProof/>
                <w:color w:val="000000"/>
                <w:sz w:val="18"/>
                <w:szCs w:val="18"/>
                <w:lang w:eastAsia="en-IE"/>
              </w:rPr>
              <w:t>Year</w:t>
            </w:r>
          </w:p>
        </w:tc>
        <w:tc>
          <w:tcPr>
            <w:tcW w:w="593" w:type="pct"/>
            <w:vMerge w:val="restart"/>
            <w:tcBorders>
              <w:top w:val="single" w:sz="8" w:space="0" w:color="auto"/>
              <w:left w:val="single" w:sz="8" w:space="0" w:color="auto"/>
              <w:bottom w:val="single" w:sz="8" w:space="0" w:color="auto"/>
              <w:right w:val="single" w:sz="8" w:space="0" w:color="auto"/>
            </w:tcBorders>
            <w:vAlign w:val="center"/>
            <w:hideMark/>
          </w:tcPr>
          <w:p w14:paraId="7FA158A9" w14:textId="77777777" w:rsidR="00EC37C5" w:rsidRPr="00922145" w:rsidRDefault="00EC37C5">
            <w:pPr>
              <w:spacing w:before="0" w:after="0"/>
              <w:jc w:val="center"/>
              <w:rPr>
                <w:b/>
                <w:bCs/>
                <w:noProof/>
                <w:color w:val="000000"/>
                <w:sz w:val="18"/>
                <w:szCs w:val="18"/>
                <w:lang w:eastAsia="en-IE"/>
              </w:rPr>
            </w:pPr>
            <w:r w:rsidRPr="00922145">
              <w:rPr>
                <w:b/>
                <w:bCs/>
                <w:noProof/>
                <w:color w:val="000000"/>
                <w:sz w:val="18"/>
                <w:szCs w:val="18"/>
                <w:lang w:eastAsia="en-IE"/>
              </w:rPr>
              <w:t>TOTAL 2028 - 2034</w:t>
            </w:r>
          </w:p>
        </w:tc>
      </w:tr>
      <w:tr w:rsidR="00EC37C5" w:rsidRPr="00922145" w14:paraId="2C079BD0" w14:textId="77777777" w:rsidTr="00BA43C6">
        <w:trPr>
          <w:trHeight w:val="300"/>
        </w:trPr>
        <w:tc>
          <w:tcPr>
            <w:tcW w:w="989" w:type="pct"/>
            <w:vMerge/>
            <w:tcBorders>
              <w:top w:val="single" w:sz="8" w:space="0" w:color="auto"/>
              <w:left w:val="single" w:sz="8" w:space="0" w:color="auto"/>
              <w:bottom w:val="single" w:sz="8" w:space="0" w:color="auto"/>
              <w:right w:val="single" w:sz="8" w:space="0" w:color="auto"/>
            </w:tcBorders>
            <w:vAlign w:val="center"/>
            <w:hideMark/>
          </w:tcPr>
          <w:p w14:paraId="21B7E483" w14:textId="77777777" w:rsidR="00EC37C5" w:rsidRPr="00922145" w:rsidRDefault="00EC37C5">
            <w:pPr>
              <w:spacing w:before="0" w:after="0"/>
              <w:jc w:val="left"/>
              <w:rPr>
                <w:b/>
                <w:bCs/>
                <w:noProof/>
                <w:color w:val="000000"/>
                <w:sz w:val="18"/>
                <w:szCs w:val="18"/>
                <w:lang w:eastAsia="en-IE"/>
              </w:rPr>
            </w:pPr>
          </w:p>
        </w:tc>
        <w:tc>
          <w:tcPr>
            <w:tcW w:w="332" w:type="pct"/>
            <w:tcBorders>
              <w:top w:val="nil"/>
              <w:left w:val="nil"/>
              <w:bottom w:val="single" w:sz="8" w:space="0" w:color="auto"/>
              <w:right w:val="single" w:sz="8" w:space="0" w:color="auto"/>
            </w:tcBorders>
            <w:vAlign w:val="center"/>
            <w:hideMark/>
          </w:tcPr>
          <w:p w14:paraId="26C6338F" w14:textId="77777777" w:rsidR="00EC37C5" w:rsidRPr="00922145" w:rsidRDefault="00EC37C5">
            <w:pPr>
              <w:spacing w:before="0" w:after="0"/>
              <w:jc w:val="center"/>
              <w:rPr>
                <w:b/>
                <w:bCs/>
                <w:noProof/>
                <w:color w:val="000000"/>
                <w:sz w:val="18"/>
                <w:szCs w:val="18"/>
                <w:lang w:eastAsia="en-IE"/>
              </w:rPr>
            </w:pPr>
            <w:r w:rsidRPr="00922145">
              <w:rPr>
                <w:b/>
                <w:bCs/>
                <w:noProof/>
                <w:color w:val="000000"/>
                <w:sz w:val="18"/>
                <w:szCs w:val="18"/>
                <w:lang w:eastAsia="en-IE"/>
              </w:rPr>
              <w:t>2028</w:t>
            </w:r>
          </w:p>
        </w:tc>
        <w:tc>
          <w:tcPr>
            <w:tcW w:w="514" w:type="pct"/>
            <w:tcBorders>
              <w:top w:val="nil"/>
              <w:left w:val="nil"/>
              <w:bottom w:val="single" w:sz="8" w:space="0" w:color="auto"/>
              <w:right w:val="single" w:sz="8" w:space="0" w:color="auto"/>
            </w:tcBorders>
            <w:vAlign w:val="center"/>
            <w:hideMark/>
          </w:tcPr>
          <w:p w14:paraId="1CB4B0BF" w14:textId="77777777" w:rsidR="00EC37C5" w:rsidRPr="00922145" w:rsidRDefault="00EC37C5">
            <w:pPr>
              <w:spacing w:before="0" w:after="0"/>
              <w:jc w:val="center"/>
              <w:rPr>
                <w:b/>
                <w:bCs/>
                <w:noProof/>
                <w:color w:val="000000"/>
                <w:sz w:val="18"/>
                <w:szCs w:val="18"/>
                <w:lang w:eastAsia="en-IE"/>
              </w:rPr>
            </w:pPr>
            <w:r w:rsidRPr="00922145">
              <w:rPr>
                <w:b/>
                <w:bCs/>
                <w:noProof/>
                <w:color w:val="000000"/>
                <w:sz w:val="18"/>
                <w:szCs w:val="18"/>
                <w:lang w:eastAsia="en-IE"/>
              </w:rPr>
              <w:t>2029</w:t>
            </w:r>
          </w:p>
        </w:tc>
        <w:tc>
          <w:tcPr>
            <w:tcW w:w="514" w:type="pct"/>
            <w:tcBorders>
              <w:top w:val="nil"/>
              <w:left w:val="nil"/>
              <w:bottom w:val="single" w:sz="8" w:space="0" w:color="auto"/>
              <w:right w:val="single" w:sz="8" w:space="0" w:color="auto"/>
            </w:tcBorders>
            <w:vAlign w:val="center"/>
            <w:hideMark/>
          </w:tcPr>
          <w:p w14:paraId="5AED40EA" w14:textId="77777777" w:rsidR="00EC37C5" w:rsidRPr="00922145" w:rsidRDefault="00EC37C5">
            <w:pPr>
              <w:spacing w:before="0" w:after="0"/>
              <w:jc w:val="center"/>
              <w:rPr>
                <w:b/>
                <w:bCs/>
                <w:noProof/>
                <w:color w:val="000000"/>
                <w:sz w:val="18"/>
                <w:szCs w:val="18"/>
                <w:lang w:eastAsia="en-IE"/>
              </w:rPr>
            </w:pPr>
            <w:r w:rsidRPr="00922145">
              <w:rPr>
                <w:b/>
                <w:bCs/>
                <w:noProof/>
                <w:color w:val="000000"/>
                <w:sz w:val="18"/>
                <w:szCs w:val="18"/>
                <w:lang w:eastAsia="en-IE"/>
              </w:rPr>
              <w:t>2030</w:t>
            </w:r>
          </w:p>
        </w:tc>
        <w:tc>
          <w:tcPr>
            <w:tcW w:w="514" w:type="pct"/>
            <w:tcBorders>
              <w:top w:val="nil"/>
              <w:left w:val="nil"/>
              <w:bottom w:val="single" w:sz="8" w:space="0" w:color="auto"/>
              <w:right w:val="single" w:sz="8" w:space="0" w:color="auto"/>
            </w:tcBorders>
            <w:vAlign w:val="center"/>
            <w:hideMark/>
          </w:tcPr>
          <w:p w14:paraId="5AE02D51" w14:textId="77777777" w:rsidR="00EC37C5" w:rsidRPr="00922145" w:rsidRDefault="00EC37C5">
            <w:pPr>
              <w:spacing w:before="0" w:after="0"/>
              <w:jc w:val="center"/>
              <w:rPr>
                <w:b/>
                <w:bCs/>
                <w:noProof/>
                <w:color w:val="000000"/>
                <w:sz w:val="18"/>
                <w:szCs w:val="18"/>
                <w:lang w:eastAsia="en-IE"/>
              </w:rPr>
            </w:pPr>
            <w:r w:rsidRPr="00922145">
              <w:rPr>
                <w:b/>
                <w:bCs/>
                <w:noProof/>
                <w:color w:val="000000"/>
                <w:sz w:val="18"/>
                <w:szCs w:val="18"/>
                <w:lang w:eastAsia="en-IE"/>
              </w:rPr>
              <w:t>2031</w:t>
            </w:r>
          </w:p>
        </w:tc>
        <w:tc>
          <w:tcPr>
            <w:tcW w:w="514" w:type="pct"/>
            <w:tcBorders>
              <w:top w:val="single" w:sz="8" w:space="0" w:color="auto"/>
              <w:left w:val="single" w:sz="8" w:space="0" w:color="auto"/>
              <w:bottom w:val="single" w:sz="8" w:space="0" w:color="auto"/>
              <w:right w:val="single" w:sz="8" w:space="0" w:color="auto"/>
            </w:tcBorders>
            <w:vAlign w:val="center"/>
          </w:tcPr>
          <w:p w14:paraId="6537743C" w14:textId="77777777" w:rsidR="00EC37C5" w:rsidRPr="00922145" w:rsidRDefault="00EC37C5">
            <w:pPr>
              <w:spacing w:before="0" w:after="0"/>
              <w:jc w:val="center"/>
              <w:rPr>
                <w:b/>
                <w:bCs/>
                <w:noProof/>
                <w:color w:val="000000"/>
                <w:sz w:val="18"/>
                <w:szCs w:val="18"/>
                <w:lang w:eastAsia="en-IE"/>
              </w:rPr>
            </w:pPr>
            <w:r w:rsidRPr="00922145">
              <w:rPr>
                <w:b/>
                <w:bCs/>
                <w:noProof/>
                <w:color w:val="000000"/>
                <w:sz w:val="18"/>
                <w:szCs w:val="18"/>
                <w:lang w:eastAsia="en-IE"/>
              </w:rPr>
              <w:t>2032</w:t>
            </w:r>
          </w:p>
        </w:tc>
        <w:tc>
          <w:tcPr>
            <w:tcW w:w="515" w:type="pct"/>
            <w:tcBorders>
              <w:top w:val="single" w:sz="8" w:space="0" w:color="auto"/>
              <w:left w:val="single" w:sz="8" w:space="0" w:color="auto"/>
              <w:bottom w:val="single" w:sz="8" w:space="0" w:color="auto"/>
              <w:right w:val="single" w:sz="8" w:space="0" w:color="auto"/>
            </w:tcBorders>
            <w:vAlign w:val="center"/>
          </w:tcPr>
          <w:p w14:paraId="1B730CA6" w14:textId="77777777" w:rsidR="00EC37C5" w:rsidRPr="00922145" w:rsidRDefault="00EC37C5">
            <w:pPr>
              <w:spacing w:before="0" w:after="0"/>
              <w:jc w:val="center"/>
              <w:rPr>
                <w:b/>
                <w:bCs/>
                <w:noProof/>
                <w:color w:val="000000"/>
                <w:sz w:val="18"/>
                <w:szCs w:val="18"/>
                <w:lang w:eastAsia="en-IE"/>
              </w:rPr>
            </w:pPr>
            <w:r w:rsidRPr="00922145">
              <w:rPr>
                <w:b/>
                <w:bCs/>
                <w:noProof/>
                <w:color w:val="000000"/>
                <w:sz w:val="18"/>
                <w:szCs w:val="18"/>
                <w:lang w:eastAsia="en-IE"/>
              </w:rPr>
              <w:t>2033</w:t>
            </w:r>
          </w:p>
        </w:tc>
        <w:tc>
          <w:tcPr>
            <w:tcW w:w="515" w:type="pct"/>
            <w:tcBorders>
              <w:top w:val="single" w:sz="8" w:space="0" w:color="auto"/>
              <w:left w:val="single" w:sz="8" w:space="0" w:color="auto"/>
              <w:bottom w:val="single" w:sz="8" w:space="0" w:color="auto"/>
              <w:right w:val="single" w:sz="8" w:space="0" w:color="auto"/>
            </w:tcBorders>
            <w:vAlign w:val="center"/>
          </w:tcPr>
          <w:p w14:paraId="27B8F088" w14:textId="77777777" w:rsidR="00EC37C5" w:rsidRPr="00922145" w:rsidRDefault="00EC37C5">
            <w:pPr>
              <w:spacing w:before="0" w:after="0"/>
              <w:jc w:val="center"/>
              <w:rPr>
                <w:b/>
                <w:bCs/>
                <w:noProof/>
                <w:color w:val="000000"/>
                <w:sz w:val="18"/>
                <w:szCs w:val="18"/>
                <w:lang w:eastAsia="en-IE"/>
              </w:rPr>
            </w:pPr>
            <w:r w:rsidRPr="00922145">
              <w:rPr>
                <w:b/>
                <w:bCs/>
                <w:noProof/>
                <w:color w:val="000000"/>
                <w:sz w:val="18"/>
                <w:szCs w:val="18"/>
                <w:lang w:eastAsia="en-IE"/>
              </w:rPr>
              <w:t>2034</w:t>
            </w:r>
          </w:p>
        </w:tc>
        <w:tc>
          <w:tcPr>
            <w:tcW w:w="593" w:type="pct"/>
            <w:vMerge/>
            <w:tcBorders>
              <w:top w:val="single" w:sz="8" w:space="0" w:color="auto"/>
              <w:left w:val="single" w:sz="8" w:space="0" w:color="auto"/>
              <w:bottom w:val="single" w:sz="8" w:space="0" w:color="auto"/>
              <w:right w:val="single" w:sz="8" w:space="0" w:color="auto"/>
            </w:tcBorders>
            <w:vAlign w:val="center"/>
            <w:hideMark/>
          </w:tcPr>
          <w:p w14:paraId="7CF05C08" w14:textId="77777777" w:rsidR="00EC37C5" w:rsidRPr="00922145" w:rsidRDefault="00EC37C5">
            <w:pPr>
              <w:spacing w:before="0" w:after="0"/>
              <w:jc w:val="left"/>
              <w:rPr>
                <w:b/>
                <w:bCs/>
                <w:noProof/>
                <w:color w:val="000000"/>
                <w:sz w:val="18"/>
                <w:szCs w:val="18"/>
                <w:lang w:eastAsia="en-IE"/>
              </w:rPr>
            </w:pPr>
          </w:p>
        </w:tc>
      </w:tr>
      <w:tr w:rsidR="00EC37C5" w:rsidRPr="00922145" w14:paraId="5614D28A" w14:textId="77777777">
        <w:trPr>
          <w:trHeight w:val="300"/>
        </w:trPr>
        <w:tc>
          <w:tcPr>
            <w:tcW w:w="5000" w:type="pct"/>
            <w:gridSpan w:val="9"/>
            <w:tcBorders>
              <w:top w:val="single" w:sz="8" w:space="0" w:color="auto"/>
              <w:left w:val="single" w:sz="8" w:space="0" w:color="auto"/>
              <w:bottom w:val="single" w:sz="8" w:space="0" w:color="auto"/>
              <w:right w:val="single" w:sz="4" w:space="0" w:color="auto"/>
            </w:tcBorders>
            <w:vAlign w:val="center"/>
          </w:tcPr>
          <w:p w14:paraId="3AF14C9C" w14:textId="77777777" w:rsidR="00EC37C5" w:rsidRPr="00922145" w:rsidRDefault="00EC37C5">
            <w:pPr>
              <w:spacing w:before="0" w:after="0"/>
              <w:jc w:val="center"/>
              <w:rPr>
                <w:b/>
                <w:bCs/>
                <w:noProof/>
                <w:sz w:val="16"/>
                <w:szCs w:val="16"/>
                <w:lang w:eastAsia="en-IE"/>
              </w:rPr>
            </w:pPr>
            <w:r w:rsidRPr="00922145">
              <w:rPr>
                <w:b/>
                <w:bCs/>
                <w:noProof/>
                <w:sz w:val="16"/>
                <w:szCs w:val="16"/>
                <w:lang w:eastAsia="en-IE"/>
              </w:rPr>
              <w:t>HEADING 4</w:t>
            </w:r>
          </w:p>
        </w:tc>
      </w:tr>
      <w:tr w:rsidR="008E3FA9" w:rsidRPr="00922145" w14:paraId="601AA35A" w14:textId="77777777" w:rsidTr="00BA43C6">
        <w:trPr>
          <w:trHeight w:val="300"/>
        </w:trPr>
        <w:tc>
          <w:tcPr>
            <w:tcW w:w="989" w:type="pct"/>
            <w:tcBorders>
              <w:top w:val="nil"/>
              <w:left w:val="single" w:sz="8" w:space="0" w:color="auto"/>
              <w:bottom w:val="single" w:sz="8" w:space="0" w:color="auto"/>
              <w:right w:val="single" w:sz="8" w:space="0" w:color="auto"/>
            </w:tcBorders>
            <w:vAlign w:val="center"/>
            <w:hideMark/>
          </w:tcPr>
          <w:p w14:paraId="77DDD81D" w14:textId="77777777" w:rsidR="008E3FA9" w:rsidRPr="00922145" w:rsidRDefault="008E3FA9" w:rsidP="008E3FA9">
            <w:pPr>
              <w:spacing w:before="0" w:after="0"/>
              <w:jc w:val="left"/>
              <w:rPr>
                <w:noProof/>
                <w:color w:val="000000"/>
                <w:sz w:val="16"/>
                <w:szCs w:val="16"/>
                <w:lang w:eastAsia="en-IE"/>
              </w:rPr>
            </w:pPr>
            <w:r w:rsidRPr="00922145">
              <w:rPr>
                <w:noProof/>
                <w:color w:val="000000"/>
                <w:sz w:val="16"/>
                <w:szCs w:val="16"/>
                <w:lang w:eastAsia="en-IE"/>
              </w:rPr>
              <w:t xml:space="preserve">Human resources </w:t>
            </w:r>
          </w:p>
        </w:tc>
        <w:tc>
          <w:tcPr>
            <w:tcW w:w="332" w:type="pct"/>
            <w:tcBorders>
              <w:top w:val="nil"/>
              <w:left w:val="nil"/>
              <w:bottom w:val="single" w:sz="8" w:space="0" w:color="auto"/>
              <w:right w:val="single" w:sz="8" w:space="0" w:color="auto"/>
            </w:tcBorders>
            <w:shd w:val="clear" w:color="000000" w:fill="D9D9D9"/>
            <w:vAlign w:val="center"/>
            <w:hideMark/>
          </w:tcPr>
          <w:p w14:paraId="0C4C29FA" w14:textId="77777777" w:rsidR="008E3FA9" w:rsidRPr="00B50FCF" w:rsidRDefault="008E3FA9" w:rsidP="008E3FA9">
            <w:pPr>
              <w:spacing w:before="0" w:after="0"/>
              <w:jc w:val="right"/>
              <w:rPr>
                <w:noProof/>
                <w:color w:val="000000"/>
                <w:sz w:val="16"/>
                <w:szCs w:val="16"/>
                <w:lang w:eastAsia="en-IE"/>
              </w:rPr>
            </w:pPr>
            <w:r w:rsidRPr="00B50FCF">
              <w:rPr>
                <w:noProof/>
                <w:color w:val="000000"/>
                <w:sz w:val="16"/>
                <w:szCs w:val="16"/>
                <w:lang w:eastAsia="en-IE"/>
              </w:rPr>
              <w:t xml:space="preserve"> </w:t>
            </w:r>
            <w:r>
              <w:rPr>
                <w:noProof/>
                <w:color w:val="000000"/>
                <w:sz w:val="16"/>
                <w:szCs w:val="16"/>
                <w:lang w:eastAsia="en-IE"/>
              </w:rPr>
              <w:t>2,328</w:t>
            </w:r>
          </w:p>
          <w:p w14:paraId="0F58296A" w14:textId="77777777" w:rsidR="008E3FA9" w:rsidRPr="00922145" w:rsidRDefault="008E3FA9" w:rsidP="008E3FA9">
            <w:pPr>
              <w:spacing w:before="0" w:after="0"/>
              <w:jc w:val="right"/>
              <w:rPr>
                <w:noProof/>
                <w:color w:val="000000"/>
                <w:sz w:val="16"/>
                <w:szCs w:val="16"/>
                <w:lang w:eastAsia="en-IE"/>
              </w:rPr>
            </w:pPr>
          </w:p>
        </w:tc>
        <w:tc>
          <w:tcPr>
            <w:tcW w:w="514" w:type="pct"/>
            <w:tcBorders>
              <w:top w:val="nil"/>
              <w:left w:val="nil"/>
              <w:bottom w:val="single" w:sz="8" w:space="0" w:color="auto"/>
              <w:right w:val="single" w:sz="8" w:space="0" w:color="auto"/>
            </w:tcBorders>
            <w:shd w:val="clear" w:color="000000" w:fill="D9D9D9"/>
            <w:hideMark/>
          </w:tcPr>
          <w:p w14:paraId="44398E17" w14:textId="68763E94" w:rsidR="008E3FA9" w:rsidRPr="00922145" w:rsidRDefault="008E3FA9" w:rsidP="008E3FA9">
            <w:pPr>
              <w:spacing w:before="0" w:after="0"/>
              <w:jc w:val="right"/>
              <w:rPr>
                <w:noProof/>
                <w:color w:val="000000"/>
                <w:sz w:val="16"/>
                <w:szCs w:val="16"/>
                <w:lang w:eastAsia="en-IE"/>
              </w:rPr>
            </w:pPr>
            <w:r w:rsidRPr="00B50FCF">
              <w:rPr>
                <w:noProof/>
                <w:color w:val="000000"/>
                <w:sz w:val="16"/>
                <w:szCs w:val="16"/>
                <w:lang w:eastAsia="en-IE"/>
              </w:rPr>
              <w:t xml:space="preserve"> </w:t>
            </w:r>
            <w:r>
              <w:rPr>
                <w:noProof/>
                <w:color w:val="000000"/>
                <w:sz w:val="16"/>
                <w:szCs w:val="16"/>
                <w:lang w:eastAsia="en-IE"/>
              </w:rPr>
              <w:t>2,328</w:t>
            </w:r>
          </w:p>
        </w:tc>
        <w:tc>
          <w:tcPr>
            <w:tcW w:w="514" w:type="pct"/>
            <w:tcBorders>
              <w:top w:val="nil"/>
              <w:left w:val="nil"/>
              <w:bottom w:val="single" w:sz="8" w:space="0" w:color="auto"/>
              <w:right w:val="single" w:sz="8" w:space="0" w:color="auto"/>
            </w:tcBorders>
            <w:shd w:val="clear" w:color="000000" w:fill="D9D9D9"/>
            <w:hideMark/>
          </w:tcPr>
          <w:p w14:paraId="6F0CE63D" w14:textId="41DF674B" w:rsidR="008E3FA9" w:rsidRPr="00922145" w:rsidRDefault="008E3FA9" w:rsidP="008E3FA9">
            <w:pPr>
              <w:spacing w:before="0" w:after="0"/>
              <w:jc w:val="right"/>
              <w:rPr>
                <w:noProof/>
                <w:color w:val="000000"/>
                <w:sz w:val="16"/>
                <w:szCs w:val="16"/>
                <w:lang w:eastAsia="en-IE"/>
              </w:rPr>
            </w:pPr>
            <w:r w:rsidRPr="00B50FCF">
              <w:rPr>
                <w:noProof/>
                <w:color w:val="000000"/>
                <w:sz w:val="16"/>
                <w:szCs w:val="16"/>
                <w:lang w:eastAsia="en-IE"/>
              </w:rPr>
              <w:t xml:space="preserve"> </w:t>
            </w:r>
            <w:r>
              <w:rPr>
                <w:noProof/>
                <w:color w:val="000000"/>
                <w:sz w:val="16"/>
                <w:szCs w:val="16"/>
                <w:lang w:eastAsia="en-IE"/>
              </w:rPr>
              <w:t>3,104</w:t>
            </w:r>
          </w:p>
        </w:tc>
        <w:tc>
          <w:tcPr>
            <w:tcW w:w="514" w:type="pct"/>
            <w:tcBorders>
              <w:top w:val="nil"/>
              <w:left w:val="nil"/>
              <w:bottom w:val="single" w:sz="8" w:space="0" w:color="auto"/>
              <w:right w:val="single" w:sz="8" w:space="0" w:color="auto"/>
            </w:tcBorders>
            <w:shd w:val="clear" w:color="000000" w:fill="D9D9D9"/>
            <w:hideMark/>
          </w:tcPr>
          <w:p w14:paraId="5CE9A2DA" w14:textId="053A885A" w:rsidR="008E3FA9" w:rsidRPr="00922145" w:rsidRDefault="008E3FA9" w:rsidP="008E3FA9">
            <w:pPr>
              <w:spacing w:before="0" w:after="0"/>
              <w:jc w:val="right"/>
              <w:rPr>
                <w:noProof/>
                <w:color w:val="000000"/>
                <w:sz w:val="16"/>
                <w:szCs w:val="16"/>
                <w:lang w:eastAsia="en-IE"/>
              </w:rPr>
            </w:pPr>
            <w:r w:rsidRPr="00B50FCF">
              <w:rPr>
                <w:noProof/>
                <w:color w:val="000000"/>
                <w:sz w:val="16"/>
                <w:szCs w:val="16"/>
                <w:lang w:eastAsia="en-IE"/>
              </w:rPr>
              <w:t xml:space="preserve"> </w:t>
            </w:r>
            <w:r>
              <w:rPr>
                <w:noProof/>
                <w:color w:val="000000"/>
                <w:sz w:val="16"/>
                <w:szCs w:val="16"/>
                <w:lang w:eastAsia="en-IE"/>
              </w:rPr>
              <w:t>3,492</w:t>
            </w:r>
            <w:r w:rsidRPr="00B50FCF">
              <w:rPr>
                <w:noProof/>
                <w:color w:val="000000"/>
                <w:sz w:val="16"/>
                <w:szCs w:val="16"/>
                <w:lang w:eastAsia="en-IE"/>
              </w:rPr>
              <w:t xml:space="preserve"> </w:t>
            </w:r>
          </w:p>
        </w:tc>
        <w:tc>
          <w:tcPr>
            <w:tcW w:w="514" w:type="pct"/>
            <w:tcBorders>
              <w:top w:val="nil"/>
              <w:left w:val="nil"/>
              <w:bottom w:val="single" w:sz="8" w:space="0" w:color="auto"/>
              <w:right w:val="single" w:sz="4" w:space="0" w:color="auto"/>
            </w:tcBorders>
            <w:shd w:val="clear" w:color="000000" w:fill="D9D9D9"/>
          </w:tcPr>
          <w:p w14:paraId="0A19663B" w14:textId="1F308BE0" w:rsidR="008E3FA9" w:rsidRPr="00B50FCF" w:rsidRDefault="008E3FA9" w:rsidP="008E3FA9">
            <w:pPr>
              <w:spacing w:before="0" w:after="0"/>
              <w:jc w:val="right"/>
              <w:rPr>
                <w:noProof/>
                <w:color w:val="000000"/>
                <w:sz w:val="16"/>
                <w:szCs w:val="16"/>
                <w:lang w:eastAsia="en-IE"/>
              </w:rPr>
            </w:pPr>
            <w:r w:rsidRPr="00B50FCF">
              <w:rPr>
                <w:noProof/>
                <w:color w:val="000000"/>
                <w:sz w:val="16"/>
                <w:szCs w:val="16"/>
                <w:lang w:eastAsia="en-IE"/>
              </w:rPr>
              <w:t xml:space="preserve"> </w:t>
            </w:r>
            <w:r>
              <w:rPr>
                <w:noProof/>
                <w:color w:val="000000"/>
                <w:sz w:val="16"/>
                <w:szCs w:val="16"/>
                <w:lang w:eastAsia="en-IE"/>
              </w:rPr>
              <w:t>3,880</w:t>
            </w:r>
          </w:p>
        </w:tc>
        <w:tc>
          <w:tcPr>
            <w:tcW w:w="515" w:type="pct"/>
            <w:tcBorders>
              <w:top w:val="nil"/>
              <w:left w:val="single" w:sz="4" w:space="0" w:color="auto"/>
              <w:bottom w:val="single" w:sz="8" w:space="0" w:color="auto"/>
              <w:right w:val="single" w:sz="4" w:space="0" w:color="auto"/>
            </w:tcBorders>
            <w:shd w:val="clear" w:color="000000" w:fill="D9D9D9"/>
          </w:tcPr>
          <w:p w14:paraId="0B73A188" w14:textId="648AD470" w:rsidR="008E3FA9" w:rsidRPr="00B50FCF" w:rsidRDefault="008E3FA9" w:rsidP="008E3FA9">
            <w:pPr>
              <w:spacing w:before="0" w:after="0"/>
              <w:jc w:val="right"/>
              <w:rPr>
                <w:noProof/>
                <w:color w:val="000000"/>
                <w:sz w:val="16"/>
                <w:szCs w:val="16"/>
                <w:lang w:eastAsia="en-IE"/>
              </w:rPr>
            </w:pPr>
            <w:r w:rsidRPr="00B50FCF">
              <w:rPr>
                <w:noProof/>
                <w:color w:val="000000"/>
                <w:sz w:val="16"/>
                <w:szCs w:val="16"/>
                <w:lang w:eastAsia="en-IE"/>
              </w:rPr>
              <w:t xml:space="preserve"> </w:t>
            </w:r>
            <w:r>
              <w:rPr>
                <w:noProof/>
                <w:color w:val="000000"/>
                <w:sz w:val="16"/>
                <w:szCs w:val="16"/>
                <w:lang w:eastAsia="en-IE"/>
              </w:rPr>
              <w:t>4,268</w:t>
            </w:r>
            <w:r w:rsidRPr="00B50FCF">
              <w:rPr>
                <w:noProof/>
                <w:color w:val="000000"/>
                <w:sz w:val="16"/>
                <w:szCs w:val="16"/>
                <w:lang w:eastAsia="en-IE"/>
              </w:rPr>
              <w:t xml:space="preserve"> </w:t>
            </w:r>
          </w:p>
        </w:tc>
        <w:tc>
          <w:tcPr>
            <w:tcW w:w="515" w:type="pct"/>
            <w:tcBorders>
              <w:top w:val="nil"/>
              <w:left w:val="single" w:sz="4" w:space="0" w:color="auto"/>
              <w:bottom w:val="single" w:sz="8" w:space="0" w:color="auto"/>
              <w:right w:val="single" w:sz="4" w:space="0" w:color="auto"/>
            </w:tcBorders>
            <w:shd w:val="clear" w:color="000000" w:fill="D9D9D9"/>
          </w:tcPr>
          <w:p w14:paraId="6E088571" w14:textId="7B8B8020" w:rsidR="008E3FA9" w:rsidRPr="00B50FCF" w:rsidRDefault="008E3FA9" w:rsidP="008E3FA9">
            <w:pPr>
              <w:spacing w:before="0" w:after="0"/>
              <w:jc w:val="right"/>
              <w:rPr>
                <w:noProof/>
                <w:color w:val="000000"/>
                <w:sz w:val="16"/>
                <w:szCs w:val="16"/>
                <w:lang w:eastAsia="en-IE"/>
              </w:rPr>
            </w:pPr>
            <w:r>
              <w:rPr>
                <w:noProof/>
                <w:color w:val="000000"/>
                <w:sz w:val="16"/>
                <w:szCs w:val="16"/>
                <w:lang w:eastAsia="en-IE"/>
              </w:rPr>
              <w:t>4,840</w:t>
            </w:r>
          </w:p>
        </w:tc>
        <w:tc>
          <w:tcPr>
            <w:tcW w:w="593" w:type="pct"/>
            <w:tcBorders>
              <w:top w:val="nil"/>
              <w:left w:val="single" w:sz="4" w:space="0" w:color="auto"/>
              <w:bottom w:val="single" w:sz="8" w:space="0" w:color="auto"/>
              <w:right w:val="single" w:sz="8" w:space="0" w:color="auto"/>
            </w:tcBorders>
            <w:shd w:val="clear" w:color="000000" w:fill="D9D9D9"/>
            <w:vAlign w:val="center"/>
            <w:hideMark/>
          </w:tcPr>
          <w:p w14:paraId="14ACE03E" w14:textId="77777777" w:rsidR="008E3FA9" w:rsidRPr="00B50FCF" w:rsidRDefault="008E3FA9" w:rsidP="008E3FA9">
            <w:pPr>
              <w:spacing w:before="0" w:after="0"/>
              <w:jc w:val="right"/>
              <w:rPr>
                <w:noProof/>
                <w:color w:val="000000"/>
                <w:sz w:val="16"/>
                <w:szCs w:val="16"/>
                <w:lang w:eastAsia="en-IE"/>
              </w:rPr>
            </w:pPr>
          </w:p>
          <w:p w14:paraId="4E384778" w14:textId="47236DCF" w:rsidR="008E3FA9" w:rsidRPr="00B50FCF" w:rsidRDefault="008E3FA9" w:rsidP="008E3FA9">
            <w:pPr>
              <w:spacing w:before="0" w:after="0"/>
              <w:jc w:val="right"/>
              <w:rPr>
                <w:noProof/>
                <w:color w:val="000000"/>
                <w:sz w:val="16"/>
                <w:szCs w:val="16"/>
                <w:lang w:eastAsia="en-IE"/>
              </w:rPr>
            </w:pPr>
            <w:r w:rsidRPr="00B50FCF">
              <w:rPr>
                <w:noProof/>
                <w:color w:val="000000"/>
                <w:sz w:val="16"/>
                <w:szCs w:val="16"/>
                <w:lang w:eastAsia="en-IE"/>
              </w:rPr>
              <w:t xml:space="preserve"> </w:t>
            </w:r>
            <w:r>
              <w:rPr>
                <w:noProof/>
                <w:color w:val="000000"/>
                <w:sz w:val="16"/>
                <w:szCs w:val="16"/>
                <w:lang w:eastAsia="en-IE"/>
              </w:rPr>
              <w:t>24,25</w:t>
            </w:r>
          </w:p>
        </w:tc>
      </w:tr>
      <w:tr w:rsidR="008E3FA9" w:rsidRPr="00922145" w14:paraId="390061C9" w14:textId="77777777" w:rsidTr="00BA43C6">
        <w:trPr>
          <w:trHeight w:val="300"/>
        </w:trPr>
        <w:tc>
          <w:tcPr>
            <w:tcW w:w="989" w:type="pct"/>
            <w:tcBorders>
              <w:top w:val="nil"/>
              <w:left w:val="single" w:sz="8" w:space="0" w:color="auto"/>
              <w:bottom w:val="single" w:sz="8" w:space="0" w:color="auto"/>
              <w:right w:val="single" w:sz="8" w:space="0" w:color="auto"/>
            </w:tcBorders>
            <w:vAlign w:val="center"/>
            <w:hideMark/>
          </w:tcPr>
          <w:p w14:paraId="78F9AEF3" w14:textId="77777777" w:rsidR="008E3FA9" w:rsidRPr="00922145" w:rsidRDefault="008E3FA9" w:rsidP="008E3FA9">
            <w:pPr>
              <w:spacing w:before="0" w:after="0"/>
              <w:jc w:val="left"/>
              <w:rPr>
                <w:noProof/>
                <w:color w:val="000000"/>
                <w:sz w:val="16"/>
                <w:szCs w:val="16"/>
                <w:lang w:eastAsia="en-IE"/>
              </w:rPr>
            </w:pPr>
            <w:r w:rsidRPr="00922145">
              <w:rPr>
                <w:noProof/>
                <w:color w:val="000000"/>
                <w:sz w:val="16"/>
                <w:szCs w:val="16"/>
                <w:lang w:eastAsia="en-IE"/>
              </w:rPr>
              <w:t xml:space="preserve">Other administrative expenditure </w:t>
            </w:r>
          </w:p>
        </w:tc>
        <w:tc>
          <w:tcPr>
            <w:tcW w:w="332" w:type="pct"/>
            <w:tcBorders>
              <w:top w:val="nil"/>
              <w:left w:val="nil"/>
              <w:bottom w:val="single" w:sz="8" w:space="0" w:color="auto"/>
              <w:right w:val="single" w:sz="8" w:space="0" w:color="auto"/>
            </w:tcBorders>
            <w:shd w:val="clear" w:color="000000" w:fill="D9D9D9"/>
            <w:vAlign w:val="center"/>
            <w:hideMark/>
          </w:tcPr>
          <w:p w14:paraId="1DB998C4" w14:textId="5308A1CE" w:rsidR="008E3FA9" w:rsidRPr="00922145" w:rsidRDefault="008E3FA9" w:rsidP="008E3FA9">
            <w:pPr>
              <w:spacing w:before="0" w:after="0"/>
              <w:jc w:val="right"/>
              <w:rPr>
                <w:noProof/>
                <w:color w:val="000000"/>
                <w:sz w:val="16"/>
                <w:szCs w:val="16"/>
                <w:lang w:eastAsia="en-IE"/>
              </w:rPr>
            </w:pPr>
            <w:r w:rsidRPr="00922145">
              <w:rPr>
                <w:noProof/>
                <w:color w:val="000000"/>
                <w:sz w:val="16"/>
                <w:szCs w:val="16"/>
                <w:lang w:eastAsia="en-IE"/>
              </w:rPr>
              <w:t>0.000</w:t>
            </w:r>
          </w:p>
        </w:tc>
        <w:tc>
          <w:tcPr>
            <w:tcW w:w="514" w:type="pct"/>
            <w:tcBorders>
              <w:top w:val="nil"/>
              <w:left w:val="nil"/>
              <w:bottom w:val="single" w:sz="8" w:space="0" w:color="auto"/>
              <w:right w:val="single" w:sz="8" w:space="0" w:color="auto"/>
            </w:tcBorders>
            <w:shd w:val="clear" w:color="000000" w:fill="D9D9D9"/>
            <w:vAlign w:val="center"/>
            <w:hideMark/>
          </w:tcPr>
          <w:p w14:paraId="74264DAC" w14:textId="25978F8F" w:rsidR="008E3FA9" w:rsidRPr="00922145" w:rsidRDefault="008E3FA9" w:rsidP="008E3FA9">
            <w:pPr>
              <w:spacing w:before="0" w:after="0"/>
              <w:jc w:val="right"/>
              <w:rPr>
                <w:noProof/>
                <w:color w:val="000000"/>
                <w:sz w:val="16"/>
                <w:szCs w:val="16"/>
                <w:lang w:eastAsia="en-IE"/>
              </w:rPr>
            </w:pPr>
            <w:r w:rsidRPr="00922145">
              <w:rPr>
                <w:noProof/>
                <w:color w:val="000000"/>
                <w:sz w:val="16"/>
                <w:szCs w:val="16"/>
                <w:lang w:eastAsia="en-IE"/>
              </w:rPr>
              <w:t>0.000</w:t>
            </w:r>
          </w:p>
        </w:tc>
        <w:tc>
          <w:tcPr>
            <w:tcW w:w="514" w:type="pct"/>
            <w:tcBorders>
              <w:top w:val="nil"/>
              <w:left w:val="nil"/>
              <w:bottom w:val="single" w:sz="8" w:space="0" w:color="auto"/>
              <w:right w:val="single" w:sz="8" w:space="0" w:color="auto"/>
            </w:tcBorders>
            <w:shd w:val="clear" w:color="000000" w:fill="D9D9D9"/>
            <w:vAlign w:val="center"/>
            <w:hideMark/>
          </w:tcPr>
          <w:p w14:paraId="7C7EC1B5" w14:textId="22C196D7" w:rsidR="008E3FA9" w:rsidRPr="00922145" w:rsidRDefault="008E3FA9" w:rsidP="008E3FA9">
            <w:pPr>
              <w:spacing w:before="0" w:after="0"/>
              <w:jc w:val="right"/>
              <w:rPr>
                <w:noProof/>
                <w:color w:val="000000"/>
                <w:sz w:val="16"/>
                <w:szCs w:val="16"/>
                <w:lang w:eastAsia="en-IE"/>
              </w:rPr>
            </w:pPr>
            <w:r w:rsidRPr="00922145">
              <w:rPr>
                <w:noProof/>
                <w:color w:val="000000"/>
                <w:sz w:val="16"/>
                <w:szCs w:val="16"/>
                <w:lang w:eastAsia="en-IE"/>
              </w:rPr>
              <w:t>0.000</w:t>
            </w:r>
          </w:p>
        </w:tc>
        <w:tc>
          <w:tcPr>
            <w:tcW w:w="514" w:type="pct"/>
            <w:tcBorders>
              <w:top w:val="nil"/>
              <w:left w:val="nil"/>
              <w:bottom w:val="single" w:sz="8" w:space="0" w:color="auto"/>
              <w:right w:val="single" w:sz="8" w:space="0" w:color="auto"/>
            </w:tcBorders>
            <w:shd w:val="clear" w:color="000000" w:fill="D9D9D9"/>
            <w:vAlign w:val="center"/>
            <w:hideMark/>
          </w:tcPr>
          <w:p w14:paraId="25DA3145" w14:textId="452A49C4" w:rsidR="008E3FA9" w:rsidRPr="00922145" w:rsidRDefault="008E3FA9" w:rsidP="008E3FA9">
            <w:pPr>
              <w:spacing w:before="0" w:after="0"/>
              <w:jc w:val="right"/>
              <w:rPr>
                <w:noProof/>
                <w:color w:val="000000"/>
                <w:sz w:val="16"/>
                <w:szCs w:val="16"/>
                <w:lang w:eastAsia="en-IE"/>
              </w:rPr>
            </w:pPr>
            <w:r w:rsidRPr="00922145">
              <w:rPr>
                <w:noProof/>
                <w:color w:val="000000"/>
                <w:sz w:val="16"/>
                <w:szCs w:val="16"/>
                <w:lang w:eastAsia="en-IE"/>
              </w:rPr>
              <w:t>0.000</w:t>
            </w:r>
          </w:p>
        </w:tc>
        <w:tc>
          <w:tcPr>
            <w:tcW w:w="514" w:type="pct"/>
            <w:tcBorders>
              <w:top w:val="nil"/>
              <w:left w:val="nil"/>
              <w:bottom w:val="single" w:sz="8" w:space="0" w:color="auto"/>
              <w:right w:val="single" w:sz="4" w:space="0" w:color="auto"/>
            </w:tcBorders>
            <w:shd w:val="clear" w:color="000000" w:fill="D9D9D9"/>
            <w:vAlign w:val="center"/>
          </w:tcPr>
          <w:p w14:paraId="3EA0E8ED" w14:textId="3BB6F4E0" w:rsidR="008E3FA9" w:rsidRPr="00B50FCF" w:rsidRDefault="008E3FA9" w:rsidP="008E3FA9">
            <w:pPr>
              <w:spacing w:before="0" w:after="0"/>
              <w:jc w:val="center"/>
              <w:rPr>
                <w:noProof/>
                <w:color w:val="000000"/>
                <w:sz w:val="16"/>
                <w:szCs w:val="16"/>
                <w:lang w:eastAsia="en-IE"/>
              </w:rPr>
            </w:pPr>
            <w:r w:rsidRPr="00922145">
              <w:rPr>
                <w:noProof/>
                <w:color w:val="000000"/>
                <w:sz w:val="16"/>
                <w:szCs w:val="16"/>
                <w:lang w:eastAsia="en-IE"/>
              </w:rPr>
              <w:t>0.000</w:t>
            </w:r>
          </w:p>
        </w:tc>
        <w:tc>
          <w:tcPr>
            <w:tcW w:w="515" w:type="pct"/>
            <w:tcBorders>
              <w:top w:val="nil"/>
              <w:left w:val="single" w:sz="4" w:space="0" w:color="auto"/>
              <w:bottom w:val="single" w:sz="8" w:space="0" w:color="auto"/>
              <w:right w:val="single" w:sz="4" w:space="0" w:color="auto"/>
            </w:tcBorders>
            <w:shd w:val="clear" w:color="000000" w:fill="D9D9D9"/>
            <w:vAlign w:val="center"/>
          </w:tcPr>
          <w:p w14:paraId="3E14A32A" w14:textId="5DCBEE9B" w:rsidR="008E3FA9" w:rsidRPr="00B50FCF" w:rsidRDefault="008E3FA9" w:rsidP="008E3FA9">
            <w:pPr>
              <w:spacing w:before="0" w:after="0"/>
              <w:jc w:val="center"/>
              <w:rPr>
                <w:noProof/>
                <w:color w:val="000000"/>
                <w:sz w:val="16"/>
                <w:szCs w:val="16"/>
                <w:lang w:eastAsia="en-IE"/>
              </w:rPr>
            </w:pPr>
            <w:r w:rsidRPr="00922145">
              <w:rPr>
                <w:noProof/>
                <w:color w:val="000000"/>
                <w:sz w:val="16"/>
                <w:szCs w:val="16"/>
                <w:lang w:eastAsia="en-IE"/>
              </w:rPr>
              <w:t>0.000</w:t>
            </w:r>
          </w:p>
        </w:tc>
        <w:tc>
          <w:tcPr>
            <w:tcW w:w="515" w:type="pct"/>
            <w:tcBorders>
              <w:top w:val="nil"/>
              <w:left w:val="single" w:sz="4" w:space="0" w:color="auto"/>
              <w:bottom w:val="single" w:sz="8" w:space="0" w:color="auto"/>
              <w:right w:val="single" w:sz="4" w:space="0" w:color="auto"/>
            </w:tcBorders>
            <w:shd w:val="clear" w:color="000000" w:fill="D9D9D9"/>
            <w:vAlign w:val="center"/>
          </w:tcPr>
          <w:p w14:paraId="38C45EA5" w14:textId="18DF9B22" w:rsidR="008E3FA9" w:rsidRPr="00B50FCF" w:rsidRDefault="008E3FA9" w:rsidP="008E3FA9">
            <w:pPr>
              <w:spacing w:before="0" w:after="0"/>
              <w:jc w:val="center"/>
              <w:rPr>
                <w:noProof/>
                <w:color w:val="000000"/>
                <w:sz w:val="16"/>
                <w:szCs w:val="16"/>
                <w:lang w:eastAsia="en-IE"/>
              </w:rPr>
            </w:pPr>
            <w:r w:rsidRPr="00922145">
              <w:rPr>
                <w:noProof/>
                <w:color w:val="000000"/>
                <w:sz w:val="16"/>
                <w:szCs w:val="16"/>
                <w:lang w:eastAsia="en-IE"/>
              </w:rPr>
              <w:t>0.000</w:t>
            </w:r>
          </w:p>
        </w:tc>
        <w:tc>
          <w:tcPr>
            <w:tcW w:w="593" w:type="pct"/>
            <w:tcBorders>
              <w:top w:val="nil"/>
              <w:left w:val="single" w:sz="4" w:space="0" w:color="auto"/>
              <w:bottom w:val="single" w:sz="8" w:space="0" w:color="auto"/>
              <w:right w:val="single" w:sz="8" w:space="0" w:color="auto"/>
            </w:tcBorders>
            <w:shd w:val="clear" w:color="000000" w:fill="D9D9D9"/>
            <w:vAlign w:val="center"/>
            <w:hideMark/>
          </w:tcPr>
          <w:p w14:paraId="606FB85B" w14:textId="590F6E4E" w:rsidR="008E3FA9" w:rsidRPr="00B50FCF" w:rsidRDefault="008E3FA9" w:rsidP="008E3FA9">
            <w:pPr>
              <w:spacing w:before="0" w:after="0"/>
              <w:jc w:val="right"/>
              <w:rPr>
                <w:noProof/>
                <w:color w:val="000000"/>
                <w:sz w:val="16"/>
                <w:szCs w:val="16"/>
                <w:lang w:eastAsia="en-IE"/>
              </w:rPr>
            </w:pPr>
            <w:r w:rsidRPr="00B50FCF">
              <w:rPr>
                <w:noProof/>
                <w:color w:val="000000"/>
                <w:sz w:val="16"/>
                <w:szCs w:val="16"/>
                <w:lang w:eastAsia="en-IE"/>
              </w:rPr>
              <w:t>0.000</w:t>
            </w:r>
          </w:p>
        </w:tc>
      </w:tr>
      <w:tr w:rsidR="008E3FA9" w:rsidRPr="00922145" w14:paraId="581BB3E8" w14:textId="77777777" w:rsidTr="00BA43C6">
        <w:trPr>
          <w:trHeight w:val="300"/>
        </w:trPr>
        <w:tc>
          <w:tcPr>
            <w:tcW w:w="989" w:type="pct"/>
            <w:tcBorders>
              <w:top w:val="nil"/>
              <w:left w:val="single" w:sz="8" w:space="0" w:color="auto"/>
              <w:bottom w:val="single" w:sz="8" w:space="0" w:color="auto"/>
              <w:right w:val="single" w:sz="8" w:space="0" w:color="auto"/>
            </w:tcBorders>
            <w:shd w:val="clear" w:color="000000" w:fill="CCCCCC"/>
            <w:vAlign w:val="center"/>
            <w:hideMark/>
          </w:tcPr>
          <w:p w14:paraId="5EB436FB" w14:textId="77777777" w:rsidR="008E3FA9" w:rsidRPr="00922145" w:rsidRDefault="008E3FA9" w:rsidP="008E3FA9">
            <w:pPr>
              <w:spacing w:before="0" w:after="0"/>
              <w:jc w:val="center"/>
              <w:rPr>
                <w:b/>
                <w:bCs/>
                <w:noProof/>
                <w:color w:val="000000"/>
                <w:sz w:val="16"/>
                <w:szCs w:val="16"/>
                <w:lang w:eastAsia="en-IE"/>
              </w:rPr>
            </w:pPr>
            <w:r w:rsidRPr="00922145">
              <w:rPr>
                <w:b/>
                <w:bCs/>
                <w:noProof/>
                <w:color w:val="000000"/>
                <w:sz w:val="16"/>
                <w:szCs w:val="16"/>
                <w:lang w:eastAsia="en-IE"/>
              </w:rPr>
              <w:t>Subtotal HEADING 4</w:t>
            </w:r>
          </w:p>
        </w:tc>
        <w:tc>
          <w:tcPr>
            <w:tcW w:w="332" w:type="pct"/>
            <w:tcBorders>
              <w:top w:val="nil"/>
              <w:left w:val="nil"/>
              <w:bottom w:val="single" w:sz="8" w:space="0" w:color="auto"/>
              <w:right w:val="single" w:sz="8" w:space="0" w:color="auto"/>
            </w:tcBorders>
            <w:shd w:val="clear" w:color="000000" w:fill="D9D9D9"/>
            <w:vAlign w:val="center"/>
            <w:hideMark/>
          </w:tcPr>
          <w:p w14:paraId="40078306" w14:textId="77777777" w:rsidR="008E3FA9" w:rsidRPr="009D4339" w:rsidRDefault="008E3FA9" w:rsidP="008E3FA9">
            <w:pPr>
              <w:spacing w:before="0" w:after="0"/>
              <w:jc w:val="right"/>
              <w:rPr>
                <w:noProof/>
                <w:color w:val="000000"/>
                <w:sz w:val="16"/>
                <w:szCs w:val="16"/>
                <w:lang w:eastAsia="en-IE"/>
              </w:rPr>
            </w:pPr>
            <w:r w:rsidRPr="009D4339">
              <w:rPr>
                <w:noProof/>
                <w:color w:val="000000"/>
                <w:sz w:val="16"/>
                <w:szCs w:val="16"/>
                <w:lang w:eastAsia="en-IE"/>
              </w:rPr>
              <w:t xml:space="preserve"> </w:t>
            </w:r>
            <w:r>
              <w:rPr>
                <w:noProof/>
                <w:color w:val="000000"/>
                <w:sz w:val="16"/>
                <w:szCs w:val="16"/>
                <w:lang w:eastAsia="en-IE"/>
              </w:rPr>
              <w:t>2,328</w:t>
            </w:r>
          </w:p>
          <w:p w14:paraId="2E5A76F8" w14:textId="77777777" w:rsidR="008E3FA9" w:rsidRPr="00B50FCF" w:rsidRDefault="008E3FA9" w:rsidP="008E3FA9">
            <w:pPr>
              <w:spacing w:before="0" w:after="0"/>
              <w:jc w:val="right"/>
              <w:rPr>
                <w:noProof/>
                <w:color w:val="000000"/>
                <w:sz w:val="16"/>
                <w:szCs w:val="16"/>
                <w:lang w:eastAsia="en-IE"/>
              </w:rPr>
            </w:pPr>
          </w:p>
        </w:tc>
        <w:tc>
          <w:tcPr>
            <w:tcW w:w="514" w:type="pct"/>
            <w:tcBorders>
              <w:top w:val="nil"/>
              <w:left w:val="nil"/>
              <w:bottom w:val="single" w:sz="8" w:space="0" w:color="auto"/>
              <w:right w:val="single" w:sz="8" w:space="0" w:color="auto"/>
            </w:tcBorders>
            <w:shd w:val="clear" w:color="000000" w:fill="D9D9D9"/>
            <w:hideMark/>
          </w:tcPr>
          <w:p w14:paraId="5F92DBF0" w14:textId="0660210E" w:rsidR="008E3FA9" w:rsidRPr="00B50FCF" w:rsidRDefault="008E3FA9" w:rsidP="008E3FA9">
            <w:pPr>
              <w:spacing w:before="0" w:after="0"/>
              <w:jc w:val="right"/>
              <w:rPr>
                <w:noProof/>
                <w:color w:val="000000"/>
                <w:sz w:val="16"/>
                <w:szCs w:val="16"/>
                <w:lang w:eastAsia="en-IE"/>
              </w:rPr>
            </w:pPr>
            <w:r>
              <w:rPr>
                <w:noProof/>
                <w:color w:val="000000"/>
                <w:sz w:val="16"/>
                <w:szCs w:val="16"/>
                <w:lang w:eastAsia="en-IE"/>
              </w:rPr>
              <w:t>2,328</w:t>
            </w:r>
          </w:p>
        </w:tc>
        <w:tc>
          <w:tcPr>
            <w:tcW w:w="514" w:type="pct"/>
            <w:tcBorders>
              <w:top w:val="nil"/>
              <w:left w:val="nil"/>
              <w:bottom w:val="single" w:sz="8" w:space="0" w:color="auto"/>
              <w:right w:val="single" w:sz="8" w:space="0" w:color="auto"/>
            </w:tcBorders>
            <w:shd w:val="clear" w:color="000000" w:fill="D9D9D9"/>
            <w:hideMark/>
          </w:tcPr>
          <w:p w14:paraId="200C69D8" w14:textId="3B08E654" w:rsidR="008E3FA9" w:rsidRPr="00B50FCF" w:rsidRDefault="008E3FA9" w:rsidP="008E3FA9">
            <w:pPr>
              <w:spacing w:before="0" w:after="0"/>
              <w:jc w:val="right"/>
              <w:rPr>
                <w:noProof/>
                <w:color w:val="000000"/>
                <w:sz w:val="16"/>
                <w:szCs w:val="16"/>
                <w:lang w:eastAsia="en-IE"/>
              </w:rPr>
            </w:pPr>
            <w:r w:rsidRPr="009D4339">
              <w:rPr>
                <w:noProof/>
                <w:color w:val="000000"/>
                <w:sz w:val="16"/>
                <w:szCs w:val="16"/>
                <w:lang w:eastAsia="en-IE"/>
              </w:rPr>
              <w:t xml:space="preserve"> </w:t>
            </w:r>
            <w:r>
              <w:rPr>
                <w:noProof/>
                <w:color w:val="000000"/>
                <w:sz w:val="16"/>
                <w:szCs w:val="16"/>
                <w:lang w:eastAsia="en-IE"/>
              </w:rPr>
              <w:t>3,104</w:t>
            </w:r>
          </w:p>
        </w:tc>
        <w:tc>
          <w:tcPr>
            <w:tcW w:w="514" w:type="pct"/>
            <w:tcBorders>
              <w:top w:val="nil"/>
              <w:left w:val="nil"/>
              <w:bottom w:val="single" w:sz="8" w:space="0" w:color="auto"/>
              <w:right w:val="single" w:sz="8" w:space="0" w:color="auto"/>
            </w:tcBorders>
            <w:shd w:val="clear" w:color="000000" w:fill="D9D9D9"/>
            <w:hideMark/>
          </w:tcPr>
          <w:p w14:paraId="17454D47" w14:textId="4074F2B6" w:rsidR="008E3FA9" w:rsidRPr="00B50FCF" w:rsidRDefault="008E3FA9" w:rsidP="008E3FA9">
            <w:pPr>
              <w:spacing w:before="0" w:after="0"/>
              <w:jc w:val="right"/>
              <w:rPr>
                <w:noProof/>
                <w:color w:val="000000"/>
                <w:sz w:val="16"/>
                <w:szCs w:val="16"/>
                <w:lang w:eastAsia="en-IE"/>
              </w:rPr>
            </w:pPr>
            <w:r w:rsidRPr="009D4339">
              <w:rPr>
                <w:noProof/>
                <w:color w:val="000000"/>
                <w:sz w:val="16"/>
                <w:szCs w:val="16"/>
                <w:lang w:eastAsia="en-IE"/>
              </w:rPr>
              <w:t xml:space="preserve"> </w:t>
            </w:r>
            <w:r>
              <w:rPr>
                <w:noProof/>
                <w:color w:val="000000"/>
                <w:sz w:val="16"/>
                <w:szCs w:val="16"/>
                <w:lang w:eastAsia="en-IE"/>
              </w:rPr>
              <w:t>3,492</w:t>
            </w:r>
          </w:p>
        </w:tc>
        <w:tc>
          <w:tcPr>
            <w:tcW w:w="514" w:type="pct"/>
            <w:tcBorders>
              <w:top w:val="nil"/>
              <w:left w:val="nil"/>
              <w:bottom w:val="single" w:sz="8" w:space="0" w:color="auto"/>
              <w:right w:val="single" w:sz="4" w:space="0" w:color="auto"/>
            </w:tcBorders>
            <w:shd w:val="clear" w:color="000000" w:fill="D9D9D9"/>
          </w:tcPr>
          <w:p w14:paraId="58B24D0C" w14:textId="6FBDB7F2" w:rsidR="008E3FA9" w:rsidRPr="00B50FCF" w:rsidRDefault="008E3FA9" w:rsidP="008E3FA9">
            <w:pPr>
              <w:spacing w:before="0" w:after="0"/>
              <w:jc w:val="center"/>
              <w:rPr>
                <w:noProof/>
                <w:color w:val="000000"/>
                <w:sz w:val="16"/>
                <w:szCs w:val="16"/>
                <w:lang w:eastAsia="en-IE"/>
              </w:rPr>
            </w:pPr>
            <w:r w:rsidRPr="009D4339">
              <w:rPr>
                <w:noProof/>
                <w:color w:val="000000"/>
                <w:sz w:val="16"/>
                <w:szCs w:val="16"/>
                <w:lang w:eastAsia="en-IE"/>
              </w:rPr>
              <w:t xml:space="preserve"> </w:t>
            </w:r>
            <w:r>
              <w:rPr>
                <w:noProof/>
                <w:color w:val="000000"/>
                <w:sz w:val="16"/>
                <w:szCs w:val="16"/>
                <w:lang w:eastAsia="en-IE"/>
              </w:rPr>
              <w:t>3,880</w:t>
            </w:r>
          </w:p>
        </w:tc>
        <w:tc>
          <w:tcPr>
            <w:tcW w:w="515" w:type="pct"/>
            <w:tcBorders>
              <w:top w:val="nil"/>
              <w:left w:val="single" w:sz="4" w:space="0" w:color="auto"/>
              <w:bottom w:val="single" w:sz="8" w:space="0" w:color="auto"/>
              <w:right w:val="single" w:sz="4" w:space="0" w:color="auto"/>
            </w:tcBorders>
            <w:shd w:val="clear" w:color="000000" w:fill="D9D9D9"/>
          </w:tcPr>
          <w:p w14:paraId="4B429E4D" w14:textId="20C87787" w:rsidR="008E3FA9" w:rsidRPr="00B50FCF" w:rsidRDefault="008E3FA9" w:rsidP="008E3FA9">
            <w:pPr>
              <w:spacing w:before="0" w:after="0"/>
              <w:jc w:val="center"/>
              <w:rPr>
                <w:noProof/>
                <w:color w:val="000000"/>
                <w:sz w:val="16"/>
                <w:szCs w:val="16"/>
                <w:lang w:eastAsia="en-IE"/>
              </w:rPr>
            </w:pPr>
            <w:r w:rsidRPr="009D4339">
              <w:rPr>
                <w:noProof/>
                <w:color w:val="000000"/>
                <w:sz w:val="16"/>
                <w:szCs w:val="16"/>
                <w:lang w:eastAsia="en-IE"/>
              </w:rPr>
              <w:t xml:space="preserve"> </w:t>
            </w:r>
            <w:r>
              <w:rPr>
                <w:noProof/>
                <w:color w:val="000000"/>
                <w:sz w:val="16"/>
                <w:szCs w:val="16"/>
                <w:lang w:eastAsia="en-IE"/>
              </w:rPr>
              <w:t>4,268</w:t>
            </w:r>
            <w:r w:rsidRPr="009D4339">
              <w:rPr>
                <w:noProof/>
                <w:color w:val="000000"/>
                <w:sz w:val="16"/>
                <w:szCs w:val="16"/>
                <w:lang w:eastAsia="en-IE"/>
              </w:rPr>
              <w:t xml:space="preserve"> </w:t>
            </w:r>
          </w:p>
        </w:tc>
        <w:tc>
          <w:tcPr>
            <w:tcW w:w="515" w:type="pct"/>
            <w:tcBorders>
              <w:top w:val="nil"/>
              <w:left w:val="single" w:sz="4" w:space="0" w:color="auto"/>
              <w:bottom w:val="single" w:sz="8" w:space="0" w:color="auto"/>
              <w:right w:val="single" w:sz="4" w:space="0" w:color="auto"/>
            </w:tcBorders>
            <w:shd w:val="clear" w:color="000000" w:fill="D9D9D9"/>
          </w:tcPr>
          <w:p w14:paraId="55BFBAC0" w14:textId="61ED6AFE" w:rsidR="008E3FA9" w:rsidRPr="00B50FCF" w:rsidRDefault="008E3FA9" w:rsidP="008E3FA9">
            <w:pPr>
              <w:spacing w:before="0" w:after="0"/>
              <w:jc w:val="center"/>
              <w:rPr>
                <w:noProof/>
                <w:color w:val="000000"/>
                <w:sz w:val="16"/>
                <w:szCs w:val="16"/>
                <w:lang w:eastAsia="en-IE"/>
              </w:rPr>
            </w:pPr>
            <w:r>
              <w:rPr>
                <w:noProof/>
                <w:color w:val="000000"/>
                <w:sz w:val="16"/>
                <w:szCs w:val="16"/>
                <w:lang w:eastAsia="en-IE"/>
              </w:rPr>
              <w:t>4,840</w:t>
            </w:r>
          </w:p>
        </w:tc>
        <w:tc>
          <w:tcPr>
            <w:tcW w:w="593" w:type="pct"/>
            <w:tcBorders>
              <w:top w:val="nil"/>
              <w:left w:val="single" w:sz="4" w:space="0" w:color="auto"/>
              <w:bottom w:val="single" w:sz="8" w:space="0" w:color="auto"/>
              <w:right w:val="single" w:sz="8" w:space="0" w:color="auto"/>
            </w:tcBorders>
            <w:shd w:val="clear" w:color="000000" w:fill="D9D9D9"/>
            <w:vAlign w:val="center"/>
            <w:hideMark/>
          </w:tcPr>
          <w:p w14:paraId="4E3DEBF4" w14:textId="77777777" w:rsidR="008E3FA9" w:rsidRPr="009D4339" w:rsidRDefault="008E3FA9" w:rsidP="008E3FA9">
            <w:pPr>
              <w:spacing w:before="0" w:after="0"/>
              <w:jc w:val="right"/>
              <w:rPr>
                <w:noProof/>
                <w:color w:val="000000"/>
                <w:sz w:val="16"/>
                <w:szCs w:val="16"/>
                <w:lang w:eastAsia="en-IE"/>
              </w:rPr>
            </w:pPr>
          </w:p>
          <w:p w14:paraId="4E4F6D2A" w14:textId="3891D086" w:rsidR="008E3FA9" w:rsidRPr="00B50FCF" w:rsidRDefault="008E3FA9" w:rsidP="008E3FA9">
            <w:pPr>
              <w:spacing w:before="0" w:after="0"/>
              <w:jc w:val="right"/>
              <w:rPr>
                <w:noProof/>
                <w:color w:val="000000"/>
                <w:sz w:val="16"/>
                <w:szCs w:val="16"/>
                <w:lang w:eastAsia="en-IE"/>
              </w:rPr>
            </w:pPr>
            <w:r w:rsidRPr="009D4339">
              <w:rPr>
                <w:noProof/>
                <w:color w:val="000000"/>
                <w:sz w:val="16"/>
                <w:szCs w:val="16"/>
                <w:lang w:eastAsia="en-IE"/>
              </w:rPr>
              <w:t xml:space="preserve"> </w:t>
            </w:r>
            <w:r>
              <w:rPr>
                <w:noProof/>
                <w:color w:val="000000"/>
                <w:sz w:val="16"/>
                <w:szCs w:val="16"/>
                <w:lang w:eastAsia="en-IE"/>
              </w:rPr>
              <w:t>24,25</w:t>
            </w:r>
          </w:p>
        </w:tc>
      </w:tr>
      <w:tr w:rsidR="00EC37C5" w:rsidRPr="00922145" w14:paraId="3B340260" w14:textId="77777777">
        <w:trPr>
          <w:trHeight w:val="300"/>
        </w:trPr>
        <w:tc>
          <w:tcPr>
            <w:tcW w:w="5000" w:type="pct"/>
            <w:gridSpan w:val="9"/>
            <w:tcBorders>
              <w:top w:val="single" w:sz="8" w:space="0" w:color="auto"/>
              <w:left w:val="single" w:sz="8" w:space="0" w:color="auto"/>
              <w:bottom w:val="single" w:sz="8" w:space="0" w:color="auto"/>
              <w:right w:val="single" w:sz="4" w:space="0" w:color="auto"/>
            </w:tcBorders>
            <w:vAlign w:val="center"/>
          </w:tcPr>
          <w:p w14:paraId="39D1A858" w14:textId="77777777" w:rsidR="00EC37C5" w:rsidRPr="00922145" w:rsidRDefault="00EC37C5">
            <w:pPr>
              <w:spacing w:before="0" w:after="0"/>
              <w:jc w:val="center"/>
              <w:rPr>
                <w:b/>
                <w:bCs/>
                <w:noProof/>
                <w:sz w:val="16"/>
                <w:szCs w:val="16"/>
                <w:lang w:eastAsia="en-IE"/>
              </w:rPr>
            </w:pPr>
            <w:r w:rsidRPr="00922145">
              <w:rPr>
                <w:b/>
                <w:bCs/>
                <w:noProof/>
                <w:sz w:val="16"/>
                <w:szCs w:val="16"/>
                <w:lang w:eastAsia="en-IE"/>
              </w:rPr>
              <w:t>Outside HEADING 4</w:t>
            </w:r>
          </w:p>
        </w:tc>
      </w:tr>
      <w:tr w:rsidR="008E3FA9" w:rsidRPr="00922145" w14:paraId="6F0C2A20" w14:textId="77777777" w:rsidTr="00BA43C6">
        <w:trPr>
          <w:trHeight w:val="300"/>
        </w:trPr>
        <w:tc>
          <w:tcPr>
            <w:tcW w:w="989" w:type="pct"/>
            <w:tcBorders>
              <w:top w:val="nil"/>
              <w:left w:val="single" w:sz="8" w:space="0" w:color="auto"/>
              <w:bottom w:val="single" w:sz="8" w:space="0" w:color="auto"/>
              <w:right w:val="single" w:sz="8" w:space="0" w:color="auto"/>
            </w:tcBorders>
            <w:vAlign w:val="center"/>
            <w:hideMark/>
          </w:tcPr>
          <w:p w14:paraId="554BDE83" w14:textId="77777777" w:rsidR="008E3FA9" w:rsidRPr="00922145" w:rsidRDefault="008E3FA9" w:rsidP="008E3FA9">
            <w:pPr>
              <w:spacing w:before="0" w:after="0"/>
              <w:jc w:val="left"/>
              <w:rPr>
                <w:noProof/>
                <w:color w:val="000000"/>
                <w:sz w:val="16"/>
                <w:szCs w:val="16"/>
                <w:lang w:eastAsia="en-IE"/>
              </w:rPr>
            </w:pPr>
            <w:r w:rsidRPr="00922145">
              <w:rPr>
                <w:noProof/>
                <w:color w:val="000000"/>
                <w:sz w:val="16"/>
                <w:szCs w:val="16"/>
                <w:lang w:eastAsia="en-IE"/>
              </w:rPr>
              <w:t xml:space="preserve">Human resources </w:t>
            </w:r>
          </w:p>
        </w:tc>
        <w:tc>
          <w:tcPr>
            <w:tcW w:w="332" w:type="pct"/>
            <w:tcBorders>
              <w:top w:val="nil"/>
              <w:left w:val="nil"/>
              <w:bottom w:val="single" w:sz="8" w:space="0" w:color="auto"/>
              <w:right w:val="single" w:sz="8" w:space="0" w:color="auto"/>
            </w:tcBorders>
            <w:shd w:val="clear" w:color="000000" w:fill="D9D9D9"/>
            <w:vAlign w:val="center"/>
            <w:hideMark/>
          </w:tcPr>
          <w:p w14:paraId="5AA425EC" w14:textId="01324674" w:rsidR="008E3FA9" w:rsidRPr="00922145" w:rsidRDefault="008E3FA9" w:rsidP="008E3FA9">
            <w:pPr>
              <w:spacing w:before="0" w:after="0"/>
              <w:jc w:val="right"/>
              <w:rPr>
                <w:noProof/>
                <w:color w:val="000000"/>
                <w:sz w:val="16"/>
                <w:szCs w:val="16"/>
                <w:lang w:eastAsia="en-IE"/>
              </w:rPr>
            </w:pPr>
            <w:r>
              <w:rPr>
                <w:noProof/>
                <w:color w:val="000000"/>
                <w:sz w:val="16"/>
                <w:szCs w:val="16"/>
                <w:lang w:eastAsia="en-IE"/>
              </w:rPr>
              <w:t>1,365</w:t>
            </w:r>
          </w:p>
        </w:tc>
        <w:tc>
          <w:tcPr>
            <w:tcW w:w="514" w:type="pct"/>
            <w:tcBorders>
              <w:top w:val="nil"/>
              <w:left w:val="nil"/>
              <w:bottom w:val="single" w:sz="8" w:space="0" w:color="auto"/>
              <w:right w:val="single" w:sz="8" w:space="0" w:color="auto"/>
            </w:tcBorders>
            <w:shd w:val="clear" w:color="000000" w:fill="D9D9D9"/>
            <w:vAlign w:val="center"/>
            <w:hideMark/>
          </w:tcPr>
          <w:p w14:paraId="664FC2DF" w14:textId="32770BAC" w:rsidR="008E3FA9" w:rsidRPr="00922145" w:rsidRDefault="008E3FA9" w:rsidP="008E3FA9">
            <w:pPr>
              <w:spacing w:before="0" w:after="0"/>
              <w:jc w:val="right"/>
              <w:rPr>
                <w:noProof/>
                <w:color w:val="000000"/>
                <w:sz w:val="16"/>
                <w:szCs w:val="16"/>
                <w:lang w:eastAsia="en-IE"/>
              </w:rPr>
            </w:pPr>
            <w:r>
              <w:rPr>
                <w:noProof/>
                <w:color w:val="000000"/>
                <w:sz w:val="16"/>
                <w:szCs w:val="16"/>
                <w:lang w:eastAsia="en-IE"/>
              </w:rPr>
              <w:t>1,365</w:t>
            </w:r>
          </w:p>
        </w:tc>
        <w:tc>
          <w:tcPr>
            <w:tcW w:w="514" w:type="pct"/>
            <w:tcBorders>
              <w:top w:val="nil"/>
              <w:left w:val="nil"/>
              <w:bottom w:val="single" w:sz="8" w:space="0" w:color="auto"/>
              <w:right w:val="single" w:sz="8" w:space="0" w:color="auto"/>
            </w:tcBorders>
            <w:shd w:val="clear" w:color="000000" w:fill="D9D9D9"/>
            <w:vAlign w:val="center"/>
            <w:hideMark/>
          </w:tcPr>
          <w:p w14:paraId="1CF3D3AF" w14:textId="670710F8" w:rsidR="008E3FA9" w:rsidRPr="00922145" w:rsidRDefault="008E3FA9" w:rsidP="008E3FA9">
            <w:pPr>
              <w:spacing w:before="0" w:after="0"/>
              <w:jc w:val="right"/>
              <w:rPr>
                <w:noProof/>
                <w:color w:val="000000"/>
                <w:sz w:val="16"/>
                <w:szCs w:val="16"/>
                <w:lang w:eastAsia="en-IE"/>
              </w:rPr>
            </w:pPr>
            <w:r>
              <w:rPr>
                <w:noProof/>
                <w:color w:val="000000"/>
                <w:sz w:val="16"/>
                <w:szCs w:val="16"/>
                <w:lang w:eastAsia="en-IE"/>
              </w:rPr>
              <w:t>1,470</w:t>
            </w:r>
          </w:p>
        </w:tc>
        <w:tc>
          <w:tcPr>
            <w:tcW w:w="514" w:type="pct"/>
            <w:tcBorders>
              <w:top w:val="nil"/>
              <w:left w:val="nil"/>
              <w:bottom w:val="single" w:sz="8" w:space="0" w:color="auto"/>
              <w:right w:val="single" w:sz="8" w:space="0" w:color="auto"/>
            </w:tcBorders>
            <w:shd w:val="clear" w:color="000000" w:fill="D9D9D9"/>
            <w:vAlign w:val="center"/>
            <w:hideMark/>
          </w:tcPr>
          <w:p w14:paraId="510C9EEA" w14:textId="755E4BA1" w:rsidR="008E3FA9" w:rsidRPr="00922145" w:rsidRDefault="008E3FA9" w:rsidP="008E3FA9">
            <w:pPr>
              <w:spacing w:before="0" w:after="0"/>
              <w:jc w:val="right"/>
              <w:rPr>
                <w:noProof/>
                <w:color w:val="000000"/>
                <w:sz w:val="16"/>
                <w:szCs w:val="16"/>
                <w:lang w:eastAsia="en-IE"/>
              </w:rPr>
            </w:pPr>
            <w:r>
              <w:rPr>
                <w:noProof/>
                <w:color w:val="000000"/>
                <w:sz w:val="16"/>
                <w:szCs w:val="16"/>
                <w:lang w:eastAsia="en-IE"/>
              </w:rPr>
              <w:t>1,785</w:t>
            </w:r>
          </w:p>
        </w:tc>
        <w:tc>
          <w:tcPr>
            <w:tcW w:w="514" w:type="pct"/>
            <w:tcBorders>
              <w:top w:val="nil"/>
              <w:left w:val="nil"/>
              <w:bottom w:val="single" w:sz="8" w:space="0" w:color="auto"/>
              <w:right w:val="single" w:sz="4" w:space="0" w:color="auto"/>
            </w:tcBorders>
            <w:shd w:val="clear" w:color="000000" w:fill="D9D9D9"/>
            <w:vAlign w:val="center"/>
          </w:tcPr>
          <w:p w14:paraId="6C3955A4" w14:textId="3119FA16" w:rsidR="008E3FA9" w:rsidRPr="00922145" w:rsidRDefault="008E3FA9" w:rsidP="008E3FA9">
            <w:pPr>
              <w:spacing w:before="0" w:after="0"/>
              <w:jc w:val="center"/>
              <w:rPr>
                <w:b/>
                <w:bCs/>
                <w:noProof/>
                <w:color w:val="000000"/>
                <w:sz w:val="16"/>
                <w:szCs w:val="16"/>
                <w:lang w:eastAsia="en-IE"/>
              </w:rPr>
            </w:pPr>
            <w:r>
              <w:rPr>
                <w:noProof/>
                <w:color w:val="000000"/>
                <w:sz w:val="16"/>
                <w:szCs w:val="16"/>
                <w:lang w:eastAsia="en-IE"/>
              </w:rPr>
              <w:t>2,100</w:t>
            </w:r>
          </w:p>
        </w:tc>
        <w:tc>
          <w:tcPr>
            <w:tcW w:w="515" w:type="pct"/>
            <w:tcBorders>
              <w:top w:val="nil"/>
              <w:left w:val="single" w:sz="4" w:space="0" w:color="auto"/>
              <w:bottom w:val="single" w:sz="8" w:space="0" w:color="auto"/>
              <w:right w:val="single" w:sz="4" w:space="0" w:color="auto"/>
            </w:tcBorders>
            <w:shd w:val="clear" w:color="000000" w:fill="D9D9D9"/>
            <w:vAlign w:val="center"/>
          </w:tcPr>
          <w:p w14:paraId="6E975E39" w14:textId="16379B49" w:rsidR="008E3FA9" w:rsidRPr="00922145" w:rsidRDefault="008E3FA9" w:rsidP="008E3FA9">
            <w:pPr>
              <w:spacing w:before="0" w:after="0"/>
              <w:jc w:val="center"/>
              <w:rPr>
                <w:b/>
                <w:bCs/>
                <w:noProof/>
                <w:color w:val="000000"/>
                <w:sz w:val="16"/>
                <w:szCs w:val="16"/>
                <w:lang w:eastAsia="en-IE"/>
              </w:rPr>
            </w:pPr>
            <w:r>
              <w:rPr>
                <w:noProof/>
                <w:color w:val="000000"/>
                <w:sz w:val="16"/>
                <w:szCs w:val="16"/>
                <w:lang w:eastAsia="en-IE"/>
              </w:rPr>
              <w:t>2,415</w:t>
            </w:r>
          </w:p>
        </w:tc>
        <w:tc>
          <w:tcPr>
            <w:tcW w:w="515" w:type="pct"/>
            <w:tcBorders>
              <w:top w:val="nil"/>
              <w:left w:val="single" w:sz="4" w:space="0" w:color="auto"/>
              <w:bottom w:val="single" w:sz="8" w:space="0" w:color="auto"/>
              <w:right w:val="single" w:sz="4" w:space="0" w:color="auto"/>
            </w:tcBorders>
            <w:shd w:val="clear" w:color="000000" w:fill="D9D9D9"/>
            <w:vAlign w:val="center"/>
          </w:tcPr>
          <w:p w14:paraId="4006B568" w14:textId="1CF2A5B2" w:rsidR="008E3FA9" w:rsidRPr="00922145" w:rsidRDefault="008E3FA9" w:rsidP="008E3FA9">
            <w:pPr>
              <w:spacing w:before="0" w:after="0"/>
              <w:jc w:val="center"/>
              <w:rPr>
                <w:b/>
                <w:bCs/>
                <w:noProof/>
                <w:color w:val="000000"/>
                <w:sz w:val="16"/>
                <w:szCs w:val="16"/>
                <w:lang w:eastAsia="en-IE"/>
              </w:rPr>
            </w:pPr>
            <w:r>
              <w:rPr>
                <w:noProof/>
                <w:color w:val="000000"/>
                <w:sz w:val="16"/>
                <w:szCs w:val="16"/>
                <w:lang w:eastAsia="en-IE"/>
              </w:rPr>
              <w:t>2,625</w:t>
            </w:r>
          </w:p>
        </w:tc>
        <w:tc>
          <w:tcPr>
            <w:tcW w:w="593" w:type="pct"/>
            <w:tcBorders>
              <w:top w:val="nil"/>
              <w:left w:val="single" w:sz="4" w:space="0" w:color="auto"/>
              <w:bottom w:val="single" w:sz="8" w:space="0" w:color="auto"/>
              <w:right w:val="single" w:sz="8" w:space="0" w:color="auto"/>
            </w:tcBorders>
            <w:shd w:val="clear" w:color="000000" w:fill="D9D9D9"/>
            <w:vAlign w:val="center"/>
            <w:hideMark/>
          </w:tcPr>
          <w:p w14:paraId="5C6A24A1" w14:textId="498D2868" w:rsidR="008E3FA9" w:rsidRPr="00922145" w:rsidRDefault="008E3FA9" w:rsidP="008E3FA9">
            <w:pPr>
              <w:spacing w:before="0" w:after="0"/>
              <w:jc w:val="right"/>
              <w:rPr>
                <w:b/>
                <w:bCs/>
                <w:noProof/>
                <w:color w:val="000000"/>
                <w:sz w:val="16"/>
                <w:szCs w:val="16"/>
                <w:lang w:eastAsia="en-IE"/>
              </w:rPr>
            </w:pPr>
            <w:r>
              <w:rPr>
                <w:b/>
                <w:bCs/>
                <w:noProof/>
                <w:color w:val="000000"/>
                <w:sz w:val="16"/>
                <w:szCs w:val="16"/>
                <w:lang w:eastAsia="en-IE"/>
              </w:rPr>
              <w:t>13,125</w:t>
            </w:r>
          </w:p>
        </w:tc>
      </w:tr>
      <w:tr w:rsidR="008E3FA9" w:rsidRPr="00922145" w14:paraId="712E7DF8" w14:textId="77777777" w:rsidTr="00BA43C6">
        <w:trPr>
          <w:trHeight w:val="300"/>
        </w:trPr>
        <w:tc>
          <w:tcPr>
            <w:tcW w:w="989" w:type="pct"/>
            <w:tcBorders>
              <w:top w:val="nil"/>
              <w:left w:val="single" w:sz="8" w:space="0" w:color="auto"/>
              <w:bottom w:val="single" w:sz="8" w:space="0" w:color="auto"/>
              <w:right w:val="single" w:sz="8" w:space="0" w:color="auto"/>
            </w:tcBorders>
            <w:vAlign w:val="center"/>
            <w:hideMark/>
          </w:tcPr>
          <w:p w14:paraId="40B8EE35" w14:textId="77777777" w:rsidR="008E3FA9" w:rsidRPr="00922145" w:rsidRDefault="008E3FA9" w:rsidP="008E3FA9">
            <w:pPr>
              <w:spacing w:before="0" w:after="0"/>
              <w:jc w:val="left"/>
              <w:rPr>
                <w:noProof/>
                <w:color w:val="000000"/>
                <w:sz w:val="16"/>
                <w:szCs w:val="16"/>
                <w:lang w:eastAsia="en-IE"/>
              </w:rPr>
            </w:pPr>
            <w:r w:rsidRPr="00922145">
              <w:rPr>
                <w:noProof/>
                <w:color w:val="000000"/>
                <w:sz w:val="16"/>
                <w:szCs w:val="16"/>
                <w:lang w:eastAsia="en-IE"/>
              </w:rPr>
              <w:t>Other expenditure of an administrative nature</w:t>
            </w:r>
          </w:p>
        </w:tc>
        <w:tc>
          <w:tcPr>
            <w:tcW w:w="332" w:type="pct"/>
            <w:tcBorders>
              <w:top w:val="nil"/>
              <w:left w:val="nil"/>
              <w:bottom w:val="single" w:sz="8" w:space="0" w:color="auto"/>
              <w:right w:val="single" w:sz="8" w:space="0" w:color="auto"/>
            </w:tcBorders>
            <w:shd w:val="clear" w:color="000000" w:fill="D9D9D9"/>
            <w:vAlign w:val="center"/>
            <w:hideMark/>
          </w:tcPr>
          <w:p w14:paraId="11974657" w14:textId="7A7AAA00" w:rsidR="008E3FA9" w:rsidRPr="00922145" w:rsidRDefault="008E3FA9" w:rsidP="008E3FA9">
            <w:pPr>
              <w:spacing w:before="0" w:after="0"/>
              <w:jc w:val="right"/>
              <w:rPr>
                <w:noProof/>
                <w:color w:val="000000"/>
                <w:sz w:val="16"/>
                <w:szCs w:val="16"/>
                <w:lang w:eastAsia="en-IE"/>
              </w:rPr>
            </w:pPr>
            <w:r w:rsidRPr="00922145">
              <w:rPr>
                <w:noProof/>
                <w:color w:val="000000"/>
                <w:sz w:val="16"/>
                <w:szCs w:val="16"/>
                <w:lang w:eastAsia="en-IE"/>
              </w:rPr>
              <w:t>0.000</w:t>
            </w:r>
          </w:p>
        </w:tc>
        <w:tc>
          <w:tcPr>
            <w:tcW w:w="514" w:type="pct"/>
            <w:tcBorders>
              <w:top w:val="nil"/>
              <w:left w:val="nil"/>
              <w:bottom w:val="single" w:sz="8" w:space="0" w:color="auto"/>
              <w:right w:val="single" w:sz="8" w:space="0" w:color="auto"/>
            </w:tcBorders>
            <w:shd w:val="clear" w:color="000000" w:fill="D9D9D9"/>
            <w:vAlign w:val="center"/>
            <w:hideMark/>
          </w:tcPr>
          <w:p w14:paraId="73723E56" w14:textId="6C431AC6" w:rsidR="008E3FA9" w:rsidRPr="00922145" w:rsidRDefault="008E3FA9" w:rsidP="008E3FA9">
            <w:pPr>
              <w:spacing w:before="0" w:after="0"/>
              <w:jc w:val="right"/>
              <w:rPr>
                <w:noProof/>
                <w:color w:val="000000"/>
                <w:sz w:val="16"/>
                <w:szCs w:val="16"/>
                <w:lang w:eastAsia="en-IE"/>
              </w:rPr>
            </w:pPr>
            <w:r w:rsidRPr="00922145">
              <w:rPr>
                <w:noProof/>
                <w:color w:val="000000"/>
                <w:sz w:val="16"/>
                <w:szCs w:val="16"/>
                <w:lang w:eastAsia="en-IE"/>
              </w:rPr>
              <w:t>0.000</w:t>
            </w:r>
          </w:p>
        </w:tc>
        <w:tc>
          <w:tcPr>
            <w:tcW w:w="514" w:type="pct"/>
            <w:tcBorders>
              <w:top w:val="nil"/>
              <w:left w:val="nil"/>
              <w:bottom w:val="single" w:sz="8" w:space="0" w:color="auto"/>
              <w:right w:val="single" w:sz="8" w:space="0" w:color="auto"/>
            </w:tcBorders>
            <w:shd w:val="clear" w:color="000000" w:fill="D9D9D9"/>
            <w:vAlign w:val="center"/>
            <w:hideMark/>
          </w:tcPr>
          <w:p w14:paraId="00CE5511" w14:textId="3DBA0A2B" w:rsidR="008E3FA9" w:rsidRPr="00922145" w:rsidRDefault="008E3FA9" w:rsidP="008E3FA9">
            <w:pPr>
              <w:spacing w:before="0" w:after="0"/>
              <w:jc w:val="right"/>
              <w:rPr>
                <w:noProof/>
                <w:color w:val="000000"/>
                <w:sz w:val="16"/>
                <w:szCs w:val="16"/>
                <w:lang w:eastAsia="en-IE"/>
              </w:rPr>
            </w:pPr>
            <w:r w:rsidRPr="00922145">
              <w:rPr>
                <w:noProof/>
                <w:color w:val="000000"/>
                <w:sz w:val="16"/>
                <w:szCs w:val="16"/>
                <w:lang w:eastAsia="en-IE"/>
              </w:rPr>
              <w:t>0.000</w:t>
            </w:r>
          </w:p>
        </w:tc>
        <w:tc>
          <w:tcPr>
            <w:tcW w:w="514" w:type="pct"/>
            <w:tcBorders>
              <w:top w:val="nil"/>
              <w:left w:val="nil"/>
              <w:bottom w:val="single" w:sz="8" w:space="0" w:color="auto"/>
              <w:right w:val="single" w:sz="8" w:space="0" w:color="auto"/>
            </w:tcBorders>
            <w:shd w:val="clear" w:color="000000" w:fill="D9D9D9"/>
            <w:vAlign w:val="center"/>
            <w:hideMark/>
          </w:tcPr>
          <w:p w14:paraId="06A22F57" w14:textId="14633D4B" w:rsidR="008E3FA9" w:rsidRPr="00922145" w:rsidRDefault="008E3FA9" w:rsidP="008E3FA9">
            <w:pPr>
              <w:spacing w:before="0" w:after="0"/>
              <w:jc w:val="right"/>
              <w:rPr>
                <w:noProof/>
                <w:color w:val="000000"/>
                <w:sz w:val="16"/>
                <w:szCs w:val="16"/>
                <w:lang w:eastAsia="en-IE"/>
              </w:rPr>
            </w:pPr>
            <w:r w:rsidRPr="00922145">
              <w:rPr>
                <w:noProof/>
                <w:color w:val="000000"/>
                <w:sz w:val="16"/>
                <w:szCs w:val="16"/>
                <w:lang w:eastAsia="en-IE"/>
              </w:rPr>
              <w:t>0.000</w:t>
            </w:r>
          </w:p>
        </w:tc>
        <w:tc>
          <w:tcPr>
            <w:tcW w:w="514" w:type="pct"/>
            <w:tcBorders>
              <w:top w:val="nil"/>
              <w:left w:val="nil"/>
              <w:bottom w:val="single" w:sz="8" w:space="0" w:color="auto"/>
              <w:right w:val="single" w:sz="4" w:space="0" w:color="auto"/>
            </w:tcBorders>
            <w:shd w:val="clear" w:color="000000" w:fill="D9D9D9"/>
            <w:vAlign w:val="center"/>
          </w:tcPr>
          <w:p w14:paraId="16FEDEFF" w14:textId="4A06F906" w:rsidR="008E3FA9" w:rsidRPr="00922145" w:rsidRDefault="008E3FA9" w:rsidP="008E3FA9">
            <w:pPr>
              <w:spacing w:before="0" w:after="0"/>
              <w:jc w:val="center"/>
              <w:rPr>
                <w:b/>
                <w:bCs/>
                <w:noProof/>
                <w:color w:val="000000"/>
                <w:sz w:val="16"/>
                <w:szCs w:val="16"/>
                <w:lang w:eastAsia="en-IE"/>
              </w:rPr>
            </w:pPr>
            <w:r w:rsidRPr="00922145">
              <w:rPr>
                <w:noProof/>
                <w:color w:val="000000"/>
                <w:sz w:val="16"/>
                <w:szCs w:val="16"/>
                <w:lang w:eastAsia="en-IE"/>
              </w:rPr>
              <w:t>0.000</w:t>
            </w:r>
          </w:p>
        </w:tc>
        <w:tc>
          <w:tcPr>
            <w:tcW w:w="515" w:type="pct"/>
            <w:tcBorders>
              <w:top w:val="nil"/>
              <w:left w:val="single" w:sz="4" w:space="0" w:color="auto"/>
              <w:bottom w:val="single" w:sz="8" w:space="0" w:color="auto"/>
              <w:right w:val="single" w:sz="4" w:space="0" w:color="auto"/>
            </w:tcBorders>
            <w:shd w:val="clear" w:color="000000" w:fill="D9D9D9"/>
            <w:vAlign w:val="center"/>
          </w:tcPr>
          <w:p w14:paraId="4ABD9910" w14:textId="078CDEF7" w:rsidR="008E3FA9" w:rsidRPr="00922145" w:rsidRDefault="008E3FA9" w:rsidP="008E3FA9">
            <w:pPr>
              <w:spacing w:before="0" w:after="0"/>
              <w:jc w:val="center"/>
              <w:rPr>
                <w:b/>
                <w:bCs/>
                <w:noProof/>
                <w:color w:val="000000"/>
                <w:sz w:val="16"/>
                <w:szCs w:val="16"/>
                <w:lang w:eastAsia="en-IE"/>
              </w:rPr>
            </w:pPr>
            <w:r w:rsidRPr="00922145">
              <w:rPr>
                <w:noProof/>
                <w:color w:val="000000"/>
                <w:sz w:val="16"/>
                <w:szCs w:val="16"/>
                <w:lang w:eastAsia="en-IE"/>
              </w:rPr>
              <w:t>0.000</w:t>
            </w:r>
          </w:p>
        </w:tc>
        <w:tc>
          <w:tcPr>
            <w:tcW w:w="515" w:type="pct"/>
            <w:tcBorders>
              <w:top w:val="nil"/>
              <w:left w:val="single" w:sz="4" w:space="0" w:color="auto"/>
              <w:bottom w:val="single" w:sz="8" w:space="0" w:color="auto"/>
              <w:right w:val="single" w:sz="4" w:space="0" w:color="auto"/>
            </w:tcBorders>
            <w:shd w:val="clear" w:color="000000" w:fill="D9D9D9"/>
            <w:vAlign w:val="center"/>
          </w:tcPr>
          <w:p w14:paraId="66A5CCC3" w14:textId="6B787B50" w:rsidR="008E3FA9" w:rsidRPr="00922145" w:rsidRDefault="008E3FA9" w:rsidP="008E3FA9">
            <w:pPr>
              <w:spacing w:before="0" w:after="0"/>
              <w:jc w:val="center"/>
              <w:rPr>
                <w:b/>
                <w:bCs/>
                <w:noProof/>
                <w:color w:val="000000"/>
                <w:sz w:val="16"/>
                <w:szCs w:val="16"/>
                <w:lang w:eastAsia="en-IE"/>
              </w:rPr>
            </w:pPr>
            <w:r w:rsidRPr="00922145">
              <w:rPr>
                <w:noProof/>
                <w:color w:val="000000"/>
                <w:sz w:val="16"/>
                <w:szCs w:val="16"/>
                <w:lang w:eastAsia="en-IE"/>
              </w:rPr>
              <w:t>0.000</w:t>
            </w:r>
          </w:p>
        </w:tc>
        <w:tc>
          <w:tcPr>
            <w:tcW w:w="593" w:type="pct"/>
            <w:tcBorders>
              <w:top w:val="nil"/>
              <w:left w:val="single" w:sz="4" w:space="0" w:color="auto"/>
              <w:bottom w:val="single" w:sz="8" w:space="0" w:color="auto"/>
              <w:right w:val="single" w:sz="8" w:space="0" w:color="auto"/>
            </w:tcBorders>
            <w:shd w:val="clear" w:color="000000" w:fill="D9D9D9"/>
            <w:vAlign w:val="center"/>
            <w:hideMark/>
          </w:tcPr>
          <w:p w14:paraId="01AD51F9" w14:textId="40D02DA8" w:rsidR="008E3FA9" w:rsidRPr="00922145" w:rsidRDefault="008E3FA9" w:rsidP="008E3FA9">
            <w:pPr>
              <w:spacing w:before="0" w:after="0"/>
              <w:jc w:val="right"/>
              <w:rPr>
                <w:b/>
                <w:bCs/>
                <w:noProof/>
                <w:color w:val="000000"/>
                <w:sz w:val="16"/>
                <w:szCs w:val="16"/>
                <w:lang w:eastAsia="en-IE"/>
              </w:rPr>
            </w:pPr>
            <w:r w:rsidRPr="00922145">
              <w:rPr>
                <w:b/>
                <w:bCs/>
                <w:noProof/>
                <w:color w:val="000000"/>
                <w:sz w:val="16"/>
                <w:szCs w:val="16"/>
                <w:lang w:eastAsia="en-IE"/>
              </w:rPr>
              <w:t>0.000</w:t>
            </w:r>
          </w:p>
        </w:tc>
      </w:tr>
      <w:tr w:rsidR="008E3FA9" w:rsidRPr="00922145" w14:paraId="397572AA" w14:textId="77777777" w:rsidTr="00BA43C6">
        <w:trPr>
          <w:trHeight w:val="300"/>
        </w:trPr>
        <w:tc>
          <w:tcPr>
            <w:tcW w:w="989" w:type="pct"/>
            <w:tcBorders>
              <w:top w:val="nil"/>
              <w:left w:val="single" w:sz="8" w:space="0" w:color="auto"/>
              <w:bottom w:val="single" w:sz="8" w:space="0" w:color="auto"/>
              <w:right w:val="single" w:sz="8" w:space="0" w:color="auto"/>
            </w:tcBorders>
            <w:shd w:val="clear" w:color="000000" w:fill="CCCCCC"/>
            <w:vAlign w:val="center"/>
            <w:hideMark/>
          </w:tcPr>
          <w:p w14:paraId="1FA37BFF" w14:textId="77777777" w:rsidR="008E3FA9" w:rsidRPr="00922145" w:rsidRDefault="008E3FA9" w:rsidP="008E3FA9">
            <w:pPr>
              <w:spacing w:before="0" w:after="0"/>
              <w:jc w:val="center"/>
              <w:rPr>
                <w:b/>
                <w:bCs/>
                <w:noProof/>
                <w:color w:val="000000"/>
                <w:sz w:val="16"/>
                <w:szCs w:val="16"/>
                <w:lang w:eastAsia="en-IE"/>
              </w:rPr>
            </w:pPr>
            <w:r w:rsidRPr="00922145">
              <w:rPr>
                <w:b/>
                <w:bCs/>
                <w:noProof/>
                <w:color w:val="000000"/>
                <w:sz w:val="16"/>
                <w:szCs w:val="16"/>
                <w:lang w:eastAsia="en-IE"/>
              </w:rPr>
              <w:t>Subtotal outside HEADING 4</w:t>
            </w:r>
          </w:p>
        </w:tc>
        <w:tc>
          <w:tcPr>
            <w:tcW w:w="332" w:type="pct"/>
            <w:tcBorders>
              <w:top w:val="nil"/>
              <w:left w:val="nil"/>
              <w:bottom w:val="single" w:sz="8" w:space="0" w:color="auto"/>
              <w:right w:val="single" w:sz="8" w:space="0" w:color="auto"/>
            </w:tcBorders>
            <w:shd w:val="clear" w:color="000000" w:fill="D9D9D9"/>
            <w:vAlign w:val="center"/>
            <w:hideMark/>
          </w:tcPr>
          <w:p w14:paraId="5DD8BB94" w14:textId="4418E4FC" w:rsidR="008E3FA9" w:rsidRPr="00922145" w:rsidRDefault="008E3FA9" w:rsidP="008E3FA9">
            <w:pPr>
              <w:spacing w:before="0" w:after="0"/>
              <w:jc w:val="right"/>
              <w:rPr>
                <w:b/>
                <w:bCs/>
                <w:noProof/>
                <w:color w:val="000000"/>
                <w:sz w:val="16"/>
                <w:szCs w:val="16"/>
                <w:lang w:eastAsia="en-IE"/>
              </w:rPr>
            </w:pPr>
            <w:r>
              <w:rPr>
                <w:b/>
                <w:bCs/>
                <w:noProof/>
                <w:color w:val="000000"/>
                <w:sz w:val="16"/>
                <w:szCs w:val="16"/>
                <w:lang w:eastAsia="en-IE"/>
              </w:rPr>
              <w:t>1,365</w:t>
            </w:r>
          </w:p>
        </w:tc>
        <w:tc>
          <w:tcPr>
            <w:tcW w:w="514" w:type="pct"/>
            <w:tcBorders>
              <w:top w:val="nil"/>
              <w:left w:val="nil"/>
              <w:bottom w:val="single" w:sz="8" w:space="0" w:color="auto"/>
              <w:right w:val="single" w:sz="8" w:space="0" w:color="auto"/>
            </w:tcBorders>
            <w:shd w:val="clear" w:color="000000" w:fill="D9D9D9"/>
            <w:vAlign w:val="center"/>
            <w:hideMark/>
          </w:tcPr>
          <w:p w14:paraId="5EA103B7" w14:textId="75ED7AA4" w:rsidR="008E3FA9" w:rsidRPr="00922145" w:rsidRDefault="008E3FA9" w:rsidP="008E3FA9">
            <w:pPr>
              <w:spacing w:before="0" w:after="0"/>
              <w:jc w:val="right"/>
              <w:rPr>
                <w:b/>
                <w:bCs/>
                <w:noProof/>
                <w:color w:val="000000"/>
                <w:sz w:val="16"/>
                <w:szCs w:val="16"/>
                <w:lang w:eastAsia="en-IE"/>
              </w:rPr>
            </w:pPr>
            <w:r>
              <w:rPr>
                <w:b/>
                <w:bCs/>
                <w:noProof/>
                <w:color w:val="000000"/>
                <w:sz w:val="16"/>
                <w:szCs w:val="16"/>
                <w:lang w:eastAsia="en-IE"/>
              </w:rPr>
              <w:t>1,365</w:t>
            </w:r>
          </w:p>
        </w:tc>
        <w:tc>
          <w:tcPr>
            <w:tcW w:w="514" w:type="pct"/>
            <w:tcBorders>
              <w:top w:val="nil"/>
              <w:left w:val="nil"/>
              <w:bottom w:val="single" w:sz="8" w:space="0" w:color="auto"/>
              <w:right w:val="single" w:sz="8" w:space="0" w:color="auto"/>
            </w:tcBorders>
            <w:shd w:val="clear" w:color="000000" w:fill="D9D9D9"/>
            <w:vAlign w:val="center"/>
            <w:hideMark/>
          </w:tcPr>
          <w:p w14:paraId="62187359" w14:textId="78B1C370" w:rsidR="008E3FA9" w:rsidRPr="00922145" w:rsidRDefault="008E3FA9" w:rsidP="008E3FA9">
            <w:pPr>
              <w:spacing w:before="0" w:after="0"/>
              <w:jc w:val="right"/>
              <w:rPr>
                <w:b/>
                <w:bCs/>
                <w:noProof/>
                <w:color w:val="000000"/>
                <w:sz w:val="16"/>
                <w:szCs w:val="16"/>
                <w:lang w:eastAsia="en-IE"/>
              </w:rPr>
            </w:pPr>
            <w:r>
              <w:rPr>
                <w:b/>
                <w:bCs/>
                <w:noProof/>
                <w:color w:val="000000"/>
                <w:sz w:val="16"/>
                <w:szCs w:val="16"/>
                <w:lang w:eastAsia="en-IE"/>
              </w:rPr>
              <w:t>1,470</w:t>
            </w:r>
          </w:p>
        </w:tc>
        <w:tc>
          <w:tcPr>
            <w:tcW w:w="514" w:type="pct"/>
            <w:tcBorders>
              <w:top w:val="nil"/>
              <w:left w:val="nil"/>
              <w:bottom w:val="single" w:sz="8" w:space="0" w:color="auto"/>
              <w:right w:val="single" w:sz="8" w:space="0" w:color="auto"/>
            </w:tcBorders>
            <w:shd w:val="clear" w:color="000000" w:fill="D9D9D9"/>
            <w:vAlign w:val="center"/>
            <w:hideMark/>
          </w:tcPr>
          <w:p w14:paraId="5F0DFE70" w14:textId="5B9BFDC8" w:rsidR="008E3FA9" w:rsidRPr="00922145" w:rsidRDefault="008E3FA9" w:rsidP="008E3FA9">
            <w:pPr>
              <w:spacing w:before="0" w:after="0"/>
              <w:jc w:val="right"/>
              <w:rPr>
                <w:b/>
                <w:bCs/>
                <w:noProof/>
                <w:color w:val="000000"/>
                <w:sz w:val="16"/>
                <w:szCs w:val="16"/>
                <w:lang w:eastAsia="en-IE"/>
              </w:rPr>
            </w:pPr>
            <w:r>
              <w:rPr>
                <w:b/>
                <w:bCs/>
                <w:noProof/>
                <w:color w:val="000000"/>
                <w:sz w:val="16"/>
                <w:szCs w:val="16"/>
                <w:lang w:eastAsia="en-IE"/>
              </w:rPr>
              <w:t>1,785</w:t>
            </w:r>
          </w:p>
        </w:tc>
        <w:tc>
          <w:tcPr>
            <w:tcW w:w="514" w:type="pct"/>
            <w:tcBorders>
              <w:top w:val="nil"/>
              <w:left w:val="nil"/>
              <w:bottom w:val="single" w:sz="8" w:space="0" w:color="auto"/>
              <w:right w:val="single" w:sz="4" w:space="0" w:color="auto"/>
            </w:tcBorders>
            <w:shd w:val="clear" w:color="000000" w:fill="D9D9D9"/>
            <w:vAlign w:val="center"/>
          </w:tcPr>
          <w:p w14:paraId="36E6F81D" w14:textId="314D4F97" w:rsidR="008E3FA9" w:rsidRPr="00922145" w:rsidRDefault="008E3FA9" w:rsidP="008E3FA9">
            <w:pPr>
              <w:spacing w:before="0" w:after="0"/>
              <w:jc w:val="center"/>
              <w:rPr>
                <w:b/>
                <w:bCs/>
                <w:noProof/>
                <w:color w:val="000000"/>
                <w:sz w:val="16"/>
                <w:szCs w:val="16"/>
                <w:lang w:eastAsia="en-IE"/>
              </w:rPr>
            </w:pPr>
            <w:r>
              <w:rPr>
                <w:b/>
                <w:bCs/>
                <w:noProof/>
                <w:color w:val="000000"/>
                <w:sz w:val="16"/>
                <w:szCs w:val="16"/>
                <w:lang w:eastAsia="en-IE"/>
              </w:rPr>
              <w:t>2,100</w:t>
            </w:r>
          </w:p>
        </w:tc>
        <w:tc>
          <w:tcPr>
            <w:tcW w:w="515" w:type="pct"/>
            <w:tcBorders>
              <w:top w:val="nil"/>
              <w:left w:val="single" w:sz="4" w:space="0" w:color="auto"/>
              <w:bottom w:val="single" w:sz="8" w:space="0" w:color="auto"/>
              <w:right w:val="single" w:sz="4" w:space="0" w:color="auto"/>
            </w:tcBorders>
            <w:shd w:val="clear" w:color="000000" w:fill="D9D9D9"/>
            <w:vAlign w:val="center"/>
          </w:tcPr>
          <w:p w14:paraId="55C939D0" w14:textId="7569349E" w:rsidR="008E3FA9" w:rsidRPr="00922145" w:rsidRDefault="008E3FA9" w:rsidP="008E3FA9">
            <w:pPr>
              <w:spacing w:before="0" w:after="0"/>
              <w:jc w:val="center"/>
              <w:rPr>
                <w:b/>
                <w:bCs/>
                <w:noProof/>
                <w:color w:val="000000"/>
                <w:sz w:val="16"/>
                <w:szCs w:val="16"/>
                <w:lang w:eastAsia="en-IE"/>
              </w:rPr>
            </w:pPr>
            <w:r>
              <w:rPr>
                <w:b/>
                <w:bCs/>
                <w:noProof/>
                <w:color w:val="000000"/>
                <w:sz w:val="16"/>
                <w:szCs w:val="16"/>
                <w:lang w:eastAsia="en-IE"/>
              </w:rPr>
              <w:t>2,415</w:t>
            </w:r>
          </w:p>
        </w:tc>
        <w:tc>
          <w:tcPr>
            <w:tcW w:w="515" w:type="pct"/>
            <w:tcBorders>
              <w:top w:val="nil"/>
              <w:left w:val="single" w:sz="4" w:space="0" w:color="auto"/>
              <w:bottom w:val="single" w:sz="8" w:space="0" w:color="auto"/>
              <w:right w:val="single" w:sz="4" w:space="0" w:color="auto"/>
            </w:tcBorders>
            <w:shd w:val="clear" w:color="000000" w:fill="D9D9D9"/>
            <w:vAlign w:val="center"/>
          </w:tcPr>
          <w:p w14:paraId="23BBD321" w14:textId="0E9BA449" w:rsidR="008E3FA9" w:rsidRPr="00922145" w:rsidRDefault="008E3FA9" w:rsidP="008E3FA9">
            <w:pPr>
              <w:spacing w:before="0" w:after="0"/>
              <w:jc w:val="center"/>
              <w:rPr>
                <w:b/>
                <w:bCs/>
                <w:noProof/>
                <w:color w:val="000000"/>
                <w:sz w:val="16"/>
                <w:szCs w:val="16"/>
                <w:lang w:eastAsia="en-IE"/>
              </w:rPr>
            </w:pPr>
            <w:r>
              <w:rPr>
                <w:b/>
                <w:bCs/>
                <w:noProof/>
                <w:color w:val="000000"/>
                <w:sz w:val="16"/>
                <w:szCs w:val="16"/>
                <w:lang w:eastAsia="en-IE"/>
              </w:rPr>
              <w:t>2,625</w:t>
            </w:r>
          </w:p>
        </w:tc>
        <w:tc>
          <w:tcPr>
            <w:tcW w:w="593" w:type="pct"/>
            <w:tcBorders>
              <w:top w:val="nil"/>
              <w:left w:val="single" w:sz="4" w:space="0" w:color="auto"/>
              <w:bottom w:val="single" w:sz="8" w:space="0" w:color="auto"/>
              <w:right w:val="single" w:sz="8" w:space="0" w:color="auto"/>
            </w:tcBorders>
            <w:shd w:val="clear" w:color="000000" w:fill="D9D9D9"/>
            <w:vAlign w:val="center"/>
            <w:hideMark/>
          </w:tcPr>
          <w:p w14:paraId="779F6869" w14:textId="2FFE31EC" w:rsidR="008E3FA9" w:rsidRPr="00922145" w:rsidRDefault="008E3FA9" w:rsidP="008E3FA9">
            <w:pPr>
              <w:spacing w:before="0" w:after="0"/>
              <w:jc w:val="right"/>
              <w:rPr>
                <w:b/>
                <w:bCs/>
                <w:noProof/>
                <w:color w:val="000000"/>
                <w:sz w:val="16"/>
                <w:szCs w:val="16"/>
                <w:lang w:eastAsia="en-IE"/>
              </w:rPr>
            </w:pPr>
            <w:r>
              <w:rPr>
                <w:b/>
                <w:bCs/>
                <w:noProof/>
                <w:color w:val="000000"/>
                <w:sz w:val="16"/>
                <w:szCs w:val="16"/>
                <w:lang w:eastAsia="en-IE"/>
              </w:rPr>
              <w:t>13,125</w:t>
            </w:r>
          </w:p>
        </w:tc>
      </w:tr>
      <w:tr w:rsidR="00EC37C5" w:rsidRPr="00922145" w14:paraId="084F6D6E" w14:textId="77777777">
        <w:trPr>
          <w:trHeight w:val="300"/>
        </w:trPr>
        <w:tc>
          <w:tcPr>
            <w:tcW w:w="5000" w:type="pct"/>
            <w:gridSpan w:val="9"/>
            <w:tcBorders>
              <w:top w:val="single" w:sz="8" w:space="0" w:color="auto"/>
              <w:left w:val="single" w:sz="8" w:space="0" w:color="auto"/>
              <w:bottom w:val="single" w:sz="8" w:space="0" w:color="auto"/>
              <w:right w:val="single" w:sz="4" w:space="0" w:color="auto"/>
            </w:tcBorders>
          </w:tcPr>
          <w:p w14:paraId="69BCBA99" w14:textId="77777777" w:rsidR="00EC37C5" w:rsidRPr="00922145" w:rsidRDefault="00EC37C5">
            <w:pPr>
              <w:spacing w:before="0" w:after="0"/>
              <w:jc w:val="center"/>
              <w:rPr>
                <w:noProof/>
                <w:color w:val="000000"/>
                <w:sz w:val="16"/>
                <w:szCs w:val="16"/>
                <w:lang w:eastAsia="en-IE"/>
              </w:rPr>
            </w:pPr>
          </w:p>
        </w:tc>
      </w:tr>
      <w:tr w:rsidR="008E3FA9" w:rsidRPr="00922145" w14:paraId="45BE50C6" w14:textId="77777777" w:rsidTr="00BA43C6">
        <w:trPr>
          <w:trHeight w:val="300"/>
        </w:trPr>
        <w:tc>
          <w:tcPr>
            <w:tcW w:w="989" w:type="pct"/>
            <w:tcBorders>
              <w:top w:val="nil"/>
              <w:left w:val="single" w:sz="8" w:space="0" w:color="auto"/>
              <w:bottom w:val="single" w:sz="8" w:space="0" w:color="auto"/>
              <w:right w:val="single" w:sz="8" w:space="0" w:color="auto"/>
            </w:tcBorders>
            <w:vAlign w:val="center"/>
            <w:hideMark/>
          </w:tcPr>
          <w:p w14:paraId="6A25D360" w14:textId="77777777" w:rsidR="008E3FA9" w:rsidRPr="00922145" w:rsidRDefault="008E3FA9" w:rsidP="008E3FA9">
            <w:pPr>
              <w:spacing w:before="0" w:after="0"/>
              <w:jc w:val="center"/>
              <w:rPr>
                <w:b/>
                <w:bCs/>
                <w:noProof/>
                <w:color w:val="000000"/>
                <w:sz w:val="16"/>
                <w:szCs w:val="16"/>
                <w:lang w:eastAsia="en-IE"/>
              </w:rPr>
            </w:pPr>
            <w:r w:rsidRPr="00922145">
              <w:rPr>
                <w:b/>
                <w:bCs/>
                <w:noProof/>
                <w:color w:val="000000"/>
                <w:sz w:val="16"/>
                <w:szCs w:val="16"/>
                <w:lang w:eastAsia="en-IE"/>
              </w:rPr>
              <w:t>TOTAL</w:t>
            </w:r>
          </w:p>
        </w:tc>
        <w:tc>
          <w:tcPr>
            <w:tcW w:w="332" w:type="pct"/>
            <w:tcBorders>
              <w:top w:val="nil"/>
              <w:left w:val="nil"/>
              <w:bottom w:val="single" w:sz="8" w:space="0" w:color="auto"/>
              <w:right w:val="single" w:sz="8" w:space="0" w:color="auto"/>
            </w:tcBorders>
            <w:shd w:val="clear" w:color="000000" w:fill="D9D9D9"/>
            <w:vAlign w:val="center"/>
            <w:hideMark/>
          </w:tcPr>
          <w:p w14:paraId="482AEF7A" w14:textId="1ED2B678" w:rsidR="008E3FA9" w:rsidRPr="00922145" w:rsidRDefault="008E3FA9" w:rsidP="008E3FA9">
            <w:pPr>
              <w:spacing w:before="0" w:after="0"/>
              <w:jc w:val="right"/>
              <w:rPr>
                <w:b/>
                <w:bCs/>
                <w:noProof/>
                <w:color w:val="000000"/>
                <w:sz w:val="16"/>
                <w:szCs w:val="16"/>
                <w:lang w:eastAsia="en-IE"/>
              </w:rPr>
            </w:pPr>
            <w:r>
              <w:rPr>
                <w:b/>
                <w:bCs/>
                <w:noProof/>
                <w:color w:val="000000"/>
                <w:sz w:val="16"/>
                <w:szCs w:val="16"/>
                <w:lang w:eastAsia="en-IE"/>
              </w:rPr>
              <w:t>3,693</w:t>
            </w:r>
          </w:p>
        </w:tc>
        <w:tc>
          <w:tcPr>
            <w:tcW w:w="514" w:type="pct"/>
            <w:tcBorders>
              <w:top w:val="nil"/>
              <w:left w:val="nil"/>
              <w:bottom w:val="single" w:sz="8" w:space="0" w:color="auto"/>
              <w:right w:val="single" w:sz="8" w:space="0" w:color="auto"/>
            </w:tcBorders>
            <w:shd w:val="clear" w:color="000000" w:fill="D9D9D9"/>
            <w:vAlign w:val="center"/>
            <w:hideMark/>
          </w:tcPr>
          <w:p w14:paraId="323200D9" w14:textId="161422A1" w:rsidR="008E3FA9" w:rsidRPr="00922145" w:rsidRDefault="008E3FA9" w:rsidP="008E3FA9">
            <w:pPr>
              <w:spacing w:before="0" w:after="0"/>
              <w:jc w:val="right"/>
              <w:rPr>
                <w:b/>
                <w:bCs/>
                <w:noProof/>
                <w:color w:val="000000"/>
                <w:sz w:val="16"/>
                <w:szCs w:val="16"/>
                <w:lang w:eastAsia="en-IE"/>
              </w:rPr>
            </w:pPr>
            <w:r>
              <w:rPr>
                <w:b/>
                <w:bCs/>
                <w:noProof/>
                <w:color w:val="000000"/>
                <w:sz w:val="16"/>
                <w:szCs w:val="16"/>
                <w:lang w:eastAsia="en-IE"/>
              </w:rPr>
              <w:t>3,693</w:t>
            </w:r>
          </w:p>
        </w:tc>
        <w:tc>
          <w:tcPr>
            <w:tcW w:w="514" w:type="pct"/>
            <w:tcBorders>
              <w:top w:val="nil"/>
              <w:left w:val="nil"/>
              <w:bottom w:val="single" w:sz="8" w:space="0" w:color="auto"/>
              <w:right w:val="single" w:sz="8" w:space="0" w:color="auto"/>
            </w:tcBorders>
            <w:shd w:val="clear" w:color="000000" w:fill="D9D9D9"/>
            <w:vAlign w:val="center"/>
            <w:hideMark/>
          </w:tcPr>
          <w:p w14:paraId="43576364" w14:textId="01AD38CF" w:rsidR="008E3FA9" w:rsidRPr="00922145" w:rsidRDefault="008E3FA9" w:rsidP="008E3FA9">
            <w:pPr>
              <w:spacing w:before="0" w:after="0"/>
              <w:jc w:val="right"/>
              <w:rPr>
                <w:b/>
                <w:bCs/>
                <w:noProof/>
                <w:color w:val="000000"/>
                <w:sz w:val="16"/>
                <w:szCs w:val="16"/>
                <w:lang w:eastAsia="en-IE"/>
              </w:rPr>
            </w:pPr>
            <w:r>
              <w:rPr>
                <w:b/>
                <w:bCs/>
                <w:noProof/>
                <w:color w:val="000000"/>
                <w:sz w:val="16"/>
                <w:szCs w:val="16"/>
                <w:lang w:eastAsia="en-IE"/>
              </w:rPr>
              <w:t>4,574</w:t>
            </w:r>
          </w:p>
        </w:tc>
        <w:tc>
          <w:tcPr>
            <w:tcW w:w="514" w:type="pct"/>
            <w:tcBorders>
              <w:top w:val="nil"/>
              <w:left w:val="nil"/>
              <w:bottom w:val="single" w:sz="8" w:space="0" w:color="auto"/>
              <w:right w:val="single" w:sz="8" w:space="0" w:color="auto"/>
            </w:tcBorders>
            <w:shd w:val="clear" w:color="000000" w:fill="D9D9D9"/>
            <w:vAlign w:val="center"/>
            <w:hideMark/>
          </w:tcPr>
          <w:p w14:paraId="0A8CD603" w14:textId="72F96B49" w:rsidR="008E3FA9" w:rsidRPr="00922145" w:rsidRDefault="008E3FA9" w:rsidP="008E3FA9">
            <w:pPr>
              <w:spacing w:before="0" w:after="0"/>
              <w:jc w:val="right"/>
              <w:rPr>
                <w:b/>
                <w:bCs/>
                <w:noProof/>
                <w:color w:val="000000"/>
                <w:sz w:val="16"/>
                <w:szCs w:val="16"/>
                <w:lang w:eastAsia="en-IE"/>
              </w:rPr>
            </w:pPr>
            <w:r>
              <w:rPr>
                <w:b/>
                <w:bCs/>
                <w:noProof/>
                <w:color w:val="000000"/>
                <w:sz w:val="16"/>
                <w:szCs w:val="16"/>
                <w:lang w:eastAsia="en-IE"/>
              </w:rPr>
              <w:t>5,277</w:t>
            </w:r>
          </w:p>
        </w:tc>
        <w:tc>
          <w:tcPr>
            <w:tcW w:w="514" w:type="pct"/>
            <w:tcBorders>
              <w:top w:val="nil"/>
              <w:left w:val="nil"/>
              <w:bottom w:val="single" w:sz="8" w:space="0" w:color="auto"/>
              <w:right w:val="single" w:sz="4" w:space="0" w:color="auto"/>
            </w:tcBorders>
            <w:shd w:val="clear" w:color="000000" w:fill="D9D9D9"/>
            <w:vAlign w:val="center"/>
          </w:tcPr>
          <w:p w14:paraId="57FAED08" w14:textId="3EBF046C" w:rsidR="008E3FA9" w:rsidRPr="00922145" w:rsidRDefault="008E3FA9" w:rsidP="008E3FA9">
            <w:pPr>
              <w:spacing w:before="0" w:after="0"/>
              <w:jc w:val="center"/>
              <w:rPr>
                <w:b/>
                <w:bCs/>
                <w:noProof/>
                <w:color w:val="000000"/>
                <w:sz w:val="16"/>
                <w:szCs w:val="16"/>
                <w:lang w:eastAsia="en-IE"/>
              </w:rPr>
            </w:pPr>
            <w:r>
              <w:rPr>
                <w:b/>
                <w:bCs/>
                <w:noProof/>
                <w:color w:val="000000"/>
                <w:sz w:val="16"/>
                <w:szCs w:val="16"/>
                <w:lang w:eastAsia="en-IE"/>
              </w:rPr>
              <w:t>5,980</w:t>
            </w:r>
          </w:p>
        </w:tc>
        <w:tc>
          <w:tcPr>
            <w:tcW w:w="515" w:type="pct"/>
            <w:tcBorders>
              <w:top w:val="nil"/>
              <w:left w:val="single" w:sz="4" w:space="0" w:color="auto"/>
              <w:bottom w:val="single" w:sz="8" w:space="0" w:color="auto"/>
              <w:right w:val="single" w:sz="4" w:space="0" w:color="auto"/>
            </w:tcBorders>
            <w:shd w:val="clear" w:color="000000" w:fill="D9D9D9"/>
            <w:vAlign w:val="center"/>
          </w:tcPr>
          <w:p w14:paraId="506431BC" w14:textId="073C91F8" w:rsidR="008E3FA9" w:rsidRPr="00922145" w:rsidRDefault="008E3FA9" w:rsidP="008E3FA9">
            <w:pPr>
              <w:spacing w:before="0" w:after="0"/>
              <w:jc w:val="center"/>
              <w:rPr>
                <w:b/>
                <w:bCs/>
                <w:noProof/>
                <w:color w:val="000000"/>
                <w:sz w:val="16"/>
                <w:szCs w:val="16"/>
                <w:lang w:eastAsia="en-IE"/>
              </w:rPr>
            </w:pPr>
            <w:r>
              <w:rPr>
                <w:b/>
                <w:bCs/>
                <w:noProof/>
                <w:color w:val="000000"/>
                <w:sz w:val="16"/>
                <w:szCs w:val="16"/>
                <w:lang w:eastAsia="en-IE"/>
              </w:rPr>
              <w:t>6,683</w:t>
            </w:r>
          </w:p>
        </w:tc>
        <w:tc>
          <w:tcPr>
            <w:tcW w:w="515" w:type="pct"/>
            <w:tcBorders>
              <w:top w:val="nil"/>
              <w:left w:val="single" w:sz="4" w:space="0" w:color="auto"/>
              <w:bottom w:val="single" w:sz="8" w:space="0" w:color="auto"/>
              <w:right w:val="single" w:sz="4" w:space="0" w:color="auto"/>
            </w:tcBorders>
            <w:shd w:val="clear" w:color="000000" w:fill="D9D9D9"/>
            <w:vAlign w:val="center"/>
          </w:tcPr>
          <w:p w14:paraId="2ED4CD5E" w14:textId="78FEE551" w:rsidR="008E3FA9" w:rsidRPr="00922145" w:rsidRDefault="008E3FA9" w:rsidP="008E3FA9">
            <w:pPr>
              <w:spacing w:before="0" w:after="0"/>
              <w:jc w:val="center"/>
              <w:rPr>
                <w:b/>
                <w:bCs/>
                <w:noProof/>
                <w:color w:val="000000"/>
                <w:sz w:val="16"/>
                <w:szCs w:val="16"/>
                <w:lang w:eastAsia="en-IE"/>
              </w:rPr>
            </w:pPr>
            <w:r>
              <w:rPr>
                <w:b/>
                <w:bCs/>
                <w:noProof/>
                <w:color w:val="000000"/>
                <w:sz w:val="16"/>
                <w:szCs w:val="16"/>
                <w:lang w:eastAsia="en-IE"/>
              </w:rPr>
              <w:t>7,475</w:t>
            </w:r>
          </w:p>
        </w:tc>
        <w:tc>
          <w:tcPr>
            <w:tcW w:w="593" w:type="pct"/>
            <w:tcBorders>
              <w:top w:val="nil"/>
              <w:left w:val="single" w:sz="4" w:space="0" w:color="auto"/>
              <w:bottom w:val="single" w:sz="8" w:space="0" w:color="auto"/>
              <w:right w:val="single" w:sz="8" w:space="0" w:color="auto"/>
            </w:tcBorders>
            <w:shd w:val="clear" w:color="000000" w:fill="D9D9D9"/>
            <w:vAlign w:val="center"/>
            <w:hideMark/>
          </w:tcPr>
          <w:p w14:paraId="34D76159" w14:textId="39D94895" w:rsidR="008E3FA9" w:rsidRPr="00922145" w:rsidRDefault="008E3FA9" w:rsidP="008E3FA9">
            <w:pPr>
              <w:spacing w:before="0" w:after="0"/>
              <w:jc w:val="right"/>
              <w:rPr>
                <w:b/>
                <w:bCs/>
                <w:noProof/>
                <w:color w:val="000000"/>
                <w:sz w:val="16"/>
                <w:szCs w:val="16"/>
                <w:lang w:eastAsia="en-IE"/>
              </w:rPr>
            </w:pPr>
            <w:r>
              <w:rPr>
                <w:b/>
                <w:bCs/>
                <w:noProof/>
                <w:color w:val="000000"/>
                <w:sz w:val="16"/>
                <w:szCs w:val="16"/>
                <w:lang w:eastAsia="en-IE"/>
              </w:rPr>
              <w:t>37,375</w:t>
            </w:r>
          </w:p>
        </w:tc>
      </w:tr>
    </w:tbl>
    <w:p w14:paraId="3A194AC5" w14:textId="35796105" w:rsidR="00EC37C5" w:rsidRDefault="00EC37C5" w:rsidP="00D10E09">
      <w:pPr>
        <w:pStyle w:val="ManualHeading3"/>
        <w:rPr>
          <w:noProof/>
        </w:rPr>
      </w:pPr>
      <w:bookmarkStart w:id="166" w:name="_Toc167220294"/>
      <w:bookmarkStart w:id="167" w:name="_Toc177549027"/>
      <w:r w:rsidRPr="0021790A">
        <w:rPr>
          <w:noProof/>
        </w:rPr>
        <w:t>3.2.</w:t>
      </w:r>
      <w:r>
        <w:rPr>
          <w:noProof/>
        </w:rPr>
        <w:t>4</w:t>
      </w:r>
      <w:r w:rsidRPr="0021790A">
        <w:rPr>
          <w:noProof/>
        </w:rPr>
        <w:t>.</w:t>
      </w:r>
      <w:r w:rsidRPr="0021790A">
        <w:rPr>
          <w:noProof/>
        </w:rPr>
        <w:tab/>
      </w:r>
      <w:r w:rsidRPr="00A238FB">
        <w:rPr>
          <w:noProof/>
        </w:rPr>
        <w:t>Estimated requirements of human resources</w:t>
      </w:r>
      <w:bookmarkEnd w:id="166"/>
      <w:bookmarkEnd w:id="167"/>
      <w:r>
        <w:rPr>
          <w:noProof/>
        </w:rPr>
        <w:t xml:space="preserve"> </w:t>
      </w:r>
      <w:r w:rsidRPr="65D38860">
        <w:rPr>
          <w:noProof/>
        </w:rPr>
        <w:t>(additional)</w:t>
      </w:r>
    </w:p>
    <w:p w14:paraId="77564932" w14:textId="77777777" w:rsidR="00EC37C5" w:rsidRDefault="00EC37C5" w:rsidP="00EC37C5">
      <w:pPr>
        <w:pStyle w:val="ListDash1"/>
        <w:rPr>
          <w:noProof/>
        </w:rPr>
      </w:pPr>
      <w:r>
        <w:rPr>
          <w:rFonts w:ascii="Wingdings" w:eastAsia="Wingdings" w:hAnsi="Wingdings" w:cs="Wingdings"/>
          <w:noProof/>
        </w:rPr>
        <w:t></w:t>
      </w:r>
      <w:r>
        <w:rPr>
          <w:noProof/>
        </w:rPr>
        <w:tab/>
        <w:t xml:space="preserve">The proposal/initiative does not require the use of human resources </w:t>
      </w:r>
    </w:p>
    <w:p w14:paraId="4442F701" w14:textId="77777777" w:rsidR="00EC37C5" w:rsidRDefault="00EC37C5" w:rsidP="00EC37C5">
      <w:pPr>
        <w:pStyle w:val="ListDash1"/>
        <w:rPr>
          <w:noProof/>
        </w:rPr>
      </w:pPr>
      <w:r w:rsidRPr="00922145">
        <w:rPr>
          <w:rFonts w:ascii="Wingdings" w:eastAsia="Wingdings" w:hAnsi="Wingdings" w:cs="Wingdings"/>
          <w:noProof/>
        </w:rPr>
        <w:t></w:t>
      </w:r>
      <w:r>
        <w:rPr>
          <w:noProof/>
        </w:rPr>
        <w:tab/>
        <w:t>The proposal/initiative requires the use of human resources, as explained below</w:t>
      </w:r>
    </w:p>
    <w:p w14:paraId="580AB44F" w14:textId="77777777" w:rsidR="00EC37C5" w:rsidRDefault="00EC37C5" w:rsidP="00EC37C5">
      <w:pPr>
        <w:pStyle w:val="ManualHeading3"/>
        <w:rPr>
          <w:noProof/>
        </w:rPr>
      </w:pPr>
      <w:bookmarkStart w:id="168" w:name="_Toc167220295"/>
      <w:bookmarkStart w:id="169" w:name="_Toc177549028"/>
      <w:r w:rsidRPr="003268F2">
        <w:rPr>
          <w:noProof/>
        </w:rPr>
        <w:t>3.2.</w:t>
      </w:r>
      <w:r>
        <w:rPr>
          <w:noProof/>
        </w:rPr>
        <w:t>4</w:t>
      </w:r>
      <w:r w:rsidRPr="003268F2">
        <w:rPr>
          <w:noProof/>
        </w:rPr>
        <w:t>.1</w:t>
      </w:r>
      <w:r>
        <w:rPr>
          <w:noProof/>
        </w:rPr>
        <w:t>.</w:t>
      </w:r>
      <w:r>
        <w:rPr>
          <w:noProof/>
        </w:rPr>
        <w:tab/>
        <w:t>Financed from voted budget</w:t>
      </w:r>
      <w:bookmarkEnd w:id="168"/>
      <w:bookmarkEnd w:id="169"/>
    </w:p>
    <w:p w14:paraId="2DB41776" w14:textId="77777777" w:rsidR="00EC37C5" w:rsidRPr="00922145" w:rsidRDefault="00EC37C5" w:rsidP="00EC37C5">
      <w:pPr>
        <w:spacing w:after="60"/>
        <w:jc w:val="right"/>
        <w:rPr>
          <w:i/>
          <w:noProof/>
          <w:sz w:val="20"/>
        </w:rPr>
      </w:pPr>
      <w:r w:rsidRPr="00922145">
        <w:rPr>
          <w:i/>
          <w:noProof/>
          <w:sz w:val="20"/>
          <w:szCs w:val="20"/>
        </w:rPr>
        <w:t>Estimate to be expressed in full-time equivalent units (FTEs)</w:t>
      </w:r>
      <w:r w:rsidRPr="00922145">
        <w:rPr>
          <w:rStyle w:val="FootnoteReference"/>
          <w:i/>
          <w:noProof/>
          <w:sz w:val="20"/>
          <w:szCs w:val="20"/>
        </w:rPr>
        <w:footnoteReference w:id="105"/>
      </w:r>
    </w:p>
    <w:p w14:paraId="70F4DEC2" w14:textId="77777777" w:rsidR="00EC37C5" w:rsidRPr="00922145" w:rsidRDefault="00EC37C5" w:rsidP="00EC37C5">
      <w:pPr>
        <w:pStyle w:val="Text1"/>
        <w:spacing w:before="60" w:after="60"/>
        <w:ind w:left="-426" w:right="-427"/>
        <w:rPr>
          <w:b/>
          <w:noProof/>
          <w:sz w:val="18"/>
          <w:szCs w:val="18"/>
        </w:rPr>
      </w:pPr>
    </w:p>
    <w:tbl>
      <w:tblPr>
        <w:tblW w:w="5000" w:type="pct"/>
        <w:tblLook w:val="04A0" w:firstRow="1" w:lastRow="0" w:firstColumn="1" w:lastColumn="0" w:noHBand="0" w:noVBand="1"/>
      </w:tblPr>
      <w:tblGrid>
        <w:gridCol w:w="1395"/>
        <w:gridCol w:w="1150"/>
        <w:gridCol w:w="964"/>
        <w:gridCol w:w="964"/>
        <w:gridCol w:w="964"/>
        <w:gridCol w:w="964"/>
        <w:gridCol w:w="964"/>
        <w:gridCol w:w="964"/>
        <w:gridCol w:w="958"/>
      </w:tblGrid>
      <w:tr w:rsidR="00EC37C5" w:rsidRPr="00922145" w14:paraId="5A225509" w14:textId="77777777">
        <w:trPr>
          <w:trHeight w:val="290"/>
        </w:trPr>
        <w:tc>
          <w:tcPr>
            <w:tcW w:w="1370" w:type="pct"/>
            <w:gridSpan w:val="2"/>
            <w:vMerge w:val="restart"/>
            <w:tcBorders>
              <w:top w:val="single" w:sz="8" w:space="0" w:color="auto"/>
              <w:left w:val="single" w:sz="8" w:space="0" w:color="auto"/>
              <w:bottom w:val="single" w:sz="8" w:space="0" w:color="000000"/>
              <w:right w:val="single" w:sz="8" w:space="0" w:color="000000"/>
            </w:tcBorders>
            <w:vAlign w:val="center"/>
            <w:hideMark/>
          </w:tcPr>
          <w:p w14:paraId="7D12B0F5" w14:textId="77777777" w:rsidR="00EC37C5" w:rsidRPr="00922145" w:rsidRDefault="00EC37C5">
            <w:pPr>
              <w:spacing w:before="0" w:after="0"/>
              <w:jc w:val="center"/>
              <w:rPr>
                <w:rFonts w:eastAsia="Times New Roman"/>
                <w:b/>
                <w:bCs/>
                <w:noProof/>
                <w:color w:val="000000"/>
                <w:sz w:val="18"/>
                <w:szCs w:val="18"/>
                <w:lang w:eastAsia="en-IE"/>
              </w:rPr>
            </w:pPr>
            <w:r w:rsidRPr="00922145">
              <w:rPr>
                <w:rFonts w:eastAsia="Times New Roman"/>
                <w:b/>
                <w:bCs/>
                <w:noProof/>
                <w:color w:val="000000"/>
                <w:sz w:val="18"/>
                <w:szCs w:val="18"/>
                <w:lang w:eastAsia="en-IE"/>
              </w:rPr>
              <w:t>VOTED APPROPRIATIONS</w:t>
            </w:r>
          </w:p>
        </w:tc>
        <w:tc>
          <w:tcPr>
            <w:tcW w:w="519" w:type="pct"/>
            <w:tcBorders>
              <w:top w:val="single" w:sz="8" w:space="0" w:color="auto"/>
              <w:left w:val="nil"/>
              <w:bottom w:val="nil"/>
              <w:right w:val="single" w:sz="8" w:space="0" w:color="auto"/>
            </w:tcBorders>
            <w:vAlign w:val="center"/>
            <w:hideMark/>
          </w:tcPr>
          <w:p w14:paraId="511BAA34" w14:textId="77777777" w:rsidR="00EC37C5" w:rsidRPr="00922145" w:rsidRDefault="00EC37C5">
            <w:pPr>
              <w:spacing w:before="0" w:after="0"/>
              <w:jc w:val="center"/>
              <w:rPr>
                <w:rFonts w:eastAsia="Times New Roman"/>
                <w:noProof/>
                <w:color w:val="000000"/>
                <w:sz w:val="20"/>
                <w:szCs w:val="20"/>
                <w:lang w:eastAsia="en-IE"/>
              </w:rPr>
            </w:pPr>
            <w:r w:rsidRPr="00922145">
              <w:rPr>
                <w:rFonts w:eastAsia="Times New Roman"/>
                <w:noProof/>
                <w:color w:val="000000"/>
                <w:sz w:val="20"/>
                <w:szCs w:val="20"/>
                <w:lang w:eastAsia="en-IE"/>
              </w:rPr>
              <w:t>Year</w:t>
            </w:r>
          </w:p>
        </w:tc>
        <w:tc>
          <w:tcPr>
            <w:tcW w:w="519" w:type="pct"/>
            <w:tcBorders>
              <w:top w:val="single" w:sz="8" w:space="0" w:color="auto"/>
              <w:left w:val="nil"/>
              <w:bottom w:val="nil"/>
              <w:right w:val="single" w:sz="8" w:space="0" w:color="auto"/>
            </w:tcBorders>
            <w:vAlign w:val="center"/>
            <w:hideMark/>
          </w:tcPr>
          <w:p w14:paraId="2D5D68D4" w14:textId="77777777" w:rsidR="00EC37C5" w:rsidRPr="00922145" w:rsidRDefault="00EC37C5">
            <w:pPr>
              <w:spacing w:before="0" w:after="0"/>
              <w:jc w:val="center"/>
              <w:rPr>
                <w:rFonts w:eastAsia="Times New Roman"/>
                <w:noProof/>
                <w:color w:val="000000"/>
                <w:sz w:val="20"/>
                <w:szCs w:val="20"/>
                <w:lang w:eastAsia="en-IE"/>
              </w:rPr>
            </w:pPr>
            <w:r w:rsidRPr="00922145">
              <w:rPr>
                <w:rFonts w:eastAsia="Times New Roman"/>
                <w:noProof/>
                <w:color w:val="000000"/>
                <w:sz w:val="20"/>
                <w:szCs w:val="20"/>
                <w:lang w:eastAsia="en-IE"/>
              </w:rPr>
              <w:t>Year</w:t>
            </w:r>
          </w:p>
        </w:tc>
        <w:tc>
          <w:tcPr>
            <w:tcW w:w="519" w:type="pct"/>
            <w:tcBorders>
              <w:top w:val="single" w:sz="8" w:space="0" w:color="auto"/>
              <w:left w:val="nil"/>
              <w:bottom w:val="nil"/>
              <w:right w:val="single" w:sz="8" w:space="0" w:color="auto"/>
            </w:tcBorders>
            <w:vAlign w:val="center"/>
            <w:hideMark/>
          </w:tcPr>
          <w:p w14:paraId="738B61FB" w14:textId="77777777" w:rsidR="00EC37C5" w:rsidRPr="00922145" w:rsidRDefault="00EC37C5">
            <w:pPr>
              <w:spacing w:before="0" w:after="0"/>
              <w:jc w:val="center"/>
              <w:rPr>
                <w:rFonts w:eastAsia="Times New Roman"/>
                <w:noProof/>
                <w:color w:val="000000"/>
                <w:sz w:val="20"/>
                <w:szCs w:val="20"/>
                <w:lang w:eastAsia="en-IE"/>
              </w:rPr>
            </w:pPr>
            <w:r w:rsidRPr="00922145">
              <w:rPr>
                <w:rFonts w:eastAsia="Times New Roman"/>
                <w:noProof/>
                <w:color w:val="000000"/>
                <w:sz w:val="20"/>
                <w:szCs w:val="20"/>
                <w:lang w:eastAsia="en-IE"/>
              </w:rPr>
              <w:t>Year</w:t>
            </w:r>
          </w:p>
        </w:tc>
        <w:tc>
          <w:tcPr>
            <w:tcW w:w="519" w:type="pct"/>
            <w:tcBorders>
              <w:top w:val="single" w:sz="8" w:space="0" w:color="auto"/>
              <w:left w:val="nil"/>
              <w:bottom w:val="nil"/>
              <w:right w:val="single" w:sz="8" w:space="0" w:color="auto"/>
            </w:tcBorders>
            <w:vAlign w:val="center"/>
            <w:hideMark/>
          </w:tcPr>
          <w:p w14:paraId="453AD9A3" w14:textId="77777777" w:rsidR="00EC37C5" w:rsidRPr="00922145" w:rsidRDefault="00EC37C5">
            <w:pPr>
              <w:spacing w:before="0" w:after="0"/>
              <w:jc w:val="center"/>
              <w:rPr>
                <w:rFonts w:eastAsia="Times New Roman"/>
                <w:noProof/>
                <w:color w:val="000000"/>
                <w:sz w:val="20"/>
                <w:szCs w:val="20"/>
                <w:lang w:eastAsia="en-IE"/>
              </w:rPr>
            </w:pPr>
            <w:r w:rsidRPr="00922145">
              <w:rPr>
                <w:rFonts w:eastAsia="Times New Roman"/>
                <w:noProof/>
                <w:color w:val="000000"/>
                <w:sz w:val="20"/>
                <w:szCs w:val="20"/>
                <w:lang w:eastAsia="en-IE"/>
              </w:rPr>
              <w:t>Year</w:t>
            </w:r>
          </w:p>
        </w:tc>
        <w:tc>
          <w:tcPr>
            <w:tcW w:w="519" w:type="pct"/>
            <w:tcBorders>
              <w:top w:val="single" w:sz="8" w:space="0" w:color="auto"/>
              <w:left w:val="nil"/>
              <w:bottom w:val="nil"/>
              <w:right w:val="single" w:sz="8" w:space="0" w:color="auto"/>
            </w:tcBorders>
            <w:vAlign w:val="center"/>
            <w:hideMark/>
          </w:tcPr>
          <w:p w14:paraId="7DBC1B00" w14:textId="77777777" w:rsidR="00EC37C5" w:rsidRPr="00922145" w:rsidRDefault="00EC37C5">
            <w:pPr>
              <w:spacing w:before="0" w:after="0"/>
              <w:jc w:val="center"/>
              <w:rPr>
                <w:rFonts w:eastAsia="Times New Roman"/>
                <w:noProof/>
                <w:color w:val="000000"/>
                <w:sz w:val="20"/>
                <w:szCs w:val="20"/>
                <w:lang w:eastAsia="en-IE"/>
              </w:rPr>
            </w:pPr>
            <w:r w:rsidRPr="00922145">
              <w:rPr>
                <w:rFonts w:eastAsia="Times New Roman"/>
                <w:noProof/>
                <w:color w:val="000000"/>
                <w:sz w:val="20"/>
                <w:szCs w:val="20"/>
                <w:lang w:eastAsia="en-IE"/>
              </w:rPr>
              <w:t>Year</w:t>
            </w:r>
          </w:p>
        </w:tc>
        <w:tc>
          <w:tcPr>
            <w:tcW w:w="519" w:type="pct"/>
            <w:tcBorders>
              <w:top w:val="single" w:sz="8" w:space="0" w:color="auto"/>
              <w:left w:val="nil"/>
              <w:bottom w:val="nil"/>
              <w:right w:val="single" w:sz="8" w:space="0" w:color="auto"/>
            </w:tcBorders>
            <w:vAlign w:val="center"/>
            <w:hideMark/>
          </w:tcPr>
          <w:p w14:paraId="3464D892" w14:textId="77777777" w:rsidR="00EC37C5" w:rsidRPr="00922145" w:rsidRDefault="00EC37C5">
            <w:pPr>
              <w:spacing w:before="0" w:after="0"/>
              <w:jc w:val="center"/>
              <w:rPr>
                <w:rFonts w:eastAsia="Times New Roman"/>
                <w:noProof/>
                <w:color w:val="000000"/>
                <w:sz w:val="20"/>
                <w:szCs w:val="20"/>
                <w:lang w:eastAsia="en-IE"/>
              </w:rPr>
            </w:pPr>
            <w:r w:rsidRPr="00922145">
              <w:rPr>
                <w:rFonts w:eastAsia="Times New Roman"/>
                <w:noProof/>
                <w:color w:val="000000"/>
                <w:sz w:val="20"/>
                <w:szCs w:val="20"/>
                <w:lang w:eastAsia="en-IE"/>
              </w:rPr>
              <w:t>Year</w:t>
            </w:r>
          </w:p>
        </w:tc>
        <w:tc>
          <w:tcPr>
            <w:tcW w:w="516" w:type="pct"/>
            <w:tcBorders>
              <w:top w:val="single" w:sz="8" w:space="0" w:color="auto"/>
              <w:left w:val="nil"/>
              <w:bottom w:val="nil"/>
              <w:right w:val="single" w:sz="8" w:space="0" w:color="auto"/>
            </w:tcBorders>
            <w:vAlign w:val="center"/>
            <w:hideMark/>
          </w:tcPr>
          <w:p w14:paraId="1BD51F66" w14:textId="77777777" w:rsidR="00EC37C5" w:rsidRPr="00922145" w:rsidRDefault="00EC37C5">
            <w:pPr>
              <w:spacing w:before="0" w:after="0"/>
              <w:jc w:val="center"/>
              <w:rPr>
                <w:rFonts w:eastAsia="Times New Roman"/>
                <w:noProof/>
                <w:color w:val="000000"/>
                <w:sz w:val="20"/>
                <w:szCs w:val="20"/>
                <w:lang w:eastAsia="en-IE"/>
              </w:rPr>
            </w:pPr>
            <w:r w:rsidRPr="00922145">
              <w:rPr>
                <w:rFonts w:eastAsia="Times New Roman"/>
                <w:noProof/>
                <w:color w:val="000000"/>
                <w:sz w:val="20"/>
                <w:szCs w:val="20"/>
                <w:lang w:eastAsia="en-IE"/>
              </w:rPr>
              <w:t>Year</w:t>
            </w:r>
          </w:p>
        </w:tc>
      </w:tr>
      <w:tr w:rsidR="00EC37C5" w:rsidRPr="00922145" w14:paraId="62D25687" w14:textId="77777777">
        <w:trPr>
          <w:trHeight w:val="300"/>
        </w:trPr>
        <w:tc>
          <w:tcPr>
            <w:tcW w:w="1370" w:type="pct"/>
            <w:gridSpan w:val="2"/>
            <w:vMerge/>
            <w:tcBorders>
              <w:top w:val="single" w:sz="8" w:space="0" w:color="auto"/>
              <w:left w:val="single" w:sz="8" w:space="0" w:color="auto"/>
              <w:bottom w:val="single" w:sz="8" w:space="0" w:color="000000"/>
              <w:right w:val="single" w:sz="8" w:space="0" w:color="000000"/>
            </w:tcBorders>
            <w:vAlign w:val="center"/>
            <w:hideMark/>
          </w:tcPr>
          <w:p w14:paraId="722510F5" w14:textId="77777777" w:rsidR="00EC37C5" w:rsidRPr="00922145" w:rsidRDefault="00EC37C5">
            <w:pPr>
              <w:spacing w:before="0" w:after="0"/>
              <w:jc w:val="left"/>
              <w:rPr>
                <w:rFonts w:eastAsia="Times New Roman"/>
                <w:b/>
                <w:bCs/>
                <w:noProof/>
                <w:color w:val="000000"/>
                <w:sz w:val="18"/>
                <w:szCs w:val="18"/>
                <w:lang w:eastAsia="en-IE"/>
              </w:rPr>
            </w:pPr>
          </w:p>
        </w:tc>
        <w:tc>
          <w:tcPr>
            <w:tcW w:w="519" w:type="pct"/>
            <w:tcBorders>
              <w:top w:val="nil"/>
              <w:left w:val="nil"/>
              <w:bottom w:val="single" w:sz="8" w:space="0" w:color="auto"/>
              <w:right w:val="single" w:sz="8" w:space="0" w:color="auto"/>
            </w:tcBorders>
            <w:vAlign w:val="center"/>
            <w:hideMark/>
          </w:tcPr>
          <w:p w14:paraId="13088D47" w14:textId="77777777" w:rsidR="00EC37C5" w:rsidRPr="00922145" w:rsidRDefault="00EC37C5">
            <w:pPr>
              <w:spacing w:before="0" w:after="0"/>
              <w:jc w:val="center"/>
              <w:rPr>
                <w:rFonts w:eastAsia="Times New Roman"/>
                <w:b/>
                <w:bCs/>
                <w:noProof/>
                <w:color w:val="000000"/>
                <w:sz w:val="20"/>
                <w:szCs w:val="20"/>
                <w:lang w:eastAsia="en-IE"/>
              </w:rPr>
            </w:pPr>
            <w:r w:rsidRPr="00922145">
              <w:rPr>
                <w:rFonts w:eastAsia="Times New Roman"/>
                <w:b/>
                <w:bCs/>
                <w:noProof/>
                <w:color w:val="000000"/>
                <w:sz w:val="20"/>
                <w:szCs w:val="20"/>
                <w:lang w:eastAsia="en-IE"/>
              </w:rPr>
              <w:t>2028</w:t>
            </w:r>
          </w:p>
        </w:tc>
        <w:tc>
          <w:tcPr>
            <w:tcW w:w="519" w:type="pct"/>
            <w:tcBorders>
              <w:top w:val="nil"/>
              <w:left w:val="nil"/>
              <w:bottom w:val="single" w:sz="8" w:space="0" w:color="auto"/>
              <w:right w:val="single" w:sz="8" w:space="0" w:color="auto"/>
            </w:tcBorders>
            <w:vAlign w:val="center"/>
            <w:hideMark/>
          </w:tcPr>
          <w:p w14:paraId="4A20A373" w14:textId="77777777" w:rsidR="00EC37C5" w:rsidRPr="00922145" w:rsidRDefault="00EC37C5">
            <w:pPr>
              <w:spacing w:before="0" w:after="0"/>
              <w:jc w:val="center"/>
              <w:rPr>
                <w:rFonts w:eastAsia="Times New Roman"/>
                <w:b/>
                <w:bCs/>
                <w:noProof/>
                <w:color w:val="000000"/>
                <w:sz w:val="20"/>
                <w:szCs w:val="20"/>
                <w:lang w:eastAsia="en-IE"/>
              </w:rPr>
            </w:pPr>
            <w:r w:rsidRPr="00922145">
              <w:rPr>
                <w:rFonts w:eastAsia="Times New Roman"/>
                <w:b/>
                <w:bCs/>
                <w:noProof/>
                <w:color w:val="000000"/>
                <w:sz w:val="20"/>
                <w:szCs w:val="20"/>
                <w:lang w:eastAsia="en-IE"/>
              </w:rPr>
              <w:t>2029</w:t>
            </w:r>
          </w:p>
        </w:tc>
        <w:tc>
          <w:tcPr>
            <w:tcW w:w="519" w:type="pct"/>
            <w:tcBorders>
              <w:top w:val="nil"/>
              <w:left w:val="nil"/>
              <w:bottom w:val="single" w:sz="8" w:space="0" w:color="auto"/>
              <w:right w:val="single" w:sz="8" w:space="0" w:color="auto"/>
            </w:tcBorders>
            <w:vAlign w:val="center"/>
            <w:hideMark/>
          </w:tcPr>
          <w:p w14:paraId="612B57A1" w14:textId="77777777" w:rsidR="00EC37C5" w:rsidRPr="00922145" w:rsidRDefault="00EC37C5">
            <w:pPr>
              <w:spacing w:before="0" w:after="0"/>
              <w:jc w:val="center"/>
              <w:rPr>
                <w:rFonts w:eastAsia="Times New Roman"/>
                <w:b/>
                <w:bCs/>
                <w:noProof/>
                <w:color w:val="000000"/>
                <w:sz w:val="20"/>
                <w:szCs w:val="20"/>
                <w:lang w:eastAsia="en-IE"/>
              </w:rPr>
            </w:pPr>
            <w:r w:rsidRPr="00922145">
              <w:rPr>
                <w:rFonts w:eastAsia="Times New Roman"/>
                <w:b/>
                <w:bCs/>
                <w:noProof/>
                <w:color w:val="000000"/>
                <w:sz w:val="20"/>
                <w:szCs w:val="20"/>
                <w:lang w:eastAsia="en-IE"/>
              </w:rPr>
              <w:t>2030</w:t>
            </w:r>
          </w:p>
        </w:tc>
        <w:tc>
          <w:tcPr>
            <w:tcW w:w="519" w:type="pct"/>
            <w:tcBorders>
              <w:top w:val="nil"/>
              <w:left w:val="nil"/>
              <w:bottom w:val="single" w:sz="8" w:space="0" w:color="auto"/>
              <w:right w:val="single" w:sz="8" w:space="0" w:color="auto"/>
            </w:tcBorders>
            <w:vAlign w:val="center"/>
            <w:hideMark/>
          </w:tcPr>
          <w:p w14:paraId="56CDA80F" w14:textId="77777777" w:rsidR="00EC37C5" w:rsidRPr="00922145" w:rsidRDefault="00EC37C5">
            <w:pPr>
              <w:spacing w:before="0" w:after="0"/>
              <w:jc w:val="center"/>
              <w:rPr>
                <w:rFonts w:eastAsia="Times New Roman"/>
                <w:b/>
                <w:bCs/>
                <w:noProof/>
                <w:color w:val="000000"/>
                <w:sz w:val="20"/>
                <w:szCs w:val="20"/>
                <w:lang w:eastAsia="en-IE"/>
              </w:rPr>
            </w:pPr>
            <w:r w:rsidRPr="00922145">
              <w:rPr>
                <w:rFonts w:eastAsia="Times New Roman"/>
                <w:b/>
                <w:bCs/>
                <w:noProof/>
                <w:color w:val="000000"/>
                <w:sz w:val="20"/>
                <w:szCs w:val="20"/>
                <w:lang w:eastAsia="en-IE"/>
              </w:rPr>
              <w:t>2031</w:t>
            </w:r>
          </w:p>
        </w:tc>
        <w:tc>
          <w:tcPr>
            <w:tcW w:w="519" w:type="pct"/>
            <w:tcBorders>
              <w:top w:val="nil"/>
              <w:left w:val="nil"/>
              <w:bottom w:val="single" w:sz="8" w:space="0" w:color="auto"/>
              <w:right w:val="single" w:sz="8" w:space="0" w:color="auto"/>
            </w:tcBorders>
            <w:vAlign w:val="center"/>
            <w:hideMark/>
          </w:tcPr>
          <w:p w14:paraId="2AB528DC" w14:textId="77777777" w:rsidR="00EC37C5" w:rsidRPr="00922145" w:rsidRDefault="00EC37C5">
            <w:pPr>
              <w:spacing w:before="0" w:after="0"/>
              <w:jc w:val="center"/>
              <w:rPr>
                <w:rFonts w:eastAsia="Times New Roman"/>
                <w:b/>
                <w:bCs/>
                <w:noProof/>
                <w:color w:val="000000"/>
                <w:sz w:val="20"/>
                <w:szCs w:val="20"/>
                <w:lang w:eastAsia="en-IE"/>
              </w:rPr>
            </w:pPr>
            <w:r w:rsidRPr="00922145">
              <w:rPr>
                <w:rFonts w:eastAsia="Times New Roman"/>
                <w:b/>
                <w:bCs/>
                <w:noProof/>
                <w:color w:val="000000"/>
                <w:sz w:val="20"/>
                <w:szCs w:val="20"/>
                <w:lang w:eastAsia="en-IE"/>
              </w:rPr>
              <w:t>2032</w:t>
            </w:r>
          </w:p>
        </w:tc>
        <w:tc>
          <w:tcPr>
            <w:tcW w:w="519" w:type="pct"/>
            <w:tcBorders>
              <w:top w:val="nil"/>
              <w:left w:val="nil"/>
              <w:bottom w:val="single" w:sz="8" w:space="0" w:color="auto"/>
              <w:right w:val="single" w:sz="8" w:space="0" w:color="auto"/>
            </w:tcBorders>
            <w:vAlign w:val="center"/>
            <w:hideMark/>
          </w:tcPr>
          <w:p w14:paraId="02ED387F" w14:textId="77777777" w:rsidR="00EC37C5" w:rsidRPr="00922145" w:rsidRDefault="00EC37C5">
            <w:pPr>
              <w:spacing w:before="0" w:after="0"/>
              <w:jc w:val="center"/>
              <w:rPr>
                <w:rFonts w:eastAsia="Times New Roman"/>
                <w:b/>
                <w:bCs/>
                <w:noProof/>
                <w:color w:val="000000"/>
                <w:sz w:val="20"/>
                <w:szCs w:val="20"/>
                <w:lang w:eastAsia="en-IE"/>
              </w:rPr>
            </w:pPr>
            <w:r w:rsidRPr="00922145">
              <w:rPr>
                <w:rFonts w:eastAsia="Times New Roman"/>
                <w:b/>
                <w:bCs/>
                <w:noProof/>
                <w:color w:val="000000"/>
                <w:sz w:val="20"/>
                <w:szCs w:val="20"/>
                <w:lang w:eastAsia="en-IE"/>
              </w:rPr>
              <w:t>2033</w:t>
            </w:r>
          </w:p>
        </w:tc>
        <w:tc>
          <w:tcPr>
            <w:tcW w:w="516" w:type="pct"/>
            <w:tcBorders>
              <w:top w:val="nil"/>
              <w:left w:val="nil"/>
              <w:bottom w:val="single" w:sz="8" w:space="0" w:color="auto"/>
              <w:right w:val="single" w:sz="8" w:space="0" w:color="auto"/>
            </w:tcBorders>
            <w:vAlign w:val="center"/>
            <w:hideMark/>
          </w:tcPr>
          <w:p w14:paraId="619D18EE" w14:textId="77777777" w:rsidR="00EC37C5" w:rsidRPr="00922145" w:rsidRDefault="00EC37C5">
            <w:pPr>
              <w:spacing w:before="0" w:after="0"/>
              <w:jc w:val="center"/>
              <w:rPr>
                <w:rFonts w:eastAsia="Times New Roman"/>
                <w:b/>
                <w:bCs/>
                <w:noProof/>
                <w:color w:val="000000"/>
                <w:sz w:val="20"/>
                <w:szCs w:val="20"/>
                <w:lang w:eastAsia="en-IE"/>
              </w:rPr>
            </w:pPr>
            <w:r w:rsidRPr="00922145">
              <w:rPr>
                <w:rFonts w:eastAsia="Times New Roman"/>
                <w:b/>
                <w:bCs/>
                <w:noProof/>
                <w:color w:val="000000"/>
                <w:sz w:val="20"/>
                <w:szCs w:val="20"/>
                <w:lang w:eastAsia="en-IE"/>
              </w:rPr>
              <w:t>2034</w:t>
            </w:r>
          </w:p>
        </w:tc>
      </w:tr>
      <w:tr w:rsidR="00EC37C5" w:rsidRPr="00922145" w14:paraId="6994FC5C" w14:textId="77777777">
        <w:trPr>
          <w:trHeight w:val="300"/>
        </w:trPr>
        <w:tc>
          <w:tcPr>
            <w:tcW w:w="5000" w:type="pct"/>
            <w:gridSpan w:val="9"/>
            <w:tcBorders>
              <w:top w:val="single" w:sz="8" w:space="0" w:color="auto"/>
              <w:left w:val="single" w:sz="8" w:space="0" w:color="auto"/>
              <w:bottom w:val="nil"/>
              <w:right w:val="nil"/>
            </w:tcBorders>
            <w:vAlign w:val="center"/>
            <w:hideMark/>
          </w:tcPr>
          <w:p w14:paraId="3A4E5162" w14:textId="77777777" w:rsidR="00EC37C5" w:rsidRPr="00922145" w:rsidRDefault="00EC37C5">
            <w:pPr>
              <w:spacing w:before="0" w:after="0"/>
              <w:jc w:val="center"/>
              <w:rPr>
                <w:rFonts w:ascii="Wingdings" w:eastAsia="Times New Roman" w:hAnsi="Wingdings"/>
                <w:b/>
                <w:bCs/>
                <w:noProof/>
                <w:color w:val="000000"/>
                <w:sz w:val="16"/>
                <w:szCs w:val="16"/>
                <w:lang w:eastAsia="en-IE"/>
              </w:rPr>
            </w:pPr>
            <w:r w:rsidRPr="00922145">
              <w:rPr>
                <w:rFonts w:ascii="Wingdings" w:eastAsia="Times New Roman" w:hAnsi="Wingdings"/>
                <w:b/>
                <w:bCs/>
                <w:noProof/>
                <w:color w:val="000000"/>
                <w:sz w:val="16"/>
                <w:szCs w:val="16"/>
                <w:lang w:eastAsia="en-IE"/>
              </w:rPr>
              <w:t></w:t>
            </w:r>
            <w:r w:rsidRPr="00922145">
              <w:rPr>
                <w:rFonts w:eastAsia="Times New Roman"/>
                <w:b/>
                <w:bCs/>
                <w:noProof/>
                <w:color w:val="000000"/>
                <w:sz w:val="16"/>
                <w:szCs w:val="16"/>
                <w:lang w:eastAsia="en-IE"/>
              </w:rPr>
              <w:t xml:space="preserve"> Establishment plan posts (officials and temporary staff)</w:t>
            </w:r>
          </w:p>
        </w:tc>
      </w:tr>
      <w:tr w:rsidR="00EC37C5" w:rsidRPr="00922145" w14:paraId="56E92BB0" w14:textId="77777777">
        <w:trPr>
          <w:trHeight w:val="55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13A23482" w14:textId="77777777" w:rsidR="00EC37C5" w:rsidRPr="00922145" w:rsidRDefault="00EC37C5">
            <w:pPr>
              <w:spacing w:before="0" w:after="0"/>
              <w:ind w:firstLineChars="100" w:firstLine="160"/>
              <w:jc w:val="left"/>
              <w:rPr>
                <w:rFonts w:eastAsia="Times New Roman"/>
                <w:noProof/>
                <w:color w:val="000000"/>
                <w:sz w:val="16"/>
                <w:szCs w:val="16"/>
                <w:lang w:eastAsia="en-IE"/>
              </w:rPr>
            </w:pPr>
            <w:r w:rsidRPr="00922145">
              <w:rPr>
                <w:rFonts w:eastAsia="Times New Roman"/>
                <w:noProof/>
                <w:color w:val="000000"/>
                <w:sz w:val="16"/>
                <w:szCs w:val="16"/>
                <w:lang w:eastAsia="en-IE"/>
              </w:rPr>
              <w:t>20 01 02 01</w:t>
            </w:r>
            <w:r w:rsidRPr="00922145">
              <w:rPr>
                <w:rFonts w:ascii="Arial Narrow" w:eastAsia="Times New Roman" w:hAnsi="Arial Narrow"/>
                <w:noProof/>
                <w:color w:val="000000"/>
                <w:sz w:val="20"/>
                <w:szCs w:val="20"/>
                <w:lang w:eastAsia="en-IE"/>
              </w:rPr>
              <w:t xml:space="preserve"> </w:t>
            </w:r>
            <w:r w:rsidRPr="00922145">
              <w:rPr>
                <w:rFonts w:eastAsia="Times New Roman"/>
                <w:noProof/>
                <w:color w:val="000000"/>
                <w:sz w:val="16"/>
                <w:szCs w:val="16"/>
                <w:lang w:eastAsia="en-IE"/>
              </w:rPr>
              <w:t>(Headquarters and Commission’s Representation Offices)</w:t>
            </w:r>
          </w:p>
        </w:tc>
        <w:tc>
          <w:tcPr>
            <w:tcW w:w="519" w:type="pct"/>
            <w:tcBorders>
              <w:top w:val="nil"/>
              <w:left w:val="nil"/>
              <w:bottom w:val="single" w:sz="8" w:space="0" w:color="auto"/>
              <w:right w:val="single" w:sz="8" w:space="0" w:color="auto"/>
            </w:tcBorders>
            <w:shd w:val="clear" w:color="000000" w:fill="D9D9D9"/>
            <w:vAlign w:val="center"/>
            <w:hideMark/>
          </w:tcPr>
          <w:p w14:paraId="50C525F5" w14:textId="1FFEC003" w:rsidR="00EC37C5" w:rsidRPr="00922145" w:rsidRDefault="00EC37C5">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1</w:t>
            </w:r>
            <w:r w:rsidR="00BA43C6">
              <w:rPr>
                <w:rFonts w:eastAsia="Times New Roman"/>
                <w:noProof/>
                <w:color w:val="000000"/>
                <w:sz w:val="16"/>
                <w:szCs w:val="16"/>
                <w:lang w:eastAsia="en-IE"/>
              </w:rPr>
              <w:t>2</w:t>
            </w:r>
          </w:p>
        </w:tc>
        <w:tc>
          <w:tcPr>
            <w:tcW w:w="519" w:type="pct"/>
            <w:tcBorders>
              <w:top w:val="nil"/>
              <w:left w:val="nil"/>
              <w:bottom w:val="single" w:sz="8" w:space="0" w:color="auto"/>
              <w:right w:val="single" w:sz="8" w:space="0" w:color="auto"/>
            </w:tcBorders>
            <w:shd w:val="clear" w:color="000000" w:fill="D9D9D9"/>
            <w:hideMark/>
          </w:tcPr>
          <w:p w14:paraId="364E13D4" w14:textId="58F85051" w:rsidR="00EC37C5" w:rsidRPr="00922145" w:rsidRDefault="00EC37C5">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1</w:t>
            </w:r>
            <w:r w:rsidR="00BA43C6">
              <w:rPr>
                <w:rFonts w:eastAsia="Times New Roman"/>
                <w:noProof/>
                <w:color w:val="000000"/>
                <w:sz w:val="16"/>
                <w:szCs w:val="16"/>
                <w:lang w:eastAsia="en-IE"/>
              </w:rPr>
              <w:t>2</w:t>
            </w:r>
          </w:p>
        </w:tc>
        <w:tc>
          <w:tcPr>
            <w:tcW w:w="519" w:type="pct"/>
            <w:tcBorders>
              <w:top w:val="nil"/>
              <w:left w:val="nil"/>
              <w:bottom w:val="single" w:sz="8" w:space="0" w:color="auto"/>
              <w:right w:val="single" w:sz="8" w:space="0" w:color="auto"/>
            </w:tcBorders>
            <w:shd w:val="clear" w:color="000000" w:fill="D9D9D9"/>
            <w:hideMark/>
          </w:tcPr>
          <w:p w14:paraId="6C5B6E1A" w14:textId="5E1CD5D6" w:rsidR="00EC37C5" w:rsidRPr="00922145" w:rsidRDefault="00BA43C6">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16</w:t>
            </w:r>
          </w:p>
        </w:tc>
        <w:tc>
          <w:tcPr>
            <w:tcW w:w="519" w:type="pct"/>
            <w:tcBorders>
              <w:top w:val="nil"/>
              <w:left w:val="nil"/>
              <w:bottom w:val="single" w:sz="8" w:space="0" w:color="auto"/>
              <w:right w:val="single" w:sz="8" w:space="0" w:color="auto"/>
            </w:tcBorders>
            <w:shd w:val="clear" w:color="000000" w:fill="D9D9D9"/>
            <w:hideMark/>
          </w:tcPr>
          <w:p w14:paraId="0A9BBD3B" w14:textId="063297FD" w:rsidR="00EC37C5" w:rsidRPr="00922145" w:rsidRDefault="00BA43C6">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18</w:t>
            </w:r>
          </w:p>
        </w:tc>
        <w:tc>
          <w:tcPr>
            <w:tcW w:w="519" w:type="pct"/>
            <w:tcBorders>
              <w:top w:val="nil"/>
              <w:left w:val="nil"/>
              <w:bottom w:val="single" w:sz="8" w:space="0" w:color="auto"/>
              <w:right w:val="single" w:sz="8" w:space="0" w:color="auto"/>
            </w:tcBorders>
            <w:shd w:val="clear" w:color="000000" w:fill="D9D9D9"/>
            <w:hideMark/>
          </w:tcPr>
          <w:p w14:paraId="13B73590" w14:textId="60E3556B" w:rsidR="00EC37C5" w:rsidRPr="00922145" w:rsidRDefault="00EC37C5">
            <w:pPr>
              <w:spacing w:before="0" w:after="0"/>
              <w:rPr>
                <w:rFonts w:eastAsia="Times New Roman"/>
                <w:noProof/>
                <w:color w:val="000000"/>
                <w:sz w:val="16"/>
                <w:szCs w:val="16"/>
                <w:lang w:eastAsia="en-IE"/>
              </w:rPr>
            </w:pPr>
            <w:r>
              <w:rPr>
                <w:rFonts w:eastAsia="Times New Roman"/>
                <w:noProof/>
                <w:color w:val="000000"/>
                <w:sz w:val="16"/>
                <w:szCs w:val="16"/>
                <w:lang w:eastAsia="en-IE"/>
              </w:rPr>
              <w:t>2</w:t>
            </w:r>
            <w:r w:rsidR="00BA43C6">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hideMark/>
          </w:tcPr>
          <w:p w14:paraId="768E8078" w14:textId="5345C244" w:rsidR="00EC37C5" w:rsidRPr="00922145" w:rsidRDefault="00BA43C6">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22</w:t>
            </w:r>
          </w:p>
        </w:tc>
        <w:tc>
          <w:tcPr>
            <w:tcW w:w="516" w:type="pct"/>
            <w:tcBorders>
              <w:top w:val="nil"/>
              <w:left w:val="nil"/>
              <w:bottom w:val="single" w:sz="8" w:space="0" w:color="auto"/>
              <w:right w:val="single" w:sz="8" w:space="0" w:color="auto"/>
            </w:tcBorders>
            <w:shd w:val="clear" w:color="000000" w:fill="D9D9D9"/>
            <w:hideMark/>
          </w:tcPr>
          <w:p w14:paraId="53E36D69" w14:textId="24B1FEBA" w:rsidR="00EC37C5" w:rsidRPr="00922145" w:rsidRDefault="00BA43C6">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25</w:t>
            </w:r>
          </w:p>
        </w:tc>
      </w:tr>
      <w:tr w:rsidR="00EC37C5" w:rsidRPr="00922145" w14:paraId="45ECC0CE" w14:textId="77777777">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4A3DD0E9" w14:textId="77777777" w:rsidR="00EC37C5" w:rsidRPr="00922145" w:rsidRDefault="00EC37C5">
            <w:pPr>
              <w:spacing w:before="0" w:after="0"/>
              <w:ind w:firstLineChars="100" w:firstLine="160"/>
              <w:jc w:val="left"/>
              <w:rPr>
                <w:rFonts w:eastAsia="Times New Roman"/>
                <w:noProof/>
                <w:color w:val="000000"/>
                <w:sz w:val="16"/>
                <w:szCs w:val="16"/>
                <w:lang w:eastAsia="en-IE"/>
              </w:rPr>
            </w:pPr>
            <w:r w:rsidRPr="00922145">
              <w:rPr>
                <w:rFonts w:eastAsia="Times New Roman"/>
                <w:noProof/>
                <w:color w:val="000000"/>
                <w:sz w:val="16"/>
                <w:szCs w:val="16"/>
                <w:lang w:eastAsia="en-IE"/>
              </w:rPr>
              <w:t>20 01 02 03 (EU Delegations)</w:t>
            </w:r>
          </w:p>
        </w:tc>
        <w:tc>
          <w:tcPr>
            <w:tcW w:w="519" w:type="pct"/>
            <w:tcBorders>
              <w:top w:val="nil"/>
              <w:left w:val="nil"/>
              <w:bottom w:val="single" w:sz="8" w:space="0" w:color="auto"/>
              <w:right w:val="single" w:sz="8" w:space="0" w:color="auto"/>
            </w:tcBorders>
            <w:shd w:val="clear" w:color="000000" w:fill="D9D9D9"/>
            <w:vAlign w:val="center"/>
            <w:hideMark/>
          </w:tcPr>
          <w:p w14:paraId="4084498B" w14:textId="77777777" w:rsidR="00EC37C5" w:rsidRPr="00922145" w:rsidRDefault="00EC37C5">
            <w:pPr>
              <w:spacing w:before="0" w:after="0"/>
              <w:jc w:val="center"/>
              <w:rPr>
                <w:rFonts w:eastAsia="Times New Roman"/>
                <w:noProof/>
                <w:color w:val="000000"/>
                <w:sz w:val="16"/>
                <w:szCs w:val="16"/>
                <w:lang w:eastAsia="en-IE"/>
              </w:rPr>
            </w:pPr>
            <w:r w:rsidRPr="00922145">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2E063D9A" w14:textId="77777777" w:rsidR="00EC37C5" w:rsidRPr="00922145" w:rsidRDefault="00EC37C5">
            <w:pPr>
              <w:spacing w:before="0" w:after="0"/>
              <w:jc w:val="center"/>
              <w:rPr>
                <w:rFonts w:eastAsia="Times New Roman"/>
                <w:noProof/>
                <w:color w:val="000000"/>
                <w:sz w:val="16"/>
                <w:szCs w:val="16"/>
                <w:lang w:eastAsia="en-IE"/>
              </w:rPr>
            </w:pPr>
            <w:r w:rsidRPr="00922145">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40760A32" w14:textId="77777777" w:rsidR="00EC37C5" w:rsidRPr="00922145" w:rsidRDefault="00EC37C5">
            <w:pPr>
              <w:spacing w:before="0" w:after="0"/>
              <w:jc w:val="center"/>
              <w:rPr>
                <w:rFonts w:eastAsia="Times New Roman"/>
                <w:noProof/>
                <w:color w:val="000000"/>
                <w:sz w:val="16"/>
                <w:szCs w:val="16"/>
                <w:lang w:eastAsia="en-IE"/>
              </w:rPr>
            </w:pPr>
            <w:r w:rsidRPr="00922145">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0B72046C" w14:textId="77777777" w:rsidR="00EC37C5" w:rsidRPr="00922145" w:rsidRDefault="00EC37C5">
            <w:pPr>
              <w:spacing w:before="0" w:after="0"/>
              <w:jc w:val="center"/>
              <w:rPr>
                <w:rFonts w:eastAsia="Times New Roman"/>
                <w:noProof/>
                <w:color w:val="000000"/>
                <w:sz w:val="16"/>
                <w:szCs w:val="16"/>
                <w:lang w:eastAsia="en-IE"/>
              </w:rPr>
            </w:pPr>
            <w:r w:rsidRPr="00922145">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3020580F" w14:textId="77777777" w:rsidR="00EC37C5" w:rsidRPr="00922145" w:rsidRDefault="00EC37C5">
            <w:pPr>
              <w:spacing w:before="0" w:after="0"/>
              <w:jc w:val="center"/>
              <w:rPr>
                <w:rFonts w:eastAsia="Times New Roman"/>
                <w:noProof/>
                <w:color w:val="000000"/>
                <w:sz w:val="16"/>
                <w:szCs w:val="16"/>
                <w:lang w:eastAsia="en-IE"/>
              </w:rPr>
            </w:pPr>
            <w:r w:rsidRPr="00922145">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63DF1376" w14:textId="77777777" w:rsidR="00EC37C5" w:rsidRPr="00922145" w:rsidRDefault="00EC37C5">
            <w:pPr>
              <w:spacing w:before="0" w:after="0"/>
              <w:jc w:val="center"/>
              <w:rPr>
                <w:rFonts w:eastAsia="Times New Roman"/>
                <w:noProof/>
                <w:color w:val="000000"/>
                <w:sz w:val="16"/>
                <w:szCs w:val="16"/>
                <w:lang w:eastAsia="en-IE"/>
              </w:rPr>
            </w:pPr>
            <w:r w:rsidRPr="00922145">
              <w:rPr>
                <w:rFonts w:eastAsia="Times New Roman"/>
                <w:noProof/>
                <w:color w:val="000000"/>
                <w:sz w:val="16"/>
                <w:szCs w:val="16"/>
                <w:lang w:eastAsia="en-IE"/>
              </w:rPr>
              <w:t>0</w:t>
            </w:r>
          </w:p>
        </w:tc>
        <w:tc>
          <w:tcPr>
            <w:tcW w:w="516" w:type="pct"/>
            <w:tcBorders>
              <w:top w:val="nil"/>
              <w:left w:val="nil"/>
              <w:bottom w:val="single" w:sz="8" w:space="0" w:color="auto"/>
              <w:right w:val="single" w:sz="8" w:space="0" w:color="auto"/>
            </w:tcBorders>
            <w:shd w:val="clear" w:color="000000" w:fill="D9D9D9"/>
            <w:vAlign w:val="center"/>
            <w:hideMark/>
          </w:tcPr>
          <w:p w14:paraId="7FFA71CD" w14:textId="77777777" w:rsidR="00EC37C5" w:rsidRPr="00922145" w:rsidRDefault="00EC37C5">
            <w:pPr>
              <w:spacing w:before="0" w:after="0"/>
              <w:jc w:val="center"/>
              <w:rPr>
                <w:rFonts w:eastAsia="Times New Roman"/>
                <w:noProof/>
                <w:color w:val="000000"/>
                <w:sz w:val="16"/>
                <w:szCs w:val="16"/>
                <w:lang w:eastAsia="en-IE"/>
              </w:rPr>
            </w:pPr>
            <w:r w:rsidRPr="00922145">
              <w:rPr>
                <w:rFonts w:eastAsia="Times New Roman"/>
                <w:noProof/>
                <w:color w:val="000000"/>
                <w:sz w:val="16"/>
                <w:szCs w:val="16"/>
                <w:lang w:eastAsia="en-IE"/>
              </w:rPr>
              <w:t>0</w:t>
            </w:r>
          </w:p>
        </w:tc>
      </w:tr>
      <w:tr w:rsidR="00EC37C5" w:rsidRPr="00922145" w14:paraId="1FC046A0" w14:textId="77777777">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26AD7814" w14:textId="77777777" w:rsidR="00EC37C5" w:rsidRPr="00922145" w:rsidRDefault="00EC37C5">
            <w:pPr>
              <w:spacing w:before="0" w:after="0"/>
              <w:ind w:firstLineChars="100" w:firstLine="200"/>
              <w:jc w:val="left"/>
              <w:rPr>
                <w:rFonts w:eastAsia="Times New Roman"/>
                <w:noProof/>
                <w:color w:val="000000"/>
                <w:sz w:val="16"/>
                <w:szCs w:val="16"/>
                <w:lang w:eastAsia="en-IE"/>
              </w:rPr>
            </w:pPr>
            <w:r w:rsidRPr="00922145">
              <w:rPr>
                <w:rFonts w:ascii="Arial Narrow" w:eastAsia="Times New Roman" w:hAnsi="Arial Narrow"/>
                <w:noProof/>
                <w:color w:val="000000"/>
                <w:sz w:val="20"/>
                <w:szCs w:val="20"/>
                <w:lang w:eastAsia="en-IE"/>
              </w:rPr>
              <w:t xml:space="preserve"> </w:t>
            </w:r>
            <w:r w:rsidRPr="00922145">
              <w:rPr>
                <w:rFonts w:eastAsia="Times New Roman"/>
                <w:noProof/>
                <w:color w:val="000000"/>
                <w:sz w:val="16"/>
                <w:szCs w:val="16"/>
                <w:lang w:eastAsia="en-IE"/>
              </w:rPr>
              <w:t>(Indirect research)</w:t>
            </w:r>
          </w:p>
        </w:tc>
        <w:tc>
          <w:tcPr>
            <w:tcW w:w="519" w:type="pct"/>
            <w:tcBorders>
              <w:top w:val="nil"/>
              <w:left w:val="nil"/>
              <w:bottom w:val="single" w:sz="8" w:space="0" w:color="auto"/>
              <w:right w:val="single" w:sz="8" w:space="0" w:color="auto"/>
            </w:tcBorders>
            <w:shd w:val="clear" w:color="000000" w:fill="D9D9D9"/>
            <w:vAlign w:val="center"/>
            <w:hideMark/>
          </w:tcPr>
          <w:p w14:paraId="67E4578D" w14:textId="77777777" w:rsidR="00EC37C5" w:rsidRPr="00922145" w:rsidRDefault="00EC37C5">
            <w:pPr>
              <w:spacing w:before="0" w:after="0"/>
              <w:jc w:val="center"/>
              <w:rPr>
                <w:rFonts w:eastAsia="Times New Roman"/>
                <w:noProof/>
                <w:color w:val="000000"/>
                <w:sz w:val="16"/>
                <w:szCs w:val="16"/>
                <w:lang w:eastAsia="en-IE"/>
              </w:rPr>
            </w:pPr>
            <w:r w:rsidRPr="00922145">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3DFFB695" w14:textId="77777777" w:rsidR="00EC37C5" w:rsidRPr="00922145" w:rsidRDefault="00EC37C5">
            <w:pPr>
              <w:spacing w:before="0" w:after="0"/>
              <w:jc w:val="center"/>
              <w:rPr>
                <w:rFonts w:eastAsia="Times New Roman"/>
                <w:noProof/>
                <w:color w:val="000000"/>
                <w:sz w:val="16"/>
                <w:szCs w:val="16"/>
                <w:lang w:eastAsia="en-IE"/>
              </w:rPr>
            </w:pPr>
            <w:r w:rsidRPr="00922145">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160C3D5C" w14:textId="77777777" w:rsidR="00EC37C5" w:rsidRPr="00922145" w:rsidRDefault="00EC37C5">
            <w:pPr>
              <w:spacing w:before="0" w:after="0"/>
              <w:jc w:val="center"/>
              <w:rPr>
                <w:rFonts w:eastAsia="Times New Roman"/>
                <w:noProof/>
                <w:color w:val="000000"/>
                <w:sz w:val="16"/>
                <w:szCs w:val="16"/>
                <w:lang w:eastAsia="en-IE"/>
              </w:rPr>
            </w:pPr>
            <w:r w:rsidRPr="00922145">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6E9AB3FB" w14:textId="77777777" w:rsidR="00EC37C5" w:rsidRPr="00922145" w:rsidRDefault="00EC37C5">
            <w:pPr>
              <w:spacing w:before="0" w:after="0"/>
              <w:jc w:val="center"/>
              <w:rPr>
                <w:rFonts w:eastAsia="Times New Roman"/>
                <w:noProof/>
                <w:color w:val="000000"/>
                <w:sz w:val="16"/>
                <w:szCs w:val="16"/>
                <w:lang w:eastAsia="en-IE"/>
              </w:rPr>
            </w:pPr>
            <w:r w:rsidRPr="00922145">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3FF7A1EA" w14:textId="77777777" w:rsidR="00EC37C5" w:rsidRPr="00922145" w:rsidRDefault="00EC37C5">
            <w:pPr>
              <w:spacing w:before="0" w:after="0"/>
              <w:jc w:val="center"/>
              <w:rPr>
                <w:rFonts w:eastAsia="Times New Roman"/>
                <w:noProof/>
                <w:color w:val="000000"/>
                <w:sz w:val="16"/>
                <w:szCs w:val="16"/>
                <w:lang w:eastAsia="en-IE"/>
              </w:rPr>
            </w:pPr>
            <w:r w:rsidRPr="00922145">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1A0B600F" w14:textId="77777777" w:rsidR="00EC37C5" w:rsidRPr="00922145" w:rsidRDefault="00EC37C5">
            <w:pPr>
              <w:spacing w:before="0" w:after="0"/>
              <w:jc w:val="center"/>
              <w:rPr>
                <w:rFonts w:eastAsia="Times New Roman"/>
                <w:noProof/>
                <w:color w:val="000000"/>
                <w:sz w:val="16"/>
                <w:szCs w:val="16"/>
                <w:lang w:eastAsia="en-IE"/>
              </w:rPr>
            </w:pPr>
            <w:r w:rsidRPr="00922145">
              <w:rPr>
                <w:rFonts w:eastAsia="Times New Roman"/>
                <w:noProof/>
                <w:color w:val="000000"/>
                <w:sz w:val="16"/>
                <w:szCs w:val="16"/>
                <w:lang w:eastAsia="en-IE"/>
              </w:rPr>
              <w:t>0</w:t>
            </w:r>
          </w:p>
        </w:tc>
        <w:tc>
          <w:tcPr>
            <w:tcW w:w="516" w:type="pct"/>
            <w:tcBorders>
              <w:top w:val="nil"/>
              <w:left w:val="nil"/>
              <w:bottom w:val="single" w:sz="8" w:space="0" w:color="auto"/>
              <w:right w:val="single" w:sz="8" w:space="0" w:color="auto"/>
            </w:tcBorders>
            <w:shd w:val="clear" w:color="000000" w:fill="D9D9D9"/>
            <w:vAlign w:val="center"/>
            <w:hideMark/>
          </w:tcPr>
          <w:p w14:paraId="4170CEF4" w14:textId="77777777" w:rsidR="00EC37C5" w:rsidRPr="00922145" w:rsidRDefault="00EC37C5">
            <w:pPr>
              <w:spacing w:before="0" w:after="0"/>
              <w:jc w:val="center"/>
              <w:rPr>
                <w:rFonts w:eastAsia="Times New Roman"/>
                <w:noProof/>
                <w:color w:val="000000"/>
                <w:sz w:val="16"/>
                <w:szCs w:val="16"/>
                <w:lang w:eastAsia="en-IE"/>
              </w:rPr>
            </w:pPr>
            <w:r w:rsidRPr="00922145">
              <w:rPr>
                <w:rFonts w:eastAsia="Times New Roman"/>
                <w:noProof/>
                <w:color w:val="000000"/>
                <w:sz w:val="16"/>
                <w:szCs w:val="16"/>
                <w:lang w:eastAsia="en-IE"/>
              </w:rPr>
              <w:t>0</w:t>
            </w:r>
          </w:p>
        </w:tc>
      </w:tr>
      <w:tr w:rsidR="00EC37C5" w:rsidRPr="00922145" w14:paraId="563757B8" w14:textId="77777777">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2E6235C1" w14:textId="77777777" w:rsidR="00EC37C5" w:rsidRPr="00922145" w:rsidRDefault="00EC37C5">
            <w:pPr>
              <w:spacing w:before="0" w:after="0"/>
              <w:ind w:firstLineChars="100" w:firstLine="160"/>
              <w:jc w:val="left"/>
              <w:rPr>
                <w:rFonts w:eastAsia="Times New Roman"/>
                <w:noProof/>
                <w:color w:val="000000"/>
                <w:sz w:val="16"/>
                <w:szCs w:val="16"/>
                <w:lang w:eastAsia="en-IE"/>
              </w:rPr>
            </w:pPr>
            <w:r w:rsidRPr="00922145">
              <w:rPr>
                <w:rFonts w:eastAsia="Times New Roman"/>
                <w:noProof/>
                <w:color w:val="000000"/>
                <w:sz w:val="16"/>
                <w:szCs w:val="16"/>
                <w:lang w:eastAsia="en-IE"/>
              </w:rPr>
              <w:t xml:space="preserve"> (Direct research)</w:t>
            </w:r>
          </w:p>
        </w:tc>
        <w:tc>
          <w:tcPr>
            <w:tcW w:w="519" w:type="pct"/>
            <w:tcBorders>
              <w:top w:val="nil"/>
              <w:left w:val="nil"/>
              <w:bottom w:val="single" w:sz="8" w:space="0" w:color="auto"/>
              <w:right w:val="single" w:sz="8" w:space="0" w:color="auto"/>
            </w:tcBorders>
            <w:shd w:val="clear" w:color="000000" w:fill="D9D9D9"/>
            <w:vAlign w:val="center"/>
            <w:hideMark/>
          </w:tcPr>
          <w:p w14:paraId="08B4E77C" w14:textId="77777777" w:rsidR="00EC37C5" w:rsidRPr="00922145" w:rsidRDefault="00EC37C5">
            <w:pPr>
              <w:spacing w:before="0" w:after="0"/>
              <w:jc w:val="center"/>
              <w:rPr>
                <w:rFonts w:eastAsia="Times New Roman"/>
                <w:noProof/>
                <w:color w:val="000000"/>
                <w:sz w:val="16"/>
                <w:szCs w:val="16"/>
                <w:lang w:eastAsia="en-IE"/>
              </w:rPr>
            </w:pPr>
            <w:r w:rsidRPr="00922145">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1F2146A2" w14:textId="77777777" w:rsidR="00EC37C5" w:rsidRPr="00922145" w:rsidRDefault="00EC37C5">
            <w:pPr>
              <w:spacing w:before="0" w:after="0"/>
              <w:jc w:val="center"/>
              <w:rPr>
                <w:rFonts w:eastAsia="Times New Roman"/>
                <w:noProof/>
                <w:color w:val="000000"/>
                <w:sz w:val="16"/>
                <w:szCs w:val="16"/>
                <w:lang w:eastAsia="en-IE"/>
              </w:rPr>
            </w:pPr>
            <w:r w:rsidRPr="00922145">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5A9F6C5F" w14:textId="77777777" w:rsidR="00EC37C5" w:rsidRPr="00922145" w:rsidRDefault="00EC37C5">
            <w:pPr>
              <w:spacing w:before="0" w:after="0"/>
              <w:jc w:val="center"/>
              <w:rPr>
                <w:rFonts w:eastAsia="Times New Roman"/>
                <w:noProof/>
                <w:color w:val="000000"/>
                <w:sz w:val="16"/>
                <w:szCs w:val="16"/>
                <w:lang w:eastAsia="en-IE"/>
              </w:rPr>
            </w:pPr>
            <w:r w:rsidRPr="00922145">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310D6935" w14:textId="77777777" w:rsidR="00EC37C5" w:rsidRPr="00922145" w:rsidRDefault="00EC37C5">
            <w:pPr>
              <w:spacing w:before="0" w:after="0"/>
              <w:jc w:val="center"/>
              <w:rPr>
                <w:rFonts w:eastAsia="Times New Roman"/>
                <w:noProof/>
                <w:color w:val="000000"/>
                <w:sz w:val="16"/>
                <w:szCs w:val="16"/>
                <w:lang w:eastAsia="en-IE"/>
              </w:rPr>
            </w:pPr>
            <w:r w:rsidRPr="00922145">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6A89D0EC" w14:textId="77777777" w:rsidR="00EC37C5" w:rsidRPr="00922145" w:rsidRDefault="00EC37C5">
            <w:pPr>
              <w:spacing w:before="0" w:after="0"/>
              <w:jc w:val="center"/>
              <w:rPr>
                <w:rFonts w:eastAsia="Times New Roman"/>
                <w:noProof/>
                <w:color w:val="000000"/>
                <w:sz w:val="16"/>
                <w:szCs w:val="16"/>
                <w:lang w:eastAsia="en-IE"/>
              </w:rPr>
            </w:pPr>
            <w:r w:rsidRPr="00922145">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4420D031" w14:textId="77777777" w:rsidR="00EC37C5" w:rsidRPr="00922145" w:rsidRDefault="00EC37C5">
            <w:pPr>
              <w:spacing w:before="0" w:after="0"/>
              <w:jc w:val="center"/>
              <w:rPr>
                <w:rFonts w:eastAsia="Times New Roman"/>
                <w:noProof/>
                <w:color w:val="000000"/>
                <w:sz w:val="16"/>
                <w:szCs w:val="16"/>
                <w:lang w:eastAsia="en-IE"/>
              </w:rPr>
            </w:pPr>
            <w:r w:rsidRPr="00922145">
              <w:rPr>
                <w:rFonts w:eastAsia="Times New Roman"/>
                <w:noProof/>
                <w:color w:val="000000"/>
                <w:sz w:val="16"/>
                <w:szCs w:val="16"/>
                <w:lang w:eastAsia="en-IE"/>
              </w:rPr>
              <w:t>0</w:t>
            </w:r>
          </w:p>
        </w:tc>
        <w:tc>
          <w:tcPr>
            <w:tcW w:w="516" w:type="pct"/>
            <w:tcBorders>
              <w:top w:val="nil"/>
              <w:left w:val="nil"/>
              <w:bottom w:val="single" w:sz="8" w:space="0" w:color="auto"/>
              <w:right w:val="single" w:sz="8" w:space="0" w:color="auto"/>
            </w:tcBorders>
            <w:shd w:val="clear" w:color="000000" w:fill="D9D9D9"/>
            <w:vAlign w:val="center"/>
            <w:hideMark/>
          </w:tcPr>
          <w:p w14:paraId="39DFB534" w14:textId="77777777" w:rsidR="00EC37C5" w:rsidRPr="00922145" w:rsidRDefault="00EC37C5">
            <w:pPr>
              <w:spacing w:before="0" w:after="0"/>
              <w:jc w:val="center"/>
              <w:rPr>
                <w:rFonts w:eastAsia="Times New Roman"/>
                <w:noProof/>
                <w:color w:val="000000"/>
                <w:sz w:val="16"/>
                <w:szCs w:val="16"/>
                <w:lang w:eastAsia="en-IE"/>
              </w:rPr>
            </w:pPr>
            <w:r w:rsidRPr="00922145">
              <w:rPr>
                <w:rFonts w:eastAsia="Times New Roman"/>
                <w:noProof/>
                <w:color w:val="000000"/>
                <w:sz w:val="16"/>
                <w:szCs w:val="16"/>
                <w:lang w:eastAsia="en-IE"/>
              </w:rPr>
              <w:t>0</w:t>
            </w:r>
          </w:p>
        </w:tc>
      </w:tr>
      <w:tr w:rsidR="00EC37C5" w:rsidRPr="00922145" w14:paraId="4AF6760C" w14:textId="77777777">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242D00CB" w14:textId="77777777" w:rsidR="00EC37C5" w:rsidRPr="00922145" w:rsidRDefault="00EC37C5">
            <w:pPr>
              <w:spacing w:before="0" w:after="0"/>
              <w:ind w:firstLineChars="100" w:firstLine="160"/>
              <w:jc w:val="left"/>
              <w:rPr>
                <w:rFonts w:eastAsia="Times New Roman"/>
                <w:noProof/>
                <w:color w:val="000000"/>
                <w:sz w:val="16"/>
                <w:szCs w:val="16"/>
                <w:lang w:eastAsia="en-IE"/>
              </w:rPr>
            </w:pPr>
            <w:r w:rsidRPr="00922145">
              <w:rPr>
                <w:rFonts w:eastAsia="Times New Roman"/>
                <w:noProof/>
                <w:color w:val="000000"/>
                <w:sz w:val="16"/>
                <w:szCs w:val="16"/>
                <w:lang w:eastAsia="en-IE"/>
              </w:rPr>
              <w:t>Other budget lines (specify)</w:t>
            </w:r>
          </w:p>
        </w:tc>
        <w:tc>
          <w:tcPr>
            <w:tcW w:w="519" w:type="pct"/>
            <w:tcBorders>
              <w:top w:val="nil"/>
              <w:left w:val="nil"/>
              <w:bottom w:val="single" w:sz="8" w:space="0" w:color="auto"/>
              <w:right w:val="single" w:sz="8" w:space="0" w:color="auto"/>
            </w:tcBorders>
            <w:shd w:val="clear" w:color="000000" w:fill="D9D9D9"/>
            <w:vAlign w:val="center"/>
            <w:hideMark/>
          </w:tcPr>
          <w:p w14:paraId="6D842224" w14:textId="77777777" w:rsidR="00EC37C5" w:rsidRPr="00922145" w:rsidRDefault="00EC37C5">
            <w:pPr>
              <w:spacing w:before="0" w:after="0"/>
              <w:jc w:val="center"/>
              <w:rPr>
                <w:rFonts w:eastAsia="Times New Roman"/>
                <w:noProof/>
                <w:color w:val="000000"/>
                <w:sz w:val="16"/>
                <w:szCs w:val="16"/>
                <w:lang w:eastAsia="en-IE"/>
              </w:rPr>
            </w:pPr>
            <w:r w:rsidRPr="00922145">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011EBA57" w14:textId="77777777" w:rsidR="00EC37C5" w:rsidRPr="00922145" w:rsidRDefault="00EC37C5">
            <w:pPr>
              <w:spacing w:before="0" w:after="0"/>
              <w:jc w:val="center"/>
              <w:rPr>
                <w:rFonts w:eastAsia="Times New Roman"/>
                <w:noProof/>
                <w:color w:val="000000"/>
                <w:sz w:val="16"/>
                <w:szCs w:val="16"/>
                <w:lang w:eastAsia="en-IE"/>
              </w:rPr>
            </w:pPr>
            <w:r w:rsidRPr="00922145">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12DF4771" w14:textId="77777777" w:rsidR="00EC37C5" w:rsidRPr="00922145" w:rsidRDefault="00EC37C5">
            <w:pPr>
              <w:spacing w:before="0" w:after="0"/>
              <w:jc w:val="center"/>
              <w:rPr>
                <w:rFonts w:eastAsia="Times New Roman"/>
                <w:noProof/>
                <w:color w:val="000000"/>
                <w:sz w:val="16"/>
                <w:szCs w:val="16"/>
                <w:lang w:eastAsia="en-IE"/>
              </w:rPr>
            </w:pPr>
            <w:r w:rsidRPr="00922145">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1AC4777F" w14:textId="77777777" w:rsidR="00EC37C5" w:rsidRPr="00922145" w:rsidRDefault="00EC37C5">
            <w:pPr>
              <w:spacing w:before="0" w:after="0"/>
              <w:jc w:val="center"/>
              <w:rPr>
                <w:rFonts w:eastAsia="Times New Roman"/>
                <w:noProof/>
                <w:color w:val="000000"/>
                <w:sz w:val="16"/>
                <w:szCs w:val="16"/>
                <w:lang w:eastAsia="en-IE"/>
              </w:rPr>
            </w:pPr>
            <w:r w:rsidRPr="00922145">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7E290003" w14:textId="77777777" w:rsidR="00EC37C5" w:rsidRPr="00922145" w:rsidRDefault="00EC37C5">
            <w:pPr>
              <w:spacing w:before="0" w:after="0"/>
              <w:jc w:val="center"/>
              <w:rPr>
                <w:rFonts w:eastAsia="Times New Roman"/>
                <w:noProof/>
                <w:color w:val="000000"/>
                <w:sz w:val="16"/>
                <w:szCs w:val="16"/>
                <w:lang w:eastAsia="en-IE"/>
              </w:rPr>
            </w:pPr>
            <w:r w:rsidRPr="00922145">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05F2767B" w14:textId="77777777" w:rsidR="00EC37C5" w:rsidRPr="00922145" w:rsidRDefault="00EC37C5">
            <w:pPr>
              <w:spacing w:before="0" w:after="0"/>
              <w:jc w:val="center"/>
              <w:rPr>
                <w:rFonts w:eastAsia="Times New Roman"/>
                <w:noProof/>
                <w:color w:val="000000"/>
                <w:sz w:val="16"/>
                <w:szCs w:val="16"/>
                <w:lang w:eastAsia="en-IE"/>
              </w:rPr>
            </w:pPr>
            <w:r w:rsidRPr="00922145">
              <w:rPr>
                <w:rFonts w:eastAsia="Times New Roman"/>
                <w:noProof/>
                <w:color w:val="000000"/>
                <w:sz w:val="16"/>
                <w:szCs w:val="16"/>
                <w:lang w:eastAsia="en-IE"/>
              </w:rPr>
              <w:t>0</w:t>
            </w:r>
          </w:p>
        </w:tc>
        <w:tc>
          <w:tcPr>
            <w:tcW w:w="516" w:type="pct"/>
            <w:tcBorders>
              <w:top w:val="nil"/>
              <w:left w:val="nil"/>
              <w:bottom w:val="single" w:sz="8" w:space="0" w:color="auto"/>
              <w:right w:val="single" w:sz="8" w:space="0" w:color="auto"/>
            </w:tcBorders>
            <w:shd w:val="clear" w:color="000000" w:fill="D9D9D9"/>
            <w:vAlign w:val="center"/>
            <w:hideMark/>
          </w:tcPr>
          <w:p w14:paraId="41B80076" w14:textId="77777777" w:rsidR="00EC37C5" w:rsidRPr="00922145" w:rsidRDefault="00EC37C5">
            <w:pPr>
              <w:spacing w:before="0" w:after="0"/>
              <w:jc w:val="center"/>
              <w:rPr>
                <w:rFonts w:eastAsia="Times New Roman"/>
                <w:noProof/>
                <w:color w:val="000000"/>
                <w:sz w:val="16"/>
                <w:szCs w:val="16"/>
                <w:lang w:eastAsia="en-IE"/>
              </w:rPr>
            </w:pPr>
            <w:r w:rsidRPr="00922145">
              <w:rPr>
                <w:rFonts w:eastAsia="Times New Roman"/>
                <w:noProof/>
                <w:color w:val="000000"/>
                <w:sz w:val="16"/>
                <w:szCs w:val="16"/>
                <w:lang w:eastAsia="en-IE"/>
              </w:rPr>
              <w:t>0</w:t>
            </w:r>
          </w:p>
        </w:tc>
      </w:tr>
      <w:tr w:rsidR="00EC37C5" w:rsidRPr="00922145" w14:paraId="79E18535" w14:textId="77777777">
        <w:trPr>
          <w:trHeight w:val="300"/>
        </w:trPr>
        <w:tc>
          <w:tcPr>
            <w:tcW w:w="5000" w:type="pct"/>
            <w:gridSpan w:val="9"/>
            <w:tcBorders>
              <w:top w:val="single" w:sz="8" w:space="0" w:color="auto"/>
              <w:left w:val="single" w:sz="8" w:space="0" w:color="auto"/>
              <w:bottom w:val="nil"/>
              <w:right w:val="nil"/>
            </w:tcBorders>
            <w:vAlign w:val="center"/>
            <w:hideMark/>
          </w:tcPr>
          <w:p w14:paraId="6C1B99A0" w14:textId="6BC16864" w:rsidR="00EC37C5" w:rsidRPr="00922145" w:rsidRDefault="00EC37C5">
            <w:pPr>
              <w:spacing w:before="0" w:after="0"/>
              <w:jc w:val="center"/>
              <w:rPr>
                <w:rFonts w:ascii="Calibri" w:eastAsia="Times New Roman" w:hAnsi="Calibri" w:cs="Calibri"/>
                <w:b/>
                <w:bCs/>
                <w:noProof/>
                <w:color w:val="000000"/>
                <w:sz w:val="16"/>
                <w:szCs w:val="16"/>
                <w:lang w:eastAsia="en-IE"/>
              </w:rPr>
            </w:pPr>
            <w:r w:rsidRPr="00922145">
              <w:rPr>
                <w:rFonts w:ascii="Calibri" w:eastAsia="Times New Roman" w:hAnsi="Calibri" w:cs="Calibri"/>
                <w:b/>
                <w:bCs/>
                <w:noProof/>
                <w:color w:val="000000"/>
                <w:sz w:val="16"/>
                <w:szCs w:val="16"/>
                <w:lang w:eastAsia="en-IE"/>
              </w:rPr>
              <w:t>•</w:t>
            </w:r>
            <w:r w:rsidRPr="00922145">
              <w:rPr>
                <w:rFonts w:eastAsia="Times New Roman"/>
                <w:b/>
                <w:bCs/>
                <w:noProof/>
                <w:color w:val="000000"/>
                <w:sz w:val="16"/>
                <w:szCs w:val="16"/>
                <w:lang w:eastAsia="en-IE"/>
              </w:rPr>
              <w:t xml:space="preserve"> External staff (in</w:t>
            </w:r>
            <w:r w:rsidR="00DD57AE">
              <w:rPr>
                <w:rFonts w:eastAsia="Times New Roman"/>
                <w:b/>
                <w:bCs/>
                <w:noProof/>
                <w:color w:val="000000"/>
                <w:sz w:val="16"/>
                <w:szCs w:val="16"/>
                <w:lang w:eastAsia="en-IE"/>
              </w:rPr>
              <w:t xml:space="preserve"> </w:t>
            </w:r>
            <w:r w:rsidRPr="00922145">
              <w:rPr>
                <w:rFonts w:eastAsia="Times New Roman"/>
                <w:b/>
                <w:bCs/>
                <w:noProof/>
                <w:color w:val="000000"/>
                <w:sz w:val="16"/>
                <w:szCs w:val="16"/>
                <w:lang w:eastAsia="en-IE"/>
              </w:rPr>
              <w:t>FTEs)</w:t>
            </w:r>
          </w:p>
        </w:tc>
      </w:tr>
      <w:tr w:rsidR="008E3FA9" w:rsidRPr="00922145" w14:paraId="5B30F923" w14:textId="77777777">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5BC04CA5" w14:textId="77777777" w:rsidR="008E3FA9" w:rsidRPr="00922145" w:rsidRDefault="008E3FA9" w:rsidP="008E3FA9">
            <w:pPr>
              <w:spacing w:before="0" w:after="0"/>
              <w:ind w:firstLineChars="100" w:firstLine="160"/>
              <w:jc w:val="left"/>
              <w:rPr>
                <w:rFonts w:eastAsia="Times New Roman"/>
                <w:noProof/>
                <w:color w:val="000000"/>
                <w:sz w:val="16"/>
                <w:szCs w:val="16"/>
                <w:lang w:eastAsia="en-IE"/>
              </w:rPr>
            </w:pPr>
            <w:r w:rsidRPr="00922145">
              <w:rPr>
                <w:rFonts w:eastAsia="Times New Roman"/>
                <w:noProof/>
                <w:color w:val="000000"/>
                <w:sz w:val="16"/>
                <w:szCs w:val="16"/>
                <w:lang w:eastAsia="en-IE"/>
              </w:rPr>
              <w:t>20 02 01</w:t>
            </w:r>
            <w:r w:rsidRPr="00922145">
              <w:rPr>
                <w:rFonts w:ascii="Arial Narrow" w:eastAsia="Times New Roman" w:hAnsi="Arial Narrow"/>
                <w:noProof/>
                <w:color w:val="000000"/>
                <w:sz w:val="20"/>
                <w:szCs w:val="20"/>
                <w:lang w:eastAsia="en-IE"/>
              </w:rPr>
              <w:t xml:space="preserve"> </w:t>
            </w:r>
            <w:r w:rsidRPr="00922145">
              <w:rPr>
                <w:rFonts w:eastAsia="Times New Roman"/>
                <w:noProof/>
                <w:color w:val="000000"/>
                <w:sz w:val="16"/>
                <w:szCs w:val="16"/>
                <w:lang w:eastAsia="en-IE"/>
              </w:rPr>
              <w:t>(AC, END from the ‘global envelope’)</w:t>
            </w:r>
          </w:p>
        </w:tc>
        <w:tc>
          <w:tcPr>
            <w:tcW w:w="519" w:type="pct"/>
            <w:tcBorders>
              <w:top w:val="nil"/>
              <w:left w:val="nil"/>
              <w:bottom w:val="single" w:sz="8" w:space="0" w:color="auto"/>
              <w:right w:val="single" w:sz="8" w:space="0" w:color="auto"/>
            </w:tcBorders>
            <w:shd w:val="clear" w:color="000000" w:fill="D9D9D9"/>
            <w:vAlign w:val="center"/>
            <w:hideMark/>
          </w:tcPr>
          <w:p w14:paraId="7B4942A9" w14:textId="77D909CF" w:rsidR="008E3FA9" w:rsidRPr="00922145" w:rsidRDefault="008E3FA9" w:rsidP="008E3FA9">
            <w:pPr>
              <w:spacing w:before="0" w:after="0"/>
              <w:jc w:val="center"/>
              <w:rPr>
                <w:rFonts w:eastAsia="Times New Roman"/>
                <w:noProof/>
                <w:color w:val="000000"/>
                <w:sz w:val="16"/>
                <w:szCs w:val="16"/>
                <w:lang w:eastAsia="en-IE"/>
              </w:rPr>
            </w:pPr>
            <w:r w:rsidRPr="00922145">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448F3CBD" w14:textId="0FA5BA94" w:rsidR="008E3FA9" w:rsidRPr="00922145" w:rsidRDefault="008E3FA9" w:rsidP="008E3FA9">
            <w:pPr>
              <w:spacing w:before="0" w:after="0"/>
              <w:jc w:val="center"/>
              <w:rPr>
                <w:rFonts w:eastAsia="Times New Roman"/>
                <w:noProof/>
                <w:color w:val="000000"/>
                <w:sz w:val="16"/>
                <w:szCs w:val="16"/>
                <w:lang w:eastAsia="en-IE"/>
              </w:rPr>
            </w:pPr>
            <w:r w:rsidRPr="00922145">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4619F581" w14:textId="0E7BF8FB" w:rsidR="008E3FA9" w:rsidRPr="00922145" w:rsidRDefault="008E3FA9" w:rsidP="008E3FA9">
            <w:pPr>
              <w:spacing w:before="0" w:after="0"/>
              <w:jc w:val="center"/>
              <w:rPr>
                <w:rFonts w:eastAsia="Times New Roman"/>
                <w:noProof/>
                <w:color w:val="000000"/>
                <w:sz w:val="16"/>
                <w:szCs w:val="16"/>
                <w:lang w:eastAsia="en-IE"/>
              </w:rPr>
            </w:pPr>
            <w:r w:rsidRPr="00922145">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6CEC1D58" w14:textId="649DABD4" w:rsidR="008E3FA9" w:rsidRPr="00922145" w:rsidRDefault="008E3FA9" w:rsidP="008E3FA9">
            <w:pPr>
              <w:spacing w:before="0" w:after="0"/>
              <w:jc w:val="center"/>
              <w:rPr>
                <w:rFonts w:eastAsia="Times New Roman"/>
                <w:noProof/>
                <w:color w:val="000000"/>
                <w:sz w:val="16"/>
                <w:szCs w:val="16"/>
                <w:lang w:eastAsia="en-IE"/>
              </w:rPr>
            </w:pPr>
            <w:r w:rsidRPr="00922145">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392E9DC0" w14:textId="1811D304" w:rsidR="008E3FA9" w:rsidRPr="00922145" w:rsidRDefault="008E3FA9" w:rsidP="008E3FA9">
            <w:pPr>
              <w:spacing w:before="0" w:after="0"/>
              <w:jc w:val="center"/>
              <w:rPr>
                <w:rFonts w:eastAsia="Times New Roman"/>
                <w:noProof/>
                <w:color w:val="000000"/>
                <w:sz w:val="16"/>
                <w:szCs w:val="16"/>
                <w:lang w:eastAsia="en-IE"/>
              </w:rPr>
            </w:pPr>
            <w:r w:rsidRPr="00922145">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4C668E10" w14:textId="644F206A" w:rsidR="008E3FA9" w:rsidRPr="00922145" w:rsidRDefault="008E3FA9" w:rsidP="008E3FA9">
            <w:pPr>
              <w:spacing w:before="0" w:after="0"/>
              <w:jc w:val="center"/>
              <w:rPr>
                <w:rFonts w:eastAsia="Times New Roman"/>
                <w:noProof/>
                <w:color w:val="000000"/>
                <w:sz w:val="16"/>
                <w:szCs w:val="16"/>
                <w:lang w:eastAsia="en-IE"/>
              </w:rPr>
            </w:pPr>
            <w:r w:rsidRPr="00922145">
              <w:rPr>
                <w:rFonts w:eastAsia="Times New Roman"/>
                <w:noProof/>
                <w:color w:val="000000"/>
                <w:sz w:val="16"/>
                <w:szCs w:val="16"/>
                <w:lang w:eastAsia="en-IE"/>
              </w:rPr>
              <w:t>0</w:t>
            </w:r>
          </w:p>
        </w:tc>
        <w:tc>
          <w:tcPr>
            <w:tcW w:w="516" w:type="pct"/>
            <w:tcBorders>
              <w:top w:val="nil"/>
              <w:left w:val="nil"/>
              <w:bottom w:val="single" w:sz="8" w:space="0" w:color="auto"/>
              <w:right w:val="single" w:sz="8" w:space="0" w:color="auto"/>
            </w:tcBorders>
            <w:shd w:val="clear" w:color="000000" w:fill="D9D9D9"/>
            <w:vAlign w:val="center"/>
            <w:hideMark/>
          </w:tcPr>
          <w:p w14:paraId="1564E850" w14:textId="496B6361" w:rsidR="008E3FA9" w:rsidRPr="00922145" w:rsidRDefault="008E3FA9" w:rsidP="008E3FA9">
            <w:pPr>
              <w:spacing w:before="0" w:after="0"/>
              <w:jc w:val="center"/>
              <w:rPr>
                <w:rFonts w:eastAsia="Times New Roman"/>
                <w:noProof/>
                <w:color w:val="000000"/>
                <w:sz w:val="16"/>
                <w:szCs w:val="16"/>
                <w:lang w:eastAsia="en-IE"/>
              </w:rPr>
            </w:pPr>
            <w:r w:rsidRPr="00922145">
              <w:rPr>
                <w:rFonts w:eastAsia="Times New Roman"/>
                <w:noProof/>
                <w:color w:val="000000"/>
                <w:sz w:val="16"/>
                <w:szCs w:val="16"/>
                <w:lang w:eastAsia="en-IE"/>
              </w:rPr>
              <w:t>0</w:t>
            </w:r>
          </w:p>
        </w:tc>
      </w:tr>
      <w:tr w:rsidR="00EC37C5" w:rsidRPr="00922145" w14:paraId="11D0D773" w14:textId="77777777">
        <w:trPr>
          <w:trHeight w:val="52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00D296C6" w14:textId="77777777" w:rsidR="00EC37C5" w:rsidRPr="00922145" w:rsidRDefault="00EC37C5">
            <w:pPr>
              <w:spacing w:before="0" w:after="0"/>
              <w:ind w:firstLineChars="100" w:firstLine="160"/>
              <w:jc w:val="left"/>
              <w:rPr>
                <w:rFonts w:eastAsia="Times New Roman"/>
                <w:noProof/>
                <w:color w:val="000000"/>
                <w:sz w:val="16"/>
                <w:szCs w:val="16"/>
                <w:lang w:eastAsia="en-IE"/>
              </w:rPr>
            </w:pPr>
            <w:r w:rsidRPr="00922145">
              <w:rPr>
                <w:rFonts w:eastAsia="Times New Roman"/>
                <w:noProof/>
                <w:color w:val="000000"/>
                <w:sz w:val="16"/>
                <w:szCs w:val="16"/>
                <w:lang w:eastAsia="en-IE"/>
              </w:rPr>
              <w:t>20 02 03 (AC, AL, END and JPD in the EU Delegations)</w:t>
            </w:r>
          </w:p>
        </w:tc>
        <w:tc>
          <w:tcPr>
            <w:tcW w:w="519" w:type="pct"/>
            <w:tcBorders>
              <w:top w:val="nil"/>
              <w:left w:val="nil"/>
              <w:bottom w:val="single" w:sz="8" w:space="0" w:color="auto"/>
              <w:right w:val="single" w:sz="8" w:space="0" w:color="auto"/>
            </w:tcBorders>
            <w:shd w:val="clear" w:color="000000" w:fill="D9D9D9"/>
            <w:vAlign w:val="center"/>
            <w:hideMark/>
          </w:tcPr>
          <w:p w14:paraId="29EEE25A" w14:textId="77777777" w:rsidR="00EC37C5" w:rsidRPr="00922145" w:rsidRDefault="00EC37C5">
            <w:pPr>
              <w:spacing w:before="0" w:after="0"/>
              <w:jc w:val="center"/>
              <w:rPr>
                <w:rFonts w:eastAsia="Times New Roman"/>
                <w:noProof/>
                <w:color w:val="000000"/>
                <w:sz w:val="16"/>
                <w:szCs w:val="16"/>
                <w:lang w:eastAsia="en-IE"/>
              </w:rPr>
            </w:pPr>
            <w:r w:rsidRPr="00922145">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4C6E67EB" w14:textId="77777777" w:rsidR="00EC37C5" w:rsidRPr="00922145" w:rsidRDefault="00EC37C5">
            <w:pPr>
              <w:spacing w:before="0" w:after="0"/>
              <w:jc w:val="center"/>
              <w:rPr>
                <w:rFonts w:eastAsia="Times New Roman"/>
                <w:noProof/>
                <w:color w:val="000000"/>
                <w:sz w:val="16"/>
                <w:szCs w:val="16"/>
                <w:lang w:eastAsia="en-IE"/>
              </w:rPr>
            </w:pPr>
            <w:r w:rsidRPr="00922145">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429583D1" w14:textId="77777777" w:rsidR="00EC37C5" w:rsidRPr="00922145" w:rsidRDefault="00EC37C5">
            <w:pPr>
              <w:spacing w:before="0" w:after="0"/>
              <w:jc w:val="center"/>
              <w:rPr>
                <w:rFonts w:eastAsia="Times New Roman"/>
                <w:noProof/>
                <w:color w:val="000000"/>
                <w:sz w:val="16"/>
                <w:szCs w:val="16"/>
                <w:lang w:eastAsia="en-IE"/>
              </w:rPr>
            </w:pPr>
            <w:r w:rsidRPr="00922145">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7CEEB832" w14:textId="77777777" w:rsidR="00EC37C5" w:rsidRPr="00922145" w:rsidRDefault="00EC37C5">
            <w:pPr>
              <w:spacing w:before="0" w:after="0"/>
              <w:jc w:val="center"/>
              <w:rPr>
                <w:rFonts w:eastAsia="Times New Roman"/>
                <w:noProof/>
                <w:color w:val="000000"/>
                <w:sz w:val="16"/>
                <w:szCs w:val="16"/>
                <w:lang w:eastAsia="en-IE"/>
              </w:rPr>
            </w:pPr>
            <w:r w:rsidRPr="00922145">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6D1D5D1C" w14:textId="77777777" w:rsidR="00EC37C5" w:rsidRPr="00922145" w:rsidRDefault="00EC37C5">
            <w:pPr>
              <w:spacing w:before="0" w:after="0"/>
              <w:jc w:val="center"/>
              <w:rPr>
                <w:rFonts w:eastAsia="Times New Roman"/>
                <w:noProof/>
                <w:color w:val="000000"/>
                <w:sz w:val="16"/>
                <w:szCs w:val="16"/>
                <w:lang w:eastAsia="en-IE"/>
              </w:rPr>
            </w:pPr>
            <w:r w:rsidRPr="00922145">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1A89DA42" w14:textId="77777777" w:rsidR="00EC37C5" w:rsidRPr="00922145" w:rsidRDefault="00EC37C5">
            <w:pPr>
              <w:spacing w:before="0" w:after="0"/>
              <w:jc w:val="center"/>
              <w:rPr>
                <w:rFonts w:eastAsia="Times New Roman"/>
                <w:noProof/>
                <w:color w:val="000000"/>
                <w:sz w:val="16"/>
                <w:szCs w:val="16"/>
                <w:lang w:eastAsia="en-IE"/>
              </w:rPr>
            </w:pPr>
            <w:r w:rsidRPr="00922145">
              <w:rPr>
                <w:rFonts w:eastAsia="Times New Roman"/>
                <w:noProof/>
                <w:color w:val="000000"/>
                <w:sz w:val="16"/>
                <w:szCs w:val="16"/>
                <w:lang w:eastAsia="en-IE"/>
              </w:rPr>
              <w:t>0</w:t>
            </w:r>
          </w:p>
        </w:tc>
        <w:tc>
          <w:tcPr>
            <w:tcW w:w="516" w:type="pct"/>
            <w:tcBorders>
              <w:top w:val="nil"/>
              <w:left w:val="nil"/>
              <w:bottom w:val="single" w:sz="8" w:space="0" w:color="auto"/>
              <w:right w:val="single" w:sz="8" w:space="0" w:color="auto"/>
            </w:tcBorders>
            <w:shd w:val="clear" w:color="000000" w:fill="D9D9D9"/>
            <w:vAlign w:val="center"/>
            <w:hideMark/>
          </w:tcPr>
          <w:p w14:paraId="3586DCC9" w14:textId="77777777" w:rsidR="00EC37C5" w:rsidRPr="00922145" w:rsidRDefault="00EC37C5">
            <w:pPr>
              <w:spacing w:before="0" w:after="0"/>
              <w:jc w:val="center"/>
              <w:rPr>
                <w:rFonts w:eastAsia="Times New Roman"/>
                <w:noProof/>
                <w:color w:val="000000"/>
                <w:sz w:val="16"/>
                <w:szCs w:val="16"/>
                <w:lang w:eastAsia="en-IE"/>
              </w:rPr>
            </w:pPr>
            <w:r w:rsidRPr="00922145">
              <w:rPr>
                <w:rFonts w:eastAsia="Times New Roman"/>
                <w:noProof/>
                <w:color w:val="000000"/>
                <w:sz w:val="16"/>
                <w:szCs w:val="16"/>
                <w:lang w:eastAsia="en-IE"/>
              </w:rPr>
              <w:t>0</w:t>
            </w:r>
          </w:p>
        </w:tc>
      </w:tr>
      <w:tr w:rsidR="00EC37C5" w:rsidRPr="00922145" w14:paraId="2D5E6100" w14:textId="77777777">
        <w:trPr>
          <w:trHeight w:val="640"/>
        </w:trPr>
        <w:tc>
          <w:tcPr>
            <w:tcW w:w="751" w:type="pct"/>
            <w:tcBorders>
              <w:top w:val="nil"/>
              <w:left w:val="single" w:sz="8" w:space="0" w:color="auto"/>
              <w:bottom w:val="nil"/>
              <w:right w:val="single" w:sz="8" w:space="0" w:color="auto"/>
            </w:tcBorders>
            <w:vAlign w:val="center"/>
            <w:hideMark/>
          </w:tcPr>
          <w:p w14:paraId="13E614BF" w14:textId="77777777" w:rsidR="00EC37C5" w:rsidRPr="00922145" w:rsidRDefault="00EC37C5">
            <w:pPr>
              <w:spacing w:before="0" w:after="0"/>
              <w:jc w:val="center"/>
              <w:rPr>
                <w:rFonts w:eastAsia="Times New Roman"/>
                <w:noProof/>
                <w:color w:val="000000"/>
                <w:sz w:val="16"/>
                <w:szCs w:val="16"/>
                <w:lang w:eastAsia="en-IE"/>
              </w:rPr>
            </w:pPr>
            <w:r w:rsidRPr="00922145">
              <w:rPr>
                <w:rFonts w:eastAsia="Times New Roman"/>
                <w:noProof/>
                <w:color w:val="000000"/>
                <w:sz w:val="16"/>
                <w:szCs w:val="16"/>
                <w:lang w:eastAsia="en-IE"/>
              </w:rPr>
              <w:t>Admin. Support line</w:t>
            </w:r>
          </w:p>
        </w:tc>
        <w:tc>
          <w:tcPr>
            <w:tcW w:w="619" w:type="pct"/>
            <w:tcBorders>
              <w:top w:val="nil"/>
              <w:left w:val="nil"/>
              <w:bottom w:val="single" w:sz="8" w:space="0" w:color="auto"/>
              <w:right w:val="single" w:sz="8" w:space="0" w:color="auto"/>
            </w:tcBorders>
            <w:vAlign w:val="center"/>
            <w:hideMark/>
          </w:tcPr>
          <w:p w14:paraId="7CB69F2D" w14:textId="77777777" w:rsidR="00EC37C5" w:rsidRPr="00922145" w:rsidRDefault="00EC37C5">
            <w:pPr>
              <w:spacing w:before="0" w:after="0"/>
              <w:ind w:firstLineChars="100" w:firstLine="160"/>
              <w:jc w:val="left"/>
              <w:rPr>
                <w:rFonts w:eastAsia="Times New Roman"/>
                <w:noProof/>
                <w:color w:val="000000"/>
                <w:sz w:val="16"/>
                <w:szCs w:val="16"/>
                <w:lang w:eastAsia="en-IE"/>
              </w:rPr>
            </w:pPr>
            <w:r w:rsidRPr="00922145">
              <w:rPr>
                <w:rFonts w:eastAsia="Times New Roman"/>
                <w:noProof/>
                <w:color w:val="000000"/>
                <w:sz w:val="16"/>
                <w:szCs w:val="16"/>
                <w:lang w:eastAsia="en-IE"/>
              </w:rPr>
              <w:t>- at Headquarters</w:t>
            </w:r>
          </w:p>
        </w:tc>
        <w:tc>
          <w:tcPr>
            <w:tcW w:w="519" w:type="pct"/>
            <w:tcBorders>
              <w:top w:val="nil"/>
              <w:left w:val="nil"/>
              <w:bottom w:val="single" w:sz="8" w:space="0" w:color="auto"/>
              <w:right w:val="single" w:sz="8" w:space="0" w:color="auto"/>
            </w:tcBorders>
            <w:shd w:val="clear" w:color="000000" w:fill="D9D9D9"/>
            <w:vAlign w:val="center"/>
            <w:hideMark/>
          </w:tcPr>
          <w:p w14:paraId="05057F9B" w14:textId="77777777" w:rsidR="00EC37C5" w:rsidRPr="00922145" w:rsidRDefault="00EC37C5">
            <w:pPr>
              <w:spacing w:before="0" w:after="0"/>
              <w:jc w:val="center"/>
              <w:rPr>
                <w:rFonts w:eastAsia="Times New Roman"/>
                <w:noProof/>
                <w:color w:val="000000"/>
                <w:sz w:val="16"/>
                <w:szCs w:val="16"/>
                <w:lang w:eastAsia="en-IE"/>
              </w:rPr>
            </w:pPr>
            <w:r w:rsidRPr="00922145">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3EFD1355" w14:textId="77777777" w:rsidR="00EC37C5" w:rsidRPr="00922145" w:rsidRDefault="00EC37C5">
            <w:pPr>
              <w:spacing w:before="0" w:after="0"/>
              <w:jc w:val="center"/>
              <w:rPr>
                <w:rFonts w:eastAsia="Times New Roman"/>
                <w:noProof/>
                <w:color w:val="000000"/>
                <w:sz w:val="16"/>
                <w:szCs w:val="16"/>
                <w:lang w:eastAsia="en-IE"/>
              </w:rPr>
            </w:pPr>
            <w:r w:rsidRPr="00922145">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0DDB7C4C" w14:textId="77777777" w:rsidR="00EC37C5" w:rsidRPr="00922145" w:rsidRDefault="00EC37C5">
            <w:pPr>
              <w:spacing w:before="0" w:after="0"/>
              <w:jc w:val="center"/>
              <w:rPr>
                <w:rFonts w:eastAsia="Times New Roman"/>
                <w:noProof/>
                <w:color w:val="000000"/>
                <w:sz w:val="16"/>
                <w:szCs w:val="16"/>
                <w:lang w:eastAsia="en-IE"/>
              </w:rPr>
            </w:pPr>
            <w:r w:rsidRPr="00922145">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383C2FF9" w14:textId="77777777" w:rsidR="00EC37C5" w:rsidRPr="00922145" w:rsidRDefault="00EC37C5">
            <w:pPr>
              <w:spacing w:before="0" w:after="0"/>
              <w:jc w:val="center"/>
              <w:rPr>
                <w:rFonts w:eastAsia="Times New Roman"/>
                <w:noProof/>
                <w:color w:val="000000"/>
                <w:sz w:val="16"/>
                <w:szCs w:val="16"/>
                <w:lang w:eastAsia="en-IE"/>
              </w:rPr>
            </w:pPr>
            <w:r w:rsidRPr="00922145">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78093E6B" w14:textId="77777777" w:rsidR="00EC37C5" w:rsidRPr="00922145" w:rsidRDefault="00EC37C5">
            <w:pPr>
              <w:spacing w:before="0" w:after="0"/>
              <w:jc w:val="center"/>
              <w:rPr>
                <w:rFonts w:eastAsia="Times New Roman"/>
                <w:noProof/>
                <w:color w:val="000000"/>
                <w:sz w:val="16"/>
                <w:szCs w:val="16"/>
                <w:lang w:eastAsia="en-IE"/>
              </w:rPr>
            </w:pPr>
            <w:r w:rsidRPr="00922145">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15AC7C58" w14:textId="77777777" w:rsidR="00EC37C5" w:rsidRPr="00922145" w:rsidRDefault="00EC37C5">
            <w:pPr>
              <w:spacing w:before="0" w:after="0"/>
              <w:jc w:val="center"/>
              <w:rPr>
                <w:rFonts w:eastAsia="Times New Roman"/>
                <w:noProof/>
                <w:color w:val="000000"/>
                <w:sz w:val="16"/>
                <w:szCs w:val="16"/>
                <w:lang w:eastAsia="en-IE"/>
              </w:rPr>
            </w:pPr>
            <w:r w:rsidRPr="00922145">
              <w:rPr>
                <w:rFonts w:eastAsia="Times New Roman"/>
                <w:noProof/>
                <w:color w:val="000000"/>
                <w:sz w:val="16"/>
                <w:szCs w:val="16"/>
                <w:lang w:eastAsia="en-IE"/>
              </w:rPr>
              <w:t>0</w:t>
            </w:r>
          </w:p>
        </w:tc>
        <w:tc>
          <w:tcPr>
            <w:tcW w:w="516" w:type="pct"/>
            <w:tcBorders>
              <w:top w:val="nil"/>
              <w:left w:val="nil"/>
              <w:bottom w:val="single" w:sz="8" w:space="0" w:color="auto"/>
              <w:right w:val="single" w:sz="8" w:space="0" w:color="auto"/>
            </w:tcBorders>
            <w:shd w:val="clear" w:color="000000" w:fill="D9D9D9"/>
            <w:vAlign w:val="center"/>
            <w:hideMark/>
          </w:tcPr>
          <w:p w14:paraId="152AFDFC" w14:textId="77777777" w:rsidR="00EC37C5" w:rsidRPr="00922145" w:rsidRDefault="00EC37C5">
            <w:pPr>
              <w:spacing w:before="0" w:after="0"/>
              <w:jc w:val="center"/>
              <w:rPr>
                <w:rFonts w:eastAsia="Times New Roman"/>
                <w:noProof/>
                <w:color w:val="000000"/>
                <w:sz w:val="16"/>
                <w:szCs w:val="16"/>
                <w:lang w:eastAsia="en-IE"/>
              </w:rPr>
            </w:pPr>
            <w:r w:rsidRPr="00922145">
              <w:rPr>
                <w:rFonts w:eastAsia="Times New Roman"/>
                <w:noProof/>
                <w:color w:val="000000"/>
                <w:sz w:val="16"/>
                <w:szCs w:val="16"/>
                <w:lang w:eastAsia="en-IE"/>
              </w:rPr>
              <w:t>0</w:t>
            </w:r>
          </w:p>
        </w:tc>
      </w:tr>
      <w:tr w:rsidR="00EC37C5" w:rsidRPr="00922145" w14:paraId="53C1847A" w14:textId="77777777">
        <w:trPr>
          <w:trHeight w:val="430"/>
        </w:trPr>
        <w:tc>
          <w:tcPr>
            <w:tcW w:w="751" w:type="pct"/>
            <w:tcBorders>
              <w:top w:val="nil"/>
              <w:left w:val="single" w:sz="8" w:space="0" w:color="auto"/>
              <w:bottom w:val="single" w:sz="8" w:space="0" w:color="auto"/>
              <w:right w:val="single" w:sz="8" w:space="0" w:color="auto"/>
            </w:tcBorders>
            <w:vAlign w:val="center"/>
            <w:hideMark/>
          </w:tcPr>
          <w:p w14:paraId="18BBF62C" w14:textId="77777777" w:rsidR="00EC37C5" w:rsidRPr="00922145" w:rsidRDefault="00EC37C5">
            <w:pPr>
              <w:spacing w:before="0" w:after="0"/>
              <w:jc w:val="center"/>
              <w:rPr>
                <w:rFonts w:eastAsia="Times New Roman"/>
                <w:noProof/>
                <w:color w:val="000000"/>
                <w:sz w:val="16"/>
                <w:szCs w:val="16"/>
                <w:lang w:eastAsia="en-IE"/>
              </w:rPr>
            </w:pPr>
            <w:r w:rsidRPr="00922145">
              <w:rPr>
                <w:rFonts w:eastAsia="Times New Roman"/>
                <w:noProof/>
                <w:color w:val="000000"/>
                <w:sz w:val="16"/>
                <w:szCs w:val="16"/>
                <w:lang w:eastAsia="en-IE"/>
              </w:rPr>
              <w:t>[XX.01.YY.YY]</w:t>
            </w:r>
          </w:p>
        </w:tc>
        <w:tc>
          <w:tcPr>
            <w:tcW w:w="619" w:type="pct"/>
            <w:tcBorders>
              <w:top w:val="nil"/>
              <w:left w:val="nil"/>
              <w:bottom w:val="single" w:sz="8" w:space="0" w:color="auto"/>
              <w:right w:val="single" w:sz="8" w:space="0" w:color="auto"/>
            </w:tcBorders>
            <w:vAlign w:val="center"/>
            <w:hideMark/>
          </w:tcPr>
          <w:p w14:paraId="7DDFC029" w14:textId="77777777" w:rsidR="00EC37C5" w:rsidRPr="00922145" w:rsidRDefault="00EC37C5">
            <w:pPr>
              <w:spacing w:before="0" w:after="0"/>
              <w:ind w:firstLineChars="100" w:firstLine="160"/>
              <w:jc w:val="left"/>
              <w:rPr>
                <w:rFonts w:eastAsia="Times New Roman"/>
                <w:noProof/>
                <w:color w:val="000000"/>
                <w:sz w:val="16"/>
                <w:szCs w:val="16"/>
                <w:lang w:eastAsia="en-IE"/>
              </w:rPr>
            </w:pPr>
            <w:r w:rsidRPr="00922145">
              <w:rPr>
                <w:rFonts w:eastAsia="Times New Roman"/>
                <w:noProof/>
                <w:color w:val="000000"/>
                <w:sz w:val="16"/>
                <w:szCs w:val="16"/>
                <w:lang w:eastAsia="en-IE"/>
              </w:rPr>
              <w:t xml:space="preserve">- in EU Delegations </w:t>
            </w:r>
          </w:p>
        </w:tc>
        <w:tc>
          <w:tcPr>
            <w:tcW w:w="519" w:type="pct"/>
            <w:tcBorders>
              <w:top w:val="nil"/>
              <w:left w:val="nil"/>
              <w:bottom w:val="single" w:sz="8" w:space="0" w:color="auto"/>
              <w:right w:val="single" w:sz="8" w:space="0" w:color="auto"/>
            </w:tcBorders>
            <w:shd w:val="clear" w:color="000000" w:fill="D9D9D9"/>
            <w:vAlign w:val="center"/>
            <w:hideMark/>
          </w:tcPr>
          <w:p w14:paraId="0BDBDE5B" w14:textId="77777777" w:rsidR="00EC37C5" w:rsidRPr="00922145" w:rsidRDefault="00EC37C5">
            <w:pPr>
              <w:spacing w:before="0" w:after="0"/>
              <w:jc w:val="center"/>
              <w:rPr>
                <w:rFonts w:eastAsia="Times New Roman"/>
                <w:noProof/>
                <w:color w:val="000000"/>
                <w:sz w:val="16"/>
                <w:szCs w:val="16"/>
                <w:lang w:eastAsia="en-IE"/>
              </w:rPr>
            </w:pPr>
            <w:r w:rsidRPr="00922145">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0CEE0D79" w14:textId="77777777" w:rsidR="00EC37C5" w:rsidRPr="00922145" w:rsidRDefault="00EC37C5">
            <w:pPr>
              <w:spacing w:before="0" w:after="0"/>
              <w:jc w:val="center"/>
              <w:rPr>
                <w:rFonts w:eastAsia="Times New Roman"/>
                <w:noProof/>
                <w:color w:val="000000"/>
                <w:sz w:val="16"/>
                <w:szCs w:val="16"/>
                <w:lang w:eastAsia="en-IE"/>
              </w:rPr>
            </w:pPr>
            <w:r w:rsidRPr="00922145">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23878837" w14:textId="77777777" w:rsidR="00EC37C5" w:rsidRPr="00922145" w:rsidRDefault="00EC37C5">
            <w:pPr>
              <w:spacing w:before="0" w:after="0"/>
              <w:jc w:val="center"/>
              <w:rPr>
                <w:rFonts w:eastAsia="Times New Roman"/>
                <w:noProof/>
                <w:color w:val="000000"/>
                <w:sz w:val="16"/>
                <w:szCs w:val="16"/>
                <w:lang w:eastAsia="en-IE"/>
              </w:rPr>
            </w:pPr>
            <w:r w:rsidRPr="00922145">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218174BB" w14:textId="77777777" w:rsidR="00EC37C5" w:rsidRPr="00922145" w:rsidRDefault="00EC37C5">
            <w:pPr>
              <w:spacing w:before="0" w:after="0"/>
              <w:jc w:val="center"/>
              <w:rPr>
                <w:rFonts w:eastAsia="Times New Roman"/>
                <w:noProof/>
                <w:color w:val="000000"/>
                <w:sz w:val="16"/>
                <w:szCs w:val="16"/>
                <w:lang w:eastAsia="en-IE"/>
              </w:rPr>
            </w:pPr>
            <w:r w:rsidRPr="00922145">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7E680019" w14:textId="77777777" w:rsidR="00EC37C5" w:rsidRPr="00922145" w:rsidRDefault="00EC37C5">
            <w:pPr>
              <w:spacing w:before="0" w:after="0"/>
              <w:jc w:val="center"/>
              <w:rPr>
                <w:rFonts w:eastAsia="Times New Roman"/>
                <w:noProof/>
                <w:color w:val="000000"/>
                <w:sz w:val="16"/>
                <w:szCs w:val="16"/>
                <w:lang w:eastAsia="en-IE"/>
              </w:rPr>
            </w:pPr>
            <w:r w:rsidRPr="00922145">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76D8BAEF" w14:textId="77777777" w:rsidR="00EC37C5" w:rsidRPr="00922145" w:rsidRDefault="00EC37C5">
            <w:pPr>
              <w:spacing w:before="0" w:after="0"/>
              <w:jc w:val="center"/>
              <w:rPr>
                <w:rFonts w:eastAsia="Times New Roman"/>
                <w:noProof/>
                <w:color w:val="000000"/>
                <w:sz w:val="16"/>
                <w:szCs w:val="16"/>
                <w:lang w:eastAsia="en-IE"/>
              </w:rPr>
            </w:pPr>
            <w:r w:rsidRPr="00922145">
              <w:rPr>
                <w:rFonts w:eastAsia="Times New Roman"/>
                <w:noProof/>
                <w:color w:val="000000"/>
                <w:sz w:val="16"/>
                <w:szCs w:val="16"/>
                <w:lang w:eastAsia="en-IE"/>
              </w:rPr>
              <w:t>0</w:t>
            </w:r>
          </w:p>
        </w:tc>
        <w:tc>
          <w:tcPr>
            <w:tcW w:w="516" w:type="pct"/>
            <w:tcBorders>
              <w:top w:val="nil"/>
              <w:left w:val="nil"/>
              <w:bottom w:val="single" w:sz="8" w:space="0" w:color="auto"/>
              <w:right w:val="single" w:sz="8" w:space="0" w:color="auto"/>
            </w:tcBorders>
            <w:shd w:val="clear" w:color="000000" w:fill="D9D9D9"/>
            <w:vAlign w:val="center"/>
            <w:hideMark/>
          </w:tcPr>
          <w:p w14:paraId="73886CC4" w14:textId="77777777" w:rsidR="00EC37C5" w:rsidRPr="00922145" w:rsidRDefault="00EC37C5">
            <w:pPr>
              <w:spacing w:before="0" w:after="0"/>
              <w:jc w:val="center"/>
              <w:rPr>
                <w:rFonts w:eastAsia="Times New Roman"/>
                <w:noProof/>
                <w:color w:val="000000"/>
                <w:sz w:val="16"/>
                <w:szCs w:val="16"/>
                <w:lang w:eastAsia="en-IE"/>
              </w:rPr>
            </w:pPr>
            <w:r w:rsidRPr="00922145">
              <w:rPr>
                <w:rFonts w:eastAsia="Times New Roman"/>
                <w:noProof/>
                <w:color w:val="000000"/>
                <w:sz w:val="16"/>
                <w:szCs w:val="16"/>
                <w:lang w:eastAsia="en-IE"/>
              </w:rPr>
              <w:t>0</w:t>
            </w:r>
          </w:p>
        </w:tc>
      </w:tr>
      <w:tr w:rsidR="00EC37C5" w:rsidRPr="00922145" w14:paraId="270A52A7" w14:textId="77777777">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42041E1A" w14:textId="77777777" w:rsidR="00EC37C5" w:rsidRPr="00922145" w:rsidRDefault="00EC37C5">
            <w:pPr>
              <w:spacing w:before="0" w:after="0"/>
              <w:ind w:firstLineChars="100" w:firstLine="200"/>
              <w:jc w:val="left"/>
              <w:rPr>
                <w:rFonts w:eastAsia="Times New Roman"/>
                <w:noProof/>
                <w:color w:val="000000"/>
                <w:sz w:val="16"/>
                <w:szCs w:val="16"/>
                <w:lang w:eastAsia="en-IE"/>
              </w:rPr>
            </w:pPr>
            <w:r w:rsidRPr="00922145">
              <w:rPr>
                <w:rFonts w:ascii="Arial Narrow" w:eastAsia="Times New Roman" w:hAnsi="Arial Narrow"/>
                <w:noProof/>
                <w:color w:val="000000"/>
                <w:sz w:val="20"/>
                <w:szCs w:val="20"/>
                <w:lang w:eastAsia="en-IE"/>
              </w:rPr>
              <w:t xml:space="preserve"> </w:t>
            </w:r>
            <w:r w:rsidRPr="00922145">
              <w:rPr>
                <w:rFonts w:eastAsia="Times New Roman"/>
                <w:noProof/>
                <w:color w:val="000000"/>
                <w:sz w:val="16"/>
                <w:szCs w:val="16"/>
                <w:lang w:eastAsia="en-IE"/>
              </w:rPr>
              <w:t>(AC, END - Indirect research)</w:t>
            </w:r>
          </w:p>
        </w:tc>
        <w:tc>
          <w:tcPr>
            <w:tcW w:w="519" w:type="pct"/>
            <w:tcBorders>
              <w:top w:val="nil"/>
              <w:left w:val="nil"/>
              <w:bottom w:val="single" w:sz="8" w:space="0" w:color="auto"/>
              <w:right w:val="single" w:sz="8" w:space="0" w:color="auto"/>
            </w:tcBorders>
            <w:shd w:val="clear" w:color="000000" w:fill="D9D9D9"/>
            <w:vAlign w:val="center"/>
            <w:hideMark/>
          </w:tcPr>
          <w:p w14:paraId="3303A6DC" w14:textId="77777777" w:rsidR="00EC37C5" w:rsidRPr="00922145" w:rsidRDefault="00EC37C5">
            <w:pPr>
              <w:spacing w:before="0" w:after="0"/>
              <w:jc w:val="center"/>
              <w:rPr>
                <w:rFonts w:eastAsia="Times New Roman"/>
                <w:noProof/>
                <w:color w:val="000000"/>
                <w:sz w:val="16"/>
                <w:szCs w:val="16"/>
                <w:lang w:eastAsia="en-IE"/>
              </w:rPr>
            </w:pPr>
            <w:r w:rsidRPr="00922145">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2E25107A" w14:textId="77777777" w:rsidR="00EC37C5" w:rsidRPr="00922145" w:rsidRDefault="00EC37C5">
            <w:pPr>
              <w:spacing w:before="0" w:after="0"/>
              <w:jc w:val="center"/>
              <w:rPr>
                <w:rFonts w:eastAsia="Times New Roman"/>
                <w:noProof/>
                <w:color w:val="000000"/>
                <w:sz w:val="16"/>
                <w:szCs w:val="16"/>
                <w:lang w:eastAsia="en-IE"/>
              </w:rPr>
            </w:pPr>
            <w:r w:rsidRPr="00922145">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5EF5E7E5" w14:textId="77777777" w:rsidR="00EC37C5" w:rsidRPr="00922145" w:rsidRDefault="00EC37C5">
            <w:pPr>
              <w:spacing w:before="0" w:after="0"/>
              <w:jc w:val="center"/>
              <w:rPr>
                <w:rFonts w:eastAsia="Times New Roman"/>
                <w:noProof/>
                <w:color w:val="000000"/>
                <w:sz w:val="16"/>
                <w:szCs w:val="16"/>
                <w:lang w:eastAsia="en-IE"/>
              </w:rPr>
            </w:pPr>
            <w:r w:rsidRPr="00922145">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1ACE1249" w14:textId="77777777" w:rsidR="00EC37C5" w:rsidRPr="00922145" w:rsidRDefault="00EC37C5">
            <w:pPr>
              <w:spacing w:before="0" w:after="0"/>
              <w:jc w:val="center"/>
              <w:rPr>
                <w:rFonts w:eastAsia="Times New Roman"/>
                <w:noProof/>
                <w:color w:val="000000"/>
                <w:sz w:val="16"/>
                <w:szCs w:val="16"/>
                <w:lang w:eastAsia="en-IE"/>
              </w:rPr>
            </w:pPr>
            <w:r w:rsidRPr="00922145">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6EA0490B" w14:textId="77777777" w:rsidR="00EC37C5" w:rsidRPr="00922145" w:rsidRDefault="00EC37C5">
            <w:pPr>
              <w:spacing w:before="0" w:after="0"/>
              <w:jc w:val="center"/>
              <w:rPr>
                <w:rFonts w:eastAsia="Times New Roman"/>
                <w:noProof/>
                <w:color w:val="000000"/>
                <w:sz w:val="16"/>
                <w:szCs w:val="16"/>
                <w:lang w:eastAsia="en-IE"/>
              </w:rPr>
            </w:pPr>
            <w:r w:rsidRPr="00922145">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161F12A0" w14:textId="77777777" w:rsidR="00EC37C5" w:rsidRPr="00922145" w:rsidRDefault="00EC37C5">
            <w:pPr>
              <w:spacing w:before="0" w:after="0"/>
              <w:jc w:val="center"/>
              <w:rPr>
                <w:rFonts w:eastAsia="Times New Roman"/>
                <w:noProof/>
                <w:color w:val="000000"/>
                <w:sz w:val="16"/>
                <w:szCs w:val="16"/>
                <w:lang w:eastAsia="en-IE"/>
              </w:rPr>
            </w:pPr>
            <w:r w:rsidRPr="00922145">
              <w:rPr>
                <w:rFonts w:eastAsia="Times New Roman"/>
                <w:noProof/>
                <w:color w:val="000000"/>
                <w:sz w:val="16"/>
                <w:szCs w:val="16"/>
                <w:lang w:eastAsia="en-IE"/>
              </w:rPr>
              <w:t>0</w:t>
            </w:r>
          </w:p>
        </w:tc>
        <w:tc>
          <w:tcPr>
            <w:tcW w:w="516" w:type="pct"/>
            <w:tcBorders>
              <w:top w:val="nil"/>
              <w:left w:val="nil"/>
              <w:bottom w:val="single" w:sz="8" w:space="0" w:color="auto"/>
              <w:right w:val="single" w:sz="8" w:space="0" w:color="auto"/>
            </w:tcBorders>
            <w:shd w:val="clear" w:color="000000" w:fill="D9D9D9"/>
            <w:vAlign w:val="center"/>
            <w:hideMark/>
          </w:tcPr>
          <w:p w14:paraId="411A3FB1" w14:textId="77777777" w:rsidR="00EC37C5" w:rsidRPr="00922145" w:rsidRDefault="00EC37C5">
            <w:pPr>
              <w:spacing w:before="0" w:after="0"/>
              <w:jc w:val="center"/>
              <w:rPr>
                <w:rFonts w:eastAsia="Times New Roman"/>
                <w:noProof/>
                <w:color w:val="000000"/>
                <w:sz w:val="16"/>
                <w:szCs w:val="16"/>
                <w:lang w:eastAsia="en-IE"/>
              </w:rPr>
            </w:pPr>
            <w:r w:rsidRPr="00922145">
              <w:rPr>
                <w:rFonts w:eastAsia="Times New Roman"/>
                <w:noProof/>
                <w:color w:val="000000"/>
                <w:sz w:val="16"/>
                <w:szCs w:val="16"/>
                <w:lang w:eastAsia="en-IE"/>
              </w:rPr>
              <w:t>0</w:t>
            </w:r>
          </w:p>
        </w:tc>
      </w:tr>
      <w:tr w:rsidR="00EC37C5" w:rsidRPr="00922145" w14:paraId="1644D3AB" w14:textId="77777777">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521192FB" w14:textId="77777777" w:rsidR="00EC37C5" w:rsidRPr="00922145" w:rsidRDefault="00EC37C5">
            <w:pPr>
              <w:spacing w:before="0" w:after="0"/>
              <w:ind w:firstLineChars="100" w:firstLine="160"/>
              <w:jc w:val="left"/>
              <w:rPr>
                <w:rFonts w:eastAsia="Times New Roman"/>
                <w:noProof/>
                <w:color w:val="000000"/>
                <w:sz w:val="16"/>
                <w:szCs w:val="16"/>
                <w:lang w:eastAsia="en-IE"/>
              </w:rPr>
            </w:pPr>
            <w:r w:rsidRPr="00922145">
              <w:rPr>
                <w:rFonts w:eastAsia="Times New Roman"/>
                <w:noProof/>
                <w:color w:val="000000"/>
                <w:sz w:val="16"/>
                <w:szCs w:val="16"/>
                <w:lang w:eastAsia="en-IE"/>
              </w:rPr>
              <w:t xml:space="preserve"> (AC, END - Direct research)</w:t>
            </w:r>
          </w:p>
        </w:tc>
        <w:tc>
          <w:tcPr>
            <w:tcW w:w="519" w:type="pct"/>
            <w:tcBorders>
              <w:top w:val="nil"/>
              <w:left w:val="nil"/>
              <w:bottom w:val="single" w:sz="8" w:space="0" w:color="auto"/>
              <w:right w:val="single" w:sz="8" w:space="0" w:color="auto"/>
            </w:tcBorders>
            <w:shd w:val="clear" w:color="000000" w:fill="D9D9D9"/>
            <w:vAlign w:val="center"/>
            <w:hideMark/>
          </w:tcPr>
          <w:p w14:paraId="07407783" w14:textId="77777777" w:rsidR="00EC37C5" w:rsidRPr="00922145" w:rsidRDefault="00EC37C5">
            <w:pPr>
              <w:spacing w:before="0" w:after="0"/>
              <w:jc w:val="center"/>
              <w:rPr>
                <w:rFonts w:eastAsia="Times New Roman"/>
                <w:noProof/>
                <w:color w:val="000000"/>
                <w:sz w:val="16"/>
                <w:szCs w:val="16"/>
                <w:lang w:eastAsia="en-IE"/>
              </w:rPr>
            </w:pPr>
            <w:r w:rsidRPr="00922145">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4F358546" w14:textId="77777777" w:rsidR="00EC37C5" w:rsidRPr="00922145" w:rsidRDefault="00EC37C5">
            <w:pPr>
              <w:spacing w:before="0" w:after="0"/>
              <w:jc w:val="center"/>
              <w:rPr>
                <w:rFonts w:eastAsia="Times New Roman"/>
                <w:noProof/>
                <w:color w:val="000000"/>
                <w:sz w:val="16"/>
                <w:szCs w:val="16"/>
                <w:lang w:eastAsia="en-IE"/>
              </w:rPr>
            </w:pPr>
            <w:r w:rsidRPr="00922145">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5346C078" w14:textId="77777777" w:rsidR="00EC37C5" w:rsidRPr="00922145" w:rsidRDefault="00EC37C5">
            <w:pPr>
              <w:spacing w:before="0" w:after="0"/>
              <w:jc w:val="center"/>
              <w:rPr>
                <w:rFonts w:eastAsia="Times New Roman"/>
                <w:noProof/>
                <w:color w:val="000000"/>
                <w:sz w:val="16"/>
                <w:szCs w:val="16"/>
                <w:lang w:eastAsia="en-IE"/>
              </w:rPr>
            </w:pPr>
            <w:r w:rsidRPr="00922145">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5C52A6F7" w14:textId="77777777" w:rsidR="00EC37C5" w:rsidRPr="00922145" w:rsidRDefault="00EC37C5">
            <w:pPr>
              <w:spacing w:before="0" w:after="0"/>
              <w:jc w:val="center"/>
              <w:rPr>
                <w:rFonts w:eastAsia="Times New Roman"/>
                <w:noProof/>
                <w:color w:val="000000"/>
                <w:sz w:val="16"/>
                <w:szCs w:val="16"/>
                <w:lang w:eastAsia="en-IE"/>
              </w:rPr>
            </w:pPr>
            <w:r w:rsidRPr="00922145">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69DC36BB" w14:textId="77777777" w:rsidR="00EC37C5" w:rsidRPr="00922145" w:rsidRDefault="00EC37C5">
            <w:pPr>
              <w:spacing w:before="0" w:after="0"/>
              <w:jc w:val="center"/>
              <w:rPr>
                <w:rFonts w:eastAsia="Times New Roman"/>
                <w:noProof/>
                <w:color w:val="000000"/>
                <w:sz w:val="16"/>
                <w:szCs w:val="16"/>
                <w:lang w:eastAsia="en-IE"/>
              </w:rPr>
            </w:pPr>
            <w:r w:rsidRPr="00922145">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402C9E71" w14:textId="77777777" w:rsidR="00EC37C5" w:rsidRPr="00922145" w:rsidRDefault="00EC37C5">
            <w:pPr>
              <w:spacing w:before="0" w:after="0"/>
              <w:jc w:val="center"/>
              <w:rPr>
                <w:rFonts w:eastAsia="Times New Roman"/>
                <w:noProof/>
                <w:color w:val="000000"/>
                <w:sz w:val="16"/>
                <w:szCs w:val="16"/>
                <w:lang w:eastAsia="en-IE"/>
              </w:rPr>
            </w:pPr>
            <w:r w:rsidRPr="00922145">
              <w:rPr>
                <w:rFonts w:eastAsia="Times New Roman"/>
                <w:noProof/>
                <w:color w:val="000000"/>
                <w:sz w:val="16"/>
                <w:szCs w:val="16"/>
                <w:lang w:eastAsia="en-IE"/>
              </w:rPr>
              <w:t>0</w:t>
            </w:r>
          </w:p>
        </w:tc>
        <w:tc>
          <w:tcPr>
            <w:tcW w:w="516" w:type="pct"/>
            <w:tcBorders>
              <w:top w:val="nil"/>
              <w:left w:val="nil"/>
              <w:bottom w:val="single" w:sz="8" w:space="0" w:color="auto"/>
              <w:right w:val="single" w:sz="8" w:space="0" w:color="auto"/>
            </w:tcBorders>
            <w:shd w:val="clear" w:color="000000" w:fill="D9D9D9"/>
            <w:vAlign w:val="center"/>
            <w:hideMark/>
          </w:tcPr>
          <w:p w14:paraId="0AC72E38" w14:textId="77777777" w:rsidR="00EC37C5" w:rsidRPr="00922145" w:rsidRDefault="00EC37C5">
            <w:pPr>
              <w:spacing w:before="0" w:after="0"/>
              <w:jc w:val="center"/>
              <w:rPr>
                <w:rFonts w:eastAsia="Times New Roman"/>
                <w:noProof/>
                <w:color w:val="000000"/>
                <w:sz w:val="16"/>
                <w:szCs w:val="16"/>
                <w:lang w:eastAsia="en-IE"/>
              </w:rPr>
            </w:pPr>
            <w:r w:rsidRPr="00922145">
              <w:rPr>
                <w:rFonts w:eastAsia="Times New Roman"/>
                <w:noProof/>
                <w:color w:val="000000"/>
                <w:sz w:val="16"/>
                <w:szCs w:val="16"/>
                <w:lang w:eastAsia="en-IE"/>
              </w:rPr>
              <w:t>0</w:t>
            </w:r>
          </w:p>
        </w:tc>
      </w:tr>
      <w:tr w:rsidR="00EC37C5" w:rsidRPr="00922145" w14:paraId="4C69D14C" w14:textId="77777777">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6978F8DF" w14:textId="77777777" w:rsidR="00EC37C5" w:rsidRPr="00922145" w:rsidRDefault="00EC37C5">
            <w:pPr>
              <w:spacing w:before="0" w:after="0"/>
              <w:ind w:firstLineChars="100" w:firstLine="160"/>
              <w:jc w:val="left"/>
              <w:rPr>
                <w:rFonts w:eastAsia="Times New Roman"/>
                <w:noProof/>
                <w:color w:val="000000"/>
                <w:sz w:val="16"/>
                <w:szCs w:val="16"/>
                <w:lang w:eastAsia="en-IE"/>
              </w:rPr>
            </w:pPr>
            <w:r w:rsidRPr="00922145">
              <w:rPr>
                <w:rFonts w:eastAsia="Times New Roman"/>
                <w:noProof/>
                <w:color w:val="000000"/>
                <w:sz w:val="16"/>
                <w:szCs w:val="16"/>
                <w:lang w:eastAsia="en-IE"/>
              </w:rPr>
              <w:t>Other budget lines (specify) - Heading 4</w:t>
            </w:r>
          </w:p>
        </w:tc>
        <w:tc>
          <w:tcPr>
            <w:tcW w:w="519" w:type="pct"/>
            <w:tcBorders>
              <w:top w:val="nil"/>
              <w:left w:val="nil"/>
              <w:bottom w:val="single" w:sz="8" w:space="0" w:color="auto"/>
              <w:right w:val="single" w:sz="8" w:space="0" w:color="auto"/>
            </w:tcBorders>
            <w:shd w:val="clear" w:color="000000" w:fill="D9D9D9"/>
            <w:vAlign w:val="center"/>
            <w:hideMark/>
          </w:tcPr>
          <w:p w14:paraId="60F0743A" w14:textId="77777777" w:rsidR="00EC37C5" w:rsidRPr="00922145" w:rsidRDefault="00EC37C5">
            <w:pPr>
              <w:spacing w:before="0" w:after="0"/>
              <w:jc w:val="center"/>
              <w:rPr>
                <w:rFonts w:eastAsia="Times New Roman"/>
                <w:noProof/>
                <w:color w:val="000000"/>
                <w:sz w:val="16"/>
                <w:szCs w:val="16"/>
                <w:lang w:eastAsia="en-IE"/>
              </w:rPr>
            </w:pPr>
            <w:r w:rsidRPr="00922145">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03A7C086" w14:textId="77777777" w:rsidR="00EC37C5" w:rsidRPr="00922145" w:rsidRDefault="00EC37C5">
            <w:pPr>
              <w:spacing w:before="0" w:after="0"/>
              <w:jc w:val="center"/>
              <w:rPr>
                <w:rFonts w:eastAsia="Times New Roman"/>
                <w:noProof/>
                <w:color w:val="000000"/>
                <w:sz w:val="16"/>
                <w:szCs w:val="16"/>
                <w:lang w:eastAsia="en-IE"/>
              </w:rPr>
            </w:pPr>
            <w:r w:rsidRPr="00922145">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559173EC" w14:textId="77777777" w:rsidR="00EC37C5" w:rsidRPr="00922145" w:rsidRDefault="00EC37C5">
            <w:pPr>
              <w:spacing w:before="0" w:after="0"/>
              <w:jc w:val="center"/>
              <w:rPr>
                <w:rFonts w:eastAsia="Times New Roman"/>
                <w:noProof/>
                <w:color w:val="000000"/>
                <w:sz w:val="16"/>
                <w:szCs w:val="16"/>
                <w:lang w:eastAsia="en-IE"/>
              </w:rPr>
            </w:pPr>
            <w:r w:rsidRPr="00922145">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48191B1F" w14:textId="77777777" w:rsidR="00EC37C5" w:rsidRPr="00922145" w:rsidRDefault="00EC37C5">
            <w:pPr>
              <w:spacing w:before="0" w:after="0"/>
              <w:jc w:val="center"/>
              <w:rPr>
                <w:rFonts w:eastAsia="Times New Roman"/>
                <w:noProof/>
                <w:color w:val="000000"/>
                <w:sz w:val="16"/>
                <w:szCs w:val="16"/>
                <w:lang w:eastAsia="en-IE"/>
              </w:rPr>
            </w:pPr>
            <w:r w:rsidRPr="00922145">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06324DCE" w14:textId="77777777" w:rsidR="00EC37C5" w:rsidRPr="00922145" w:rsidRDefault="00EC37C5">
            <w:pPr>
              <w:spacing w:before="0" w:after="0"/>
              <w:jc w:val="center"/>
              <w:rPr>
                <w:rFonts w:eastAsia="Times New Roman"/>
                <w:noProof/>
                <w:color w:val="000000"/>
                <w:sz w:val="16"/>
                <w:szCs w:val="16"/>
                <w:lang w:eastAsia="en-IE"/>
              </w:rPr>
            </w:pPr>
            <w:r w:rsidRPr="00922145">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52DF8DA2" w14:textId="77777777" w:rsidR="00EC37C5" w:rsidRPr="00922145" w:rsidRDefault="00EC37C5">
            <w:pPr>
              <w:spacing w:before="0" w:after="0"/>
              <w:jc w:val="center"/>
              <w:rPr>
                <w:rFonts w:eastAsia="Times New Roman"/>
                <w:noProof/>
                <w:color w:val="000000"/>
                <w:sz w:val="16"/>
                <w:szCs w:val="16"/>
                <w:lang w:eastAsia="en-IE"/>
              </w:rPr>
            </w:pPr>
            <w:r w:rsidRPr="00922145">
              <w:rPr>
                <w:rFonts w:eastAsia="Times New Roman"/>
                <w:noProof/>
                <w:color w:val="000000"/>
                <w:sz w:val="16"/>
                <w:szCs w:val="16"/>
                <w:lang w:eastAsia="en-IE"/>
              </w:rPr>
              <w:t>0</w:t>
            </w:r>
          </w:p>
        </w:tc>
        <w:tc>
          <w:tcPr>
            <w:tcW w:w="516" w:type="pct"/>
            <w:tcBorders>
              <w:top w:val="nil"/>
              <w:left w:val="nil"/>
              <w:bottom w:val="single" w:sz="8" w:space="0" w:color="auto"/>
              <w:right w:val="single" w:sz="8" w:space="0" w:color="auto"/>
            </w:tcBorders>
            <w:shd w:val="clear" w:color="000000" w:fill="D9D9D9"/>
            <w:vAlign w:val="center"/>
            <w:hideMark/>
          </w:tcPr>
          <w:p w14:paraId="654969B9" w14:textId="77777777" w:rsidR="00EC37C5" w:rsidRPr="00922145" w:rsidRDefault="00EC37C5">
            <w:pPr>
              <w:spacing w:before="0" w:after="0"/>
              <w:jc w:val="center"/>
              <w:rPr>
                <w:rFonts w:eastAsia="Times New Roman"/>
                <w:noProof/>
                <w:color w:val="000000"/>
                <w:sz w:val="16"/>
                <w:szCs w:val="16"/>
                <w:lang w:eastAsia="en-IE"/>
              </w:rPr>
            </w:pPr>
            <w:r w:rsidRPr="00922145">
              <w:rPr>
                <w:rFonts w:eastAsia="Times New Roman"/>
                <w:noProof/>
                <w:color w:val="000000"/>
                <w:sz w:val="16"/>
                <w:szCs w:val="16"/>
                <w:lang w:eastAsia="en-IE"/>
              </w:rPr>
              <w:t>0</w:t>
            </w:r>
          </w:p>
        </w:tc>
      </w:tr>
      <w:tr w:rsidR="008E3FA9" w:rsidRPr="00922145" w14:paraId="182CCEF5" w14:textId="77777777">
        <w:trPr>
          <w:trHeight w:val="52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128F2A74" w14:textId="77777777" w:rsidR="008E3FA9" w:rsidRPr="00922145" w:rsidRDefault="008E3FA9" w:rsidP="008E3FA9">
            <w:pPr>
              <w:spacing w:before="0" w:after="0"/>
              <w:ind w:firstLineChars="100" w:firstLine="160"/>
              <w:jc w:val="left"/>
              <w:rPr>
                <w:rFonts w:eastAsia="Times New Roman"/>
                <w:noProof/>
                <w:color w:val="000000"/>
                <w:sz w:val="16"/>
                <w:szCs w:val="16"/>
                <w:lang w:eastAsia="en-IE"/>
              </w:rPr>
            </w:pPr>
            <w:r w:rsidRPr="00922145">
              <w:rPr>
                <w:rFonts w:eastAsia="Times New Roman"/>
                <w:noProof/>
                <w:color w:val="000000"/>
                <w:sz w:val="16"/>
                <w:szCs w:val="16"/>
                <w:lang w:eastAsia="en-IE"/>
              </w:rPr>
              <w:t>Other budget lines (specify) - Outside Heading 4</w:t>
            </w:r>
          </w:p>
        </w:tc>
        <w:tc>
          <w:tcPr>
            <w:tcW w:w="519" w:type="pct"/>
            <w:tcBorders>
              <w:top w:val="nil"/>
              <w:left w:val="nil"/>
              <w:bottom w:val="single" w:sz="8" w:space="0" w:color="auto"/>
              <w:right w:val="single" w:sz="8" w:space="0" w:color="auto"/>
            </w:tcBorders>
            <w:shd w:val="clear" w:color="000000" w:fill="D9D9D9"/>
            <w:vAlign w:val="center"/>
            <w:hideMark/>
          </w:tcPr>
          <w:p w14:paraId="195C4F74" w14:textId="5047E541" w:rsidR="008E3FA9" w:rsidRPr="00922145" w:rsidRDefault="008E3FA9" w:rsidP="008E3FA9">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13</w:t>
            </w:r>
          </w:p>
        </w:tc>
        <w:tc>
          <w:tcPr>
            <w:tcW w:w="519" w:type="pct"/>
            <w:tcBorders>
              <w:top w:val="nil"/>
              <w:left w:val="nil"/>
              <w:bottom w:val="single" w:sz="8" w:space="0" w:color="auto"/>
              <w:right w:val="single" w:sz="8" w:space="0" w:color="auto"/>
            </w:tcBorders>
            <w:shd w:val="clear" w:color="000000" w:fill="D9D9D9"/>
            <w:hideMark/>
          </w:tcPr>
          <w:p w14:paraId="0560C82C" w14:textId="457FED75" w:rsidR="008E3FA9" w:rsidRPr="00922145" w:rsidRDefault="008E3FA9" w:rsidP="008E3FA9">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13</w:t>
            </w:r>
          </w:p>
        </w:tc>
        <w:tc>
          <w:tcPr>
            <w:tcW w:w="519" w:type="pct"/>
            <w:tcBorders>
              <w:top w:val="nil"/>
              <w:left w:val="nil"/>
              <w:bottom w:val="single" w:sz="8" w:space="0" w:color="auto"/>
              <w:right w:val="single" w:sz="8" w:space="0" w:color="auto"/>
            </w:tcBorders>
            <w:shd w:val="clear" w:color="000000" w:fill="D9D9D9"/>
            <w:hideMark/>
          </w:tcPr>
          <w:p w14:paraId="6CEBE7D8" w14:textId="4E7B6C3E" w:rsidR="008E3FA9" w:rsidRPr="00922145" w:rsidRDefault="008E3FA9" w:rsidP="008E3FA9">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14</w:t>
            </w:r>
          </w:p>
        </w:tc>
        <w:tc>
          <w:tcPr>
            <w:tcW w:w="519" w:type="pct"/>
            <w:tcBorders>
              <w:top w:val="nil"/>
              <w:left w:val="nil"/>
              <w:bottom w:val="single" w:sz="8" w:space="0" w:color="auto"/>
              <w:right w:val="single" w:sz="8" w:space="0" w:color="auto"/>
            </w:tcBorders>
            <w:shd w:val="clear" w:color="000000" w:fill="D9D9D9"/>
            <w:hideMark/>
          </w:tcPr>
          <w:p w14:paraId="312A3B96" w14:textId="0F100B37" w:rsidR="008E3FA9" w:rsidRPr="00922145" w:rsidRDefault="008E3FA9" w:rsidP="008E3FA9">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17</w:t>
            </w:r>
          </w:p>
        </w:tc>
        <w:tc>
          <w:tcPr>
            <w:tcW w:w="519" w:type="pct"/>
            <w:tcBorders>
              <w:top w:val="nil"/>
              <w:left w:val="nil"/>
              <w:bottom w:val="single" w:sz="8" w:space="0" w:color="auto"/>
              <w:right w:val="single" w:sz="8" w:space="0" w:color="auto"/>
            </w:tcBorders>
            <w:shd w:val="clear" w:color="000000" w:fill="D9D9D9"/>
            <w:hideMark/>
          </w:tcPr>
          <w:p w14:paraId="3C3CB58C" w14:textId="712E6808" w:rsidR="008E3FA9" w:rsidRPr="00922145" w:rsidRDefault="008E3FA9" w:rsidP="008E3FA9">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20</w:t>
            </w:r>
          </w:p>
        </w:tc>
        <w:tc>
          <w:tcPr>
            <w:tcW w:w="519" w:type="pct"/>
            <w:tcBorders>
              <w:top w:val="nil"/>
              <w:left w:val="nil"/>
              <w:bottom w:val="single" w:sz="8" w:space="0" w:color="auto"/>
              <w:right w:val="single" w:sz="8" w:space="0" w:color="auto"/>
            </w:tcBorders>
            <w:shd w:val="clear" w:color="000000" w:fill="D9D9D9"/>
            <w:hideMark/>
          </w:tcPr>
          <w:p w14:paraId="000D7D5A" w14:textId="40E6CB3B" w:rsidR="008E3FA9" w:rsidRPr="00922145" w:rsidRDefault="008E3FA9" w:rsidP="008E3FA9">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23</w:t>
            </w:r>
          </w:p>
        </w:tc>
        <w:tc>
          <w:tcPr>
            <w:tcW w:w="516" w:type="pct"/>
            <w:tcBorders>
              <w:top w:val="nil"/>
              <w:left w:val="nil"/>
              <w:bottom w:val="single" w:sz="8" w:space="0" w:color="auto"/>
              <w:right w:val="single" w:sz="8" w:space="0" w:color="auto"/>
            </w:tcBorders>
            <w:shd w:val="clear" w:color="000000" w:fill="D9D9D9"/>
            <w:hideMark/>
          </w:tcPr>
          <w:p w14:paraId="208E8FBB" w14:textId="7A6C86EA" w:rsidR="008E3FA9" w:rsidRPr="00922145" w:rsidRDefault="008E3FA9" w:rsidP="008E3FA9">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25</w:t>
            </w:r>
          </w:p>
        </w:tc>
      </w:tr>
      <w:tr w:rsidR="00EC37C5" w:rsidRPr="00922145" w14:paraId="7F6A7250" w14:textId="77777777">
        <w:trPr>
          <w:trHeight w:val="30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0A0C3BD6" w14:textId="77777777" w:rsidR="00EC37C5" w:rsidRPr="00922145" w:rsidRDefault="00EC37C5">
            <w:pPr>
              <w:spacing w:before="0" w:after="0"/>
              <w:ind w:firstLineChars="100" w:firstLine="161"/>
              <w:jc w:val="left"/>
              <w:rPr>
                <w:rFonts w:eastAsia="Times New Roman"/>
                <w:b/>
                <w:bCs/>
                <w:noProof/>
                <w:color w:val="000000"/>
                <w:sz w:val="16"/>
                <w:szCs w:val="16"/>
                <w:lang w:eastAsia="en-IE"/>
              </w:rPr>
            </w:pPr>
            <w:r w:rsidRPr="00922145">
              <w:rPr>
                <w:rFonts w:eastAsia="Times New Roman"/>
                <w:b/>
                <w:bCs/>
                <w:noProof/>
                <w:color w:val="000000"/>
                <w:sz w:val="16"/>
                <w:szCs w:val="16"/>
                <w:lang w:eastAsia="en-IE"/>
              </w:rPr>
              <w:t>TOTAL</w:t>
            </w:r>
          </w:p>
        </w:tc>
        <w:tc>
          <w:tcPr>
            <w:tcW w:w="519" w:type="pct"/>
            <w:tcBorders>
              <w:top w:val="nil"/>
              <w:left w:val="nil"/>
              <w:bottom w:val="single" w:sz="8" w:space="0" w:color="auto"/>
              <w:right w:val="single" w:sz="8" w:space="0" w:color="auto"/>
            </w:tcBorders>
            <w:shd w:val="clear" w:color="000000" w:fill="D9D9D9"/>
            <w:vAlign w:val="center"/>
            <w:hideMark/>
          </w:tcPr>
          <w:p w14:paraId="12604860" w14:textId="77777777" w:rsidR="00EC37C5" w:rsidRPr="00922145" w:rsidRDefault="00EC37C5">
            <w:pPr>
              <w:spacing w:before="0" w:after="0"/>
              <w:jc w:val="center"/>
              <w:rPr>
                <w:rFonts w:eastAsia="Times New Roman"/>
                <w:b/>
                <w:bCs/>
                <w:noProof/>
                <w:color w:val="000000"/>
                <w:sz w:val="16"/>
                <w:szCs w:val="16"/>
                <w:lang w:eastAsia="en-IE"/>
              </w:rPr>
            </w:pPr>
            <w:r>
              <w:rPr>
                <w:rFonts w:eastAsia="Times New Roman"/>
                <w:b/>
                <w:bCs/>
                <w:noProof/>
                <w:color w:val="000000"/>
                <w:sz w:val="16"/>
                <w:szCs w:val="16"/>
                <w:lang w:eastAsia="en-IE"/>
              </w:rPr>
              <w:t>25</w:t>
            </w:r>
          </w:p>
        </w:tc>
        <w:tc>
          <w:tcPr>
            <w:tcW w:w="519" w:type="pct"/>
            <w:tcBorders>
              <w:top w:val="nil"/>
              <w:left w:val="nil"/>
              <w:bottom w:val="single" w:sz="8" w:space="0" w:color="auto"/>
              <w:right w:val="single" w:sz="8" w:space="0" w:color="auto"/>
            </w:tcBorders>
            <w:shd w:val="clear" w:color="000000" w:fill="D9D9D9"/>
            <w:hideMark/>
          </w:tcPr>
          <w:p w14:paraId="12C5573B" w14:textId="77777777" w:rsidR="00EC37C5" w:rsidRPr="00922145" w:rsidRDefault="00EC37C5">
            <w:pPr>
              <w:spacing w:before="0" w:after="0"/>
              <w:jc w:val="center"/>
              <w:rPr>
                <w:rFonts w:eastAsia="Times New Roman"/>
                <w:b/>
                <w:bCs/>
                <w:noProof/>
                <w:color w:val="000000"/>
                <w:sz w:val="16"/>
                <w:szCs w:val="16"/>
                <w:lang w:eastAsia="en-IE"/>
              </w:rPr>
            </w:pPr>
            <w:r>
              <w:rPr>
                <w:rFonts w:eastAsia="Times New Roman"/>
                <w:b/>
                <w:bCs/>
                <w:noProof/>
                <w:color w:val="000000"/>
                <w:sz w:val="16"/>
                <w:szCs w:val="16"/>
                <w:lang w:eastAsia="en-IE"/>
              </w:rPr>
              <w:t>25</w:t>
            </w:r>
          </w:p>
        </w:tc>
        <w:tc>
          <w:tcPr>
            <w:tcW w:w="519" w:type="pct"/>
            <w:tcBorders>
              <w:top w:val="nil"/>
              <w:left w:val="nil"/>
              <w:bottom w:val="single" w:sz="8" w:space="0" w:color="auto"/>
              <w:right w:val="single" w:sz="8" w:space="0" w:color="auto"/>
            </w:tcBorders>
            <w:shd w:val="clear" w:color="000000" w:fill="D9D9D9"/>
            <w:hideMark/>
          </w:tcPr>
          <w:p w14:paraId="37B0296F" w14:textId="77777777" w:rsidR="00EC37C5" w:rsidRPr="00922145" w:rsidRDefault="00EC37C5">
            <w:pPr>
              <w:spacing w:before="0" w:after="0"/>
              <w:jc w:val="center"/>
              <w:rPr>
                <w:rFonts w:eastAsia="Times New Roman"/>
                <w:b/>
                <w:bCs/>
                <w:noProof/>
                <w:color w:val="000000"/>
                <w:sz w:val="16"/>
                <w:szCs w:val="16"/>
                <w:lang w:eastAsia="en-IE"/>
              </w:rPr>
            </w:pPr>
            <w:r>
              <w:rPr>
                <w:rFonts w:eastAsia="Times New Roman"/>
                <w:b/>
                <w:bCs/>
                <w:noProof/>
                <w:color w:val="000000"/>
                <w:sz w:val="16"/>
                <w:szCs w:val="16"/>
                <w:lang w:eastAsia="en-IE"/>
              </w:rPr>
              <w:t>30</w:t>
            </w:r>
          </w:p>
        </w:tc>
        <w:tc>
          <w:tcPr>
            <w:tcW w:w="519" w:type="pct"/>
            <w:tcBorders>
              <w:top w:val="nil"/>
              <w:left w:val="nil"/>
              <w:bottom w:val="single" w:sz="8" w:space="0" w:color="auto"/>
              <w:right w:val="single" w:sz="8" w:space="0" w:color="auto"/>
            </w:tcBorders>
            <w:shd w:val="clear" w:color="000000" w:fill="D9D9D9"/>
            <w:hideMark/>
          </w:tcPr>
          <w:p w14:paraId="7C32473C" w14:textId="77777777" w:rsidR="00EC37C5" w:rsidRPr="00922145" w:rsidRDefault="00EC37C5">
            <w:pPr>
              <w:spacing w:before="0" w:after="0"/>
              <w:jc w:val="center"/>
              <w:rPr>
                <w:rFonts w:eastAsia="Times New Roman"/>
                <w:b/>
                <w:bCs/>
                <w:noProof/>
                <w:color w:val="000000"/>
                <w:sz w:val="16"/>
                <w:szCs w:val="16"/>
                <w:lang w:eastAsia="en-IE"/>
              </w:rPr>
            </w:pPr>
            <w:r>
              <w:rPr>
                <w:rFonts w:eastAsia="Times New Roman"/>
                <w:b/>
                <w:bCs/>
                <w:noProof/>
                <w:color w:val="000000"/>
                <w:sz w:val="16"/>
                <w:szCs w:val="16"/>
                <w:lang w:eastAsia="en-IE"/>
              </w:rPr>
              <w:t>35</w:t>
            </w:r>
          </w:p>
        </w:tc>
        <w:tc>
          <w:tcPr>
            <w:tcW w:w="519" w:type="pct"/>
            <w:tcBorders>
              <w:top w:val="nil"/>
              <w:left w:val="nil"/>
              <w:bottom w:val="single" w:sz="8" w:space="0" w:color="auto"/>
              <w:right w:val="single" w:sz="8" w:space="0" w:color="auto"/>
            </w:tcBorders>
            <w:shd w:val="clear" w:color="000000" w:fill="D9D9D9"/>
            <w:hideMark/>
          </w:tcPr>
          <w:p w14:paraId="2FE3C6AD" w14:textId="77777777" w:rsidR="00EC37C5" w:rsidRPr="00922145" w:rsidRDefault="00EC37C5">
            <w:pPr>
              <w:spacing w:before="0" w:after="0"/>
              <w:jc w:val="center"/>
              <w:rPr>
                <w:rFonts w:eastAsia="Times New Roman"/>
                <w:b/>
                <w:bCs/>
                <w:noProof/>
                <w:color w:val="000000"/>
                <w:sz w:val="16"/>
                <w:szCs w:val="16"/>
                <w:lang w:eastAsia="en-IE"/>
              </w:rPr>
            </w:pPr>
            <w:r>
              <w:rPr>
                <w:rFonts w:eastAsia="Times New Roman"/>
                <w:b/>
                <w:bCs/>
                <w:noProof/>
                <w:color w:val="000000"/>
                <w:sz w:val="16"/>
                <w:szCs w:val="16"/>
                <w:lang w:eastAsia="en-IE"/>
              </w:rPr>
              <w:t>40</w:t>
            </w:r>
          </w:p>
        </w:tc>
        <w:tc>
          <w:tcPr>
            <w:tcW w:w="519" w:type="pct"/>
            <w:tcBorders>
              <w:top w:val="nil"/>
              <w:left w:val="nil"/>
              <w:bottom w:val="single" w:sz="8" w:space="0" w:color="auto"/>
              <w:right w:val="single" w:sz="8" w:space="0" w:color="auto"/>
            </w:tcBorders>
            <w:shd w:val="clear" w:color="000000" w:fill="D9D9D9"/>
            <w:hideMark/>
          </w:tcPr>
          <w:p w14:paraId="5049BAAE" w14:textId="77777777" w:rsidR="00EC37C5" w:rsidRPr="00922145" w:rsidRDefault="00EC37C5">
            <w:pPr>
              <w:spacing w:before="0" w:after="0"/>
              <w:jc w:val="center"/>
              <w:rPr>
                <w:rFonts w:eastAsia="Times New Roman"/>
                <w:b/>
                <w:bCs/>
                <w:noProof/>
                <w:color w:val="000000"/>
                <w:sz w:val="16"/>
                <w:szCs w:val="16"/>
                <w:lang w:eastAsia="en-IE"/>
              </w:rPr>
            </w:pPr>
            <w:r>
              <w:rPr>
                <w:rFonts w:eastAsia="Times New Roman"/>
                <w:b/>
                <w:bCs/>
                <w:noProof/>
                <w:color w:val="000000"/>
                <w:sz w:val="16"/>
                <w:szCs w:val="16"/>
                <w:lang w:eastAsia="en-IE"/>
              </w:rPr>
              <w:t>45</w:t>
            </w:r>
          </w:p>
        </w:tc>
        <w:tc>
          <w:tcPr>
            <w:tcW w:w="516" w:type="pct"/>
            <w:tcBorders>
              <w:top w:val="nil"/>
              <w:left w:val="nil"/>
              <w:bottom w:val="single" w:sz="8" w:space="0" w:color="auto"/>
              <w:right w:val="single" w:sz="8" w:space="0" w:color="auto"/>
            </w:tcBorders>
            <w:shd w:val="clear" w:color="000000" w:fill="D9D9D9"/>
            <w:hideMark/>
          </w:tcPr>
          <w:p w14:paraId="378B8B44" w14:textId="77777777" w:rsidR="00EC37C5" w:rsidRPr="00922145" w:rsidRDefault="00EC37C5">
            <w:pPr>
              <w:spacing w:before="0" w:after="0"/>
              <w:jc w:val="center"/>
              <w:rPr>
                <w:rFonts w:eastAsia="Times New Roman"/>
                <w:b/>
                <w:bCs/>
                <w:noProof/>
                <w:color w:val="000000"/>
                <w:sz w:val="16"/>
                <w:szCs w:val="16"/>
                <w:lang w:eastAsia="en-IE"/>
              </w:rPr>
            </w:pPr>
            <w:r w:rsidRPr="00266BF0">
              <w:rPr>
                <w:rFonts w:eastAsia="Times New Roman"/>
                <w:b/>
                <w:bCs/>
                <w:noProof/>
                <w:color w:val="000000"/>
                <w:sz w:val="16"/>
                <w:szCs w:val="16"/>
                <w:lang w:eastAsia="en-IE"/>
              </w:rPr>
              <w:t>50</w:t>
            </w:r>
          </w:p>
        </w:tc>
      </w:tr>
    </w:tbl>
    <w:p w14:paraId="4CCC5D94" w14:textId="77777777" w:rsidR="008E3FA9" w:rsidRDefault="008E3FA9" w:rsidP="00EC37C5">
      <w:pPr>
        <w:pStyle w:val="Text1"/>
        <w:ind w:left="-426" w:right="-427"/>
        <w:rPr>
          <w:noProof/>
        </w:rPr>
      </w:pPr>
    </w:p>
    <w:p w14:paraId="113696E4" w14:textId="27A892C8" w:rsidR="008E3FA9" w:rsidRDefault="008E3FA9" w:rsidP="00EC37C5">
      <w:pPr>
        <w:pStyle w:val="Text1"/>
        <w:ind w:left="-426" w:right="-427"/>
        <w:rPr>
          <w:noProof/>
        </w:rPr>
      </w:pPr>
      <w:r>
        <w:rPr>
          <w:noProof/>
        </w:rPr>
        <w:t>The staff required to implement the proposal (in FTEs):</w:t>
      </w:r>
    </w:p>
    <w:tbl>
      <w:tblPr>
        <w:tblStyle w:val="TableGrid"/>
        <w:tblW w:w="9487" w:type="dxa"/>
        <w:tblInd w:w="-426" w:type="dxa"/>
        <w:tblLook w:val="04A0" w:firstRow="1" w:lastRow="0" w:firstColumn="1" w:lastColumn="0" w:noHBand="0" w:noVBand="1"/>
      </w:tblPr>
      <w:tblGrid>
        <w:gridCol w:w="1845"/>
        <w:gridCol w:w="2031"/>
        <w:gridCol w:w="1925"/>
        <w:gridCol w:w="1938"/>
        <w:gridCol w:w="1748"/>
      </w:tblGrid>
      <w:tr w:rsidR="008E3FA9" w14:paraId="6FD5C453" w14:textId="77777777">
        <w:trPr>
          <w:trHeight w:val="300"/>
        </w:trPr>
        <w:tc>
          <w:tcPr>
            <w:tcW w:w="1845" w:type="dxa"/>
          </w:tcPr>
          <w:p w14:paraId="24F3A88E" w14:textId="77777777" w:rsidR="008E3FA9" w:rsidRPr="00310A4B" w:rsidRDefault="008E3FA9">
            <w:pPr>
              <w:pStyle w:val="Text1"/>
              <w:ind w:left="0"/>
              <w:jc w:val="center"/>
              <w:rPr>
                <w:b/>
                <w:bCs/>
                <w:noProof/>
                <w:sz w:val="22"/>
                <w:szCs w:val="28"/>
              </w:rPr>
            </w:pPr>
            <w:bookmarkStart w:id="170" w:name="_Hlk219146454"/>
          </w:p>
        </w:tc>
        <w:tc>
          <w:tcPr>
            <w:tcW w:w="2031" w:type="dxa"/>
          </w:tcPr>
          <w:p w14:paraId="32962408" w14:textId="77777777" w:rsidR="008E3FA9" w:rsidRPr="00310A4B" w:rsidRDefault="008E3FA9">
            <w:pPr>
              <w:pStyle w:val="Text1"/>
              <w:ind w:left="0"/>
              <w:jc w:val="center"/>
              <w:rPr>
                <w:b/>
                <w:bCs/>
                <w:noProof/>
                <w:sz w:val="22"/>
              </w:rPr>
            </w:pPr>
            <w:r w:rsidRPr="7814D1E9">
              <w:rPr>
                <w:b/>
                <w:bCs/>
                <w:noProof/>
                <w:sz w:val="22"/>
              </w:rPr>
              <w:t xml:space="preserve">To be covered by current staff available in the Commission services </w:t>
            </w:r>
          </w:p>
        </w:tc>
        <w:tc>
          <w:tcPr>
            <w:tcW w:w="5611" w:type="dxa"/>
            <w:gridSpan w:val="3"/>
          </w:tcPr>
          <w:p w14:paraId="44F11595" w14:textId="77777777" w:rsidR="008E3FA9" w:rsidRPr="00310A4B" w:rsidRDefault="008E3FA9">
            <w:pPr>
              <w:pStyle w:val="Text1"/>
              <w:ind w:left="0"/>
              <w:jc w:val="center"/>
              <w:rPr>
                <w:b/>
                <w:bCs/>
                <w:noProof/>
                <w:sz w:val="22"/>
              </w:rPr>
            </w:pPr>
            <w:r w:rsidRPr="6C5FD46B">
              <w:rPr>
                <w:b/>
                <w:bCs/>
                <w:noProof/>
                <w:sz w:val="22"/>
              </w:rPr>
              <w:t>Exceptional additional staff</w:t>
            </w:r>
          </w:p>
        </w:tc>
      </w:tr>
      <w:tr w:rsidR="008E3FA9" w14:paraId="3485387A" w14:textId="77777777">
        <w:trPr>
          <w:trHeight w:val="300"/>
        </w:trPr>
        <w:tc>
          <w:tcPr>
            <w:tcW w:w="1845" w:type="dxa"/>
          </w:tcPr>
          <w:p w14:paraId="76D9A420" w14:textId="77777777" w:rsidR="008E3FA9" w:rsidRPr="00310A4B" w:rsidRDefault="008E3FA9">
            <w:pPr>
              <w:pStyle w:val="Text1"/>
              <w:ind w:left="0"/>
              <w:jc w:val="center"/>
              <w:rPr>
                <w:b/>
                <w:bCs/>
                <w:noProof/>
                <w:sz w:val="22"/>
                <w:szCs w:val="28"/>
              </w:rPr>
            </w:pPr>
          </w:p>
        </w:tc>
        <w:tc>
          <w:tcPr>
            <w:tcW w:w="2031" w:type="dxa"/>
          </w:tcPr>
          <w:p w14:paraId="167A691F" w14:textId="77777777" w:rsidR="008E3FA9" w:rsidRPr="00310A4B" w:rsidRDefault="008E3FA9">
            <w:pPr>
              <w:pStyle w:val="Text1"/>
              <w:ind w:left="0"/>
              <w:jc w:val="center"/>
              <w:rPr>
                <w:b/>
                <w:bCs/>
                <w:noProof/>
                <w:sz w:val="22"/>
                <w:szCs w:val="28"/>
              </w:rPr>
            </w:pPr>
          </w:p>
        </w:tc>
        <w:tc>
          <w:tcPr>
            <w:tcW w:w="1925" w:type="dxa"/>
          </w:tcPr>
          <w:p w14:paraId="711F89B9" w14:textId="77777777" w:rsidR="008E3FA9" w:rsidRPr="00310A4B" w:rsidRDefault="008E3FA9">
            <w:pPr>
              <w:pStyle w:val="Text1"/>
              <w:ind w:left="0"/>
              <w:jc w:val="center"/>
              <w:rPr>
                <w:b/>
                <w:bCs/>
                <w:noProof/>
                <w:sz w:val="22"/>
              </w:rPr>
            </w:pPr>
            <w:r w:rsidRPr="73D5EDD6">
              <w:rPr>
                <w:b/>
                <w:bCs/>
                <w:noProof/>
                <w:sz w:val="22"/>
              </w:rPr>
              <w:t>To be financed under Heading 7</w:t>
            </w:r>
            <w:r>
              <w:rPr>
                <w:b/>
                <w:bCs/>
                <w:noProof/>
                <w:sz w:val="22"/>
              </w:rPr>
              <w:t xml:space="preserve"> </w:t>
            </w:r>
            <w:r w:rsidRPr="00F66F4B">
              <w:rPr>
                <w:b/>
                <w:bCs/>
                <w:noProof/>
                <w:sz w:val="22"/>
              </w:rPr>
              <w:t>or</w:t>
            </w:r>
            <w:r w:rsidRPr="73D5EDD6">
              <w:rPr>
                <w:b/>
                <w:bCs/>
                <w:noProof/>
                <w:sz w:val="22"/>
              </w:rPr>
              <w:t xml:space="preserve"> Research</w:t>
            </w:r>
          </w:p>
        </w:tc>
        <w:tc>
          <w:tcPr>
            <w:tcW w:w="1938" w:type="dxa"/>
          </w:tcPr>
          <w:p w14:paraId="61F378A3" w14:textId="77777777" w:rsidR="008E3FA9" w:rsidRPr="00310A4B" w:rsidRDefault="008E3FA9">
            <w:pPr>
              <w:pStyle w:val="Text1"/>
              <w:ind w:left="0"/>
              <w:jc w:val="center"/>
              <w:rPr>
                <w:b/>
                <w:bCs/>
                <w:noProof/>
                <w:sz w:val="22"/>
                <w:szCs w:val="28"/>
              </w:rPr>
            </w:pPr>
            <w:r w:rsidRPr="00310A4B">
              <w:rPr>
                <w:b/>
                <w:bCs/>
                <w:noProof/>
                <w:sz w:val="22"/>
                <w:szCs w:val="28"/>
              </w:rPr>
              <w:t>To be financed from BA line</w:t>
            </w:r>
          </w:p>
        </w:tc>
        <w:tc>
          <w:tcPr>
            <w:tcW w:w="1748" w:type="dxa"/>
          </w:tcPr>
          <w:p w14:paraId="5467FDEC" w14:textId="77777777" w:rsidR="008E3FA9" w:rsidRPr="00310A4B" w:rsidRDefault="008E3FA9">
            <w:pPr>
              <w:pStyle w:val="Text1"/>
              <w:ind w:left="0"/>
              <w:jc w:val="center"/>
              <w:rPr>
                <w:b/>
                <w:bCs/>
                <w:noProof/>
                <w:sz w:val="22"/>
                <w:szCs w:val="28"/>
              </w:rPr>
            </w:pPr>
            <w:r w:rsidRPr="00310A4B">
              <w:rPr>
                <w:b/>
                <w:bCs/>
                <w:noProof/>
                <w:sz w:val="22"/>
                <w:szCs w:val="28"/>
              </w:rPr>
              <w:t>To be financed from fees</w:t>
            </w:r>
          </w:p>
        </w:tc>
      </w:tr>
      <w:tr w:rsidR="008E3FA9" w14:paraId="54CB81EA" w14:textId="77777777">
        <w:trPr>
          <w:trHeight w:val="300"/>
        </w:trPr>
        <w:tc>
          <w:tcPr>
            <w:tcW w:w="1845" w:type="dxa"/>
          </w:tcPr>
          <w:p w14:paraId="75D46FD1" w14:textId="77777777" w:rsidR="008E3FA9" w:rsidRDefault="008E3FA9">
            <w:pPr>
              <w:pStyle w:val="Text1"/>
              <w:ind w:left="0"/>
              <w:rPr>
                <w:noProof/>
                <w:sz w:val="22"/>
                <w:szCs w:val="28"/>
              </w:rPr>
            </w:pPr>
            <w:r>
              <w:rPr>
                <w:noProof/>
                <w:sz w:val="22"/>
                <w:szCs w:val="28"/>
              </w:rPr>
              <w:t>Establishment plan posts</w:t>
            </w:r>
          </w:p>
        </w:tc>
        <w:tc>
          <w:tcPr>
            <w:tcW w:w="2031" w:type="dxa"/>
          </w:tcPr>
          <w:p w14:paraId="71D29A69" w14:textId="77777777" w:rsidR="008E3FA9" w:rsidRDefault="008E3FA9">
            <w:pPr>
              <w:pStyle w:val="Text1"/>
              <w:ind w:left="0"/>
              <w:rPr>
                <w:noProof/>
                <w:sz w:val="22"/>
                <w:szCs w:val="28"/>
              </w:rPr>
            </w:pPr>
          </w:p>
        </w:tc>
        <w:tc>
          <w:tcPr>
            <w:tcW w:w="1925" w:type="dxa"/>
          </w:tcPr>
          <w:p w14:paraId="377AA728" w14:textId="77777777" w:rsidR="008E3FA9" w:rsidRDefault="008E3FA9">
            <w:pPr>
              <w:pStyle w:val="Text1"/>
              <w:ind w:left="0"/>
              <w:rPr>
                <w:noProof/>
                <w:sz w:val="22"/>
                <w:szCs w:val="28"/>
              </w:rPr>
            </w:pPr>
            <w:r>
              <w:rPr>
                <w:noProof/>
                <w:sz w:val="22"/>
                <w:szCs w:val="28"/>
              </w:rPr>
              <w:t>25</w:t>
            </w:r>
          </w:p>
        </w:tc>
        <w:tc>
          <w:tcPr>
            <w:tcW w:w="1938" w:type="dxa"/>
          </w:tcPr>
          <w:p w14:paraId="776B6A7E" w14:textId="77777777" w:rsidR="008E3FA9" w:rsidRDefault="008E3FA9">
            <w:pPr>
              <w:pStyle w:val="Text1"/>
              <w:ind w:left="0"/>
              <w:rPr>
                <w:noProof/>
                <w:sz w:val="22"/>
                <w:szCs w:val="28"/>
              </w:rPr>
            </w:pPr>
          </w:p>
        </w:tc>
        <w:tc>
          <w:tcPr>
            <w:tcW w:w="1748" w:type="dxa"/>
          </w:tcPr>
          <w:p w14:paraId="6EE1501E" w14:textId="77777777" w:rsidR="008E3FA9" w:rsidRDefault="008E3FA9">
            <w:pPr>
              <w:pStyle w:val="Text1"/>
              <w:ind w:left="0"/>
              <w:rPr>
                <w:noProof/>
                <w:sz w:val="22"/>
                <w:szCs w:val="28"/>
              </w:rPr>
            </w:pPr>
          </w:p>
        </w:tc>
      </w:tr>
      <w:tr w:rsidR="008E3FA9" w14:paraId="129D4982" w14:textId="77777777">
        <w:trPr>
          <w:trHeight w:val="300"/>
        </w:trPr>
        <w:tc>
          <w:tcPr>
            <w:tcW w:w="1845" w:type="dxa"/>
          </w:tcPr>
          <w:p w14:paraId="1E43C0F5" w14:textId="77777777" w:rsidR="008E3FA9" w:rsidRDefault="008E3FA9">
            <w:pPr>
              <w:pStyle w:val="Text1"/>
              <w:ind w:left="0"/>
              <w:rPr>
                <w:noProof/>
                <w:sz w:val="22"/>
                <w:szCs w:val="28"/>
              </w:rPr>
            </w:pPr>
            <w:r>
              <w:rPr>
                <w:noProof/>
                <w:sz w:val="22"/>
                <w:szCs w:val="28"/>
              </w:rPr>
              <w:t>External staff (CA, SNEs, INT)</w:t>
            </w:r>
          </w:p>
        </w:tc>
        <w:tc>
          <w:tcPr>
            <w:tcW w:w="2031" w:type="dxa"/>
          </w:tcPr>
          <w:p w14:paraId="284E2D67" w14:textId="77777777" w:rsidR="008E3FA9" w:rsidRDefault="008E3FA9">
            <w:pPr>
              <w:pStyle w:val="Text1"/>
              <w:ind w:left="0"/>
              <w:rPr>
                <w:noProof/>
                <w:sz w:val="22"/>
                <w:szCs w:val="28"/>
              </w:rPr>
            </w:pPr>
          </w:p>
        </w:tc>
        <w:tc>
          <w:tcPr>
            <w:tcW w:w="1925" w:type="dxa"/>
          </w:tcPr>
          <w:p w14:paraId="5A309D4F" w14:textId="77777777" w:rsidR="008E3FA9" w:rsidRDefault="008E3FA9">
            <w:pPr>
              <w:pStyle w:val="Text1"/>
              <w:ind w:left="0"/>
              <w:rPr>
                <w:noProof/>
                <w:sz w:val="22"/>
                <w:szCs w:val="28"/>
              </w:rPr>
            </w:pPr>
          </w:p>
        </w:tc>
        <w:tc>
          <w:tcPr>
            <w:tcW w:w="1938" w:type="dxa"/>
          </w:tcPr>
          <w:p w14:paraId="160FD830" w14:textId="77777777" w:rsidR="008E3FA9" w:rsidRDefault="008E3FA9">
            <w:pPr>
              <w:pStyle w:val="Text1"/>
              <w:ind w:left="0"/>
              <w:rPr>
                <w:noProof/>
                <w:sz w:val="22"/>
                <w:szCs w:val="28"/>
              </w:rPr>
            </w:pPr>
            <w:r>
              <w:rPr>
                <w:noProof/>
                <w:sz w:val="22"/>
                <w:szCs w:val="28"/>
              </w:rPr>
              <w:t>25</w:t>
            </w:r>
          </w:p>
        </w:tc>
        <w:tc>
          <w:tcPr>
            <w:tcW w:w="1748" w:type="dxa"/>
          </w:tcPr>
          <w:p w14:paraId="78E55FE8" w14:textId="77777777" w:rsidR="008E3FA9" w:rsidRDefault="008E3FA9">
            <w:pPr>
              <w:pStyle w:val="Text1"/>
              <w:ind w:left="0"/>
              <w:rPr>
                <w:noProof/>
                <w:sz w:val="22"/>
                <w:szCs w:val="28"/>
              </w:rPr>
            </w:pPr>
          </w:p>
        </w:tc>
      </w:tr>
    </w:tbl>
    <w:bookmarkEnd w:id="170"/>
    <w:p w14:paraId="16B432CC" w14:textId="113B9A9B" w:rsidR="008E3FA9" w:rsidRDefault="007E6A63" w:rsidP="007E6A63">
      <w:pPr>
        <w:rPr>
          <w:noProof/>
        </w:rPr>
      </w:pPr>
      <w:r w:rsidRPr="007E6A63">
        <w:rPr>
          <w:noProof/>
        </w:rPr>
        <w:t>The estimated impact on expenditure and staffing for 2028 and beyond is indicative and does not pre-judge the next Multiannual Financial Framework. The source of financing and scope of Union financial commitment in the post-2027 period remain subject to the outcome of interinstitutional negotiations on the MFF 2028-2034 and annual budgetary procedure and the steering mechanism</w:t>
      </w:r>
      <w:r>
        <w:rPr>
          <w:noProof/>
        </w:rPr>
        <w:t>.</w:t>
      </w:r>
    </w:p>
    <w:p w14:paraId="5A0982D7" w14:textId="77777777" w:rsidR="008E3FA9" w:rsidRPr="00922145" w:rsidRDefault="008E3FA9" w:rsidP="008E3FA9">
      <w:pPr>
        <w:pStyle w:val="ManualHeading3"/>
        <w:ind w:left="-284" w:hanging="142"/>
        <w:rPr>
          <w:rFonts w:eastAsia="Times New Roman"/>
          <w:i w:val="0"/>
          <w:noProof/>
        </w:rPr>
      </w:pPr>
      <w:bookmarkStart w:id="171" w:name="_Hlk219146534"/>
      <w:r w:rsidRPr="00922145">
        <w:rPr>
          <w:rFonts w:eastAsia="Times New Roman"/>
          <w:i w:val="0"/>
          <w:noProof/>
        </w:rPr>
        <w:t>Description of tasks to be carried out by the sector DG within the Commission</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rsidR="008E3FA9" w:rsidRPr="00922145" w14:paraId="503B39BE" w14:textId="77777777">
        <w:trPr>
          <w:trHeight w:val="4365"/>
        </w:trPr>
        <w:tc>
          <w:tcPr>
            <w:tcW w:w="3240" w:type="dxa"/>
          </w:tcPr>
          <w:p w14:paraId="60BFE45F" w14:textId="77777777" w:rsidR="008E3FA9" w:rsidRPr="00922145" w:rsidRDefault="008E3FA9">
            <w:pPr>
              <w:rPr>
                <w:noProof/>
                <w:sz w:val="20"/>
                <w:szCs w:val="20"/>
              </w:rPr>
            </w:pPr>
            <w:bookmarkStart w:id="172" w:name="_Hlk219146572"/>
            <w:bookmarkEnd w:id="171"/>
            <w:r w:rsidRPr="7E8A004A">
              <w:rPr>
                <w:noProof/>
                <w:sz w:val="20"/>
                <w:szCs w:val="20"/>
              </w:rPr>
              <w:t>Officials and temporary staff</w:t>
            </w:r>
          </w:p>
        </w:tc>
        <w:tc>
          <w:tcPr>
            <w:tcW w:w="7200" w:type="dxa"/>
          </w:tcPr>
          <w:p w14:paraId="3CA90D1E" w14:textId="77777777" w:rsidR="008E3FA9" w:rsidRPr="00922145" w:rsidRDefault="008E3FA9">
            <w:pPr>
              <w:rPr>
                <w:noProof/>
                <w:sz w:val="20"/>
                <w:szCs w:val="20"/>
              </w:rPr>
            </w:pPr>
            <w:r w:rsidRPr="35C9C33A">
              <w:rPr>
                <w:b/>
                <w:noProof/>
                <w:sz w:val="20"/>
                <w:szCs w:val="20"/>
              </w:rPr>
              <w:t>ENISA coordination (</w:t>
            </w:r>
            <w:r w:rsidRPr="35C9C33A">
              <w:rPr>
                <w:b/>
                <w:bCs/>
                <w:noProof/>
                <w:sz w:val="20"/>
                <w:szCs w:val="20"/>
              </w:rPr>
              <w:t>1</w:t>
            </w:r>
            <w:r w:rsidRPr="35C9C33A">
              <w:rPr>
                <w:b/>
                <w:noProof/>
                <w:sz w:val="20"/>
                <w:szCs w:val="20"/>
              </w:rPr>
              <w:t>)</w:t>
            </w:r>
            <w:r w:rsidRPr="35C9C33A">
              <w:rPr>
                <w:noProof/>
                <w:sz w:val="20"/>
                <w:szCs w:val="20"/>
              </w:rPr>
              <w:t>:</w:t>
            </w:r>
          </w:p>
          <w:p w14:paraId="3C69145C" w14:textId="77777777" w:rsidR="008E3FA9" w:rsidRPr="00922145" w:rsidRDefault="008E3FA9">
            <w:pPr>
              <w:rPr>
                <w:noProof/>
                <w:sz w:val="20"/>
                <w:szCs w:val="20"/>
              </w:rPr>
            </w:pPr>
            <w:r w:rsidRPr="2714D713">
              <w:rPr>
                <w:noProof/>
                <w:sz w:val="20"/>
                <w:szCs w:val="20"/>
              </w:rPr>
              <w:t>Represent the Commission in the Management Board of the Agency. Draw up Commission opinion on the ENISA single programming document and monitor its implementation. Supervise the preparation of the agency’s budget and monitor its implementation. Assist the agency in developing its activities in line with the Union policies including by participating in relevant meetings.</w:t>
            </w:r>
          </w:p>
          <w:p w14:paraId="263EECCF" w14:textId="77777777" w:rsidR="008E3FA9" w:rsidRPr="00922145" w:rsidRDefault="008E3FA9">
            <w:pPr>
              <w:rPr>
                <w:noProof/>
                <w:sz w:val="20"/>
                <w:szCs w:val="20"/>
              </w:rPr>
            </w:pPr>
            <w:r w:rsidRPr="2714D713">
              <w:rPr>
                <w:b/>
                <w:bCs/>
                <w:noProof/>
                <w:sz w:val="20"/>
                <w:szCs w:val="20"/>
              </w:rPr>
              <w:t xml:space="preserve"> Skills attestation schemes / Skills Academy (2)</w:t>
            </w:r>
            <w:r w:rsidRPr="2714D713">
              <w:rPr>
                <w:noProof/>
                <w:sz w:val="20"/>
                <w:szCs w:val="20"/>
              </w:rPr>
              <w:t>:</w:t>
            </w:r>
          </w:p>
          <w:p w14:paraId="570F7D71" w14:textId="77777777" w:rsidR="008E3FA9" w:rsidRDefault="008E3FA9">
            <w:pPr>
              <w:rPr>
                <w:noProof/>
                <w:sz w:val="20"/>
                <w:szCs w:val="20"/>
              </w:rPr>
            </w:pPr>
            <w:r w:rsidRPr="2714D713">
              <w:rPr>
                <w:noProof/>
                <w:sz w:val="20"/>
                <w:szCs w:val="20"/>
              </w:rPr>
              <w:t xml:space="preserve">Additional personnel in CNECT will be needed to prepare implementing acts establishing fees that ENISA will charge applicants to become authorised providers, These implementing acts will be at least 12, one per each ECSF profile. </w:t>
            </w:r>
          </w:p>
          <w:p w14:paraId="084C3364" w14:textId="77777777" w:rsidR="008E3FA9" w:rsidRPr="00225C51" w:rsidRDefault="008E3FA9">
            <w:pPr>
              <w:rPr>
                <w:noProof/>
                <w:sz w:val="20"/>
                <w:szCs w:val="20"/>
              </w:rPr>
            </w:pPr>
            <w:r w:rsidRPr="7E8A004A">
              <w:rPr>
                <w:b/>
                <w:bCs/>
                <w:noProof/>
                <w:sz w:val="20"/>
                <w:szCs w:val="20"/>
              </w:rPr>
              <w:t>Supply chain</w:t>
            </w:r>
            <w:r w:rsidRPr="7E8A004A">
              <w:rPr>
                <w:noProof/>
                <w:sz w:val="20"/>
                <w:szCs w:val="20"/>
              </w:rPr>
              <w:t xml:space="preserve"> (25)</w:t>
            </w:r>
          </w:p>
          <w:p w14:paraId="723E4A02" w14:textId="77777777" w:rsidR="001F04D8" w:rsidRPr="001F04D8" w:rsidRDefault="001F04D8" w:rsidP="001F04D8">
            <w:pPr>
              <w:rPr>
                <w:noProof/>
                <w:sz w:val="20"/>
                <w:szCs w:val="20"/>
              </w:rPr>
            </w:pPr>
            <w:r w:rsidRPr="001F04D8">
              <w:rPr>
                <w:noProof/>
                <w:sz w:val="20"/>
                <w:szCs w:val="20"/>
              </w:rPr>
              <w:t xml:space="preserve">Supporting preparation of the Union’s coordinated risk assessments. </w:t>
            </w:r>
          </w:p>
          <w:p w14:paraId="5AAA270F" w14:textId="77777777" w:rsidR="001F04D8" w:rsidRPr="001F04D8" w:rsidRDefault="001F04D8" w:rsidP="001F04D8">
            <w:pPr>
              <w:rPr>
                <w:noProof/>
              </w:rPr>
            </w:pPr>
            <w:r w:rsidRPr="001F04D8">
              <w:rPr>
                <w:noProof/>
                <w:sz w:val="20"/>
                <w:szCs w:val="20"/>
              </w:rPr>
              <w:t xml:space="preserve">Conducting economic analysis for each of the ICT product, service considered. </w:t>
            </w:r>
          </w:p>
          <w:p w14:paraId="4CA95FDD" w14:textId="77777777" w:rsidR="001F04D8" w:rsidRPr="001F04D8" w:rsidRDefault="001F04D8" w:rsidP="001F04D8">
            <w:pPr>
              <w:rPr>
                <w:noProof/>
                <w:sz w:val="20"/>
                <w:szCs w:val="20"/>
              </w:rPr>
            </w:pPr>
            <w:r w:rsidRPr="001F04D8">
              <w:rPr>
                <w:noProof/>
                <w:sz w:val="20"/>
                <w:szCs w:val="20"/>
              </w:rPr>
              <w:t xml:space="preserve">Drafting the respective implementing acts on identification of key assets, proposed mitigation measures and designation of countries posing strategic cybersecurity risks for specific key assets, identification of high-risk suppliers, verifying exemption requests and preparing the Commission’s decisions. </w:t>
            </w:r>
          </w:p>
          <w:p w14:paraId="18CF6CF7" w14:textId="77777777" w:rsidR="001F04D8" w:rsidRDefault="001F04D8" w:rsidP="001F04D8">
            <w:pPr>
              <w:rPr>
                <w:noProof/>
              </w:rPr>
            </w:pPr>
            <w:r w:rsidRPr="001F04D8">
              <w:rPr>
                <w:noProof/>
                <w:sz w:val="20"/>
                <w:szCs w:val="20"/>
              </w:rPr>
              <w:t>Supporting implementation and supervision of adopted measures.</w:t>
            </w:r>
          </w:p>
          <w:p w14:paraId="63C5391A" w14:textId="77777777" w:rsidR="008E3FA9" w:rsidRPr="00922145" w:rsidRDefault="008E3FA9">
            <w:pPr>
              <w:rPr>
                <w:noProof/>
                <w:sz w:val="20"/>
                <w:szCs w:val="20"/>
              </w:rPr>
            </w:pPr>
            <w:r w:rsidRPr="0124881F">
              <w:rPr>
                <w:b/>
                <w:bCs/>
                <w:noProof/>
                <w:sz w:val="20"/>
                <w:szCs w:val="20"/>
              </w:rPr>
              <w:t>European Cybersecurity Certification Framework, standardisation and implementation of related activities, NIS2 Directive implementation (17)</w:t>
            </w:r>
            <w:r w:rsidRPr="0124881F">
              <w:rPr>
                <w:noProof/>
                <w:sz w:val="20"/>
                <w:szCs w:val="20"/>
              </w:rPr>
              <w:t>:</w:t>
            </w:r>
          </w:p>
          <w:p w14:paraId="202C7ACE" w14:textId="77777777" w:rsidR="008E3FA9" w:rsidRDefault="008E3FA9">
            <w:pPr>
              <w:rPr>
                <w:noProof/>
                <w:sz w:val="20"/>
                <w:szCs w:val="20"/>
              </w:rPr>
            </w:pPr>
            <w:r w:rsidRPr="0124881F">
              <w:rPr>
                <w:noProof/>
                <w:sz w:val="20"/>
                <w:szCs w:val="20"/>
              </w:rPr>
              <w:t xml:space="preserve">CSA enforcement, in particular governance of CABs (challenge of responsibilities) </w:t>
            </w:r>
          </w:p>
          <w:p w14:paraId="656FFAF0" w14:textId="77777777" w:rsidR="008E3FA9" w:rsidRDefault="008E3FA9">
            <w:pPr>
              <w:rPr>
                <w:noProof/>
              </w:rPr>
            </w:pPr>
            <w:r w:rsidRPr="0124881F">
              <w:rPr>
                <w:noProof/>
                <w:sz w:val="20"/>
                <w:szCs w:val="20"/>
              </w:rPr>
              <w:t xml:space="preserve">Stakeholder engagement (and Assembly) </w:t>
            </w:r>
          </w:p>
          <w:p w14:paraId="13FABBAE" w14:textId="77777777" w:rsidR="008E3FA9" w:rsidRDefault="008E3FA9">
            <w:pPr>
              <w:rPr>
                <w:noProof/>
              </w:rPr>
            </w:pPr>
            <w:r w:rsidRPr="0124881F">
              <w:rPr>
                <w:noProof/>
                <w:sz w:val="20"/>
                <w:szCs w:val="20"/>
              </w:rPr>
              <w:t xml:space="preserve">Mutual recognition with third countries </w:t>
            </w:r>
          </w:p>
          <w:p w14:paraId="14FECAAB" w14:textId="77777777" w:rsidR="008E3FA9" w:rsidRDefault="008E3FA9">
            <w:pPr>
              <w:rPr>
                <w:noProof/>
              </w:rPr>
            </w:pPr>
            <w:r w:rsidRPr="0124881F">
              <w:rPr>
                <w:noProof/>
                <w:sz w:val="20"/>
                <w:szCs w:val="20"/>
              </w:rPr>
              <w:t xml:space="preserve">Standardised implementing act development (detailed requests subject to consultations and development of model provisions) </w:t>
            </w:r>
          </w:p>
          <w:p w14:paraId="0DB1CE67" w14:textId="77777777" w:rsidR="008E3FA9" w:rsidRDefault="008E3FA9">
            <w:pPr>
              <w:rPr>
                <w:noProof/>
              </w:rPr>
            </w:pPr>
            <w:r w:rsidRPr="0124881F">
              <w:rPr>
                <w:noProof/>
                <w:sz w:val="20"/>
                <w:szCs w:val="20"/>
              </w:rPr>
              <w:t xml:space="preserve">Scheme maintenance, legal review, comitology procedure </w:t>
            </w:r>
          </w:p>
          <w:p w14:paraId="7947F572" w14:textId="77777777" w:rsidR="008E3FA9" w:rsidRDefault="008E3FA9">
            <w:pPr>
              <w:rPr>
                <w:noProof/>
              </w:rPr>
            </w:pPr>
            <w:r w:rsidRPr="0124881F">
              <w:rPr>
                <w:noProof/>
                <w:sz w:val="20"/>
                <w:szCs w:val="20"/>
              </w:rPr>
              <w:t xml:space="preserve">Coordination with NIS CG and entity scheme maintenance </w:t>
            </w:r>
          </w:p>
          <w:p w14:paraId="58A000D0" w14:textId="77777777" w:rsidR="008E3FA9" w:rsidRDefault="008E3FA9">
            <w:pPr>
              <w:rPr>
                <w:noProof/>
              </w:rPr>
            </w:pPr>
            <w:r w:rsidRPr="0124881F">
              <w:rPr>
                <w:noProof/>
                <w:sz w:val="20"/>
                <w:szCs w:val="20"/>
              </w:rPr>
              <w:t xml:space="preserve">Implementing acts under NIS2 Directive </w:t>
            </w:r>
          </w:p>
          <w:p w14:paraId="0D4C02B5" w14:textId="77777777" w:rsidR="008E3FA9" w:rsidRDefault="008E3FA9">
            <w:pPr>
              <w:rPr>
                <w:noProof/>
              </w:rPr>
            </w:pPr>
            <w:r w:rsidRPr="0124881F">
              <w:rPr>
                <w:noProof/>
                <w:sz w:val="20"/>
                <w:szCs w:val="20"/>
              </w:rPr>
              <w:t xml:space="preserve">CABs alignment with CSA, presumption of conformity + standardisation¨ </w:t>
            </w:r>
          </w:p>
          <w:p w14:paraId="381096BF" w14:textId="77777777" w:rsidR="008E3FA9" w:rsidRDefault="008E3FA9">
            <w:pPr>
              <w:rPr>
                <w:noProof/>
              </w:rPr>
            </w:pPr>
            <w:r w:rsidRPr="0124881F">
              <w:rPr>
                <w:noProof/>
                <w:sz w:val="20"/>
                <w:szCs w:val="20"/>
              </w:rPr>
              <w:t xml:space="preserve">Coordination between market surveillance and NCCA </w:t>
            </w:r>
          </w:p>
          <w:p w14:paraId="6F73F1AE" w14:textId="77777777" w:rsidR="008E3FA9" w:rsidRPr="003B04E8" w:rsidRDefault="008E3FA9">
            <w:pPr>
              <w:rPr>
                <w:noProof/>
              </w:rPr>
            </w:pPr>
            <w:r w:rsidRPr="003B04E8">
              <w:rPr>
                <w:noProof/>
                <w:sz w:val="20"/>
                <w:szCs w:val="20"/>
              </w:rPr>
              <w:t>Technical alignment between CRA and certification schemes</w:t>
            </w:r>
          </w:p>
          <w:p w14:paraId="4E0B8750" w14:textId="77777777" w:rsidR="008E3FA9" w:rsidRPr="00922145" w:rsidRDefault="008E3FA9">
            <w:pPr>
              <w:rPr>
                <w:noProof/>
                <w:sz w:val="20"/>
                <w:szCs w:val="20"/>
              </w:rPr>
            </w:pPr>
            <w:r w:rsidRPr="00922145">
              <w:rPr>
                <w:b/>
                <w:bCs/>
                <w:noProof/>
                <w:sz w:val="20"/>
                <w:szCs w:val="20"/>
              </w:rPr>
              <w:t>Operational coordination and situational awareness (</w:t>
            </w:r>
            <w:r w:rsidRPr="35C9C33A">
              <w:rPr>
                <w:b/>
                <w:bCs/>
                <w:noProof/>
                <w:sz w:val="20"/>
                <w:szCs w:val="20"/>
              </w:rPr>
              <w:t>5</w:t>
            </w:r>
            <w:r w:rsidRPr="00922145">
              <w:rPr>
                <w:b/>
                <w:bCs/>
                <w:noProof/>
                <w:sz w:val="20"/>
                <w:szCs w:val="20"/>
              </w:rPr>
              <w:t>)</w:t>
            </w:r>
            <w:r w:rsidRPr="00922145">
              <w:rPr>
                <w:noProof/>
                <w:sz w:val="20"/>
                <w:szCs w:val="20"/>
              </w:rPr>
              <w:t>:</w:t>
            </w:r>
          </w:p>
          <w:p w14:paraId="2B52DF81" w14:textId="77777777" w:rsidR="008E3FA9" w:rsidRPr="00922145" w:rsidRDefault="008E3FA9">
            <w:pPr>
              <w:rPr>
                <w:noProof/>
                <w:sz w:val="20"/>
                <w:szCs w:val="20"/>
              </w:rPr>
            </w:pPr>
            <w:r w:rsidRPr="0124881F">
              <w:rPr>
                <w:noProof/>
                <w:sz w:val="20"/>
                <w:szCs w:val="20"/>
              </w:rPr>
              <w:t xml:space="preserve">Sectoral and threat actor expertise to contribute EU level situational awareness of threats to critical infrastructure including through emerging technologies </w:t>
            </w:r>
          </w:p>
          <w:p w14:paraId="255530BB" w14:textId="77777777" w:rsidR="008E3FA9" w:rsidRPr="00922145" w:rsidRDefault="008E3FA9">
            <w:pPr>
              <w:rPr>
                <w:noProof/>
                <w:sz w:val="20"/>
                <w:szCs w:val="20"/>
              </w:rPr>
            </w:pPr>
            <w:r w:rsidRPr="0124881F">
              <w:rPr>
                <w:noProof/>
                <w:sz w:val="20"/>
                <w:szCs w:val="20"/>
              </w:rPr>
              <w:t xml:space="preserve">Coordination with ENISA and other EU entities and networks to prepare for significant and large-scale cyber incidents </w:t>
            </w:r>
          </w:p>
        </w:tc>
      </w:tr>
      <w:tr w:rsidR="008E3FA9" w:rsidRPr="00922145" w14:paraId="7C365EDA" w14:textId="77777777">
        <w:tc>
          <w:tcPr>
            <w:tcW w:w="3240" w:type="dxa"/>
          </w:tcPr>
          <w:p w14:paraId="0B2316A0" w14:textId="77777777" w:rsidR="008E3FA9" w:rsidRPr="00922145" w:rsidRDefault="008E3FA9">
            <w:pPr>
              <w:spacing w:before="60" w:after="60"/>
              <w:rPr>
                <w:noProof/>
                <w:sz w:val="20"/>
              </w:rPr>
            </w:pPr>
            <w:r w:rsidRPr="00922145">
              <w:rPr>
                <w:noProof/>
                <w:sz w:val="20"/>
              </w:rPr>
              <w:t>External staff</w:t>
            </w:r>
          </w:p>
        </w:tc>
        <w:tc>
          <w:tcPr>
            <w:tcW w:w="7200" w:type="dxa"/>
          </w:tcPr>
          <w:p w14:paraId="5C27C17A" w14:textId="77777777" w:rsidR="008E3FA9" w:rsidRPr="00922145" w:rsidRDefault="008E3FA9">
            <w:pPr>
              <w:rPr>
                <w:noProof/>
                <w:sz w:val="20"/>
              </w:rPr>
            </w:pPr>
            <w:r w:rsidRPr="00922145">
              <w:rPr>
                <w:noProof/>
                <w:sz w:val="20"/>
              </w:rPr>
              <w:t>As above</w:t>
            </w:r>
          </w:p>
        </w:tc>
      </w:tr>
      <w:bookmarkEnd w:id="172"/>
    </w:tbl>
    <w:p w14:paraId="0370DDE3" w14:textId="77777777" w:rsidR="008E3FA9" w:rsidRDefault="008E3FA9" w:rsidP="008E3FA9">
      <w:pPr>
        <w:rPr>
          <w:noProof/>
        </w:rPr>
      </w:pPr>
    </w:p>
    <w:p w14:paraId="31B05343" w14:textId="1BFD0417" w:rsidR="00EC37C5" w:rsidRPr="00922145" w:rsidRDefault="00EC37C5" w:rsidP="00EC37C5">
      <w:pPr>
        <w:pStyle w:val="Text1"/>
        <w:ind w:left="-426" w:right="-427"/>
        <w:rPr>
          <w:noProof/>
        </w:rPr>
      </w:pPr>
      <w:r w:rsidRPr="00922145">
        <w:rPr>
          <w:noProof/>
        </w:rPr>
        <w:t>Description of</w:t>
      </w:r>
      <w:r>
        <w:rPr>
          <w:noProof/>
        </w:rPr>
        <w:t xml:space="preserve"> additional</w:t>
      </w:r>
      <w:r w:rsidRPr="00922145">
        <w:rPr>
          <w:noProof/>
        </w:rPr>
        <w:t xml:space="preserve"> tasks to be carried out by ENISA:</w:t>
      </w:r>
    </w:p>
    <w:p w14:paraId="5476EFE7" w14:textId="77777777" w:rsidR="00EC37C5" w:rsidRPr="00922145" w:rsidRDefault="00EC37C5" w:rsidP="00EC37C5">
      <w:pPr>
        <w:pStyle w:val="Text1"/>
        <w:ind w:left="-426" w:right="-427"/>
        <w:rPr>
          <w:noProof/>
        </w:rPr>
      </w:pP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rsidR="00EC37C5" w:rsidRPr="00922145" w14:paraId="07BDA7A4" w14:textId="77777777">
        <w:trPr>
          <w:trHeight w:val="4050"/>
        </w:trPr>
        <w:tc>
          <w:tcPr>
            <w:tcW w:w="3240" w:type="dxa"/>
          </w:tcPr>
          <w:p w14:paraId="71DE6474" w14:textId="77777777" w:rsidR="00EC37C5" w:rsidRPr="00922145" w:rsidRDefault="00EC37C5">
            <w:pPr>
              <w:rPr>
                <w:noProof/>
                <w:sz w:val="20"/>
                <w:szCs w:val="20"/>
              </w:rPr>
            </w:pPr>
            <w:bookmarkStart w:id="173" w:name="_Hlk212382344"/>
            <w:r w:rsidRPr="00922145">
              <w:rPr>
                <w:noProof/>
                <w:sz w:val="20"/>
                <w:szCs w:val="20"/>
              </w:rPr>
              <w:t>Officials and temporary staff</w:t>
            </w:r>
          </w:p>
        </w:tc>
        <w:tc>
          <w:tcPr>
            <w:tcW w:w="7200" w:type="dxa"/>
          </w:tcPr>
          <w:p w14:paraId="7BC0B9C9" w14:textId="77777777" w:rsidR="00EC37C5" w:rsidRPr="00922145" w:rsidRDefault="00EC37C5">
            <w:pPr>
              <w:rPr>
                <w:noProof/>
                <w:sz w:val="20"/>
              </w:rPr>
            </w:pPr>
            <w:r w:rsidRPr="00922145">
              <w:rPr>
                <w:noProof/>
                <w:sz w:val="20"/>
              </w:rPr>
              <w:t>Managing the EU Cybersecurity Reserve (country managers and support for the implementation</w:t>
            </w:r>
            <w:r>
              <w:rPr>
                <w:noProof/>
                <w:sz w:val="20"/>
              </w:rPr>
              <w:t>, while the actual operational costs of the Reserve are covered as foreseen under the Cyber Solidarity Act</w:t>
            </w:r>
            <w:r w:rsidRPr="00922145">
              <w:rPr>
                <w:noProof/>
                <w:sz w:val="20"/>
              </w:rPr>
              <w:t>) (10)</w:t>
            </w:r>
          </w:p>
          <w:p w14:paraId="2BA459C5" w14:textId="77777777" w:rsidR="00EC37C5" w:rsidRPr="00922145" w:rsidRDefault="00EC37C5">
            <w:pPr>
              <w:rPr>
                <w:noProof/>
                <w:sz w:val="20"/>
                <w:szCs w:val="20"/>
              </w:rPr>
            </w:pPr>
            <w:r w:rsidRPr="7A6B4543">
              <w:rPr>
                <w:noProof/>
                <w:sz w:val="20"/>
                <w:szCs w:val="20"/>
              </w:rPr>
              <w:t>CRA management of the Single Reporting Platform (SRP) (operation) (9)</w:t>
            </w:r>
          </w:p>
          <w:p w14:paraId="5B1496E2" w14:textId="77777777" w:rsidR="00EC37C5" w:rsidRPr="00922145" w:rsidRDefault="00EC37C5">
            <w:pPr>
              <w:rPr>
                <w:noProof/>
                <w:sz w:val="20"/>
                <w:szCs w:val="20"/>
              </w:rPr>
            </w:pPr>
            <w:r w:rsidRPr="00922145">
              <w:rPr>
                <w:noProof/>
                <w:sz w:val="20"/>
                <w:szCs w:val="20"/>
              </w:rPr>
              <w:t>Vulnerability services linked to SRP (</w:t>
            </w:r>
            <w:r w:rsidRPr="7A6B4543">
              <w:rPr>
                <w:noProof/>
                <w:sz w:val="20"/>
                <w:szCs w:val="20"/>
              </w:rPr>
              <w:t>4</w:t>
            </w:r>
            <w:r w:rsidRPr="00922145">
              <w:rPr>
                <w:noProof/>
                <w:sz w:val="20"/>
                <w:szCs w:val="20"/>
              </w:rPr>
              <w:t>)</w:t>
            </w:r>
          </w:p>
          <w:p w14:paraId="3FED3E68" w14:textId="77777777" w:rsidR="00EC37C5" w:rsidRPr="00922145" w:rsidRDefault="00EC37C5">
            <w:pPr>
              <w:rPr>
                <w:noProof/>
                <w:sz w:val="20"/>
                <w:szCs w:val="20"/>
              </w:rPr>
            </w:pPr>
            <w:r w:rsidRPr="00922145">
              <w:rPr>
                <w:noProof/>
                <w:sz w:val="20"/>
                <w:szCs w:val="20"/>
              </w:rPr>
              <w:t>Extension of SRP to Single Entry Point (Development &amp; operation) (</w:t>
            </w:r>
            <w:r w:rsidRPr="4E965DD0">
              <w:rPr>
                <w:noProof/>
                <w:sz w:val="20"/>
                <w:szCs w:val="20"/>
              </w:rPr>
              <w:t>8</w:t>
            </w:r>
            <w:r w:rsidRPr="00922145">
              <w:rPr>
                <w:noProof/>
                <w:sz w:val="20"/>
                <w:szCs w:val="20"/>
              </w:rPr>
              <w:t>)</w:t>
            </w:r>
          </w:p>
          <w:p w14:paraId="0B80019D" w14:textId="77777777" w:rsidR="00EC37C5" w:rsidRPr="00922145" w:rsidRDefault="00EC37C5">
            <w:pPr>
              <w:rPr>
                <w:noProof/>
                <w:sz w:val="20"/>
                <w:szCs w:val="20"/>
              </w:rPr>
            </w:pPr>
            <w:r w:rsidRPr="46EAE5FE">
              <w:rPr>
                <w:noProof/>
                <w:sz w:val="20"/>
                <w:szCs w:val="20"/>
              </w:rPr>
              <w:t>Development of technical guidance, product security expertise and market analysis to support CRA implementation (7)</w:t>
            </w:r>
          </w:p>
          <w:p w14:paraId="48CA91BE" w14:textId="77777777" w:rsidR="00EC37C5" w:rsidRPr="00922145" w:rsidRDefault="00EC37C5">
            <w:pPr>
              <w:rPr>
                <w:noProof/>
                <w:sz w:val="20"/>
                <w:szCs w:val="20"/>
              </w:rPr>
            </w:pPr>
            <w:r w:rsidRPr="46EAE5FE">
              <w:rPr>
                <w:noProof/>
                <w:sz w:val="20"/>
                <w:szCs w:val="20"/>
              </w:rPr>
              <w:t>Standardisation to support CRA implementation / Certification / NIS2 (4)</w:t>
            </w:r>
          </w:p>
          <w:p w14:paraId="1E45F839" w14:textId="77777777" w:rsidR="00EC37C5" w:rsidRPr="00922145" w:rsidRDefault="00EC37C5">
            <w:pPr>
              <w:rPr>
                <w:noProof/>
                <w:sz w:val="20"/>
                <w:szCs w:val="20"/>
              </w:rPr>
            </w:pPr>
            <w:r w:rsidRPr="46EAE5FE">
              <w:rPr>
                <w:noProof/>
                <w:sz w:val="20"/>
                <w:szCs w:val="20"/>
              </w:rPr>
              <w:t>Supporting the CRA market surveillance activities (4)</w:t>
            </w:r>
          </w:p>
          <w:p w14:paraId="7D506025" w14:textId="77777777" w:rsidR="00EC37C5" w:rsidRPr="00922145" w:rsidRDefault="00EC37C5">
            <w:pPr>
              <w:rPr>
                <w:noProof/>
                <w:sz w:val="20"/>
              </w:rPr>
            </w:pPr>
            <w:r w:rsidRPr="00922145">
              <w:rPr>
                <w:noProof/>
                <w:sz w:val="20"/>
              </w:rPr>
              <w:t>Supporting conformity testing and security evaluations of products (4)</w:t>
            </w:r>
          </w:p>
          <w:p w14:paraId="0F85698D" w14:textId="77777777" w:rsidR="00EC37C5" w:rsidRPr="00922145" w:rsidRDefault="00EC37C5">
            <w:pPr>
              <w:rPr>
                <w:noProof/>
                <w:sz w:val="20"/>
                <w:szCs w:val="20"/>
              </w:rPr>
            </w:pPr>
            <w:r w:rsidRPr="4E965DD0">
              <w:rPr>
                <w:noProof/>
                <w:sz w:val="20"/>
                <w:szCs w:val="20"/>
              </w:rPr>
              <w:t>Support the Member States in mutual assistance (</w:t>
            </w:r>
            <w:r w:rsidRPr="5708209F">
              <w:rPr>
                <w:noProof/>
                <w:sz w:val="20"/>
                <w:szCs w:val="20"/>
              </w:rPr>
              <w:t>3</w:t>
            </w:r>
            <w:r w:rsidRPr="4E965DD0">
              <w:rPr>
                <w:noProof/>
                <w:sz w:val="20"/>
                <w:szCs w:val="20"/>
              </w:rPr>
              <w:t>)</w:t>
            </w:r>
          </w:p>
          <w:p w14:paraId="0C2EEE50" w14:textId="77777777" w:rsidR="00EC37C5" w:rsidRPr="00922145" w:rsidRDefault="00EC37C5">
            <w:pPr>
              <w:rPr>
                <w:noProof/>
                <w:sz w:val="20"/>
                <w:szCs w:val="20"/>
              </w:rPr>
            </w:pPr>
            <w:r w:rsidRPr="00922145">
              <w:rPr>
                <w:noProof/>
                <w:sz w:val="20"/>
                <w:szCs w:val="20"/>
              </w:rPr>
              <w:t>Providing vulnerability management services, maintaining the EUVD</w:t>
            </w:r>
            <w:r>
              <w:rPr>
                <w:noProof/>
                <w:sz w:val="20"/>
                <w:szCs w:val="20"/>
              </w:rPr>
              <w:t xml:space="preserve"> </w:t>
            </w:r>
            <w:r w:rsidRPr="00922145">
              <w:rPr>
                <w:noProof/>
                <w:sz w:val="20"/>
                <w:szCs w:val="20"/>
              </w:rPr>
              <w:t>and delivering advisory and enrichment functions (CVD) (15)</w:t>
            </w:r>
          </w:p>
          <w:p w14:paraId="7F792D5A" w14:textId="77777777" w:rsidR="00EC37C5" w:rsidRPr="00922145" w:rsidRDefault="00EC37C5">
            <w:pPr>
              <w:rPr>
                <w:noProof/>
                <w:sz w:val="20"/>
                <w:szCs w:val="20"/>
              </w:rPr>
            </w:pPr>
            <w:r w:rsidRPr="00922145">
              <w:rPr>
                <w:noProof/>
                <w:sz w:val="20"/>
                <w:szCs w:val="20"/>
              </w:rPr>
              <w:t>Operational cooperation &amp; Situational awareness - mitigating and support platforms such as CNW/CyCLONe; supporting the tasks in relation to alert notifications; support the enhanced coordination with other relevant entities to develop repositories of verified, reliable cyber threat intelligence</w:t>
            </w:r>
            <w:r w:rsidRPr="00922145" w:rsidDel="652C4D14">
              <w:rPr>
                <w:noProof/>
                <w:sz w:val="20"/>
                <w:szCs w:val="20"/>
              </w:rPr>
              <w:t xml:space="preserve"> </w:t>
            </w:r>
            <w:r w:rsidRPr="00922145">
              <w:rPr>
                <w:noProof/>
                <w:sz w:val="20"/>
                <w:szCs w:val="20"/>
              </w:rPr>
              <w:t>(art. 11(1a) CSA2) (5)</w:t>
            </w:r>
          </w:p>
          <w:p w14:paraId="66CDE209" w14:textId="77777777" w:rsidR="00EC37C5" w:rsidRPr="00922145" w:rsidRDefault="00EC37C5">
            <w:pPr>
              <w:rPr>
                <w:noProof/>
                <w:sz w:val="20"/>
                <w:szCs w:val="20"/>
              </w:rPr>
            </w:pPr>
            <w:r w:rsidRPr="00922145">
              <w:rPr>
                <w:noProof/>
                <w:sz w:val="20"/>
                <w:szCs w:val="20"/>
              </w:rPr>
              <w:t xml:space="preserve">Support for critical </w:t>
            </w:r>
            <w:r w:rsidRPr="4E965DD0">
              <w:rPr>
                <w:noProof/>
                <w:sz w:val="20"/>
                <w:szCs w:val="20"/>
              </w:rPr>
              <w:t>sectors</w:t>
            </w:r>
            <w:r w:rsidRPr="00922145">
              <w:rPr>
                <w:noProof/>
                <w:sz w:val="20"/>
                <w:szCs w:val="20"/>
              </w:rPr>
              <w:t xml:space="preserve"> resilience (</w:t>
            </w:r>
            <w:r w:rsidRPr="4E965DD0">
              <w:rPr>
                <w:noProof/>
                <w:sz w:val="20"/>
                <w:szCs w:val="20"/>
              </w:rPr>
              <w:t>including</w:t>
            </w:r>
            <w:r w:rsidRPr="00922145">
              <w:rPr>
                <w:noProof/>
                <w:sz w:val="20"/>
                <w:szCs w:val="20"/>
              </w:rPr>
              <w:t xml:space="preserve"> healthcare cybersecurity Action Plan implementation) (</w:t>
            </w:r>
            <w:r w:rsidRPr="5708209F">
              <w:rPr>
                <w:noProof/>
                <w:sz w:val="20"/>
                <w:szCs w:val="20"/>
              </w:rPr>
              <w:t>4</w:t>
            </w:r>
            <w:r w:rsidRPr="00922145">
              <w:rPr>
                <w:noProof/>
                <w:sz w:val="20"/>
                <w:szCs w:val="20"/>
              </w:rPr>
              <w:t>)</w:t>
            </w:r>
          </w:p>
          <w:p w14:paraId="0365555B" w14:textId="77777777" w:rsidR="00EC37C5" w:rsidRPr="00922145" w:rsidRDefault="00EC37C5">
            <w:pPr>
              <w:rPr>
                <w:noProof/>
                <w:sz w:val="20"/>
              </w:rPr>
            </w:pPr>
            <w:r w:rsidRPr="00922145">
              <w:rPr>
                <w:noProof/>
                <w:sz w:val="20"/>
              </w:rPr>
              <w:t>Skills Attestation Scheme Development (2)</w:t>
            </w:r>
          </w:p>
          <w:p w14:paraId="61882E9E" w14:textId="77777777" w:rsidR="00EC37C5" w:rsidRPr="00922145" w:rsidRDefault="00EC37C5">
            <w:pPr>
              <w:rPr>
                <w:noProof/>
                <w:sz w:val="20"/>
              </w:rPr>
            </w:pPr>
            <w:r w:rsidRPr="00922145">
              <w:rPr>
                <w:noProof/>
                <w:sz w:val="20"/>
              </w:rPr>
              <w:t>Skills Attestation Scheme Maintenance and Oversight (6)</w:t>
            </w:r>
          </w:p>
          <w:p w14:paraId="407143D5" w14:textId="77777777" w:rsidR="00EC37C5" w:rsidRPr="00922145" w:rsidRDefault="00EC37C5">
            <w:pPr>
              <w:rPr>
                <w:noProof/>
                <w:sz w:val="20"/>
                <w:szCs w:val="20"/>
              </w:rPr>
            </w:pPr>
            <w:r w:rsidRPr="21B108C8">
              <w:rPr>
                <w:noProof/>
                <w:sz w:val="20"/>
                <w:szCs w:val="20"/>
              </w:rPr>
              <w:t>Admin (Accountant for the fees/HR/IT) (8)</w:t>
            </w:r>
          </w:p>
          <w:p w14:paraId="54441373" w14:textId="77777777" w:rsidR="00EC37C5" w:rsidRPr="00922145" w:rsidRDefault="00EC37C5">
            <w:pPr>
              <w:rPr>
                <w:noProof/>
                <w:sz w:val="20"/>
                <w:szCs w:val="20"/>
              </w:rPr>
            </w:pPr>
            <w:r w:rsidRPr="47822ED6">
              <w:rPr>
                <w:noProof/>
                <w:sz w:val="20"/>
                <w:szCs w:val="20"/>
              </w:rPr>
              <w:t>Maintenance of certification schemes (11)</w:t>
            </w:r>
          </w:p>
          <w:p w14:paraId="52AB1125" w14:textId="77777777" w:rsidR="00EC37C5" w:rsidRPr="00922145" w:rsidRDefault="00EC37C5">
            <w:pPr>
              <w:rPr>
                <w:noProof/>
                <w:sz w:val="20"/>
                <w:szCs w:val="20"/>
              </w:rPr>
            </w:pPr>
            <w:r w:rsidRPr="47822ED6">
              <w:rPr>
                <w:noProof/>
                <w:sz w:val="20"/>
                <w:szCs w:val="20"/>
              </w:rPr>
              <w:t>Horizontal tasks - increased stakeholder engagement, drafting technical specifications and involvement in standardisation activities in support of schemes (1)</w:t>
            </w:r>
          </w:p>
        </w:tc>
      </w:tr>
      <w:tr w:rsidR="00EC37C5" w:rsidRPr="00922145" w14:paraId="0E11BE00" w14:textId="77777777">
        <w:tc>
          <w:tcPr>
            <w:tcW w:w="3240" w:type="dxa"/>
          </w:tcPr>
          <w:p w14:paraId="11D4E0F9" w14:textId="77777777" w:rsidR="00EC37C5" w:rsidRPr="00922145" w:rsidRDefault="00EC37C5">
            <w:pPr>
              <w:spacing w:before="60" w:after="60"/>
              <w:rPr>
                <w:noProof/>
                <w:sz w:val="20"/>
              </w:rPr>
            </w:pPr>
            <w:r w:rsidRPr="00922145">
              <w:rPr>
                <w:noProof/>
                <w:sz w:val="20"/>
              </w:rPr>
              <w:t>External staff</w:t>
            </w:r>
          </w:p>
        </w:tc>
        <w:tc>
          <w:tcPr>
            <w:tcW w:w="7200" w:type="dxa"/>
          </w:tcPr>
          <w:p w14:paraId="2EC7723F" w14:textId="77777777" w:rsidR="00EC37C5" w:rsidRPr="00922145" w:rsidRDefault="00EC37C5">
            <w:pPr>
              <w:rPr>
                <w:noProof/>
                <w:sz w:val="20"/>
              </w:rPr>
            </w:pPr>
            <w:r w:rsidRPr="00922145">
              <w:rPr>
                <w:noProof/>
                <w:sz w:val="20"/>
              </w:rPr>
              <w:t>As above</w:t>
            </w:r>
          </w:p>
          <w:p w14:paraId="3476A0CC" w14:textId="77777777" w:rsidR="00EC37C5" w:rsidRPr="00922145" w:rsidRDefault="00EC37C5">
            <w:pPr>
              <w:rPr>
                <w:noProof/>
                <w:sz w:val="20"/>
                <w:szCs w:val="20"/>
              </w:rPr>
            </w:pPr>
            <w:r w:rsidRPr="00922145">
              <w:rPr>
                <w:noProof/>
                <w:sz w:val="20"/>
                <w:szCs w:val="20"/>
              </w:rPr>
              <w:t xml:space="preserve">Two mandatory SNEs per Member State in order to support the activities of the Agency and serve as National Liaison Officers, with focus on operational cooperation, coordinated vulnerability disclosure.  </w:t>
            </w:r>
            <w:r w:rsidRPr="47822ED6">
              <w:rPr>
                <w:noProof/>
                <w:sz w:val="20"/>
                <w:szCs w:val="20"/>
              </w:rPr>
              <w:t>(13)</w:t>
            </w:r>
          </w:p>
          <w:p w14:paraId="460377A5" w14:textId="77777777" w:rsidR="00EC37C5" w:rsidRPr="00922145" w:rsidRDefault="00EC37C5">
            <w:pPr>
              <w:rPr>
                <w:noProof/>
                <w:sz w:val="20"/>
                <w:szCs w:val="20"/>
              </w:rPr>
            </w:pPr>
            <w:r w:rsidRPr="279FF93A">
              <w:rPr>
                <w:noProof/>
                <w:sz w:val="20"/>
                <w:szCs w:val="20"/>
              </w:rPr>
              <w:t xml:space="preserve">The other 27 SNEs are envisaged as cost free and therefore have no budget implications. </w:t>
            </w:r>
          </w:p>
        </w:tc>
      </w:tr>
      <w:bookmarkEnd w:id="173"/>
    </w:tbl>
    <w:p w14:paraId="59B2BD4C" w14:textId="77777777" w:rsidR="00EC37C5" w:rsidRPr="00922145" w:rsidRDefault="00EC37C5" w:rsidP="00EC37C5">
      <w:pPr>
        <w:pStyle w:val="ManualHeading3"/>
        <w:ind w:left="0" w:firstLine="0"/>
        <w:rPr>
          <w:noProof/>
        </w:rPr>
      </w:pPr>
    </w:p>
    <w:p w14:paraId="7810BA14" w14:textId="77777777" w:rsidR="00EC37C5" w:rsidRDefault="00EC37C5" w:rsidP="00EC37C5">
      <w:pPr>
        <w:pStyle w:val="Text1"/>
        <w:ind w:left="0"/>
        <w:rPr>
          <w:noProof/>
        </w:rPr>
      </w:pPr>
      <w:r>
        <w:rPr>
          <w:noProof/>
        </w:rPr>
        <w:t>Additional operational costs per year for ENISA 2028 2034:</w:t>
      </w:r>
    </w:p>
    <w:tbl>
      <w:tblPr>
        <w:tblStyle w:val="TableGrid"/>
        <w:tblW w:w="9289" w:type="dxa"/>
        <w:tblLook w:val="06A0" w:firstRow="1" w:lastRow="0" w:firstColumn="1" w:lastColumn="0" w:noHBand="1" w:noVBand="1"/>
      </w:tblPr>
      <w:tblGrid>
        <w:gridCol w:w="1857"/>
        <w:gridCol w:w="1846"/>
        <w:gridCol w:w="3027"/>
        <w:gridCol w:w="2559"/>
      </w:tblGrid>
      <w:tr w:rsidR="00EC37C5" w14:paraId="2C253834" w14:textId="77777777" w:rsidTr="008E3FA9">
        <w:trPr>
          <w:trHeight w:val="300"/>
        </w:trPr>
        <w:tc>
          <w:tcPr>
            <w:tcW w:w="1857" w:type="dxa"/>
          </w:tcPr>
          <w:p w14:paraId="34BF9391" w14:textId="77777777" w:rsidR="00EC37C5" w:rsidRPr="00B50FCF" w:rsidRDefault="00EC37C5">
            <w:pPr>
              <w:pStyle w:val="Text1"/>
              <w:rPr>
                <w:b/>
                <w:bCs/>
                <w:noProof/>
              </w:rPr>
            </w:pPr>
            <w:r w:rsidRPr="00B50FCF">
              <w:rPr>
                <w:b/>
                <w:bCs/>
                <w:noProof/>
              </w:rPr>
              <w:t>Cost</w:t>
            </w:r>
          </w:p>
        </w:tc>
        <w:tc>
          <w:tcPr>
            <w:tcW w:w="1846" w:type="dxa"/>
          </w:tcPr>
          <w:p w14:paraId="348CF6B8" w14:textId="77777777" w:rsidR="00EC37C5" w:rsidRPr="00B50FCF" w:rsidRDefault="00EC37C5">
            <w:pPr>
              <w:pStyle w:val="Text1"/>
              <w:rPr>
                <w:b/>
                <w:bCs/>
                <w:noProof/>
              </w:rPr>
            </w:pPr>
            <w:r w:rsidRPr="00B50FCF">
              <w:rPr>
                <w:b/>
                <w:bCs/>
                <w:noProof/>
              </w:rPr>
              <w:t>Budget</w:t>
            </w:r>
          </w:p>
        </w:tc>
        <w:tc>
          <w:tcPr>
            <w:tcW w:w="3027" w:type="dxa"/>
          </w:tcPr>
          <w:p w14:paraId="1EE1D0E7" w14:textId="77777777" w:rsidR="00EC37C5" w:rsidRPr="00B50FCF" w:rsidRDefault="00EC37C5">
            <w:pPr>
              <w:pStyle w:val="Text1"/>
              <w:ind w:right="360"/>
              <w:jc w:val="left"/>
              <w:rPr>
                <w:b/>
                <w:bCs/>
                <w:noProof/>
              </w:rPr>
            </w:pPr>
            <w:r w:rsidRPr="00B50FCF">
              <w:rPr>
                <w:b/>
                <w:bCs/>
                <w:noProof/>
              </w:rPr>
              <w:t>Timeline</w:t>
            </w:r>
          </w:p>
        </w:tc>
        <w:tc>
          <w:tcPr>
            <w:tcW w:w="2559" w:type="dxa"/>
          </w:tcPr>
          <w:p w14:paraId="58180283" w14:textId="77777777" w:rsidR="00EC37C5" w:rsidRDefault="00EC37C5">
            <w:pPr>
              <w:pStyle w:val="Text1"/>
              <w:jc w:val="left"/>
              <w:rPr>
                <w:b/>
                <w:bCs/>
                <w:noProof/>
              </w:rPr>
            </w:pPr>
            <w:r w:rsidRPr="1C5C3B47">
              <w:rPr>
                <w:b/>
                <w:bCs/>
                <w:noProof/>
              </w:rPr>
              <w:t>Explanation</w:t>
            </w:r>
          </w:p>
        </w:tc>
      </w:tr>
      <w:tr w:rsidR="00EC37C5" w14:paraId="6B0465B3" w14:textId="77777777" w:rsidTr="008E3FA9">
        <w:trPr>
          <w:trHeight w:val="300"/>
        </w:trPr>
        <w:tc>
          <w:tcPr>
            <w:tcW w:w="1857" w:type="dxa"/>
          </w:tcPr>
          <w:p w14:paraId="2AE9E9D9" w14:textId="77777777" w:rsidR="00EC37C5" w:rsidRDefault="00EC37C5">
            <w:pPr>
              <w:pStyle w:val="Text1"/>
              <w:ind w:left="0"/>
              <w:rPr>
                <w:noProof/>
              </w:rPr>
            </w:pPr>
            <w:r>
              <w:rPr>
                <w:noProof/>
              </w:rPr>
              <w:t>Cybersecurity Skills website</w:t>
            </w:r>
          </w:p>
        </w:tc>
        <w:tc>
          <w:tcPr>
            <w:tcW w:w="1846" w:type="dxa"/>
          </w:tcPr>
          <w:p w14:paraId="6ABD0431" w14:textId="77777777" w:rsidR="00EC37C5" w:rsidRDefault="00EC37C5">
            <w:pPr>
              <w:pStyle w:val="Text1"/>
              <w:ind w:left="0"/>
              <w:rPr>
                <w:noProof/>
              </w:rPr>
            </w:pPr>
            <w:r>
              <w:rPr>
                <w:noProof/>
              </w:rPr>
              <w:t xml:space="preserve">EUR 750 000 </w:t>
            </w:r>
          </w:p>
        </w:tc>
        <w:tc>
          <w:tcPr>
            <w:tcW w:w="3027" w:type="dxa"/>
          </w:tcPr>
          <w:p w14:paraId="7056CE40" w14:textId="77777777" w:rsidR="00EC37C5" w:rsidRDefault="00EC37C5">
            <w:pPr>
              <w:pStyle w:val="Text1"/>
              <w:rPr>
                <w:noProof/>
              </w:rPr>
            </w:pPr>
            <w:r>
              <w:rPr>
                <w:noProof/>
              </w:rPr>
              <w:t>50% in 2029</w:t>
            </w:r>
          </w:p>
          <w:p w14:paraId="4D335028" w14:textId="77777777" w:rsidR="00EC37C5" w:rsidRDefault="00EC37C5">
            <w:pPr>
              <w:pStyle w:val="Text1"/>
              <w:rPr>
                <w:noProof/>
              </w:rPr>
            </w:pPr>
            <w:r>
              <w:rPr>
                <w:noProof/>
              </w:rPr>
              <w:t>50% in 2030</w:t>
            </w:r>
          </w:p>
        </w:tc>
        <w:tc>
          <w:tcPr>
            <w:tcW w:w="2559" w:type="dxa"/>
          </w:tcPr>
          <w:p w14:paraId="4496DF61" w14:textId="77777777" w:rsidR="00EC37C5" w:rsidRDefault="00EC37C5">
            <w:pPr>
              <w:pStyle w:val="Text1"/>
              <w:rPr>
                <w:noProof/>
              </w:rPr>
            </w:pPr>
            <w:r>
              <w:rPr>
                <w:noProof/>
              </w:rPr>
              <w:t>To ensure transparency of procedures, the proposal requires ENISA to maintain a website with ECFS profiles, attestation schemes, information about fees for each scheme, recommended fees for each attestation and the list of authorised attestation providers.</w:t>
            </w:r>
          </w:p>
        </w:tc>
      </w:tr>
      <w:tr w:rsidR="00EC37C5" w14:paraId="3A4A32A8" w14:textId="77777777" w:rsidTr="008E3FA9">
        <w:trPr>
          <w:trHeight w:val="300"/>
        </w:trPr>
        <w:tc>
          <w:tcPr>
            <w:tcW w:w="1857" w:type="dxa"/>
          </w:tcPr>
          <w:p w14:paraId="22BE7F96" w14:textId="77777777" w:rsidR="00EC37C5" w:rsidRDefault="00EC37C5">
            <w:pPr>
              <w:pStyle w:val="Text1"/>
              <w:ind w:left="0"/>
              <w:rPr>
                <w:noProof/>
              </w:rPr>
            </w:pPr>
            <w:r>
              <w:rPr>
                <w:noProof/>
              </w:rPr>
              <w:t>Coordinated vulnerability disclosure (CVD)</w:t>
            </w:r>
          </w:p>
        </w:tc>
        <w:tc>
          <w:tcPr>
            <w:tcW w:w="1846" w:type="dxa"/>
          </w:tcPr>
          <w:p w14:paraId="01316534" w14:textId="77777777" w:rsidR="00EC37C5" w:rsidRDefault="00EC37C5">
            <w:pPr>
              <w:pStyle w:val="Text1"/>
              <w:ind w:left="0"/>
              <w:rPr>
                <w:noProof/>
              </w:rPr>
            </w:pPr>
            <w:r>
              <w:rPr>
                <w:noProof/>
              </w:rPr>
              <w:t>EUR 1 million</w:t>
            </w:r>
          </w:p>
        </w:tc>
        <w:tc>
          <w:tcPr>
            <w:tcW w:w="3027" w:type="dxa"/>
          </w:tcPr>
          <w:p w14:paraId="5F0428D9" w14:textId="77777777" w:rsidR="00EC37C5" w:rsidRDefault="00EC37C5">
            <w:pPr>
              <w:pStyle w:val="Text1"/>
              <w:rPr>
                <w:noProof/>
              </w:rPr>
            </w:pPr>
            <w:r>
              <w:rPr>
                <w:noProof/>
              </w:rPr>
              <w:t xml:space="preserve">As of 2028 </w:t>
            </w:r>
          </w:p>
        </w:tc>
        <w:tc>
          <w:tcPr>
            <w:tcW w:w="2559" w:type="dxa"/>
          </w:tcPr>
          <w:p w14:paraId="3D9FE613" w14:textId="77777777" w:rsidR="00EC37C5" w:rsidRDefault="00EC37C5">
            <w:pPr>
              <w:pStyle w:val="Text1"/>
              <w:rPr>
                <w:noProof/>
              </w:rPr>
            </w:pPr>
            <w:r>
              <w:rPr>
                <w:noProof/>
              </w:rPr>
              <w:t>The  security of products and services used in our critical infrastructure depends very much on sharing in due time information about discovered vulnerabilities and how those can be mitigated.</w:t>
            </w:r>
          </w:p>
        </w:tc>
      </w:tr>
      <w:tr w:rsidR="00EC37C5" w14:paraId="6FB04A7D" w14:textId="77777777" w:rsidTr="008E3FA9">
        <w:trPr>
          <w:trHeight w:val="300"/>
        </w:trPr>
        <w:tc>
          <w:tcPr>
            <w:tcW w:w="1857" w:type="dxa"/>
          </w:tcPr>
          <w:p w14:paraId="4B862302" w14:textId="77777777" w:rsidR="00EC37C5" w:rsidRDefault="00EC37C5">
            <w:pPr>
              <w:pStyle w:val="Text1"/>
              <w:ind w:left="0"/>
              <w:rPr>
                <w:noProof/>
              </w:rPr>
            </w:pPr>
            <w:r>
              <w:rPr>
                <w:noProof/>
              </w:rPr>
              <w:t xml:space="preserve">Cybersecurity Threat Intelligence </w:t>
            </w:r>
          </w:p>
        </w:tc>
        <w:tc>
          <w:tcPr>
            <w:tcW w:w="1846" w:type="dxa"/>
          </w:tcPr>
          <w:p w14:paraId="73F9E49B" w14:textId="77777777" w:rsidR="00EC37C5" w:rsidRDefault="00EC37C5">
            <w:pPr>
              <w:pStyle w:val="Text1"/>
              <w:ind w:left="0"/>
              <w:rPr>
                <w:noProof/>
              </w:rPr>
            </w:pPr>
            <w:r>
              <w:rPr>
                <w:noProof/>
              </w:rPr>
              <w:t xml:space="preserve">EUR 3 million </w:t>
            </w:r>
          </w:p>
        </w:tc>
        <w:tc>
          <w:tcPr>
            <w:tcW w:w="3027" w:type="dxa"/>
          </w:tcPr>
          <w:p w14:paraId="54C40931" w14:textId="77777777" w:rsidR="00EC37C5" w:rsidRDefault="00EC37C5">
            <w:pPr>
              <w:pStyle w:val="Text1"/>
              <w:rPr>
                <w:noProof/>
              </w:rPr>
            </w:pPr>
            <w:r>
              <w:rPr>
                <w:noProof/>
              </w:rPr>
              <w:t>As of 2028</w:t>
            </w:r>
          </w:p>
        </w:tc>
        <w:tc>
          <w:tcPr>
            <w:tcW w:w="2559" w:type="dxa"/>
          </w:tcPr>
          <w:p w14:paraId="7FA17271" w14:textId="77777777" w:rsidR="00EC37C5" w:rsidRDefault="00EC37C5">
            <w:pPr>
              <w:pStyle w:val="Text1"/>
              <w:rPr>
                <w:noProof/>
              </w:rPr>
            </w:pPr>
            <w:r>
              <w:rPr>
                <w:noProof/>
              </w:rPr>
              <w:t>For building a situational awareness picture done in cooperation, ENISA and the Commission.</w:t>
            </w:r>
          </w:p>
        </w:tc>
      </w:tr>
      <w:tr w:rsidR="00EC37C5" w14:paraId="0F68A05B" w14:textId="77777777" w:rsidTr="008E3FA9">
        <w:trPr>
          <w:trHeight w:val="300"/>
        </w:trPr>
        <w:tc>
          <w:tcPr>
            <w:tcW w:w="1857" w:type="dxa"/>
          </w:tcPr>
          <w:p w14:paraId="59269DE9" w14:textId="77777777" w:rsidR="00EC37C5" w:rsidRDefault="00EC37C5">
            <w:pPr>
              <w:pStyle w:val="Text1"/>
              <w:ind w:left="0"/>
              <w:rPr>
                <w:noProof/>
              </w:rPr>
            </w:pPr>
            <w:r>
              <w:rPr>
                <w:noProof/>
              </w:rPr>
              <w:t>Single Entry Point</w:t>
            </w:r>
          </w:p>
        </w:tc>
        <w:tc>
          <w:tcPr>
            <w:tcW w:w="1846" w:type="dxa"/>
          </w:tcPr>
          <w:p w14:paraId="3984E144" w14:textId="77777777" w:rsidR="00EC37C5" w:rsidRDefault="00EC37C5">
            <w:pPr>
              <w:pStyle w:val="Text1"/>
              <w:ind w:left="0"/>
              <w:rPr>
                <w:noProof/>
              </w:rPr>
            </w:pPr>
            <w:r>
              <w:rPr>
                <w:noProof/>
              </w:rPr>
              <w:t>EUR 8 million</w:t>
            </w:r>
          </w:p>
        </w:tc>
        <w:tc>
          <w:tcPr>
            <w:tcW w:w="3027" w:type="dxa"/>
          </w:tcPr>
          <w:p w14:paraId="39C2BD94" w14:textId="77777777" w:rsidR="00EC37C5" w:rsidRPr="00B50FCF" w:rsidRDefault="00EC37C5">
            <w:pPr>
              <w:pStyle w:val="Text1"/>
              <w:rPr>
                <w:noProof/>
                <w:lang w:val="de-DE"/>
              </w:rPr>
            </w:pPr>
            <w:r w:rsidRPr="00B50FCF">
              <w:rPr>
                <w:noProof/>
                <w:lang w:val="de-DE"/>
              </w:rPr>
              <w:t>EUR 6 million in 2028</w:t>
            </w:r>
          </w:p>
          <w:p w14:paraId="7EEFA25D" w14:textId="77777777" w:rsidR="00EC37C5" w:rsidRPr="00B50FCF" w:rsidRDefault="00EC37C5">
            <w:pPr>
              <w:pStyle w:val="Text1"/>
              <w:rPr>
                <w:noProof/>
                <w:lang w:val="de-DE"/>
              </w:rPr>
            </w:pPr>
            <w:r w:rsidRPr="00B50FCF">
              <w:rPr>
                <w:noProof/>
                <w:lang w:val="de-DE"/>
              </w:rPr>
              <w:t>EUR 500K in 2029</w:t>
            </w:r>
          </w:p>
          <w:p w14:paraId="4A34D48D" w14:textId="77777777" w:rsidR="00EC37C5" w:rsidRPr="00B50FCF" w:rsidRDefault="00EC37C5">
            <w:pPr>
              <w:pStyle w:val="Text1"/>
              <w:rPr>
                <w:noProof/>
                <w:lang w:val="de-DE"/>
              </w:rPr>
            </w:pPr>
            <w:r w:rsidRPr="00B50FCF">
              <w:rPr>
                <w:noProof/>
                <w:lang w:val="de-DE"/>
              </w:rPr>
              <w:t>EUR 500K in 2030</w:t>
            </w:r>
          </w:p>
          <w:p w14:paraId="67CB0E58" w14:textId="77777777" w:rsidR="00EC37C5" w:rsidRPr="00B50FCF" w:rsidRDefault="00EC37C5">
            <w:pPr>
              <w:pStyle w:val="Text1"/>
              <w:rPr>
                <w:noProof/>
                <w:lang w:val="de-DE"/>
              </w:rPr>
            </w:pPr>
            <w:r w:rsidRPr="00B50FCF">
              <w:rPr>
                <w:noProof/>
                <w:lang w:val="de-DE"/>
              </w:rPr>
              <w:t>EUR 500K in 2031</w:t>
            </w:r>
          </w:p>
          <w:p w14:paraId="73F24019" w14:textId="77777777" w:rsidR="00EC37C5" w:rsidRDefault="00EC37C5">
            <w:pPr>
              <w:pStyle w:val="Text1"/>
              <w:rPr>
                <w:noProof/>
              </w:rPr>
            </w:pPr>
            <w:r>
              <w:rPr>
                <w:noProof/>
              </w:rPr>
              <w:t>EUR 500K in 2032</w:t>
            </w:r>
          </w:p>
        </w:tc>
        <w:tc>
          <w:tcPr>
            <w:tcW w:w="2559" w:type="dxa"/>
          </w:tcPr>
          <w:p w14:paraId="2F920222" w14:textId="77777777" w:rsidR="00EC37C5" w:rsidRDefault="00EC37C5">
            <w:pPr>
              <w:pStyle w:val="Text1"/>
              <w:rPr>
                <w:noProof/>
              </w:rPr>
            </w:pPr>
            <w:r>
              <w:rPr>
                <w:noProof/>
              </w:rPr>
              <w:t>To be able to deliver on the Commission’s Digital Omnibus Proposal to simplify compliance with cybersecurity incidents and data breach reporting obligations by developing and maintaining a single-entry point.</w:t>
            </w:r>
          </w:p>
        </w:tc>
      </w:tr>
      <w:tr w:rsidR="00EC37C5" w14:paraId="439A10A0" w14:textId="77777777" w:rsidTr="008E3FA9">
        <w:trPr>
          <w:trHeight w:val="300"/>
        </w:trPr>
        <w:tc>
          <w:tcPr>
            <w:tcW w:w="1857" w:type="dxa"/>
          </w:tcPr>
          <w:p w14:paraId="3BDC79E8" w14:textId="77777777" w:rsidR="00EC37C5" w:rsidRDefault="00EC37C5">
            <w:pPr>
              <w:pStyle w:val="Text1"/>
              <w:ind w:left="0"/>
              <w:rPr>
                <w:noProof/>
              </w:rPr>
            </w:pPr>
            <w:r>
              <w:rPr>
                <w:noProof/>
              </w:rPr>
              <w:t>CRA SRP maintenance and other</w:t>
            </w:r>
          </w:p>
        </w:tc>
        <w:tc>
          <w:tcPr>
            <w:tcW w:w="1846" w:type="dxa"/>
          </w:tcPr>
          <w:p w14:paraId="143D91A0" w14:textId="77777777" w:rsidR="00EC37C5" w:rsidRDefault="00EC37C5">
            <w:pPr>
              <w:pStyle w:val="Text1"/>
              <w:ind w:left="0"/>
              <w:rPr>
                <w:noProof/>
              </w:rPr>
            </w:pPr>
            <w:r>
              <w:rPr>
                <w:noProof/>
              </w:rPr>
              <w:t>EUR 3 million</w:t>
            </w:r>
          </w:p>
        </w:tc>
        <w:tc>
          <w:tcPr>
            <w:tcW w:w="3027" w:type="dxa"/>
          </w:tcPr>
          <w:p w14:paraId="19086086" w14:textId="77777777" w:rsidR="00EC37C5" w:rsidRDefault="00EC37C5">
            <w:pPr>
              <w:pStyle w:val="Text1"/>
              <w:rPr>
                <w:noProof/>
              </w:rPr>
            </w:pPr>
            <w:r>
              <w:rPr>
                <w:noProof/>
              </w:rPr>
              <w:t>As of 2028</w:t>
            </w:r>
          </w:p>
        </w:tc>
        <w:tc>
          <w:tcPr>
            <w:tcW w:w="2559" w:type="dxa"/>
          </w:tcPr>
          <w:p w14:paraId="716BAD66" w14:textId="77777777" w:rsidR="00EC37C5" w:rsidRDefault="00EC37C5">
            <w:pPr>
              <w:pStyle w:val="Text1"/>
              <w:rPr>
                <w:noProof/>
              </w:rPr>
            </w:pPr>
            <w:r>
              <w:rPr>
                <w:noProof/>
              </w:rPr>
              <w:t>The SRP introduced by the co-legislators is the largest IT system ever developed in the history of ENISA and a key pillar of the CRA. The establishment is currently funded via a contribution agreement, but its day-to-day management will require FTEs (see above) as well as operational costs.</w:t>
            </w:r>
          </w:p>
          <w:p w14:paraId="4AE80F26" w14:textId="77777777" w:rsidR="00EC37C5" w:rsidRDefault="00EC37C5">
            <w:pPr>
              <w:pStyle w:val="Text1"/>
              <w:rPr>
                <w:noProof/>
              </w:rPr>
            </w:pPr>
            <w:r>
              <w:rPr>
                <w:noProof/>
              </w:rPr>
              <w:t xml:space="preserve">ENISA has a key role to play to ensure the success of the Union’s product security framework, the CRA. </w:t>
            </w:r>
          </w:p>
        </w:tc>
      </w:tr>
      <w:tr w:rsidR="00EC37C5" w14:paraId="3A3391AC" w14:textId="77777777" w:rsidTr="008E3FA9">
        <w:trPr>
          <w:trHeight w:val="300"/>
        </w:trPr>
        <w:tc>
          <w:tcPr>
            <w:tcW w:w="1857" w:type="dxa"/>
          </w:tcPr>
          <w:p w14:paraId="087CB294" w14:textId="77777777" w:rsidR="00EC37C5" w:rsidRDefault="00EC37C5">
            <w:pPr>
              <w:pStyle w:val="Text1"/>
              <w:ind w:left="0"/>
              <w:rPr>
                <w:noProof/>
              </w:rPr>
            </w:pPr>
            <w:r>
              <w:rPr>
                <w:noProof/>
              </w:rPr>
              <w:t>Secure communication and  cybersecurity maturity of ENISA</w:t>
            </w:r>
          </w:p>
        </w:tc>
        <w:tc>
          <w:tcPr>
            <w:tcW w:w="1846" w:type="dxa"/>
          </w:tcPr>
          <w:p w14:paraId="32DB932F" w14:textId="77777777" w:rsidR="00EC37C5" w:rsidRDefault="00EC37C5">
            <w:pPr>
              <w:pStyle w:val="Text1"/>
              <w:ind w:left="0"/>
              <w:rPr>
                <w:noProof/>
              </w:rPr>
            </w:pPr>
            <w:r>
              <w:rPr>
                <w:noProof/>
              </w:rPr>
              <w:t>EUR 2 million +</w:t>
            </w:r>
          </w:p>
        </w:tc>
        <w:tc>
          <w:tcPr>
            <w:tcW w:w="3027" w:type="dxa"/>
          </w:tcPr>
          <w:p w14:paraId="2CAA4D7D" w14:textId="77777777" w:rsidR="00EC37C5" w:rsidRDefault="00EC37C5">
            <w:pPr>
              <w:pStyle w:val="Text1"/>
              <w:rPr>
                <w:noProof/>
              </w:rPr>
            </w:pPr>
            <w:r>
              <w:rPr>
                <w:noProof/>
              </w:rPr>
              <w:t>EUR 1.1 million investment in 2028 (CyCLONe/CSIRTs platforms + sec comms)</w:t>
            </w:r>
          </w:p>
          <w:p w14:paraId="1C6B7EF7" w14:textId="77777777" w:rsidR="00EC37C5" w:rsidRDefault="00EC37C5">
            <w:pPr>
              <w:pStyle w:val="Text1"/>
              <w:rPr>
                <w:noProof/>
              </w:rPr>
            </w:pPr>
          </w:p>
          <w:p w14:paraId="62F2994D" w14:textId="77777777" w:rsidR="00EC37C5" w:rsidRDefault="00EC37C5">
            <w:pPr>
              <w:pStyle w:val="Text1"/>
              <w:rPr>
                <w:noProof/>
              </w:rPr>
            </w:pPr>
            <w:r>
              <w:rPr>
                <w:noProof/>
              </w:rPr>
              <w:t>EUR 1 million per year maintenance as of 2029</w:t>
            </w:r>
          </w:p>
          <w:p w14:paraId="0FF01B6F" w14:textId="77777777" w:rsidR="00EC37C5" w:rsidRDefault="00EC37C5">
            <w:pPr>
              <w:pStyle w:val="Text1"/>
              <w:rPr>
                <w:noProof/>
              </w:rPr>
            </w:pPr>
            <w:r>
              <w:rPr>
                <w:noProof/>
              </w:rPr>
              <w:t xml:space="preserve">EUR 1.5 million cyber maturity </w:t>
            </w:r>
          </w:p>
        </w:tc>
        <w:tc>
          <w:tcPr>
            <w:tcW w:w="2559" w:type="dxa"/>
          </w:tcPr>
          <w:p w14:paraId="0959197D" w14:textId="77777777" w:rsidR="00EC37C5" w:rsidRDefault="00EC37C5">
            <w:pPr>
              <w:pStyle w:val="Text1"/>
              <w:rPr>
                <w:noProof/>
              </w:rPr>
            </w:pPr>
            <w:r>
              <w:rPr>
                <w:noProof/>
              </w:rPr>
              <w:t>Ensuring the cybersecurity of the Agency and communication tools.</w:t>
            </w:r>
          </w:p>
        </w:tc>
      </w:tr>
      <w:tr w:rsidR="00EC37C5" w14:paraId="63A3BEB0" w14:textId="77777777" w:rsidTr="008E3FA9">
        <w:trPr>
          <w:trHeight w:val="300"/>
        </w:trPr>
        <w:tc>
          <w:tcPr>
            <w:tcW w:w="1857" w:type="dxa"/>
          </w:tcPr>
          <w:p w14:paraId="67685557" w14:textId="77777777" w:rsidR="00EC37C5" w:rsidRDefault="00EC37C5">
            <w:pPr>
              <w:pStyle w:val="Text1"/>
              <w:ind w:left="0"/>
              <w:rPr>
                <w:noProof/>
              </w:rPr>
            </w:pPr>
            <w:r>
              <w:rPr>
                <w:noProof/>
              </w:rPr>
              <w:t xml:space="preserve">Cybersecurity Certification maintenance </w:t>
            </w:r>
          </w:p>
        </w:tc>
        <w:tc>
          <w:tcPr>
            <w:tcW w:w="1846" w:type="dxa"/>
          </w:tcPr>
          <w:p w14:paraId="289ECCFD" w14:textId="77777777" w:rsidR="00EC37C5" w:rsidRDefault="00EC37C5">
            <w:pPr>
              <w:pStyle w:val="Text1"/>
              <w:ind w:left="0"/>
              <w:rPr>
                <w:noProof/>
              </w:rPr>
            </w:pPr>
            <w:r>
              <w:rPr>
                <w:noProof/>
              </w:rPr>
              <w:t>EUR 1 400 000 million</w:t>
            </w:r>
          </w:p>
        </w:tc>
        <w:tc>
          <w:tcPr>
            <w:tcW w:w="3027" w:type="dxa"/>
          </w:tcPr>
          <w:p w14:paraId="6F2ACC57" w14:textId="77777777" w:rsidR="00EC37C5" w:rsidRDefault="00EC37C5">
            <w:pPr>
              <w:pStyle w:val="Text1"/>
              <w:ind w:left="720"/>
              <w:rPr>
                <w:noProof/>
              </w:rPr>
            </w:pPr>
            <w:r>
              <w:rPr>
                <w:noProof/>
              </w:rPr>
              <w:t>2028 600K</w:t>
            </w:r>
          </w:p>
          <w:p w14:paraId="57EE1BEB" w14:textId="77777777" w:rsidR="00EC37C5" w:rsidRDefault="00EC37C5">
            <w:pPr>
              <w:pStyle w:val="Text1"/>
              <w:ind w:left="720"/>
              <w:rPr>
                <w:noProof/>
              </w:rPr>
            </w:pPr>
            <w:r>
              <w:rPr>
                <w:noProof/>
              </w:rPr>
              <w:t xml:space="preserve">2029 1 000 000 </w:t>
            </w:r>
          </w:p>
          <w:p w14:paraId="64B1D904" w14:textId="77777777" w:rsidR="00EC37C5" w:rsidRDefault="00EC37C5">
            <w:pPr>
              <w:pStyle w:val="Text1"/>
              <w:ind w:left="720"/>
              <w:rPr>
                <w:noProof/>
              </w:rPr>
            </w:pPr>
            <w:r>
              <w:rPr>
                <w:noProof/>
              </w:rPr>
              <w:t>2030 1 200 000</w:t>
            </w:r>
          </w:p>
          <w:p w14:paraId="15DF55B5" w14:textId="77777777" w:rsidR="00EC37C5" w:rsidRDefault="00EC37C5">
            <w:pPr>
              <w:pStyle w:val="Text1"/>
              <w:ind w:left="720"/>
              <w:rPr>
                <w:noProof/>
              </w:rPr>
            </w:pPr>
            <w:r>
              <w:rPr>
                <w:noProof/>
              </w:rPr>
              <w:t>2031 1 400 00</w:t>
            </w:r>
          </w:p>
          <w:p w14:paraId="33E7BFC5" w14:textId="77777777" w:rsidR="00EC37C5" w:rsidRDefault="00EC37C5">
            <w:pPr>
              <w:pStyle w:val="Text1"/>
              <w:ind w:left="720"/>
              <w:rPr>
                <w:noProof/>
              </w:rPr>
            </w:pPr>
            <w:r>
              <w:rPr>
                <w:noProof/>
              </w:rPr>
              <w:t>2032 1 400 000</w:t>
            </w:r>
          </w:p>
          <w:p w14:paraId="5CB4B930" w14:textId="77777777" w:rsidR="00EC37C5" w:rsidRDefault="00EC37C5">
            <w:pPr>
              <w:pStyle w:val="Text1"/>
              <w:ind w:left="720"/>
              <w:rPr>
                <w:noProof/>
              </w:rPr>
            </w:pPr>
            <w:r>
              <w:rPr>
                <w:noProof/>
              </w:rPr>
              <w:t>2033 1 400 000</w:t>
            </w:r>
          </w:p>
          <w:p w14:paraId="1C31515D" w14:textId="77777777" w:rsidR="00EC37C5" w:rsidRDefault="00EC37C5">
            <w:pPr>
              <w:pStyle w:val="Text1"/>
              <w:ind w:left="720"/>
              <w:rPr>
                <w:noProof/>
              </w:rPr>
            </w:pPr>
            <w:r>
              <w:rPr>
                <w:noProof/>
              </w:rPr>
              <w:t>2034 1 400 000</w:t>
            </w:r>
          </w:p>
        </w:tc>
        <w:tc>
          <w:tcPr>
            <w:tcW w:w="2559" w:type="dxa"/>
          </w:tcPr>
          <w:p w14:paraId="2B0B17FB" w14:textId="77777777" w:rsidR="00EC37C5" w:rsidRDefault="00EC37C5">
            <w:pPr>
              <w:pStyle w:val="Text1"/>
              <w:rPr>
                <w:noProof/>
              </w:rPr>
            </w:pPr>
            <w:r>
              <w:rPr>
                <w:noProof/>
              </w:rPr>
              <w:t>Covered by fees (fully as of 2032)</w:t>
            </w:r>
          </w:p>
        </w:tc>
      </w:tr>
      <w:tr w:rsidR="00EC37C5" w14:paraId="5BABC2FB" w14:textId="77777777" w:rsidTr="008E3FA9">
        <w:trPr>
          <w:trHeight w:val="300"/>
        </w:trPr>
        <w:tc>
          <w:tcPr>
            <w:tcW w:w="1857" w:type="dxa"/>
          </w:tcPr>
          <w:p w14:paraId="1BD76338" w14:textId="77777777" w:rsidR="00EC37C5" w:rsidRDefault="00EC37C5">
            <w:pPr>
              <w:pStyle w:val="Text1"/>
              <w:ind w:left="0"/>
              <w:rPr>
                <w:noProof/>
              </w:rPr>
            </w:pPr>
            <w:r>
              <w:rPr>
                <w:noProof/>
              </w:rPr>
              <w:t xml:space="preserve">Cybersecurity attestation schemes </w:t>
            </w:r>
          </w:p>
        </w:tc>
        <w:tc>
          <w:tcPr>
            <w:tcW w:w="1846" w:type="dxa"/>
          </w:tcPr>
          <w:p w14:paraId="310629CB" w14:textId="77777777" w:rsidR="00EC37C5" w:rsidRDefault="00EC37C5">
            <w:pPr>
              <w:pStyle w:val="Text1"/>
              <w:ind w:left="0"/>
              <w:rPr>
                <w:noProof/>
              </w:rPr>
            </w:pPr>
            <w:r>
              <w:rPr>
                <w:noProof/>
              </w:rPr>
              <w:t>EUR 212920</w:t>
            </w:r>
          </w:p>
        </w:tc>
        <w:tc>
          <w:tcPr>
            <w:tcW w:w="3027" w:type="dxa"/>
          </w:tcPr>
          <w:p w14:paraId="547E3167" w14:textId="77777777" w:rsidR="00EC37C5" w:rsidRDefault="00EC37C5">
            <w:pPr>
              <w:pStyle w:val="Text1"/>
              <w:rPr>
                <w:noProof/>
              </w:rPr>
            </w:pPr>
            <w:r>
              <w:rPr>
                <w:noProof/>
              </w:rPr>
              <w:t>As of 2030 at 50% covered by EU budget</w:t>
            </w:r>
          </w:p>
          <w:p w14:paraId="083A2266" w14:textId="77777777" w:rsidR="00EC37C5" w:rsidRDefault="00EC37C5">
            <w:pPr>
              <w:pStyle w:val="Text1"/>
              <w:rPr>
                <w:noProof/>
              </w:rPr>
            </w:pPr>
          </w:p>
        </w:tc>
        <w:tc>
          <w:tcPr>
            <w:tcW w:w="2559" w:type="dxa"/>
          </w:tcPr>
          <w:p w14:paraId="39465EB3" w14:textId="77777777" w:rsidR="00EC37C5" w:rsidRDefault="00EC37C5">
            <w:pPr>
              <w:pStyle w:val="Text1"/>
              <w:rPr>
                <w:noProof/>
              </w:rPr>
            </w:pPr>
            <w:r>
              <w:rPr>
                <w:noProof/>
              </w:rPr>
              <w:t>Fully covered by fees as of 2033</w:t>
            </w:r>
          </w:p>
        </w:tc>
      </w:tr>
    </w:tbl>
    <w:p w14:paraId="5B1F0CB8" w14:textId="77777777" w:rsidR="00EC37C5" w:rsidRDefault="00EC37C5" w:rsidP="00EC37C5">
      <w:pPr>
        <w:pStyle w:val="Text1"/>
        <w:rPr>
          <w:noProof/>
        </w:rPr>
      </w:pPr>
    </w:p>
    <w:p w14:paraId="5137C89B" w14:textId="77777777" w:rsidR="00EC37C5" w:rsidRDefault="00EC37C5" w:rsidP="00EC37C5">
      <w:pPr>
        <w:pStyle w:val="ManualHeading3"/>
        <w:rPr>
          <w:noProof/>
        </w:rPr>
      </w:pPr>
      <w:bookmarkStart w:id="174" w:name="_Toc177549031"/>
      <w:bookmarkStart w:id="175" w:name="_Hlk167692843"/>
      <w:r>
        <w:rPr>
          <w:noProof/>
        </w:rPr>
        <w:t>3.2.5.</w:t>
      </w:r>
      <w:r>
        <w:rPr>
          <w:noProof/>
        </w:rPr>
        <w:tab/>
      </w:r>
      <w:r w:rsidRPr="000C2E25">
        <w:rPr>
          <w:noProof/>
        </w:rPr>
        <w:t xml:space="preserve">Overview of estimated impact on </w:t>
      </w:r>
      <w:r>
        <w:rPr>
          <w:noProof/>
        </w:rPr>
        <w:t>d</w:t>
      </w:r>
      <w:r w:rsidRPr="000C2E25">
        <w:rPr>
          <w:noProof/>
        </w:rPr>
        <w:t>igital</w:t>
      </w:r>
      <w:r>
        <w:rPr>
          <w:noProof/>
        </w:rPr>
        <w:t xml:space="preserve"> technology-</w:t>
      </w:r>
      <w:r w:rsidRPr="000C2E25">
        <w:rPr>
          <w:noProof/>
        </w:rPr>
        <w:t xml:space="preserve">related </w:t>
      </w:r>
      <w:r>
        <w:rPr>
          <w:noProof/>
        </w:rPr>
        <w:t>investments</w:t>
      </w:r>
      <w:bookmarkEnd w:id="174"/>
    </w:p>
    <w:p w14:paraId="6417D360" w14:textId="77777777" w:rsidR="00EC37C5" w:rsidRPr="00922145" w:rsidRDefault="00EC37C5" w:rsidP="00EC37C5">
      <w:pPr>
        <w:pStyle w:val="Text1"/>
        <w:spacing w:line="259" w:lineRule="auto"/>
        <w:rPr>
          <w:noProof/>
        </w:rPr>
      </w:pPr>
      <w:r w:rsidRPr="00922145">
        <w:rPr>
          <w:noProof/>
        </w:rPr>
        <w:t xml:space="preserve">Compulsory: the best estimate of the digital technology-related investments entailed by the proposal/initiative should be included in the table below. </w:t>
      </w:r>
    </w:p>
    <w:p w14:paraId="0114E764" w14:textId="77777777" w:rsidR="00EC37C5" w:rsidRPr="00922145" w:rsidRDefault="00EC37C5" w:rsidP="00EC37C5">
      <w:pPr>
        <w:pStyle w:val="Text1"/>
        <w:spacing w:line="259" w:lineRule="auto"/>
        <w:rPr>
          <w:noProof/>
        </w:rPr>
      </w:pPr>
      <w:r w:rsidRPr="00922145">
        <w:rPr>
          <w:noProof/>
        </w:rPr>
        <w:t xml:space="preserve">Exceptionally, when required for the implementation of the proposal/initiative, the appropriations under Heading 4 should be presented in the designated line. </w:t>
      </w:r>
    </w:p>
    <w:p w14:paraId="19FD8ED1" w14:textId="77777777" w:rsidR="00EC37C5" w:rsidRDefault="00EC37C5" w:rsidP="00EC37C5">
      <w:pPr>
        <w:pStyle w:val="Text1"/>
        <w:spacing w:line="259" w:lineRule="auto"/>
        <w:rPr>
          <w:noProof/>
        </w:rPr>
      </w:pPr>
      <w:r w:rsidRPr="00922145">
        <w:rPr>
          <w:noProof/>
        </w:rPr>
        <w:t>The appropriations under Headings 1-3 should be reflected as “Policy IT expenditure on operational programmes”. This expenditure refers to the operational budget to be used to re-use/ buy/ develop IT platforms/ tools directly linked to the implementation of the initiative and their associated investments (e.g. licences, studies, data storage etc). The information provided in this table should be consistent with details presented under Section 4 “Digital dimensions”.</w:t>
      </w:r>
    </w:p>
    <w:p w14:paraId="2F5CB734" w14:textId="77777777" w:rsidR="00EC37C5" w:rsidRPr="00922145" w:rsidRDefault="00EC37C5" w:rsidP="00EC37C5">
      <w:pPr>
        <w:pStyle w:val="Text1"/>
        <w:spacing w:line="259" w:lineRule="auto"/>
        <w:rPr>
          <w:noProof/>
        </w:rPr>
      </w:pPr>
    </w:p>
    <w:tbl>
      <w:tblPr>
        <w:tblW w:w="5000" w:type="pct"/>
        <w:tblLook w:val="04A0" w:firstRow="1" w:lastRow="0" w:firstColumn="1" w:lastColumn="0" w:noHBand="0" w:noVBand="1"/>
      </w:tblPr>
      <w:tblGrid>
        <w:gridCol w:w="1472"/>
        <w:gridCol w:w="974"/>
        <w:gridCol w:w="973"/>
        <w:gridCol w:w="971"/>
        <w:gridCol w:w="973"/>
        <w:gridCol w:w="973"/>
        <w:gridCol w:w="973"/>
        <w:gridCol w:w="973"/>
        <w:gridCol w:w="1005"/>
      </w:tblGrid>
      <w:tr w:rsidR="00EC37C5" w:rsidRPr="00922145" w14:paraId="4B3206CA" w14:textId="77777777">
        <w:trPr>
          <w:trHeight w:val="650"/>
        </w:trPr>
        <w:tc>
          <w:tcPr>
            <w:tcW w:w="792" w:type="pct"/>
            <w:vMerge w:val="restart"/>
            <w:tcBorders>
              <w:top w:val="single" w:sz="8" w:space="0" w:color="auto"/>
              <w:left w:val="single" w:sz="8" w:space="0" w:color="auto"/>
              <w:bottom w:val="nil"/>
              <w:right w:val="single" w:sz="8" w:space="0" w:color="auto"/>
            </w:tcBorders>
            <w:vAlign w:val="center"/>
            <w:hideMark/>
          </w:tcPr>
          <w:p w14:paraId="12ED0B9D" w14:textId="77777777" w:rsidR="00EC37C5" w:rsidRPr="00922145" w:rsidRDefault="00EC37C5">
            <w:pPr>
              <w:spacing w:before="0" w:after="0"/>
              <w:jc w:val="center"/>
              <w:rPr>
                <w:rFonts w:eastAsia="Times New Roman"/>
                <w:b/>
                <w:bCs/>
                <w:noProof/>
                <w:color w:val="000000"/>
                <w:sz w:val="18"/>
                <w:szCs w:val="18"/>
                <w:lang w:eastAsia="en-IE"/>
              </w:rPr>
            </w:pPr>
            <w:r w:rsidRPr="00922145">
              <w:rPr>
                <w:rFonts w:eastAsia="Times New Roman"/>
                <w:b/>
                <w:bCs/>
                <w:noProof/>
                <w:color w:val="000000" w:themeColor="text1"/>
                <w:sz w:val="18"/>
                <w:szCs w:val="18"/>
                <w:lang w:eastAsia="en-IE"/>
              </w:rPr>
              <w:t>TOTAL Digital and IT appropriations</w:t>
            </w:r>
          </w:p>
        </w:tc>
        <w:tc>
          <w:tcPr>
            <w:tcW w:w="524" w:type="pct"/>
            <w:tcBorders>
              <w:top w:val="single" w:sz="8" w:space="0" w:color="auto"/>
              <w:left w:val="nil"/>
              <w:bottom w:val="nil"/>
              <w:right w:val="single" w:sz="8" w:space="0" w:color="auto"/>
            </w:tcBorders>
            <w:vAlign w:val="center"/>
            <w:hideMark/>
          </w:tcPr>
          <w:p w14:paraId="2AE34D55" w14:textId="77777777" w:rsidR="00EC37C5" w:rsidRPr="00922145" w:rsidRDefault="00EC37C5">
            <w:pPr>
              <w:spacing w:before="0" w:after="0"/>
              <w:jc w:val="center"/>
              <w:rPr>
                <w:rFonts w:eastAsia="Times New Roman"/>
                <w:noProof/>
                <w:color w:val="000000"/>
                <w:sz w:val="18"/>
                <w:szCs w:val="18"/>
                <w:lang w:eastAsia="en-IE"/>
              </w:rPr>
            </w:pPr>
            <w:r w:rsidRPr="00922145">
              <w:rPr>
                <w:rFonts w:eastAsia="Times New Roman"/>
                <w:noProof/>
                <w:color w:val="000000" w:themeColor="text1"/>
                <w:sz w:val="18"/>
                <w:szCs w:val="18"/>
                <w:lang w:eastAsia="en-IE"/>
              </w:rPr>
              <w:t>Year</w:t>
            </w:r>
          </w:p>
        </w:tc>
        <w:tc>
          <w:tcPr>
            <w:tcW w:w="524" w:type="pct"/>
            <w:tcBorders>
              <w:top w:val="single" w:sz="8" w:space="0" w:color="auto"/>
              <w:left w:val="nil"/>
              <w:bottom w:val="nil"/>
              <w:right w:val="single" w:sz="8" w:space="0" w:color="auto"/>
            </w:tcBorders>
            <w:vAlign w:val="center"/>
            <w:hideMark/>
          </w:tcPr>
          <w:p w14:paraId="6D1A760D" w14:textId="77777777" w:rsidR="00EC37C5" w:rsidRPr="00922145" w:rsidRDefault="00EC37C5">
            <w:pPr>
              <w:spacing w:before="0" w:after="0"/>
              <w:jc w:val="center"/>
              <w:rPr>
                <w:rFonts w:eastAsia="Times New Roman"/>
                <w:noProof/>
                <w:color w:val="000000"/>
                <w:sz w:val="18"/>
                <w:szCs w:val="18"/>
                <w:lang w:eastAsia="en-IE"/>
              </w:rPr>
            </w:pPr>
            <w:r w:rsidRPr="00922145">
              <w:rPr>
                <w:rFonts w:eastAsia="Times New Roman"/>
                <w:noProof/>
                <w:color w:val="000000" w:themeColor="text1"/>
                <w:sz w:val="18"/>
                <w:szCs w:val="18"/>
                <w:lang w:eastAsia="en-IE"/>
              </w:rPr>
              <w:t>Year</w:t>
            </w:r>
          </w:p>
        </w:tc>
        <w:tc>
          <w:tcPr>
            <w:tcW w:w="523" w:type="pct"/>
            <w:tcBorders>
              <w:top w:val="single" w:sz="8" w:space="0" w:color="auto"/>
              <w:left w:val="nil"/>
              <w:bottom w:val="nil"/>
              <w:right w:val="single" w:sz="8" w:space="0" w:color="auto"/>
            </w:tcBorders>
            <w:vAlign w:val="center"/>
            <w:hideMark/>
          </w:tcPr>
          <w:p w14:paraId="2B2FD3D0" w14:textId="77777777" w:rsidR="00EC37C5" w:rsidRPr="00922145" w:rsidRDefault="00EC37C5">
            <w:pPr>
              <w:spacing w:before="0" w:after="0"/>
              <w:jc w:val="center"/>
              <w:rPr>
                <w:rFonts w:eastAsia="Times New Roman"/>
                <w:noProof/>
                <w:color w:val="000000"/>
                <w:sz w:val="18"/>
                <w:szCs w:val="18"/>
                <w:lang w:eastAsia="en-IE"/>
              </w:rPr>
            </w:pPr>
            <w:r w:rsidRPr="00922145">
              <w:rPr>
                <w:rFonts w:eastAsia="Times New Roman"/>
                <w:noProof/>
                <w:color w:val="000000" w:themeColor="text1"/>
                <w:sz w:val="18"/>
                <w:szCs w:val="18"/>
                <w:lang w:eastAsia="en-IE"/>
              </w:rPr>
              <w:t>Year</w:t>
            </w:r>
          </w:p>
        </w:tc>
        <w:tc>
          <w:tcPr>
            <w:tcW w:w="524" w:type="pct"/>
            <w:tcBorders>
              <w:top w:val="single" w:sz="8" w:space="0" w:color="auto"/>
              <w:left w:val="nil"/>
              <w:bottom w:val="nil"/>
              <w:right w:val="single" w:sz="8" w:space="0" w:color="auto"/>
            </w:tcBorders>
            <w:vAlign w:val="center"/>
            <w:hideMark/>
          </w:tcPr>
          <w:p w14:paraId="64DD90D3" w14:textId="77777777" w:rsidR="00EC37C5" w:rsidRPr="00922145" w:rsidRDefault="00EC37C5">
            <w:pPr>
              <w:spacing w:before="0" w:after="0"/>
              <w:jc w:val="center"/>
              <w:rPr>
                <w:rFonts w:eastAsia="Times New Roman"/>
                <w:noProof/>
                <w:color w:val="000000"/>
                <w:sz w:val="18"/>
                <w:szCs w:val="18"/>
                <w:lang w:eastAsia="en-IE"/>
              </w:rPr>
            </w:pPr>
            <w:r w:rsidRPr="00922145">
              <w:rPr>
                <w:rFonts w:eastAsia="Times New Roman"/>
                <w:noProof/>
                <w:color w:val="000000" w:themeColor="text1"/>
                <w:sz w:val="18"/>
                <w:szCs w:val="18"/>
                <w:lang w:eastAsia="en-IE"/>
              </w:rPr>
              <w:t>Year</w:t>
            </w:r>
          </w:p>
        </w:tc>
        <w:tc>
          <w:tcPr>
            <w:tcW w:w="524" w:type="pct"/>
            <w:tcBorders>
              <w:top w:val="single" w:sz="8" w:space="0" w:color="auto"/>
              <w:left w:val="nil"/>
              <w:bottom w:val="nil"/>
              <w:right w:val="single" w:sz="8" w:space="0" w:color="auto"/>
            </w:tcBorders>
            <w:vAlign w:val="center"/>
            <w:hideMark/>
          </w:tcPr>
          <w:p w14:paraId="2309ECAF" w14:textId="77777777" w:rsidR="00EC37C5" w:rsidRPr="00922145" w:rsidRDefault="00EC37C5">
            <w:pPr>
              <w:spacing w:before="0" w:after="0"/>
              <w:jc w:val="center"/>
              <w:rPr>
                <w:rFonts w:eastAsia="Times New Roman"/>
                <w:noProof/>
                <w:color w:val="000000"/>
                <w:sz w:val="18"/>
                <w:szCs w:val="18"/>
                <w:lang w:eastAsia="en-IE"/>
              </w:rPr>
            </w:pPr>
            <w:r w:rsidRPr="00922145">
              <w:rPr>
                <w:rFonts w:eastAsia="Times New Roman"/>
                <w:noProof/>
                <w:color w:val="000000" w:themeColor="text1"/>
                <w:sz w:val="18"/>
                <w:szCs w:val="18"/>
                <w:lang w:eastAsia="en-IE"/>
              </w:rPr>
              <w:t>Year</w:t>
            </w:r>
          </w:p>
        </w:tc>
        <w:tc>
          <w:tcPr>
            <w:tcW w:w="524" w:type="pct"/>
            <w:tcBorders>
              <w:top w:val="single" w:sz="8" w:space="0" w:color="auto"/>
              <w:left w:val="nil"/>
              <w:bottom w:val="nil"/>
              <w:right w:val="single" w:sz="8" w:space="0" w:color="auto"/>
            </w:tcBorders>
            <w:vAlign w:val="center"/>
            <w:hideMark/>
          </w:tcPr>
          <w:p w14:paraId="4EC9BCFB" w14:textId="77777777" w:rsidR="00EC37C5" w:rsidRPr="00922145" w:rsidRDefault="00EC37C5">
            <w:pPr>
              <w:spacing w:before="0" w:after="0"/>
              <w:jc w:val="center"/>
              <w:rPr>
                <w:rFonts w:eastAsia="Times New Roman"/>
                <w:noProof/>
                <w:color w:val="000000"/>
                <w:sz w:val="18"/>
                <w:szCs w:val="18"/>
                <w:lang w:eastAsia="en-IE"/>
              </w:rPr>
            </w:pPr>
            <w:r w:rsidRPr="00922145">
              <w:rPr>
                <w:rFonts w:eastAsia="Times New Roman"/>
                <w:noProof/>
                <w:color w:val="000000" w:themeColor="text1"/>
                <w:sz w:val="18"/>
                <w:szCs w:val="18"/>
                <w:lang w:eastAsia="en-IE"/>
              </w:rPr>
              <w:t>Year</w:t>
            </w:r>
          </w:p>
        </w:tc>
        <w:tc>
          <w:tcPr>
            <w:tcW w:w="524" w:type="pct"/>
            <w:tcBorders>
              <w:top w:val="single" w:sz="8" w:space="0" w:color="auto"/>
              <w:left w:val="nil"/>
              <w:bottom w:val="nil"/>
              <w:right w:val="single" w:sz="8" w:space="0" w:color="auto"/>
            </w:tcBorders>
            <w:vAlign w:val="center"/>
            <w:hideMark/>
          </w:tcPr>
          <w:p w14:paraId="2C63C6FF" w14:textId="77777777" w:rsidR="00EC37C5" w:rsidRPr="00922145" w:rsidRDefault="00EC37C5">
            <w:pPr>
              <w:spacing w:before="0" w:after="0"/>
              <w:jc w:val="center"/>
              <w:rPr>
                <w:rFonts w:eastAsia="Times New Roman"/>
                <w:noProof/>
                <w:color w:val="000000"/>
                <w:sz w:val="18"/>
                <w:szCs w:val="18"/>
                <w:lang w:eastAsia="en-IE"/>
              </w:rPr>
            </w:pPr>
            <w:r w:rsidRPr="00922145">
              <w:rPr>
                <w:rFonts w:eastAsia="Times New Roman"/>
                <w:noProof/>
                <w:color w:val="000000" w:themeColor="text1"/>
                <w:sz w:val="18"/>
                <w:szCs w:val="18"/>
                <w:lang w:eastAsia="en-IE"/>
              </w:rPr>
              <w:t>Year</w:t>
            </w:r>
          </w:p>
        </w:tc>
        <w:tc>
          <w:tcPr>
            <w:tcW w:w="543" w:type="pct"/>
            <w:vMerge w:val="restart"/>
            <w:tcBorders>
              <w:top w:val="single" w:sz="8" w:space="0" w:color="auto"/>
              <w:left w:val="single" w:sz="8" w:space="0" w:color="auto"/>
              <w:bottom w:val="single" w:sz="8" w:space="0" w:color="000000"/>
              <w:right w:val="single" w:sz="8" w:space="0" w:color="auto"/>
            </w:tcBorders>
            <w:vAlign w:val="center"/>
            <w:hideMark/>
          </w:tcPr>
          <w:p w14:paraId="0AD5E800" w14:textId="77777777" w:rsidR="00EC37C5" w:rsidRPr="00922145" w:rsidRDefault="00EC37C5">
            <w:pPr>
              <w:spacing w:before="0" w:after="0"/>
              <w:jc w:val="center"/>
              <w:rPr>
                <w:rFonts w:eastAsia="Times New Roman"/>
                <w:b/>
                <w:bCs/>
                <w:noProof/>
                <w:color w:val="000000"/>
                <w:sz w:val="18"/>
                <w:szCs w:val="18"/>
                <w:lang w:eastAsia="en-IE"/>
              </w:rPr>
            </w:pPr>
            <w:r w:rsidRPr="00922145">
              <w:rPr>
                <w:rFonts w:eastAsia="Times New Roman"/>
                <w:b/>
                <w:bCs/>
                <w:noProof/>
                <w:color w:val="000000" w:themeColor="text1"/>
                <w:sz w:val="18"/>
                <w:szCs w:val="18"/>
                <w:lang w:eastAsia="en-IE"/>
              </w:rPr>
              <w:t>TOTAL MFF 2028 - 2034</w:t>
            </w:r>
          </w:p>
        </w:tc>
      </w:tr>
      <w:tr w:rsidR="00EC37C5" w:rsidRPr="00922145" w14:paraId="4B977D9E" w14:textId="77777777">
        <w:trPr>
          <w:trHeight w:val="300"/>
        </w:trPr>
        <w:tc>
          <w:tcPr>
            <w:tcW w:w="792" w:type="pct"/>
            <w:vMerge/>
            <w:tcBorders>
              <w:top w:val="single" w:sz="8" w:space="0" w:color="auto"/>
              <w:left w:val="single" w:sz="8" w:space="0" w:color="auto"/>
              <w:bottom w:val="nil"/>
              <w:right w:val="single" w:sz="8" w:space="0" w:color="auto"/>
            </w:tcBorders>
            <w:vAlign w:val="center"/>
            <w:hideMark/>
          </w:tcPr>
          <w:p w14:paraId="593B5576" w14:textId="77777777" w:rsidR="00EC37C5" w:rsidRPr="00922145" w:rsidRDefault="00EC37C5">
            <w:pPr>
              <w:spacing w:before="0" w:after="0"/>
              <w:jc w:val="left"/>
              <w:rPr>
                <w:rFonts w:eastAsia="Times New Roman"/>
                <w:b/>
                <w:bCs/>
                <w:noProof/>
                <w:color w:val="000000"/>
                <w:sz w:val="18"/>
                <w:szCs w:val="18"/>
                <w:lang w:eastAsia="en-IE"/>
              </w:rPr>
            </w:pPr>
          </w:p>
        </w:tc>
        <w:tc>
          <w:tcPr>
            <w:tcW w:w="524" w:type="pct"/>
            <w:tcBorders>
              <w:top w:val="nil"/>
              <w:left w:val="nil"/>
              <w:bottom w:val="single" w:sz="8" w:space="0" w:color="auto"/>
              <w:right w:val="single" w:sz="8" w:space="0" w:color="auto"/>
            </w:tcBorders>
            <w:vAlign w:val="center"/>
            <w:hideMark/>
          </w:tcPr>
          <w:p w14:paraId="544A8727" w14:textId="77777777" w:rsidR="00EC37C5" w:rsidRPr="00922145" w:rsidRDefault="00EC37C5">
            <w:pPr>
              <w:spacing w:before="0" w:after="0"/>
              <w:jc w:val="center"/>
              <w:rPr>
                <w:rFonts w:eastAsia="Times New Roman"/>
                <w:b/>
                <w:bCs/>
                <w:noProof/>
                <w:color w:val="000000"/>
                <w:sz w:val="18"/>
                <w:szCs w:val="18"/>
                <w:lang w:eastAsia="en-IE"/>
              </w:rPr>
            </w:pPr>
            <w:r w:rsidRPr="00922145">
              <w:rPr>
                <w:rFonts w:eastAsia="Times New Roman"/>
                <w:b/>
                <w:bCs/>
                <w:noProof/>
                <w:color w:val="000000" w:themeColor="text1"/>
                <w:sz w:val="18"/>
                <w:szCs w:val="18"/>
                <w:lang w:eastAsia="en-IE"/>
              </w:rPr>
              <w:t>2028</w:t>
            </w:r>
          </w:p>
        </w:tc>
        <w:tc>
          <w:tcPr>
            <w:tcW w:w="524" w:type="pct"/>
            <w:tcBorders>
              <w:top w:val="nil"/>
              <w:left w:val="nil"/>
              <w:bottom w:val="single" w:sz="8" w:space="0" w:color="auto"/>
              <w:right w:val="single" w:sz="8" w:space="0" w:color="auto"/>
            </w:tcBorders>
            <w:vAlign w:val="center"/>
            <w:hideMark/>
          </w:tcPr>
          <w:p w14:paraId="4A2FC39A" w14:textId="77777777" w:rsidR="00EC37C5" w:rsidRPr="00922145" w:rsidRDefault="00EC37C5">
            <w:pPr>
              <w:spacing w:before="0" w:after="0"/>
              <w:jc w:val="center"/>
              <w:rPr>
                <w:rFonts w:eastAsia="Times New Roman"/>
                <w:b/>
                <w:bCs/>
                <w:noProof/>
                <w:color w:val="000000"/>
                <w:sz w:val="18"/>
                <w:szCs w:val="18"/>
                <w:lang w:eastAsia="en-IE"/>
              </w:rPr>
            </w:pPr>
            <w:r w:rsidRPr="00922145">
              <w:rPr>
                <w:rFonts w:eastAsia="Times New Roman"/>
                <w:b/>
                <w:bCs/>
                <w:noProof/>
                <w:color w:val="000000" w:themeColor="text1"/>
                <w:sz w:val="18"/>
                <w:szCs w:val="18"/>
                <w:lang w:eastAsia="en-IE"/>
              </w:rPr>
              <w:t>2029</w:t>
            </w:r>
          </w:p>
        </w:tc>
        <w:tc>
          <w:tcPr>
            <w:tcW w:w="523" w:type="pct"/>
            <w:tcBorders>
              <w:top w:val="nil"/>
              <w:left w:val="nil"/>
              <w:bottom w:val="single" w:sz="8" w:space="0" w:color="auto"/>
              <w:right w:val="single" w:sz="8" w:space="0" w:color="auto"/>
            </w:tcBorders>
            <w:vAlign w:val="center"/>
            <w:hideMark/>
          </w:tcPr>
          <w:p w14:paraId="256FBC05" w14:textId="77777777" w:rsidR="00EC37C5" w:rsidRPr="00922145" w:rsidRDefault="00EC37C5">
            <w:pPr>
              <w:spacing w:before="0" w:after="0"/>
              <w:jc w:val="center"/>
              <w:rPr>
                <w:rFonts w:eastAsia="Times New Roman"/>
                <w:b/>
                <w:bCs/>
                <w:noProof/>
                <w:color w:val="000000"/>
                <w:sz w:val="18"/>
                <w:szCs w:val="18"/>
                <w:lang w:eastAsia="en-IE"/>
              </w:rPr>
            </w:pPr>
            <w:r w:rsidRPr="00922145">
              <w:rPr>
                <w:rFonts w:eastAsia="Times New Roman"/>
                <w:b/>
                <w:bCs/>
                <w:noProof/>
                <w:color w:val="000000" w:themeColor="text1"/>
                <w:sz w:val="18"/>
                <w:szCs w:val="18"/>
                <w:lang w:eastAsia="en-IE"/>
              </w:rPr>
              <w:t>2030</w:t>
            </w:r>
          </w:p>
        </w:tc>
        <w:tc>
          <w:tcPr>
            <w:tcW w:w="524" w:type="pct"/>
            <w:tcBorders>
              <w:top w:val="nil"/>
              <w:left w:val="nil"/>
              <w:bottom w:val="single" w:sz="8" w:space="0" w:color="auto"/>
              <w:right w:val="single" w:sz="8" w:space="0" w:color="auto"/>
            </w:tcBorders>
            <w:vAlign w:val="center"/>
            <w:hideMark/>
          </w:tcPr>
          <w:p w14:paraId="4A8CD3D2" w14:textId="77777777" w:rsidR="00EC37C5" w:rsidRPr="00922145" w:rsidRDefault="00EC37C5">
            <w:pPr>
              <w:spacing w:before="0" w:after="0"/>
              <w:jc w:val="center"/>
              <w:rPr>
                <w:rFonts w:eastAsia="Times New Roman"/>
                <w:b/>
                <w:bCs/>
                <w:noProof/>
                <w:color w:val="000000"/>
                <w:sz w:val="18"/>
                <w:szCs w:val="18"/>
                <w:lang w:eastAsia="en-IE"/>
              </w:rPr>
            </w:pPr>
            <w:r w:rsidRPr="00922145">
              <w:rPr>
                <w:rFonts w:eastAsia="Times New Roman"/>
                <w:b/>
                <w:bCs/>
                <w:noProof/>
                <w:color w:val="000000" w:themeColor="text1"/>
                <w:sz w:val="18"/>
                <w:szCs w:val="18"/>
                <w:lang w:eastAsia="en-IE"/>
              </w:rPr>
              <w:t>2031</w:t>
            </w:r>
          </w:p>
        </w:tc>
        <w:tc>
          <w:tcPr>
            <w:tcW w:w="524" w:type="pct"/>
            <w:tcBorders>
              <w:top w:val="nil"/>
              <w:left w:val="nil"/>
              <w:bottom w:val="single" w:sz="8" w:space="0" w:color="auto"/>
              <w:right w:val="single" w:sz="8" w:space="0" w:color="auto"/>
            </w:tcBorders>
            <w:vAlign w:val="center"/>
            <w:hideMark/>
          </w:tcPr>
          <w:p w14:paraId="17A70E7C" w14:textId="77777777" w:rsidR="00EC37C5" w:rsidRPr="00922145" w:rsidRDefault="00EC37C5">
            <w:pPr>
              <w:spacing w:before="0" w:after="0"/>
              <w:jc w:val="center"/>
              <w:rPr>
                <w:rFonts w:eastAsia="Times New Roman"/>
                <w:b/>
                <w:bCs/>
                <w:noProof/>
                <w:color w:val="000000"/>
                <w:sz w:val="18"/>
                <w:szCs w:val="18"/>
                <w:lang w:eastAsia="en-IE"/>
              </w:rPr>
            </w:pPr>
            <w:r w:rsidRPr="00922145">
              <w:rPr>
                <w:rFonts w:eastAsia="Times New Roman"/>
                <w:b/>
                <w:bCs/>
                <w:noProof/>
                <w:color w:val="000000" w:themeColor="text1"/>
                <w:sz w:val="18"/>
                <w:szCs w:val="18"/>
                <w:lang w:eastAsia="en-IE"/>
              </w:rPr>
              <w:t>2032</w:t>
            </w:r>
          </w:p>
        </w:tc>
        <w:tc>
          <w:tcPr>
            <w:tcW w:w="524" w:type="pct"/>
            <w:tcBorders>
              <w:top w:val="nil"/>
              <w:left w:val="nil"/>
              <w:bottom w:val="single" w:sz="8" w:space="0" w:color="auto"/>
              <w:right w:val="single" w:sz="8" w:space="0" w:color="auto"/>
            </w:tcBorders>
            <w:vAlign w:val="center"/>
            <w:hideMark/>
          </w:tcPr>
          <w:p w14:paraId="7EE373CC" w14:textId="77777777" w:rsidR="00EC37C5" w:rsidRPr="00922145" w:rsidRDefault="00EC37C5">
            <w:pPr>
              <w:spacing w:before="0" w:after="0"/>
              <w:jc w:val="center"/>
              <w:rPr>
                <w:rFonts w:eastAsia="Times New Roman"/>
                <w:b/>
                <w:bCs/>
                <w:noProof/>
                <w:color w:val="000000"/>
                <w:sz w:val="18"/>
                <w:szCs w:val="18"/>
                <w:lang w:eastAsia="en-IE"/>
              </w:rPr>
            </w:pPr>
            <w:r w:rsidRPr="00922145">
              <w:rPr>
                <w:rFonts w:eastAsia="Times New Roman"/>
                <w:b/>
                <w:bCs/>
                <w:noProof/>
                <w:color w:val="000000" w:themeColor="text1"/>
                <w:sz w:val="18"/>
                <w:szCs w:val="18"/>
                <w:lang w:eastAsia="en-IE"/>
              </w:rPr>
              <w:t>2033</w:t>
            </w:r>
          </w:p>
        </w:tc>
        <w:tc>
          <w:tcPr>
            <w:tcW w:w="524" w:type="pct"/>
            <w:tcBorders>
              <w:top w:val="nil"/>
              <w:left w:val="nil"/>
              <w:bottom w:val="single" w:sz="8" w:space="0" w:color="auto"/>
              <w:right w:val="single" w:sz="8" w:space="0" w:color="auto"/>
            </w:tcBorders>
            <w:vAlign w:val="center"/>
            <w:hideMark/>
          </w:tcPr>
          <w:p w14:paraId="76DE679F" w14:textId="77777777" w:rsidR="00EC37C5" w:rsidRPr="00922145" w:rsidRDefault="00EC37C5">
            <w:pPr>
              <w:spacing w:before="0" w:after="0"/>
              <w:jc w:val="center"/>
              <w:rPr>
                <w:rFonts w:eastAsia="Times New Roman"/>
                <w:b/>
                <w:bCs/>
                <w:noProof/>
                <w:color w:val="000000"/>
                <w:sz w:val="18"/>
                <w:szCs w:val="18"/>
                <w:lang w:eastAsia="en-IE"/>
              </w:rPr>
            </w:pPr>
            <w:r w:rsidRPr="00922145">
              <w:rPr>
                <w:rFonts w:eastAsia="Times New Roman"/>
                <w:b/>
                <w:bCs/>
                <w:noProof/>
                <w:color w:val="000000" w:themeColor="text1"/>
                <w:sz w:val="18"/>
                <w:szCs w:val="18"/>
                <w:lang w:eastAsia="en-IE"/>
              </w:rPr>
              <w:t>2034</w:t>
            </w:r>
          </w:p>
        </w:tc>
        <w:tc>
          <w:tcPr>
            <w:tcW w:w="543" w:type="pct"/>
            <w:vMerge/>
            <w:tcBorders>
              <w:top w:val="single" w:sz="8" w:space="0" w:color="auto"/>
              <w:left w:val="single" w:sz="8" w:space="0" w:color="auto"/>
              <w:bottom w:val="single" w:sz="8" w:space="0" w:color="000000"/>
              <w:right w:val="single" w:sz="8" w:space="0" w:color="auto"/>
            </w:tcBorders>
            <w:vAlign w:val="center"/>
            <w:hideMark/>
          </w:tcPr>
          <w:p w14:paraId="4D3A2B2F" w14:textId="77777777" w:rsidR="00EC37C5" w:rsidRPr="00922145" w:rsidRDefault="00EC37C5">
            <w:pPr>
              <w:spacing w:before="0" w:after="0"/>
              <w:jc w:val="left"/>
              <w:rPr>
                <w:rFonts w:eastAsia="Times New Roman"/>
                <w:b/>
                <w:bCs/>
                <w:noProof/>
                <w:color w:val="000000"/>
                <w:sz w:val="18"/>
                <w:szCs w:val="18"/>
                <w:lang w:eastAsia="en-IE"/>
              </w:rPr>
            </w:pPr>
          </w:p>
        </w:tc>
      </w:tr>
      <w:tr w:rsidR="00EC37C5" w:rsidRPr="00922145" w14:paraId="5AAA22C9" w14:textId="77777777">
        <w:trPr>
          <w:trHeight w:val="300"/>
        </w:trPr>
        <w:tc>
          <w:tcPr>
            <w:tcW w:w="5000" w:type="pct"/>
            <w:gridSpan w:val="9"/>
            <w:tcBorders>
              <w:top w:val="nil"/>
              <w:left w:val="single" w:sz="8" w:space="0" w:color="auto"/>
              <w:bottom w:val="single" w:sz="8" w:space="0" w:color="auto"/>
              <w:right w:val="single" w:sz="8" w:space="0" w:color="000000"/>
            </w:tcBorders>
            <w:vAlign w:val="center"/>
            <w:hideMark/>
          </w:tcPr>
          <w:p w14:paraId="0DBB048C" w14:textId="77777777" w:rsidR="00EC37C5" w:rsidRPr="00922145" w:rsidRDefault="00EC37C5">
            <w:pPr>
              <w:spacing w:before="0" w:after="0"/>
              <w:jc w:val="left"/>
              <w:rPr>
                <w:rFonts w:eastAsia="Times New Roman"/>
                <w:b/>
                <w:bCs/>
                <w:noProof/>
                <w:color w:val="000000"/>
                <w:sz w:val="16"/>
                <w:szCs w:val="16"/>
                <w:lang w:eastAsia="en-IE"/>
              </w:rPr>
            </w:pPr>
            <w:r w:rsidRPr="00922145">
              <w:rPr>
                <w:rFonts w:eastAsia="Times New Roman"/>
                <w:b/>
                <w:bCs/>
                <w:noProof/>
                <w:color w:val="000000"/>
                <w:sz w:val="16"/>
                <w:szCs w:val="16"/>
                <w:lang w:eastAsia="en-IE"/>
              </w:rPr>
              <w:t>HEADING 4</w:t>
            </w:r>
          </w:p>
        </w:tc>
      </w:tr>
      <w:tr w:rsidR="00EC37C5" w:rsidRPr="00922145" w14:paraId="25E9546D" w14:textId="77777777">
        <w:trPr>
          <w:trHeight w:val="790"/>
        </w:trPr>
        <w:tc>
          <w:tcPr>
            <w:tcW w:w="792" w:type="pct"/>
            <w:tcBorders>
              <w:top w:val="nil"/>
              <w:left w:val="single" w:sz="8" w:space="0" w:color="auto"/>
              <w:bottom w:val="single" w:sz="8" w:space="0" w:color="auto"/>
              <w:right w:val="single" w:sz="8" w:space="0" w:color="auto"/>
            </w:tcBorders>
            <w:vAlign w:val="center"/>
            <w:hideMark/>
          </w:tcPr>
          <w:p w14:paraId="4C054E23" w14:textId="77777777" w:rsidR="00EC37C5" w:rsidRPr="00922145" w:rsidRDefault="00EC37C5">
            <w:pPr>
              <w:spacing w:before="0" w:after="0"/>
              <w:jc w:val="left"/>
              <w:rPr>
                <w:rFonts w:ascii="Arial Narrow" w:eastAsia="Times New Roman" w:hAnsi="Arial Narrow"/>
                <w:noProof/>
                <w:color w:val="000000"/>
                <w:sz w:val="20"/>
                <w:szCs w:val="20"/>
                <w:lang w:eastAsia="en-IE"/>
              </w:rPr>
            </w:pPr>
            <w:r w:rsidRPr="00922145">
              <w:rPr>
                <w:rFonts w:ascii="Arial Narrow" w:eastAsia="Times New Roman" w:hAnsi="Arial Narrow"/>
                <w:noProof/>
                <w:color w:val="000000"/>
                <w:sz w:val="20"/>
                <w:szCs w:val="20"/>
                <w:lang w:eastAsia="en-IE"/>
              </w:rPr>
              <w:t>IT expenditure (corporate)</w:t>
            </w:r>
            <w:r w:rsidRPr="00922145">
              <w:rPr>
                <w:rFonts w:eastAsia="Times New Roman"/>
                <w:noProof/>
                <w:color w:val="000000"/>
                <w:sz w:val="16"/>
                <w:szCs w:val="16"/>
                <w:lang w:eastAsia="en-IE"/>
              </w:rPr>
              <w:t xml:space="preserve"> </w:t>
            </w:r>
          </w:p>
        </w:tc>
        <w:tc>
          <w:tcPr>
            <w:tcW w:w="524" w:type="pct"/>
            <w:tcBorders>
              <w:top w:val="nil"/>
              <w:left w:val="nil"/>
              <w:bottom w:val="single" w:sz="8" w:space="0" w:color="auto"/>
              <w:right w:val="single" w:sz="8" w:space="0" w:color="auto"/>
            </w:tcBorders>
            <w:shd w:val="clear" w:color="000000" w:fill="D9D9D9"/>
            <w:vAlign w:val="center"/>
            <w:hideMark/>
          </w:tcPr>
          <w:p w14:paraId="02937BBF" w14:textId="77777777" w:rsidR="00EC37C5" w:rsidRPr="00922145" w:rsidRDefault="00EC37C5">
            <w:pPr>
              <w:spacing w:before="0" w:after="0"/>
              <w:jc w:val="right"/>
              <w:rPr>
                <w:rFonts w:eastAsia="Times New Roman"/>
                <w:noProof/>
                <w:color w:val="000000"/>
                <w:sz w:val="16"/>
                <w:szCs w:val="16"/>
                <w:lang w:eastAsia="en-IE"/>
              </w:rPr>
            </w:pPr>
            <w:r w:rsidRPr="00922145">
              <w:rPr>
                <w:rFonts w:eastAsia="Times New Roman"/>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6EFEF87E" w14:textId="77777777" w:rsidR="00EC37C5" w:rsidRPr="00922145" w:rsidRDefault="00EC37C5">
            <w:pPr>
              <w:spacing w:before="0" w:after="0"/>
              <w:jc w:val="right"/>
              <w:rPr>
                <w:rFonts w:eastAsia="Times New Roman"/>
                <w:noProof/>
                <w:color w:val="000000"/>
                <w:sz w:val="16"/>
                <w:szCs w:val="16"/>
                <w:lang w:eastAsia="en-IE"/>
              </w:rPr>
            </w:pPr>
            <w:r w:rsidRPr="00922145">
              <w:rPr>
                <w:rFonts w:eastAsia="Times New Roman"/>
                <w:noProof/>
                <w:color w:val="000000" w:themeColor="text1"/>
                <w:sz w:val="16"/>
                <w:szCs w:val="16"/>
                <w:lang w:eastAsia="en-IE"/>
              </w:rPr>
              <w:t>0</w:t>
            </w:r>
          </w:p>
        </w:tc>
        <w:tc>
          <w:tcPr>
            <w:tcW w:w="523" w:type="pct"/>
            <w:tcBorders>
              <w:top w:val="nil"/>
              <w:left w:val="nil"/>
              <w:bottom w:val="single" w:sz="8" w:space="0" w:color="auto"/>
              <w:right w:val="single" w:sz="8" w:space="0" w:color="auto"/>
            </w:tcBorders>
            <w:shd w:val="clear" w:color="000000" w:fill="D9D9D9"/>
            <w:vAlign w:val="center"/>
            <w:hideMark/>
          </w:tcPr>
          <w:p w14:paraId="468FFD20" w14:textId="77777777" w:rsidR="00EC37C5" w:rsidRPr="00922145" w:rsidRDefault="00EC37C5">
            <w:pPr>
              <w:spacing w:before="0" w:after="0"/>
              <w:jc w:val="right"/>
              <w:rPr>
                <w:rFonts w:eastAsia="Times New Roman"/>
                <w:noProof/>
                <w:color w:val="000000"/>
                <w:sz w:val="16"/>
                <w:szCs w:val="16"/>
                <w:lang w:eastAsia="en-IE"/>
              </w:rPr>
            </w:pPr>
            <w:r w:rsidRPr="00922145">
              <w:rPr>
                <w:rFonts w:eastAsia="Times New Roman"/>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1CEE8F11" w14:textId="77777777" w:rsidR="00EC37C5" w:rsidRPr="00922145" w:rsidRDefault="00EC37C5">
            <w:pPr>
              <w:spacing w:before="0" w:after="0"/>
              <w:jc w:val="right"/>
              <w:rPr>
                <w:rFonts w:eastAsia="Times New Roman"/>
                <w:noProof/>
                <w:color w:val="000000"/>
                <w:sz w:val="16"/>
                <w:szCs w:val="16"/>
                <w:lang w:eastAsia="en-IE"/>
              </w:rPr>
            </w:pPr>
            <w:r w:rsidRPr="00922145">
              <w:rPr>
                <w:rFonts w:eastAsia="Times New Roman"/>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06F33BDF" w14:textId="77777777" w:rsidR="00EC37C5" w:rsidRPr="00922145" w:rsidRDefault="00EC37C5">
            <w:pPr>
              <w:spacing w:before="0" w:after="0"/>
              <w:jc w:val="right"/>
              <w:rPr>
                <w:rFonts w:eastAsia="Times New Roman"/>
                <w:noProof/>
                <w:color w:val="000000"/>
                <w:sz w:val="16"/>
                <w:szCs w:val="16"/>
                <w:lang w:eastAsia="en-IE"/>
              </w:rPr>
            </w:pPr>
            <w:r w:rsidRPr="00922145">
              <w:rPr>
                <w:rFonts w:eastAsia="Times New Roman"/>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3C4C926F" w14:textId="77777777" w:rsidR="00EC37C5" w:rsidRPr="00922145" w:rsidRDefault="00EC37C5">
            <w:pPr>
              <w:spacing w:before="0" w:after="0"/>
              <w:jc w:val="right"/>
              <w:rPr>
                <w:rFonts w:eastAsia="Times New Roman"/>
                <w:noProof/>
                <w:color w:val="000000"/>
                <w:sz w:val="16"/>
                <w:szCs w:val="16"/>
                <w:lang w:eastAsia="en-IE"/>
              </w:rPr>
            </w:pPr>
            <w:r w:rsidRPr="00922145">
              <w:rPr>
                <w:rFonts w:eastAsia="Times New Roman"/>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609A7D8B" w14:textId="77777777" w:rsidR="00EC37C5" w:rsidRPr="00922145" w:rsidRDefault="00EC37C5">
            <w:pPr>
              <w:spacing w:before="0" w:after="0"/>
              <w:jc w:val="right"/>
              <w:rPr>
                <w:rFonts w:eastAsia="Times New Roman"/>
                <w:noProof/>
                <w:color w:val="000000"/>
                <w:sz w:val="16"/>
                <w:szCs w:val="16"/>
                <w:lang w:eastAsia="en-IE"/>
              </w:rPr>
            </w:pPr>
            <w:r w:rsidRPr="00922145">
              <w:rPr>
                <w:rFonts w:eastAsia="Times New Roman"/>
                <w:noProof/>
                <w:color w:val="000000" w:themeColor="text1"/>
                <w:sz w:val="16"/>
                <w:szCs w:val="16"/>
                <w:lang w:eastAsia="en-IE"/>
              </w:rPr>
              <w:t>0</w:t>
            </w:r>
          </w:p>
        </w:tc>
        <w:tc>
          <w:tcPr>
            <w:tcW w:w="543" w:type="pct"/>
            <w:tcBorders>
              <w:top w:val="nil"/>
              <w:left w:val="nil"/>
              <w:bottom w:val="single" w:sz="8" w:space="0" w:color="auto"/>
              <w:right w:val="single" w:sz="8" w:space="0" w:color="auto"/>
            </w:tcBorders>
            <w:shd w:val="clear" w:color="000000" w:fill="D9D9D9"/>
            <w:vAlign w:val="center"/>
            <w:hideMark/>
          </w:tcPr>
          <w:p w14:paraId="21CF39CE" w14:textId="77777777" w:rsidR="00EC37C5" w:rsidRPr="00922145" w:rsidRDefault="00EC37C5">
            <w:pPr>
              <w:spacing w:before="0" w:after="0"/>
              <w:jc w:val="right"/>
              <w:rPr>
                <w:rFonts w:eastAsia="Times New Roman"/>
                <w:b/>
                <w:bCs/>
                <w:noProof/>
                <w:color w:val="000000"/>
                <w:sz w:val="16"/>
                <w:szCs w:val="16"/>
                <w:lang w:eastAsia="en-IE"/>
              </w:rPr>
            </w:pPr>
            <w:r w:rsidRPr="00922145">
              <w:rPr>
                <w:rFonts w:eastAsia="Times New Roman"/>
                <w:b/>
                <w:bCs/>
                <w:noProof/>
                <w:color w:val="000000" w:themeColor="text1"/>
                <w:sz w:val="16"/>
                <w:szCs w:val="16"/>
                <w:lang w:eastAsia="en-IE"/>
              </w:rPr>
              <w:t>0</w:t>
            </w:r>
          </w:p>
        </w:tc>
      </w:tr>
      <w:tr w:rsidR="00EC37C5" w:rsidRPr="00922145" w14:paraId="26B112E1" w14:textId="77777777">
        <w:trPr>
          <w:trHeight w:val="430"/>
        </w:trPr>
        <w:tc>
          <w:tcPr>
            <w:tcW w:w="792" w:type="pct"/>
            <w:tcBorders>
              <w:top w:val="nil"/>
              <w:left w:val="single" w:sz="8" w:space="0" w:color="auto"/>
              <w:bottom w:val="single" w:sz="8" w:space="0" w:color="auto"/>
              <w:right w:val="single" w:sz="8" w:space="0" w:color="auto"/>
            </w:tcBorders>
            <w:shd w:val="clear" w:color="000000" w:fill="CCCCCC"/>
            <w:vAlign w:val="center"/>
            <w:hideMark/>
          </w:tcPr>
          <w:p w14:paraId="0358A31B" w14:textId="77777777" w:rsidR="00EC37C5" w:rsidRPr="00922145" w:rsidRDefault="00EC37C5">
            <w:pPr>
              <w:spacing w:before="0" w:after="0"/>
              <w:jc w:val="center"/>
              <w:rPr>
                <w:rFonts w:eastAsia="Times New Roman"/>
                <w:b/>
                <w:bCs/>
                <w:noProof/>
                <w:color w:val="000000"/>
                <w:sz w:val="16"/>
                <w:szCs w:val="16"/>
                <w:lang w:eastAsia="en-IE"/>
              </w:rPr>
            </w:pPr>
            <w:r w:rsidRPr="00922145">
              <w:rPr>
                <w:rFonts w:eastAsia="Times New Roman"/>
                <w:b/>
                <w:bCs/>
                <w:noProof/>
                <w:color w:val="000000" w:themeColor="text1"/>
                <w:sz w:val="16"/>
                <w:szCs w:val="16"/>
                <w:lang w:eastAsia="en-IE"/>
              </w:rPr>
              <w:t>Subtotal HEADING 4</w:t>
            </w:r>
          </w:p>
        </w:tc>
        <w:tc>
          <w:tcPr>
            <w:tcW w:w="524" w:type="pct"/>
            <w:tcBorders>
              <w:top w:val="nil"/>
              <w:left w:val="nil"/>
              <w:bottom w:val="single" w:sz="8" w:space="0" w:color="auto"/>
              <w:right w:val="single" w:sz="8" w:space="0" w:color="auto"/>
            </w:tcBorders>
            <w:shd w:val="clear" w:color="000000" w:fill="D9D9D9"/>
            <w:vAlign w:val="center"/>
            <w:hideMark/>
          </w:tcPr>
          <w:p w14:paraId="7A75FD8D" w14:textId="77777777" w:rsidR="00EC37C5" w:rsidRPr="00922145" w:rsidRDefault="00EC37C5">
            <w:pPr>
              <w:spacing w:before="0" w:after="0"/>
              <w:jc w:val="right"/>
              <w:rPr>
                <w:rFonts w:eastAsia="Times New Roman"/>
                <w:b/>
                <w:bCs/>
                <w:noProof/>
                <w:color w:val="000000"/>
                <w:sz w:val="16"/>
                <w:szCs w:val="16"/>
                <w:lang w:eastAsia="en-IE"/>
              </w:rPr>
            </w:pPr>
            <w:r w:rsidRPr="00922145">
              <w:rPr>
                <w:rFonts w:eastAsia="Times New Roman"/>
                <w:b/>
                <w:bCs/>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1B8CF3A6" w14:textId="77777777" w:rsidR="00EC37C5" w:rsidRPr="00922145" w:rsidRDefault="00EC37C5">
            <w:pPr>
              <w:spacing w:before="0" w:after="0"/>
              <w:jc w:val="right"/>
              <w:rPr>
                <w:rFonts w:eastAsia="Times New Roman"/>
                <w:b/>
                <w:bCs/>
                <w:noProof/>
                <w:color w:val="000000"/>
                <w:sz w:val="16"/>
                <w:szCs w:val="16"/>
                <w:lang w:eastAsia="en-IE"/>
              </w:rPr>
            </w:pPr>
            <w:r w:rsidRPr="00922145">
              <w:rPr>
                <w:rFonts w:eastAsia="Times New Roman"/>
                <w:b/>
                <w:bCs/>
                <w:noProof/>
                <w:color w:val="000000" w:themeColor="text1"/>
                <w:sz w:val="16"/>
                <w:szCs w:val="16"/>
                <w:lang w:eastAsia="en-IE"/>
              </w:rPr>
              <w:t>0</w:t>
            </w:r>
          </w:p>
        </w:tc>
        <w:tc>
          <w:tcPr>
            <w:tcW w:w="523" w:type="pct"/>
            <w:tcBorders>
              <w:top w:val="nil"/>
              <w:left w:val="nil"/>
              <w:bottom w:val="single" w:sz="8" w:space="0" w:color="auto"/>
              <w:right w:val="single" w:sz="8" w:space="0" w:color="auto"/>
            </w:tcBorders>
            <w:shd w:val="clear" w:color="000000" w:fill="D9D9D9"/>
            <w:vAlign w:val="center"/>
            <w:hideMark/>
          </w:tcPr>
          <w:p w14:paraId="096BF0AA" w14:textId="77777777" w:rsidR="00EC37C5" w:rsidRPr="00922145" w:rsidRDefault="00EC37C5">
            <w:pPr>
              <w:spacing w:before="0" w:after="0"/>
              <w:jc w:val="right"/>
              <w:rPr>
                <w:rFonts w:eastAsia="Times New Roman"/>
                <w:b/>
                <w:bCs/>
                <w:noProof/>
                <w:color w:val="000000"/>
                <w:sz w:val="16"/>
                <w:szCs w:val="16"/>
                <w:lang w:eastAsia="en-IE"/>
              </w:rPr>
            </w:pPr>
            <w:r w:rsidRPr="00922145">
              <w:rPr>
                <w:rFonts w:eastAsia="Times New Roman"/>
                <w:b/>
                <w:bCs/>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0CFC5692" w14:textId="77777777" w:rsidR="00EC37C5" w:rsidRPr="00922145" w:rsidRDefault="00EC37C5">
            <w:pPr>
              <w:spacing w:before="0" w:after="0"/>
              <w:jc w:val="right"/>
              <w:rPr>
                <w:rFonts w:eastAsia="Times New Roman"/>
                <w:b/>
                <w:bCs/>
                <w:noProof/>
                <w:color w:val="000000"/>
                <w:sz w:val="16"/>
                <w:szCs w:val="16"/>
                <w:lang w:eastAsia="en-IE"/>
              </w:rPr>
            </w:pPr>
            <w:r w:rsidRPr="00922145">
              <w:rPr>
                <w:rFonts w:eastAsia="Times New Roman"/>
                <w:b/>
                <w:bCs/>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4791C3FB" w14:textId="77777777" w:rsidR="00EC37C5" w:rsidRPr="00922145" w:rsidRDefault="00EC37C5">
            <w:pPr>
              <w:spacing w:before="0" w:after="0"/>
              <w:jc w:val="right"/>
              <w:rPr>
                <w:rFonts w:eastAsia="Times New Roman"/>
                <w:b/>
                <w:bCs/>
                <w:noProof/>
                <w:color w:val="000000"/>
                <w:sz w:val="16"/>
                <w:szCs w:val="16"/>
                <w:lang w:eastAsia="en-IE"/>
              </w:rPr>
            </w:pPr>
            <w:r w:rsidRPr="00922145">
              <w:rPr>
                <w:rFonts w:eastAsia="Times New Roman"/>
                <w:b/>
                <w:bCs/>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3E183CB7" w14:textId="77777777" w:rsidR="00EC37C5" w:rsidRPr="00922145" w:rsidRDefault="00EC37C5">
            <w:pPr>
              <w:spacing w:before="0" w:after="0"/>
              <w:jc w:val="right"/>
              <w:rPr>
                <w:rFonts w:eastAsia="Times New Roman"/>
                <w:b/>
                <w:bCs/>
                <w:noProof/>
                <w:color w:val="000000"/>
                <w:sz w:val="16"/>
                <w:szCs w:val="16"/>
                <w:lang w:eastAsia="en-IE"/>
              </w:rPr>
            </w:pPr>
            <w:r w:rsidRPr="00922145">
              <w:rPr>
                <w:rFonts w:eastAsia="Times New Roman"/>
                <w:b/>
                <w:bCs/>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42DE0BBA" w14:textId="77777777" w:rsidR="00EC37C5" w:rsidRPr="00922145" w:rsidRDefault="00EC37C5">
            <w:pPr>
              <w:spacing w:before="0" w:after="0"/>
              <w:jc w:val="right"/>
              <w:rPr>
                <w:rFonts w:eastAsia="Times New Roman"/>
                <w:b/>
                <w:bCs/>
                <w:noProof/>
                <w:color w:val="000000"/>
                <w:sz w:val="16"/>
                <w:szCs w:val="16"/>
                <w:lang w:eastAsia="en-IE"/>
              </w:rPr>
            </w:pPr>
            <w:r w:rsidRPr="00922145">
              <w:rPr>
                <w:rFonts w:eastAsia="Times New Roman"/>
                <w:b/>
                <w:bCs/>
                <w:noProof/>
                <w:color w:val="000000" w:themeColor="text1"/>
                <w:sz w:val="16"/>
                <w:szCs w:val="16"/>
                <w:lang w:eastAsia="en-IE"/>
              </w:rPr>
              <w:t>0</w:t>
            </w:r>
          </w:p>
        </w:tc>
        <w:tc>
          <w:tcPr>
            <w:tcW w:w="543" w:type="pct"/>
            <w:tcBorders>
              <w:top w:val="nil"/>
              <w:left w:val="nil"/>
              <w:bottom w:val="single" w:sz="8" w:space="0" w:color="auto"/>
              <w:right w:val="single" w:sz="8" w:space="0" w:color="auto"/>
            </w:tcBorders>
            <w:shd w:val="clear" w:color="000000" w:fill="D9D9D9"/>
            <w:vAlign w:val="center"/>
            <w:hideMark/>
          </w:tcPr>
          <w:p w14:paraId="5B74B0D7" w14:textId="77777777" w:rsidR="00EC37C5" w:rsidRPr="00922145" w:rsidRDefault="00EC37C5">
            <w:pPr>
              <w:spacing w:before="0" w:after="0"/>
              <w:jc w:val="right"/>
              <w:rPr>
                <w:rFonts w:eastAsia="Times New Roman"/>
                <w:b/>
                <w:bCs/>
                <w:noProof/>
                <w:color w:val="000000"/>
                <w:sz w:val="16"/>
                <w:szCs w:val="16"/>
                <w:lang w:eastAsia="en-IE"/>
              </w:rPr>
            </w:pPr>
            <w:r w:rsidRPr="00922145">
              <w:rPr>
                <w:rFonts w:eastAsia="Times New Roman"/>
                <w:b/>
                <w:bCs/>
                <w:noProof/>
                <w:color w:val="000000" w:themeColor="text1"/>
                <w:sz w:val="16"/>
                <w:szCs w:val="16"/>
                <w:lang w:eastAsia="en-IE"/>
              </w:rPr>
              <w:t>0</w:t>
            </w:r>
          </w:p>
        </w:tc>
      </w:tr>
      <w:tr w:rsidR="00EC37C5" w:rsidRPr="00922145" w14:paraId="6CF6392B" w14:textId="77777777">
        <w:trPr>
          <w:trHeight w:val="300"/>
        </w:trPr>
        <w:tc>
          <w:tcPr>
            <w:tcW w:w="5000" w:type="pct"/>
            <w:gridSpan w:val="9"/>
            <w:tcBorders>
              <w:top w:val="single" w:sz="8" w:space="0" w:color="auto"/>
              <w:left w:val="single" w:sz="8" w:space="0" w:color="auto"/>
              <w:bottom w:val="single" w:sz="8" w:space="0" w:color="auto"/>
              <w:right w:val="single" w:sz="8" w:space="0" w:color="000000"/>
            </w:tcBorders>
            <w:vAlign w:val="center"/>
            <w:hideMark/>
          </w:tcPr>
          <w:p w14:paraId="722E155B" w14:textId="77777777" w:rsidR="00EC37C5" w:rsidRPr="00922145" w:rsidRDefault="00EC37C5">
            <w:pPr>
              <w:spacing w:before="0" w:after="0"/>
              <w:jc w:val="left"/>
              <w:rPr>
                <w:rFonts w:eastAsia="Times New Roman"/>
                <w:b/>
                <w:bCs/>
                <w:noProof/>
                <w:color w:val="000000"/>
                <w:sz w:val="16"/>
                <w:szCs w:val="16"/>
                <w:lang w:eastAsia="en-IE"/>
              </w:rPr>
            </w:pPr>
            <w:r w:rsidRPr="00922145">
              <w:rPr>
                <w:rFonts w:eastAsia="Times New Roman"/>
                <w:b/>
                <w:bCs/>
                <w:noProof/>
                <w:color w:val="000000"/>
                <w:sz w:val="16"/>
                <w:szCs w:val="16"/>
                <w:lang w:eastAsia="en-IE"/>
              </w:rPr>
              <w:t>Outside HEADING 4</w:t>
            </w:r>
          </w:p>
        </w:tc>
      </w:tr>
      <w:tr w:rsidR="00EC37C5" w:rsidRPr="00922145" w14:paraId="4FC220AE" w14:textId="77777777">
        <w:trPr>
          <w:trHeight w:val="1570"/>
        </w:trPr>
        <w:tc>
          <w:tcPr>
            <w:tcW w:w="792" w:type="pct"/>
            <w:tcBorders>
              <w:top w:val="nil"/>
              <w:left w:val="single" w:sz="8" w:space="0" w:color="auto"/>
              <w:bottom w:val="single" w:sz="8" w:space="0" w:color="auto"/>
              <w:right w:val="single" w:sz="8" w:space="0" w:color="auto"/>
            </w:tcBorders>
            <w:vAlign w:val="center"/>
            <w:hideMark/>
          </w:tcPr>
          <w:p w14:paraId="3CFC233A" w14:textId="77777777" w:rsidR="00EC37C5" w:rsidRPr="00922145" w:rsidRDefault="00EC37C5">
            <w:pPr>
              <w:spacing w:before="0" w:after="0"/>
              <w:jc w:val="left"/>
              <w:rPr>
                <w:rFonts w:ascii="Arial Narrow" w:eastAsia="Times New Roman" w:hAnsi="Arial Narrow"/>
                <w:noProof/>
                <w:color w:val="000000"/>
                <w:sz w:val="20"/>
                <w:szCs w:val="20"/>
                <w:lang w:eastAsia="en-IE"/>
              </w:rPr>
            </w:pPr>
            <w:r w:rsidRPr="00922145">
              <w:rPr>
                <w:rFonts w:ascii="Arial Narrow" w:eastAsia="Times New Roman" w:hAnsi="Arial Narrow"/>
                <w:noProof/>
                <w:color w:val="000000"/>
                <w:sz w:val="20"/>
                <w:szCs w:val="20"/>
                <w:lang w:eastAsia="en-IE"/>
              </w:rPr>
              <w:t>Policy IT expenditure on operational programmes</w:t>
            </w:r>
          </w:p>
        </w:tc>
        <w:tc>
          <w:tcPr>
            <w:tcW w:w="524" w:type="pct"/>
            <w:tcBorders>
              <w:top w:val="nil"/>
              <w:left w:val="nil"/>
              <w:bottom w:val="single" w:sz="8" w:space="0" w:color="auto"/>
              <w:right w:val="single" w:sz="8" w:space="0" w:color="auto"/>
            </w:tcBorders>
            <w:shd w:val="clear" w:color="000000" w:fill="D9D9D9"/>
            <w:vAlign w:val="center"/>
            <w:hideMark/>
          </w:tcPr>
          <w:p w14:paraId="2FE0449C" w14:textId="77777777" w:rsidR="00EC37C5" w:rsidRPr="00922145" w:rsidRDefault="00EC37C5">
            <w:pPr>
              <w:spacing w:before="0" w:after="0"/>
              <w:jc w:val="right"/>
              <w:rPr>
                <w:rFonts w:eastAsia="Times New Roman"/>
                <w:noProof/>
                <w:color w:val="000000"/>
                <w:sz w:val="16"/>
                <w:szCs w:val="16"/>
                <w:lang w:eastAsia="en-IE"/>
              </w:rPr>
            </w:pPr>
            <w:r w:rsidRPr="00922145">
              <w:rPr>
                <w:rFonts w:eastAsia="Times New Roman"/>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49B4D4A9" w14:textId="77777777" w:rsidR="00EC37C5" w:rsidRPr="00922145" w:rsidRDefault="00EC37C5">
            <w:pPr>
              <w:spacing w:before="0" w:after="0"/>
              <w:jc w:val="right"/>
              <w:rPr>
                <w:rFonts w:eastAsia="Times New Roman"/>
                <w:noProof/>
                <w:color w:val="000000"/>
                <w:sz w:val="16"/>
                <w:szCs w:val="16"/>
                <w:lang w:eastAsia="en-IE"/>
              </w:rPr>
            </w:pPr>
            <w:r w:rsidRPr="00922145">
              <w:rPr>
                <w:rFonts w:eastAsia="Times New Roman"/>
                <w:noProof/>
                <w:color w:val="000000" w:themeColor="text1"/>
                <w:sz w:val="16"/>
                <w:szCs w:val="16"/>
                <w:lang w:eastAsia="en-IE"/>
              </w:rPr>
              <w:t>0</w:t>
            </w:r>
          </w:p>
        </w:tc>
        <w:tc>
          <w:tcPr>
            <w:tcW w:w="523" w:type="pct"/>
            <w:tcBorders>
              <w:top w:val="nil"/>
              <w:left w:val="nil"/>
              <w:bottom w:val="single" w:sz="8" w:space="0" w:color="auto"/>
              <w:right w:val="single" w:sz="8" w:space="0" w:color="auto"/>
            </w:tcBorders>
            <w:shd w:val="clear" w:color="000000" w:fill="D9D9D9"/>
            <w:vAlign w:val="center"/>
            <w:hideMark/>
          </w:tcPr>
          <w:p w14:paraId="394F35E1" w14:textId="77777777" w:rsidR="00EC37C5" w:rsidRPr="00922145" w:rsidRDefault="00EC37C5">
            <w:pPr>
              <w:spacing w:before="0" w:after="0"/>
              <w:jc w:val="right"/>
              <w:rPr>
                <w:rFonts w:eastAsia="Times New Roman"/>
                <w:noProof/>
                <w:color w:val="000000"/>
                <w:sz w:val="16"/>
                <w:szCs w:val="16"/>
                <w:lang w:eastAsia="en-IE"/>
              </w:rPr>
            </w:pPr>
            <w:r w:rsidRPr="00922145">
              <w:rPr>
                <w:rFonts w:eastAsia="Times New Roman"/>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2ED2D474" w14:textId="77777777" w:rsidR="00EC37C5" w:rsidRPr="00922145" w:rsidRDefault="00EC37C5">
            <w:pPr>
              <w:spacing w:before="0" w:after="0"/>
              <w:jc w:val="right"/>
              <w:rPr>
                <w:rFonts w:eastAsia="Times New Roman"/>
                <w:noProof/>
                <w:color w:val="000000"/>
                <w:sz w:val="16"/>
                <w:szCs w:val="16"/>
                <w:lang w:eastAsia="en-IE"/>
              </w:rPr>
            </w:pPr>
            <w:r w:rsidRPr="00922145">
              <w:rPr>
                <w:rFonts w:eastAsia="Times New Roman"/>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692D2634" w14:textId="77777777" w:rsidR="00EC37C5" w:rsidRPr="00922145" w:rsidRDefault="00EC37C5">
            <w:pPr>
              <w:spacing w:before="0" w:after="0"/>
              <w:jc w:val="right"/>
              <w:rPr>
                <w:rFonts w:eastAsia="Times New Roman"/>
                <w:noProof/>
                <w:color w:val="000000"/>
                <w:sz w:val="16"/>
                <w:szCs w:val="16"/>
                <w:lang w:eastAsia="en-IE"/>
              </w:rPr>
            </w:pPr>
            <w:r w:rsidRPr="00922145">
              <w:rPr>
                <w:rFonts w:eastAsia="Times New Roman"/>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041F7E59" w14:textId="77777777" w:rsidR="00EC37C5" w:rsidRPr="00922145" w:rsidRDefault="00EC37C5">
            <w:pPr>
              <w:spacing w:before="0" w:after="0"/>
              <w:jc w:val="right"/>
              <w:rPr>
                <w:rFonts w:eastAsia="Times New Roman"/>
                <w:noProof/>
                <w:color w:val="000000"/>
                <w:sz w:val="16"/>
                <w:szCs w:val="16"/>
                <w:lang w:eastAsia="en-IE"/>
              </w:rPr>
            </w:pPr>
            <w:r w:rsidRPr="00922145">
              <w:rPr>
                <w:rFonts w:eastAsia="Times New Roman"/>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473ECD8F" w14:textId="77777777" w:rsidR="00EC37C5" w:rsidRPr="00922145" w:rsidRDefault="00EC37C5">
            <w:pPr>
              <w:spacing w:before="0" w:after="0"/>
              <w:jc w:val="right"/>
              <w:rPr>
                <w:rFonts w:eastAsia="Times New Roman"/>
                <w:noProof/>
                <w:color w:val="000000"/>
                <w:sz w:val="16"/>
                <w:szCs w:val="16"/>
                <w:lang w:eastAsia="en-IE"/>
              </w:rPr>
            </w:pPr>
            <w:r w:rsidRPr="00922145">
              <w:rPr>
                <w:rFonts w:eastAsia="Times New Roman"/>
                <w:noProof/>
                <w:color w:val="000000" w:themeColor="text1"/>
                <w:sz w:val="16"/>
                <w:szCs w:val="16"/>
                <w:lang w:eastAsia="en-IE"/>
              </w:rPr>
              <w:t>0</w:t>
            </w:r>
          </w:p>
        </w:tc>
        <w:tc>
          <w:tcPr>
            <w:tcW w:w="543" w:type="pct"/>
            <w:tcBorders>
              <w:top w:val="nil"/>
              <w:left w:val="nil"/>
              <w:bottom w:val="single" w:sz="8" w:space="0" w:color="auto"/>
              <w:right w:val="single" w:sz="8" w:space="0" w:color="auto"/>
            </w:tcBorders>
            <w:shd w:val="clear" w:color="000000" w:fill="D9D9D9"/>
            <w:vAlign w:val="center"/>
            <w:hideMark/>
          </w:tcPr>
          <w:p w14:paraId="4F60CDC0" w14:textId="77777777" w:rsidR="00EC37C5" w:rsidRPr="00922145" w:rsidRDefault="00EC37C5">
            <w:pPr>
              <w:spacing w:before="0" w:after="0"/>
              <w:jc w:val="right"/>
              <w:rPr>
                <w:rFonts w:eastAsia="Times New Roman"/>
                <w:b/>
                <w:bCs/>
                <w:noProof/>
                <w:color w:val="000000"/>
                <w:sz w:val="16"/>
                <w:szCs w:val="16"/>
                <w:lang w:eastAsia="en-IE"/>
              </w:rPr>
            </w:pPr>
            <w:r w:rsidRPr="00922145">
              <w:rPr>
                <w:rFonts w:eastAsia="Times New Roman"/>
                <w:b/>
                <w:bCs/>
                <w:noProof/>
                <w:color w:val="000000" w:themeColor="text1"/>
                <w:sz w:val="16"/>
                <w:szCs w:val="16"/>
                <w:lang w:eastAsia="en-IE"/>
              </w:rPr>
              <w:t>0</w:t>
            </w:r>
          </w:p>
        </w:tc>
      </w:tr>
      <w:tr w:rsidR="00EC37C5" w:rsidRPr="00922145" w14:paraId="64EB2261" w14:textId="77777777">
        <w:trPr>
          <w:trHeight w:val="640"/>
        </w:trPr>
        <w:tc>
          <w:tcPr>
            <w:tcW w:w="792" w:type="pct"/>
            <w:tcBorders>
              <w:top w:val="nil"/>
              <w:left w:val="single" w:sz="8" w:space="0" w:color="auto"/>
              <w:bottom w:val="single" w:sz="8" w:space="0" w:color="auto"/>
              <w:right w:val="single" w:sz="8" w:space="0" w:color="auto"/>
            </w:tcBorders>
            <w:shd w:val="clear" w:color="000000" w:fill="CCCCCC"/>
            <w:vAlign w:val="center"/>
            <w:hideMark/>
          </w:tcPr>
          <w:p w14:paraId="656C9C8F" w14:textId="77777777" w:rsidR="00EC37C5" w:rsidRPr="00922145" w:rsidRDefault="00EC37C5">
            <w:pPr>
              <w:spacing w:before="0" w:after="0"/>
              <w:jc w:val="center"/>
              <w:rPr>
                <w:rFonts w:eastAsia="Times New Roman"/>
                <w:b/>
                <w:bCs/>
                <w:noProof/>
                <w:color w:val="000000"/>
                <w:sz w:val="16"/>
                <w:szCs w:val="16"/>
                <w:lang w:eastAsia="en-IE"/>
              </w:rPr>
            </w:pPr>
            <w:r w:rsidRPr="00922145">
              <w:rPr>
                <w:rFonts w:eastAsia="Times New Roman"/>
                <w:b/>
                <w:bCs/>
                <w:noProof/>
                <w:color w:val="000000" w:themeColor="text1"/>
                <w:sz w:val="16"/>
                <w:szCs w:val="16"/>
                <w:lang w:eastAsia="en-IE"/>
              </w:rPr>
              <w:t>Subtotal outside HEADING 4</w:t>
            </w:r>
          </w:p>
        </w:tc>
        <w:tc>
          <w:tcPr>
            <w:tcW w:w="524" w:type="pct"/>
            <w:tcBorders>
              <w:top w:val="nil"/>
              <w:left w:val="nil"/>
              <w:bottom w:val="single" w:sz="8" w:space="0" w:color="auto"/>
              <w:right w:val="single" w:sz="8" w:space="0" w:color="auto"/>
            </w:tcBorders>
            <w:shd w:val="clear" w:color="000000" w:fill="D9D9D9"/>
            <w:vAlign w:val="center"/>
            <w:hideMark/>
          </w:tcPr>
          <w:p w14:paraId="12BF02A1" w14:textId="77777777" w:rsidR="00EC37C5" w:rsidRPr="00922145" w:rsidRDefault="00EC37C5">
            <w:pPr>
              <w:spacing w:before="0" w:after="0"/>
              <w:jc w:val="right"/>
              <w:rPr>
                <w:rFonts w:eastAsia="Times New Roman"/>
                <w:b/>
                <w:bCs/>
                <w:noProof/>
                <w:color w:val="000000"/>
                <w:sz w:val="16"/>
                <w:szCs w:val="16"/>
                <w:lang w:eastAsia="en-IE"/>
              </w:rPr>
            </w:pPr>
            <w:r w:rsidRPr="00922145">
              <w:rPr>
                <w:rFonts w:eastAsia="Times New Roman"/>
                <w:b/>
                <w:bCs/>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44D48473" w14:textId="77777777" w:rsidR="00EC37C5" w:rsidRPr="00922145" w:rsidRDefault="00EC37C5">
            <w:pPr>
              <w:spacing w:before="0" w:after="0"/>
              <w:jc w:val="right"/>
              <w:rPr>
                <w:rFonts w:eastAsia="Times New Roman"/>
                <w:b/>
                <w:bCs/>
                <w:noProof/>
                <w:color w:val="000000"/>
                <w:sz w:val="16"/>
                <w:szCs w:val="16"/>
                <w:lang w:eastAsia="en-IE"/>
              </w:rPr>
            </w:pPr>
            <w:r w:rsidRPr="00922145">
              <w:rPr>
                <w:rFonts w:eastAsia="Times New Roman"/>
                <w:b/>
                <w:bCs/>
                <w:noProof/>
                <w:color w:val="000000" w:themeColor="text1"/>
                <w:sz w:val="16"/>
                <w:szCs w:val="16"/>
                <w:lang w:eastAsia="en-IE"/>
              </w:rPr>
              <w:t>0</w:t>
            </w:r>
          </w:p>
        </w:tc>
        <w:tc>
          <w:tcPr>
            <w:tcW w:w="523" w:type="pct"/>
            <w:tcBorders>
              <w:top w:val="nil"/>
              <w:left w:val="nil"/>
              <w:bottom w:val="single" w:sz="8" w:space="0" w:color="auto"/>
              <w:right w:val="single" w:sz="8" w:space="0" w:color="auto"/>
            </w:tcBorders>
            <w:shd w:val="clear" w:color="000000" w:fill="D9D9D9"/>
            <w:vAlign w:val="center"/>
            <w:hideMark/>
          </w:tcPr>
          <w:p w14:paraId="27E9FED4" w14:textId="77777777" w:rsidR="00EC37C5" w:rsidRPr="00922145" w:rsidRDefault="00EC37C5">
            <w:pPr>
              <w:spacing w:before="0" w:after="0"/>
              <w:jc w:val="right"/>
              <w:rPr>
                <w:rFonts w:eastAsia="Times New Roman"/>
                <w:b/>
                <w:bCs/>
                <w:noProof/>
                <w:color w:val="000000"/>
                <w:sz w:val="16"/>
                <w:szCs w:val="16"/>
                <w:lang w:eastAsia="en-IE"/>
              </w:rPr>
            </w:pPr>
            <w:r w:rsidRPr="00922145">
              <w:rPr>
                <w:rFonts w:eastAsia="Times New Roman"/>
                <w:b/>
                <w:bCs/>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56E1D6B1" w14:textId="77777777" w:rsidR="00EC37C5" w:rsidRPr="00922145" w:rsidRDefault="00EC37C5">
            <w:pPr>
              <w:spacing w:before="0" w:after="0"/>
              <w:jc w:val="right"/>
              <w:rPr>
                <w:rFonts w:eastAsia="Times New Roman"/>
                <w:b/>
                <w:bCs/>
                <w:noProof/>
                <w:color w:val="000000"/>
                <w:sz w:val="16"/>
                <w:szCs w:val="16"/>
                <w:lang w:eastAsia="en-IE"/>
              </w:rPr>
            </w:pPr>
            <w:r w:rsidRPr="00922145">
              <w:rPr>
                <w:rFonts w:eastAsia="Times New Roman"/>
                <w:b/>
                <w:bCs/>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30F62FAD" w14:textId="77777777" w:rsidR="00EC37C5" w:rsidRPr="00922145" w:rsidRDefault="00EC37C5">
            <w:pPr>
              <w:spacing w:before="0" w:after="0"/>
              <w:jc w:val="right"/>
              <w:rPr>
                <w:rFonts w:eastAsia="Times New Roman"/>
                <w:b/>
                <w:bCs/>
                <w:noProof/>
                <w:color w:val="000000"/>
                <w:sz w:val="16"/>
                <w:szCs w:val="16"/>
                <w:lang w:eastAsia="en-IE"/>
              </w:rPr>
            </w:pPr>
            <w:r w:rsidRPr="00922145">
              <w:rPr>
                <w:rFonts w:eastAsia="Times New Roman"/>
                <w:b/>
                <w:bCs/>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6F8FBE7C" w14:textId="77777777" w:rsidR="00EC37C5" w:rsidRPr="00922145" w:rsidRDefault="00EC37C5">
            <w:pPr>
              <w:spacing w:before="0" w:after="0"/>
              <w:jc w:val="right"/>
              <w:rPr>
                <w:rFonts w:eastAsia="Times New Roman"/>
                <w:b/>
                <w:bCs/>
                <w:noProof/>
                <w:color w:val="000000"/>
                <w:sz w:val="16"/>
                <w:szCs w:val="16"/>
                <w:lang w:eastAsia="en-IE"/>
              </w:rPr>
            </w:pPr>
            <w:r w:rsidRPr="00922145">
              <w:rPr>
                <w:rFonts w:eastAsia="Times New Roman"/>
                <w:b/>
                <w:bCs/>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788B958D" w14:textId="77777777" w:rsidR="00EC37C5" w:rsidRPr="00922145" w:rsidRDefault="00EC37C5">
            <w:pPr>
              <w:spacing w:before="0" w:after="0"/>
              <w:jc w:val="right"/>
              <w:rPr>
                <w:rFonts w:eastAsia="Times New Roman"/>
                <w:b/>
                <w:bCs/>
                <w:noProof/>
                <w:color w:val="000000"/>
                <w:sz w:val="16"/>
                <w:szCs w:val="16"/>
                <w:lang w:eastAsia="en-IE"/>
              </w:rPr>
            </w:pPr>
            <w:r w:rsidRPr="00922145">
              <w:rPr>
                <w:rFonts w:eastAsia="Times New Roman"/>
                <w:b/>
                <w:bCs/>
                <w:noProof/>
                <w:color w:val="000000" w:themeColor="text1"/>
                <w:sz w:val="16"/>
                <w:szCs w:val="16"/>
                <w:lang w:eastAsia="en-IE"/>
              </w:rPr>
              <w:t>0</w:t>
            </w:r>
          </w:p>
        </w:tc>
        <w:tc>
          <w:tcPr>
            <w:tcW w:w="543" w:type="pct"/>
            <w:tcBorders>
              <w:top w:val="nil"/>
              <w:left w:val="nil"/>
              <w:bottom w:val="single" w:sz="8" w:space="0" w:color="auto"/>
              <w:right w:val="single" w:sz="8" w:space="0" w:color="auto"/>
            </w:tcBorders>
            <w:shd w:val="clear" w:color="000000" w:fill="D9D9D9"/>
            <w:vAlign w:val="center"/>
            <w:hideMark/>
          </w:tcPr>
          <w:p w14:paraId="1DF541D4" w14:textId="77777777" w:rsidR="00EC37C5" w:rsidRPr="00922145" w:rsidRDefault="00EC37C5">
            <w:pPr>
              <w:spacing w:before="0" w:after="0"/>
              <w:jc w:val="right"/>
              <w:rPr>
                <w:rFonts w:eastAsia="Times New Roman"/>
                <w:b/>
                <w:bCs/>
                <w:noProof/>
                <w:color w:val="000000"/>
                <w:sz w:val="16"/>
                <w:szCs w:val="16"/>
                <w:lang w:eastAsia="en-IE"/>
              </w:rPr>
            </w:pPr>
            <w:r w:rsidRPr="00922145">
              <w:rPr>
                <w:rFonts w:eastAsia="Times New Roman"/>
                <w:b/>
                <w:bCs/>
                <w:noProof/>
                <w:color w:val="000000" w:themeColor="text1"/>
                <w:sz w:val="16"/>
                <w:szCs w:val="16"/>
                <w:lang w:eastAsia="en-IE"/>
              </w:rPr>
              <w:t>0</w:t>
            </w:r>
          </w:p>
        </w:tc>
      </w:tr>
      <w:tr w:rsidR="00EC37C5" w:rsidRPr="00922145" w14:paraId="37979800" w14:textId="77777777">
        <w:trPr>
          <w:trHeight w:val="300"/>
        </w:trPr>
        <w:tc>
          <w:tcPr>
            <w:tcW w:w="5000" w:type="pct"/>
            <w:gridSpan w:val="9"/>
            <w:tcBorders>
              <w:top w:val="single" w:sz="8" w:space="0" w:color="auto"/>
              <w:left w:val="single" w:sz="8" w:space="0" w:color="auto"/>
              <w:bottom w:val="single" w:sz="8" w:space="0" w:color="auto"/>
              <w:right w:val="single" w:sz="8" w:space="0" w:color="000000"/>
            </w:tcBorders>
            <w:vAlign w:val="center"/>
            <w:hideMark/>
          </w:tcPr>
          <w:p w14:paraId="2B92BE34" w14:textId="77777777" w:rsidR="00EC37C5" w:rsidRPr="00922145" w:rsidRDefault="00EC37C5">
            <w:pPr>
              <w:spacing w:before="0" w:after="0"/>
              <w:jc w:val="center"/>
              <w:rPr>
                <w:rFonts w:eastAsia="Times New Roman"/>
                <w:noProof/>
                <w:color w:val="000000"/>
                <w:sz w:val="16"/>
                <w:szCs w:val="16"/>
                <w:lang w:eastAsia="en-IE"/>
              </w:rPr>
            </w:pPr>
            <w:r w:rsidRPr="00922145">
              <w:rPr>
                <w:rFonts w:eastAsia="Times New Roman"/>
                <w:noProof/>
                <w:color w:val="000000" w:themeColor="text1"/>
                <w:sz w:val="16"/>
                <w:szCs w:val="16"/>
                <w:lang w:eastAsia="en-IE"/>
              </w:rPr>
              <w:t xml:space="preserve"> </w:t>
            </w:r>
          </w:p>
        </w:tc>
      </w:tr>
      <w:tr w:rsidR="00EC37C5" w:rsidRPr="00922145" w14:paraId="64CAE700" w14:textId="77777777">
        <w:trPr>
          <w:trHeight w:val="300"/>
        </w:trPr>
        <w:tc>
          <w:tcPr>
            <w:tcW w:w="792" w:type="pct"/>
            <w:tcBorders>
              <w:top w:val="nil"/>
              <w:left w:val="single" w:sz="12" w:space="0" w:color="auto"/>
              <w:bottom w:val="single" w:sz="12" w:space="0" w:color="auto"/>
              <w:right w:val="single" w:sz="8" w:space="0" w:color="auto"/>
            </w:tcBorders>
            <w:vAlign w:val="center"/>
            <w:hideMark/>
          </w:tcPr>
          <w:p w14:paraId="4DAEF9F0" w14:textId="77777777" w:rsidR="00EC37C5" w:rsidRPr="00922145" w:rsidRDefault="00EC37C5">
            <w:pPr>
              <w:spacing w:before="0" w:after="0"/>
              <w:jc w:val="center"/>
              <w:rPr>
                <w:rFonts w:eastAsia="Times New Roman"/>
                <w:b/>
                <w:bCs/>
                <w:noProof/>
                <w:color w:val="000000"/>
                <w:sz w:val="16"/>
                <w:szCs w:val="16"/>
                <w:lang w:eastAsia="en-IE"/>
              </w:rPr>
            </w:pPr>
            <w:r w:rsidRPr="00922145">
              <w:rPr>
                <w:rFonts w:eastAsia="Times New Roman"/>
                <w:b/>
                <w:bCs/>
                <w:noProof/>
                <w:color w:val="000000" w:themeColor="text1"/>
                <w:sz w:val="16"/>
                <w:szCs w:val="16"/>
                <w:lang w:eastAsia="en-IE"/>
              </w:rPr>
              <w:t>TOTAL</w:t>
            </w:r>
          </w:p>
        </w:tc>
        <w:tc>
          <w:tcPr>
            <w:tcW w:w="524" w:type="pct"/>
            <w:tcBorders>
              <w:top w:val="nil"/>
              <w:left w:val="nil"/>
              <w:bottom w:val="single" w:sz="12" w:space="0" w:color="auto"/>
              <w:right w:val="single" w:sz="8" w:space="0" w:color="auto"/>
            </w:tcBorders>
            <w:shd w:val="clear" w:color="000000" w:fill="D9D9D9"/>
            <w:vAlign w:val="center"/>
            <w:hideMark/>
          </w:tcPr>
          <w:p w14:paraId="4CB74008" w14:textId="77777777" w:rsidR="00EC37C5" w:rsidRPr="00922145" w:rsidRDefault="00EC37C5">
            <w:pPr>
              <w:spacing w:before="0" w:after="0"/>
              <w:jc w:val="right"/>
              <w:rPr>
                <w:rFonts w:eastAsia="Times New Roman"/>
                <w:b/>
                <w:bCs/>
                <w:noProof/>
                <w:color w:val="000000"/>
                <w:sz w:val="16"/>
                <w:szCs w:val="16"/>
                <w:lang w:eastAsia="en-IE"/>
              </w:rPr>
            </w:pPr>
            <w:r w:rsidRPr="00922145">
              <w:rPr>
                <w:rFonts w:eastAsia="Times New Roman"/>
                <w:b/>
                <w:bCs/>
                <w:noProof/>
                <w:color w:val="000000" w:themeColor="text1"/>
                <w:sz w:val="16"/>
                <w:szCs w:val="16"/>
                <w:lang w:eastAsia="en-IE"/>
              </w:rPr>
              <w:t>0</w:t>
            </w:r>
          </w:p>
        </w:tc>
        <w:tc>
          <w:tcPr>
            <w:tcW w:w="524" w:type="pct"/>
            <w:tcBorders>
              <w:top w:val="nil"/>
              <w:left w:val="nil"/>
              <w:bottom w:val="single" w:sz="12" w:space="0" w:color="auto"/>
              <w:right w:val="single" w:sz="8" w:space="0" w:color="auto"/>
            </w:tcBorders>
            <w:shd w:val="clear" w:color="000000" w:fill="D9D9D9"/>
            <w:vAlign w:val="center"/>
            <w:hideMark/>
          </w:tcPr>
          <w:p w14:paraId="2D205690" w14:textId="77777777" w:rsidR="00EC37C5" w:rsidRPr="00922145" w:rsidRDefault="00EC37C5">
            <w:pPr>
              <w:spacing w:before="0" w:after="0"/>
              <w:jc w:val="right"/>
              <w:rPr>
                <w:rFonts w:eastAsia="Times New Roman"/>
                <w:b/>
                <w:bCs/>
                <w:noProof/>
                <w:color w:val="000000"/>
                <w:sz w:val="16"/>
                <w:szCs w:val="16"/>
                <w:lang w:eastAsia="en-IE"/>
              </w:rPr>
            </w:pPr>
            <w:r w:rsidRPr="00922145">
              <w:rPr>
                <w:rFonts w:eastAsia="Times New Roman"/>
                <w:b/>
                <w:bCs/>
                <w:noProof/>
                <w:color w:val="000000" w:themeColor="text1"/>
                <w:sz w:val="16"/>
                <w:szCs w:val="16"/>
                <w:lang w:eastAsia="en-IE"/>
              </w:rPr>
              <w:t>0</w:t>
            </w:r>
          </w:p>
        </w:tc>
        <w:tc>
          <w:tcPr>
            <w:tcW w:w="523" w:type="pct"/>
            <w:tcBorders>
              <w:top w:val="nil"/>
              <w:left w:val="nil"/>
              <w:bottom w:val="single" w:sz="12" w:space="0" w:color="auto"/>
              <w:right w:val="single" w:sz="8" w:space="0" w:color="auto"/>
            </w:tcBorders>
            <w:shd w:val="clear" w:color="000000" w:fill="D9D9D9"/>
            <w:vAlign w:val="center"/>
            <w:hideMark/>
          </w:tcPr>
          <w:p w14:paraId="4CA59C1E" w14:textId="77777777" w:rsidR="00EC37C5" w:rsidRPr="00922145" w:rsidRDefault="00EC37C5">
            <w:pPr>
              <w:spacing w:before="0" w:after="0"/>
              <w:jc w:val="right"/>
              <w:rPr>
                <w:rFonts w:eastAsia="Times New Roman"/>
                <w:b/>
                <w:bCs/>
                <w:noProof/>
                <w:color w:val="000000"/>
                <w:sz w:val="16"/>
                <w:szCs w:val="16"/>
                <w:lang w:eastAsia="en-IE"/>
              </w:rPr>
            </w:pPr>
            <w:r w:rsidRPr="00922145">
              <w:rPr>
                <w:rFonts w:eastAsia="Times New Roman"/>
                <w:b/>
                <w:bCs/>
                <w:noProof/>
                <w:color w:val="000000" w:themeColor="text1"/>
                <w:sz w:val="16"/>
                <w:szCs w:val="16"/>
                <w:lang w:eastAsia="en-IE"/>
              </w:rPr>
              <w:t>0</w:t>
            </w:r>
          </w:p>
        </w:tc>
        <w:tc>
          <w:tcPr>
            <w:tcW w:w="524" w:type="pct"/>
            <w:tcBorders>
              <w:top w:val="nil"/>
              <w:left w:val="nil"/>
              <w:bottom w:val="single" w:sz="12" w:space="0" w:color="auto"/>
              <w:right w:val="single" w:sz="8" w:space="0" w:color="auto"/>
            </w:tcBorders>
            <w:shd w:val="clear" w:color="000000" w:fill="D9D9D9"/>
            <w:vAlign w:val="center"/>
            <w:hideMark/>
          </w:tcPr>
          <w:p w14:paraId="08630185" w14:textId="77777777" w:rsidR="00EC37C5" w:rsidRPr="00922145" w:rsidRDefault="00EC37C5">
            <w:pPr>
              <w:spacing w:before="0" w:after="0"/>
              <w:jc w:val="right"/>
              <w:rPr>
                <w:rFonts w:eastAsia="Times New Roman"/>
                <w:b/>
                <w:bCs/>
                <w:noProof/>
                <w:color w:val="000000"/>
                <w:sz w:val="16"/>
                <w:szCs w:val="16"/>
                <w:lang w:eastAsia="en-IE"/>
              </w:rPr>
            </w:pPr>
            <w:r w:rsidRPr="00922145">
              <w:rPr>
                <w:rFonts w:eastAsia="Times New Roman"/>
                <w:b/>
                <w:bCs/>
                <w:noProof/>
                <w:color w:val="000000" w:themeColor="text1"/>
                <w:sz w:val="16"/>
                <w:szCs w:val="16"/>
                <w:lang w:eastAsia="en-IE"/>
              </w:rPr>
              <w:t>0</w:t>
            </w:r>
          </w:p>
        </w:tc>
        <w:tc>
          <w:tcPr>
            <w:tcW w:w="524" w:type="pct"/>
            <w:tcBorders>
              <w:top w:val="nil"/>
              <w:left w:val="nil"/>
              <w:bottom w:val="single" w:sz="12" w:space="0" w:color="auto"/>
              <w:right w:val="single" w:sz="8" w:space="0" w:color="auto"/>
            </w:tcBorders>
            <w:shd w:val="clear" w:color="000000" w:fill="D9D9D9"/>
            <w:vAlign w:val="center"/>
            <w:hideMark/>
          </w:tcPr>
          <w:p w14:paraId="593DFDE4" w14:textId="77777777" w:rsidR="00EC37C5" w:rsidRPr="00922145" w:rsidRDefault="00EC37C5">
            <w:pPr>
              <w:spacing w:before="0" w:after="0"/>
              <w:jc w:val="right"/>
              <w:rPr>
                <w:rFonts w:eastAsia="Times New Roman"/>
                <w:b/>
                <w:bCs/>
                <w:noProof/>
                <w:color w:val="000000"/>
                <w:sz w:val="16"/>
                <w:szCs w:val="16"/>
                <w:lang w:eastAsia="en-IE"/>
              </w:rPr>
            </w:pPr>
            <w:r w:rsidRPr="00922145">
              <w:rPr>
                <w:rFonts w:eastAsia="Times New Roman"/>
                <w:b/>
                <w:bCs/>
                <w:noProof/>
                <w:color w:val="000000" w:themeColor="text1"/>
                <w:sz w:val="16"/>
                <w:szCs w:val="16"/>
                <w:lang w:eastAsia="en-IE"/>
              </w:rPr>
              <w:t>0</w:t>
            </w:r>
          </w:p>
        </w:tc>
        <w:tc>
          <w:tcPr>
            <w:tcW w:w="524" w:type="pct"/>
            <w:tcBorders>
              <w:top w:val="nil"/>
              <w:left w:val="nil"/>
              <w:bottom w:val="single" w:sz="12" w:space="0" w:color="auto"/>
              <w:right w:val="single" w:sz="8" w:space="0" w:color="auto"/>
            </w:tcBorders>
            <w:shd w:val="clear" w:color="000000" w:fill="D9D9D9"/>
            <w:vAlign w:val="center"/>
            <w:hideMark/>
          </w:tcPr>
          <w:p w14:paraId="3A4204F8" w14:textId="77777777" w:rsidR="00EC37C5" w:rsidRPr="00922145" w:rsidRDefault="00EC37C5">
            <w:pPr>
              <w:spacing w:before="0" w:after="0"/>
              <w:jc w:val="right"/>
              <w:rPr>
                <w:rFonts w:eastAsia="Times New Roman"/>
                <w:b/>
                <w:bCs/>
                <w:noProof/>
                <w:color w:val="000000"/>
                <w:sz w:val="16"/>
                <w:szCs w:val="16"/>
                <w:lang w:eastAsia="en-IE"/>
              </w:rPr>
            </w:pPr>
            <w:r w:rsidRPr="00922145">
              <w:rPr>
                <w:rFonts w:eastAsia="Times New Roman"/>
                <w:b/>
                <w:bCs/>
                <w:noProof/>
                <w:color w:val="000000" w:themeColor="text1"/>
                <w:sz w:val="16"/>
                <w:szCs w:val="16"/>
                <w:lang w:eastAsia="en-IE"/>
              </w:rPr>
              <w:t>0</w:t>
            </w:r>
          </w:p>
        </w:tc>
        <w:tc>
          <w:tcPr>
            <w:tcW w:w="524" w:type="pct"/>
            <w:tcBorders>
              <w:top w:val="nil"/>
              <w:left w:val="nil"/>
              <w:bottom w:val="single" w:sz="12" w:space="0" w:color="auto"/>
              <w:right w:val="single" w:sz="8" w:space="0" w:color="auto"/>
            </w:tcBorders>
            <w:shd w:val="clear" w:color="000000" w:fill="D9D9D9"/>
            <w:vAlign w:val="center"/>
            <w:hideMark/>
          </w:tcPr>
          <w:p w14:paraId="11C58293" w14:textId="77777777" w:rsidR="00EC37C5" w:rsidRPr="00922145" w:rsidRDefault="00EC37C5">
            <w:pPr>
              <w:spacing w:before="0" w:after="0"/>
              <w:jc w:val="right"/>
              <w:rPr>
                <w:rFonts w:eastAsia="Times New Roman"/>
                <w:b/>
                <w:bCs/>
                <w:noProof/>
                <w:color w:val="000000"/>
                <w:sz w:val="16"/>
                <w:szCs w:val="16"/>
                <w:lang w:eastAsia="en-IE"/>
              </w:rPr>
            </w:pPr>
            <w:r w:rsidRPr="00922145">
              <w:rPr>
                <w:rFonts w:eastAsia="Times New Roman"/>
                <w:b/>
                <w:bCs/>
                <w:noProof/>
                <w:color w:val="000000" w:themeColor="text1"/>
                <w:sz w:val="16"/>
                <w:szCs w:val="16"/>
                <w:lang w:eastAsia="en-IE"/>
              </w:rPr>
              <w:t>0</w:t>
            </w:r>
          </w:p>
        </w:tc>
        <w:tc>
          <w:tcPr>
            <w:tcW w:w="543" w:type="pct"/>
            <w:tcBorders>
              <w:top w:val="nil"/>
              <w:left w:val="nil"/>
              <w:bottom w:val="single" w:sz="12" w:space="0" w:color="auto"/>
              <w:right w:val="single" w:sz="8" w:space="0" w:color="auto"/>
            </w:tcBorders>
            <w:shd w:val="clear" w:color="000000" w:fill="D9D9D9"/>
            <w:vAlign w:val="center"/>
            <w:hideMark/>
          </w:tcPr>
          <w:p w14:paraId="612F0B21" w14:textId="77777777" w:rsidR="00EC37C5" w:rsidRPr="00922145" w:rsidRDefault="00EC37C5">
            <w:pPr>
              <w:spacing w:before="0" w:after="0"/>
              <w:jc w:val="right"/>
              <w:rPr>
                <w:rFonts w:eastAsia="Times New Roman"/>
                <w:b/>
                <w:bCs/>
                <w:noProof/>
                <w:color w:val="000000"/>
                <w:sz w:val="16"/>
                <w:szCs w:val="16"/>
                <w:lang w:eastAsia="en-IE"/>
              </w:rPr>
            </w:pPr>
            <w:r w:rsidRPr="00922145">
              <w:rPr>
                <w:rFonts w:eastAsia="Times New Roman"/>
                <w:b/>
                <w:bCs/>
                <w:noProof/>
                <w:color w:val="000000" w:themeColor="text1"/>
                <w:sz w:val="16"/>
                <w:szCs w:val="16"/>
                <w:lang w:eastAsia="en-IE"/>
              </w:rPr>
              <w:t>0</w:t>
            </w:r>
          </w:p>
        </w:tc>
      </w:tr>
    </w:tbl>
    <w:p w14:paraId="570CC80F" w14:textId="77777777" w:rsidR="00EC37C5" w:rsidRPr="00922145" w:rsidRDefault="00EC37C5" w:rsidP="00EC37C5">
      <w:pPr>
        <w:pStyle w:val="Text1"/>
        <w:spacing w:line="259" w:lineRule="auto"/>
        <w:rPr>
          <w:noProof/>
        </w:rPr>
      </w:pPr>
    </w:p>
    <w:p w14:paraId="2063D838" w14:textId="77777777" w:rsidR="00EC37C5" w:rsidRDefault="00EC37C5" w:rsidP="00EC37C5">
      <w:pPr>
        <w:pStyle w:val="ManualHeading3"/>
        <w:rPr>
          <w:noProof/>
        </w:rPr>
      </w:pPr>
      <w:bookmarkStart w:id="176" w:name="_Toc514938056"/>
      <w:bookmarkStart w:id="177" w:name="_Toc520485055"/>
      <w:bookmarkStart w:id="178" w:name="_Toc160804599"/>
      <w:bookmarkStart w:id="179" w:name="_Toc167220298"/>
      <w:bookmarkStart w:id="180" w:name="_Toc177549032"/>
      <w:bookmarkEnd w:id="175"/>
      <w:r w:rsidRPr="0021790A">
        <w:rPr>
          <w:noProof/>
        </w:rPr>
        <w:t>3.2.</w:t>
      </w:r>
      <w:r>
        <w:rPr>
          <w:noProof/>
        </w:rPr>
        <w:t>6</w:t>
      </w:r>
      <w:r w:rsidRPr="0021790A">
        <w:rPr>
          <w:noProof/>
        </w:rPr>
        <w:t>.</w:t>
      </w:r>
      <w:r w:rsidRPr="0021790A">
        <w:rPr>
          <w:noProof/>
        </w:rPr>
        <w:tab/>
      </w:r>
      <w:r>
        <w:rPr>
          <w:noProof/>
        </w:rPr>
        <w:t>Compatibility with the current multiannual financial framework</w:t>
      </w:r>
      <w:bookmarkEnd w:id="176"/>
      <w:bookmarkEnd w:id="177"/>
      <w:bookmarkEnd w:id="178"/>
      <w:bookmarkEnd w:id="179"/>
      <w:bookmarkEnd w:id="180"/>
      <w:r>
        <w:rPr>
          <w:noProof/>
        </w:rPr>
        <w:t xml:space="preserve"> </w:t>
      </w:r>
    </w:p>
    <w:p w14:paraId="316A9DFB" w14:textId="77777777" w:rsidR="00EC37C5" w:rsidRDefault="00EC37C5" w:rsidP="00EC37C5">
      <w:pPr>
        <w:pStyle w:val="Text1"/>
        <w:rPr>
          <w:noProof/>
        </w:rPr>
      </w:pPr>
      <w:r w:rsidRPr="00386FF5">
        <w:rPr>
          <w:noProof/>
        </w:rPr>
        <w:t>The proposal/initiative</w:t>
      </w:r>
      <w:r w:rsidRPr="007974DD">
        <w:rPr>
          <w:noProof/>
        </w:rPr>
        <w:t>:</w:t>
      </w:r>
    </w:p>
    <w:p w14:paraId="623B8484" w14:textId="77777777" w:rsidR="00EC37C5" w:rsidRDefault="00EC37C5" w:rsidP="00EC37C5">
      <w:pPr>
        <w:pStyle w:val="ListDash1"/>
        <w:rPr>
          <w:noProof/>
        </w:rPr>
      </w:pPr>
      <w:r w:rsidRPr="00922145">
        <w:rPr>
          <w:rFonts w:ascii="Wingdings" w:eastAsia="Wingdings" w:hAnsi="Wingdings" w:cs="Wingdings"/>
          <w:noProof/>
        </w:rPr>
        <w:t></w:t>
      </w:r>
      <w:r>
        <w:rPr>
          <w:noProof/>
        </w:rPr>
        <w:tab/>
      </w:r>
      <w:r w:rsidRPr="007B1B0C">
        <w:rPr>
          <w:noProof/>
        </w:rPr>
        <w:t>can be fully financed through redeployment within the relevant</w:t>
      </w:r>
      <w:r>
        <w:rPr>
          <w:noProof/>
        </w:rPr>
        <w:t xml:space="preserve"> heading of the multiannual financial framework (MFF)</w:t>
      </w:r>
    </w:p>
    <w:p w14:paraId="2057B018" w14:textId="77777777" w:rsidR="00EC37C5" w:rsidRDefault="00EC37C5" w:rsidP="00EC37C5">
      <w:pPr>
        <w:pStyle w:val="Text1"/>
        <w:pBdr>
          <w:top w:val="single" w:sz="4" w:space="1" w:color="auto"/>
          <w:left w:val="single" w:sz="4" w:space="4" w:color="auto"/>
          <w:bottom w:val="single" w:sz="4" w:space="1" w:color="auto"/>
          <w:right w:val="single" w:sz="4" w:space="4" w:color="auto"/>
        </w:pBdr>
        <w:rPr>
          <w:i/>
          <w:iCs/>
          <w:noProof/>
        </w:rPr>
      </w:pPr>
      <w:r w:rsidRPr="5D89B29D">
        <w:rPr>
          <w:i/>
          <w:iCs/>
          <w:noProof/>
        </w:rPr>
        <w:t>Without prejudice to the negotiations on the next MFF, the appropriations allocated to the agency from 2028 onwards will be compensated via redeployments from programmes under the 2028-2034 MFF. If a compensatory reduction is needed, the resources allocated to the agency and their funding streams and sources may need to be revised.</w:t>
      </w:r>
    </w:p>
    <w:p w14:paraId="5F0B5106" w14:textId="77777777" w:rsidR="00EC37C5" w:rsidRDefault="00EC37C5" w:rsidP="00EC37C5">
      <w:pPr>
        <w:pStyle w:val="ListDash1"/>
        <w:rPr>
          <w:noProof/>
        </w:rPr>
      </w:pPr>
      <w:r>
        <w:rPr>
          <w:rFonts w:ascii="Wingdings" w:eastAsia="Wingdings" w:hAnsi="Wingdings" w:cs="Wingdings"/>
          <w:noProof/>
        </w:rPr>
        <w:t></w:t>
      </w:r>
      <w:r>
        <w:rPr>
          <w:noProof/>
        </w:rPr>
        <w:tab/>
      </w:r>
      <w:r w:rsidRPr="007B1B0C">
        <w:rPr>
          <w:noProof/>
        </w:rPr>
        <w:t>requires use of the unallocated margin under the relevant heading of the MFF and/or use of the special instruments as defined in the MFF Regulation</w:t>
      </w:r>
    </w:p>
    <w:p w14:paraId="503037E2" w14:textId="77777777" w:rsidR="00EC37C5" w:rsidRPr="009C39E5" w:rsidRDefault="00EC37C5" w:rsidP="00EC37C5">
      <w:pPr>
        <w:pStyle w:val="ListDash1"/>
        <w:rPr>
          <w:noProof/>
        </w:rPr>
      </w:pPr>
      <w:r w:rsidRPr="009C39E5">
        <w:rPr>
          <w:rFonts w:ascii="Wingdings" w:eastAsia="Wingdings" w:hAnsi="Wingdings" w:cs="Wingdings"/>
          <w:noProof/>
        </w:rPr>
        <w:t></w:t>
      </w:r>
      <w:r w:rsidRPr="009C39E5">
        <w:rPr>
          <w:noProof/>
        </w:rPr>
        <w:tab/>
        <w:t>requires a revision of the MFF</w:t>
      </w:r>
    </w:p>
    <w:p w14:paraId="64DCB7BC" w14:textId="77777777" w:rsidR="00EC37C5" w:rsidRDefault="00EC37C5" w:rsidP="00EC37C5">
      <w:pPr>
        <w:pStyle w:val="ManualHeading3"/>
        <w:rPr>
          <w:noProof/>
        </w:rPr>
      </w:pPr>
      <w:bookmarkStart w:id="181" w:name="_Toc514938058"/>
      <w:bookmarkStart w:id="182" w:name="_Toc520485056"/>
      <w:bookmarkStart w:id="183" w:name="_Toc160804600"/>
      <w:bookmarkStart w:id="184" w:name="_Toc167220299"/>
      <w:bookmarkStart w:id="185" w:name="_Toc177549033"/>
      <w:r w:rsidRPr="0021790A">
        <w:rPr>
          <w:noProof/>
        </w:rPr>
        <w:t>3.2.</w:t>
      </w:r>
      <w:r>
        <w:rPr>
          <w:noProof/>
        </w:rPr>
        <w:t>7</w:t>
      </w:r>
      <w:r w:rsidRPr="0021790A">
        <w:rPr>
          <w:noProof/>
        </w:rPr>
        <w:t>.</w:t>
      </w:r>
      <w:r w:rsidRPr="0021790A">
        <w:rPr>
          <w:noProof/>
        </w:rPr>
        <w:tab/>
      </w:r>
      <w:r>
        <w:rPr>
          <w:noProof/>
        </w:rPr>
        <w:t>Third-party contributions</w:t>
      </w:r>
      <w:bookmarkEnd w:id="181"/>
      <w:bookmarkEnd w:id="182"/>
      <w:bookmarkEnd w:id="183"/>
      <w:bookmarkEnd w:id="184"/>
      <w:bookmarkEnd w:id="185"/>
      <w:r>
        <w:rPr>
          <w:noProof/>
        </w:rPr>
        <w:t xml:space="preserve"> </w:t>
      </w:r>
    </w:p>
    <w:p w14:paraId="028190F3" w14:textId="77777777" w:rsidR="00EC37C5" w:rsidRPr="00386FF5" w:rsidRDefault="00EC37C5" w:rsidP="00EC37C5">
      <w:pPr>
        <w:pStyle w:val="Text1"/>
        <w:rPr>
          <w:noProof/>
        </w:rPr>
      </w:pPr>
      <w:r w:rsidRPr="007974DD">
        <w:rPr>
          <w:noProof/>
        </w:rPr>
        <w:t>The proposal/initiative:</w:t>
      </w:r>
    </w:p>
    <w:p w14:paraId="3FA27219" w14:textId="77777777" w:rsidR="00EC37C5" w:rsidRDefault="00EC37C5" w:rsidP="00EC37C5">
      <w:pPr>
        <w:pStyle w:val="ListDash1"/>
        <w:rPr>
          <w:noProof/>
        </w:rPr>
      </w:pPr>
      <w:r w:rsidRPr="00922145">
        <w:rPr>
          <w:rFonts w:ascii="Wingdings" w:eastAsia="Wingdings" w:hAnsi="Wingdings" w:cs="Wingdings"/>
          <w:noProof/>
        </w:rPr>
        <w:t></w:t>
      </w:r>
      <w:r w:rsidRPr="00922145">
        <w:rPr>
          <w:noProof/>
        </w:rPr>
        <w:tab/>
      </w:r>
      <w:r>
        <w:rPr>
          <w:noProof/>
        </w:rPr>
        <w:t>does not provide for co-financing by third parties</w:t>
      </w:r>
    </w:p>
    <w:p w14:paraId="56000F49" w14:textId="77777777" w:rsidR="00EC37C5" w:rsidRDefault="00EC37C5" w:rsidP="00EC37C5">
      <w:pPr>
        <w:pStyle w:val="ListDash1"/>
        <w:rPr>
          <w:noProof/>
        </w:rPr>
      </w:pPr>
      <w:r>
        <w:rPr>
          <w:rFonts w:ascii="Wingdings" w:eastAsia="Wingdings" w:hAnsi="Wingdings" w:cs="Wingdings"/>
          <w:noProof/>
        </w:rPr>
        <w:t></w:t>
      </w:r>
      <w:r>
        <w:rPr>
          <w:noProof/>
        </w:rPr>
        <w:tab/>
        <w:t>provides for the co-financing by third parties estimated below:</w:t>
      </w:r>
    </w:p>
    <w:p w14:paraId="5B574B12" w14:textId="77777777" w:rsidR="00EC37C5" w:rsidRPr="003A769F" w:rsidRDefault="00EC37C5" w:rsidP="00EC37C5">
      <w:pPr>
        <w:jc w:val="right"/>
        <w:rPr>
          <w:noProof/>
          <w:sz w:val="20"/>
          <w:lang w:val="en-IE"/>
        </w:rPr>
      </w:pPr>
      <w:r w:rsidRPr="003A769F">
        <w:rPr>
          <w:noProof/>
          <w:sz w:val="20"/>
          <w:lang w:val="en-IE"/>
        </w:rPr>
        <w:t>Appropriations in EUR million (to three decimal places)</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958"/>
        <w:gridCol w:w="1216"/>
        <w:gridCol w:w="1217"/>
        <w:gridCol w:w="1217"/>
        <w:gridCol w:w="1217"/>
        <w:gridCol w:w="1462"/>
      </w:tblGrid>
      <w:tr w:rsidR="00EC37C5" w14:paraId="563C4DE2" w14:textId="77777777">
        <w:trPr>
          <w:cantSplit/>
        </w:trPr>
        <w:tc>
          <w:tcPr>
            <w:tcW w:w="1593" w:type="pct"/>
          </w:tcPr>
          <w:p w14:paraId="3EE7CC6D" w14:textId="77777777" w:rsidR="00EC37C5" w:rsidRPr="003A769F" w:rsidRDefault="00EC37C5">
            <w:pPr>
              <w:spacing w:before="60" w:after="60"/>
              <w:rPr>
                <w:noProof/>
                <w:sz w:val="20"/>
                <w:lang w:val="en-IE"/>
              </w:rPr>
            </w:pPr>
          </w:p>
        </w:tc>
        <w:tc>
          <w:tcPr>
            <w:tcW w:w="655" w:type="pct"/>
            <w:vAlign w:val="center"/>
          </w:tcPr>
          <w:p w14:paraId="5D9A5819" w14:textId="77777777" w:rsidR="00EC37C5" w:rsidRDefault="00EC37C5">
            <w:pPr>
              <w:jc w:val="center"/>
              <w:rPr>
                <w:noProof/>
                <w:sz w:val="20"/>
              </w:rPr>
            </w:pPr>
            <w:r>
              <w:rPr>
                <w:noProof/>
                <w:sz w:val="20"/>
              </w:rPr>
              <w:t xml:space="preserve">Year </w:t>
            </w:r>
            <w:r>
              <w:rPr>
                <w:noProof/>
                <w:sz w:val="22"/>
              </w:rPr>
              <w:br/>
            </w:r>
            <w:r>
              <w:rPr>
                <w:b/>
                <w:noProof/>
                <w:sz w:val="20"/>
              </w:rPr>
              <w:t>2028</w:t>
            </w:r>
          </w:p>
        </w:tc>
        <w:tc>
          <w:tcPr>
            <w:tcW w:w="655" w:type="pct"/>
            <w:vAlign w:val="center"/>
          </w:tcPr>
          <w:p w14:paraId="0532A382" w14:textId="77777777" w:rsidR="00EC37C5" w:rsidRDefault="00EC37C5">
            <w:pPr>
              <w:jc w:val="center"/>
              <w:rPr>
                <w:noProof/>
                <w:sz w:val="20"/>
              </w:rPr>
            </w:pPr>
            <w:r>
              <w:rPr>
                <w:noProof/>
                <w:sz w:val="20"/>
              </w:rPr>
              <w:t xml:space="preserve">Year </w:t>
            </w:r>
            <w:r>
              <w:rPr>
                <w:noProof/>
                <w:sz w:val="22"/>
              </w:rPr>
              <w:br/>
            </w:r>
            <w:r>
              <w:rPr>
                <w:b/>
                <w:noProof/>
                <w:sz w:val="20"/>
              </w:rPr>
              <w:t>2029</w:t>
            </w:r>
          </w:p>
        </w:tc>
        <w:tc>
          <w:tcPr>
            <w:tcW w:w="655" w:type="pct"/>
            <w:vAlign w:val="center"/>
          </w:tcPr>
          <w:p w14:paraId="02B75F56" w14:textId="77777777" w:rsidR="00EC37C5" w:rsidRDefault="00EC37C5">
            <w:pPr>
              <w:jc w:val="center"/>
              <w:rPr>
                <w:noProof/>
                <w:sz w:val="20"/>
              </w:rPr>
            </w:pPr>
            <w:r>
              <w:rPr>
                <w:noProof/>
                <w:sz w:val="20"/>
              </w:rPr>
              <w:t xml:space="preserve">Year </w:t>
            </w:r>
            <w:r>
              <w:rPr>
                <w:noProof/>
                <w:sz w:val="22"/>
              </w:rPr>
              <w:br/>
            </w:r>
            <w:r>
              <w:rPr>
                <w:b/>
                <w:noProof/>
                <w:sz w:val="20"/>
              </w:rPr>
              <w:t>2030</w:t>
            </w:r>
          </w:p>
        </w:tc>
        <w:tc>
          <w:tcPr>
            <w:tcW w:w="655" w:type="pct"/>
            <w:vAlign w:val="center"/>
          </w:tcPr>
          <w:p w14:paraId="4FD1270E" w14:textId="77777777" w:rsidR="00EC37C5" w:rsidRDefault="00EC37C5">
            <w:pPr>
              <w:jc w:val="center"/>
              <w:rPr>
                <w:noProof/>
                <w:sz w:val="20"/>
              </w:rPr>
            </w:pPr>
            <w:r>
              <w:rPr>
                <w:noProof/>
                <w:sz w:val="20"/>
              </w:rPr>
              <w:t xml:space="preserve">Year </w:t>
            </w:r>
            <w:r>
              <w:rPr>
                <w:noProof/>
                <w:sz w:val="22"/>
              </w:rPr>
              <w:br/>
            </w:r>
            <w:r>
              <w:rPr>
                <w:b/>
                <w:noProof/>
                <w:sz w:val="20"/>
              </w:rPr>
              <w:t>2031</w:t>
            </w:r>
          </w:p>
        </w:tc>
        <w:tc>
          <w:tcPr>
            <w:tcW w:w="787" w:type="pct"/>
            <w:vAlign w:val="center"/>
          </w:tcPr>
          <w:p w14:paraId="25D42280" w14:textId="77777777" w:rsidR="00EC37C5" w:rsidRDefault="00EC37C5">
            <w:pPr>
              <w:spacing w:before="60" w:after="60"/>
              <w:jc w:val="center"/>
              <w:rPr>
                <w:noProof/>
                <w:sz w:val="20"/>
              </w:rPr>
            </w:pPr>
            <w:r>
              <w:rPr>
                <w:noProof/>
                <w:sz w:val="20"/>
              </w:rPr>
              <w:t>Total</w:t>
            </w:r>
          </w:p>
        </w:tc>
      </w:tr>
      <w:tr w:rsidR="00EC37C5" w:rsidRPr="003A769F" w14:paraId="1E05AF8A" w14:textId="77777777">
        <w:trPr>
          <w:cantSplit/>
        </w:trPr>
        <w:tc>
          <w:tcPr>
            <w:tcW w:w="1593" w:type="pct"/>
          </w:tcPr>
          <w:p w14:paraId="6284B895" w14:textId="77777777" w:rsidR="00EC37C5" w:rsidRPr="003A769F" w:rsidRDefault="00EC37C5">
            <w:pPr>
              <w:rPr>
                <w:noProof/>
                <w:lang w:val="en-IE"/>
              </w:rPr>
            </w:pPr>
            <w:r w:rsidRPr="003A769F">
              <w:rPr>
                <w:noProof/>
                <w:sz w:val="20"/>
                <w:lang w:val="en-IE"/>
              </w:rPr>
              <w:t>Specify the co-financing body</w:t>
            </w:r>
            <w:r w:rsidRPr="003A769F">
              <w:rPr>
                <w:i/>
                <w:noProof/>
                <w:sz w:val="20"/>
                <w:lang w:val="en-IE"/>
              </w:rPr>
              <w:t xml:space="preserve"> </w:t>
            </w:r>
          </w:p>
        </w:tc>
        <w:tc>
          <w:tcPr>
            <w:tcW w:w="655" w:type="pct"/>
            <w:vAlign w:val="center"/>
          </w:tcPr>
          <w:p w14:paraId="18AA1209" w14:textId="77777777" w:rsidR="00EC37C5" w:rsidRPr="003A769F" w:rsidRDefault="00EC37C5">
            <w:pPr>
              <w:spacing w:before="60" w:after="60"/>
              <w:jc w:val="center"/>
              <w:rPr>
                <w:noProof/>
                <w:sz w:val="20"/>
                <w:lang w:val="en-IE"/>
              </w:rPr>
            </w:pPr>
          </w:p>
        </w:tc>
        <w:tc>
          <w:tcPr>
            <w:tcW w:w="655" w:type="pct"/>
            <w:vAlign w:val="center"/>
          </w:tcPr>
          <w:p w14:paraId="4F8297F2" w14:textId="77777777" w:rsidR="00EC37C5" w:rsidRPr="003A769F" w:rsidRDefault="00EC37C5">
            <w:pPr>
              <w:spacing w:before="60" w:after="60"/>
              <w:jc w:val="center"/>
              <w:rPr>
                <w:noProof/>
                <w:sz w:val="20"/>
                <w:lang w:val="en-IE"/>
              </w:rPr>
            </w:pPr>
          </w:p>
        </w:tc>
        <w:tc>
          <w:tcPr>
            <w:tcW w:w="655" w:type="pct"/>
            <w:vAlign w:val="center"/>
          </w:tcPr>
          <w:p w14:paraId="600BECFD" w14:textId="77777777" w:rsidR="00EC37C5" w:rsidRPr="003A769F" w:rsidRDefault="00EC37C5">
            <w:pPr>
              <w:spacing w:before="60" w:after="60"/>
              <w:jc w:val="center"/>
              <w:rPr>
                <w:noProof/>
                <w:sz w:val="20"/>
                <w:lang w:val="en-IE"/>
              </w:rPr>
            </w:pPr>
          </w:p>
        </w:tc>
        <w:tc>
          <w:tcPr>
            <w:tcW w:w="655" w:type="pct"/>
            <w:vAlign w:val="center"/>
          </w:tcPr>
          <w:p w14:paraId="448F8A17" w14:textId="77777777" w:rsidR="00EC37C5" w:rsidRPr="003A769F" w:rsidRDefault="00EC37C5">
            <w:pPr>
              <w:spacing w:before="60" w:after="60"/>
              <w:jc w:val="center"/>
              <w:rPr>
                <w:noProof/>
                <w:sz w:val="20"/>
                <w:lang w:val="en-IE"/>
              </w:rPr>
            </w:pPr>
          </w:p>
        </w:tc>
        <w:tc>
          <w:tcPr>
            <w:tcW w:w="787" w:type="pct"/>
            <w:vAlign w:val="center"/>
          </w:tcPr>
          <w:p w14:paraId="51B16893" w14:textId="77777777" w:rsidR="00EC37C5" w:rsidRPr="003A769F" w:rsidRDefault="00EC37C5">
            <w:pPr>
              <w:spacing w:before="60" w:after="60"/>
              <w:jc w:val="center"/>
              <w:rPr>
                <w:noProof/>
                <w:sz w:val="20"/>
                <w:lang w:val="en-IE"/>
              </w:rPr>
            </w:pPr>
          </w:p>
        </w:tc>
      </w:tr>
      <w:tr w:rsidR="00EC37C5" w14:paraId="3DC5EF08" w14:textId="77777777">
        <w:trPr>
          <w:cantSplit/>
        </w:trPr>
        <w:tc>
          <w:tcPr>
            <w:tcW w:w="1593" w:type="pct"/>
          </w:tcPr>
          <w:p w14:paraId="5B2BF655" w14:textId="77777777" w:rsidR="00EC37C5" w:rsidRDefault="00EC37C5">
            <w:pPr>
              <w:spacing w:before="60" w:after="60"/>
              <w:jc w:val="left"/>
              <w:rPr>
                <w:noProof/>
                <w:sz w:val="20"/>
              </w:rPr>
            </w:pPr>
            <w:r>
              <w:rPr>
                <w:noProof/>
                <w:sz w:val="20"/>
              </w:rPr>
              <w:t xml:space="preserve">TOTAL appropriations co-financed </w:t>
            </w:r>
          </w:p>
        </w:tc>
        <w:tc>
          <w:tcPr>
            <w:tcW w:w="655" w:type="pct"/>
            <w:vAlign w:val="center"/>
          </w:tcPr>
          <w:p w14:paraId="4095F35F" w14:textId="77777777" w:rsidR="00EC37C5" w:rsidRDefault="00EC37C5">
            <w:pPr>
              <w:spacing w:before="60" w:after="60"/>
              <w:jc w:val="center"/>
              <w:rPr>
                <w:noProof/>
                <w:sz w:val="20"/>
              </w:rPr>
            </w:pPr>
          </w:p>
        </w:tc>
        <w:tc>
          <w:tcPr>
            <w:tcW w:w="655" w:type="pct"/>
            <w:vAlign w:val="center"/>
          </w:tcPr>
          <w:p w14:paraId="53A64AD8" w14:textId="77777777" w:rsidR="00EC37C5" w:rsidRDefault="00EC37C5">
            <w:pPr>
              <w:spacing w:before="60" w:after="60"/>
              <w:jc w:val="center"/>
              <w:rPr>
                <w:noProof/>
                <w:sz w:val="20"/>
              </w:rPr>
            </w:pPr>
          </w:p>
        </w:tc>
        <w:tc>
          <w:tcPr>
            <w:tcW w:w="655" w:type="pct"/>
            <w:vAlign w:val="center"/>
          </w:tcPr>
          <w:p w14:paraId="2D921750" w14:textId="77777777" w:rsidR="00EC37C5" w:rsidRDefault="00EC37C5">
            <w:pPr>
              <w:spacing w:before="60" w:after="60"/>
              <w:jc w:val="center"/>
              <w:rPr>
                <w:noProof/>
                <w:sz w:val="20"/>
              </w:rPr>
            </w:pPr>
          </w:p>
        </w:tc>
        <w:tc>
          <w:tcPr>
            <w:tcW w:w="655" w:type="pct"/>
            <w:vAlign w:val="center"/>
          </w:tcPr>
          <w:p w14:paraId="58951F8B" w14:textId="77777777" w:rsidR="00EC37C5" w:rsidRDefault="00EC37C5">
            <w:pPr>
              <w:spacing w:before="60" w:after="60"/>
              <w:jc w:val="center"/>
              <w:rPr>
                <w:noProof/>
                <w:sz w:val="20"/>
              </w:rPr>
            </w:pPr>
          </w:p>
        </w:tc>
        <w:tc>
          <w:tcPr>
            <w:tcW w:w="787" w:type="pct"/>
            <w:vAlign w:val="center"/>
          </w:tcPr>
          <w:p w14:paraId="6BE7FC46" w14:textId="77777777" w:rsidR="00EC37C5" w:rsidRDefault="00EC37C5">
            <w:pPr>
              <w:spacing w:before="60" w:after="60"/>
              <w:jc w:val="center"/>
              <w:rPr>
                <w:noProof/>
                <w:sz w:val="20"/>
              </w:rPr>
            </w:pPr>
          </w:p>
        </w:tc>
      </w:tr>
    </w:tbl>
    <w:p w14:paraId="79A7DFE1" w14:textId="77777777" w:rsidR="00EC37C5" w:rsidRPr="003E69FB" w:rsidRDefault="00EC37C5" w:rsidP="00EC37C5">
      <w:pPr>
        <w:pStyle w:val="ManualHeading3"/>
        <w:rPr>
          <w:noProof/>
        </w:rPr>
      </w:pPr>
      <w:r>
        <w:rPr>
          <w:noProof/>
        </w:rPr>
        <w:t>3.2.8</w:t>
      </w:r>
      <w:r>
        <w:rPr>
          <w:noProof/>
        </w:rPr>
        <w:tab/>
      </w:r>
      <w:r w:rsidRPr="00922145">
        <w:rPr>
          <w:noProof/>
        </w:rPr>
        <w:t>Estimated human resources and the use of appropriations required in a decentralised agency</w:t>
      </w:r>
    </w:p>
    <w:p w14:paraId="3844C3EF" w14:textId="77777777" w:rsidR="00EC37C5" w:rsidRPr="00922145" w:rsidRDefault="00EC37C5" w:rsidP="00EC37C5">
      <w:pPr>
        <w:ind w:left="-142"/>
        <w:jc w:val="left"/>
        <w:rPr>
          <w:noProof/>
          <w:sz w:val="22"/>
          <w:u w:val="single"/>
        </w:rPr>
      </w:pPr>
      <w:r w:rsidRPr="00922145">
        <w:rPr>
          <w:noProof/>
          <w:sz w:val="22"/>
          <w:u w:val="single"/>
        </w:rPr>
        <w:t xml:space="preserve">Additional </w:t>
      </w:r>
      <w:r w:rsidRPr="4E965DD0">
        <w:rPr>
          <w:noProof/>
          <w:sz w:val="22"/>
          <w:u w:val="single"/>
        </w:rPr>
        <w:t>staff</w:t>
      </w:r>
      <w:r w:rsidRPr="00922145">
        <w:rPr>
          <w:noProof/>
          <w:sz w:val="22"/>
          <w:u w:val="single"/>
        </w:rPr>
        <w:t xml:space="preserve"> requirements (full-time equivalent units)</w:t>
      </w:r>
    </w:p>
    <w:tbl>
      <w:tblPr>
        <w:tblW w:w="951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2541"/>
        <w:gridCol w:w="996"/>
        <w:gridCol w:w="996"/>
        <w:gridCol w:w="996"/>
        <w:gridCol w:w="996"/>
        <w:gridCol w:w="996"/>
        <w:gridCol w:w="996"/>
        <w:gridCol w:w="996"/>
      </w:tblGrid>
      <w:tr w:rsidR="00EC37C5" w:rsidRPr="00922145" w14:paraId="442C7333" w14:textId="77777777">
        <w:trPr>
          <w:trHeight w:val="521"/>
          <w:jc w:val="center"/>
        </w:trPr>
        <w:tc>
          <w:tcPr>
            <w:tcW w:w="2541" w:type="dxa"/>
            <w:vAlign w:val="center"/>
          </w:tcPr>
          <w:p w14:paraId="411D71C7" w14:textId="77777777" w:rsidR="00EC37C5" w:rsidRPr="00922145" w:rsidRDefault="00EC37C5">
            <w:pPr>
              <w:spacing w:before="60" w:after="60"/>
              <w:jc w:val="center"/>
              <w:rPr>
                <w:b/>
                <w:bCs/>
                <w:noProof/>
                <w:sz w:val="20"/>
                <w:szCs w:val="20"/>
              </w:rPr>
            </w:pPr>
            <w:r w:rsidRPr="00922145">
              <w:rPr>
                <w:b/>
                <w:bCs/>
                <w:noProof/>
                <w:color w:val="444444"/>
                <w:sz w:val="20"/>
                <w:szCs w:val="20"/>
                <w:shd w:val="clear" w:color="auto" w:fill="FFFFFF"/>
              </w:rPr>
              <w:t>Agency: ENISA</w:t>
            </w:r>
          </w:p>
        </w:tc>
        <w:tc>
          <w:tcPr>
            <w:tcW w:w="996" w:type="dxa"/>
            <w:vAlign w:val="center"/>
          </w:tcPr>
          <w:p w14:paraId="21A2C3D9" w14:textId="77777777" w:rsidR="00EC37C5" w:rsidRPr="00922145" w:rsidRDefault="00EC37C5">
            <w:pPr>
              <w:spacing w:before="60" w:after="60"/>
              <w:jc w:val="center"/>
              <w:rPr>
                <w:noProof/>
                <w:sz w:val="20"/>
                <w:szCs w:val="20"/>
              </w:rPr>
            </w:pPr>
            <w:r w:rsidRPr="00922145">
              <w:rPr>
                <w:noProof/>
                <w:sz w:val="20"/>
                <w:szCs w:val="20"/>
              </w:rPr>
              <w:t>Year</w:t>
            </w:r>
            <w:r w:rsidRPr="00922145">
              <w:rPr>
                <w:b/>
                <w:bCs/>
                <w:noProof/>
                <w:sz w:val="20"/>
                <w:szCs w:val="20"/>
              </w:rPr>
              <w:t xml:space="preserve"> 2028</w:t>
            </w:r>
          </w:p>
        </w:tc>
        <w:tc>
          <w:tcPr>
            <w:tcW w:w="996" w:type="dxa"/>
          </w:tcPr>
          <w:p w14:paraId="7C402C87" w14:textId="77777777" w:rsidR="00EC37C5" w:rsidRPr="00922145" w:rsidRDefault="00EC37C5">
            <w:pPr>
              <w:spacing w:before="60" w:after="60"/>
              <w:jc w:val="center"/>
              <w:rPr>
                <w:noProof/>
                <w:sz w:val="20"/>
                <w:szCs w:val="20"/>
              </w:rPr>
            </w:pPr>
            <w:r w:rsidRPr="00922145">
              <w:rPr>
                <w:noProof/>
                <w:sz w:val="20"/>
                <w:szCs w:val="20"/>
              </w:rPr>
              <w:t>Year</w:t>
            </w:r>
            <w:r w:rsidRPr="00922145">
              <w:rPr>
                <w:b/>
                <w:bCs/>
                <w:noProof/>
                <w:sz w:val="20"/>
                <w:szCs w:val="20"/>
              </w:rPr>
              <w:t xml:space="preserve"> 2029</w:t>
            </w:r>
          </w:p>
        </w:tc>
        <w:tc>
          <w:tcPr>
            <w:tcW w:w="996" w:type="dxa"/>
          </w:tcPr>
          <w:p w14:paraId="44F928EF" w14:textId="77777777" w:rsidR="00EC37C5" w:rsidRPr="00922145" w:rsidRDefault="00EC37C5">
            <w:pPr>
              <w:spacing w:before="60" w:after="60"/>
              <w:jc w:val="center"/>
              <w:rPr>
                <w:noProof/>
                <w:sz w:val="20"/>
                <w:szCs w:val="20"/>
              </w:rPr>
            </w:pPr>
            <w:r w:rsidRPr="00922145">
              <w:rPr>
                <w:noProof/>
                <w:sz w:val="20"/>
                <w:szCs w:val="20"/>
              </w:rPr>
              <w:t>Year</w:t>
            </w:r>
            <w:r w:rsidRPr="00922145">
              <w:rPr>
                <w:b/>
                <w:bCs/>
                <w:noProof/>
                <w:sz w:val="20"/>
                <w:szCs w:val="20"/>
              </w:rPr>
              <w:t xml:space="preserve"> 2030</w:t>
            </w:r>
          </w:p>
        </w:tc>
        <w:tc>
          <w:tcPr>
            <w:tcW w:w="996" w:type="dxa"/>
          </w:tcPr>
          <w:p w14:paraId="25A43643" w14:textId="77777777" w:rsidR="00EC37C5" w:rsidRPr="00922145" w:rsidRDefault="00EC37C5">
            <w:pPr>
              <w:spacing w:before="60" w:after="60"/>
              <w:jc w:val="center"/>
              <w:rPr>
                <w:noProof/>
                <w:sz w:val="20"/>
                <w:szCs w:val="20"/>
              </w:rPr>
            </w:pPr>
            <w:r w:rsidRPr="00922145">
              <w:rPr>
                <w:noProof/>
                <w:sz w:val="20"/>
                <w:szCs w:val="20"/>
              </w:rPr>
              <w:t>Year</w:t>
            </w:r>
            <w:r w:rsidRPr="00922145">
              <w:rPr>
                <w:b/>
                <w:bCs/>
                <w:noProof/>
                <w:sz w:val="20"/>
                <w:szCs w:val="20"/>
              </w:rPr>
              <w:t xml:space="preserve"> 2031</w:t>
            </w:r>
          </w:p>
        </w:tc>
        <w:tc>
          <w:tcPr>
            <w:tcW w:w="996" w:type="dxa"/>
            <w:vAlign w:val="center"/>
          </w:tcPr>
          <w:p w14:paraId="27C26F39" w14:textId="77777777" w:rsidR="00EC37C5" w:rsidRPr="00922145" w:rsidRDefault="00EC37C5">
            <w:pPr>
              <w:spacing w:before="60" w:after="60"/>
              <w:jc w:val="center"/>
              <w:rPr>
                <w:noProof/>
                <w:sz w:val="20"/>
                <w:szCs w:val="20"/>
              </w:rPr>
            </w:pPr>
            <w:r w:rsidRPr="00922145">
              <w:rPr>
                <w:noProof/>
                <w:sz w:val="20"/>
                <w:szCs w:val="20"/>
              </w:rPr>
              <w:t>Year</w:t>
            </w:r>
            <w:r w:rsidRPr="00922145">
              <w:rPr>
                <w:b/>
                <w:noProof/>
                <w:sz w:val="20"/>
                <w:szCs w:val="20"/>
              </w:rPr>
              <w:t xml:space="preserve"> 2032</w:t>
            </w:r>
          </w:p>
        </w:tc>
        <w:tc>
          <w:tcPr>
            <w:tcW w:w="996" w:type="dxa"/>
            <w:vAlign w:val="center"/>
          </w:tcPr>
          <w:p w14:paraId="6931B11A" w14:textId="77777777" w:rsidR="00EC37C5" w:rsidRPr="00922145" w:rsidRDefault="00EC37C5">
            <w:pPr>
              <w:spacing w:before="60" w:after="60"/>
              <w:jc w:val="center"/>
              <w:rPr>
                <w:noProof/>
                <w:sz w:val="20"/>
                <w:szCs w:val="20"/>
              </w:rPr>
            </w:pPr>
            <w:r w:rsidRPr="00922145">
              <w:rPr>
                <w:noProof/>
                <w:sz w:val="20"/>
                <w:szCs w:val="20"/>
              </w:rPr>
              <w:t>Year</w:t>
            </w:r>
            <w:r w:rsidRPr="00922145">
              <w:rPr>
                <w:b/>
                <w:noProof/>
                <w:sz w:val="20"/>
                <w:szCs w:val="20"/>
              </w:rPr>
              <w:t xml:space="preserve"> 2033</w:t>
            </w:r>
          </w:p>
        </w:tc>
        <w:tc>
          <w:tcPr>
            <w:tcW w:w="996" w:type="dxa"/>
            <w:vAlign w:val="center"/>
          </w:tcPr>
          <w:p w14:paraId="326412A8" w14:textId="77777777" w:rsidR="00EC37C5" w:rsidRPr="00922145" w:rsidRDefault="00EC37C5">
            <w:pPr>
              <w:spacing w:before="60" w:after="60"/>
              <w:jc w:val="center"/>
              <w:rPr>
                <w:noProof/>
                <w:sz w:val="20"/>
                <w:szCs w:val="20"/>
              </w:rPr>
            </w:pPr>
            <w:r w:rsidRPr="00922145">
              <w:rPr>
                <w:noProof/>
                <w:sz w:val="20"/>
                <w:szCs w:val="20"/>
              </w:rPr>
              <w:t>Year</w:t>
            </w:r>
            <w:r w:rsidRPr="00922145">
              <w:rPr>
                <w:b/>
                <w:noProof/>
                <w:sz w:val="20"/>
                <w:szCs w:val="20"/>
              </w:rPr>
              <w:t xml:space="preserve"> 2034</w:t>
            </w:r>
          </w:p>
        </w:tc>
      </w:tr>
      <w:tr w:rsidR="00EC37C5" w:rsidRPr="00922145" w14:paraId="357861CB" w14:textId="77777777">
        <w:trPr>
          <w:trHeight w:val="521"/>
          <w:jc w:val="center"/>
        </w:trPr>
        <w:tc>
          <w:tcPr>
            <w:tcW w:w="2541" w:type="dxa"/>
            <w:shd w:val="clear" w:color="auto" w:fill="FFFFFF" w:themeFill="background1"/>
            <w:vAlign w:val="center"/>
          </w:tcPr>
          <w:p w14:paraId="784C3FE5" w14:textId="77777777" w:rsidR="00EC37C5" w:rsidRPr="00922145" w:rsidRDefault="00EC37C5">
            <w:pPr>
              <w:spacing w:before="60" w:after="60"/>
              <w:jc w:val="left"/>
              <w:rPr>
                <w:noProof/>
                <w:sz w:val="20"/>
                <w:szCs w:val="20"/>
              </w:rPr>
            </w:pPr>
            <w:r w:rsidRPr="00922145">
              <w:rPr>
                <w:noProof/>
                <w:sz w:val="20"/>
                <w:szCs w:val="20"/>
              </w:rPr>
              <w:t xml:space="preserve">Temporary agents </w:t>
            </w:r>
          </w:p>
          <w:p w14:paraId="203C2243" w14:textId="77777777" w:rsidR="00EC37C5" w:rsidRPr="00922145" w:rsidRDefault="00EC37C5">
            <w:pPr>
              <w:spacing w:before="60" w:after="60"/>
              <w:jc w:val="left"/>
              <w:rPr>
                <w:noProof/>
                <w:sz w:val="20"/>
                <w:szCs w:val="20"/>
              </w:rPr>
            </w:pPr>
            <w:r w:rsidRPr="00922145">
              <w:rPr>
                <w:noProof/>
                <w:sz w:val="20"/>
                <w:szCs w:val="20"/>
              </w:rPr>
              <w:t>(AD Grades)</w:t>
            </w:r>
          </w:p>
        </w:tc>
        <w:tc>
          <w:tcPr>
            <w:tcW w:w="996" w:type="dxa"/>
            <w:vAlign w:val="center"/>
          </w:tcPr>
          <w:p w14:paraId="3DFB37BC" w14:textId="77777777" w:rsidR="00EC37C5" w:rsidRPr="00922145" w:rsidRDefault="00EC37C5">
            <w:pPr>
              <w:spacing w:before="60" w:after="60"/>
              <w:jc w:val="right"/>
              <w:rPr>
                <w:noProof/>
                <w:sz w:val="20"/>
                <w:szCs w:val="20"/>
              </w:rPr>
            </w:pPr>
            <w:r>
              <w:rPr>
                <w:noProof/>
                <w:sz w:val="20"/>
                <w:szCs w:val="20"/>
              </w:rPr>
              <w:t>5</w:t>
            </w:r>
          </w:p>
        </w:tc>
        <w:tc>
          <w:tcPr>
            <w:tcW w:w="996" w:type="dxa"/>
          </w:tcPr>
          <w:p w14:paraId="69960781" w14:textId="77777777" w:rsidR="00EC37C5" w:rsidRPr="00922145" w:rsidRDefault="00EC37C5">
            <w:pPr>
              <w:spacing w:before="60" w:after="60"/>
              <w:jc w:val="right"/>
              <w:rPr>
                <w:noProof/>
                <w:sz w:val="20"/>
                <w:szCs w:val="20"/>
              </w:rPr>
            </w:pPr>
            <w:r>
              <w:rPr>
                <w:noProof/>
                <w:sz w:val="20"/>
                <w:szCs w:val="20"/>
              </w:rPr>
              <w:t>11</w:t>
            </w:r>
          </w:p>
        </w:tc>
        <w:tc>
          <w:tcPr>
            <w:tcW w:w="996" w:type="dxa"/>
          </w:tcPr>
          <w:p w14:paraId="3BAAC265" w14:textId="77777777" w:rsidR="00EC37C5" w:rsidRPr="00922145" w:rsidRDefault="00EC37C5">
            <w:pPr>
              <w:spacing w:before="60" w:after="60"/>
              <w:jc w:val="right"/>
              <w:rPr>
                <w:noProof/>
                <w:sz w:val="20"/>
                <w:szCs w:val="20"/>
              </w:rPr>
            </w:pPr>
            <w:r>
              <w:rPr>
                <w:noProof/>
                <w:sz w:val="20"/>
                <w:szCs w:val="20"/>
              </w:rPr>
              <w:t>17</w:t>
            </w:r>
          </w:p>
        </w:tc>
        <w:tc>
          <w:tcPr>
            <w:tcW w:w="996" w:type="dxa"/>
          </w:tcPr>
          <w:p w14:paraId="20F07110" w14:textId="77777777" w:rsidR="00EC37C5" w:rsidRPr="00922145" w:rsidRDefault="00EC37C5">
            <w:pPr>
              <w:spacing w:before="60" w:after="60"/>
              <w:jc w:val="right"/>
              <w:rPr>
                <w:noProof/>
                <w:sz w:val="20"/>
                <w:szCs w:val="20"/>
              </w:rPr>
            </w:pPr>
            <w:r>
              <w:rPr>
                <w:noProof/>
                <w:sz w:val="20"/>
                <w:szCs w:val="20"/>
              </w:rPr>
              <w:t>19</w:t>
            </w:r>
          </w:p>
        </w:tc>
        <w:tc>
          <w:tcPr>
            <w:tcW w:w="996" w:type="dxa"/>
          </w:tcPr>
          <w:p w14:paraId="432E3A85" w14:textId="77777777" w:rsidR="00EC37C5" w:rsidRPr="00922145" w:rsidRDefault="00EC37C5">
            <w:pPr>
              <w:spacing w:before="60" w:after="60"/>
              <w:jc w:val="right"/>
              <w:rPr>
                <w:noProof/>
                <w:sz w:val="20"/>
                <w:szCs w:val="20"/>
              </w:rPr>
            </w:pPr>
            <w:r w:rsidRPr="000E0DB1">
              <w:rPr>
                <w:noProof/>
                <w:sz w:val="20"/>
                <w:szCs w:val="20"/>
              </w:rPr>
              <w:t>19</w:t>
            </w:r>
          </w:p>
        </w:tc>
        <w:tc>
          <w:tcPr>
            <w:tcW w:w="996" w:type="dxa"/>
          </w:tcPr>
          <w:p w14:paraId="5F87D3A3" w14:textId="77777777" w:rsidR="00EC37C5" w:rsidRPr="00922145" w:rsidRDefault="00EC37C5">
            <w:pPr>
              <w:spacing w:before="60" w:after="60"/>
              <w:jc w:val="right"/>
              <w:rPr>
                <w:noProof/>
                <w:sz w:val="20"/>
                <w:szCs w:val="20"/>
              </w:rPr>
            </w:pPr>
            <w:r w:rsidRPr="000E0DB1">
              <w:rPr>
                <w:noProof/>
                <w:sz w:val="20"/>
                <w:szCs w:val="20"/>
              </w:rPr>
              <w:t>19</w:t>
            </w:r>
          </w:p>
        </w:tc>
        <w:tc>
          <w:tcPr>
            <w:tcW w:w="996" w:type="dxa"/>
          </w:tcPr>
          <w:p w14:paraId="78CEED74" w14:textId="77777777" w:rsidR="00EC37C5" w:rsidRPr="00922145" w:rsidRDefault="00EC37C5">
            <w:pPr>
              <w:spacing w:before="60" w:after="60"/>
              <w:jc w:val="right"/>
              <w:rPr>
                <w:noProof/>
                <w:sz w:val="20"/>
                <w:szCs w:val="20"/>
              </w:rPr>
            </w:pPr>
            <w:r w:rsidRPr="000E0DB1">
              <w:rPr>
                <w:noProof/>
                <w:sz w:val="20"/>
                <w:szCs w:val="20"/>
              </w:rPr>
              <w:t>19</w:t>
            </w:r>
          </w:p>
        </w:tc>
      </w:tr>
      <w:tr w:rsidR="00EC37C5" w:rsidRPr="00922145" w14:paraId="5CB473C9" w14:textId="77777777">
        <w:trPr>
          <w:trHeight w:val="521"/>
          <w:jc w:val="center"/>
        </w:trPr>
        <w:tc>
          <w:tcPr>
            <w:tcW w:w="2541" w:type="dxa"/>
            <w:vAlign w:val="center"/>
          </w:tcPr>
          <w:p w14:paraId="664C7CE3" w14:textId="77777777" w:rsidR="00EC37C5" w:rsidRPr="00922145" w:rsidRDefault="00EC37C5">
            <w:pPr>
              <w:spacing w:before="60" w:after="60"/>
              <w:jc w:val="left"/>
              <w:rPr>
                <w:noProof/>
                <w:sz w:val="20"/>
                <w:szCs w:val="20"/>
              </w:rPr>
            </w:pPr>
            <w:r w:rsidRPr="00922145">
              <w:rPr>
                <w:noProof/>
                <w:sz w:val="20"/>
                <w:szCs w:val="20"/>
              </w:rPr>
              <w:t xml:space="preserve">Temporary agents </w:t>
            </w:r>
          </w:p>
          <w:p w14:paraId="1F600FFF" w14:textId="77777777" w:rsidR="00EC37C5" w:rsidRPr="00922145" w:rsidRDefault="00EC37C5">
            <w:pPr>
              <w:spacing w:before="60" w:after="60"/>
              <w:jc w:val="left"/>
              <w:rPr>
                <w:noProof/>
                <w:sz w:val="20"/>
                <w:szCs w:val="20"/>
              </w:rPr>
            </w:pPr>
            <w:r w:rsidRPr="00922145">
              <w:rPr>
                <w:noProof/>
                <w:sz w:val="20"/>
                <w:szCs w:val="20"/>
              </w:rPr>
              <w:t>(AST grades)</w:t>
            </w:r>
          </w:p>
        </w:tc>
        <w:tc>
          <w:tcPr>
            <w:tcW w:w="996" w:type="dxa"/>
          </w:tcPr>
          <w:p w14:paraId="435262F5" w14:textId="77777777" w:rsidR="00EC37C5" w:rsidRPr="00DD57AE" w:rsidRDefault="00EC37C5">
            <w:pPr>
              <w:spacing w:before="60" w:after="60"/>
              <w:jc w:val="right"/>
              <w:rPr>
                <w:noProof/>
                <w:sz w:val="20"/>
                <w:szCs w:val="20"/>
              </w:rPr>
            </w:pPr>
            <w:r w:rsidRPr="00DD57AE">
              <w:rPr>
                <w:noProof/>
                <w:sz w:val="20"/>
                <w:szCs w:val="20"/>
              </w:rPr>
              <w:t>4</w:t>
            </w:r>
          </w:p>
        </w:tc>
        <w:tc>
          <w:tcPr>
            <w:tcW w:w="996" w:type="dxa"/>
          </w:tcPr>
          <w:p w14:paraId="4AAB291F" w14:textId="77777777" w:rsidR="00EC37C5" w:rsidRPr="00DD57AE" w:rsidRDefault="00EC37C5">
            <w:pPr>
              <w:spacing w:before="60" w:after="60"/>
              <w:jc w:val="right"/>
              <w:rPr>
                <w:noProof/>
                <w:sz w:val="20"/>
                <w:szCs w:val="20"/>
              </w:rPr>
            </w:pPr>
            <w:r w:rsidRPr="00DD57AE">
              <w:rPr>
                <w:noProof/>
                <w:sz w:val="20"/>
                <w:szCs w:val="20"/>
              </w:rPr>
              <w:t>7</w:t>
            </w:r>
          </w:p>
        </w:tc>
        <w:tc>
          <w:tcPr>
            <w:tcW w:w="996" w:type="dxa"/>
          </w:tcPr>
          <w:p w14:paraId="2355551E" w14:textId="77777777" w:rsidR="00EC37C5" w:rsidRPr="00DD57AE" w:rsidRDefault="00EC37C5">
            <w:pPr>
              <w:spacing w:before="60" w:after="60"/>
              <w:jc w:val="right"/>
              <w:rPr>
                <w:noProof/>
                <w:sz w:val="20"/>
                <w:szCs w:val="20"/>
              </w:rPr>
            </w:pPr>
            <w:r w:rsidRPr="00DD57AE">
              <w:rPr>
                <w:noProof/>
                <w:sz w:val="20"/>
                <w:szCs w:val="20"/>
              </w:rPr>
              <w:t>11</w:t>
            </w:r>
          </w:p>
        </w:tc>
        <w:tc>
          <w:tcPr>
            <w:tcW w:w="996" w:type="dxa"/>
          </w:tcPr>
          <w:p w14:paraId="1BAF24FC" w14:textId="77777777" w:rsidR="00EC37C5" w:rsidRPr="00DD57AE" w:rsidRDefault="00EC37C5">
            <w:pPr>
              <w:spacing w:before="60" w:after="60"/>
              <w:jc w:val="right"/>
              <w:rPr>
                <w:noProof/>
                <w:sz w:val="20"/>
                <w:szCs w:val="20"/>
              </w:rPr>
            </w:pPr>
            <w:r w:rsidRPr="00DD57AE">
              <w:rPr>
                <w:noProof/>
                <w:sz w:val="20"/>
                <w:szCs w:val="20"/>
              </w:rPr>
              <w:t>12</w:t>
            </w:r>
          </w:p>
        </w:tc>
        <w:tc>
          <w:tcPr>
            <w:tcW w:w="996" w:type="dxa"/>
          </w:tcPr>
          <w:p w14:paraId="292A9D28" w14:textId="77777777" w:rsidR="00EC37C5" w:rsidRPr="00DD57AE" w:rsidRDefault="00EC37C5">
            <w:pPr>
              <w:spacing w:before="60" w:after="60"/>
              <w:jc w:val="right"/>
              <w:rPr>
                <w:noProof/>
                <w:sz w:val="20"/>
                <w:szCs w:val="20"/>
              </w:rPr>
            </w:pPr>
            <w:r w:rsidRPr="00DD57AE">
              <w:rPr>
                <w:noProof/>
                <w:sz w:val="20"/>
                <w:szCs w:val="20"/>
              </w:rPr>
              <w:t>12</w:t>
            </w:r>
          </w:p>
        </w:tc>
        <w:tc>
          <w:tcPr>
            <w:tcW w:w="996" w:type="dxa"/>
          </w:tcPr>
          <w:p w14:paraId="62DBD78E" w14:textId="77777777" w:rsidR="00EC37C5" w:rsidRPr="00DD57AE" w:rsidRDefault="00EC37C5">
            <w:pPr>
              <w:spacing w:before="60" w:after="60"/>
              <w:jc w:val="right"/>
              <w:rPr>
                <w:noProof/>
                <w:sz w:val="20"/>
                <w:szCs w:val="20"/>
              </w:rPr>
            </w:pPr>
            <w:r w:rsidRPr="00DD57AE">
              <w:rPr>
                <w:noProof/>
                <w:sz w:val="20"/>
                <w:szCs w:val="20"/>
              </w:rPr>
              <w:t>12</w:t>
            </w:r>
          </w:p>
        </w:tc>
        <w:tc>
          <w:tcPr>
            <w:tcW w:w="996" w:type="dxa"/>
          </w:tcPr>
          <w:p w14:paraId="26E93C21" w14:textId="77777777" w:rsidR="00EC37C5" w:rsidRPr="00DD57AE" w:rsidRDefault="00EC37C5">
            <w:pPr>
              <w:spacing w:before="60" w:after="60"/>
              <w:jc w:val="right"/>
              <w:rPr>
                <w:noProof/>
                <w:sz w:val="20"/>
                <w:szCs w:val="20"/>
              </w:rPr>
            </w:pPr>
            <w:r w:rsidRPr="00DD57AE">
              <w:rPr>
                <w:noProof/>
                <w:sz w:val="20"/>
                <w:szCs w:val="20"/>
              </w:rPr>
              <w:t>12</w:t>
            </w:r>
          </w:p>
        </w:tc>
      </w:tr>
      <w:tr w:rsidR="00EC37C5" w:rsidRPr="00922145" w14:paraId="65932684" w14:textId="77777777">
        <w:trPr>
          <w:trHeight w:val="521"/>
          <w:jc w:val="center"/>
        </w:trPr>
        <w:tc>
          <w:tcPr>
            <w:tcW w:w="2541" w:type="dxa"/>
            <w:shd w:val="clear" w:color="auto" w:fill="D9D9D9" w:themeFill="background1" w:themeFillShade="D9"/>
            <w:vAlign w:val="center"/>
          </w:tcPr>
          <w:p w14:paraId="11CACFE5" w14:textId="77777777" w:rsidR="00EC37C5" w:rsidRPr="00922145" w:rsidRDefault="00EC37C5">
            <w:pPr>
              <w:spacing w:before="60" w:after="60"/>
              <w:jc w:val="left"/>
              <w:rPr>
                <w:b/>
                <w:bCs/>
                <w:i/>
                <w:iCs/>
                <w:noProof/>
                <w:sz w:val="20"/>
                <w:szCs w:val="20"/>
              </w:rPr>
            </w:pPr>
            <w:r w:rsidRPr="00922145">
              <w:rPr>
                <w:b/>
                <w:bCs/>
                <w:i/>
                <w:iCs/>
                <w:noProof/>
                <w:sz w:val="20"/>
                <w:szCs w:val="20"/>
              </w:rPr>
              <w:t>Temporary agents (AD+AST) subtotal</w:t>
            </w:r>
          </w:p>
        </w:tc>
        <w:tc>
          <w:tcPr>
            <w:tcW w:w="996" w:type="dxa"/>
            <w:shd w:val="clear" w:color="auto" w:fill="D9D9D9" w:themeFill="background1" w:themeFillShade="D9"/>
            <w:vAlign w:val="center"/>
          </w:tcPr>
          <w:p w14:paraId="2C9650EB" w14:textId="77777777" w:rsidR="00EC37C5" w:rsidRPr="00DD57AE" w:rsidRDefault="00EC37C5">
            <w:pPr>
              <w:spacing w:before="60" w:after="60"/>
              <w:jc w:val="right"/>
              <w:rPr>
                <w:b/>
                <w:bCs/>
                <w:i/>
                <w:iCs/>
                <w:noProof/>
                <w:color w:val="000000"/>
                <w:sz w:val="20"/>
                <w:szCs w:val="20"/>
                <w:lang w:eastAsia="en-IE"/>
              </w:rPr>
            </w:pPr>
            <w:r w:rsidRPr="00DD57AE">
              <w:rPr>
                <w:b/>
                <w:bCs/>
                <w:i/>
                <w:iCs/>
                <w:noProof/>
                <w:color w:val="000000"/>
                <w:sz w:val="20"/>
                <w:szCs w:val="20"/>
                <w:lang w:eastAsia="en-IE"/>
              </w:rPr>
              <w:t>9</w:t>
            </w:r>
          </w:p>
        </w:tc>
        <w:tc>
          <w:tcPr>
            <w:tcW w:w="996" w:type="dxa"/>
            <w:shd w:val="clear" w:color="auto" w:fill="D9D9D9" w:themeFill="background1" w:themeFillShade="D9"/>
            <w:vAlign w:val="center"/>
          </w:tcPr>
          <w:p w14:paraId="1DAB2136" w14:textId="77777777" w:rsidR="00EC37C5" w:rsidRPr="00DD57AE" w:rsidRDefault="00EC37C5">
            <w:pPr>
              <w:spacing w:before="60" w:after="60"/>
              <w:jc w:val="right"/>
              <w:rPr>
                <w:b/>
                <w:bCs/>
                <w:i/>
                <w:iCs/>
                <w:noProof/>
                <w:color w:val="000000"/>
                <w:sz w:val="20"/>
                <w:szCs w:val="20"/>
                <w:lang w:eastAsia="en-IE"/>
              </w:rPr>
            </w:pPr>
            <w:r w:rsidRPr="00DD57AE">
              <w:rPr>
                <w:b/>
                <w:bCs/>
                <w:i/>
                <w:iCs/>
                <w:noProof/>
                <w:color w:val="000000"/>
                <w:sz w:val="20"/>
                <w:szCs w:val="20"/>
                <w:lang w:eastAsia="en-IE"/>
              </w:rPr>
              <w:t>18</w:t>
            </w:r>
          </w:p>
        </w:tc>
        <w:tc>
          <w:tcPr>
            <w:tcW w:w="996" w:type="dxa"/>
            <w:shd w:val="clear" w:color="auto" w:fill="D9D9D9" w:themeFill="background1" w:themeFillShade="D9"/>
            <w:vAlign w:val="center"/>
          </w:tcPr>
          <w:p w14:paraId="4925E64A" w14:textId="77777777" w:rsidR="00EC37C5" w:rsidRPr="00DD57AE" w:rsidRDefault="00EC37C5">
            <w:pPr>
              <w:spacing w:before="60" w:after="60"/>
              <w:jc w:val="right"/>
              <w:rPr>
                <w:b/>
                <w:bCs/>
                <w:i/>
                <w:iCs/>
                <w:noProof/>
                <w:color w:val="000000"/>
                <w:sz w:val="20"/>
                <w:szCs w:val="20"/>
                <w:lang w:eastAsia="en-IE"/>
              </w:rPr>
            </w:pPr>
            <w:r w:rsidRPr="00DD57AE">
              <w:rPr>
                <w:b/>
                <w:bCs/>
                <w:i/>
                <w:iCs/>
                <w:noProof/>
                <w:color w:val="000000"/>
                <w:sz w:val="20"/>
                <w:szCs w:val="20"/>
                <w:lang w:eastAsia="en-IE"/>
              </w:rPr>
              <w:t>28</w:t>
            </w:r>
          </w:p>
        </w:tc>
        <w:tc>
          <w:tcPr>
            <w:tcW w:w="996" w:type="dxa"/>
            <w:shd w:val="clear" w:color="auto" w:fill="D9D9D9" w:themeFill="background1" w:themeFillShade="D9"/>
            <w:vAlign w:val="center"/>
          </w:tcPr>
          <w:p w14:paraId="4E007E46" w14:textId="77777777" w:rsidR="00EC37C5" w:rsidRPr="00DD57AE" w:rsidRDefault="00EC37C5">
            <w:pPr>
              <w:spacing w:before="60" w:after="60"/>
              <w:jc w:val="right"/>
              <w:rPr>
                <w:b/>
                <w:bCs/>
                <w:i/>
                <w:iCs/>
                <w:noProof/>
                <w:color w:val="000000"/>
                <w:sz w:val="20"/>
                <w:szCs w:val="20"/>
                <w:lang w:eastAsia="en-IE"/>
              </w:rPr>
            </w:pPr>
            <w:r w:rsidRPr="00DD57AE">
              <w:rPr>
                <w:b/>
                <w:bCs/>
                <w:i/>
                <w:iCs/>
                <w:noProof/>
                <w:color w:val="000000"/>
                <w:sz w:val="20"/>
                <w:szCs w:val="20"/>
                <w:lang w:eastAsia="en-IE"/>
              </w:rPr>
              <w:t>31</w:t>
            </w:r>
          </w:p>
        </w:tc>
        <w:tc>
          <w:tcPr>
            <w:tcW w:w="996" w:type="dxa"/>
            <w:shd w:val="clear" w:color="auto" w:fill="D9D9D9" w:themeFill="background1" w:themeFillShade="D9"/>
            <w:vAlign w:val="center"/>
          </w:tcPr>
          <w:p w14:paraId="03F911A9" w14:textId="77777777" w:rsidR="00EC37C5" w:rsidRPr="00DD57AE" w:rsidRDefault="00EC37C5">
            <w:pPr>
              <w:spacing w:before="60" w:after="60"/>
              <w:jc w:val="right"/>
              <w:rPr>
                <w:b/>
                <w:bCs/>
                <w:i/>
                <w:iCs/>
                <w:noProof/>
                <w:color w:val="000000"/>
                <w:sz w:val="20"/>
                <w:szCs w:val="20"/>
                <w:lang w:eastAsia="en-IE"/>
              </w:rPr>
            </w:pPr>
            <w:r w:rsidRPr="00DD57AE">
              <w:rPr>
                <w:b/>
                <w:bCs/>
                <w:i/>
                <w:iCs/>
                <w:noProof/>
                <w:color w:val="000000"/>
                <w:sz w:val="20"/>
                <w:szCs w:val="20"/>
                <w:lang w:eastAsia="en-IE"/>
              </w:rPr>
              <w:t>31</w:t>
            </w:r>
          </w:p>
        </w:tc>
        <w:tc>
          <w:tcPr>
            <w:tcW w:w="996" w:type="dxa"/>
            <w:shd w:val="clear" w:color="auto" w:fill="D9D9D9" w:themeFill="background1" w:themeFillShade="D9"/>
            <w:vAlign w:val="center"/>
          </w:tcPr>
          <w:p w14:paraId="052725CA" w14:textId="77777777" w:rsidR="00EC37C5" w:rsidRPr="00DD57AE" w:rsidRDefault="00EC37C5">
            <w:pPr>
              <w:spacing w:before="60" w:after="60"/>
              <w:jc w:val="right"/>
              <w:rPr>
                <w:b/>
                <w:bCs/>
                <w:i/>
                <w:iCs/>
                <w:noProof/>
                <w:color w:val="000000"/>
                <w:sz w:val="20"/>
                <w:szCs w:val="20"/>
                <w:lang w:eastAsia="en-IE"/>
              </w:rPr>
            </w:pPr>
            <w:r w:rsidRPr="00DD57AE">
              <w:rPr>
                <w:b/>
                <w:bCs/>
                <w:i/>
                <w:iCs/>
                <w:noProof/>
                <w:color w:val="000000"/>
                <w:sz w:val="20"/>
                <w:szCs w:val="20"/>
                <w:lang w:eastAsia="en-IE"/>
              </w:rPr>
              <w:t>31</w:t>
            </w:r>
          </w:p>
        </w:tc>
        <w:tc>
          <w:tcPr>
            <w:tcW w:w="996" w:type="dxa"/>
            <w:shd w:val="clear" w:color="auto" w:fill="D9D9D9" w:themeFill="background1" w:themeFillShade="D9"/>
            <w:vAlign w:val="center"/>
          </w:tcPr>
          <w:p w14:paraId="49E15BFF" w14:textId="77777777" w:rsidR="00EC37C5" w:rsidRPr="00DD57AE" w:rsidRDefault="00EC37C5">
            <w:pPr>
              <w:spacing w:before="60" w:after="60"/>
              <w:jc w:val="right"/>
              <w:rPr>
                <w:i/>
                <w:iCs/>
                <w:noProof/>
                <w:sz w:val="20"/>
                <w:szCs w:val="20"/>
              </w:rPr>
            </w:pPr>
            <w:r w:rsidRPr="00DD57AE">
              <w:rPr>
                <w:b/>
                <w:bCs/>
                <w:i/>
                <w:iCs/>
                <w:noProof/>
                <w:color w:val="000000"/>
                <w:sz w:val="20"/>
                <w:szCs w:val="20"/>
                <w:lang w:eastAsia="en-IE"/>
              </w:rPr>
              <w:t>31</w:t>
            </w:r>
          </w:p>
        </w:tc>
      </w:tr>
      <w:tr w:rsidR="00EC37C5" w:rsidRPr="00922145" w14:paraId="6C183802" w14:textId="77777777">
        <w:trPr>
          <w:trHeight w:val="521"/>
          <w:jc w:val="center"/>
        </w:trPr>
        <w:tc>
          <w:tcPr>
            <w:tcW w:w="2541" w:type="dxa"/>
            <w:vAlign w:val="center"/>
          </w:tcPr>
          <w:p w14:paraId="593990D6" w14:textId="77777777" w:rsidR="00EC37C5" w:rsidRPr="00922145" w:rsidRDefault="00EC37C5">
            <w:pPr>
              <w:spacing w:before="60" w:after="60"/>
              <w:jc w:val="left"/>
              <w:rPr>
                <w:noProof/>
                <w:sz w:val="20"/>
                <w:szCs w:val="20"/>
              </w:rPr>
            </w:pPr>
            <w:r w:rsidRPr="00922145">
              <w:rPr>
                <w:noProof/>
                <w:sz w:val="20"/>
                <w:szCs w:val="20"/>
              </w:rPr>
              <w:t>Contract agents</w:t>
            </w:r>
          </w:p>
        </w:tc>
        <w:tc>
          <w:tcPr>
            <w:tcW w:w="996" w:type="dxa"/>
            <w:vAlign w:val="center"/>
          </w:tcPr>
          <w:p w14:paraId="10763763" w14:textId="77777777" w:rsidR="00EC37C5" w:rsidRPr="00DD57AE" w:rsidRDefault="00EC37C5">
            <w:pPr>
              <w:spacing w:before="60" w:after="60"/>
              <w:jc w:val="right"/>
              <w:rPr>
                <w:noProof/>
                <w:sz w:val="20"/>
                <w:szCs w:val="20"/>
              </w:rPr>
            </w:pPr>
            <w:r w:rsidRPr="00DD57AE">
              <w:rPr>
                <w:noProof/>
                <w:color w:val="000000"/>
                <w:sz w:val="20"/>
                <w:szCs w:val="20"/>
              </w:rPr>
              <w:t>22</w:t>
            </w:r>
          </w:p>
        </w:tc>
        <w:tc>
          <w:tcPr>
            <w:tcW w:w="996" w:type="dxa"/>
            <w:vAlign w:val="center"/>
          </w:tcPr>
          <w:p w14:paraId="22379C0C" w14:textId="77777777" w:rsidR="00EC37C5" w:rsidRPr="00DD57AE" w:rsidRDefault="00EC37C5">
            <w:pPr>
              <w:spacing w:before="60" w:after="60"/>
              <w:jc w:val="right"/>
              <w:rPr>
                <w:noProof/>
                <w:sz w:val="20"/>
                <w:szCs w:val="20"/>
              </w:rPr>
            </w:pPr>
            <w:r w:rsidRPr="00DD57AE">
              <w:rPr>
                <w:noProof/>
                <w:color w:val="000000"/>
                <w:sz w:val="20"/>
                <w:szCs w:val="20"/>
              </w:rPr>
              <w:t>44</w:t>
            </w:r>
          </w:p>
        </w:tc>
        <w:tc>
          <w:tcPr>
            <w:tcW w:w="996" w:type="dxa"/>
            <w:vAlign w:val="center"/>
          </w:tcPr>
          <w:p w14:paraId="4A6A2BFC" w14:textId="77777777" w:rsidR="00EC37C5" w:rsidRPr="00DD57AE" w:rsidRDefault="00EC37C5">
            <w:pPr>
              <w:spacing w:before="60" w:after="60"/>
              <w:jc w:val="right"/>
              <w:rPr>
                <w:noProof/>
                <w:sz w:val="20"/>
                <w:szCs w:val="20"/>
              </w:rPr>
            </w:pPr>
            <w:r w:rsidRPr="00DD57AE">
              <w:rPr>
                <w:noProof/>
                <w:color w:val="000000"/>
                <w:sz w:val="20"/>
                <w:szCs w:val="20"/>
              </w:rPr>
              <w:t>66</w:t>
            </w:r>
          </w:p>
        </w:tc>
        <w:tc>
          <w:tcPr>
            <w:tcW w:w="996" w:type="dxa"/>
            <w:vAlign w:val="center"/>
          </w:tcPr>
          <w:p w14:paraId="66264227" w14:textId="77777777" w:rsidR="00EC37C5" w:rsidRPr="00DD57AE" w:rsidRDefault="00EC37C5">
            <w:pPr>
              <w:spacing w:before="60" w:after="60"/>
              <w:jc w:val="right"/>
              <w:rPr>
                <w:noProof/>
                <w:sz w:val="20"/>
                <w:szCs w:val="20"/>
              </w:rPr>
            </w:pPr>
            <w:r w:rsidRPr="00DD57AE">
              <w:rPr>
                <w:noProof/>
                <w:color w:val="000000"/>
                <w:sz w:val="20"/>
                <w:szCs w:val="20"/>
              </w:rPr>
              <w:t>74</w:t>
            </w:r>
          </w:p>
        </w:tc>
        <w:tc>
          <w:tcPr>
            <w:tcW w:w="996" w:type="dxa"/>
            <w:vAlign w:val="center"/>
          </w:tcPr>
          <w:p w14:paraId="64C4C9AD" w14:textId="77777777" w:rsidR="00EC37C5" w:rsidRPr="00DD57AE" w:rsidRDefault="00EC37C5">
            <w:pPr>
              <w:spacing w:before="60" w:after="60"/>
              <w:jc w:val="right"/>
              <w:rPr>
                <w:noProof/>
                <w:sz w:val="20"/>
                <w:szCs w:val="20"/>
              </w:rPr>
            </w:pPr>
            <w:r w:rsidRPr="00DD57AE">
              <w:rPr>
                <w:noProof/>
                <w:color w:val="000000"/>
                <w:sz w:val="20"/>
                <w:szCs w:val="20"/>
              </w:rPr>
              <w:t>74</w:t>
            </w:r>
          </w:p>
        </w:tc>
        <w:tc>
          <w:tcPr>
            <w:tcW w:w="996" w:type="dxa"/>
            <w:vAlign w:val="center"/>
          </w:tcPr>
          <w:p w14:paraId="6C79E72F" w14:textId="77777777" w:rsidR="00EC37C5" w:rsidRPr="00DD57AE" w:rsidRDefault="00EC37C5">
            <w:pPr>
              <w:spacing w:before="60" w:after="60"/>
              <w:jc w:val="right"/>
              <w:rPr>
                <w:noProof/>
                <w:sz w:val="20"/>
                <w:szCs w:val="20"/>
              </w:rPr>
            </w:pPr>
            <w:r w:rsidRPr="00DD57AE">
              <w:rPr>
                <w:noProof/>
                <w:color w:val="000000"/>
                <w:sz w:val="20"/>
                <w:szCs w:val="20"/>
              </w:rPr>
              <w:t>74</w:t>
            </w:r>
          </w:p>
        </w:tc>
        <w:tc>
          <w:tcPr>
            <w:tcW w:w="996" w:type="dxa"/>
            <w:vAlign w:val="bottom"/>
          </w:tcPr>
          <w:p w14:paraId="1BA6E126" w14:textId="77777777" w:rsidR="00EC37C5" w:rsidRPr="00DD57AE" w:rsidRDefault="00EC37C5">
            <w:pPr>
              <w:spacing w:before="60" w:after="60"/>
              <w:jc w:val="right"/>
              <w:rPr>
                <w:noProof/>
                <w:sz w:val="20"/>
                <w:szCs w:val="20"/>
              </w:rPr>
            </w:pPr>
            <w:r w:rsidRPr="00DD57AE">
              <w:rPr>
                <w:noProof/>
                <w:color w:val="000000"/>
                <w:sz w:val="20"/>
                <w:szCs w:val="20"/>
              </w:rPr>
              <w:t>74</w:t>
            </w:r>
          </w:p>
        </w:tc>
      </w:tr>
      <w:tr w:rsidR="00EC37C5" w:rsidRPr="00922145" w14:paraId="63D276C3" w14:textId="77777777">
        <w:trPr>
          <w:trHeight w:val="521"/>
          <w:jc w:val="center"/>
        </w:trPr>
        <w:tc>
          <w:tcPr>
            <w:tcW w:w="2541" w:type="dxa"/>
            <w:vAlign w:val="center"/>
          </w:tcPr>
          <w:p w14:paraId="78299052" w14:textId="77777777" w:rsidR="00EC37C5" w:rsidRPr="00922145" w:rsidRDefault="00EC37C5">
            <w:pPr>
              <w:spacing w:before="60" w:after="60"/>
              <w:jc w:val="left"/>
              <w:rPr>
                <w:noProof/>
                <w:sz w:val="20"/>
                <w:szCs w:val="20"/>
              </w:rPr>
            </w:pPr>
            <w:r w:rsidRPr="00922145">
              <w:rPr>
                <w:noProof/>
                <w:sz w:val="20"/>
                <w:szCs w:val="20"/>
              </w:rPr>
              <w:t>Seconded national experts</w:t>
            </w:r>
          </w:p>
        </w:tc>
        <w:tc>
          <w:tcPr>
            <w:tcW w:w="996" w:type="dxa"/>
            <w:vAlign w:val="center"/>
          </w:tcPr>
          <w:p w14:paraId="6D9293B2" w14:textId="77777777" w:rsidR="00EC37C5" w:rsidRPr="00DD57AE" w:rsidRDefault="00EC37C5">
            <w:pPr>
              <w:spacing w:before="60" w:after="60"/>
              <w:jc w:val="right"/>
              <w:rPr>
                <w:noProof/>
                <w:sz w:val="20"/>
                <w:szCs w:val="20"/>
              </w:rPr>
            </w:pPr>
            <w:r w:rsidRPr="00DD57AE">
              <w:rPr>
                <w:noProof/>
                <w:color w:val="000000"/>
                <w:sz w:val="20"/>
                <w:szCs w:val="20"/>
              </w:rPr>
              <w:t>4</w:t>
            </w:r>
          </w:p>
        </w:tc>
        <w:tc>
          <w:tcPr>
            <w:tcW w:w="996" w:type="dxa"/>
            <w:vAlign w:val="center"/>
          </w:tcPr>
          <w:p w14:paraId="2B3901E3" w14:textId="77777777" w:rsidR="00EC37C5" w:rsidRPr="00DD57AE" w:rsidRDefault="00EC37C5">
            <w:pPr>
              <w:spacing w:before="60" w:after="60"/>
              <w:jc w:val="right"/>
              <w:rPr>
                <w:noProof/>
                <w:sz w:val="20"/>
                <w:szCs w:val="20"/>
              </w:rPr>
            </w:pPr>
            <w:r w:rsidRPr="00DD57AE">
              <w:rPr>
                <w:noProof/>
                <w:color w:val="000000"/>
                <w:sz w:val="20"/>
                <w:szCs w:val="20"/>
              </w:rPr>
              <w:t>8</w:t>
            </w:r>
          </w:p>
        </w:tc>
        <w:tc>
          <w:tcPr>
            <w:tcW w:w="996" w:type="dxa"/>
            <w:vAlign w:val="center"/>
          </w:tcPr>
          <w:p w14:paraId="450A1C6F" w14:textId="77777777" w:rsidR="00EC37C5" w:rsidRPr="00DD57AE" w:rsidRDefault="00EC37C5">
            <w:pPr>
              <w:spacing w:before="60" w:after="60"/>
              <w:jc w:val="right"/>
              <w:rPr>
                <w:noProof/>
                <w:sz w:val="20"/>
                <w:szCs w:val="20"/>
              </w:rPr>
            </w:pPr>
            <w:r w:rsidRPr="00DD57AE">
              <w:rPr>
                <w:noProof/>
                <w:color w:val="000000"/>
                <w:sz w:val="20"/>
                <w:szCs w:val="20"/>
              </w:rPr>
              <w:t>11</w:t>
            </w:r>
          </w:p>
        </w:tc>
        <w:tc>
          <w:tcPr>
            <w:tcW w:w="996" w:type="dxa"/>
            <w:vAlign w:val="center"/>
          </w:tcPr>
          <w:p w14:paraId="2FF1A64B" w14:textId="77777777" w:rsidR="00EC37C5" w:rsidRPr="00DD57AE" w:rsidRDefault="00EC37C5">
            <w:pPr>
              <w:spacing w:before="60" w:after="60"/>
              <w:jc w:val="right"/>
              <w:rPr>
                <w:noProof/>
                <w:sz w:val="20"/>
                <w:szCs w:val="20"/>
              </w:rPr>
            </w:pPr>
            <w:r w:rsidRPr="00DD57AE">
              <w:rPr>
                <w:noProof/>
                <w:color w:val="000000"/>
                <w:sz w:val="20"/>
                <w:szCs w:val="20"/>
              </w:rPr>
              <w:t>13</w:t>
            </w:r>
          </w:p>
        </w:tc>
        <w:tc>
          <w:tcPr>
            <w:tcW w:w="996" w:type="dxa"/>
            <w:vAlign w:val="center"/>
          </w:tcPr>
          <w:p w14:paraId="64854829" w14:textId="77777777" w:rsidR="00EC37C5" w:rsidRPr="00DD57AE" w:rsidRDefault="00EC37C5">
            <w:pPr>
              <w:spacing w:before="60" w:after="60"/>
              <w:jc w:val="right"/>
              <w:rPr>
                <w:noProof/>
                <w:sz w:val="20"/>
                <w:szCs w:val="20"/>
              </w:rPr>
            </w:pPr>
            <w:r w:rsidRPr="00DD57AE">
              <w:rPr>
                <w:noProof/>
                <w:color w:val="000000"/>
                <w:sz w:val="20"/>
                <w:szCs w:val="20"/>
              </w:rPr>
              <w:t>13</w:t>
            </w:r>
          </w:p>
        </w:tc>
        <w:tc>
          <w:tcPr>
            <w:tcW w:w="996" w:type="dxa"/>
            <w:vAlign w:val="center"/>
          </w:tcPr>
          <w:p w14:paraId="682E4095" w14:textId="77777777" w:rsidR="00EC37C5" w:rsidRPr="00DD57AE" w:rsidRDefault="00EC37C5">
            <w:pPr>
              <w:spacing w:before="60" w:after="60"/>
              <w:jc w:val="right"/>
              <w:rPr>
                <w:noProof/>
                <w:sz w:val="20"/>
                <w:szCs w:val="20"/>
              </w:rPr>
            </w:pPr>
            <w:r w:rsidRPr="00DD57AE">
              <w:rPr>
                <w:noProof/>
                <w:color w:val="000000"/>
                <w:sz w:val="20"/>
                <w:szCs w:val="20"/>
              </w:rPr>
              <w:t>13</w:t>
            </w:r>
          </w:p>
        </w:tc>
        <w:tc>
          <w:tcPr>
            <w:tcW w:w="996" w:type="dxa"/>
            <w:vAlign w:val="bottom"/>
          </w:tcPr>
          <w:p w14:paraId="51707F5A" w14:textId="77777777" w:rsidR="00EC37C5" w:rsidRPr="00DD57AE" w:rsidRDefault="00EC37C5">
            <w:pPr>
              <w:spacing w:before="60" w:after="60"/>
              <w:jc w:val="right"/>
              <w:rPr>
                <w:noProof/>
                <w:sz w:val="20"/>
                <w:szCs w:val="20"/>
              </w:rPr>
            </w:pPr>
            <w:r w:rsidRPr="00DD57AE">
              <w:rPr>
                <w:noProof/>
                <w:color w:val="000000"/>
                <w:sz w:val="20"/>
                <w:szCs w:val="20"/>
              </w:rPr>
              <w:t>13</w:t>
            </w:r>
          </w:p>
        </w:tc>
      </w:tr>
      <w:tr w:rsidR="00EC37C5" w:rsidRPr="00922145" w14:paraId="15EE56DB" w14:textId="77777777">
        <w:trPr>
          <w:trHeight w:val="521"/>
          <w:jc w:val="center"/>
        </w:trPr>
        <w:tc>
          <w:tcPr>
            <w:tcW w:w="2541" w:type="dxa"/>
            <w:tcBorders>
              <w:bottom w:val="single" w:sz="4" w:space="0" w:color="auto"/>
            </w:tcBorders>
            <w:shd w:val="clear" w:color="auto" w:fill="D9D9D9" w:themeFill="background1" w:themeFillShade="D9"/>
            <w:vAlign w:val="center"/>
          </w:tcPr>
          <w:p w14:paraId="1C22F33B" w14:textId="77777777" w:rsidR="00EC37C5" w:rsidRPr="00922145" w:rsidRDefault="00EC37C5">
            <w:pPr>
              <w:spacing w:before="60" w:after="60"/>
              <w:jc w:val="left"/>
              <w:rPr>
                <w:b/>
                <w:bCs/>
                <w:i/>
                <w:iCs/>
                <w:noProof/>
                <w:sz w:val="20"/>
                <w:szCs w:val="20"/>
              </w:rPr>
            </w:pPr>
            <w:r w:rsidRPr="00922145">
              <w:rPr>
                <w:b/>
                <w:bCs/>
                <w:i/>
                <w:iCs/>
                <w:noProof/>
                <w:sz w:val="20"/>
                <w:szCs w:val="20"/>
              </w:rPr>
              <w:t>Contract agents and seconded national experts subtotal</w:t>
            </w:r>
          </w:p>
        </w:tc>
        <w:tc>
          <w:tcPr>
            <w:tcW w:w="996" w:type="dxa"/>
            <w:tcBorders>
              <w:bottom w:val="single" w:sz="4" w:space="0" w:color="auto"/>
            </w:tcBorders>
            <w:shd w:val="clear" w:color="auto" w:fill="D9D9D9" w:themeFill="background1" w:themeFillShade="D9"/>
            <w:vAlign w:val="center"/>
          </w:tcPr>
          <w:p w14:paraId="03D9D07D" w14:textId="77777777" w:rsidR="00EC37C5" w:rsidRPr="00DD57AE" w:rsidRDefault="00EC37C5">
            <w:pPr>
              <w:spacing w:before="60" w:after="60"/>
              <w:jc w:val="right"/>
              <w:rPr>
                <w:i/>
                <w:iCs/>
                <w:noProof/>
                <w:sz w:val="20"/>
                <w:szCs w:val="20"/>
              </w:rPr>
            </w:pPr>
            <w:r w:rsidRPr="00DD57AE">
              <w:rPr>
                <w:noProof/>
                <w:color w:val="000000"/>
                <w:sz w:val="20"/>
                <w:szCs w:val="20"/>
              </w:rPr>
              <w:t>26</w:t>
            </w:r>
          </w:p>
        </w:tc>
        <w:tc>
          <w:tcPr>
            <w:tcW w:w="996" w:type="dxa"/>
            <w:tcBorders>
              <w:bottom w:val="single" w:sz="4" w:space="0" w:color="auto"/>
            </w:tcBorders>
            <w:shd w:val="clear" w:color="auto" w:fill="D9D9D9" w:themeFill="background1" w:themeFillShade="D9"/>
            <w:vAlign w:val="center"/>
          </w:tcPr>
          <w:p w14:paraId="56200BC6" w14:textId="77777777" w:rsidR="00EC37C5" w:rsidRPr="00DD57AE" w:rsidRDefault="00EC37C5">
            <w:pPr>
              <w:spacing w:before="60" w:after="60"/>
              <w:jc w:val="right"/>
              <w:rPr>
                <w:i/>
                <w:noProof/>
                <w:color w:val="000000"/>
                <w:sz w:val="20"/>
                <w:szCs w:val="20"/>
                <w:lang w:eastAsia="en-IE"/>
              </w:rPr>
            </w:pPr>
            <w:r w:rsidRPr="00DD57AE">
              <w:rPr>
                <w:noProof/>
                <w:color w:val="000000"/>
                <w:sz w:val="20"/>
                <w:szCs w:val="20"/>
              </w:rPr>
              <w:t>52</w:t>
            </w:r>
          </w:p>
        </w:tc>
        <w:tc>
          <w:tcPr>
            <w:tcW w:w="996" w:type="dxa"/>
            <w:tcBorders>
              <w:bottom w:val="single" w:sz="4" w:space="0" w:color="auto"/>
            </w:tcBorders>
            <w:shd w:val="clear" w:color="auto" w:fill="D9D9D9" w:themeFill="background1" w:themeFillShade="D9"/>
            <w:vAlign w:val="center"/>
          </w:tcPr>
          <w:p w14:paraId="267085E5" w14:textId="77777777" w:rsidR="00EC37C5" w:rsidRPr="00DD57AE" w:rsidRDefault="00EC37C5">
            <w:pPr>
              <w:spacing w:before="60" w:after="60"/>
              <w:jc w:val="right"/>
              <w:rPr>
                <w:i/>
                <w:noProof/>
                <w:color w:val="000000"/>
                <w:sz w:val="20"/>
                <w:szCs w:val="20"/>
                <w:lang w:eastAsia="en-IE"/>
              </w:rPr>
            </w:pPr>
            <w:r w:rsidRPr="00DD57AE">
              <w:rPr>
                <w:noProof/>
                <w:color w:val="000000"/>
                <w:sz w:val="20"/>
                <w:szCs w:val="20"/>
              </w:rPr>
              <w:t>77</w:t>
            </w:r>
          </w:p>
        </w:tc>
        <w:tc>
          <w:tcPr>
            <w:tcW w:w="996" w:type="dxa"/>
            <w:tcBorders>
              <w:bottom w:val="single" w:sz="4" w:space="0" w:color="auto"/>
            </w:tcBorders>
            <w:shd w:val="clear" w:color="auto" w:fill="D9D9D9" w:themeFill="background1" w:themeFillShade="D9"/>
            <w:vAlign w:val="center"/>
          </w:tcPr>
          <w:p w14:paraId="45CD694C" w14:textId="77777777" w:rsidR="00EC37C5" w:rsidRPr="00DD57AE" w:rsidRDefault="00EC37C5">
            <w:pPr>
              <w:spacing w:before="60" w:after="60"/>
              <w:jc w:val="right"/>
              <w:rPr>
                <w:i/>
                <w:noProof/>
                <w:color w:val="000000"/>
                <w:sz w:val="20"/>
                <w:szCs w:val="20"/>
                <w:lang w:eastAsia="en-IE"/>
              </w:rPr>
            </w:pPr>
            <w:r w:rsidRPr="00DD57AE">
              <w:rPr>
                <w:noProof/>
                <w:color w:val="000000"/>
                <w:sz w:val="20"/>
                <w:szCs w:val="20"/>
              </w:rPr>
              <w:t>87</w:t>
            </w:r>
          </w:p>
        </w:tc>
        <w:tc>
          <w:tcPr>
            <w:tcW w:w="996" w:type="dxa"/>
            <w:tcBorders>
              <w:bottom w:val="single" w:sz="4" w:space="0" w:color="auto"/>
            </w:tcBorders>
            <w:shd w:val="clear" w:color="auto" w:fill="D9D9D9" w:themeFill="background1" w:themeFillShade="D9"/>
            <w:vAlign w:val="center"/>
          </w:tcPr>
          <w:p w14:paraId="744D70E8" w14:textId="77777777" w:rsidR="00EC37C5" w:rsidRPr="00DD57AE" w:rsidRDefault="00EC37C5">
            <w:pPr>
              <w:spacing w:before="60" w:after="60"/>
              <w:jc w:val="right"/>
              <w:rPr>
                <w:i/>
                <w:iCs/>
                <w:noProof/>
                <w:sz w:val="20"/>
                <w:szCs w:val="20"/>
              </w:rPr>
            </w:pPr>
            <w:r w:rsidRPr="00DD57AE">
              <w:rPr>
                <w:noProof/>
                <w:color w:val="000000"/>
                <w:sz w:val="20"/>
                <w:szCs w:val="20"/>
              </w:rPr>
              <w:t>87</w:t>
            </w:r>
          </w:p>
        </w:tc>
        <w:tc>
          <w:tcPr>
            <w:tcW w:w="996" w:type="dxa"/>
            <w:tcBorders>
              <w:bottom w:val="single" w:sz="4" w:space="0" w:color="auto"/>
            </w:tcBorders>
            <w:shd w:val="clear" w:color="auto" w:fill="D9D9D9" w:themeFill="background1" w:themeFillShade="D9"/>
            <w:vAlign w:val="center"/>
          </w:tcPr>
          <w:p w14:paraId="59F16E7D" w14:textId="77777777" w:rsidR="00EC37C5" w:rsidRPr="00DD57AE" w:rsidRDefault="00EC37C5">
            <w:pPr>
              <w:spacing w:before="60" w:after="60"/>
              <w:jc w:val="right"/>
              <w:rPr>
                <w:i/>
                <w:iCs/>
                <w:noProof/>
                <w:sz w:val="20"/>
                <w:szCs w:val="20"/>
              </w:rPr>
            </w:pPr>
            <w:r w:rsidRPr="00DD57AE">
              <w:rPr>
                <w:noProof/>
                <w:color w:val="000000"/>
                <w:sz w:val="20"/>
                <w:szCs w:val="20"/>
              </w:rPr>
              <w:t>87</w:t>
            </w:r>
          </w:p>
        </w:tc>
        <w:tc>
          <w:tcPr>
            <w:tcW w:w="996" w:type="dxa"/>
            <w:tcBorders>
              <w:bottom w:val="single" w:sz="4" w:space="0" w:color="auto"/>
            </w:tcBorders>
            <w:shd w:val="clear" w:color="auto" w:fill="D9D9D9" w:themeFill="background1" w:themeFillShade="D9"/>
            <w:vAlign w:val="center"/>
          </w:tcPr>
          <w:p w14:paraId="1E289524" w14:textId="77777777" w:rsidR="00EC37C5" w:rsidRPr="00DD57AE" w:rsidRDefault="00EC37C5">
            <w:pPr>
              <w:spacing w:before="60" w:after="60"/>
              <w:jc w:val="right"/>
              <w:rPr>
                <w:i/>
                <w:iCs/>
                <w:noProof/>
                <w:sz w:val="20"/>
                <w:szCs w:val="20"/>
              </w:rPr>
            </w:pPr>
            <w:r w:rsidRPr="00DD57AE">
              <w:rPr>
                <w:noProof/>
                <w:color w:val="000000"/>
                <w:sz w:val="20"/>
                <w:szCs w:val="20"/>
              </w:rPr>
              <w:t>87</w:t>
            </w:r>
          </w:p>
        </w:tc>
      </w:tr>
      <w:tr w:rsidR="00EC37C5" w:rsidRPr="00922145" w14:paraId="50703B2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1"/>
          <w:jc w:val="center"/>
        </w:trPr>
        <w:tc>
          <w:tcPr>
            <w:tcW w:w="254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386BBB0" w14:textId="77777777" w:rsidR="00EC37C5" w:rsidRPr="00922145" w:rsidRDefault="00EC37C5">
            <w:pPr>
              <w:spacing w:before="60" w:after="60"/>
              <w:jc w:val="left"/>
              <w:rPr>
                <w:noProof/>
                <w:sz w:val="20"/>
                <w:szCs w:val="20"/>
              </w:rPr>
            </w:pPr>
            <w:r w:rsidRPr="00922145">
              <w:rPr>
                <w:b/>
                <w:noProof/>
                <w:sz w:val="20"/>
                <w:szCs w:val="20"/>
              </w:rPr>
              <w:t>TOTAL staff</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2DB4E9E" w14:textId="77777777" w:rsidR="00EC37C5" w:rsidRPr="00DD57AE" w:rsidRDefault="00EC37C5">
            <w:pPr>
              <w:spacing w:before="60" w:after="60"/>
              <w:jc w:val="right"/>
              <w:rPr>
                <w:noProof/>
                <w:sz w:val="20"/>
                <w:szCs w:val="20"/>
              </w:rPr>
            </w:pPr>
            <w:r w:rsidRPr="00DD57AE">
              <w:rPr>
                <w:noProof/>
                <w:color w:val="000000"/>
                <w:sz w:val="20"/>
                <w:szCs w:val="20"/>
              </w:rPr>
              <w:t>35</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263CAA9" w14:textId="77777777" w:rsidR="00EC37C5" w:rsidRPr="00DD57AE" w:rsidRDefault="00EC37C5">
            <w:pPr>
              <w:spacing w:before="60" w:after="60"/>
              <w:jc w:val="right"/>
              <w:rPr>
                <w:b/>
                <w:bCs/>
                <w:noProof/>
                <w:color w:val="000000"/>
                <w:sz w:val="20"/>
                <w:szCs w:val="20"/>
                <w:lang w:eastAsia="en-IE"/>
              </w:rPr>
            </w:pPr>
            <w:r w:rsidRPr="00DD57AE">
              <w:rPr>
                <w:noProof/>
                <w:color w:val="000000"/>
                <w:sz w:val="20"/>
                <w:szCs w:val="20"/>
              </w:rPr>
              <w:t>70</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9625EE8" w14:textId="77777777" w:rsidR="00EC37C5" w:rsidRPr="00DD57AE" w:rsidRDefault="00EC37C5">
            <w:pPr>
              <w:spacing w:before="60" w:after="60"/>
              <w:jc w:val="right"/>
              <w:rPr>
                <w:b/>
                <w:bCs/>
                <w:noProof/>
                <w:color w:val="000000"/>
                <w:sz w:val="20"/>
                <w:szCs w:val="20"/>
                <w:lang w:eastAsia="en-IE"/>
              </w:rPr>
            </w:pPr>
            <w:r w:rsidRPr="00DD57AE">
              <w:rPr>
                <w:noProof/>
                <w:color w:val="000000"/>
                <w:sz w:val="20"/>
                <w:szCs w:val="20"/>
              </w:rPr>
              <w:t>105</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DDFB5E2" w14:textId="77777777" w:rsidR="00EC37C5" w:rsidRPr="00DD57AE" w:rsidRDefault="00EC37C5">
            <w:pPr>
              <w:spacing w:before="60" w:after="60"/>
              <w:jc w:val="right"/>
              <w:rPr>
                <w:b/>
                <w:bCs/>
                <w:noProof/>
                <w:color w:val="000000"/>
                <w:sz w:val="20"/>
                <w:szCs w:val="20"/>
                <w:lang w:eastAsia="en-IE"/>
              </w:rPr>
            </w:pPr>
            <w:r w:rsidRPr="00DD57AE">
              <w:rPr>
                <w:noProof/>
                <w:color w:val="000000"/>
                <w:sz w:val="20"/>
                <w:szCs w:val="20"/>
              </w:rPr>
              <w:t>118</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A519A82" w14:textId="77777777" w:rsidR="00EC37C5" w:rsidRPr="00DD57AE" w:rsidRDefault="00EC37C5">
            <w:pPr>
              <w:spacing w:before="60" w:after="60"/>
              <w:jc w:val="right"/>
              <w:rPr>
                <w:b/>
                <w:noProof/>
                <w:sz w:val="20"/>
                <w:szCs w:val="20"/>
              </w:rPr>
            </w:pPr>
            <w:r w:rsidRPr="00DD57AE">
              <w:rPr>
                <w:noProof/>
                <w:color w:val="000000"/>
                <w:sz w:val="20"/>
                <w:szCs w:val="20"/>
              </w:rPr>
              <w:t>118</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7A14D49" w14:textId="77777777" w:rsidR="00EC37C5" w:rsidRPr="00DD57AE" w:rsidRDefault="00EC37C5">
            <w:pPr>
              <w:spacing w:before="60" w:after="60"/>
              <w:jc w:val="right"/>
              <w:rPr>
                <w:b/>
                <w:noProof/>
                <w:sz w:val="20"/>
                <w:szCs w:val="20"/>
              </w:rPr>
            </w:pPr>
            <w:r w:rsidRPr="00DD57AE">
              <w:rPr>
                <w:noProof/>
                <w:color w:val="000000"/>
                <w:sz w:val="20"/>
                <w:szCs w:val="20"/>
              </w:rPr>
              <w:t>118</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21EBE1D" w14:textId="77777777" w:rsidR="00EC37C5" w:rsidRPr="00DD57AE" w:rsidRDefault="00EC37C5">
            <w:pPr>
              <w:spacing w:before="60" w:after="60"/>
              <w:jc w:val="right"/>
              <w:rPr>
                <w:b/>
                <w:noProof/>
                <w:sz w:val="20"/>
                <w:szCs w:val="20"/>
              </w:rPr>
            </w:pPr>
            <w:r w:rsidRPr="00DD57AE">
              <w:rPr>
                <w:noProof/>
                <w:color w:val="000000"/>
                <w:sz w:val="20"/>
                <w:szCs w:val="20"/>
              </w:rPr>
              <w:t>118</w:t>
            </w:r>
          </w:p>
        </w:tc>
      </w:tr>
    </w:tbl>
    <w:p w14:paraId="0590ED22" w14:textId="1B5D95F8" w:rsidR="00EC37C5" w:rsidRDefault="00EC37C5" w:rsidP="00EC37C5">
      <w:pPr>
        <w:spacing w:before="240"/>
        <w:rPr>
          <w:noProof/>
          <w:sz w:val="22"/>
          <w:u w:val="single"/>
        </w:rPr>
      </w:pPr>
      <w:r w:rsidRPr="00922145">
        <w:rPr>
          <w:noProof/>
          <w:sz w:val="22"/>
          <w:u w:val="single"/>
        </w:rPr>
        <w:t>Appropriations covered by the EU budget contribution in EUR million (to three decimal places)</w:t>
      </w:r>
    </w:p>
    <w:tbl>
      <w:tblPr>
        <w:tblW w:w="9525"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698"/>
        <w:gridCol w:w="840"/>
        <w:gridCol w:w="841"/>
        <w:gridCol w:w="841"/>
        <w:gridCol w:w="841"/>
        <w:gridCol w:w="841"/>
        <w:gridCol w:w="841"/>
        <w:gridCol w:w="841"/>
        <w:gridCol w:w="941"/>
      </w:tblGrid>
      <w:tr w:rsidR="00EC37C5" w:rsidRPr="00922145" w14:paraId="265632E2" w14:textId="77777777">
        <w:trPr>
          <w:cantSplit/>
          <w:trHeight w:val="571"/>
        </w:trPr>
        <w:tc>
          <w:tcPr>
            <w:tcW w:w="2698" w:type="dxa"/>
            <w:vAlign w:val="center"/>
          </w:tcPr>
          <w:p w14:paraId="23E5D578" w14:textId="77777777" w:rsidR="00EC37C5" w:rsidRPr="00922145" w:rsidRDefault="00EC37C5">
            <w:pPr>
              <w:spacing w:before="60" w:after="60"/>
              <w:jc w:val="center"/>
              <w:rPr>
                <w:b/>
                <w:bCs/>
                <w:noProof/>
                <w:color w:val="444444"/>
                <w:sz w:val="20"/>
                <w:szCs w:val="20"/>
                <w:shd w:val="clear" w:color="auto" w:fill="FFFFFF"/>
              </w:rPr>
            </w:pPr>
            <w:r w:rsidRPr="00922145">
              <w:rPr>
                <w:b/>
                <w:bCs/>
                <w:noProof/>
                <w:color w:val="444444"/>
                <w:sz w:val="20"/>
                <w:szCs w:val="20"/>
                <w:shd w:val="clear" w:color="auto" w:fill="FFFFFF"/>
              </w:rPr>
              <w:t>Agency: ENISA</w:t>
            </w:r>
          </w:p>
        </w:tc>
        <w:tc>
          <w:tcPr>
            <w:tcW w:w="840" w:type="dxa"/>
            <w:vAlign w:val="center"/>
          </w:tcPr>
          <w:p w14:paraId="433B2533" w14:textId="77777777" w:rsidR="00EC37C5" w:rsidRPr="00922145" w:rsidRDefault="00EC37C5">
            <w:pPr>
              <w:jc w:val="center"/>
              <w:rPr>
                <w:noProof/>
                <w:sz w:val="20"/>
              </w:rPr>
            </w:pPr>
            <w:r w:rsidRPr="00922145">
              <w:rPr>
                <w:noProof/>
                <w:sz w:val="20"/>
                <w:szCs w:val="20"/>
              </w:rPr>
              <w:t>Year</w:t>
            </w:r>
            <w:r w:rsidRPr="00922145">
              <w:rPr>
                <w:b/>
                <w:bCs/>
                <w:noProof/>
                <w:sz w:val="20"/>
                <w:szCs w:val="20"/>
              </w:rPr>
              <w:t xml:space="preserve"> 2028</w:t>
            </w:r>
          </w:p>
        </w:tc>
        <w:tc>
          <w:tcPr>
            <w:tcW w:w="841" w:type="dxa"/>
            <w:vAlign w:val="center"/>
          </w:tcPr>
          <w:p w14:paraId="4F0EEFBE" w14:textId="77777777" w:rsidR="00EC37C5" w:rsidRPr="00922145" w:rsidRDefault="00EC37C5">
            <w:pPr>
              <w:jc w:val="center"/>
              <w:rPr>
                <w:noProof/>
                <w:sz w:val="20"/>
              </w:rPr>
            </w:pPr>
            <w:r w:rsidRPr="00922145">
              <w:rPr>
                <w:noProof/>
                <w:sz w:val="20"/>
                <w:szCs w:val="20"/>
              </w:rPr>
              <w:t>Year</w:t>
            </w:r>
            <w:r w:rsidRPr="00922145">
              <w:rPr>
                <w:b/>
                <w:bCs/>
                <w:noProof/>
                <w:sz w:val="20"/>
                <w:szCs w:val="20"/>
              </w:rPr>
              <w:t xml:space="preserve"> 2029</w:t>
            </w:r>
          </w:p>
        </w:tc>
        <w:tc>
          <w:tcPr>
            <w:tcW w:w="841" w:type="dxa"/>
            <w:vAlign w:val="center"/>
          </w:tcPr>
          <w:p w14:paraId="0B101A2D" w14:textId="77777777" w:rsidR="00EC37C5" w:rsidRPr="00922145" w:rsidRDefault="00EC37C5">
            <w:pPr>
              <w:jc w:val="center"/>
              <w:rPr>
                <w:noProof/>
                <w:sz w:val="20"/>
              </w:rPr>
            </w:pPr>
            <w:r w:rsidRPr="00922145">
              <w:rPr>
                <w:noProof/>
                <w:sz w:val="20"/>
                <w:szCs w:val="20"/>
              </w:rPr>
              <w:t>Year</w:t>
            </w:r>
            <w:r w:rsidRPr="00922145">
              <w:rPr>
                <w:b/>
                <w:bCs/>
                <w:noProof/>
                <w:sz w:val="20"/>
                <w:szCs w:val="20"/>
              </w:rPr>
              <w:t xml:space="preserve"> 2030</w:t>
            </w:r>
          </w:p>
        </w:tc>
        <w:tc>
          <w:tcPr>
            <w:tcW w:w="841" w:type="dxa"/>
            <w:vAlign w:val="center"/>
          </w:tcPr>
          <w:p w14:paraId="03C8F523" w14:textId="77777777" w:rsidR="00EC37C5" w:rsidRPr="00922145" w:rsidRDefault="00EC37C5">
            <w:pPr>
              <w:jc w:val="center"/>
              <w:rPr>
                <w:noProof/>
                <w:sz w:val="20"/>
              </w:rPr>
            </w:pPr>
            <w:r w:rsidRPr="00922145">
              <w:rPr>
                <w:noProof/>
                <w:sz w:val="20"/>
                <w:szCs w:val="20"/>
              </w:rPr>
              <w:t>Year</w:t>
            </w:r>
            <w:r w:rsidRPr="00922145">
              <w:rPr>
                <w:b/>
                <w:bCs/>
                <w:noProof/>
                <w:sz w:val="20"/>
                <w:szCs w:val="20"/>
              </w:rPr>
              <w:t xml:space="preserve"> 2031</w:t>
            </w:r>
          </w:p>
        </w:tc>
        <w:tc>
          <w:tcPr>
            <w:tcW w:w="841" w:type="dxa"/>
            <w:vAlign w:val="center"/>
          </w:tcPr>
          <w:p w14:paraId="4F70E973" w14:textId="77777777" w:rsidR="00EC37C5" w:rsidRPr="00922145" w:rsidRDefault="00EC37C5">
            <w:pPr>
              <w:jc w:val="center"/>
              <w:rPr>
                <w:noProof/>
                <w:sz w:val="20"/>
              </w:rPr>
            </w:pPr>
            <w:r w:rsidRPr="00922145">
              <w:rPr>
                <w:noProof/>
                <w:sz w:val="20"/>
                <w:szCs w:val="20"/>
              </w:rPr>
              <w:t>Year</w:t>
            </w:r>
            <w:r w:rsidRPr="00922145">
              <w:rPr>
                <w:b/>
                <w:noProof/>
                <w:sz w:val="20"/>
                <w:szCs w:val="20"/>
              </w:rPr>
              <w:t xml:space="preserve"> 2032</w:t>
            </w:r>
          </w:p>
        </w:tc>
        <w:tc>
          <w:tcPr>
            <w:tcW w:w="841" w:type="dxa"/>
            <w:vAlign w:val="center"/>
          </w:tcPr>
          <w:p w14:paraId="39B8C149" w14:textId="77777777" w:rsidR="00EC37C5" w:rsidRPr="00922145" w:rsidRDefault="00EC37C5">
            <w:pPr>
              <w:jc w:val="center"/>
              <w:rPr>
                <w:noProof/>
                <w:sz w:val="20"/>
              </w:rPr>
            </w:pPr>
            <w:r w:rsidRPr="00922145">
              <w:rPr>
                <w:noProof/>
                <w:sz w:val="20"/>
                <w:szCs w:val="20"/>
              </w:rPr>
              <w:t>Year</w:t>
            </w:r>
            <w:r w:rsidRPr="00922145">
              <w:rPr>
                <w:b/>
                <w:noProof/>
                <w:sz w:val="20"/>
                <w:szCs w:val="20"/>
              </w:rPr>
              <w:t xml:space="preserve"> 2033</w:t>
            </w:r>
          </w:p>
        </w:tc>
        <w:tc>
          <w:tcPr>
            <w:tcW w:w="841" w:type="dxa"/>
            <w:vAlign w:val="center"/>
          </w:tcPr>
          <w:p w14:paraId="7FDBE58F" w14:textId="77777777" w:rsidR="00EC37C5" w:rsidRPr="00922145" w:rsidRDefault="00EC37C5">
            <w:pPr>
              <w:jc w:val="center"/>
              <w:rPr>
                <w:noProof/>
                <w:sz w:val="20"/>
              </w:rPr>
            </w:pPr>
            <w:r w:rsidRPr="00922145">
              <w:rPr>
                <w:noProof/>
                <w:sz w:val="20"/>
                <w:szCs w:val="20"/>
              </w:rPr>
              <w:t>Year</w:t>
            </w:r>
            <w:r w:rsidRPr="00922145">
              <w:rPr>
                <w:b/>
                <w:noProof/>
                <w:sz w:val="20"/>
                <w:szCs w:val="20"/>
              </w:rPr>
              <w:t xml:space="preserve"> 2034</w:t>
            </w:r>
          </w:p>
        </w:tc>
        <w:tc>
          <w:tcPr>
            <w:tcW w:w="941" w:type="dxa"/>
            <w:vAlign w:val="center"/>
          </w:tcPr>
          <w:p w14:paraId="32028933" w14:textId="77777777" w:rsidR="00EC37C5" w:rsidRPr="00922145" w:rsidRDefault="00EC37C5">
            <w:pPr>
              <w:spacing w:before="60" w:after="60"/>
              <w:jc w:val="center"/>
              <w:rPr>
                <w:noProof/>
                <w:sz w:val="20"/>
                <w:szCs w:val="20"/>
              </w:rPr>
            </w:pPr>
            <w:r w:rsidRPr="00922145">
              <w:rPr>
                <w:b/>
                <w:bCs/>
                <w:noProof/>
                <w:color w:val="000000"/>
                <w:sz w:val="20"/>
                <w:szCs w:val="20"/>
                <w:lang w:eastAsia="en-IE"/>
              </w:rPr>
              <w:t xml:space="preserve">TOTAL 2028 </w:t>
            </w:r>
            <w:r>
              <w:rPr>
                <w:b/>
                <w:bCs/>
                <w:noProof/>
                <w:color w:val="000000"/>
                <w:sz w:val="20"/>
                <w:szCs w:val="20"/>
                <w:lang w:eastAsia="en-IE"/>
              </w:rPr>
              <w:t>–</w:t>
            </w:r>
            <w:r w:rsidRPr="00922145">
              <w:rPr>
                <w:b/>
                <w:bCs/>
                <w:noProof/>
                <w:color w:val="000000"/>
                <w:sz w:val="20"/>
                <w:szCs w:val="20"/>
                <w:lang w:eastAsia="en-IE"/>
              </w:rPr>
              <w:t xml:space="preserve"> 2034</w:t>
            </w:r>
          </w:p>
        </w:tc>
      </w:tr>
      <w:tr w:rsidR="008E3FA9" w:rsidRPr="00922145" w14:paraId="09AFC824" w14:textId="77777777">
        <w:trPr>
          <w:cantSplit/>
          <w:trHeight w:val="683"/>
        </w:trPr>
        <w:tc>
          <w:tcPr>
            <w:tcW w:w="2698" w:type="dxa"/>
            <w:vAlign w:val="center"/>
          </w:tcPr>
          <w:p w14:paraId="53EADB45" w14:textId="77777777" w:rsidR="008E3FA9" w:rsidRPr="00922145" w:rsidRDefault="008E3FA9" w:rsidP="008E3FA9">
            <w:pPr>
              <w:jc w:val="left"/>
              <w:rPr>
                <w:noProof/>
              </w:rPr>
            </w:pPr>
            <w:r w:rsidRPr="00922145">
              <w:rPr>
                <w:noProof/>
                <w:sz w:val="20"/>
                <w:szCs w:val="20"/>
              </w:rPr>
              <w:t>Title 1: Staff expenditure</w:t>
            </w:r>
          </w:p>
        </w:tc>
        <w:tc>
          <w:tcPr>
            <w:tcW w:w="840" w:type="dxa"/>
            <w:vAlign w:val="center"/>
          </w:tcPr>
          <w:p w14:paraId="13630FD5" w14:textId="5C9DB399" w:rsidR="008E3FA9" w:rsidRPr="00922145" w:rsidRDefault="008E3FA9" w:rsidP="008E3FA9">
            <w:pPr>
              <w:spacing w:before="60" w:after="60"/>
              <w:jc w:val="right"/>
              <w:rPr>
                <w:noProof/>
                <w:sz w:val="20"/>
                <w:szCs w:val="20"/>
              </w:rPr>
            </w:pPr>
            <w:r w:rsidRPr="3AF1F4E2">
              <w:rPr>
                <w:noProof/>
                <w:color w:val="000000" w:themeColor="text1"/>
                <w:sz w:val="20"/>
                <w:szCs w:val="20"/>
              </w:rPr>
              <w:t>4,</w:t>
            </w:r>
            <w:r>
              <w:rPr>
                <w:noProof/>
                <w:color w:val="000000" w:themeColor="text1"/>
                <w:sz w:val="20"/>
                <w:szCs w:val="20"/>
              </w:rPr>
              <w:t>488</w:t>
            </w:r>
          </w:p>
        </w:tc>
        <w:tc>
          <w:tcPr>
            <w:tcW w:w="841" w:type="dxa"/>
            <w:vAlign w:val="center"/>
          </w:tcPr>
          <w:p w14:paraId="5A630B42" w14:textId="7A1765F6" w:rsidR="008E3FA9" w:rsidRPr="00922145" w:rsidRDefault="008E3FA9" w:rsidP="008E3FA9">
            <w:pPr>
              <w:spacing w:before="60" w:after="60"/>
              <w:jc w:val="right"/>
              <w:rPr>
                <w:noProof/>
                <w:sz w:val="20"/>
              </w:rPr>
            </w:pPr>
            <w:r>
              <w:rPr>
                <w:noProof/>
                <w:color w:val="000000" w:themeColor="text1"/>
                <w:sz w:val="20"/>
                <w:szCs w:val="20"/>
              </w:rPr>
              <w:t xml:space="preserve">8,466 </w:t>
            </w:r>
          </w:p>
        </w:tc>
        <w:tc>
          <w:tcPr>
            <w:tcW w:w="841" w:type="dxa"/>
            <w:vAlign w:val="center"/>
          </w:tcPr>
          <w:p w14:paraId="24B3DB9D" w14:textId="5F81AE45" w:rsidR="008E3FA9" w:rsidRPr="00922145" w:rsidRDefault="008E3FA9" w:rsidP="008E3FA9">
            <w:pPr>
              <w:spacing w:before="60" w:after="60"/>
              <w:jc w:val="right"/>
              <w:rPr>
                <w:noProof/>
                <w:sz w:val="20"/>
              </w:rPr>
            </w:pPr>
            <w:r>
              <w:rPr>
                <w:noProof/>
                <w:color w:val="000000" w:themeColor="text1"/>
                <w:sz w:val="20"/>
                <w:szCs w:val="20"/>
              </w:rPr>
              <w:t>12,507</w:t>
            </w:r>
          </w:p>
        </w:tc>
        <w:tc>
          <w:tcPr>
            <w:tcW w:w="841" w:type="dxa"/>
            <w:vAlign w:val="center"/>
          </w:tcPr>
          <w:p w14:paraId="22FCDA72" w14:textId="73847B9A" w:rsidR="008E3FA9" w:rsidRPr="00922145" w:rsidRDefault="008E3FA9" w:rsidP="008E3FA9">
            <w:pPr>
              <w:spacing w:before="60" w:after="60"/>
              <w:jc w:val="right"/>
              <w:rPr>
                <w:noProof/>
                <w:sz w:val="20"/>
              </w:rPr>
            </w:pPr>
            <w:r>
              <w:rPr>
                <w:noProof/>
                <w:color w:val="000000" w:themeColor="text1"/>
                <w:sz w:val="20"/>
                <w:szCs w:val="20"/>
              </w:rPr>
              <w:t>13,648</w:t>
            </w:r>
          </w:p>
        </w:tc>
        <w:tc>
          <w:tcPr>
            <w:tcW w:w="841" w:type="dxa"/>
            <w:vAlign w:val="center"/>
          </w:tcPr>
          <w:p w14:paraId="59551B08" w14:textId="15F13D79" w:rsidR="008E3FA9" w:rsidRPr="00922145" w:rsidRDefault="008E3FA9" w:rsidP="008E3FA9">
            <w:pPr>
              <w:spacing w:before="60" w:after="60"/>
              <w:jc w:val="right"/>
              <w:rPr>
                <w:noProof/>
                <w:sz w:val="20"/>
              </w:rPr>
            </w:pPr>
            <w:r>
              <w:rPr>
                <w:noProof/>
                <w:color w:val="000000" w:themeColor="text1"/>
                <w:sz w:val="20"/>
                <w:szCs w:val="20"/>
              </w:rPr>
              <w:t>10,584</w:t>
            </w:r>
          </w:p>
        </w:tc>
        <w:tc>
          <w:tcPr>
            <w:tcW w:w="841" w:type="dxa"/>
            <w:vAlign w:val="center"/>
          </w:tcPr>
          <w:p w14:paraId="30FAF705" w14:textId="61608E7C" w:rsidR="008E3FA9" w:rsidRPr="00922145" w:rsidRDefault="008E3FA9" w:rsidP="008E3FA9">
            <w:pPr>
              <w:spacing w:before="60" w:after="60"/>
              <w:jc w:val="right"/>
              <w:rPr>
                <w:noProof/>
                <w:sz w:val="20"/>
              </w:rPr>
            </w:pPr>
            <w:r>
              <w:rPr>
                <w:noProof/>
                <w:color w:val="000000" w:themeColor="text1"/>
                <w:sz w:val="20"/>
                <w:szCs w:val="20"/>
              </w:rPr>
              <w:t>10,012</w:t>
            </w:r>
          </w:p>
        </w:tc>
        <w:tc>
          <w:tcPr>
            <w:tcW w:w="841" w:type="dxa"/>
            <w:vAlign w:val="center"/>
          </w:tcPr>
          <w:p w14:paraId="26E350FC" w14:textId="5208CDD0" w:rsidR="008E3FA9" w:rsidRPr="00922145" w:rsidRDefault="008E3FA9" w:rsidP="008E3FA9">
            <w:pPr>
              <w:spacing w:before="60" w:after="60"/>
              <w:jc w:val="right"/>
              <w:rPr>
                <w:noProof/>
                <w:sz w:val="20"/>
              </w:rPr>
            </w:pPr>
            <w:r>
              <w:rPr>
                <w:noProof/>
                <w:color w:val="000000" w:themeColor="text1"/>
                <w:sz w:val="20"/>
                <w:szCs w:val="20"/>
              </w:rPr>
              <w:t>9,537</w:t>
            </w:r>
          </w:p>
        </w:tc>
        <w:tc>
          <w:tcPr>
            <w:tcW w:w="941" w:type="dxa"/>
            <w:vAlign w:val="center"/>
          </w:tcPr>
          <w:p w14:paraId="79A6A909" w14:textId="60C34870" w:rsidR="008E3FA9" w:rsidRPr="00922145" w:rsidRDefault="008E3FA9" w:rsidP="008E3FA9">
            <w:pPr>
              <w:spacing w:before="60" w:after="60"/>
              <w:jc w:val="right"/>
              <w:rPr>
                <w:noProof/>
                <w:sz w:val="20"/>
                <w:szCs w:val="20"/>
              </w:rPr>
            </w:pPr>
            <w:r>
              <w:rPr>
                <w:b/>
                <w:bCs/>
                <w:noProof/>
                <w:color w:val="000000" w:themeColor="text1"/>
                <w:sz w:val="20"/>
                <w:szCs w:val="20"/>
              </w:rPr>
              <w:t>87,766</w:t>
            </w:r>
          </w:p>
        </w:tc>
      </w:tr>
      <w:tr w:rsidR="00EC37C5" w:rsidRPr="00922145" w14:paraId="05DDF6A1" w14:textId="77777777">
        <w:trPr>
          <w:cantSplit/>
          <w:trHeight w:val="683"/>
        </w:trPr>
        <w:tc>
          <w:tcPr>
            <w:tcW w:w="2698" w:type="dxa"/>
            <w:vAlign w:val="center"/>
          </w:tcPr>
          <w:p w14:paraId="379DC8F2" w14:textId="77777777" w:rsidR="00EC37C5" w:rsidRPr="00922145" w:rsidRDefault="00EC37C5">
            <w:pPr>
              <w:jc w:val="left"/>
              <w:rPr>
                <w:noProof/>
                <w:sz w:val="20"/>
              </w:rPr>
            </w:pPr>
            <w:r w:rsidRPr="00922145">
              <w:rPr>
                <w:noProof/>
                <w:sz w:val="20"/>
                <w:szCs w:val="20"/>
              </w:rPr>
              <w:t>Title 2: Infrastructure and operating expenditure</w:t>
            </w:r>
          </w:p>
        </w:tc>
        <w:tc>
          <w:tcPr>
            <w:tcW w:w="840" w:type="dxa"/>
            <w:vAlign w:val="center"/>
          </w:tcPr>
          <w:p w14:paraId="3B32CAC6" w14:textId="77777777" w:rsidR="00EC37C5" w:rsidRPr="00922145" w:rsidRDefault="00EC37C5">
            <w:pPr>
              <w:spacing w:before="60" w:after="60"/>
              <w:jc w:val="right"/>
              <w:rPr>
                <w:noProof/>
                <w:sz w:val="20"/>
              </w:rPr>
            </w:pPr>
          </w:p>
        </w:tc>
        <w:tc>
          <w:tcPr>
            <w:tcW w:w="841" w:type="dxa"/>
            <w:vAlign w:val="center"/>
          </w:tcPr>
          <w:p w14:paraId="2699E61F" w14:textId="77777777" w:rsidR="00EC37C5" w:rsidRPr="00922145" w:rsidRDefault="00EC37C5">
            <w:pPr>
              <w:spacing w:before="60" w:after="60"/>
              <w:jc w:val="right"/>
              <w:rPr>
                <w:noProof/>
                <w:sz w:val="20"/>
              </w:rPr>
            </w:pPr>
          </w:p>
        </w:tc>
        <w:tc>
          <w:tcPr>
            <w:tcW w:w="841" w:type="dxa"/>
            <w:vAlign w:val="center"/>
          </w:tcPr>
          <w:p w14:paraId="791E0515" w14:textId="77777777" w:rsidR="00EC37C5" w:rsidRPr="00922145" w:rsidRDefault="00EC37C5">
            <w:pPr>
              <w:spacing w:before="60" w:after="60"/>
              <w:jc w:val="right"/>
              <w:rPr>
                <w:noProof/>
                <w:sz w:val="20"/>
              </w:rPr>
            </w:pPr>
          </w:p>
        </w:tc>
        <w:tc>
          <w:tcPr>
            <w:tcW w:w="841" w:type="dxa"/>
            <w:vAlign w:val="center"/>
          </w:tcPr>
          <w:p w14:paraId="0FB5DDF5" w14:textId="77777777" w:rsidR="00EC37C5" w:rsidRPr="00922145" w:rsidRDefault="00EC37C5">
            <w:pPr>
              <w:spacing w:before="60" w:after="60"/>
              <w:jc w:val="right"/>
              <w:rPr>
                <w:noProof/>
                <w:sz w:val="20"/>
              </w:rPr>
            </w:pPr>
          </w:p>
        </w:tc>
        <w:tc>
          <w:tcPr>
            <w:tcW w:w="841" w:type="dxa"/>
            <w:vAlign w:val="center"/>
          </w:tcPr>
          <w:p w14:paraId="4F10C610" w14:textId="77777777" w:rsidR="00EC37C5" w:rsidRPr="00922145" w:rsidRDefault="00EC37C5">
            <w:pPr>
              <w:spacing w:before="60" w:after="60"/>
              <w:jc w:val="right"/>
              <w:rPr>
                <w:noProof/>
                <w:sz w:val="20"/>
              </w:rPr>
            </w:pPr>
          </w:p>
        </w:tc>
        <w:tc>
          <w:tcPr>
            <w:tcW w:w="841" w:type="dxa"/>
            <w:vAlign w:val="center"/>
          </w:tcPr>
          <w:p w14:paraId="518B2748" w14:textId="77777777" w:rsidR="00EC37C5" w:rsidRPr="00922145" w:rsidRDefault="00EC37C5">
            <w:pPr>
              <w:spacing w:before="60" w:after="60"/>
              <w:jc w:val="right"/>
              <w:rPr>
                <w:noProof/>
                <w:sz w:val="20"/>
              </w:rPr>
            </w:pPr>
          </w:p>
        </w:tc>
        <w:tc>
          <w:tcPr>
            <w:tcW w:w="841" w:type="dxa"/>
            <w:vAlign w:val="center"/>
          </w:tcPr>
          <w:p w14:paraId="626EDC55" w14:textId="77777777" w:rsidR="00EC37C5" w:rsidRPr="00922145" w:rsidRDefault="00EC37C5">
            <w:pPr>
              <w:spacing w:before="60" w:after="60"/>
              <w:jc w:val="right"/>
              <w:rPr>
                <w:noProof/>
                <w:sz w:val="20"/>
              </w:rPr>
            </w:pPr>
          </w:p>
        </w:tc>
        <w:tc>
          <w:tcPr>
            <w:tcW w:w="941" w:type="dxa"/>
            <w:vAlign w:val="center"/>
          </w:tcPr>
          <w:p w14:paraId="5207874A" w14:textId="77777777" w:rsidR="00EC37C5" w:rsidRPr="00922145" w:rsidRDefault="00EC37C5">
            <w:pPr>
              <w:spacing w:before="60" w:after="60"/>
              <w:jc w:val="right"/>
              <w:rPr>
                <w:noProof/>
                <w:sz w:val="20"/>
                <w:szCs w:val="20"/>
              </w:rPr>
            </w:pPr>
          </w:p>
        </w:tc>
      </w:tr>
      <w:tr w:rsidR="008E3FA9" w:rsidRPr="00922145" w14:paraId="45D4804C" w14:textId="77777777">
        <w:trPr>
          <w:cantSplit/>
          <w:trHeight w:val="683"/>
        </w:trPr>
        <w:tc>
          <w:tcPr>
            <w:tcW w:w="2698" w:type="dxa"/>
            <w:vAlign w:val="center"/>
          </w:tcPr>
          <w:p w14:paraId="2F4B42AD" w14:textId="77777777" w:rsidR="008E3FA9" w:rsidRPr="00922145" w:rsidRDefault="008E3FA9" w:rsidP="008E3FA9">
            <w:pPr>
              <w:jc w:val="left"/>
              <w:rPr>
                <w:noProof/>
                <w:sz w:val="20"/>
              </w:rPr>
            </w:pPr>
            <w:r w:rsidRPr="00922145">
              <w:rPr>
                <w:noProof/>
                <w:sz w:val="20"/>
                <w:szCs w:val="20"/>
              </w:rPr>
              <w:t>Title 3: Operational expenditure</w:t>
            </w:r>
          </w:p>
        </w:tc>
        <w:tc>
          <w:tcPr>
            <w:tcW w:w="840" w:type="dxa"/>
            <w:vAlign w:val="center"/>
          </w:tcPr>
          <w:p w14:paraId="7549A58F" w14:textId="026B2105" w:rsidR="008E3FA9" w:rsidRPr="00922145" w:rsidRDefault="008E3FA9" w:rsidP="008E3FA9">
            <w:pPr>
              <w:spacing w:before="60" w:after="60"/>
              <w:jc w:val="right"/>
              <w:rPr>
                <w:noProof/>
                <w:sz w:val="20"/>
              </w:rPr>
            </w:pPr>
            <w:r w:rsidRPr="00493F87">
              <w:rPr>
                <w:noProof/>
                <w:color w:val="000000"/>
                <w:sz w:val="20"/>
                <w:szCs w:val="20"/>
              </w:rPr>
              <w:t>16,413</w:t>
            </w:r>
          </w:p>
        </w:tc>
        <w:tc>
          <w:tcPr>
            <w:tcW w:w="841" w:type="dxa"/>
            <w:vAlign w:val="center"/>
          </w:tcPr>
          <w:p w14:paraId="2561606D" w14:textId="0BA631FE" w:rsidR="008E3FA9" w:rsidRPr="00922145" w:rsidRDefault="008E3FA9" w:rsidP="008E3FA9">
            <w:pPr>
              <w:spacing w:before="60" w:after="60"/>
              <w:jc w:val="right"/>
              <w:rPr>
                <w:noProof/>
                <w:sz w:val="20"/>
              </w:rPr>
            </w:pPr>
            <w:r w:rsidRPr="00493F87">
              <w:rPr>
                <w:noProof/>
                <w:color w:val="000000"/>
                <w:sz w:val="20"/>
                <w:szCs w:val="20"/>
              </w:rPr>
              <w:t xml:space="preserve"> 11,588</w:t>
            </w:r>
          </w:p>
        </w:tc>
        <w:tc>
          <w:tcPr>
            <w:tcW w:w="841" w:type="dxa"/>
            <w:vAlign w:val="center"/>
          </w:tcPr>
          <w:p w14:paraId="23BD0AA5" w14:textId="6B52D1A3" w:rsidR="008E3FA9" w:rsidRPr="00922145" w:rsidRDefault="008E3FA9" w:rsidP="008E3FA9">
            <w:pPr>
              <w:spacing w:before="60" w:after="60"/>
              <w:jc w:val="right"/>
              <w:rPr>
                <w:noProof/>
                <w:sz w:val="20"/>
              </w:rPr>
            </w:pPr>
            <w:r w:rsidRPr="00493F87">
              <w:rPr>
                <w:noProof/>
                <w:color w:val="000000"/>
                <w:sz w:val="20"/>
                <w:szCs w:val="20"/>
              </w:rPr>
              <w:t xml:space="preserve"> 11,528</w:t>
            </w:r>
          </w:p>
        </w:tc>
        <w:tc>
          <w:tcPr>
            <w:tcW w:w="841" w:type="dxa"/>
            <w:vAlign w:val="center"/>
          </w:tcPr>
          <w:p w14:paraId="264E15A3" w14:textId="5A316669" w:rsidR="008E3FA9" w:rsidRPr="00922145" w:rsidRDefault="008E3FA9" w:rsidP="008E3FA9">
            <w:pPr>
              <w:spacing w:before="60" w:after="60"/>
              <w:jc w:val="right"/>
              <w:rPr>
                <w:noProof/>
                <w:sz w:val="20"/>
              </w:rPr>
            </w:pPr>
            <w:r w:rsidRPr="00493F87">
              <w:rPr>
                <w:noProof/>
                <w:color w:val="000000"/>
                <w:sz w:val="20"/>
                <w:szCs w:val="20"/>
              </w:rPr>
              <w:t xml:space="preserve"> 11,788</w:t>
            </w:r>
          </w:p>
        </w:tc>
        <w:tc>
          <w:tcPr>
            <w:tcW w:w="841" w:type="dxa"/>
            <w:vAlign w:val="center"/>
          </w:tcPr>
          <w:p w14:paraId="1CA0E2D0" w14:textId="14CFB779" w:rsidR="008E3FA9" w:rsidRPr="00922145" w:rsidRDefault="008E3FA9" w:rsidP="008E3FA9">
            <w:pPr>
              <w:spacing w:before="60" w:after="60"/>
              <w:jc w:val="right"/>
              <w:rPr>
                <w:noProof/>
                <w:sz w:val="20"/>
              </w:rPr>
            </w:pPr>
            <w:r w:rsidRPr="00493F87">
              <w:rPr>
                <w:noProof/>
                <w:color w:val="000000"/>
                <w:sz w:val="20"/>
                <w:szCs w:val="20"/>
              </w:rPr>
              <w:t xml:space="preserve"> 11,613</w:t>
            </w:r>
          </w:p>
        </w:tc>
        <w:tc>
          <w:tcPr>
            <w:tcW w:w="841" w:type="dxa"/>
            <w:vAlign w:val="center"/>
          </w:tcPr>
          <w:p w14:paraId="6329FBCF" w14:textId="450C0DE2" w:rsidR="008E3FA9" w:rsidRPr="00922145" w:rsidRDefault="008E3FA9" w:rsidP="008E3FA9">
            <w:pPr>
              <w:spacing w:before="60" w:after="60"/>
              <w:jc w:val="right"/>
              <w:rPr>
                <w:noProof/>
                <w:sz w:val="20"/>
              </w:rPr>
            </w:pPr>
            <w:r w:rsidRPr="00493F87">
              <w:rPr>
                <w:noProof/>
                <w:color w:val="000000"/>
                <w:sz w:val="20"/>
                <w:szCs w:val="20"/>
              </w:rPr>
              <w:t xml:space="preserve"> 11,613 </w:t>
            </w:r>
          </w:p>
        </w:tc>
        <w:tc>
          <w:tcPr>
            <w:tcW w:w="841" w:type="dxa"/>
            <w:vAlign w:val="center"/>
          </w:tcPr>
          <w:p w14:paraId="5CAE2185" w14:textId="3734F850" w:rsidR="008E3FA9" w:rsidRPr="00922145" w:rsidRDefault="008E3FA9" w:rsidP="008E3FA9">
            <w:pPr>
              <w:spacing w:before="60" w:after="60"/>
              <w:jc w:val="right"/>
              <w:rPr>
                <w:noProof/>
                <w:sz w:val="20"/>
              </w:rPr>
            </w:pPr>
            <w:r w:rsidRPr="00493F87">
              <w:rPr>
                <w:noProof/>
                <w:color w:val="000000"/>
                <w:sz w:val="20"/>
                <w:szCs w:val="20"/>
              </w:rPr>
              <w:t>11,113</w:t>
            </w:r>
          </w:p>
        </w:tc>
        <w:tc>
          <w:tcPr>
            <w:tcW w:w="941" w:type="dxa"/>
            <w:vAlign w:val="center"/>
          </w:tcPr>
          <w:p w14:paraId="1F48C5AF" w14:textId="1DAAF0F9" w:rsidR="008E3FA9" w:rsidRPr="00922145" w:rsidRDefault="008E3FA9" w:rsidP="008E3FA9">
            <w:pPr>
              <w:spacing w:before="60" w:after="60"/>
              <w:jc w:val="right"/>
              <w:rPr>
                <w:noProof/>
                <w:sz w:val="20"/>
                <w:szCs w:val="20"/>
              </w:rPr>
            </w:pPr>
            <w:r w:rsidRPr="00493F87">
              <w:rPr>
                <w:b/>
                <w:bCs/>
                <w:noProof/>
                <w:color w:val="000000"/>
                <w:sz w:val="20"/>
                <w:szCs w:val="20"/>
              </w:rPr>
              <w:t>85,240</w:t>
            </w:r>
          </w:p>
        </w:tc>
      </w:tr>
      <w:tr w:rsidR="00B81211" w:rsidRPr="00922145" w14:paraId="6F2DC35A" w14:textId="77777777">
        <w:trPr>
          <w:cantSplit/>
          <w:trHeight w:val="683"/>
        </w:trPr>
        <w:tc>
          <w:tcPr>
            <w:tcW w:w="2698" w:type="dxa"/>
            <w:shd w:val="clear" w:color="auto" w:fill="D9D9D9" w:themeFill="background1" w:themeFillShade="D9"/>
            <w:vAlign w:val="center"/>
          </w:tcPr>
          <w:p w14:paraId="044AC685" w14:textId="77777777" w:rsidR="008E3FA9" w:rsidRPr="00922145" w:rsidRDefault="008E3FA9" w:rsidP="008E3FA9">
            <w:pPr>
              <w:spacing w:before="60" w:after="60"/>
              <w:jc w:val="left"/>
              <w:rPr>
                <w:b/>
                <w:bCs/>
                <w:noProof/>
                <w:sz w:val="20"/>
              </w:rPr>
            </w:pPr>
            <w:r w:rsidRPr="00922145">
              <w:rPr>
                <w:b/>
                <w:bCs/>
                <w:noProof/>
                <w:sz w:val="20"/>
              </w:rPr>
              <w:t xml:space="preserve">TOTAL of appropriations covered by the EU budget </w:t>
            </w:r>
          </w:p>
        </w:tc>
        <w:tc>
          <w:tcPr>
            <w:tcW w:w="840" w:type="dxa"/>
            <w:shd w:val="clear" w:color="auto" w:fill="D9D9D9" w:themeFill="background1" w:themeFillShade="D9"/>
            <w:vAlign w:val="center"/>
          </w:tcPr>
          <w:p w14:paraId="43AE86CD" w14:textId="79BDCC44" w:rsidR="008E3FA9" w:rsidRPr="00922145" w:rsidRDefault="008E3FA9" w:rsidP="008E3FA9">
            <w:pPr>
              <w:spacing w:before="60" w:after="60"/>
              <w:jc w:val="right"/>
              <w:rPr>
                <w:noProof/>
                <w:sz w:val="20"/>
              </w:rPr>
            </w:pPr>
            <w:r w:rsidRPr="00493F87">
              <w:rPr>
                <w:b/>
                <w:bCs/>
                <w:noProof/>
                <w:color w:val="000000"/>
                <w:sz w:val="20"/>
                <w:szCs w:val="20"/>
              </w:rPr>
              <w:t xml:space="preserve"> 20,901</w:t>
            </w:r>
          </w:p>
        </w:tc>
        <w:tc>
          <w:tcPr>
            <w:tcW w:w="841" w:type="dxa"/>
            <w:shd w:val="clear" w:color="auto" w:fill="D9D9D9" w:themeFill="background1" w:themeFillShade="D9"/>
            <w:vAlign w:val="center"/>
          </w:tcPr>
          <w:p w14:paraId="19763FF1" w14:textId="4BB3C52B" w:rsidR="008E3FA9" w:rsidRPr="00922145" w:rsidRDefault="008E3FA9" w:rsidP="008E3FA9">
            <w:pPr>
              <w:spacing w:before="60" w:after="60"/>
              <w:jc w:val="right"/>
              <w:rPr>
                <w:b/>
                <w:bCs/>
                <w:noProof/>
                <w:sz w:val="20"/>
              </w:rPr>
            </w:pPr>
            <w:r w:rsidRPr="00493F87">
              <w:rPr>
                <w:b/>
                <w:bCs/>
                <w:noProof/>
                <w:color w:val="000000"/>
                <w:sz w:val="20"/>
                <w:szCs w:val="20"/>
              </w:rPr>
              <w:t>20,054</w:t>
            </w:r>
          </w:p>
        </w:tc>
        <w:tc>
          <w:tcPr>
            <w:tcW w:w="841" w:type="dxa"/>
            <w:shd w:val="clear" w:color="auto" w:fill="D9D9D9" w:themeFill="background1" w:themeFillShade="D9"/>
            <w:vAlign w:val="center"/>
          </w:tcPr>
          <w:p w14:paraId="687FAF61" w14:textId="723E1379" w:rsidR="008E3FA9" w:rsidRPr="00922145" w:rsidRDefault="008E3FA9" w:rsidP="008E3FA9">
            <w:pPr>
              <w:spacing w:before="60" w:after="60"/>
              <w:jc w:val="right"/>
              <w:rPr>
                <w:b/>
                <w:bCs/>
                <w:noProof/>
                <w:sz w:val="20"/>
              </w:rPr>
            </w:pPr>
            <w:r w:rsidRPr="00493F87">
              <w:rPr>
                <w:b/>
                <w:bCs/>
                <w:noProof/>
                <w:color w:val="000000"/>
                <w:sz w:val="20"/>
                <w:szCs w:val="20"/>
              </w:rPr>
              <w:t xml:space="preserve"> 24,035</w:t>
            </w:r>
          </w:p>
        </w:tc>
        <w:tc>
          <w:tcPr>
            <w:tcW w:w="841" w:type="dxa"/>
            <w:shd w:val="clear" w:color="auto" w:fill="D9D9D9" w:themeFill="background1" w:themeFillShade="D9"/>
            <w:vAlign w:val="center"/>
          </w:tcPr>
          <w:p w14:paraId="05780A3D" w14:textId="484EFA59" w:rsidR="008E3FA9" w:rsidRPr="00922145" w:rsidRDefault="008E3FA9" w:rsidP="008E3FA9">
            <w:pPr>
              <w:spacing w:before="60" w:after="60"/>
              <w:jc w:val="right"/>
              <w:rPr>
                <w:b/>
                <w:bCs/>
                <w:noProof/>
                <w:sz w:val="20"/>
              </w:rPr>
            </w:pPr>
            <w:r w:rsidRPr="00493F87">
              <w:rPr>
                <w:b/>
                <w:bCs/>
                <w:noProof/>
                <w:color w:val="000000"/>
                <w:sz w:val="20"/>
                <w:szCs w:val="20"/>
              </w:rPr>
              <w:t>25,437</w:t>
            </w:r>
          </w:p>
        </w:tc>
        <w:tc>
          <w:tcPr>
            <w:tcW w:w="841" w:type="dxa"/>
            <w:shd w:val="clear" w:color="auto" w:fill="D9D9D9" w:themeFill="background1" w:themeFillShade="D9"/>
            <w:vAlign w:val="center"/>
          </w:tcPr>
          <w:p w14:paraId="692D6C26" w14:textId="71D7FD51" w:rsidR="008E3FA9" w:rsidRPr="00922145" w:rsidRDefault="008E3FA9" w:rsidP="008E3FA9">
            <w:pPr>
              <w:spacing w:before="60" w:after="60"/>
              <w:jc w:val="right"/>
              <w:rPr>
                <w:noProof/>
                <w:sz w:val="20"/>
              </w:rPr>
            </w:pPr>
            <w:r w:rsidRPr="00493F87">
              <w:rPr>
                <w:b/>
                <w:bCs/>
                <w:noProof/>
                <w:color w:val="000000"/>
                <w:sz w:val="20"/>
                <w:szCs w:val="20"/>
              </w:rPr>
              <w:t>22,197</w:t>
            </w:r>
          </w:p>
        </w:tc>
        <w:tc>
          <w:tcPr>
            <w:tcW w:w="841" w:type="dxa"/>
            <w:shd w:val="clear" w:color="auto" w:fill="D9D9D9" w:themeFill="background1" w:themeFillShade="D9"/>
            <w:vAlign w:val="center"/>
          </w:tcPr>
          <w:p w14:paraId="0E9ACB2B" w14:textId="4842008B" w:rsidR="008E3FA9" w:rsidRPr="00922145" w:rsidRDefault="008E3FA9" w:rsidP="008E3FA9">
            <w:pPr>
              <w:spacing w:before="60" w:after="60"/>
              <w:jc w:val="right"/>
              <w:rPr>
                <w:noProof/>
                <w:sz w:val="20"/>
              </w:rPr>
            </w:pPr>
            <w:r w:rsidRPr="00493F87">
              <w:rPr>
                <w:b/>
                <w:bCs/>
                <w:noProof/>
                <w:color w:val="000000"/>
                <w:sz w:val="20"/>
                <w:szCs w:val="20"/>
              </w:rPr>
              <w:t>21,625</w:t>
            </w:r>
          </w:p>
        </w:tc>
        <w:tc>
          <w:tcPr>
            <w:tcW w:w="841" w:type="dxa"/>
            <w:shd w:val="clear" w:color="auto" w:fill="D9D9D9" w:themeFill="background1" w:themeFillShade="D9"/>
            <w:vAlign w:val="center"/>
          </w:tcPr>
          <w:p w14:paraId="6370F088" w14:textId="6ED8E9EF" w:rsidR="008E3FA9" w:rsidRPr="00922145" w:rsidRDefault="008E3FA9" w:rsidP="008E3FA9">
            <w:pPr>
              <w:spacing w:before="60" w:after="60"/>
              <w:jc w:val="right"/>
              <w:rPr>
                <w:noProof/>
                <w:sz w:val="20"/>
              </w:rPr>
            </w:pPr>
            <w:r w:rsidRPr="00493F87">
              <w:rPr>
                <w:b/>
                <w:bCs/>
                <w:noProof/>
                <w:color w:val="000000"/>
                <w:sz w:val="20"/>
                <w:szCs w:val="20"/>
              </w:rPr>
              <w:t>21,151</w:t>
            </w:r>
          </w:p>
        </w:tc>
        <w:tc>
          <w:tcPr>
            <w:tcW w:w="941" w:type="dxa"/>
            <w:shd w:val="clear" w:color="auto" w:fill="D9D9D9" w:themeFill="background1" w:themeFillShade="D9"/>
            <w:vAlign w:val="center"/>
          </w:tcPr>
          <w:p w14:paraId="7EC88F48" w14:textId="3BD0B6FC" w:rsidR="008E3FA9" w:rsidRPr="00922145" w:rsidRDefault="008E3FA9" w:rsidP="008E3FA9">
            <w:pPr>
              <w:spacing w:before="60" w:after="60"/>
              <w:jc w:val="right"/>
              <w:rPr>
                <w:noProof/>
                <w:sz w:val="20"/>
              </w:rPr>
            </w:pPr>
            <w:r w:rsidRPr="00493F87">
              <w:rPr>
                <w:b/>
                <w:bCs/>
                <w:noProof/>
                <w:color w:val="000000"/>
                <w:sz w:val="20"/>
                <w:szCs w:val="20"/>
              </w:rPr>
              <w:t>155,4</w:t>
            </w:r>
          </w:p>
        </w:tc>
      </w:tr>
    </w:tbl>
    <w:p w14:paraId="49AC39D3" w14:textId="77777777" w:rsidR="00EC37C5" w:rsidRPr="00922145" w:rsidRDefault="00EC37C5" w:rsidP="00EC37C5">
      <w:pPr>
        <w:spacing w:before="240"/>
        <w:rPr>
          <w:noProof/>
          <w:sz w:val="22"/>
          <w:u w:val="single"/>
        </w:rPr>
      </w:pPr>
      <w:r w:rsidRPr="00922145">
        <w:rPr>
          <w:noProof/>
          <w:sz w:val="22"/>
          <w:u w:val="single"/>
        </w:rPr>
        <w:t>Appropriations covered by fees, if applicable, in EUR million (to three decimal places)</w:t>
      </w:r>
    </w:p>
    <w:tbl>
      <w:tblPr>
        <w:tblW w:w="9525"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698"/>
        <w:gridCol w:w="840"/>
        <w:gridCol w:w="841"/>
        <w:gridCol w:w="841"/>
        <w:gridCol w:w="841"/>
        <w:gridCol w:w="841"/>
        <w:gridCol w:w="841"/>
        <w:gridCol w:w="841"/>
        <w:gridCol w:w="941"/>
      </w:tblGrid>
      <w:tr w:rsidR="00EC37C5" w:rsidRPr="00922145" w14:paraId="52B32E6E" w14:textId="77777777">
        <w:trPr>
          <w:cantSplit/>
          <w:trHeight w:val="571"/>
        </w:trPr>
        <w:tc>
          <w:tcPr>
            <w:tcW w:w="2698" w:type="dxa"/>
            <w:vAlign w:val="center"/>
          </w:tcPr>
          <w:p w14:paraId="6F331D4E" w14:textId="77777777" w:rsidR="00EC37C5" w:rsidRPr="00922145" w:rsidRDefault="00EC37C5">
            <w:pPr>
              <w:spacing w:before="60" w:after="60"/>
              <w:jc w:val="center"/>
              <w:rPr>
                <w:b/>
                <w:bCs/>
                <w:noProof/>
                <w:color w:val="444444"/>
                <w:sz w:val="20"/>
                <w:szCs w:val="20"/>
                <w:shd w:val="clear" w:color="auto" w:fill="FFFFFF"/>
              </w:rPr>
            </w:pPr>
            <w:r w:rsidRPr="00922145">
              <w:rPr>
                <w:b/>
                <w:bCs/>
                <w:noProof/>
                <w:color w:val="444444"/>
                <w:sz w:val="20"/>
                <w:szCs w:val="20"/>
                <w:shd w:val="clear" w:color="auto" w:fill="FFFFFF"/>
              </w:rPr>
              <w:t xml:space="preserve">Agency: </w:t>
            </w:r>
            <w:r>
              <w:rPr>
                <w:b/>
                <w:bCs/>
                <w:noProof/>
                <w:color w:val="444444"/>
                <w:sz w:val="20"/>
                <w:szCs w:val="20"/>
                <w:shd w:val="clear" w:color="auto" w:fill="FFFFFF"/>
              </w:rPr>
              <w:t>ENISA</w:t>
            </w:r>
          </w:p>
        </w:tc>
        <w:tc>
          <w:tcPr>
            <w:tcW w:w="840" w:type="dxa"/>
            <w:vAlign w:val="center"/>
          </w:tcPr>
          <w:p w14:paraId="16F82862" w14:textId="77777777" w:rsidR="00EC37C5" w:rsidRPr="00922145" w:rsidRDefault="00EC37C5">
            <w:pPr>
              <w:jc w:val="center"/>
              <w:rPr>
                <w:noProof/>
                <w:sz w:val="20"/>
              </w:rPr>
            </w:pPr>
            <w:r w:rsidRPr="00922145">
              <w:rPr>
                <w:noProof/>
                <w:sz w:val="20"/>
                <w:szCs w:val="20"/>
              </w:rPr>
              <w:t>Year</w:t>
            </w:r>
            <w:r w:rsidRPr="00922145">
              <w:rPr>
                <w:b/>
                <w:bCs/>
                <w:noProof/>
                <w:sz w:val="20"/>
                <w:szCs w:val="20"/>
              </w:rPr>
              <w:t xml:space="preserve"> 2028</w:t>
            </w:r>
          </w:p>
        </w:tc>
        <w:tc>
          <w:tcPr>
            <w:tcW w:w="841" w:type="dxa"/>
            <w:vAlign w:val="center"/>
          </w:tcPr>
          <w:p w14:paraId="4931F292" w14:textId="77777777" w:rsidR="00EC37C5" w:rsidRPr="00922145" w:rsidRDefault="00EC37C5">
            <w:pPr>
              <w:jc w:val="center"/>
              <w:rPr>
                <w:noProof/>
                <w:sz w:val="20"/>
              </w:rPr>
            </w:pPr>
            <w:r w:rsidRPr="00922145">
              <w:rPr>
                <w:noProof/>
                <w:sz w:val="20"/>
                <w:szCs w:val="20"/>
              </w:rPr>
              <w:t>Year</w:t>
            </w:r>
            <w:r w:rsidRPr="00922145">
              <w:rPr>
                <w:b/>
                <w:bCs/>
                <w:noProof/>
                <w:sz w:val="20"/>
                <w:szCs w:val="20"/>
              </w:rPr>
              <w:t xml:space="preserve"> 2029</w:t>
            </w:r>
          </w:p>
        </w:tc>
        <w:tc>
          <w:tcPr>
            <w:tcW w:w="841" w:type="dxa"/>
            <w:vAlign w:val="center"/>
          </w:tcPr>
          <w:p w14:paraId="1C33A302" w14:textId="77777777" w:rsidR="00EC37C5" w:rsidRPr="00922145" w:rsidRDefault="00EC37C5">
            <w:pPr>
              <w:jc w:val="center"/>
              <w:rPr>
                <w:noProof/>
                <w:sz w:val="20"/>
              </w:rPr>
            </w:pPr>
            <w:r w:rsidRPr="00922145">
              <w:rPr>
                <w:noProof/>
                <w:sz w:val="20"/>
                <w:szCs w:val="20"/>
              </w:rPr>
              <w:t>Year</w:t>
            </w:r>
            <w:r w:rsidRPr="00922145">
              <w:rPr>
                <w:b/>
                <w:bCs/>
                <w:noProof/>
                <w:sz w:val="20"/>
                <w:szCs w:val="20"/>
              </w:rPr>
              <w:t xml:space="preserve"> 2030</w:t>
            </w:r>
          </w:p>
        </w:tc>
        <w:tc>
          <w:tcPr>
            <w:tcW w:w="841" w:type="dxa"/>
            <w:vAlign w:val="center"/>
          </w:tcPr>
          <w:p w14:paraId="040140A6" w14:textId="77777777" w:rsidR="00EC37C5" w:rsidRPr="00922145" w:rsidRDefault="00EC37C5">
            <w:pPr>
              <w:jc w:val="center"/>
              <w:rPr>
                <w:noProof/>
                <w:sz w:val="20"/>
              </w:rPr>
            </w:pPr>
            <w:r w:rsidRPr="00922145">
              <w:rPr>
                <w:noProof/>
                <w:sz w:val="20"/>
                <w:szCs w:val="20"/>
              </w:rPr>
              <w:t>Year</w:t>
            </w:r>
            <w:r w:rsidRPr="00922145">
              <w:rPr>
                <w:b/>
                <w:bCs/>
                <w:noProof/>
                <w:sz w:val="20"/>
                <w:szCs w:val="20"/>
              </w:rPr>
              <w:t xml:space="preserve"> 2031</w:t>
            </w:r>
          </w:p>
        </w:tc>
        <w:tc>
          <w:tcPr>
            <w:tcW w:w="841" w:type="dxa"/>
            <w:vAlign w:val="center"/>
          </w:tcPr>
          <w:p w14:paraId="3F19C745" w14:textId="77777777" w:rsidR="00EC37C5" w:rsidRPr="00922145" w:rsidRDefault="00EC37C5">
            <w:pPr>
              <w:jc w:val="center"/>
              <w:rPr>
                <w:noProof/>
                <w:sz w:val="20"/>
              </w:rPr>
            </w:pPr>
            <w:r w:rsidRPr="00922145">
              <w:rPr>
                <w:noProof/>
                <w:sz w:val="20"/>
                <w:szCs w:val="20"/>
              </w:rPr>
              <w:t>Year</w:t>
            </w:r>
            <w:r w:rsidRPr="00922145">
              <w:rPr>
                <w:b/>
                <w:noProof/>
                <w:sz w:val="20"/>
                <w:szCs w:val="20"/>
              </w:rPr>
              <w:t xml:space="preserve"> 2032</w:t>
            </w:r>
          </w:p>
        </w:tc>
        <w:tc>
          <w:tcPr>
            <w:tcW w:w="841" w:type="dxa"/>
            <w:vAlign w:val="center"/>
          </w:tcPr>
          <w:p w14:paraId="5AFE66ED" w14:textId="77777777" w:rsidR="00EC37C5" w:rsidRPr="00922145" w:rsidRDefault="00EC37C5">
            <w:pPr>
              <w:jc w:val="center"/>
              <w:rPr>
                <w:noProof/>
                <w:sz w:val="20"/>
              </w:rPr>
            </w:pPr>
            <w:r w:rsidRPr="00922145">
              <w:rPr>
                <w:noProof/>
                <w:sz w:val="20"/>
                <w:szCs w:val="20"/>
              </w:rPr>
              <w:t>Year</w:t>
            </w:r>
            <w:r w:rsidRPr="00922145">
              <w:rPr>
                <w:b/>
                <w:noProof/>
                <w:sz w:val="20"/>
                <w:szCs w:val="20"/>
              </w:rPr>
              <w:t xml:space="preserve"> 2033</w:t>
            </w:r>
          </w:p>
        </w:tc>
        <w:tc>
          <w:tcPr>
            <w:tcW w:w="841" w:type="dxa"/>
            <w:vAlign w:val="center"/>
          </w:tcPr>
          <w:p w14:paraId="6CBF6929" w14:textId="77777777" w:rsidR="00EC37C5" w:rsidRPr="00922145" w:rsidRDefault="00EC37C5">
            <w:pPr>
              <w:jc w:val="center"/>
              <w:rPr>
                <w:noProof/>
                <w:sz w:val="20"/>
              </w:rPr>
            </w:pPr>
            <w:r w:rsidRPr="00922145">
              <w:rPr>
                <w:noProof/>
                <w:sz w:val="20"/>
                <w:szCs w:val="20"/>
              </w:rPr>
              <w:t>Year</w:t>
            </w:r>
            <w:r w:rsidRPr="00922145">
              <w:rPr>
                <w:b/>
                <w:noProof/>
                <w:sz w:val="20"/>
                <w:szCs w:val="20"/>
              </w:rPr>
              <w:t xml:space="preserve"> 2034</w:t>
            </w:r>
          </w:p>
        </w:tc>
        <w:tc>
          <w:tcPr>
            <w:tcW w:w="941" w:type="dxa"/>
            <w:vAlign w:val="center"/>
          </w:tcPr>
          <w:p w14:paraId="06324CA6" w14:textId="77777777" w:rsidR="00EC37C5" w:rsidRPr="00922145" w:rsidRDefault="00EC37C5">
            <w:pPr>
              <w:spacing w:before="60" w:after="60"/>
              <w:jc w:val="center"/>
              <w:rPr>
                <w:noProof/>
                <w:sz w:val="20"/>
                <w:szCs w:val="20"/>
              </w:rPr>
            </w:pPr>
            <w:r w:rsidRPr="00922145">
              <w:rPr>
                <w:b/>
                <w:bCs/>
                <w:noProof/>
                <w:color w:val="000000"/>
                <w:sz w:val="20"/>
                <w:szCs w:val="20"/>
                <w:lang w:eastAsia="en-IE"/>
              </w:rPr>
              <w:t xml:space="preserve">TOTAL 2028 </w:t>
            </w:r>
            <w:r>
              <w:rPr>
                <w:b/>
                <w:bCs/>
                <w:noProof/>
                <w:color w:val="000000"/>
                <w:sz w:val="20"/>
                <w:szCs w:val="20"/>
                <w:lang w:eastAsia="en-IE"/>
              </w:rPr>
              <w:t>–</w:t>
            </w:r>
            <w:r w:rsidRPr="00922145">
              <w:rPr>
                <w:b/>
                <w:bCs/>
                <w:noProof/>
                <w:color w:val="000000"/>
                <w:sz w:val="20"/>
                <w:szCs w:val="20"/>
                <w:lang w:eastAsia="en-IE"/>
              </w:rPr>
              <w:t xml:space="preserve"> 2034</w:t>
            </w:r>
          </w:p>
        </w:tc>
      </w:tr>
      <w:tr w:rsidR="00EC37C5" w:rsidRPr="00922145" w14:paraId="3C06C821" w14:textId="77777777">
        <w:trPr>
          <w:cantSplit/>
          <w:trHeight w:val="683"/>
        </w:trPr>
        <w:tc>
          <w:tcPr>
            <w:tcW w:w="2698" w:type="dxa"/>
            <w:vAlign w:val="center"/>
          </w:tcPr>
          <w:p w14:paraId="3F091FA8" w14:textId="77777777" w:rsidR="00EC37C5" w:rsidRPr="00922145" w:rsidRDefault="00EC37C5">
            <w:pPr>
              <w:jc w:val="left"/>
              <w:rPr>
                <w:noProof/>
              </w:rPr>
            </w:pPr>
            <w:r w:rsidRPr="00922145">
              <w:rPr>
                <w:noProof/>
                <w:sz w:val="20"/>
                <w:szCs w:val="20"/>
              </w:rPr>
              <w:t>Title 1: Staff expenditure</w:t>
            </w:r>
          </w:p>
        </w:tc>
        <w:tc>
          <w:tcPr>
            <w:tcW w:w="840" w:type="dxa"/>
            <w:vAlign w:val="center"/>
          </w:tcPr>
          <w:p w14:paraId="5C1046DF" w14:textId="77777777" w:rsidR="00EC37C5" w:rsidRPr="00922145" w:rsidRDefault="00EC37C5">
            <w:pPr>
              <w:spacing w:before="60" w:after="60"/>
              <w:jc w:val="right"/>
              <w:rPr>
                <w:noProof/>
                <w:sz w:val="20"/>
              </w:rPr>
            </w:pPr>
          </w:p>
        </w:tc>
        <w:tc>
          <w:tcPr>
            <w:tcW w:w="841" w:type="dxa"/>
            <w:vAlign w:val="center"/>
          </w:tcPr>
          <w:p w14:paraId="777BC6DB" w14:textId="283390DA" w:rsidR="00EC37C5" w:rsidRPr="00922145" w:rsidRDefault="00EC37C5">
            <w:pPr>
              <w:spacing w:before="60" w:after="60"/>
              <w:jc w:val="right"/>
              <w:rPr>
                <w:noProof/>
                <w:sz w:val="20"/>
                <w:szCs w:val="20"/>
              </w:rPr>
            </w:pPr>
            <w:r w:rsidRPr="1A457143">
              <w:rPr>
                <w:noProof/>
                <w:sz w:val="20"/>
                <w:szCs w:val="20"/>
              </w:rPr>
              <w:t>0,</w:t>
            </w:r>
            <w:r w:rsidR="00BA43C6">
              <w:rPr>
                <w:noProof/>
                <w:sz w:val="20"/>
                <w:szCs w:val="20"/>
              </w:rPr>
              <w:t>510</w:t>
            </w:r>
          </w:p>
        </w:tc>
        <w:tc>
          <w:tcPr>
            <w:tcW w:w="841" w:type="dxa"/>
            <w:vAlign w:val="center"/>
          </w:tcPr>
          <w:p w14:paraId="6288A456" w14:textId="0D141C6C" w:rsidR="00EC37C5" w:rsidRPr="00922145" w:rsidRDefault="00BA43C6">
            <w:pPr>
              <w:spacing w:before="60" w:after="60"/>
              <w:jc w:val="right"/>
              <w:rPr>
                <w:noProof/>
                <w:sz w:val="20"/>
                <w:szCs w:val="20"/>
              </w:rPr>
            </w:pPr>
            <w:r>
              <w:rPr>
                <w:noProof/>
                <w:sz w:val="20"/>
                <w:szCs w:val="20"/>
              </w:rPr>
              <w:t>1,043</w:t>
            </w:r>
          </w:p>
        </w:tc>
        <w:tc>
          <w:tcPr>
            <w:tcW w:w="841" w:type="dxa"/>
            <w:vAlign w:val="center"/>
          </w:tcPr>
          <w:p w14:paraId="2F155CEC" w14:textId="7D025D8F" w:rsidR="00EC37C5" w:rsidRPr="00922145" w:rsidRDefault="00BA43C6">
            <w:pPr>
              <w:spacing w:before="60" w:after="60"/>
              <w:jc w:val="right"/>
              <w:rPr>
                <w:noProof/>
                <w:sz w:val="20"/>
                <w:szCs w:val="20"/>
              </w:rPr>
            </w:pPr>
            <w:r>
              <w:rPr>
                <w:noProof/>
                <w:sz w:val="20"/>
                <w:szCs w:val="20"/>
              </w:rPr>
              <w:t>1</w:t>
            </w:r>
            <w:r w:rsidR="00EC37C5" w:rsidRPr="4EDFAEB9">
              <w:rPr>
                <w:noProof/>
                <w:sz w:val="20"/>
                <w:szCs w:val="20"/>
              </w:rPr>
              <w:t>,</w:t>
            </w:r>
            <w:r>
              <w:rPr>
                <w:noProof/>
                <w:sz w:val="20"/>
                <w:szCs w:val="20"/>
              </w:rPr>
              <w:t>539</w:t>
            </w:r>
          </w:p>
        </w:tc>
        <w:tc>
          <w:tcPr>
            <w:tcW w:w="841" w:type="dxa"/>
            <w:vAlign w:val="center"/>
          </w:tcPr>
          <w:p w14:paraId="619A8FDE" w14:textId="6CECA1AF" w:rsidR="00EC37C5" w:rsidRPr="00922145" w:rsidRDefault="00BA43C6">
            <w:pPr>
              <w:spacing w:before="60" w:after="60"/>
              <w:jc w:val="right"/>
              <w:rPr>
                <w:noProof/>
                <w:sz w:val="20"/>
                <w:szCs w:val="20"/>
              </w:rPr>
            </w:pPr>
            <w:r>
              <w:rPr>
                <w:noProof/>
                <w:sz w:val="20"/>
                <w:szCs w:val="20"/>
              </w:rPr>
              <w:t>4</w:t>
            </w:r>
            <w:r w:rsidR="00EC37C5" w:rsidRPr="5B47AFCF">
              <w:rPr>
                <w:noProof/>
                <w:sz w:val="20"/>
                <w:szCs w:val="20"/>
              </w:rPr>
              <w:t>,</w:t>
            </w:r>
            <w:r>
              <w:rPr>
                <w:noProof/>
                <w:sz w:val="20"/>
                <w:szCs w:val="20"/>
              </w:rPr>
              <w:t>604</w:t>
            </w:r>
          </w:p>
        </w:tc>
        <w:tc>
          <w:tcPr>
            <w:tcW w:w="841" w:type="dxa"/>
            <w:vAlign w:val="center"/>
          </w:tcPr>
          <w:p w14:paraId="018E1217" w14:textId="3726AF2A" w:rsidR="00EC37C5" w:rsidRPr="00922145" w:rsidRDefault="00BA43C6">
            <w:pPr>
              <w:spacing w:before="60" w:after="60"/>
              <w:jc w:val="right"/>
              <w:rPr>
                <w:noProof/>
                <w:sz w:val="20"/>
                <w:szCs w:val="20"/>
              </w:rPr>
            </w:pPr>
            <w:r>
              <w:rPr>
                <w:noProof/>
                <w:sz w:val="20"/>
                <w:szCs w:val="20"/>
              </w:rPr>
              <w:t>5</w:t>
            </w:r>
            <w:r w:rsidR="00EC37C5" w:rsidRPr="3AF1F4E2">
              <w:rPr>
                <w:noProof/>
                <w:sz w:val="20"/>
                <w:szCs w:val="20"/>
              </w:rPr>
              <w:t>,</w:t>
            </w:r>
            <w:r>
              <w:rPr>
                <w:noProof/>
                <w:sz w:val="20"/>
                <w:szCs w:val="20"/>
              </w:rPr>
              <w:t>176</w:t>
            </w:r>
          </w:p>
        </w:tc>
        <w:tc>
          <w:tcPr>
            <w:tcW w:w="841" w:type="dxa"/>
            <w:vAlign w:val="center"/>
          </w:tcPr>
          <w:p w14:paraId="4258B90C" w14:textId="148FC0EA" w:rsidR="00EC37C5" w:rsidRPr="00922145" w:rsidRDefault="00EC37C5">
            <w:pPr>
              <w:spacing w:before="60" w:after="60"/>
              <w:jc w:val="right"/>
              <w:rPr>
                <w:noProof/>
                <w:sz w:val="20"/>
                <w:szCs w:val="20"/>
              </w:rPr>
            </w:pPr>
            <w:r w:rsidRPr="3AF1F4E2">
              <w:rPr>
                <w:noProof/>
                <w:sz w:val="20"/>
                <w:szCs w:val="20"/>
              </w:rPr>
              <w:t xml:space="preserve"> </w:t>
            </w:r>
            <w:r w:rsidR="00BA43C6">
              <w:rPr>
                <w:noProof/>
                <w:sz w:val="20"/>
                <w:szCs w:val="20"/>
              </w:rPr>
              <w:t>5</w:t>
            </w:r>
            <w:r w:rsidRPr="3AF1F4E2">
              <w:rPr>
                <w:noProof/>
                <w:sz w:val="20"/>
                <w:szCs w:val="20"/>
              </w:rPr>
              <w:t>,</w:t>
            </w:r>
            <w:r w:rsidR="00BA43C6">
              <w:rPr>
                <w:noProof/>
                <w:sz w:val="20"/>
                <w:szCs w:val="20"/>
              </w:rPr>
              <w:t>650</w:t>
            </w:r>
          </w:p>
        </w:tc>
        <w:tc>
          <w:tcPr>
            <w:tcW w:w="941" w:type="dxa"/>
            <w:vAlign w:val="center"/>
          </w:tcPr>
          <w:p w14:paraId="60BFE025" w14:textId="7319AC45" w:rsidR="00EC37C5" w:rsidRPr="00922145" w:rsidRDefault="00EC37C5">
            <w:pPr>
              <w:spacing w:before="60" w:after="60"/>
              <w:jc w:val="right"/>
              <w:rPr>
                <w:b/>
                <w:noProof/>
                <w:sz w:val="20"/>
                <w:szCs w:val="20"/>
              </w:rPr>
            </w:pPr>
            <w:r w:rsidRPr="3AF1F4E2">
              <w:rPr>
                <w:b/>
                <w:bCs/>
                <w:noProof/>
                <w:sz w:val="20"/>
                <w:szCs w:val="20"/>
              </w:rPr>
              <w:t>1</w:t>
            </w:r>
            <w:r w:rsidR="00BA43C6">
              <w:rPr>
                <w:b/>
                <w:bCs/>
                <w:noProof/>
                <w:sz w:val="20"/>
                <w:szCs w:val="20"/>
              </w:rPr>
              <w:t>8</w:t>
            </w:r>
            <w:r w:rsidRPr="3AF1F4E2">
              <w:rPr>
                <w:b/>
                <w:bCs/>
                <w:noProof/>
                <w:sz w:val="20"/>
                <w:szCs w:val="20"/>
              </w:rPr>
              <w:t>.</w:t>
            </w:r>
            <w:r w:rsidR="00BA43C6">
              <w:rPr>
                <w:b/>
                <w:bCs/>
                <w:noProof/>
                <w:sz w:val="20"/>
                <w:szCs w:val="20"/>
              </w:rPr>
              <w:t>522</w:t>
            </w:r>
          </w:p>
        </w:tc>
      </w:tr>
      <w:tr w:rsidR="00EC37C5" w:rsidRPr="00922145" w14:paraId="1E7D80E2" w14:textId="77777777">
        <w:trPr>
          <w:cantSplit/>
          <w:trHeight w:val="683"/>
        </w:trPr>
        <w:tc>
          <w:tcPr>
            <w:tcW w:w="2698" w:type="dxa"/>
            <w:vAlign w:val="center"/>
          </w:tcPr>
          <w:p w14:paraId="6B3867E9" w14:textId="77777777" w:rsidR="00EC37C5" w:rsidRPr="00922145" w:rsidRDefault="00EC37C5">
            <w:pPr>
              <w:jc w:val="left"/>
              <w:rPr>
                <w:noProof/>
                <w:sz w:val="20"/>
              </w:rPr>
            </w:pPr>
            <w:r w:rsidRPr="00922145">
              <w:rPr>
                <w:noProof/>
                <w:sz w:val="20"/>
                <w:szCs w:val="20"/>
              </w:rPr>
              <w:t>Title 2: Infrastructure and operating expenditure</w:t>
            </w:r>
          </w:p>
        </w:tc>
        <w:tc>
          <w:tcPr>
            <w:tcW w:w="840" w:type="dxa"/>
            <w:vAlign w:val="center"/>
          </w:tcPr>
          <w:p w14:paraId="6DF7523F" w14:textId="77777777" w:rsidR="00EC37C5" w:rsidRPr="00922145" w:rsidRDefault="00EC37C5">
            <w:pPr>
              <w:spacing w:before="60" w:after="60"/>
              <w:jc w:val="right"/>
              <w:rPr>
                <w:noProof/>
                <w:sz w:val="20"/>
              </w:rPr>
            </w:pPr>
          </w:p>
        </w:tc>
        <w:tc>
          <w:tcPr>
            <w:tcW w:w="841" w:type="dxa"/>
            <w:vAlign w:val="center"/>
          </w:tcPr>
          <w:p w14:paraId="441B3DC9" w14:textId="77777777" w:rsidR="00EC37C5" w:rsidRPr="00922145" w:rsidRDefault="00EC37C5">
            <w:pPr>
              <w:spacing w:before="60" w:after="60"/>
              <w:jc w:val="right"/>
              <w:rPr>
                <w:noProof/>
                <w:sz w:val="20"/>
              </w:rPr>
            </w:pPr>
          </w:p>
        </w:tc>
        <w:tc>
          <w:tcPr>
            <w:tcW w:w="841" w:type="dxa"/>
            <w:vAlign w:val="center"/>
          </w:tcPr>
          <w:p w14:paraId="641E2E72" w14:textId="77777777" w:rsidR="00EC37C5" w:rsidRPr="00922145" w:rsidRDefault="00EC37C5">
            <w:pPr>
              <w:spacing w:before="60" w:after="60"/>
              <w:jc w:val="right"/>
              <w:rPr>
                <w:noProof/>
                <w:sz w:val="20"/>
              </w:rPr>
            </w:pPr>
          </w:p>
        </w:tc>
        <w:tc>
          <w:tcPr>
            <w:tcW w:w="841" w:type="dxa"/>
            <w:vAlign w:val="center"/>
          </w:tcPr>
          <w:p w14:paraId="74E8B0DD" w14:textId="77777777" w:rsidR="00EC37C5" w:rsidRPr="00922145" w:rsidRDefault="00EC37C5">
            <w:pPr>
              <w:spacing w:before="60" w:after="60"/>
              <w:jc w:val="right"/>
              <w:rPr>
                <w:noProof/>
                <w:sz w:val="20"/>
              </w:rPr>
            </w:pPr>
          </w:p>
        </w:tc>
        <w:tc>
          <w:tcPr>
            <w:tcW w:w="841" w:type="dxa"/>
            <w:vAlign w:val="center"/>
          </w:tcPr>
          <w:p w14:paraId="1DD60C3E" w14:textId="77777777" w:rsidR="00EC37C5" w:rsidRPr="00922145" w:rsidRDefault="00EC37C5">
            <w:pPr>
              <w:spacing w:before="60" w:after="60"/>
              <w:jc w:val="right"/>
              <w:rPr>
                <w:noProof/>
                <w:sz w:val="20"/>
              </w:rPr>
            </w:pPr>
          </w:p>
        </w:tc>
        <w:tc>
          <w:tcPr>
            <w:tcW w:w="841" w:type="dxa"/>
            <w:vAlign w:val="center"/>
          </w:tcPr>
          <w:p w14:paraId="37A0670A" w14:textId="77777777" w:rsidR="00EC37C5" w:rsidRPr="00922145" w:rsidRDefault="00EC37C5">
            <w:pPr>
              <w:spacing w:before="60" w:after="60"/>
              <w:jc w:val="right"/>
              <w:rPr>
                <w:noProof/>
                <w:sz w:val="20"/>
              </w:rPr>
            </w:pPr>
          </w:p>
        </w:tc>
        <w:tc>
          <w:tcPr>
            <w:tcW w:w="841" w:type="dxa"/>
            <w:vAlign w:val="center"/>
          </w:tcPr>
          <w:p w14:paraId="1F9DAD2C" w14:textId="77777777" w:rsidR="00EC37C5" w:rsidRPr="00922145" w:rsidRDefault="00EC37C5">
            <w:pPr>
              <w:spacing w:before="60" w:after="60"/>
              <w:jc w:val="right"/>
              <w:rPr>
                <w:noProof/>
                <w:sz w:val="20"/>
              </w:rPr>
            </w:pPr>
          </w:p>
        </w:tc>
        <w:tc>
          <w:tcPr>
            <w:tcW w:w="941" w:type="dxa"/>
            <w:vAlign w:val="center"/>
          </w:tcPr>
          <w:p w14:paraId="7F092FD8" w14:textId="77777777" w:rsidR="00EC37C5" w:rsidRPr="00922145" w:rsidRDefault="00EC37C5">
            <w:pPr>
              <w:spacing w:before="60" w:after="60"/>
              <w:jc w:val="right"/>
              <w:rPr>
                <w:noProof/>
                <w:sz w:val="20"/>
                <w:szCs w:val="20"/>
              </w:rPr>
            </w:pPr>
            <w:r w:rsidRPr="00922145">
              <w:rPr>
                <w:b/>
                <w:bCs/>
                <w:noProof/>
                <w:sz w:val="20"/>
                <w:szCs w:val="20"/>
              </w:rPr>
              <w:t>0.000</w:t>
            </w:r>
          </w:p>
        </w:tc>
      </w:tr>
      <w:tr w:rsidR="00EC37C5" w:rsidRPr="00922145" w14:paraId="33CEBCC6" w14:textId="77777777">
        <w:trPr>
          <w:cantSplit/>
          <w:trHeight w:val="683"/>
        </w:trPr>
        <w:tc>
          <w:tcPr>
            <w:tcW w:w="2698" w:type="dxa"/>
            <w:vAlign w:val="center"/>
          </w:tcPr>
          <w:p w14:paraId="4FC62B0D" w14:textId="77777777" w:rsidR="00EC37C5" w:rsidRPr="00922145" w:rsidRDefault="00EC37C5">
            <w:pPr>
              <w:jc w:val="left"/>
              <w:rPr>
                <w:noProof/>
                <w:sz w:val="20"/>
              </w:rPr>
            </w:pPr>
            <w:r w:rsidRPr="00922145">
              <w:rPr>
                <w:noProof/>
                <w:sz w:val="20"/>
                <w:szCs w:val="20"/>
              </w:rPr>
              <w:t>Title 3: Operational expenditure</w:t>
            </w:r>
          </w:p>
        </w:tc>
        <w:tc>
          <w:tcPr>
            <w:tcW w:w="840" w:type="dxa"/>
            <w:vAlign w:val="center"/>
          </w:tcPr>
          <w:p w14:paraId="006E8079" w14:textId="77777777" w:rsidR="00EC37C5" w:rsidRPr="00922145" w:rsidRDefault="00EC37C5">
            <w:pPr>
              <w:spacing w:before="60" w:after="60"/>
              <w:jc w:val="right"/>
              <w:rPr>
                <w:noProof/>
                <w:sz w:val="20"/>
              </w:rPr>
            </w:pPr>
            <w:r w:rsidRPr="00922145">
              <w:rPr>
                <w:noProof/>
                <w:color w:val="000000"/>
                <w:sz w:val="20"/>
                <w:szCs w:val="20"/>
              </w:rPr>
              <w:t> </w:t>
            </w:r>
          </w:p>
        </w:tc>
        <w:tc>
          <w:tcPr>
            <w:tcW w:w="841" w:type="dxa"/>
            <w:vAlign w:val="center"/>
          </w:tcPr>
          <w:p w14:paraId="2A4340E7" w14:textId="731F7A36" w:rsidR="00EC37C5" w:rsidRPr="00922145" w:rsidRDefault="00EC37C5">
            <w:pPr>
              <w:spacing w:before="60" w:after="60"/>
              <w:jc w:val="right"/>
              <w:rPr>
                <w:noProof/>
                <w:color w:val="000000" w:themeColor="text1"/>
                <w:sz w:val="20"/>
                <w:szCs w:val="20"/>
              </w:rPr>
            </w:pPr>
          </w:p>
        </w:tc>
        <w:tc>
          <w:tcPr>
            <w:tcW w:w="841" w:type="dxa"/>
            <w:vAlign w:val="center"/>
          </w:tcPr>
          <w:p w14:paraId="711DB86E" w14:textId="299C7ACB" w:rsidR="00EC37C5" w:rsidRPr="00922145" w:rsidRDefault="00EC37C5">
            <w:pPr>
              <w:spacing w:before="60" w:after="60"/>
              <w:jc w:val="right"/>
              <w:rPr>
                <w:noProof/>
                <w:color w:val="000000" w:themeColor="text1"/>
                <w:sz w:val="20"/>
                <w:szCs w:val="20"/>
              </w:rPr>
            </w:pPr>
          </w:p>
        </w:tc>
        <w:tc>
          <w:tcPr>
            <w:tcW w:w="841" w:type="dxa"/>
            <w:vAlign w:val="center"/>
          </w:tcPr>
          <w:p w14:paraId="1C39497D" w14:textId="7D546465" w:rsidR="00EC37C5" w:rsidRPr="00922145" w:rsidRDefault="00EC37C5">
            <w:pPr>
              <w:spacing w:before="60" w:after="60"/>
              <w:jc w:val="right"/>
              <w:rPr>
                <w:noProof/>
                <w:color w:val="000000" w:themeColor="text1"/>
                <w:sz w:val="20"/>
                <w:szCs w:val="20"/>
              </w:rPr>
            </w:pPr>
          </w:p>
        </w:tc>
        <w:tc>
          <w:tcPr>
            <w:tcW w:w="841" w:type="dxa"/>
            <w:vAlign w:val="center"/>
          </w:tcPr>
          <w:p w14:paraId="5CC50378" w14:textId="13249427" w:rsidR="00EC37C5" w:rsidRPr="00922145" w:rsidRDefault="00EC37C5">
            <w:pPr>
              <w:spacing w:before="60" w:after="60"/>
              <w:jc w:val="right"/>
              <w:rPr>
                <w:noProof/>
                <w:color w:val="000000" w:themeColor="text1"/>
                <w:sz w:val="20"/>
                <w:szCs w:val="20"/>
              </w:rPr>
            </w:pPr>
          </w:p>
        </w:tc>
        <w:tc>
          <w:tcPr>
            <w:tcW w:w="841" w:type="dxa"/>
            <w:vAlign w:val="center"/>
          </w:tcPr>
          <w:p w14:paraId="0D23023E" w14:textId="4C37C8F1" w:rsidR="00EC37C5" w:rsidRPr="00922145" w:rsidRDefault="00EC37C5">
            <w:pPr>
              <w:spacing w:before="60" w:after="60"/>
              <w:jc w:val="right"/>
              <w:rPr>
                <w:noProof/>
                <w:color w:val="000000" w:themeColor="text1"/>
                <w:sz w:val="20"/>
                <w:szCs w:val="20"/>
              </w:rPr>
            </w:pPr>
          </w:p>
        </w:tc>
        <w:tc>
          <w:tcPr>
            <w:tcW w:w="841" w:type="dxa"/>
            <w:vAlign w:val="center"/>
          </w:tcPr>
          <w:p w14:paraId="1319AA5E" w14:textId="10A2AF9D" w:rsidR="00EC37C5" w:rsidRPr="00922145" w:rsidRDefault="00EC37C5">
            <w:pPr>
              <w:spacing w:before="60" w:after="60"/>
              <w:jc w:val="right"/>
              <w:rPr>
                <w:noProof/>
                <w:color w:val="000000" w:themeColor="text1"/>
                <w:sz w:val="20"/>
                <w:szCs w:val="20"/>
              </w:rPr>
            </w:pPr>
          </w:p>
        </w:tc>
        <w:tc>
          <w:tcPr>
            <w:tcW w:w="941" w:type="dxa"/>
            <w:vAlign w:val="center"/>
          </w:tcPr>
          <w:p w14:paraId="5AA98135" w14:textId="37A42AA8" w:rsidR="00EC37C5" w:rsidRPr="00922145" w:rsidRDefault="00BA43C6">
            <w:pPr>
              <w:spacing w:before="60" w:after="60"/>
              <w:jc w:val="right"/>
              <w:rPr>
                <w:b/>
                <w:noProof/>
                <w:color w:val="000000" w:themeColor="text1"/>
                <w:sz w:val="20"/>
                <w:szCs w:val="20"/>
              </w:rPr>
            </w:pPr>
            <w:r w:rsidRPr="00922145">
              <w:rPr>
                <w:b/>
                <w:bCs/>
                <w:noProof/>
                <w:sz w:val="20"/>
                <w:szCs w:val="20"/>
              </w:rPr>
              <w:t>0.000</w:t>
            </w:r>
          </w:p>
        </w:tc>
      </w:tr>
      <w:tr w:rsidR="00B81211" w:rsidRPr="00922145" w14:paraId="02DD4AA8" w14:textId="77777777">
        <w:trPr>
          <w:cantSplit/>
          <w:trHeight w:val="683"/>
        </w:trPr>
        <w:tc>
          <w:tcPr>
            <w:tcW w:w="2698" w:type="dxa"/>
            <w:shd w:val="clear" w:color="auto" w:fill="D9D9D9" w:themeFill="background1" w:themeFillShade="D9"/>
            <w:vAlign w:val="center"/>
          </w:tcPr>
          <w:p w14:paraId="1D2CCEB3" w14:textId="77777777" w:rsidR="00EC37C5" w:rsidRPr="00922145" w:rsidRDefault="00EC37C5">
            <w:pPr>
              <w:spacing w:before="60" w:after="60"/>
              <w:jc w:val="left"/>
              <w:rPr>
                <w:b/>
                <w:bCs/>
                <w:noProof/>
                <w:sz w:val="20"/>
              </w:rPr>
            </w:pPr>
            <w:r w:rsidRPr="00922145">
              <w:rPr>
                <w:b/>
                <w:bCs/>
                <w:noProof/>
                <w:sz w:val="20"/>
              </w:rPr>
              <w:t xml:space="preserve">TOTAL of appropriations covered by fees </w:t>
            </w:r>
          </w:p>
        </w:tc>
        <w:tc>
          <w:tcPr>
            <w:tcW w:w="840" w:type="dxa"/>
            <w:shd w:val="clear" w:color="auto" w:fill="D9D9D9" w:themeFill="background1" w:themeFillShade="D9"/>
            <w:vAlign w:val="center"/>
          </w:tcPr>
          <w:p w14:paraId="5B02698A" w14:textId="77777777" w:rsidR="00EC37C5" w:rsidRPr="00922145" w:rsidRDefault="00EC37C5">
            <w:pPr>
              <w:spacing w:before="60" w:after="60"/>
              <w:jc w:val="right"/>
              <w:rPr>
                <w:noProof/>
                <w:sz w:val="20"/>
              </w:rPr>
            </w:pPr>
            <w:r w:rsidRPr="00922145">
              <w:rPr>
                <w:b/>
                <w:bCs/>
                <w:noProof/>
                <w:color w:val="000000"/>
                <w:sz w:val="20"/>
                <w:szCs w:val="20"/>
              </w:rPr>
              <w:t>0,000</w:t>
            </w:r>
          </w:p>
        </w:tc>
        <w:tc>
          <w:tcPr>
            <w:tcW w:w="841" w:type="dxa"/>
            <w:shd w:val="clear" w:color="auto" w:fill="D9D9D9" w:themeFill="background1" w:themeFillShade="D9"/>
            <w:vAlign w:val="center"/>
          </w:tcPr>
          <w:p w14:paraId="0697BC09" w14:textId="77777777" w:rsidR="00EC37C5" w:rsidRPr="00922145" w:rsidRDefault="00EC37C5">
            <w:pPr>
              <w:spacing w:before="60" w:after="60"/>
              <w:jc w:val="right"/>
              <w:rPr>
                <w:b/>
                <w:noProof/>
                <w:color w:val="000000" w:themeColor="text1"/>
                <w:sz w:val="20"/>
                <w:szCs w:val="20"/>
              </w:rPr>
            </w:pPr>
            <w:r w:rsidRPr="6886A3BB">
              <w:rPr>
                <w:b/>
                <w:noProof/>
                <w:color w:val="000000" w:themeColor="text1"/>
                <w:sz w:val="20"/>
                <w:szCs w:val="20"/>
              </w:rPr>
              <w:t>0,</w:t>
            </w:r>
            <w:r w:rsidRPr="20369F6B">
              <w:rPr>
                <w:b/>
                <w:bCs/>
                <w:noProof/>
                <w:color w:val="000000" w:themeColor="text1"/>
                <w:sz w:val="20"/>
                <w:szCs w:val="20"/>
              </w:rPr>
              <w:t>510</w:t>
            </w:r>
          </w:p>
        </w:tc>
        <w:tc>
          <w:tcPr>
            <w:tcW w:w="841" w:type="dxa"/>
            <w:shd w:val="clear" w:color="auto" w:fill="D9D9D9" w:themeFill="background1" w:themeFillShade="D9"/>
            <w:vAlign w:val="center"/>
          </w:tcPr>
          <w:p w14:paraId="06156423" w14:textId="77777777" w:rsidR="00EC37C5" w:rsidRPr="00922145" w:rsidRDefault="00EC37C5">
            <w:pPr>
              <w:spacing w:before="60" w:after="60"/>
              <w:jc w:val="right"/>
              <w:rPr>
                <w:b/>
                <w:noProof/>
                <w:color w:val="000000" w:themeColor="text1"/>
                <w:sz w:val="20"/>
                <w:szCs w:val="20"/>
              </w:rPr>
            </w:pPr>
            <w:r w:rsidRPr="5106F19E">
              <w:rPr>
                <w:b/>
                <w:bCs/>
                <w:noProof/>
                <w:color w:val="000000" w:themeColor="text1"/>
                <w:sz w:val="20"/>
                <w:szCs w:val="20"/>
              </w:rPr>
              <w:t>1,043</w:t>
            </w:r>
          </w:p>
        </w:tc>
        <w:tc>
          <w:tcPr>
            <w:tcW w:w="841" w:type="dxa"/>
            <w:shd w:val="clear" w:color="auto" w:fill="D9D9D9" w:themeFill="background1" w:themeFillShade="D9"/>
            <w:vAlign w:val="center"/>
          </w:tcPr>
          <w:p w14:paraId="7DAF5566" w14:textId="77777777" w:rsidR="00EC37C5" w:rsidRPr="00922145" w:rsidRDefault="00EC37C5">
            <w:pPr>
              <w:spacing w:before="60" w:after="60"/>
              <w:jc w:val="right"/>
              <w:rPr>
                <w:b/>
                <w:noProof/>
                <w:color w:val="000000" w:themeColor="text1"/>
                <w:sz w:val="20"/>
                <w:szCs w:val="20"/>
              </w:rPr>
            </w:pPr>
            <w:r w:rsidRPr="5106F19E">
              <w:rPr>
                <w:b/>
                <w:bCs/>
                <w:noProof/>
                <w:color w:val="000000" w:themeColor="text1"/>
                <w:sz w:val="20"/>
                <w:szCs w:val="20"/>
              </w:rPr>
              <w:t>1,539</w:t>
            </w:r>
          </w:p>
        </w:tc>
        <w:tc>
          <w:tcPr>
            <w:tcW w:w="841" w:type="dxa"/>
            <w:shd w:val="clear" w:color="auto" w:fill="D9D9D9" w:themeFill="background1" w:themeFillShade="D9"/>
            <w:vAlign w:val="center"/>
          </w:tcPr>
          <w:p w14:paraId="4A6C1D38" w14:textId="77777777" w:rsidR="00EC37C5" w:rsidRPr="00922145" w:rsidRDefault="00EC37C5">
            <w:pPr>
              <w:spacing w:before="60" w:after="60"/>
              <w:jc w:val="right"/>
              <w:rPr>
                <w:b/>
                <w:noProof/>
                <w:color w:val="000000" w:themeColor="text1"/>
                <w:sz w:val="20"/>
                <w:szCs w:val="20"/>
              </w:rPr>
            </w:pPr>
            <w:r w:rsidRPr="3AF1F4E2">
              <w:rPr>
                <w:b/>
                <w:bCs/>
                <w:noProof/>
                <w:color w:val="000000" w:themeColor="text1"/>
                <w:sz w:val="20"/>
                <w:szCs w:val="20"/>
              </w:rPr>
              <w:t>4,604</w:t>
            </w:r>
          </w:p>
        </w:tc>
        <w:tc>
          <w:tcPr>
            <w:tcW w:w="841" w:type="dxa"/>
            <w:shd w:val="clear" w:color="auto" w:fill="D9D9D9" w:themeFill="background1" w:themeFillShade="D9"/>
            <w:vAlign w:val="center"/>
          </w:tcPr>
          <w:p w14:paraId="30A9CE3A" w14:textId="77777777" w:rsidR="00EC37C5" w:rsidRPr="00922145" w:rsidRDefault="00EC37C5">
            <w:pPr>
              <w:spacing w:before="60" w:after="60"/>
              <w:jc w:val="right"/>
              <w:rPr>
                <w:b/>
                <w:noProof/>
                <w:color w:val="000000" w:themeColor="text1"/>
                <w:sz w:val="20"/>
                <w:szCs w:val="20"/>
              </w:rPr>
            </w:pPr>
            <w:r w:rsidRPr="3AF1F4E2">
              <w:rPr>
                <w:b/>
                <w:bCs/>
                <w:noProof/>
                <w:color w:val="000000" w:themeColor="text1"/>
                <w:sz w:val="20"/>
                <w:szCs w:val="20"/>
              </w:rPr>
              <w:t>5,176</w:t>
            </w:r>
          </w:p>
        </w:tc>
        <w:tc>
          <w:tcPr>
            <w:tcW w:w="841" w:type="dxa"/>
            <w:shd w:val="clear" w:color="auto" w:fill="D9D9D9" w:themeFill="background1" w:themeFillShade="D9"/>
            <w:vAlign w:val="center"/>
          </w:tcPr>
          <w:p w14:paraId="7D595B96" w14:textId="77777777" w:rsidR="00EC37C5" w:rsidRPr="00922145" w:rsidRDefault="00EC37C5">
            <w:pPr>
              <w:spacing w:before="60" w:after="60"/>
              <w:jc w:val="right"/>
              <w:rPr>
                <w:b/>
                <w:noProof/>
                <w:color w:val="000000" w:themeColor="text1"/>
                <w:sz w:val="20"/>
                <w:szCs w:val="20"/>
              </w:rPr>
            </w:pPr>
            <w:r w:rsidRPr="3AF1F4E2">
              <w:rPr>
                <w:b/>
                <w:bCs/>
                <w:noProof/>
                <w:color w:val="000000" w:themeColor="text1"/>
                <w:sz w:val="20"/>
                <w:szCs w:val="20"/>
              </w:rPr>
              <w:t>5,650</w:t>
            </w:r>
          </w:p>
        </w:tc>
        <w:tc>
          <w:tcPr>
            <w:tcW w:w="941" w:type="dxa"/>
            <w:shd w:val="clear" w:color="auto" w:fill="D9D9D9" w:themeFill="background1" w:themeFillShade="D9"/>
            <w:vAlign w:val="center"/>
          </w:tcPr>
          <w:p w14:paraId="681B857F" w14:textId="77777777" w:rsidR="00EC37C5" w:rsidRPr="00922145" w:rsidRDefault="00EC37C5">
            <w:pPr>
              <w:spacing w:before="60" w:after="60"/>
              <w:jc w:val="right"/>
              <w:rPr>
                <w:b/>
                <w:noProof/>
                <w:color w:val="000000" w:themeColor="text1"/>
                <w:sz w:val="20"/>
                <w:szCs w:val="20"/>
              </w:rPr>
            </w:pPr>
            <w:r w:rsidRPr="3AF1F4E2">
              <w:rPr>
                <w:b/>
                <w:bCs/>
                <w:noProof/>
                <w:color w:val="000000" w:themeColor="text1"/>
                <w:sz w:val="20"/>
                <w:szCs w:val="20"/>
              </w:rPr>
              <w:t>18,522</w:t>
            </w:r>
          </w:p>
        </w:tc>
      </w:tr>
    </w:tbl>
    <w:p w14:paraId="7E85C99F" w14:textId="77777777" w:rsidR="00EC37C5" w:rsidRPr="00922145" w:rsidRDefault="00EC37C5" w:rsidP="00EC37C5">
      <w:pPr>
        <w:spacing w:before="240"/>
        <w:rPr>
          <w:b/>
          <w:bCs/>
          <w:noProof/>
          <w:sz w:val="22"/>
          <w:u w:val="single"/>
        </w:rPr>
      </w:pPr>
      <w:r w:rsidRPr="00922145">
        <w:rPr>
          <w:b/>
          <w:bCs/>
          <w:noProof/>
          <w:sz w:val="22"/>
          <w:u w:val="single"/>
        </w:rPr>
        <w:t xml:space="preserve">Overview/summary of human resources and appropriations (in EUR million) required by the proposal/initiative in a decentralised agency </w:t>
      </w:r>
    </w:p>
    <w:tbl>
      <w:tblPr>
        <w:tblW w:w="9844"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791"/>
        <w:gridCol w:w="868"/>
        <w:gridCol w:w="869"/>
        <w:gridCol w:w="869"/>
        <w:gridCol w:w="869"/>
        <w:gridCol w:w="869"/>
        <w:gridCol w:w="869"/>
        <w:gridCol w:w="869"/>
        <w:gridCol w:w="971"/>
      </w:tblGrid>
      <w:tr w:rsidR="00EC37C5" w:rsidRPr="00922145" w14:paraId="4F99EBDD" w14:textId="77777777">
        <w:trPr>
          <w:cantSplit/>
          <w:trHeight w:val="592"/>
        </w:trPr>
        <w:tc>
          <w:tcPr>
            <w:tcW w:w="2791" w:type="dxa"/>
            <w:vAlign w:val="center"/>
          </w:tcPr>
          <w:p w14:paraId="6D94DA9D" w14:textId="77777777" w:rsidR="00EC37C5" w:rsidRPr="00922145" w:rsidRDefault="00EC37C5">
            <w:pPr>
              <w:spacing w:before="60" w:after="60"/>
              <w:jc w:val="center"/>
              <w:rPr>
                <w:b/>
                <w:bCs/>
                <w:noProof/>
                <w:sz w:val="20"/>
              </w:rPr>
            </w:pPr>
            <w:r w:rsidRPr="00922145">
              <w:rPr>
                <w:b/>
                <w:bCs/>
                <w:noProof/>
                <w:color w:val="444444"/>
                <w:sz w:val="20"/>
                <w:szCs w:val="20"/>
                <w:shd w:val="clear" w:color="auto" w:fill="FFFFFF"/>
              </w:rPr>
              <w:t>Agency: ENISA</w:t>
            </w:r>
          </w:p>
        </w:tc>
        <w:tc>
          <w:tcPr>
            <w:tcW w:w="868" w:type="dxa"/>
            <w:vAlign w:val="center"/>
          </w:tcPr>
          <w:p w14:paraId="0293A190" w14:textId="77777777" w:rsidR="00EC37C5" w:rsidRPr="00922145" w:rsidRDefault="00EC37C5">
            <w:pPr>
              <w:jc w:val="center"/>
              <w:rPr>
                <w:noProof/>
                <w:sz w:val="20"/>
              </w:rPr>
            </w:pPr>
            <w:r w:rsidRPr="00922145">
              <w:rPr>
                <w:noProof/>
                <w:sz w:val="20"/>
                <w:szCs w:val="20"/>
              </w:rPr>
              <w:t>Year</w:t>
            </w:r>
            <w:r w:rsidRPr="00922145">
              <w:rPr>
                <w:b/>
                <w:bCs/>
                <w:noProof/>
                <w:sz w:val="20"/>
                <w:szCs w:val="20"/>
              </w:rPr>
              <w:t xml:space="preserve"> 2028</w:t>
            </w:r>
          </w:p>
        </w:tc>
        <w:tc>
          <w:tcPr>
            <w:tcW w:w="869" w:type="dxa"/>
            <w:vAlign w:val="center"/>
          </w:tcPr>
          <w:p w14:paraId="74A9D3C5" w14:textId="77777777" w:rsidR="00EC37C5" w:rsidRPr="00922145" w:rsidRDefault="00EC37C5">
            <w:pPr>
              <w:jc w:val="center"/>
              <w:rPr>
                <w:noProof/>
                <w:sz w:val="20"/>
              </w:rPr>
            </w:pPr>
            <w:r w:rsidRPr="00922145">
              <w:rPr>
                <w:noProof/>
                <w:sz w:val="20"/>
                <w:szCs w:val="20"/>
              </w:rPr>
              <w:t>Year</w:t>
            </w:r>
            <w:r w:rsidRPr="00922145">
              <w:rPr>
                <w:b/>
                <w:bCs/>
                <w:noProof/>
                <w:sz w:val="20"/>
                <w:szCs w:val="20"/>
              </w:rPr>
              <w:t xml:space="preserve"> 2029</w:t>
            </w:r>
          </w:p>
        </w:tc>
        <w:tc>
          <w:tcPr>
            <w:tcW w:w="869" w:type="dxa"/>
            <w:vAlign w:val="center"/>
          </w:tcPr>
          <w:p w14:paraId="322E3131" w14:textId="77777777" w:rsidR="00EC37C5" w:rsidRPr="00922145" w:rsidRDefault="00EC37C5">
            <w:pPr>
              <w:jc w:val="center"/>
              <w:rPr>
                <w:noProof/>
                <w:sz w:val="20"/>
              </w:rPr>
            </w:pPr>
            <w:r w:rsidRPr="00922145">
              <w:rPr>
                <w:noProof/>
                <w:sz w:val="20"/>
                <w:szCs w:val="20"/>
              </w:rPr>
              <w:t>Year</w:t>
            </w:r>
            <w:r w:rsidRPr="00922145">
              <w:rPr>
                <w:b/>
                <w:bCs/>
                <w:noProof/>
                <w:sz w:val="20"/>
                <w:szCs w:val="20"/>
              </w:rPr>
              <w:t xml:space="preserve"> 2030</w:t>
            </w:r>
          </w:p>
        </w:tc>
        <w:tc>
          <w:tcPr>
            <w:tcW w:w="869" w:type="dxa"/>
            <w:vAlign w:val="center"/>
          </w:tcPr>
          <w:p w14:paraId="312202B0" w14:textId="77777777" w:rsidR="00EC37C5" w:rsidRPr="00922145" w:rsidRDefault="00EC37C5">
            <w:pPr>
              <w:jc w:val="center"/>
              <w:rPr>
                <w:noProof/>
                <w:sz w:val="20"/>
              </w:rPr>
            </w:pPr>
            <w:r w:rsidRPr="00922145">
              <w:rPr>
                <w:noProof/>
                <w:sz w:val="20"/>
                <w:szCs w:val="20"/>
              </w:rPr>
              <w:t>Year</w:t>
            </w:r>
            <w:r w:rsidRPr="00922145">
              <w:rPr>
                <w:b/>
                <w:bCs/>
                <w:noProof/>
                <w:sz w:val="20"/>
                <w:szCs w:val="20"/>
              </w:rPr>
              <w:t xml:space="preserve"> 2031</w:t>
            </w:r>
          </w:p>
        </w:tc>
        <w:tc>
          <w:tcPr>
            <w:tcW w:w="869" w:type="dxa"/>
            <w:vAlign w:val="center"/>
          </w:tcPr>
          <w:p w14:paraId="00CDE445" w14:textId="77777777" w:rsidR="00EC37C5" w:rsidRPr="00922145" w:rsidRDefault="00EC37C5">
            <w:pPr>
              <w:jc w:val="center"/>
              <w:rPr>
                <w:noProof/>
                <w:sz w:val="20"/>
              </w:rPr>
            </w:pPr>
            <w:r w:rsidRPr="00922145">
              <w:rPr>
                <w:noProof/>
                <w:sz w:val="20"/>
                <w:szCs w:val="20"/>
              </w:rPr>
              <w:t>Year</w:t>
            </w:r>
            <w:r w:rsidRPr="00922145">
              <w:rPr>
                <w:b/>
                <w:noProof/>
                <w:sz w:val="20"/>
                <w:szCs w:val="20"/>
              </w:rPr>
              <w:t xml:space="preserve"> 2032</w:t>
            </w:r>
          </w:p>
        </w:tc>
        <w:tc>
          <w:tcPr>
            <w:tcW w:w="869" w:type="dxa"/>
            <w:vAlign w:val="center"/>
          </w:tcPr>
          <w:p w14:paraId="75BAE5BB" w14:textId="77777777" w:rsidR="00EC37C5" w:rsidRPr="00922145" w:rsidRDefault="00EC37C5">
            <w:pPr>
              <w:jc w:val="center"/>
              <w:rPr>
                <w:noProof/>
                <w:sz w:val="20"/>
              </w:rPr>
            </w:pPr>
            <w:r w:rsidRPr="00922145">
              <w:rPr>
                <w:noProof/>
                <w:sz w:val="20"/>
                <w:szCs w:val="20"/>
              </w:rPr>
              <w:t>Year</w:t>
            </w:r>
            <w:r w:rsidRPr="00922145">
              <w:rPr>
                <w:b/>
                <w:noProof/>
                <w:sz w:val="20"/>
                <w:szCs w:val="20"/>
              </w:rPr>
              <w:t xml:space="preserve"> 2033</w:t>
            </w:r>
          </w:p>
        </w:tc>
        <w:tc>
          <w:tcPr>
            <w:tcW w:w="869" w:type="dxa"/>
            <w:vAlign w:val="center"/>
          </w:tcPr>
          <w:p w14:paraId="1E0C3FC2" w14:textId="77777777" w:rsidR="00EC37C5" w:rsidRPr="00922145" w:rsidRDefault="00EC37C5">
            <w:pPr>
              <w:jc w:val="center"/>
              <w:rPr>
                <w:noProof/>
                <w:sz w:val="20"/>
              </w:rPr>
            </w:pPr>
            <w:r w:rsidRPr="00922145">
              <w:rPr>
                <w:noProof/>
                <w:sz w:val="20"/>
                <w:szCs w:val="20"/>
              </w:rPr>
              <w:t>Year</w:t>
            </w:r>
            <w:r w:rsidRPr="00922145">
              <w:rPr>
                <w:b/>
                <w:noProof/>
                <w:sz w:val="20"/>
                <w:szCs w:val="20"/>
              </w:rPr>
              <w:t xml:space="preserve"> 2034</w:t>
            </w:r>
          </w:p>
        </w:tc>
        <w:tc>
          <w:tcPr>
            <w:tcW w:w="971" w:type="dxa"/>
            <w:vAlign w:val="center"/>
          </w:tcPr>
          <w:p w14:paraId="56F6A80D" w14:textId="77777777" w:rsidR="00EC37C5" w:rsidRPr="00922145" w:rsidRDefault="00EC37C5">
            <w:pPr>
              <w:spacing w:before="60" w:after="60"/>
              <w:jc w:val="center"/>
              <w:rPr>
                <w:noProof/>
                <w:sz w:val="20"/>
                <w:szCs w:val="20"/>
              </w:rPr>
            </w:pPr>
            <w:r w:rsidRPr="00922145">
              <w:rPr>
                <w:b/>
                <w:bCs/>
                <w:noProof/>
                <w:color w:val="000000"/>
                <w:sz w:val="20"/>
                <w:szCs w:val="20"/>
                <w:lang w:eastAsia="en-IE"/>
              </w:rPr>
              <w:t xml:space="preserve">TOTAL 2028 </w:t>
            </w:r>
            <w:r>
              <w:rPr>
                <w:b/>
                <w:bCs/>
                <w:noProof/>
                <w:color w:val="000000"/>
                <w:sz w:val="20"/>
                <w:szCs w:val="20"/>
                <w:lang w:eastAsia="en-IE"/>
              </w:rPr>
              <w:t>–</w:t>
            </w:r>
            <w:r w:rsidRPr="00922145">
              <w:rPr>
                <w:b/>
                <w:bCs/>
                <w:noProof/>
                <w:color w:val="000000"/>
                <w:sz w:val="20"/>
                <w:szCs w:val="20"/>
                <w:lang w:eastAsia="en-IE"/>
              </w:rPr>
              <w:t xml:space="preserve"> 2034</w:t>
            </w:r>
          </w:p>
        </w:tc>
      </w:tr>
      <w:tr w:rsidR="00EC37C5" w:rsidRPr="00922145" w14:paraId="4C614ACF" w14:textId="77777777">
        <w:trPr>
          <w:cantSplit/>
          <w:trHeight w:val="710"/>
        </w:trPr>
        <w:tc>
          <w:tcPr>
            <w:tcW w:w="2791" w:type="dxa"/>
            <w:vAlign w:val="center"/>
          </w:tcPr>
          <w:p w14:paraId="5EFA61C3" w14:textId="77777777" w:rsidR="00EC37C5" w:rsidRPr="00922145" w:rsidRDefault="00EC37C5">
            <w:pPr>
              <w:jc w:val="left"/>
              <w:rPr>
                <w:noProof/>
              </w:rPr>
            </w:pPr>
            <w:r w:rsidRPr="00922145">
              <w:rPr>
                <w:noProof/>
                <w:sz w:val="20"/>
                <w:szCs w:val="20"/>
              </w:rPr>
              <w:t>Temporary agents (AD+AST)</w:t>
            </w:r>
          </w:p>
        </w:tc>
        <w:tc>
          <w:tcPr>
            <w:tcW w:w="868" w:type="dxa"/>
            <w:vAlign w:val="center"/>
          </w:tcPr>
          <w:p w14:paraId="468565EF" w14:textId="77777777" w:rsidR="00EC37C5" w:rsidRPr="00922145" w:rsidRDefault="00EC37C5">
            <w:pPr>
              <w:spacing w:before="60" w:after="60"/>
              <w:jc w:val="right"/>
              <w:rPr>
                <w:noProof/>
                <w:sz w:val="20"/>
                <w:szCs w:val="20"/>
              </w:rPr>
            </w:pPr>
            <w:r>
              <w:rPr>
                <w:rFonts w:ascii="Calibri" w:hAnsi="Calibri" w:cs="Calibri"/>
                <w:noProof/>
                <w:color w:val="000000"/>
                <w:sz w:val="22"/>
              </w:rPr>
              <w:t>9</w:t>
            </w:r>
          </w:p>
        </w:tc>
        <w:tc>
          <w:tcPr>
            <w:tcW w:w="869" w:type="dxa"/>
            <w:vAlign w:val="center"/>
          </w:tcPr>
          <w:p w14:paraId="06A4517A" w14:textId="77777777" w:rsidR="00EC37C5" w:rsidRPr="00922145" w:rsidRDefault="00EC37C5">
            <w:pPr>
              <w:spacing w:before="60" w:after="60"/>
              <w:jc w:val="right"/>
              <w:rPr>
                <w:b/>
                <w:bCs/>
                <w:noProof/>
                <w:color w:val="000000"/>
                <w:sz w:val="16"/>
                <w:szCs w:val="16"/>
                <w:lang w:eastAsia="en-IE"/>
              </w:rPr>
            </w:pPr>
            <w:r>
              <w:rPr>
                <w:rFonts w:ascii="Calibri" w:hAnsi="Calibri" w:cs="Calibri"/>
                <w:noProof/>
                <w:color w:val="000000"/>
                <w:sz w:val="22"/>
              </w:rPr>
              <w:t>18</w:t>
            </w:r>
          </w:p>
        </w:tc>
        <w:tc>
          <w:tcPr>
            <w:tcW w:w="869" w:type="dxa"/>
            <w:vAlign w:val="center"/>
          </w:tcPr>
          <w:p w14:paraId="68D66C04" w14:textId="77777777" w:rsidR="00EC37C5" w:rsidRPr="00922145" w:rsidRDefault="00EC37C5">
            <w:pPr>
              <w:spacing w:before="60" w:after="60"/>
              <w:jc w:val="right"/>
              <w:rPr>
                <w:b/>
                <w:bCs/>
                <w:noProof/>
                <w:color w:val="000000"/>
                <w:sz w:val="16"/>
                <w:szCs w:val="16"/>
                <w:lang w:eastAsia="en-IE"/>
              </w:rPr>
            </w:pPr>
            <w:r>
              <w:rPr>
                <w:rFonts w:ascii="Calibri" w:hAnsi="Calibri" w:cs="Calibri"/>
                <w:noProof/>
                <w:color w:val="000000"/>
                <w:sz w:val="22"/>
              </w:rPr>
              <w:t>28</w:t>
            </w:r>
          </w:p>
        </w:tc>
        <w:tc>
          <w:tcPr>
            <w:tcW w:w="869" w:type="dxa"/>
            <w:vAlign w:val="center"/>
          </w:tcPr>
          <w:p w14:paraId="04FAC639" w14:textId="77777777" w:rsidR="00EC37C5" w:rsidRPr="00922145" w:rsidRDefault="00EC37C5">
            <w:pPr>
              <w:spacing w:before="60" w:after="60"/>
              <w:jc w:val="right"/>
              <w:rPr>
                <w:b/>
                <w:bCs/>
                <w:noProof/>
                <w:color w:val="000000"/>
                <w:sz w:val="16"/>
                <w:szCs w:val="16"/>
                <w:lang w:eastAsia="en-IE"/>
              </w:rPr>
            </w:pPr>
            <w:r>
              <w:rPr>
                <w:rFonts w:ascii="Calibri" w:hAnsi="Calibri" w:cs="Calibri"/>
                <w:noProof/>
                <w:color w:val="000000"/>
                <w:sz w:val="22"/>
              </w:rPr>
              <w:t>31</w:t>
            </w:r>
          </w:p>
        </w:tc>
        <w:tc>
          <w:tcPr>
            <w:tcW w:w="869" w:type="dxa"/>
            <w:vAlign w:val="center"/>
          </w:tcPr>
          <w:p w14:paraId="23933A59" w14:textId="77777777" w:rsidR="00EC37C5" w:rsidRPr="00922145" w:rsidRDefault="00EC37C5">
            <w:pPr>
              <w:spacing w:before="60" w:after="60"/>
              <w:jc w:val="right"/>
              <w:rPr>
                <w:noProof/>
                <w:sz w:val="20"/>
                <w:szCs w:val="20"/>
              </w:rPr>
            </w:pPr>
            <w:r>
              <w:rPr>
                <w:rFonts w:ascii="Calibri" w:hAnsi="Calibri" w:cs="Calibri"/>
                <w:noProof/>
                <w:color w:val="000000"/>
                <w:sz w:val="22"/>
              </w:rPr>
              <w:t>31</w:t>
            </w:r>
          </w:p>
        </w:tc>
        <w:tc>
          <w:tcPr>
            <w:tcW w:w="869" w:type="dxa"/>
            <w:vAlign w:val="center"/>
          </w:tcPr>
          <w:p w14:paraId="6232204D" w14:textId="77777777" w:rsidR="00EC37C5" w:rsidRPr="00922145" w:rsidRDefault="00EC37C5">
            <w:pPr>
              <w:spacing w:before="60" w:after="60"/>
              <w:jc w:val="right"/>
              <w:rPr>
                <w:noProof/>
                <w:sz w:val="20"/>
                <w:szCs w:val="20"/>
              </w:rPr>
            </w:pPr>
            <w:r>
              <w:rPr>
                <w:rFonts w:ascii="Calibri" w:hAnsi="Calibri" w:cs="Calibri"/>
                <w:noProof/>
                <w:color w:val="000000"/>
                <w:sz w:val="22"/>
              </w:rPr>
              <w:t>31</w:t>
            </w:r>
          </w:p>
        </w:tc>
        <w:tc>
          <w:tcPr>
            <w:tcW w:w="869" w:type="dxa"/>
            <w:vAlign w:val="bottom"/>
          </w:tcPr>
          <w:p w14:paraId="380E1E1D" w14:textId="77777777" w:rsidR="00EC37C5" w:rsidRPr="00922145" w:rsidRDefault="00EC37C5">
            <w:pPr>
              <w:spacing w:before="60" w:after="60"/>
              <w:jc w:val="right"/>
              <w:rPr>
                <w:noProof/>
                <w:sz w:val="20"/>
                <w:szCs w:val="20"/>
              </w:rPr>
            </w:pPr>
            <w:r>
              <w:rPr>
                <w:rFonts w:ascii="Calibri" w:hAnsi="Calibri" w:cs="Calibri"/>
                <w:noProof/>
                <w:color w:val="000000"/>
                <w:sz w:val="22"/>
              </w:rPr>
              <w:t>31</w:t>
            </w:r>
          </w:p>
        </w:tc>
        <w:tc>
          <w:tcPr>
            <w:tcW w:w="971" w:type="dxa"/>
            <w:vAlign w:val="center"/>
          </w:tcPr>
          <w:p w14:paraId="10A606D8" w14:textId="77777777" w:rsidR="00EC37C5" w:rsidRPr="00922145" w:rsidRDefault="00EC37C5">
            <w:pPr>
              <w:spacing w:before="60" w:after="60"/>
              <w:jc w:val="center"/>
              <w:rPr>
                <w:b/>
                <w:bCs/>
                <w:noProof/>
                <w:sz w:val="20"/>
                <w:szCs w:val="20"/>
              </w:rPr>
            </w:pPr>
            <w:r>
              <w:rPr>
                <w:i/>
                <w:iCs/>
                <w:noProof/>
                <w:color w:val="000000"/>
                <w:sz w:val="20"/>
                <w:szCs w:val="20"/>
              </w:rPr>
              <w:t>31</w:t>
            </w:r>
          </w:p>
        </w:tc>
      </w:tr>
      <w:tr w:rsidR="00EC37C5" w:rsidRPr="00922145" w14:paraId="25136524" w14:textId="77777777">
        <w:trPr>
          <w:cantSplit/>
          <w:trHeight w:val="710"/>
        </w:trPr>
        <w:tc>
          <w:tcPr>
            <w:tcW w:w="2791" w:type="dxa"/>
            <w:vAlign w:val="center"/>
          </w:tcPr>
          <w:p w14:paraId="4B7FC5D5" w14:textId="77777777" w:rsidR="00EC37C5" w:rsidRPr="00922145" w:rsidRDefault="00EC37C5">
            <w:pPr>
              <w:jc w:val="left"/>
              <w:rPr>
                <w:noProof/>
                <w:sz w:val="20"/>
              </w:rPr>
            </w:pPr>
            <w:r w:rsidRPr="00922145">
              <w:rPr>
                <w:noProof/>
                <w:sz w:val="20"/>
                <w:szCs w:val="20"/>
              </w:rPr>
              <w:t>Contract agents</w:t>
            </w:r>
          </w:p>
        </w:tc>
        <w:tc>
          <w:tcPr>
            <w:tcW w:w="868" w:type="dxa"/>
            <w:vAlign w:val="center"/>
          </w:tcPr>
          <w:p w14:paraId="7FD56606" w14:textId="77777777" w:rsidR="00EC37C5" w:rsidRPr="00922145" w:rsidRDefault="00EC37C5">
            <w:pPr>
              <w:spacing w:before="60" w:after="60"/>
              <w:jc w:val="right"/>
              <w:rPr>
                <w:noProof/>
                <w:sz w:val="20"/>
                <w:szCs w:val="20"/>
              </w:rPr>
            </w:pPr>
            <w:r>
              <w:rPr>
                <w:rFonts w:ascii="Calibri" w:hAnsi="Calibri" w:cs="Calibri"/>
                <w:noProof/>
                <w:color w:val="000000"/>
                <w:sz w:val="22"/>
              </w:rPr>
              <w:t>22</w:t>
            </w:r>
          </w:p>
        </w:tc>
        <w:tc>
          <w:tcPr>
            <w:tcW w:w="869" w:type="dxa"/>
            <w:vAlign w:val="center"/>
          </w:tcPr>
          <w:p w14:paraId="38B7F8BB" w14:textId="77777777" w:rsidR="00EC37C5" w:rsidRPr="00922145" w:rsidRDefault="00EC37C5">
            <w:pPr>
              <w:spacing w:before="60" w:after="60"/>
              <w:jc w:val="right"/>
              <w:rPr>
                <w:b/>
                <w:bCs/>
                <w:noProof/>
                <w:color w:val="000000"/>
                <w:sz w:val="16"/>
                <w:szCs w:val="16"/>
                <w:lang w:eastAsia="en-IE"/>
              </w:rPr>
            </w:pPr>
            <w:r>
              <w:rPr>
                <w:rFonts w:ascii="Calibri" w:hAnsi="Calibri" w:cs="Calibri"/>
                <w:noProof/>
                <w:color w:val="000000"/>
                <w:sz w:val="22"/>
              </w:rPr>
              <w:t>44</w:t>
            </w:r>
          </w:p>
        </w:tc>
        <w:tc>
          <w:tcPr>
            <w:tcW w:w="869" w:type="dxa"/>
            <w:vAlign w:val="center"/>
          </w:tcPr>
          <w:p w14:paraId="04CDDDDA" w14:textId="77777777" w:rsidR="00EC37C5" w:rsidRPr="00922145" w:rsidRDefault="00EC37C5">
            <w:pPr>
              <w:spacing w:before="60" w:after="60"/>
              <w:jc w:val="right"/>
              <w:rPr>
                <w:b/>
                <w:bCs/>
                <w:noProof/>
                <w:color w:val="000000"/>
                <w:sz w:val="16"/>
                <w:szCs w:val="16"/>
                <w:lang w:eastAsia="en-IE"/>
              </w:rPr>
            </w:pPr>
            <w:r>
              <w:rPr>
                <w:rFonts w:ascii="Calibri" w:hAnsi="Calibri" w:cs="Calibri"/>
                <w:noProof/>
                <w:color w:val="000000"/>
                <w:sz w:val="22"/>
              </w:rPr>
              <w:t>66</w:t>
            </w:r>
          </w:p>
        </w:tc>
        <w:tc>
          <w:tcPr>
            <w:tcW w:w="869" w:type="dxa"/>
            <w:vAlign w:val="center"/>
          </w:tcPr>
          <w:p w14:paraId="68C4A559" w14:textId="77777777" w:rsidR="00EC37C5" w:rsidRPr="00922145" w:rsidRDefault="00EC37C5">
            <w:pPr>
              <w:spacing w:before="60" w:after="60"/>
              <w:jc w:val="right"/>
              <w:rPr>
                <w:b/>
                <w:bCs/>
                <w:noProof/>
                <w:color w:val="000000"/>
                <w:sz w:val="16"/>
                <w:szCs w:val="16"/>
                <w:lang w:eastAsia="en-IE"/>
              </w:rPr>
            </w:pPr>
            <w:r>
              <w:rPr>
                <w:rFonts w:ascii="Calibri" w:hAnsi="Calibri" w:cs="Calibri"/>
                <w:noProof/>
                <w:color w:val="000000"/>
                <w:sz w:val="22"/>
              </w:rPr>
              <w:t>74</w:t>
            </w:r>
          </w:p>
        </w:tc>
        <w:tc>
          <w:tcPr>
            <w:tcW w:w="869" w:type="dxa"/>
            <w:vAlign w:val="center"/>
          </w:tcPr>
          <w:p w14:paraId="5B08272A" w14:textId="77777777" w:rsidR="00EC37C5" w:rsidRPr="00922145" w:rsidRDefault="00EC37C5">
            <w:pPr>
              <w:spacing w:before="60" w:after="60"/>
              <w:jc w:val="right"/>
              <w:rPr>
                <w:noProof/>
                <w:sz w:val="20"/>
                <w:szCs w:val="20"/>
              </w:rPr>
            </w:pPr>
            <w:r>
              <w:rPr>
                <w:rFonts w:ascii="Calibri" w:hAnsi="Calibri" w:cs="Calibri"/>
                <w:noProof/>
                <w:color w:val="000000"/>
                <w:sz w:val="22"/>
              </w:rPr>
              <w:t>74</w:t>
            </w:r>
          </w:p>
        </w:tc>
        <w:tc>
          <w:tcPr>
            <w:tcW w:w="869" w:type="dxa"/>
            <w:vAlign w:val="center"/>
          </w:tcPr>
          <w:p w14:paraId="62D35C4F" w14:textId="77777777" w:rsidR="00EC37C5" w:rsidRPr="00922145" w:rsidRDefault="00EC37C5">
            <w:pPr>
              <w:spacing w:before="60" w:after="60"/>
              <w:jc w:val="right"/>
              <w:rPr>
                <w:noProof/>
                <w:sz w:val="20"/>
                <w:szCs w:val="20"/>
              </w:rPr>
            </w:pPr>
            <w:r>
              <w:rPr>
                <w:rFonts w:ascii="Calibri" w:hAnsi="Calibri" w:cs="Calibri"/>
                <w:noProof/>
                <w:color w:val="000000"/>
                <w:sz w:val="22"/>
              </w:rPr>
              <w:t>74</w:t>
            </w:r>
          </w:p>
        </w:tc>
        <w:tc>
          <w:tcPr>
            <w:tcW w:w="869" w:type="dxa"/>
            <w:vAlign w:val="bottom"/>
          </w:tcPr>
          <w:p w14:paraId="61892BAC" w14:textId="77777777" w:rsidR="00EC37C5" w:rsidRPr="00922145" w:rsidRDefault="00EC37C5">
            <w:pPr>
              <w:spacing w:before="60" w:after="60"/>
              <w:jc w:val="right"/>
              <w:rPr>
                <w:noProof/>
                <w:sz w:val="20"/>
                <w:szCs w:val="20"/>
              </w:rPr>
            </w:pPr>
            <w:r>
              <w:rPr>
                <w:rFonts w:ascii="Calibri" w:hAnsi="Calibri" w:cs="Calibri"/>
                <w:noProof/>
                <w:color w:val="000000"/>
                <w:sz w:val="22"/>
              </w:rPr>
              <w:t>74</w:t>
            </w:r>
          </w:p>
        </w:tc>
        <w:tc>
          <w:tcPr>
            <w:tcW w:w="971" w:type="dxa"/>
            <w:vAlign w:val="center"/>
          </w:tcPr>
          <w:p w14:paraId="665D51AE" w14:textId="77777777" w:rsidR="00EC37C5" w:rsidRPr="00922145" w:rsidRDefault="00EC37C5">
            <w:pPr>
              <w:spacing w:before="60" w:after="60"/>
              <w:jc w:val="center"/>
              <w:rPr>
                <w:b/>
                <w:bCs/>
                <w:noProof/>
                <w:sz w:val="20"/>
                <w:szCs w:val="20"/>
              </w:rPr>
            </w:pPr>
            <w:r>
              <w:rPr>
                <w:noProof/>
                <w:color w:val="000000"/>
                <w:sz w:val="20"/>
                <w:szCs w:val="20"/>
              </w:rPr>
              <w:t>74</w:t>
            </w:r>
          </w:p>
        </w:tc>
      </w:tr>
      <w:tr w:rsidR="00EC37C5" w:rsidRPr="00922145" w14:paraId="22997328" w14:textId="77777777">
        <w:trPr>
          <w:cantSplit/>
          <w:trHeight w:val="710"/>
        </w:trPr>
        <w:tc>
          <w:tcPr>
            <w:tcW w:w="2791" w:type="dxa"/>
            <w:vAlign w:val="center"/>
          </w:tcPr>
          <w:p w14:paraId="741BE340" w14:textId="77777777" w:rsidR="00EC37C5" w:rsidRPr="00922145" w:rsidRDefault="00EC37C5">
            <w:pPr>
              <w:jc w:val="left"/>
              <w:rPr>
                <w:noProof/>
                <w:sz w:val="20"/>
              </w:rPr>
            </w:pPr>
            <w:r w:rsidRPr="00922145">
              <w:rPr>
                <w:noProof/>
                <w:sz w:val="20"/>
                <w:szCs w:val="20"/>
              </w:rPr>
              <w:t>Seconded national experts</w:t>
            </w:r>
          </w:p>
        </w:tc>
        <w:tc>
          <w:tcPr>
            <w:tcW w:w="868" w:type="dxa"/>
            <w:vAlign w:val="center"/>
          </w:tcPr>
          <w:p w14:paraId="6CEA11E6" w14:textId="77777777" w:rsidR="00EC37C5" w:rsidRPr="00922145" w:rsidRDefault="00EC37C5">
            <w:pPr>
              <w:spacing w:before="60" w:after="60"/>
              <w:jc w:val="right"/>
              <w:rPr>
                <w:noProof/>
                <w:sz w:val="20"/>
                <w:szCs w:val="20"/>
              </w:rPr>
            </w:pPr>
            <w:r>
              <w:rPr>
                <w:rFonts w:ascii="Calibri" w:hAnsi="Calibri" w:cs="Calibri"/>
                <w:noProof/>
                <w:color w:val="000000"/>
                <w:sz w:val="22"/>
              </w:rPr>
              <w:t>4</w:t>
            </w:r>
          </w:p>
        </w:tc>
        <w:tc>
          <w:tcPr>
            <w:tcW w:w="869" w:type="dxa"/>
            <w:vAlign w:val="center"/>
          </w:tcPr>
          <w:p w14:paraId="6ABD83F0" w14:textId="77777777" w:rsidR="00EC37C5" w:rsidRPr="00922145" w:rsidRDefault="00EC37C5">
            <w:pPr>
              <w:spacing w:before="60" w:after="60"/>
              <w:jc w:val="right"/>
              <w:rPr>
                <w:b/>
                <w:bCs/>
                <w:noProof/>
                <w:color w:val="000000"/>
                <w:sz w:val="16"/>
                <w:szCs w:val="16"/>
                <w:lang w:eastAsia="en-IE"/>
              </w:rPr>
            </w:pPr>
            <w:r>
              <w:rPr>
                <w:rFonts w:ascii="Calibri" w:hAnsi="Calibri" w:cs="Calibri"/>
                <w:noProof/>
                <w:color w:val="000000"/>
                <w:sz w:val="22"/>
              </w:rPr>
              <w:t>8</w:t>
            </w:r>
          </w:p>
        </w:tc>
        <w:tc>
          <w:tcPr>
            <w:tcW w:w="869" w:type="dxa"/>
            <w:vAlign w:val="center"/>
          </w:tcPr>
          <w:p w14:paraId="037B70DF" w14:textId="77777777" w:rsidR="00EC37C5" w:rsidRPr="00922145" w:rsidRDefault="00EC37C5">
            <w:pPr>
              <w:spacing w:before="60" w:after="60"/>
              <w:jc w:val="right"/>
              <w:rPr>
                <w:b/>
                <w:bCs/>
                <w:noProof/>
                <w:color w:val="000000"/>
                <w:sz w:val="16"/>
                <w:szCs w:val="16"/>
                <w:lang w:eastAsia="en-IE"/>
              </w:rPr>
            </w:pPr>
            <w:r>
              <w:rPr>
                <w:rFonts w:ascii="Calibri" w:hAnsi="Calibri" w:cs="Calibri"/>
                <w:noProof/>
                <w:color w:val="000000"/>
                <w:sz w:val="22"/>
              </w:rPr>
              <w:t>11</w:t>
            </w:r>
          </w:p>
        </w:tc>
        <w:tc>
          <w:tcPr>
            <w:tcW w:w="869" w:type="dxa"/>
            <w:vAlign w:val="center"/>
          </w:tcPr>
          <w:p w14:paraId="31A5D6F5" w14:textId="77777777" w:rsidR="00EC37C5" w:rsidRPr="00922145" w:rsidRDefault="00EC37C5">
            <w:pPr>
              <w:spacing w:before="60" w:after="60"/>
              <w:jc w:val="right"/>
              <w:rPr>
                <w:b/>
                <w:bCs/>
                <w:noProof/>
                <w:color w:val="000000"/>
                <w:sz w:val="16"/>
                <w:szCs w:val="16"/>
                <w:lang w:eastAsia="en-IE"/>
              </w:rPr>
            </w:pPr>
            <w:r>
              <w:rPr>
                <w:rFonts w:ascii="Calibri" w:hAnsi="Calibri" w:cs="Calibri"/>
                <w:noProof/>
                <w:color w:val="000000"/>
                <w:sz w:val="22"/>
              </w:rPr>
              <w:t>13</w:t>
            </w:r>
          </w:p>
        </w:tc>
        <w:tc>
          <w:tcPr>
            <w:tcW w:w="869" w:type="dxa"/>
            <w:vAlign w:val="center"/>
          </w:tcPr>
          <w:p w14:paraId="42343478" w14:textId="77777777" w:rsidR="00EC37C5" w:rsidRPr="00922145" w:rsidRDefault="00EC37C5">
            <w:pPr>
              <w:spacing w:before="60" w:after="60"/>
              <w:jc w:val="right"/>
              <w:rPr>
                <w:noProof/>
                <w:sz w:val="20"/>
                <w:szCs w:val="20"/>
              </w:rPr>
            </w:pPr>
            <w:r>
              <w:rPr>
                <w:rFonts w:ascii="Calibri" w:hAnsi="Calibri" w:cs="Calibri"/>
                <w:noProof/>
                <w:color w:val="000000"/>
                <w:sz w:val="22"/>
              </w:rPr>
              <w:t>13</w:t>
            </w:r>
          </w:p>
        </w:tc>
        <w:tc>
          <w:tcPr>
            <w:tcW w:w="869" w:type="dxa"/>
            <w:vAlign w:val="center"/>
          </w:tcPr>
          <w:p w14:paraId="67CDB3A9" w14:textId="77777777" w:rsidR="00EC37C5" w:rsidRPr="00922145" w:rsidRDefault="00EC37C5">
            <w:pPr>
              <w:spacing w:before="60" w:after="60"/>
              <w:jc w:val="right"/>
              <w:rPr>
                <w:noProof/>
                <w:sz w:val="20"/>
                <w:szCs w:val="20"/>
              </w:rPr>
            </w:pPr>
            <w:r>
              <w:rPr>
                <w:rFonts w:ascii="Calibri" w:hAnsi="Calibri" w:cs="Calibri"/>
                <w:noProof/>
                <w:color w:val="000000"/>
                <w:sz w:val="22"/>
              </w:rPr>
              <w:t>13</w:t>
            </w:r>
          </w:p>
        </w:tc>
        <w:tc>
          <w:tcPr>
            <w:tcW w:w="869" w:type="dxa"/>
            <w:vAlign w:val="bottom"/>
          </w:tcPr>
          <w:p w14:paraId="597252F4" w14:textId="77777777" w:rsidR="00EC37C5" w:rsidRPr="00922145" w:rsidRDefault="00EC37C5">
            <w:pPr>
              <w:spacing w:before="60" w:after="60"/>
              <w:jc w:val="right"/>
              <w:rPr>
                <w:noProof/>
                <w:sz w:val="20"/>
                <w:szCs w:val="20"/>
              </w:rPr>
            </w:pPr>
            <w:r>
              <w:rPr>
                <w:rFonts w:ascii="Calibri" w:hAnsi="Calibri" w:cs="Calibri"/>
                <w:noProof/>
                <w:color w:val="000000"/>
                <w:sz w:val="22"/>
              </w:rPr>
              <w:t>13</w:t>
            </w:r>
          </w:p>
        </w:tc>
        <w:tc>
          <w:tcPr>
            <w:tcW w:w="971" w:type="dxa"/>
            <w:vAlign w:val="center"/>
          </w:tcPr>
          <w:p w14:paraId="11E53E73" w14:textId="77777777" w:rsidR="00EC37C5" w:rsidRPr="00922145" w:rsidRDefault="00EC37C5">
            <w:pPr>
              <w:spacing w:before="60" w:after="60"/>
              <w:jc w:val="center"/>
              <w:rPr>
                <w:b/>
                <w:bCs/>
                <w:noProof/>
                <w:sz w:val="20"/>
                <w:szCs w:val="20"/>
              </w:rPr>
            </w:pPr>
            <w:r>
              <w:rPr>
                <w:rFonts w:ascii="Calibri" w:hAnsi="Calibri" w:cs="Calibri"/>
                <w:noProof/>
                <w:color w:val="000000"/>
                <w:sz w:val="22"/>
              </w:rPr>
              <w:t>13</w:t>
            </w:r>
          </w:p>
        </w:tc>
      </w:tr>
      <w:tr w:rsidR="00B81211" w:rsidRPr="00922145" w14:paraId="268C9A56" w14:textId="77777777">
        <w:trPr>
          <w:cantSplit/>
          <w:trHeight w:val="710"/>
        </w:trPr>
        <w:tc>
          <w:tcPr>
            <w:tcW w:w="2791" w:type="dxa"/>
            <w:shd w:val="clear" w:color="auto" w:fill="D9D9D9" w:themeFill="background1" w:themeFillShade="D9"/>
            <w:vAlign w:val="center"/>
          </w:tcPr>
          <w:p w14:paraId="73E393E7" w14:textId="77777777" w:rsidR="00EC37C5" w:rsidRPr="00922145" w:rsidRDefault="00EC37C5">
            <w:pPr>
              <w:spacing w:before="60" w:after="60"/>
              <w:jc w:val="left"/>
              <w:rPr>
                <w:b/>
                <w:bCs/>
                <w:noProof/>
                <w:sz w:val="20"/>
              </w:rPr>
            </w:pPr>
            <w:r w:rsidRPr="00922145">
              <w:rPr>
                <w:b/>
                <w:bCs/>
                <w:noProof/>
                <w:sz w:val="20"/>
              </w:rPr>
              <w:t>Total staff</w:t>
            </w:r>
          </w:p>
        </w:tc>
        <w:tc>
          <w:tcPr>
            <w:tcW w:w="868" w:type="dxa"/>
            <w:shd w:val="clear" w:color="auto" w:fill="D9D9D9" w:themeFill="background1" w:themeFillShade="D9"/>
            <w:vAlign w:val="center"/>
          </w:tcPr>
          <w:p w14:paraId="7CAE04F8" w14:textId="77777777" w:rsidR="00EC37C5" w:rsidRPr="00922145" w:rsidRDefault="00EC37C5">
            <w:pPr>
              <w:spacing w:before="60" w:after="60"/>
              <w:jc w:val="right"/>
              <w:rPr>
                <w:noProof/>
                <w:sz w:val="20"/>
              </w:rPr>
            </w:pPr>
            <w:r>
              <w:rPr>
                <w:rFonts w:ascii="Calibri" w:hAnsi="Calibri" w:cs="Calibri"/>
                <w:noProof/>
                <w:color w:val="000000"/>
                <w:sz w:val="22"/>
              </w:rPr>
              <w:t>35</w:t>
            </w:r>
          </w:p>
        </w:tc>
        <w:tc>
          <w:tcPr>
            <w:tcW w:w="869" w:type="dxa"/>
            <w:shd w:val="clear" w:color="auto" w:fill="D9D9D9" w:themeFill="background1" w:themeFillShade="D9"/>
            <w:vAlign w:val="center"/>
          </w:tcPr>
          <w:p w14:paraId="3B018845" w14:textId="77777777" w:rsidR="00EC37C5" w:rsidRPr="00922145" w:rsidRDefault="00EC37C5">
            <w:pPr>
              <w:spacing w:before="60" w:after="60"/>
              <w:jc w:val="right"/>
              <w:rPr>
                <w:b/>
                <w:bCs/>
                <w:noProof/>
                <w:color w:val="000000"/>
                <w:sz w:val="16"/>
                <w:szCs w:val="16"/>
                <w:lang w:eastAsia="en-IE"/>
              </w:rPr>
            </w:pPr>
            <w:r>
              <w:rPr>
                <w:rFonts w:ascii="Calibri" w:hAnsi="Calibri" w:cs="Calibri"/>
                <w:noProof/>
                <w:color w:val="000000"/>
                <w:sz w:val="22"/>
              </w:rPr>
              <w:t>70</w:t>
            </w:r>
          </w:p>
        </w:tc>
        <w:tc>
          <w:tcPr>
            <w:tcW w:w="869" w:type="dxa"/>
            <w:shd w:val="clear" w:color="auto" w:fill="D9D9D9" w:themeFill="background1" w:themeFillShade="D9"/>
            <w:vAlign w:val="center"/>
          </w:tcPr>
          <w:p w14:paraId="44D58161" w14:textId="77777777" w:rsidR="00EC37C5" w:rsidRPr="00922145" w:rsidRDefault="00EC37C5">
            <w:pPr>
              <w:spacing w:before="60" w:after="60"/>
              <w:jc w:val="right"/>
              <w:rPr>
                <w:b/>
                <w:bCs/>
                <w:noProof/>
                <w:color w:val="000000"/>
                <w:sz w:val="16"/>
                <w:szCs w:val="16"/>
                <w:lang w:eastAsia="en-IE"/>
              </w:rPr>
            </w:pPr>
            <w:r>
              <w:rPr>
                <w:rFonts w:ascii="Calibri" w:hAnsi="Calibri" w:cs="Calibri"/>
                <w:noProof/>
                <w:color w:val="000000"/>
                <w:sz w:val="22"/>
              </w:rPr>
              <w:t>105</w:t>
            </w:r>
          </w:p>
        </w:tc>
        <w:tc>
          <w:tcPr>
            <w:tcW w:w="869" w:type="dxa"/>
            <w:shd w:val="clear" w:color="auto" w:fill="D9D9D9" w:themeFill="background1" w:themeFillShade="D9"/>
            <w:vAlign w:val="center"/>
          </w:tcPr>
          <w:p w14:paraId="4DD13690" w14:textId="77777777" w:rsidR="00EC37C5" w:rsidRPr="00922145" w:rsidRDefault="00EC37C5">
            <w:pPr>
              <w:spacing w:before="60" w:after="60"/>
              <w:jc w:val="right"/>
              <w:rPr>
                <w:b/>
                <w:bCs/>
                <w:noProof/>
                <w:color w:val="000000"/>
                <w:sz w:val="16"/>
                <w:szCs w:val="16"/>
                <w:lang w:eastAsia="en-IE"/>
              </w:rPr>
            </w:pPr>
            <w:r>
              <w:rPr>
                <w:rFonts w:ascii="Calibri" w:hAnsi="Calibri" w:cs="Calibri"/>
                <w:noProof/>
                <w:color w:val="000000"/>
                <w:sz w:val="22"/>
              </w:rPr>
              <w:t>118</w:t>
            </w:r>
          </w:p>
        </w:tc>
        <w:tc>
          <w:tcPr>
            <w:tcW w:w="869" w:type="dxa"/>
            <w:shd w:val="clear" w:color="auto" w:fill="D9D9D9" w:themeFill="background1" w:themeFillShade="D9"/>
            <w:vAlign w:val="center"/>
          </w:tcPr>
          <w:p w14:paraId="6E27015C" w14:textId="77777777" w:rsidR="00EC37C5" w:rsidRPr="00922145" w:rsidRDefault="00EC37C5">
            <w:pPr>
              <w:spacing w:before="60" w:after="60"/>
              <w:jc w:val="right"/>
              <w:rPr>
                <w:noProof/>
                <w:sz w:val="20"/>
              </w:rPr>
            </w:pPr>
            <w:r>
              <w:rPr>
                <w:rFonts w:ascii="Calibri" w:hAnsi="Calibri" w:cs="Calibri"/>
                <w:noProof/>
                <w:color w:val="000000"/>
                <w:sz w:val="22"/>
              </w:rPr>
              <w:t>118</w:t>
            </w:r>
          </w:p>
        </w:tc>
        <w:tc>
          <w:tcPr>
            <w:tcW w:w="869" w:type="dxa"/>
            <w:shd w:val="clear" w:color="auto" w:fill="D9D9D9" w:themeFill="background1" w:themeFillShade="D9"/>
            <w:vAlign w:val="center"/>
          </w:tcPr>
          <w:p w14:paraId="696C1876" w14:textId="77777777" w:rsidR="00EC37C5" w:rsidRPr="00922145" w:rsidRDefault="00EC37C5">
            <w:pPr>
              <w:spacing w:before="60" w:after="60"/>
              <w:jc w:val="right"/>
              <w:rPr>
                <w:noProof/>
                <w:sz w:val="20"/>
              </w:rPr>
            </w:pPr>
            <w:r>
              <w:rPr>
                <w:rFonts w:ascii="Calibri" w:hAnsi="Calibri" w:cs="Calibri"/>
                <w:noProof/>
                <w:color w:val="000000"/>
                <w:sz w:val="22"/>
              </w:rPr>
              <w:t>118</w:t>
            </w:r>
          </w:p>
        </w:tc>
        <w:tc>
          <w:tcPr>
            <w:tcW w:w="869" w:type="dxa"/>
            <w:shd w:val="clear" w:color="auto" w:fill="D9D9D9" w:themeFill="background1" w:themeFillShade="D9"/>
            <w:vAlign w:val="center"/>
          </w:tcPr>
          <w:p w14:paraId="72F35263" w14:textId="77777777" w:rsidR="00EC37C5" w:rsidRPr="00922145" w:rsidRDefault="00EC37C5">
            <w:pPr>
              <w:spacing w:before="60" w:after="60"/>
              <w:jc w:val="right"/>
              <w:rPr>
                <w:noProof/>
                <w:sz w:val="20"/>
              </w:rPr>
            </w:pPr>
            <w:r>
              <w:rPr>
                <w:rFonts w:ascii="Calibri" w:hAnsi="Calibri" w:cs="Calibri"/>
                <w:noProof/>
                <w:color w:val="000000"/>
                <w:sz w:val="22"/>
              </w:rPr>
              <w:t>118</w:t>
            </w:r>
          </w:p>
        </w:tc>
        <w:tc>
          <w:tcPr>
            <w:tcW w:w="971" w:type="dxa"/>
            <w:vAlign w:val="center"/>
          </w:tcPr>
          <w:p w14:paraId="7BAC92E7" w14:textId="77777777" w:rsidR="00EC37C5" w:rsidRPr="00922145" w:rsidRDefault="00EC37C5">
            <w:pPr>
              <w:spacing w:before="60" w:after="60"/>
              <w:jc w:val="center"/>
              <w:rPr>
                <w:b/>
                <w:bCs/>
                <w:noProof/>
                <w:sz w:val="20"/>
                <w:szCs w:val="20"/>
              </w:rPr>
            </w:pPr>
            <w:r>
              <w:rPr>
                <w:b/>
                <w:bCs/>
                <w:noProof/>
                <w:color w:val="000000"/>
                <w:sz w:val="20"/>
                <w:szCs w:val="20"/>
              </w:rPr>
              <w:t>118</w:t>
            </w:r>
          </w:p>
        </w:tc>
      </w:tr>
      <w:tr w:rsidR="008E3FA9" w:rsidRPr="00922145" w14:paraId="3F05B11D" w14:textId="77777777">
        <w:trPr>
          <w:cantSplit/>
          <w:trHeight w:val="710"/>
        </w:trPr>
        <w:tc>
          <w:tcPr>
            <w:tcW w:w="2791" w:type="dxa"/>
            <w:vAlign w:val="center"/>
          </w:tcPr>
          <w:p w14:paraId="7B0996CD" w14:textId="77777777" w:rsidR="008E3FA9" w:rsidRPr="00922145" w:rsidRDefault="008E3FA9" w:rsidP="008E3FA9">
            <w:pPr>
              <w:spacing w:before="60" w:after="60"/>
              <w:jc w:val="left"/>
              <w:rPr>
                <w:noProof/>
                <w:sz w:val="20"/>
              </w:rPr>
            </w:pPr>
            <w:r w:rsidRPr="00922145">
              <w:rPr>
                <w:noProof/>
                <w:sz w:val="20"/>
              </w:rPr>
              <w:t>Appropriations covered by the EU budget</w:t>
            </w:r>
          </w:p>
        </w:tc>
        <w:tc>
          <w:tcPr>
            <w:tcW w:w="868" w:type="dxa"/>
            <w:vAlign w:val="center"/>
          </w:tcPr>
          <w:p w14:paraId="39EB3434" w14:textId="13BF2B7B" w:rsidR="008E3FA9" w:rsidRPr="00922145" w:rsidRDefault="008E3FA9" w:rsidP="008E3FA9">
            <w:pPr>
              <w:spacing w:before="60" w:after="60"/>
              <w:jc w:val="right"/>
              <w:rPr>
                <w:noProof/>
                <w:sz w:val="20"/>
              </w:rPr>
            </w:pPr>
            <w:r w:rsidRPr="00493F87">
              <w:rPr>
                <w:b/>
                <w:bCs/>
                <w:noProof/>
                <w:color w:val="000000"/>
                <w:sz w:val="20"/>
                <w:szCs w:val="20"/>
              </w:rPr>
              <w:t xml:space="preserve"> 20,901</w:t>
            </w:r>
          </w:p>
        </w:tc>
        <w:tc>
          <w:tcPr>
            <w:tcW w:w="869" w:type="dxa"/>
            <w:vAlign w:val="center"/>
          </w:tcPr>
          <w:p w14:paraId="0F3E80F1" w14:textId="4C549E6E" w:rsidR="008E3FA9" w:rsidRPr="00922145" w:rsidRDefault="008E3FA9" w:rsidP="008E3FA9">
            <w:pPr>
              <w:spacing w:before="60" w:after="60"/>
              <w:jc w:val="right"/>
              <w:rPr>
                <w:noProof/>
                <w:sz w:val="20"/>
                <w:szCs w:val="20"/>
              </w:rPr>
            </w:pPr>
            <w:r w:rsidRPr="00493F87">
              <w:rPr>
                <w:b/>
                <w:bCs/>
                <w:noProof/>
                <w:color w:val="000000"/>
                <w:sz w:val="20"/>
                <w:szCs w:val="20"/>
              </w:rPr>
              <w:t>20,054</w:t>
            </w:r>
          </w:p>
        </w:tc>
        <w:tc>
          <w:tcPr>
            <w:tcW w:w="869" w:type="dxa"/>
            <w:vAlign w:val="center"/>
          </w:tcPr>
          <w:p w14:paraId="6BE54D0E" w14:textId="1898B85F" w:rsidR="008E3FA9" w:rsidRPr="00922145" w:rsidRDefault="008E3FA9" w:rsidP="008E3FA9">
            <w:pPr>
              <w:spacing w:before="60" w:after="60"/>
              <w:jc w:val="right"/>
              <w:rPr>
                <w:noProof/>
                <w:sz w:val="20"/>
                <w:szCs w:val="20"/>
              </w:rPr>
            </w:pPr>
            <w:r w:rsidRPr="00493F87">
              <w:rPr>
                <w:b/>
                <w:bCs/>
                <w:noProof/>
                <w:color w:val="000000"/>
                <w:sz w:val="20"/>
                <w:szCs w:val="20"/>
              </w:rPr>
              <w:t xml:space="preserve"> 24,035</w:t>
            </w:r>
          </w:p>
        </w:tc>
        <w:tc>
          <w:tcPr>
            <w:tcW w:w="869" w:type="dxa"/>
            <w:vAlign w:val="center"/>
          </w:tcPr>
          <w:p w14:paraId="56C9F211" w14:textId="4D2FEFD2" w:rsidR="008E3FA9" w:rsidRPr="00922145" w:rsidRDefault="008E3FA9" w:rsidP="008E3FA9">
            <w:pPr>
              <w:spacing w:before="60" w:after="60"/>
              <w:jc w:val="right"/>
              <w:rPr>
                <w:noProof/>
                <w:sz w:val="20"/>
                <w:szCs w:val="20"/>
              </w:rPr>
            </w:pPr>
            <w:r w:rsidRPr="00493F87">
              <w:rPr>
                <w:b/>
                <w:bCs/>
                <w:noProof/>
                <w:color w:val="000000"/>
                <w:sz w:val="20"/>
                <w:szCs w:val="20"/>
              </w:rPr>
              <w:t>25,437</w:t>
            </w:r>
          </w:p>
        </w:tc>
        <w:tc>
          <w:tcPr>
            <w:tcW w:w="869" w:type="dxa"/>
            <w:vAlign w:val="center"/>
          </w:tcPr>
          <w:p w14:paraId="1C586A3E" w14:textId="5DE5EF3A" w:rsidR="008E3FA9" w:rsidRPr="00922145" w:rsidRDefault="008E3FA9" w:rsidP="008E3FA9">
            <w:pPr>
              <w:spacing w:before="60" w:after="60"/>
              <w:jc w:val="right"/>
              <w:rPr>
                <w:noProof/>
                <w:sz w:val="20"/>
              </w:rPr>
            </w:pPr>
            <w:r w:rsidRPr="00493F87">
              <w:rPr>
                <w:b/>
                <w:bCs/>
                <w:noProof/>
                <w:color w:val="000000"/>
                <w:sz w:val="20"/>
                <w:szCs w:val="20"/>
              </w:rPr>
              <w:t>22,197</w:t>
            </w:r>
          </w:p>
        </w:tc>
        <w:tc>
          <w:tcPr>
            <w:tcW w:w="869" w:type="dxa"/>
            <w:vAlign w:val="center"/>
          </w:tcPr>
          <w:p w14:paraId="06F08DDD" w14:textId="7337E5C2" w:rsidR="008E3FA9" w:rsidRPr="00922145" w:rsidRDefault="008E3FA9" w:rsidP="008E3FA9">
            <w:pPr>
              <w:spacing w:before="60" w:after="60"/>
              <w:jc w:val="right"/>
              <w:rPr>
                <w:noProof/>
                <w:sz w:val="20"/>
              </w:rPr>
            </w:pPr>
            <w:r w:rsidRPr="00493F87">
              <w:rPr>
                <w:b/>
                <w:bCs/>
                <w:noProof/>
                <w:color w:val="000000"/>
                <w:sz w:val="20"/>
                <w:szCs w:val="20"/>
              </w:rPr>
              <w:t>21,625</w:t>
            </w:r>
          </w:p>
        </w:tc>
        <w:tc>
          <w:tcPr>
            <w:tcW w:w="869" w:type="dxa"/>
            <w:vAlign w:val="center"/>
          </w:tcPr>
          <w:p w14:paraId="557F19BF" w14:textId="4CC78AB3" w:rsidR="008E3FA9" w:rsidRPr="00922145" w:rsidRDefault="008E3FA9" w:rsidP="008E3FA9">
            <w:pPr>
              <w:spacing w:before="60" w:after="60"/>
              <w:jc w:val="right"/>
              <w:rPr>
                <w:noProof/>
                <w:sz w:val="20"/>
              </w:rPr>
            </w:pPr>
            <w:r w:rsidRPr="00493F87">
              <w:rPr>
                <w:b/>
                <w:bCs/>
                <w:noProof/>
                <w:color w:val="000000"/>
                <w:sz w:val="20"/>
                <w:szCs w:val="20"/>
              </w:rPr>
              <w:t>21,151</w:t>
            </w:r>
          </w:p>
        </w:tc>
        <w:tc>
          <w:tcPr>
            <w:tcW w:w="971" w:type="dxa"/>
            <w:vAlign w:val="center"/>
          </w:tcPr>
          <w:p w14:paraId="080B92A6" w14:textId="6E1130C5" w:rsidR="008E3FA9" w:rsidRPr="00922145" w:rsidRDefault="008E3FA9" w:rsidP="008E3FA9">
            <w:pPr>
              <w:spacing w:before="60" w:after="60"/>
              <w:jc w:val="right"/>
              <w:rPr>
                <w:b/>
                <w:bCs/>
                <w:noProof/>
                <w:sz w:val="20"/>
                <w:szCs w:val="20"/>
              </w:rPr>
            </w:pPr>
            <w:r w:rsidRPr="00493F87">
              <w:rPr>
                <w:b/>
                <w:bCs/>
                <w:noProof/>
                <w:color w:val="000000"/>
                <w:sz w:val="20"/>
                <w:szCs w:val="20"/>
              </w:rPr>
              <w:t>155,4</w:t>
            </w:r>
          </w:p>
        </w:tc>
      </w:tr>
      <w:tr w:rsidR="00EC37C5" w:rsidRPr="00922145" w14:paraId="28806D1D" w14:textId="77777777">
        <w:trPr>
          <w:cantSplit/>
          <w:trHeight w:val="710"/>
        </w:trPr>
        <w:tc>
          <w:tcPr>
            <w:tcW w:w="2791" w:type="dxa"/>
            <w:vAlign w:val="center"/>
          </w:tcPr>
          <w:p w14:paraId="586871F6" w14:textId="77777777" w:rsidR="00EC37C5" w:rsidRPr="00922145" w:rsidRDefault="00EC37C5">
            <w:pPr>
              <w:spacing w:before="60" w:after="60"/>
              <w:jc w:val="left"/>
              <w:rPr>
                <w:noProof/>
                <w:sz w:val="20"/>
              </w:rPr>
            </w:pPr>
            <w:r w:rsidRPr="00922145">
              <w:rPr>
                <w:noProof/>
                <w:sz w:val="20"/>
              </w:rPr>
              <w:t xml:space="preserve">Appropriations covered by fees </w:t>
            </w:r>
          </w:p>
          <w:p w14:paraId="39E8CEB2" w14:textId="77777777" w:rsidR="00EC37C5" w:rsidRPr="00922145" w:rsidRDefault="00EC37C5">
            <w:pPr>
              <w:spacing w:before="60" w:after="60"/>
              <w:jc w:val="left"/>
              <w:rPr>
                <w:noProof/>
                <w:sz w:val="20"/>
              </w:rPr>
            </w:pPr>
            <w:r w:rsidRPr="00922145">
              <w:rPr>
                <w:noProof/>
                <w:sz w:val="20"/>
              </w:rPr>
              <w:t>(if applicable)</w:t>
            </w:r>
          </w:p>
        </w:tc>
        <w:tc>
          <w:tcPr>
            <w:tcW w:w="868" w:type="dxa"/>
            <w:vAlign w:val="center"/>
          </w:tcPr>
          <w:p w14:paraId="334E64D2" w14:textId="77777777" w:rsidR="00EC37C5" w:rsidRPr="00922145" w:rsidRDefault="00EC37C5">
            <w:pPr>
              <w:spacing w:before="60" w:after="60"/>
              <w:jc w:val="right"/>
              <w:rPr>
                <w:noProof/>
                <w:sz w:val="20"/>
              </w:rPr>
            </w:pPr>
            <w:r w:rsidRPr="00922145">
              <w:rPr>
                <w:b/>
                <w:bCs/>
                <w:noProof/>
                <w:color w:val="000000"/>
                <w:sz w:val="20"/>
                <w:szCs w:val="20"/>
              </w:rPr>
              <w:t>0,000</w:t>
            </w:r>
          </w:p>
        </w:tc>
        <w:tc>
          <w:tcPr>
            <w:tcW w:w="869" w:type="dxa"/>
            <w:vAlign w:val="center"/>
          </w:tcPr>
          <w:p w14:paraId="617EA42E" w14:textId="77777777" w:rsidR="00EC37C5" w:rsidRPr="00922145" w:rsidRDefault="00EC37C5">
            <w:pPr>
              <w:spacing w:before="60" w:after="60"/>
              <w:jc w:val="right"/>
              <w:rPr>
                <w:noProof/>
                <w:sz w:val="20"/>
                <w:szCs w:val="20"/>
              </w:rPr>
            </w:pPr>
            <w:r w:rsidRPr="6886A3BB">
              <w:rPr>
                <w:b/>
                <w:noProof/>
                <w:color w:val="000000" w:themeColor="text1"/>
                <w:sz w:val="20"/>
                <w:szCs w:val="20"/>
              </w:rPr>
              <w:t>0,</w:t>
            </w:r>
            <w:r w:rsidRPr="20369F6B">
              <w:rPr>
                <w:b/>
                <w:bCs/>
                <w:noProof/>
                <w:color w:val="000000" w:themeColor="text1"/>
                <w:sz w:val="20"/>
                <w:szCs w:val="20"/>
              </w:rPr>
              <w:t>510</w:t>
            </w:r>
          </w:p>
        </w:tc>
        <w:tc>
          <w:tcPr>
            <w:tcW w:w="869" w:type="dxa"/>
            <w:vAlign w:val="center"/>
          </w:tcPr>
          <w:p w14:paraId="526D5506" w14:textId="77777777" w:rsidR="00EC37C5" w:rsidRPr="00922145" w:rsidRDefault="00EC37C5">
            <w:pPr>
              <w:spacing w:before="60" w:after="60"/>
              <w:jc w:val="right"/>
              <w:rPr>
                <w:noProof/>
                <w:sz w:val="20"/>
                <w:szCs w:val="20"/>
              </w:rPr>
            </w:pPr>
            <w:r w:rsidRPr="5106F19E">
              <w:rPr>
                <w:b/>
                <w:bCs/>
                <w:noProof/>
                <w:color w:val="000000" w:themeColor="text1"/>
                <w:sz w:val="20"/>
                <w:szCs w:val="20"/>
              </w:rPr>
              <w:t>1,043</w:t>
            </w:r>
          </w:p>
        </w:tc>
        <w:tc>
          <w:tcPr>
            <w:tcW w:w="869" w:type="dxa"/>
            <w:vAlign w:val="center"/>
          </w:tcPr>
          <w:p w14:paraId="476398A0" w14:textId="77777777" w:rsidR="00EC37C5" w:rsidRPr="00922145" w:rsidRDefault="00EC37C5">
            <w:pPr>
              <w:spacing w:before="60" w:after="60"/>
              <w:jc w:val="right"/>
              <w:rPr>
                <w:noProof/>
                <w:sz w:val="20"/>
                <w:szCs w:val="20"/>
              </w:rPr>
            </w:pPr>
            <w:r w:rsidRPr="5106F19E">
              <w:rPr>
                <w:b/>
                <w:bCs/>
                <w:noProof/>
                <w:color w:val="000000" w:themeColor="text1"/>
                <w:sz w:val="20"/>
                <w:szCs w:val="20"/>
              </w:rPr>
              <w:t>1,539</w:t>
            </w:r>
          </w:p>
        </w:tc>
        <w:tc>
          <w:tcPr>
            <w:tcW w:w="869" w:type="dxa"/>
            <w:vAlign w:val="center"/>
          </w:tcPr>
          <w:p w14:paraId="52E31CF9" w14:textId="77777777" w:rsidR="00EC37C5" w:rsidRPr="00922145" w:rsidRDefault="00EC37C5">
            <w:pPr>
              <w:spacing w:before="60" w:after="60"/>
              <w:jc w:val="right"/>
              <w:rPr>
                <w:noProof/>
                <w:sz w:val="20"/>
              </w:rPr>
            </w:pPr>
            <w:r w:rsidRPr="3AF1F4E2">
              <w:rPr>
                <w:b/>
                <w:bCs/>
                <w:noProof/>
                <w:color w:val="000000" w:themeColor="text1"/>
                <w:sz w:val="20"/>
                <w:szCs w:val="20"/>
              </w:rPr>
              <w:t>4,604</w:t>
            </w:r>
          </w:p>
        </w:tc>
        <w:tc>
          <w:tcPr>
            <w:tcW w:w="869" w:type="dxa"/>
            <w:vAlign w:val="center"/>
          </w:tcPr>
          <w:p w14:paraId="6DDB570B" w14:textId="77777777" w:rsidR="00EC37C5" w:rsidRPr="00922145" w:rsidRDefault="00EC37C5">
            <w:pPr>
              <w:spacing w:before="60" w:after="60"/>
              <w:jc w:val="right"/>
              <w:rPr>
                <w:noProof/>
                <w:sz w:val="20"/>
              </w:rPr>
            </w:pPr>
            <w:r w:rsidRPr="3AF1F4E2">
              <w:rPr>
                <w:b/>
                <w:bCs/>
                <w:noProof/>
                <w:color w:val="000000" w:themeColor="text1"/>
                <w:sz w:val="20"/>
                <w:szCs w:val="20"/>
              </w:rPr>
              <w:t>5,176</w:t>
            </w:r>
          </w:p>
        </w:tc>
        <w:tc>
          <w:tcPr>
            <w:tcW w:w="869" w:type="dxa"/>
            <w:vAlign w:val="center"/>
          </w:tcPr>
          <w:p w14:paraId="12A731FE" w14:textId="77777777" w:rsidR="00EC37C5" w:rsidRPr="00922145" w:rsidRDefault="00EC37C5">
            <w:pPr>
              <w:spacing w:before="60" w:after="60"/>
              <w:jc w:val="right"/>
              <w:rPr>
                <w:noProof/>
                <w:sz w:val="20"/>
              </w:rPr>
            </w:pPr>
            <w:r w:rsidRPr="3AF1F4E2">
              <w:rPr>
                <w:b/>
                <w:bCs/>
                <w:noProof/>
                <w:color w:val="000000" w:themeColor="text1"/>
                <w:sz w:val="20"/>
                <w:szCs w:val="20"/>
              </w:rPr>
              <w:t>5,650</w:t>
            </w:r>
          </w:p>
        </w:tc>
        <w:tc>
          <w:tcPr>
            <w:tcW w:w="971" w:type="dxa"/>
            <w:vAlign w:val="center"/>
          </w:tcPr>
          <w:p w14:paraId="33358D74" w14:textId="77777777" w:rsidR="00EC37C5" w:rsidRPr="00922145" w:rsidRDefault="00EC37C5">
            <w:pPr>
              <w:spacing w:before="60" w:after="60"/>
              <w:jc w:val="right"/>
              <w:rPr>
                <w:b/>
                <w:bCs/>
                <w:noProof/>
                <w:sz w:val="20"/>
                <w:szCs w:val="20"/>
              </w:rPr>
            </w:pPr>
            <w:r w:rsidRPr="3AF1F4E2">
              <w:rPr>
                <w:b/>
                <w:bCs/>
                <w:noProof/>
                <w:color w:val="000000" w:themeColor="text1"/>
                <w:sz w:val="20"/>
                <w:szCs w:val="20"/>
              </w:rPr>
              <w:t>18,522</w:t>
            </w:r>
          </w:p>
        </w:tc>
      </w:tr>
      <w:tr w:rsidR="00EC37C5" w:rsidRPr="00922145" w14:paraId="681FBF50" w14:textId="77777777">
        <w:trPr>
          <w:cantSplit/>
          <w:trHeight w:val="710"/>
        </w:trPr>
        <w:tc>
          <w:tcPr>
            <w:tcW w:w="2791" w:type="dxa"/>
            <w:vAlign w:val="center"/>
          </w:tcPr>
          <w:p w14:paraId="61E6C06F" w14:textId="77777777" w:rsidR="00EC37C5" w:rsidRPr="00922145" w:rsidRDefault="00EC37C5">
            <w:pPr>
              <w:spacing w:before="60" w:after="60"/>
              <w:jc w:val="left"/>
              <w:rPr>
                <w:noProof/>
                <w:sz w:val="20"/>
              </w:rPr>
            </w:pPr>
            <w:r w:rsidRPr="00922145">
              <w:rPr>
                <w:noProof/>
                <w:sz w:val="20"/>
              </w:rPr>
              <w:t xml:space="preserve">Appropriations co-financed </w:t>
            </w:r>
          </w:p>
          <w:p w14:paraId="6C71466D" w14:textId="77777777" w:rsidR="00EC37C5" w:rsidRPr="00922145" w:rsidRDefault="00EC37C5">
            <w:pPr>
              <w:spacing w:before="60" w:after="60"/>
              <w:jc w:val="left"/>
              <w:rPr>
                <w:noProof/>
                <w:sz w:val="20"/>
              </w:rPr>
            </w:pPr>
            <w:r w:rsidRPr="00922145">
              <w:rPr>
                <w:noProof/>
                <w:sz w:val="20"/>
              </w:rPr>
              <w:t>(if applicable)</w:t>
            </w:r>
          </w:p>
        </w:tc>
        <w:tc>
          <w:tcPr>
            <w:tcW w:w="868" w:type="dxa"/>
            <w:vAlign w:val="center"/>
          </w:tcPr>
          <w:p w14:paraId="50A7B736" w14:textId="77777777" w:rsidR="00EC37C5" w:rsidRPr="00922145" w:rsidRDefault="00EC37C5">
            <w:pPr>
              <w:spacing w:before="60" w:after="60"/>
              <w:jc w:val="right"/>
              <w:rPr>
                <w:noProof/>
                <w:sz w:val="20"/>
              </w:rPr>
            </w:pPr>
            <w:r w:rsidRPr="00922145">
              <w:rPr>
                <w:noProof/>
                <w:sz w:val="20"/>
                <w:szCs w:val="20"/>
              </w:rPr>
              <w:t>0.000</w:t>
            </w:r>
          </w:p>
        </w:tc>
        <w:tc>
          <w:tcPr>
            <w:tcW w:w="869" w:type="dxa"/>
            <w:vAlign w:val="center"/>
          </w:tcPr>
          <w:p w14:paraId="4D2C76F2" w14:textId="77777777" w:rsidR="00EC37C5" w:rsidRPr="00922145" w:rsidRDefault="00EC37C5">
            <w:pPr>
              <w:spacing w:before="60" w:after="60"/>
              <w:jc w:val="right"/>
              <w:rPr>
                <w:noProof/>
                <w:sz w:val="20"/>
                <w:szCs w:val="20"/>
              </w:rPr>
            </w:pPr>
            <w:r w:rsidRPr="00922145">
              <w:rPr>
                <w:noProof/>
                <w:sz w:val="20"/>
                <w:szCs w:val="20"/>
              </w:rPr>
              <w:t>0.000</w:t>
            </w:r>
          </w:p>
        </w:tc>
        <w:tc>
          <w:tcPr>
            <w:tcW w:w="869" w:type="dxa"/>
            <w:vAlign w:val="center"/>
          </w:tcPr>
          <w:p w14:paraId="3DDC0412" w14:textId="77777777" w:rsidR="00EC37C5" w:rsidRPr="00922145" w:rsidRDefault="00EC37C5">
            <w:pPr>
              <w:spacing w:before="60" w:after="60"/>
              <w:jc w:val="right"/>
              <w:rPr>
                <w:noProof/>
                <w:sz w:val="20"/>
                <w:szCs w:val="20"/>
              </w:rPr>
            </w:pPr>
            <w:r w:rsidRPr="00922145">
              <w:rPr>
                <w:noProof/>
                <w:sz w:val="20"/>
                <w:szCs w:val="20"/>
              </w:rPr>
              <w:t>0.000</w:t>
            </w:r>
          </w:p>
        </w:tc>
        <w:tc>
          <w:tcPr>
            <w:tcW w:w="869" w:type="dxa"/>
            <w:vAlign w:val="center"/>
          </w:tcPr>
          <w:p w14:paraId="3C94FE6E" w14:textId="77777777" w:rsidR="00EC37C5" w:rsidRPr="00922145" w:rsidRDefault="00EC37C5">
            <w:pPr>
              <w:spacing w:before="60" w:after="60"/>
              <w:jc w:val="right"/>
              <w:rPr>
                <w:noProof/>
                <w:sz w:val="20"/>
                <w:szCs w:val="20"/>
              </w:rPr>
            </w:pPr>
            <w:r w:rsidRPr="00922145">
              <w:rPr>
                <w:noProof/>
                <w:sz w:val="20"/>
                <w:szCs w:val="20"/>
              </w:rPr>
              <w:t>0.000</w:t>
            </w:r>
          </w:p>
        </w:tc>
        <w:tc>
          <w:tcPr>
            <w:tcW w:w="869" w:type="dxa"/>
            <w:vAlign w:val="center"/>
          </w:tcPr>
          <w:p w14:paraId="3AF19E46" w14:textId="77777777" w:rsidR="00EC37C5" w:rsidRPr="00922145" w:rsidRDefault="00EC37C5">
            <w:pPr>
              <w:spacing w:before="60" w:after="60"/>
              <w:jc w:val="right"/>
              <w:rPr>
                <w:noProof/>
                <w:sz w:val="20"/>
              </w:rPr>
            </w:pPr>
            <w:r w:rsidRPr="00922145">
              <w:rPr>
                <w:noProof/>
                <w:sz w:val="20"/>
                <w:szCs w:val="20"/>
              </w:rPr>
              <w:t>0.000</w:t>
            </w:r>
          </w:p>
        </w:tc>
        <w:tc>
          <w:tcPr>
            <w:tcW w:w="869" w:type="dxa"/>
            <w:vAlign w:val="center"/>
          </w:tcPr>
          <w:p w14:paraId="6251B4E0" w14:textId="77777777" w:rsidR="00EC37C5" w:rsidRPr="00922145" w:rsidRDefault="00EC37C5">
            <w:pPr>
              <w:spacing w:before="60" w:after="60"/>
              <w:jc w:val="right"/>
              <w:rPr>
                <w:noProof/>
                <w:sz w:val="20"/>
              </w:rPr>
            </w:pPr>
            <w:r w:rsidRPr="00922145">
              <w:rPr>
                <w:noProof/>
                <w:sz w:val="20"/>
                <w:szCs w:val="20"/>
              </w:rPr>
              <w:t>0.000</w:t>
            </w:r>
          </w:p>
        </w:tc>
        <w:tc>
          <w:tcPr>
            <w:tcW w:w="869" w:type="dxa"/>
            <w:vAlign w:val="center"/>
          </w:tcPr>
          <w:p w14:paraId="7394E038" w14:textId="77777777" w:rsidR="00EC37C5" w:rsidRPr="00922145" w:rsidRDefault="00EC37C5">
            <w:pPr>
              <w:spacing w:before="60" w:after="60"/>
              <w:jc w:val="right"/>
              <w:rPr>
                <w:noProof/>
                <w:sz w:val="20"/>
              </w:rPr>
            </w:pPr>
            <w:r w:rsidRPr="00922145">
              <w:rPr>
                <w:noProof/>
                <w:sz w:val="20"/>
                <w:szCs w:val="20"/>
              </w:rPr>
              <w:t>0.000</w:t>
            </w:r>
          </w:p>
        </w:tc>
        <w:tc>
          <w:tcPr>
            <w:tcW w:w="971" w:type="dxa"/>
            <w:vAlign w:val="center"/>
          </w:tcPr>
          <w:p w14:paraId="316AC54C" w14:textId="77777777" w:rsidR="00EC37C5" w:rsidRPr="00922145" w:rsidRDefault="00EC37C5">
            <w:pPr>
              <w:spacing w:before="60" w:after="60"/>
              <w:jc w:val="right"/>
              <w:rPr>
                <w:b/>
                <w:bCs/>
                <w:noProof/>
                <w:sz w:val="20"/>
                <w:szCs w:val="20"/>
              </w:rPr>
            </w:pPr>
            <w:r w:rsidRPr="00922145">
              <w:rPr>
                <w:b/>
                <w:bCs/>
                <w:noProof/>
                <w:sz w:val="20"/>
                <w:szCs w:val="20"/>
              </w:rPr>
              <w:t>0.000</w:t>
            </w:r>
          </w:p>
        </w:tc>
      </w:tr>
      <w:tr w:rsidR="00B81211" w:rsidRPr="00922145" w14:paraId="0352850A" w14:textId="77777777">
        <w:trPr>
          <w:cantSplit/>
          <w:trHeight w:val="710"/>
        </w:trPr>
        <w:tc>
          <w:tcPr>
            <w:tcW w:w="2791" w:type="dxa"/>
            <w:shd w:val="clear" w:color="auto" w:fill="D9D9D9" w:themeFill="background1" w:themeFillShade="D9"/>
            <w:vAlign w:val="center"/>
          </w:tcPr>
          <w:p w14:paraId="24FB3D93" w14:textId="77777777" w:rsidR="008E3FA9" w:rsidRPr="00922145" w:rsidRDefault="008E3FA9" w:rsidP="008E3FA9">
            <w:pPr>
              <w:spacing w:before="60" w:after="60"/>
              <w:jc w:val="left"/>
              <w:rPr>
                <w:b/>
                <w:bCs/>
                <w:noProof/>
                <w:sz w:val="20"/>
              </w:rPr>
            </w:pPr>
            <w:r w:rsidRPr="00922145">
              <w:rPr>
                <w:b/>
                <w:bCs/>
                <w:noProof/>
                <w:sz w:val="20"/>
              </w:rPr>
              <w:t>TOTAL appropriations</w:t>
            </w:r>
          </w:p>
        </w:tc>
        <w:tc>
          <w:tcPr>
            <w:tcW w:w="868" w:type="dxa"/>
            <w:shd w:val="clear" w:color="auto" w:fill="D9D9D9" w:themeFill="background1" w:themeFillShade="D9"/>
            <w:vAlign w:val="center"/>
          </w:tcPr>
          <w:p w14:paraId="5575FE40" w14:textId="52D4B088" w:rsidR="008E3FA9" w:rsidRPr="00922145" w:rsidRDefault="008E3FA9" w:rsidP="008E3FA9">
            <w:pPr>
              <w:spacing w:before="60" w:after="60"/>
              <w:jc w:val="right"/>
              <w:rPr>
                <w:b/>
                <w:bCs/>
                <w:noProof/>
                <w:sz w:val="20"/>
              </w:rPr>
            </w:pPr>
            <w:r w:rsidRPr="00493F87">
              <w:rPr>
                <w:b/>
                <w:bCs/>
                <w:noProof/>
                <w:color w:val="000000"/>
                <w:sz w:val="20"/>
                <w:szCs w:val="20"/>
              </w:rPr>
              <w:t xml:space="preserve"> 20,901</w:t>
            </w:r>
          </w:p>
        </w:tc>
        <w:tc>
          <w:tcPr>
            <w:tcW w:w="869" w:type="dxa"/>
            <w:shd w:val="clear" w:color="auto" w:fill="D9D9D9" w:themeFill="background1" w:themeFillShade="D9"/>
            <w:vAlign w:val="center"/>
          </w:tcPr>
          <w:p w14:paraId="2AA7D2E4" w14:textId="479EB61B" w:rsidR="008E3FA9" w:rsidRPr="00922145" w:rsidRDefault="008E3FA9" w:rsidP="008E3FA9">
            <w:pPr>
              <w:spacing w:before="60" w:after="60"/>
              <w:jc w:val="right"/>
              <w:rPr>
                <w:b/>
                <w:bCs/>
                <w:noProof/>
                <w:sz w:val="20"/>
              </w:rPr>
            </w:pPr>
            <w:r w:rsidRPr="00493F87">
              <w:rPr>
                <w:b/>
                <w:bCs/>
                <w:noProof/>
                <w:color w:val="000000"/>
                <w:sz w:val="20"/>
                <w:szCs w:val="20"/>
              </w:rPr>
              <w:t>20,564</w:t>
            </w:r>
          </w:p>
        </w:tc>
        <w:tc>
          <w:tcPr>
            <w:tcW w:w="869" w:type="dxa"/>
            <w:shd w:val="clear" w:color="auto" w:fill="D9D9D9" w:themeFill="background1" w:themeFillShade="D9"/>
            <w:vAlign w:val="center"/>
          </w:tcPr>
          <w:p w14:paraId="03522F0D" w14:textId="23A68FF6" w:rsidR="008E3FA9" w:rsidRPr="00922145" w:rsidRDefault="008E3FA9" w:rsidP="008E3FA9">
            <w:pPr>
              <w:spacing w:before="60" w:after="60"/>
              <w:jc w:val="right"/>
              <w:rPr>
                <w:b/>
                <w:bCs/>
                <w:noProof/>
                <w:sz w:val="20"/>
              </w:rPr>
            </w:pPr>
            <w:r w:rsidRPr="00493F87">
              <w:rPr>
                <w:b/>
                <w:bCs/>
                <w:noProof/>
                <w:color w:val="000000"/>
                <w:sz w:val="20"/>
                <w:szCs w:val="20"/>
              </w:rPr>
              <w:t xml:space="preserve"> 25,078</w:t>
            </w:r>
          </w:p>
        </w:tc>
        <w:tc>
          <w:tcPr>
            <w:tcW w:w="869" w:type="dxa"/>
            <w:shd w:val="clear" w:color="auto" w:fill="D9D9D9" w:themeFill="background1" w:themeFillShade="D9"/>
            <w:vAlign w:val="center"/>
          </w:tcPr>
          <w:p w14:paraId="02E3BE5F" w14:textId="027112E6" w:rsidR="008E3FA9" w:rsidRPr="00922145" w:rsidRDefault="008E3FA9" w:rsidP="008E3FA9">
            <w:pPr>
              <w:spacing w:before="60" w:after="60"/>
              <w:jc w:val="right"/>
              <w:rPr>
                <w:b/>
                <w:bCs/>
                <w:noProof/>
                <w:sz w:val="20"/>
              </w:rPr>
            </w:pPr>
            <w:r w:rsidRPr="00493F87">
              <w:rPr>
                <w:b/>
                <w:bCs/>
                <w:noProof/>
                <w:color w:val="000000"/>
                <w:sz w:val="20"/>
                <w:szCs w:val="20"/>
              </w:rPr>
              <w:t>26,976</w:t>
            </w:r>
          </w:p>
        </w:tc>
        <w:tc>
          <w:tcPr>
            <w:tcW w:w="869" w:type="dxa"/>
            <w:shd w:val="clear" w:color="auto" w:fill="D9D9D9" w:themeFill="background1" w:themeFillShade="D9"/>
            <w:vAlign w:val="center"/>
          </w:tcPr>
          <w:p w14:paraId="760B0246" w14:textId="4C4820BD" w:rsidR="008E3FA9" w:rsidRPr="00922145" w:rsidRDefault="008E3FA9" w:rsidP="008E3FA9">
            <w:pPr>
              <w:spacing w:before="60" w:after="60"/>
              <w:jc w:val="right"/>
              <w:rPr>
                <w:b/>
                <w:bCs/>
                <w:noProof/>
                <w:sz w:val="20"/>
              </w:rPr>
            </w:pPr>
            <w:r w:rsidRPr="00493F87">
              <w:rPr>
                <w:b/>
                <w:bCs/>
                <w:noProof/>
                <w:color w:val="000000"/>
                <w:sz w:val="20"/>
                <w:szCs w:val="20"/>
              </w:rPr>
              <w:t>26,801</w:t>
            </w:r>
          </w:p>
        </w:tc>
        <w:tc>
          <w:tcPr>
            <w:tcW w:w="869" w:type="dxa"/>
            <w:shd w:val="clear" w:color="auto" w:fill="D9D9D9" w:themeFill="background1" w:themeFillShade="D9"/>
            <w:vAlign w:val="center"/>
          </w:tcPr>
          <w:p w14:paraId="1F633E60" w14:textId="1AB5B27A" w:rsidR="008E3FA9" w:rsidRPr="00922145" w:rsidRDefault="008E3FA9" w:rsidP="008E3FA9">
            <w:pPr>
              <w:spacing w:before="60" w:after="60"/>
              <w:jc w:val="right"/>
              <w:rPr>
                <w:b/>
                <w:bCs/>
                <w:noProof/>
                <w:sz w:val="20"/>
              </w:rPr>
            </w:pPr>
            <w:r w:rsidRPr="00493F87">
              <w:rPr>
                <w:b/>
                <w:bCs/>
                <w:noProof/>
                <w:color w:val="000000"/>
                <w:sz w:val="20"/>
                <w:szCs w:val="20"/>
              </w:rPr>
              <w:t>26,801</w:t>
            </w:r>
          </w:p>
        </w:tc>
        <w:tc>
          <w:tcPr>
            <w:tcW w:w="869" w:type="dxa"/>
            <w:shd w:val="clear" w:color="auto" w:fill="D9D9D9" w:themeFill="background1" w:themeFillShade="D9"/>
            <w:vAlign w:val="center"/>
          </w:tcPr>
          <w:p w14:paraId="3D5C99F4" w14:textId="795CB94E" w:rsidR="008E3FA9" w:rsidRPr="00922145" w:rsidRDefault="008E3FA9" w:rsidP="008E3FA9">
            <w:pPr>
              <w:spacing w:before="60" w:after="60"/>
              <w:jc w:val="right"/>
              <w:rPr>
                <w:b/>
                <w:bCs/>
                <w:noProof/>
                <w:sz w:val="20"/>
              </w:rPr>
            </w:pPr>
            <w:r w:rsidRPr="00493F87">
              <w:rPr>
                <w:b/>
                <w:bCs/>
                <w:noProof/>
                <w:color w:val="000000"/>
                <w:sz w:val="20"/>
                <w:szCs w:val="20"/>
              </w:rPr>
              <w:t>26,801</w:t>
            </w:r>
          </w:p>
        </w:tc>
        <w:tc>
          <w:tcPr>
            <w:tcW w:w="971" w:type="dxa"/>
            <w:shd w:val="clear" w:color="auto" w:fill="D9D9D9" w:themeFill="background1" w:themeFillShade="D9"/>
            <w:vAlign w:val="center"/>
          </w:tcPr>
          <w:p w14:paraId="248AFE82" w14:textId="6128E1A3" w:rsidR="008E3FA9" w:rsidRPr="00922145" w:rsidRDefault="008E3FA9" w:rsidP="008E3FA9">
            <w:pPr>
              <w:spacing w:before="60" w:after="60"/>
              <w:jc w:val="right"/>
              <w:rPr>
                <w:b/>
                <w:bCs/>
                <w:noProof/>
                <w:sz w:val="20"/>
              </w:rPr>
            </w:pPr>
            <w:r w:rsidRPr="00493F87">
              <w:rPr>
                <w:b/>
                <w:bCs/>
                <w:noProof/>
                <w:color w:val="000000"/>
                <w:sz w:val="20"/>
                <w:szCs w:val="20"/>
              </w:rPr>
              <w:t>173,922</w:t>
            </w:r>
          </w:p>
        </w:tc>
      </w:tr>
    </w:tbl>
    <w:p w14:paraId="4FFD3E5E" w14:textId="37630DD0" w:rsidR="00EC37C5" w:rsidRPr="005723F4" w:rsidRDefault="00EC37C5" w:rsidP="00EC37C5">
      <w:pPr>
        <w:outlineLvl w:val="1"/>
        <w:rPr>
          <w:noProof/>
          <w:szCs w:val="24"/>
        </w:rPr>
      </w:pPr>
      <w:r w:rsidRPr="005723F4">
        <w:rPr>
          <w:noProof/>
        </w:rPr>
        <w:br/>
      </w:r>
      <w:bookmarkStart w:id="186" w:name="_Toc514938059"/>
      <w:bookmarkStart w:id="187" w:name="_Toc520485057"/>
      <w:bookmarkStart w:id="188" w:name="_Toc160804602"/>
      <w:bookmarkStart w:id="189" w:name="_Toc167220300"/>
      <w:bookmarkStart w:id="190" w:name="_Toc177549034"/>
      <w:bookmarkStart w:id="191" w:name="_Hlk166860179"/>
      <w:r w:rsidRPr="005723F4">
        <w:rPr>
          <w:noProof/>
        </w:rPr>
        <w:t>3.3.</w:t>
      </w:r>
      <w:r w:rsidRPr="005723F4">
        <w:rPr>
          <w:noProof/>
        </w:rPr>
        <w:tab/>
        <w:t>Estimated impact on revenue</w:t>
      </w:r>
      <w:bookmarkEnd w:id="186"/>
      <w:bookmarkEnd w:id="187"/>
      <w:bookmarkEnd w:id="188"/>
      <w:bookmarkEnd w:id="189"/>
      <w:bookmarkEnd w:id="190"/>
      <w:r w:rsidRPr="005723F4">
        <w:rPr>
          <w:noProof/>
        </w:rPr>
        <w:t xml:space="preserve"> </w:t>
      </w:r>
    </w:p>
    <w:bookmarkEnd w:id="191"/>
    <w:p w14:paraId="414E8652" w14:textId="77777777" w:rsidR="00EC37C5" w:rsidRDefault="00EC37C5" w:rsidP="00EC37C5">
      <w:pPr>
        <w:pStyle w:val="ListDash1"/>
        <w:rPr>
          <w:noProof/>
        </w:rPr>
      </w:pPr>
      <w:r w:rsidRPr="00922145">
        <w:rPr>
          <w:rFonts w:ascii="Wingdings" w:eastAsia="Wingdings" w:hAnsi="Wingdings" w:cs="Wingdings"/>
          <w:noProof/>
        </w:rPr>
        <w:t></w:t>
      </w:r>
      <w:r>
        <w:rPr>
          <w:noProof/>
        </w:rPr>
        <w:tab/>
        <w:t>The proposal/initiative has no financial impact on revenue.</w:t>
      </w:r>
    </w:p>
    <w:p w14:paraId="7C83E063" w14:textId="77777777" w:rsidR="00EC37C5" w:rsidRDefault="00EC37C5" w:rsidP="00EC37C5">
      <w:pPr>
        <w:pStyle w:val="ListDash1"/>
        <w:rPr>
          <w:noProof/>
        </w:rPr>
      </w:pPr>
      <w:r>
        <w:rPr>
          <w:rFonts w:ascii="Wingdings" w:eastAsia="Wingdings" w:hAnsi="Wingdings" w:cs="Wingdings"/>
          <w:noProof/>
        </w:rPr>
        <w:t></w:t>
      </w:r>
      <w:r>
        <w:rPr>
          <w:noProof/>
        </w:rPr>
        <w:tab/>
        <w:t>The proposal/initiative has the following financial impact:</w:t>
      </w:r>
    </w:p>
    <w:p w14:paraId="6A4425AE" w14:textId="77777777" w:rsidR="00EC37C5" w:rsidRDefault="00EC37C5" w:rsidP="00EC37C5">
      <w:pPr>
        <w:pStyle w:val="ListNumberLevel3"/>
        <w:rPr>
          <w:noProof/>
        </w:rPr>
      </w:pPr>
      <w:r>
        <w:rPr>
          <w:rFonts w:ascii="Wingdings" w:eastAsia="Wingdings" w:hAnsi="Wingdings" w:cs="Wingdings"/>
          <w:noProof/>
        </w:rPr>
        <w:t></w:t>
      </w:r>
      <w:r>
        <w:rPr>
          <w:noProof/>
        </w:rPr>
        <w:tab/>
        <w:t xml:space="preserve">on own resources </w:t>
      </w:r>
    </w:p>
    <w:p w14:paraId="53667DD2" w14:textId="77777777" w:rsidR="00EC37C5" w:rsidRDefault="00EC37C5" w:rsidP="00EC37C5">
      <w:pPr>
        <w:pStyle w:val="ListNumberLevel3"/>
        <w:rPr>
          <w:noProof/>
        </w:rPr>
      </w:pPr>
      <w:r>
        <w:rPr>
          <w:rFonts w:ascii="Wingdings" w:eastAsia="Wingdings" w:hAnsi="Wingdings" w:cs="Wingdings"/>
          <w:noProof/>
        </w:rPr>
        <w:t></w:t>
      </w:r>
      <w:r>
        <w:rPr>
          <w:noProof/>
        </w:rPr>
        <w:tab/>
        <w:t>on other revenue</w:t>
      </w:r>
    </w:p>
    <w:p w14:paraId="1DF5B390" w14:textId="77777777" w:rsidR="00EC37C5" w:rsidRPr="003E2B9D" w:rsidRDefault="00EC37C5" w:rsidP="00EC37C5">
      <w:pPr>
        <w:pStyle w:val="ListNumberLevel3"/>
        <w:rPr>
          <w:noProof/>
        </w:rPr>
      </w:pPr>
      <w:r w:rsidRPr="003E2B9D">
        <w:rPr>
          <w:rFonts w:ascii="Wingdings" w:eastAsia="Wingdings" w:hAnsi="Wingdings" w:cs="Wingdings"/>
          <w:noProof/>
        </w:rPr>
        <w:t></w:t>
      </w:r>
      <w:r w:rsidRPr="003E2B9D">
        <w:rPr>
          <w:rFonts w:ascii="Wingdings" w:eastAsia="Wingdings" w:hAnsi="Wingdings" w:cs="Wingdings"/>
          <w:noProof/>
        </w:rPr>
        <w:tab/>
      </w:r>
      <w:r w:rsidRPr="003E2B9D">
        <w:rPr>
          <w:noProof/>
        </w:rPr>
        <w:t>please</w:t>
      </w:r>
      <w:r w:rsidRPr="009B753E">
        <w:rPr>
          <w:noProof/>
        </w:rPr>
        <w:t xml:space="preserve"> indicate, if the revenue is assigned to expenditure lines</w:t>
      </w:r>
    </w:p>
    <w:p w14:paraId="75F65FB8" w14:textId="77777777" w:rsidR="00EC37C5" w:rsidRPr="00922145" w:rsidRDefault="00EC37C5" w:rsidP="00EC37C5">
      <w:pPr>
        <w:jc w:val="right"/>
        <w:rPr>
          <w:noProof/>
          <w:sz w:val="20"/>
        </w:rPr>
      </w:pPr>
      <w:r w:rsidRPr="00656209">
        <w:rPr>
          <w:noProof/>
          <w:sz w:val="20"/>
          <w:lang w:val="en-IE"/>
        </w:rPr>
        <w:t xml:space="preserve">     </w:t>
      </w:r>
      <w:r w:rsidRPr="00922145">
        <w:rPr>
          <w:noProof/>
          <w:sz w:val="20"/>
        </w:rPr>
        <w:t>EUR million (to three decimal places)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58"/>
        <w:gridCol w:w="1306"/>
        <w:gridCol w:w="910"/>
        <w:gridCol w:w="853"/>
        <w:gridCol w:w="858"/>
        <w:gridCol w:w="877"/>
        <w:gridCol w:w="875"/>
        <w:gridCol w:w="875"/>
        <w:gridCol w:w="875"/>
      </w:tblGrid>
      <w:tr w:rsidR="00EC37C5" w:rsidRPr="00922145" w14:paraId="105C0902" w14:textId="77777777">
        <w:trPr>
          <w:trHeight w:val="388"/>
        </w:trPr>
        <w:tc>
          <w:tcPr>
            <w:tcW w:w="1001" w:type="pct"/>
            <w:vMerge w:val="restart"/>
            <w:vAlign w:val="center"/>
          </w:tcPr>
          <w:p w14:paraId="07C30FD5" w14:textId="77777777" w:rsidR="00EC37C5" w:rsidRPr="00922145" w:rsidRDefault="00EC37C5">
            <w:pPr>
              <w:spacing w:before="40" w:after="40"/>
              <w:rPr>
                <w:noProof/>
                <w:sz w:val="18"/>
              </w:rPr>
            </w:pPr>
            <w:r w:rsidRPr="00922145">
              <w:rPr>
                <w:noProof/>
                <w:sz w:val="18"/>
              </w:rPr>
              <w:t>Budget revenue line:</w:t>
            </w:r>
          </w:p>
        </w:tc>
        <w:tc>
          <w:tcPr>
            <w:tcW w:w="703" w:type="pct"/>
            <w:vMerge w:val="restart"/>
            <w:vAlign w:val="center"/>
          </w:tcPr>
          <w:p w14:paraId="614306C3" w14:textId="77777777" w:rsidR="00EC37C5" w:rsidRPr="00922145" w:rsidRDefault="00EC37C5">
            <w:pPr>
              <w:jc w:val="center"/>
              <w:rPr>
                <w:noProof/>
                <w:sz w:val="18"/>
              </w:rPr>
            </w:pPr>
            <w:r w:rsidRPr="00922145">
              <w:rPr>
                <w:noProof/>
                <w:sz w:val="18"/>
              </w:rPr>
              <w:t>Appropriations available for the current financial year</w:t>
            </w:r>
          </w:p>
        </w:tc>
        <w:tc>
          <w:tcPr>
            <w:tcW w:w="3296" w:type="pct"/>
            <w:gridSpan w:val="7"/>
            <w:vAlign w:val="center"/>
          </w:tcPr>
          <w:p w14:paraId="6367635E" w14:textId="77777777" w:rsidR="00EC37C5" w:rsidRPr="00922145" w:rsidRDefault="00EC37C5">
            <w:pPr>
              <w:jc w:val="center"/>
              <w:rPr>
                <w:noProof/>
                <w:sz w:val="18"/>
                <w:szCs w:val="18"/>
              </w:rPr>
            </w:pPr>
            <w:r w:rsidRPr="00922145">
              <w:rPr>
                <w:noProof/>
                <w:sz w:val="18"/>
                <w:szCs w:val="18"/>
              </w:rPr>
              <w:t>Impact of the proposal/initiative</w:t>
            </w:r>
            <w:r w:rsidRPr="00922145">
              <w:rPr>
                <w:rStyle w:val="FootnoteReference"/>
                <w:noProof/>
              </w:rPr>
              <w:footnoteReference w:id="106"/>
            </w:r>
          </w:p>
        </w:tc>
      </w:tr>
      <w:tr w:rsidR="00EC37C5" w:rsidRPr="00922145" w14:paraId="54DF0865" w14:textId="77777777">
        <w:trPr>
          <w:trHeight w:val="388"/>
        </w:trPr>
        <w:tc>
          <w:tcPr>
            <w:tcW w:w="1001" w:type="pct"/>
            <w:vMerge/>
          </w:tcPr>
          <w:p w14:paraId="35D24EDE" w14:textId="77777777" w:rsidR="00EC37C5" w:rsidRPr="00922145" w:rsidRDefault="00EC37C5">
            <w:pPr>
              <w:spacing w:before="40" w:after="40"/>
              <w:rPr>
                <w:noProof/>
                <w:sz w:val="18"/>
              </w:rPr>
            </w:pPr>
          </w:p>
        </w:tc>
        <w:tc>
          <w:tcPr>
            <w:tcW w:w="703" w:type="pct"/>
            <w:vMerge/>
          </w:tcPr>
          <w:p w14:paraId="60287CE1" w14:textId="77777777" w:rsidR="00EC37C5" w:rsidRPr="00922145" w:rsidRDefault="00EC37C5">
            <w:pPr>
              <w:spacing w:beforeLines="40" w:before="96" w:afterLines="40" w:after="96"/>
              <w:rPr>
                <w:i/>
                <w:noProof/>
                <w:sz w:val="18"/>
              </w:rPr>
            </w:pPr>
          </w:p>
        </w:tc>
        <w:tc>
          <w:tcPr>
            <w:tcW w:w="490" w:type="pct"/>
            <w:vAlign w:val="center"/>
          </w:tcPr>
          <w:p w14:paraId="0C4BA29A" w14:textId="77777777" w:rsidR="00EC37C5" w:rsidRPr="00922145" w:rsidRDefault="00EC37C5">
            <w:pPr>
              <w:jc w:val="center"/>
              <w:rPr>
                <w:noProof/>
                <w:sz w:val="18"/>
              </w:rPr>
            </w:pPr>
            <w:r w:rsidRPr="00922145">
              <w:rPr>
                <w:noProof/>
                <w:sz w:val="18"/>
              </w:rPr>
              <w:t xml:space="preserve">Year </w:t>
            </w:r>
            <w:r w:rsidRPr="00922145">
              <w:rPr>
                <w:b/>
                <w:noProof/>
                <w:sz w:val="18"/>
              </w:rPr>
              <w:t>2028</w:t>
            </w:r>
          </w:p>
        </w:tc>
        <w:tc>
          <w:tcPr>
            <w:tcW w:w="459" w:type="pct"/>
            <w:vAlign w:val="center"/>
          </w:tcPr>
          <w:p w14:paraId="4CA99FC6" w14:textId="77777777" w:rsidR="00EC37C5" w:rsidRPr="00922145" w:rsidRDefault="00EC37C5">
            <w:pPr>
              <w:jc w:val="center"/>
              <w:rPr>
                <w:noProof/>
                <w:sz w:val="18"/>
              </w:rPr>
            </w:pPr>
            <w:r w:rsidRPr="00922145">
              <w:rPr>
                <w:noProof/>
                <w:sz w:val="18"/>
              </w:rPr>
              <w:t xml:space="preserve">Year </w:t>
            </w:r>
            <w:r w:rsidRPr="00922145">
              <w:rPr>
                <w:b/>
                <w:noProof/>
                <w:sz w:val="18"/>
              </w:rPr>
              <w:t>2029</w:t>
            </w:r>
          </w:p>
        </w:tc>
        <w:tc>
          <w:tcPr>
            <w:tcW w:w="462" w:type="pct"/>
            <w:vAlign w:val="center"/>
          </w:tcPr>
          <w:p w14:paraId="226340C1" w14:textId="77777777" w:rsidR="00EC37C5" w:rsidRPr="00922145" w:rsidRDefault="00EC37C5">
            <w:pPr>
              <w:jc w:val="center"/>
              <w:rPr>
                <w:noProof/>
                <w:sz w:val="18"/>
              </w:rPr>
            </w:pPr>
            <w:r w:rsidRPr="00922145">
              <w:rPr>
                <w:noProof/>
                <w:sz w:val="18"/>
              </w:rPr>
              <w:t xml:space="preserve">Year </w:t>
            </w:r>
            <w:r w:rsidRPr="00922145">
              <w:rPr>
                <w:b/>
                <w:noProof/>
                <w:sz w:val="18"/>
              </w:rPr>
              <w:t>2030</w:t>
            </w:r>
          </w:p>
        </w:tc>
        <w:tc>
          <w:tcPr>
            <w:tcW w:w="472" w:type="pct"/>
            <w:vAlign w:val="center"/>
          </w:tcPr>
          <w:p w14:paraId="54B7ED13" w14:textId="77777777" w:rsidR="00EC37C5" w:rsidRPr="00922145" w:rsidRDefault="00EC37C5">
            <w:pPr>
              <w:jc w:val="center"/>
              <w:rPr>
                <w:noProof/>
                <w:sz w:val="18"/>
              </w:rPr>
            </w:pPr>
            <w:r w:rsidRPr="00922145">
              <w:rPr>
                <w:noProof/>
                <w:sz w:val="18"/>
              </w:rPr>
              <w:t xml:space="preserve">Year </w:t>
            </w:r>
            <w:r w:rsidRPr="00922145">
              <w:rPr>
                <w:b/>
                <w:noProof/>
                <w:sz w:val="18"/>
              </w:rPr>
              <w:t>2031</w:t>
            </w:r>
          </w:p>
        </w:tc>
        <w:tc>
          <w:tcPr>
            <w:tcW w:w="471" w:type="pct"/>
          </w:tcPr>
          <w:p w14:paraId="2F0EDE40" w14:textId="77777777" w:rsidR="00EC37C5" w:rsidRPr="00922145" w:rsidRDefault="00EC37C5">
            <w:pPr>
              <w:jc w:val="center"/>
              <w:rPr>
                <w:noProof/>
                <w:sz w:val="18"/>
              </w:rPr>
            </w:pPr>
            <w:r w:rsidRPr="00922145">
              <w:rPr>
                <w:noProof/>
                <w:sz w:val="18"/>
              </w:rPr>
              <w:t xml:space="preserve">Year </w:t>
            </w:r>
            <w:r w:rsidRPr="00922145">
              <w:rPr>
                <w:b/>
                <w:bCs/>
                <w:noProof/>
                <w:sz w:val="18"/>
              </w:rPr>
              <w:t>2032</w:t>
            </w:r>
          </w:p>
        </w:tc>
        <w:tc>
          <w:tcPr>
            <w:tcW w:w="471" w:type="pct"/>
          </w:tcPr>
          <w:p w14:paraId="687109C0" w14:textId="77777777" w:rsidR="00EC37C5" w:rsidRPr="00922145" w:rsidRDefault="00EC37C5">
            <w:pPr>
              <w:jc w:val="center"/>
              <w:rPr>
                <w:noProof/>
                <w:sz w:val="18"/>
              </w:rPr>
            </w:pPr>
            <w:r w:rsidRPr="00922145">
              <w:rPr>
                <w:noProof/>
                <w:sz w:val="18"/>
              </w:rPr>
              <w:t xml:space="preserve">Year </w:t>
            </w:r>
            <w:r w:rsidRPr="00922145">
              <w:rPr>
                <w:b/>
                <w:bCs/>
                <w:noProof/>
                <w:sz w:val="18"/>
              </w:rPr>
              <w:t>2033</w:t>
            </w:r>
          </w:p>
        </w:tc>
        <w:tc>
          <w:tcPr>
            <w:tcW w:w="471" w:type="pct"/>
          </w:tcPr>
          <w:p w14:paraId="538FF60C" w14:textId="77777777" w:rsidR="00EC37C5" w:rsidRPr="00922145" w:rsidRDefault="00EC37C5">
            <w:pPr>
              <w:jc w:val="center"/>
              <w:rPr>
                <w:noProof/>
                <w:sz w:val="18"/>
              </w:rPr>
            </w:pPr>
            <w:r w:rsidRPr="00922145">
              <w:rPr>
                <w:noProof/>
                <w:sz w:val="18"/>
              </w:rPr>
              <w:t xml:space="preserve">Year </w:t>
            </w:r>
            <w:r w:rsidRPr="00922145">
              <w:rPr>
                <w:b/>
                <w:bCs/>
                <w:noProof/>
                <w:sz w:val="18"/>
              </w:rPr>
              <w:t>2034</w:t>
            </w:r>
          </w:p>
        </w:tc>
      </w:tr>
      <w:tr w:rsidR="00EC37C5" w:rsidRPr="00922145" w14:paraId="5CD80C2E" w14:textId="77777777">
        <w:trPr>
          <w:trHeight w:val="388"/>
        </w:trPr>
        <w:tc>
          <w:tcPr>
            <w:tcW w:w="1001" w:type="pct"/>
            <w:vAlign w:val="center"/>
          </w:tcPr>
          <w:p w14:paraId="0B51E2F6" w14:textId="77777777" w:rsidR="00EC37C5" w:rsidRPr="00922145" w:rsidRDefault="00EC37C5">
            <w:pPr>
              <w:spacing w:before="40" w:after="40"/>
              <w:rPr>
                <w:noProof/>
                <w:sz w:val="18"/>
              </w:rPr>
            </w:pPr>
            <w:r w:rsidRPr="00922145">
              <w:rPr>
                <w:noProof/>
                <w:sz w:val="18"/>
              </w:rPr>
              <w:t>Article ………….</w:t>
            </w:r>
          </w:p>
        </w:tc>
        <w:tc>
          <w:tcPr>
            <w:tcW w:w="703" w:type="pct"/>
          </w:tcPr>
          <w:p w14:paraId="5F7CA9CB" w14:textId="77777777" w:rsidR="00EC37C5" w:rsidRPr="00922145" w:rsidRDefault="00EC37C5">
            <w:pPr>
              <w:spacing w:beforeLines="40" w:before="96" w:afterLines="40" w:after="96"/>
              <w:jc w:val="center"/>
              <w:rPr>
                <w:i/>
                <w:noProof/>
                <w:sz w:val="18"/>
              </w:rPr>
            </w:pPr>
          </w:p>
        </w:tc>
        <w:tc>
          <w:tcPr>
            <w:tcW w:w="490" w:type="pct"/>
          </w:tcPr>
          <w:p w14:paraId="4C8AB3F3" w14:textId="77777777" w:rsidR="00EC37C5" w:rsidRPr="00922145" w:rsidRDefault="00EC37C5">
            <w:pPr>
              <w:spacing w:beforeLines="40" w:before="96" w:afterLines="40" w:after="96"/>
              <w:jc w:val="center"/>
              <w:rPr>
                <w:noProof/>
                <w:sz w:val="18"/>
              </w:rPr>
            </w:pPr>
          </w:p>
        </w:tc>
        <w:tc>
          <w:tcPr>
            <w:tcW w:w="459" w:type="pct"/>
          </w:tcPr>
          <w:p w14:paraId="00265E01" w14:textId="77777777" w:rsidR="00EC37C5" w:rsidRPr="00922145" w:rsidRDefault="00EC37C5">
            <w:pPr>
              <w:spacing w:beforeLines="40" w:before="96" w:afterLines="40" w:after="96"/>
              <w:jc w:val="center"/>
              <w:rPr>
                <w:noProof/>
                <w:sz w:val="18"/>
              </w:rPr>
            </w:pPr>
          </w:p>
        </w:tc>
        <w:tc>
          <w:tcPr>
            <w:tcW w:w="462" w:type="pct"/>
          </w:tcPr>
          <w:p w14:paraId="5AF0EEFB" w14:textId="77777777" w:rsidR="00EC37C5" w:rsidRPr="00922145" w:rsidRDefault="00EC37C5">
            <w:pPr>
              <w:spacing w:beforeLines="40" w:before="96" w:afterLines="40" w:after="96"/>
              <w:jc w:val="center"/>
              <w:rPr>
                <w:noProof/>
                <w:sz w:val="18"/>
              </w:rPr>
            </w:pPr>
          </w:p>
        </w:tc>
        <w:tc>
          <w:tcPr>
            <w:tcW w:w="472" w:type="pct"/>
          </w:tcPr>
          <w:p w14:paraId="680CE9E0" w14:textId="77777777" w:rsidR="00EC37C5" w:rsidRPr="00922145" w:rsidRDefault="00EC37C5">
            <w:pPr>
              <w:spacing w:beforeLines="40" w:before="96" w:afterLines="40" w:after="96"/>
              <w:jc w:val="center"/>
              <w:rPr>
                <w:noProof/>
                <w:sz w:val="18"/>
              </w:rPr>
            </w:pPr>
          </w:p>
        </w:tc>
        <w:tc>
          <w:tcPr>
            <w:tcW w:w="471" w:type="pct"/>
          </w:tcPr>
          <w:p w14:paraId="527524AB" w14:textId="77777777" w:rsidR="00EC37C5" w:rsidRPr="00922145" w:rsidRDefault="00EC37C5">
            <w:pPr>
              <w:spacing w:beforeLines="40" w:before="96" w:afterLines="40" w:after="96"/>
              <w:jc w:val="center"/>
              <w:rPr>
                <w:noProof/>
                <w:sz w:val="18"/>
              </w:rPr>
            </w:pPr>
          </w:p>
        </w:tc>
        <w:tc>
          <w:tcPr>
            <w:tcW w:w="471" w:type="pct"/>
          </w:tcPr>
          <w:p w14:paraId="730C9C58" w14:textId="77777777" w:rsidR="00EC37C5" w:rsidRPr="00922145" w:rsidRDefault="00EC37C5">
            <w:pPr>
              <w:spacing w:beforeLines="40" w:before="96" w:afterLines="40" w:after="96"/>
              <w:jc w:val="center"/>
              <w:rPr>
                <w:noProof/>
                <w:sz w:val="18"/>
              </w:rPr>
            </w:pPr>
          </w:p>
        </w:tc>
        <w:tc>
          <w:tcPr>
            <w:tcW w:w="471" w:type="pct"/>
          </w:tcPr>
          <w:p w14:paraId="45D6CF35" w14:textId="77777777" w:rsidR="00EC37C5" w:rsidRPr="00922145" w:rsidRDefault="00EC37C5">
            <w:pPr>
              <w:spacing w:beforeLines="40" w:before="96" w:afterLines="40" w:after="96"/>
              <w:jc w:val="center"/>
              <w:rPr>
                <w:noProof/>
                <w:sz w:val="18"/>
              </w:rPr>
            </w:pPr>
          </w:p>
        </w:tc>
      </w:tr>
    </w:tbl>
    <w:p w14:paraId="67581813" w14:textId="77777777" w:rsidR="00EC37C5" w:rsidRPr="00B33C43" w:rsidRDefault="00EC37C5" w:rsidP="00EC37C5">
      <w:pPr>
        <w:jc w:val="right"/>
        <w:rPr>
          <w:noProof/>
          <w:szCs w:val="24"/>
        </w:rPr>
      </w:pPr>
      <w:r w:rsidRPr="00B33C43">
        <w:rPr>
          <w:noProof/>
          <w:szCs w:val="24"/>
        </w:rPr>
        <w:t>For assigned revenue, specify the budget expenditure line(s) affected.</w:t>
      </w:r>
    </w:p>
    <w:p w14:paraId="39A0892A" w14:textId="77777777" w:rsidR="00EC37C5" w:rsidRDefault="00EC37C5" w:rsidP="00EC37C5">
      <w:pPr>
        <w:pStyle w:val="Text1"/>
        <w:pBdr>
          <w:top w:val="single" w:sz="4" w:space="1" w:color="auto"/>
          <w:left w:val="single" w:sz="4" w:space="4" w:color="auto"/>
          <w:bottom w:val="single" w:sz="4" w:space="1" w:color="auto"/>
          <w:right w:val="single" w:sz="4" w:space="4" w:color="auto"/>
        </w:pBdr>
        <w:rPr>
          <w:noProof/>
        </w:rPr>
      </w:pPr>
    </w:p>
    <w:p w14:paraId="5EBAD830" w14:textId="77777777" w:rsidR="00EC37C5" w:rsidRPr="00B33C43" w:rsidRDefault="00EC37C5" w:rsidP="00EC37C5">
      <w:pPr>
        <w:pStyle w:val="Text1"/>
        <w:rPr>
          <w:noProof/>
          <w:szCs w:val="24"/>
        </w:rPr>
      </w:pPr>
      <w:r w:rsidRPr="00B33C43">
        <w:rPr>
          <w:noProof/>
          <w:szCs w:val="24"/>
        </w:rPr>
        <w:t>Other remarks (e.g. method/formula used for calculating the impact on revenue or any other information).</w:t>
      </w:r>
    </w:p>
    <w:p w14:paraId="410491AA" w14:textId="4349BE35" w:rsidR="00EC37C5" w:rsidRPr="00EB75C2" w:rsidRDefault="00EC37C5" w:rsidP="00EC37C5">
      <w:pPr>
        <w:pStyle w:val="Text1"/>
        <w:pBdr>
          <w:top w:val="single" w:sz="4" w:space="1" w:color="auto"/>
          <w:left w:val="single" w:sz="4" w:space="4" w:color="auto"/>
          <w:bottom w:val="single" w:sz="4" w:space="1" w:color="auto"/>
          <w:right w:val="single" w:sz="4" w:space="4" w:color="auto"/>
        </w:pBdr>
        <w:rPr>
          <w:noProof/>
        </w:rPr>
      </w:pPr>
      <w:r w:rsidRPr="00EB75C2">
        <w:rPr>
          <w:noProof/>
        </w:rPr>
        <w:t>The fees mechanism</w:t>
      </w:r>
      <w:r w:rsidR="008E3FA9">
        <w:rPr>
          <w:noProof/>
        </w:rPr>
        <w:t>s</w:t>
      </w:r>
      <w:r w:rsidRPr="00EB75C2">
        <w:rPr>
          <w:noProof/>
        </w:rPr>
        <w:t xml:space="preserve"> are related to </w:t>
      </w:r>
      <w:r>
        <w:rPr>
          <w:noProof/>
        </w:rPr>
        <w:t xml:space="preserve">three </w:t>
      </w:r>
      <w:r w:rsidRPr="00EB75C2">
        <w:rPr>
          <w:noProof/>
        </w:rPr>
        <w:t xml:space="preserve">areas of activity of ENISA: </w:t>
      </w:r>
    </w:p>
    <w:p w14:paraId="6754F3A2" w14:textId="77777777" w:rsidR="00EC37C5" w:rsidRPr="00643D1E" w:rsidRDefault="00EC37C5" w:rsidP="00EC37C5">
      <w:pPr>
        <w:pStyle w:val="Text1"/>
        <w:pBdr>
          <w:top w:val="single" w:sz="4" w:space="1" w:color="auto"/>
          <w:left w:val="single" w:sz="4" w:space="4" w:color="auto"/>
          <w:bottom w:val="single" w:sz="4" w:space="1" w:color="auto"/>
          <w:right w:val="single" w:sz="4" w:space="14" w:color="auto"/>
        </w:pBdr>
        <w:ind w:left="1435" w:hanging="225"/>
        <w:rPr>
          <w:noProof/>
        </w:rPr>
      </w:pPr>
      <w:r>
        <w:rPr>
          <w:noProof/>
        </w:rPr>
        <w:t>-</w:t>
      </w:r>
      <w:r>
        <w:rPr>
          <w:noProof/>
        </w:rPr>
        <w:tab/>
      </w:r>
      <w:r w:rsidRPr="00643D1E">
        <w:rPr>
          <w:noProof/>
        </w:rPr>
        <w:t>Fees in relation to authorising providers under the European individual cybersecurity skills attestation schemes.</w:t>
      </w:r>
    </w:p>
    <w:p w14:paraId="411375A1" w14:textId="726E33E9" w:rsidR="00EC37C5" w:rsidRPr="00643D1E" w:rsidRDefault="00EC37C5" w:rsidP="00EC37C5">
      <w:pPr>
        <w:pStyle w:val="Text1"/>
        <w:pBdr>
          <w:top w:val="single" w:sz="4" w:space="1" w:color="auto"/>
          <w:left w:val="single" w:sz="4" w:space="4" w:color="auto"/>
          <w:bottom w:val="single" w:sz="4" w:space="1" w:color="auto"/>
          <w:right w:val="single" w:sz="4" w:space="14" w:color="auto"/>
        </w:pBdr>
        <w:ind w:left="1210"/>
        <w:rPr>
          <w:noProof/>
        </w:rPr>
      </w:pPr>
      <w:r w:rsidRPr="00EB75C2">
        <w:rPr>
          <w:noProof/>
        </w:rPr>
        <w:t xml:space="preserve">The fees in relation to this activity will be arranged in an </w:t>
      </w:r>
      <w:r w:rsidR="0034539F">
        <w:rPr>
          <w:noProof/>
        </w:rPr>
        <w:t>i</w:t>
      </w:r>
      <w:r w:rsidRPr="00EB75C2">
        <w:rPr>
          <w:noProof/>
        </w:rPr>
        <w:t xml:space="preserve">mplementing </w:t>
      </w:r>
      <w:r w:rsidR="0034539F">
        <w:rPr>
          <w:noProof/>
        </w:rPr>
        <w:t>a</w:t>
      </w:r>
      <w:r w:rsidRPr="00EB75C2">
        <w:rPr>
          <w:noProof/>
        </w:rPr>
        <w:t>ct, following the adoption of the revised Cybersecurity Act. However, to be able to estimate the investment needed and costs, calculations were made using an existing model in an EU Member State</w:t>
      </w:r>
      <w:r w:rsidRPr="00F841AC">
        <w:rPr>
          <w:rStyle w:val="FootnoteReference"/>
          <w:noProof/>
        </w:rPr>
        <w:footnoteReference w:id="107"/>
      </w:r>
      <w:r w:rsidRPr="00643D1E">
        <w:rPr>
          <w:noProof/>
        </w:rPr>
        <w:t xml:space="preserve">.  The model includes one off payment and an annual fee. </w:t>
      </w:r>
    </w:p>
    <w:p w14:paraId="22946AEC" w14:textId="77777777" w:rsidR="00EC37C5" w:rsidRPr="00643D1E" w:rsidRDefault="00EC37C5" w:rsidP="00EC37C5">
      <w:pPr>
        <w:pStyle w:val="Text1"/>
        <w:pBdr>
          <w:top w:val="single" w:sz="4" w:space="1" w:color="auto"/>
          <w:left w:val="single" w:sz="4" w:space="4" w:color="auto"/>
          <w:bottom w:val="single" w:sz="4" w:space="1" w:color="auto"/>
          <w:right w:val="single" w:sz="4" w:space="14" w:color="auto"/>
        </w:pBdr>
        <w:ind w:left="1210"/>
        <w:rPr>
          <w:noProof/>
        </w:rPr>
      </w:pPr>
      <w:r w:rsidRPr="00643D1E">
        <w:rPr>
          <w:noProof/>
        </w:rPr>
        <w:t>Fixed costs: EUR 8,540</w:t>
      </w:r>
    </w:p>
    <w:p w14:paraId="32D69383" w14:textId="77777777" w:rsidR="00EC37C5" w:rsidRPr="00643D1E" w:rsidRDefault="00EC37C5" w:rsidP="00EC37C5">
      <w:pPr>
        <w:pStyle w:val="Text1"/>
        <w:pBdr>
          <w:top w:val="single" w:sz="4" w:space="1" w:color="auto"/>
          <w:left w:val="single" w:sz="4" w:space="4" w:color="auto"/>
          <w:bottom w:val="single" w:sz="4" w:space="1" w:color="auto"/>
          <w:right w:val="single" w:sz="4" w:space="14" w:color="auto"/>
        </w:pBdr>
        <w:ind w:left="1210"/>
        <w:rPr>
          <w:noProof/>
        </w:rPr>
      </w:pPr>
      <w:r w:rsidRPr="00643D1E">
        <w:rPr>
          <w:noProof/>
        </w:rPr>
        <w:t>Annual fee: EUR 800</w:t>
      </w:r>
    </w:p>
    <w:p w14:paraId="6CE5CFC5" w14:textId="77777777" w:rsidR="00EC37C5" w:rsidRDefault="00EC37C5" w:rsidP="00EC37C5">
      <w:pPr>
        <w:pStyle w:val="Text1"/>
        <w:pBdr>
          <w:top w:val="single" w:sz="4" w:space="1" w:color="auto"/>
          <w:left w:val="single" w:sz="4" w:space="4" w:color="auto"/>
          <w:bottom w:val="single" w:sz="4" w:space="1" w:color="auto"/>
          <w:right w:val="single" w:sz="4" w:space="14" w:color="auto"/>
        </w:pBdr>
        <w:ind w:left="1210"/>
        <w:rPr>
          <w:noProof/>
        </w:rPr>
      </w:pPr>
      <w:r w:rsidRPr="00643D1E">
        <w:rPr>
          <w:noProof/>
        </w:rPr>
        <w:t>The fees are</w:t>
      </w:r>
      <w:r w:rsidRPr="00643D1E" w:rsidDel="00432F50">
        <w:rPr>
          <w:noProof/>
        </w:rPr>
        <w:t xml:space="preserve"> </w:t>
      </w:r>
      <w:r w:rsidRPr="00643D1E">
        <w:rPr>
          <w:noProof/>
        </w:rPr>
        <w:t xml:space="preserve">meant to refinance the costs for this specific activity. The costs have been estimated at the level of EUR 1 064 600 over 5 years period. The specific costs of activities included in that number are related to the development and maintenance of schemes, including expenses of members of an ad hoc working group that would support ENISA in developing the schemes (reimbursement of expenses and payment of rapporteurs), missions to audit on-site providers, and training of assessors to ensure homogenous application of the schemes: </w:t>
      </w:r>
    </w:p>
    <w:p w14:paraId="4760A7D6" w14:textId="77777777" w:rsidR="00EC37C5" w:rsidRDefault="00EC37C5" w:rsidP="00EC37C5">
      <w:pPr>
        <w:pStyle w:val="Text1"/>
        <w:pBdr>
          <w:top w:val="single" w:sz="4" w:space="1" w:color="auto"/>
          <w:left w:val="single" w:sz="4" w:space="4" w:color="auto"/>
          <w:bottom w:val="single" w:sz="4" w:space="1" w:color="auto"/>
          <w:right w:val="single" w:sz="4" w:space="14" w:color="auto"/>
        </w:pBdr>
        <w:ind w:left="1210"/>
        <w:rPr>
          <w:noProof/>
        </w:rPr>
      </w:pPr>
      <w:r>
        <w:rPr>
          <w:noProof/>
        </w:rPr>
        <w:t xml:space="preserve">A) </w:t>
      </w:r>
      <w:r w:rsidRPr="00643D1E">
        <w:rPr>
          <w:noProof/>
        </w:rPr>
        <w:t>the ad hoc working group would cost EUR 800 000</w:t>
      </w:r>
    </w:p>
    <w:p w14:paraId="62138C8A" w14:textId="77777777" w:rsidR="00EC37C5" w:rsidRDefault="00EC37C5" w:rsidP="00EC37C5">
      <w:pPr>
        <w:pStyle w:val="Text1"/>
        <w:pBdr>
          <w:top w:val="single" w:sz="4" w:space="1" w:color="auto"/>
          <w:left w:val="single" w:sz="4" w:space="4" w:color="auto"/>
          <w:bottom w:val="single" w:sz="4" w:space="1" w:color="auto"/>
          <w:right w:val="single" w:sz="4" w:space="14" w:color="auto"/>
        </w:pBdr>
        <w:ind w:left="1210"/>
        <w:rPr>
          <w:noProof/>
        </w:rPr>
      </w:pPr>
      <w:r>
        <w:rPr>
          <w:noProof/>
        </w:rPr>
        <w:t xml:space="preserve">B) </w:t>
      </w:r>
      <w:r w:rsidRPr="00643D1E">
        <w:rPr>
          <w:noProof/>
        </w:rPr>
        <w:t xml:space="preserve">training of two assessors per Member State would amount to EUR 129 600 </w:t>
      </w:r>
    </w:p>
    <w:p w14:paraId="23037522" w14:textId="77777777" w:rsidR="00EC37C5" w:rsidRPr="00643D1E" w:rsidRDefault="00EC37C5" w:rsidP="00EC37C5">
      <w:pPr>
        <w:pStyle w:val="Text1"/>
        <w:pBdr>
          <w:top w:val="single" w:sz="4" w:space="1" w:color="auto"/>
          <w:left w:val="single" w:sz="4" w:space="4" w:color="auto"/>
          <w:bottom w:val="single" w:sz="4" w:space="1" w:color="auto"/>
          <w:right w:val="single" w:sz="4" w:space="14" w:color="auto"/>
        </w:pBdr>
        <w:ind w:left="1210"/>
        <w:rPr>
          <w:noProof/>
        </w:rPr>
      </w:pPr>
      <w:r>
        <w:rPr>
          <w:noProof/>
        </w:rPr>
        <w:t xml:space="preserve">C) </w:t>
      </w:r>
      <w:r w:rsidRPr="00643D1E">
        <w:rPr>
          <w:noProof/>
        </w:rPr>
        <w:t xml:space="preserve">auditing one entity per Member State would amount to EUR 135 000 </w:t>
      </w:r>
    </w:p>
    <w:p w14:paraId="56B15B83" w14:textId="77777777" w:rsidR="00EC37C5" w:rsidRPr="00643D1E" w:rsidRDefault="00EC37C5" w:rsidP="00EC37C5">
      <w:pPr>
        <w:pStyle w:val="Text1"/>
        <w:pBdr>
          <w:top w:val="single" w:sz="4" w:space="1" w:color="auto"/>
          <w:left w:val="single" w:sz="4" w:space="4" w:color="auto"/>
          <w:bottom w:val="single" w:sz="4" w:space="1" w:color="auto"/>
          <w:right w:val="single" w:sz="4" w:space="14" w:color="auto"/>
        </w:pBdr>
        <w:ind w:left="1210"/>
        <w:rPr>
          <w:noProof/>
        </w:rPr>
      </w:pPr>
      <w:r w:rsidRPr="00643D1E">
        <w:rPr>
          <w:noProof/>
        </w:rPr>
        <w:t xml:space="preserve">(A + B + C ) / 5 = EUR 212 920 costs per annum </w:t>
      </w:r>
    </w:p>
    <w:p w14:paraId="6D109956" w14:textId="77777777" w:rsidR="00EC37C5" w:rsidRPr="00643D1E" w:rsidRDefault="00EC37C5" w:rsidP="00EC37C5">
      <w:pPr>
        <w:pStyle w:val="Text1"/>
        <w:pBdr>
          <w:top w:val="single" w:sz="4" w:space="1" w:color="auto"/>
          <w:left w:val="single" w:sz="4" w:space="4" w:color="auto"/>
          <w:bottom w:val="single" w:sz="4" w:space="1" w:color="auto"/>
          <w:right w:val="single" w:sz="4" w:space="14" w:color="auto"/>
        </w:pBdr>
        <w:ind w:left="1210"/>
        <w:rPr>
          <w:noProof/>
        </w:rPr>
      </w:pPr>
      <w:r w:rsidRPr="00643D1E">
        <w:rPr>
          <w:noProof/>
        </w:rPr>
        <w:t xml:space="preserve">The proposal envisaged a transition period and initial investment in the first three years. During the transition period the costs will be covered by the EU budget, and in year 4 and 5 we will have 50% coverage, year 6 and 7 – full application of the fees. </w:t>
      </w:r>
    </w:p>
    <w:p w14:paraId="30D775E6" w14:textId="77777777" w:rsidR="00EC37C5" w:rsidRPr="00643D1E" w:rsidRDefault="00EC37C5" w:rsidP="00EC37C5">
      <w:pPr>
        <w:pStyle w:val="Text1"/>
        <w:pBdr>
          <w:top w:val="single" w:sz="4" w:space="1" w:color="auto"/>
          <w:left w:val="single" w:sz="4" w:space="4" w:color="auto"/>
          <w:bottom w:val="single" w:sz="4" w:space="1" w:color="auto"/>
          <w:right w:val="single" w:sz="4" w:space="14" w:color="auto"/>
        </w:pBdr>
        <w:ind w:left="1210"/>
        <w:rPr>
          <w:noProof/>
        </w:rPr>
      </w:pPr>
      <w:r w:rsidRPr="00643D1E">
        <w:rPr>
          <w:noProof/>
        </w:rPr>
        <w:t>Year</w:t>
      </w:r>
      <w:r w:rsidRPr="00643D1E">
        <w:rPr>
          <w:noProof/>
        </w:rPr>
        <w:tab/>
        <w:t>Fees</w:t>
      </w:r>
    </w:p>
    <w:p w14:paraId="54D2C38F" w14:textId="77777777" w:rsidR="00EC37C5" w:rsidRPr="00643D1E" w:rsidRDefault="00EC37C5" w:rsidP="00EC37C5">
      <w:pPr>
        <w:pStyle w:val="Text1"/>
        <w:pBdr>
          <w:top w:val="single" w:sz="4" w:space="1" w:color="auto"/>
          <w:left w:val="single" w:sz="4" w:space="4" w:color="auto"/>
          <w:bottom w:val="single" w:sz="4" w:space="1" w:color="auto"/>
          <w:right w:val="single" w:sz="4" w:space="14" w:color="auto"/>
        </w:pBdr>
        <w:ind w:left="1210"/>
        <w:rPr>
          <w:noProof/>
        </w:rPr>
      </w:pPr>
      <w:r w:rsidRPr="00643D1E">
        <w:rPr>
          <w:noProof/>
        </w:rPr>
        <w:t>2028</w:t>
      </w:r>
      <w:r w:rsidRPr="00643D1E">
        <w:rPr>
          <w:noProof/>
        </w:rPr>
        <w:tab/>
        <w:t>0</w:t>
      </w:r>
    </w:p>
    <w:p w14:paraId="34A517F9" w14:textId="77777777" w:rsidR="00EC37C5" w:rsidRPr="00643D1E" w:rsidRDefault="00EC37C5" w:rsidP="00EC37C5">
      <w:pPr>
        <w:pStyle w:val="Text1"/>
        <w:pBdr>
          <w:top w:val="single" w:sz="4" w:space="1" w:color="auto"/>
          <w:left w:val="single" w:sz="4" w:space="4" w:color="auto"/>
          <w:bottom w:val="single" w:sz="4" w:space="1" w:color="auto"/>
          <w:right w:val="single" w:sz="4" w:space="14" w:color="auto"/>
        </w:pBdr>
        <w:ind w:left="1210"/>
        <w:rPr>
          <w:noProof/>
        </w:rPr>
      </w:pPr>
      <w:r w:rsidRPr="00643D1E">
        <w:rPr>
          <w:noProof/>
        </w:rPr>
        <w:t>2029</w:t>
      </w:r>
      <w:r w:rsidRPr="00643D1E">
        <w:rPr>
          <w:noProof/>
        </w:rPr>
        <w:tab/>
        <w:t>0</w:t>
      </w:r>
    </w:p>
    <w:p w14:paraId="3C9568D3" w14:textId="77777777" w:rsidR="00EC37C5" w:rsidRPr="00643D1E" w:rsidRDefault="00EC37C5" w:rsidP="00EC37C5">
      <w:pPr>
        <w:pStyle w:val="Text1"/>
        <w:pBdr>
          <w:top w:val="single" w:sz="4" w:space="1" w:color="auto"/>
          <w:left w:val="single" w:sz="4" w:space="4" w:color="auto"/>
          <w:bottom w:val="single" w:sz="4" w:space="1" w:color="auto"/>
          <w:right w:val="single" w:sz="4" w:space="14" w:color="auto"/>
        </w:pBdr>
        <w:ind w:left="1210"/>
        <w:rPr>
          <w:noProof/>
        </w:rPr>
      </w:pPr>
      <w:r w:rsidRPr="00643D1E">
        <w:rPr>
          <w:noProof/>
        </w:rPr>
        <w:t>2030</w:t>
      </w:r>
      <w:r w:rsidRPr="00643D1E">
        <w:rPr>
          <w:noProof/>
        </w:rPr>
        <w:tab/>
        <w:t>0</w:t>
      </w:r>
    </w:p>
    <w:p w14:paraId="4AE3376D" w14:textId="77777777" w:rsidR="00EC37C5" w:rsidRPr="00643D1E" w:rsidRDefault="00EC37C5" w:rsidP="00EC37C5">
      <w:pPr>
        <w:pStyle w:val="Text1"/>
        <w:pBdr>
          <w:top w:val="single" w:sz="4" w:space="1" w:color="auto"/>
          <w:left w:val="single" w:sz="4" w:space="4" w:color="auto"/>
          <w:bottom w:val="single" w:sz="4" w:space="1" w:color="auto"/>
          <w:right w:val="single" w:sz="4" w:space="14" w:color="auto"/>
        </w:pBdr>
        <w:ind w:left="1210"/>
        <w:rPr>
          <w:noProof/>
        </w:rPr>
      </w:pPr>
      <w:r w:rsidRPr="00643D1E">
        <w:rPr>
          <w:noProof/>
        </w:rPr>
        <w:t>2031</w:t>
      </w:r>
      <w:r w:rsidRPr="00643D1E">
        <w:rPr>
          <w:noProof/>
        </w:rPr>
        <w:tab/>
        <w:t>106 460 (revenue)</w:t>
      </w:r>
    </w:p>
    <w:p w14:paraId="09D22319" w14:textId="77777777" w:rsidR="00EC37C5" w:rsidRPr="00643D1E" w:rsidRDefault="00EC37C5" w:rsidP="00EC37C5">
      <w:pPr>
        <w:pStyle w:val="Text1"/>
        <w:pBdr>
          <w:top w:val="single" w:sz="4" w:space="1" w:color="auto"/>
          <w:left w:val="single" w:sz="4" w:space="4" w:color="auto"/>
          <w:bottom w:val="single" w:sz="4" w:space="1" w:color="auto"/>
          <w:right w:val="single" w:sz="4" w:space="14" w:color="auto"/>
        </w:pBdr>
        <w:ind w:left="1210"/>
        <w:rPr>
          <w:noProof/>
        </w:rPr>
      </w:pPr>
      <w:r w:rsidRPr="00643D1E">
        <w:rPr>
          <w:noProof/>
        </w:rPr>
        <w:t>2032</w:t>
      </w:r>
      <w:r w:rsidRPr="00643D1E">
        <w:rPr>
          <w:noProof/>
        </w:rPr>
        <w:tab/>
        <w:t>106 460 (revenue)</w:t>
      </w:r>
    </w:p>
    <w:p w14:paraId="5D992908" w14:textId="77777777" w:rsidR="00EC37C5" w:rsidRPr="00643D1E" w:rsidRDefault="00EC37C5" w:rsidP="00EC37C5">
      <w:pPr>
        <w:pStyle w:val="Text1"/>
        <w:pBdr>
          <w:top w:val="single" w:sz="4" w:space="1" w:color="auto"/>
          <w:left w:val="single" w:sz="4" w:space="4" w:color="auto"/>
          <w:bottom w:val="single" w:sz="4" w:space="1" w:color="auto"/>
          <w:right w:val="single" w:sz="4" w:space="14" w:color="auto"/>
        </w:pBdr>
        <w:ind w:left="1210"/>
        <w:rPr>
          <w:noProof/>
        </w:rPr>
      </w:pPr>
      <w:r w:rsidRPr="00643D1E">
        <w:rPr>
          <w:noProof/>
        </w:rPr>
        <w:t>2033</w:t>
      </w:r>
      <w:r w:rsidRPr="00643D1E">
        <w:rPr>
          <w:noProof/>
        </w:rPr>
        <w:tab/>
        <w:t>212 920 (revenue)</w:t>
      </w:r>
    </w:p>
    <w:p w14:paraId="57C80586" w14:textId="77777777" w:rsidR="00EC37C5" w:rsidRDefault="00EC37C5" w:rsidP="00EC37C5">
      <w:pPr>
        <w:pStyle w:val="Text1"/>
        <w:pBdr>
          <w:top w:val="single" w:sz="4" w:space="1" w:color="auto"/>
          <w:left w:val="single" w:sz="4" w:space="4" w:color="auto"/>
          <w:bottom w:val="single" w:sz="4" w:space="1" w:color="auto"/>
          <w:right w:val="single" w:sz="4" w:space="14" w:color="auto"/>
        </w:pBdr>
        <w:ind w:left="1210"/>
        <w:rPr>
          <w:noProof/>
        </w:rPr>
      </w:pPr>
      <w:r w:rsidRPr="00643D1E">
        <w:rPr>
          <w:noProof/>
        </w:rPr>
        <w:t>2034</w:t>
      </w:r>
      <w:r w:rsidRPr="00643D1E">
        <w:rPr>
          <w:noProof/>
        </w:rPr>
        <w:tab/>
        <w:t>212 920 (revenue)</w:t>
      </w:r>
    </w:p>
    <w:p w14:paraId="2F88DBEB" w14:textId="77777777" w:rsidR="00EC37C5" w:rsidRPr="00643D1E" w:rsidRDefault="00EC37C5" w:rsidP="00EC37C5">
      <w:pPr>
        <w:pStyle w:val="Text1"/>
        <w:pBdr>
          <w:top w:val="single" w:sz="4" w:space="1" w:color="auto"/>
          <w:left w:val="single" w:sz="4" w:space="4" w:color="auto"/>
          <w:bottom w:val="single" w:sz="4" w:space="1" w:color="auto"/>
          <w:right w:val="single" w:sz="4" w:space="14" w:color="auto"/>
        </w:pBdr>
        <w:ind w:left="1210"/>
        <w:rPr>
          <w:noProof/>
        </w:rPr>
      </w:pPr>
    </w:p>
    <w:p w14:paraId="306991FA" w14:textId="77777777" w:rsidR="00EC37C5" w:rsidRPr="00EB75C2" w:rsidRDefault="00EC37C5" w:rsidP="00EC37C5">
      <w:pPr>
        <w:pStyle w:val="Text1"/>
        <w:pBdr>
          <w:top w:val="single" w:sz="4" w:space="1" w:color="auto"/>
          <w:left w:val="single" w:sz="4" w:space="4" w:color="auto"/>
          <w:bottom w:val="single" w:sz="4" w:space="1" w:color="auto"/>
          <w:right w:val="single" w:sz="4" w:space="14" w:color="auto"/>
        </w:pBdr>
        <w:ind w:left="1435" w:hanging="225"/>
        <w:rPr>
          <w:noProof/>
        </w:rPr>
      </w:pPr>
      <w:r>
        <w:rPr>
          <w:noProof/>
        </w:rPr>
        <w:t>-</w:t>
      </w:r>
      <w:r>
        <w:rPr>
          <w:noProof/>
        </w:rPr>
        <w:tab/>
        <w:t xml:space="preserve">Fees in relation to covering the costs for maintenance of a cybersecurity certification scheme, adopted within the European Cybersecurity Certification Framework (ECCF).  </w:t>
      </w:r>
    </w:p>
    <w:p w14:paraId="5D11E1DC" w14:textId="55CCAE33" w:rsidR="00EC37C5" w:rsidRPr="00922145" w:rsidRDefault="00EC37C5" w:rsidP="00EC37C5">
      <w:pPr>
        <w:pStyle w:val="Text1"/>
        <w:pBdr>
          <w:top w:val="single" w:sz="4" w:space="1" w:color="auto"/>
          <w:left w:val="single" w:sz="4" w:space="4" w:color="auto"/>
          <w:bottom w:val="single" w:sz="4" w:space="1" w:color="auto"/>
          <w:right w:val="single" w:sz="4" w:space="14" w:color="auto"/>
        </w:pBdr>
        <w:ind w:left="1210"/>
        <w:rPr>
          <w:noProof/>
          <w:color w:val="000000" w:themeColor="text1"/>
        </w:rPr>
      </w:pPr>
      <w:r w:rsidRPr="00922145">
        <w:rPr>
          <w:noProof/>
          <w:color w:val="000000" w:themeColor="text1"/>
        </w:rPr>
        <w:t xml:space="preserve">The fees in relation to this activity will be arranged in an </w:t>
      </w:r>
      <w:r w:rsidR="00E33667">
        <w:rPr>
          <w:noProof/>
          <w:color w:val="000000" w:themeColor="text1"/>
        </w:rPr>
        <w:t>i</w:t>
      </w:r>
      <w:r w:rsidRPr="00922145">
        <w:rPr>
          <w:noProof/>
          <w:color w:val="000000" w:themeColor="text1"/>
        </w:rPr>
        <w:t xml:space="preserve">mplementing </w:t>
      </w:r>
      <w:r w:rsidR="00E33667">
        <w:rPr>
          <w:noProof/>
          <w:color w:val="000000" w:themeColor="text1"/>
        </w:rPr>
        <w:t>a</w:t>
      </w:r>
      <w:r w:rsidRPr="00922145">
        <w:rPr>
          <w:noProof/>
          <w:color w:val="000000" w:themeColor="text1"/>
        </w:rPr>
        <w:t>ct, following the adoption of the revised Cybersecurity Act. The estimations for the costs of maintenance of a scheme are based on market analysis, included in the Impact Assessment of the proposal for revision of the Cybersecurity Act. The total costs of the activity for a 5 year span are calculated at EUR 5 600 000</w:t>
      </w:r>
      <w:r>
        <w:rPr>
          <w:noProof/>
          <w:color w:val="000000" w:themeColor="text1"/>
        </w:rPr>
        <w:t xml:space="preserve"> for operational costs and EUR 7 100 000 for FTEs</w:t>
      </w:r>
      <w:r w:rsidRPr="00922145">
        <w:rPr>
          <w:noProof/>
          <w:color w:val="000000" w:themeColor="text1"/>
        </w:rPr>
        <w:t xml:space="preserve">. </w:t>
      </w:r>
    </w:p>
    <w:p w14:paraId="12129E0D" w14:textId="77777777" w:rsidR="00EC37C5" w:rsidRPr="00922145" w:rsidRDefault="00EC37C5" w:rsidP="00EC37C5">
      <w:pPr>
        <w:pStyle w:val="Text1"/>
        <w:pBdr>
          <w:top w:val="single" w:sz="4" w:space="1" w:color="auto"/>
          <w:left w:val="single" w:sz="4" w:space="4" w:color="auto"/>
          <w:bottom w:val="single" w:sz="4" w:space="1" w:color="auto"/>
          <w:right w:val="single" w:sz="4" w:space="14" w:color="auto"/>
        </w:pBdr>
        <w:ind w:left="1210"/>
        <w:rPr>
          <w:noProof/>
          <w:color w:val="000000" w:themeColor="text1"/>
        </w:rPr>
      </w:pPr>
      <w:r w:rsidRPr="00922145">
        <w:rPr>
          <w:noProof/>
          <w:color w:val="000000" w:themeColor="text1"/>
        </w:rPr>
        <w:t>The annual cost</w:t>
      </w:r>
      <w:r>
        <w:rPr>
          <w:noProof/>
          <w:color w:val="000000" w:themeColor="text1"/>
        </w:rPr>
        <w:t xml:space="preserve"> of maintenance activities</w:t>
      </w:r>
      <w:r w:rsidRPr="00922145">
        <w:rPr>
          <w:noProof/>
          <w:color w:val="000000" w:themeColor="text1"/>
        </w:rPr>
        <w:t xml:space="preserve"> is being calculated based on the current experience as EUR 200 000 per one year of maintenance of a scheme</w:t>
      </w:r>
      <w:r w:rsidRPr="00922145">
        <w:rPr>
          <w:rStyle w:val="FootnoteReference"/>
          <w:noProof/>
          <w:color w:val="000000" w:themeColor="text1"/>
        </w:rPr>
        <w:footnoteReference w:id="108"/>
      </w:r>
      <w:r>
        <w:rPr>
          <w:noProof/>
          <w:color w:val="000000" w:themeColor="text1"/>
        </w:rPr>
        <w:t xml:space="preserve"> and 2 FTEs dedicated to such activities (with a yearly cost of EUR 125 887 per FTE)</w:t>
      </w:r>
      <w:r w:rsidRPr="00922145">
        <w:rPr>
          <w:noProof/>
          <w:color w:val="000000" w:themeColor="text1"/>
        </w:rPr>
        <w:t xml:space="preserve">, taking into account the envisaged year of adoption of </w:t>
      </w:r>
      <w:r w:rsidR="00A031BF">
        <w:rPr>
          <w:noProof/>
          <w:color w:val="000000" w:themeColor="text1"/>
        </w:rPr>
        <w:t xml:space="preserve">such </w:t>
      </w:r>
      <w:r w:rsidRPr="00922145">
        <w:rPr>
          <w:noProof/>
          <w:color w:val="000000" w:themeColor="text1"/>
        </w:rPr>
        <w:t>schemes.</w:t>
      </w:r>
      <w:r>
        <w:rPr>
          <w:noProof/>
          <w:color w:val="000000" w:themeColor="text1"/>
        </w:rPr>
        <w:t xml:space="preserve">  </w:t>
      </w:r>
      <w:r w:rsidRPr="00922145">
        <w:rPr>
          <w:noProof/>
          <w:color w:val="000000" w:themeColor="text1"/>
        </w:rPr>
        <w:t>The expectations are the revenues from these fees to raise in progression with the adoption of every new scheme</w:t>
      </w:r>
      <w:r w:rsidR="00A031BF">
        <w:rPr>
          <w:noProof/>
          <w:color w:val="000000" w:themeColor="text1"/>
        </w:rPr>
        <w:t xml:space="preserve"> and with the gradual take-up of such schemes</w:t>
      </w:r>
      <w:r w:rsidRPr="00922145">
        <w:rPr>
          <w:noProof/>
          <w:color w:val="000000" w:themeColor="text1"/>
        </w:rPr>
        <w:t xml:space="preserve">. So far there is one scheme adopted </w:t>
      </w:r>
      <w:r>
        <w:rPr>
          <w:noProof/>
          <w:color w:val="000000" w:themeColor="text1"/>
        </w:rPr>
        <w:t xml:space="preserve">(EUCC) </w:t>
      </w:r>
      <w:r w:rsidRPr="00922145">
        <w:rPr>
          <w:noProof/>
          <w:color w:val="000000" w:themeColor="text1"/>
        </w:rPr>
        <w:t xml:space="preserve">under the ECCF and first revenues from the maintenance of that scheme are expected in 2029. </w:t>
      </w:r>
      <w:r>
        <w:rPr>
          <w:noProof/>
          <w:color w:val="000000" w:themeColor="text1"/>
        </w:rPr>
        <w:t xml:space="preserve">Costs are expected to be covered by 2032. </w:t>
      </w:r>
    </w:p>
    <w:p w14:paraId="6F460620" w14:textId="77777777" w:rsidR="00EC37C5" w:rsidRPr="00922145" w:rsidRDefault="00EC37C5" w:rsidP="00EC37C5">
      <w:pPr>
        <w:pStyle w:val="Text1"/>
        <w:pBdr>
          <w:top w:val="single" w:sz="4" w:space="1" w:color="auto"/>
          <w:left w:val="single" w:sz="4" w:space="4" w:color="auto"/>
          <w:bottom w:val="single" w:sz="4" w:space="1" w:color="auto"/>
          <w:right w:val="single" w:sz="4" w:space="14" w:color="auto"/>
        </w:pBdr>
        <w:ind w:left="1210"/>
        <w:rPr>
          <w:noProof/>
          <w:color w:val="000000" w:themeColor="text1"/>
        </w:rPr>
      </w:pPr>
      <w:r>
        <w:rPr>
          <w:noProof/>
          <w:color w:val="000000" w:themeColor="text1"/>
        </w:rPr>
        <w:t xml:space="preserve">The estimated revenues have been calculated making specific assumptions for each potential scheme on following aspects: the expected uptake (number of certificates to be issued), length of validity of each certificate and number of active conformity assessment bodies. Substantial revenues are expected to arise from the uptake of a future cyberposture scheme. </w:t>
      </w:r>
    </w:p>
    <w:p w14:paraId="6C65FCAC" w14:textId="77777777" w:rsidR="00EC37C5" w:rsidRPr="00922145" w:rsidRDefault="00EC37C5" w:rsidP="00EC37C5">
      <w:pPr>
        <w:pStyle w:val="Text1"/>
        <w:pBdr>
          <w:top w:val="single" w:sz="4" w:space="1" w:color="auto"/>
          <w:left w:val="single" w:sz="4" w:space="4" w:color="auto"/>
          <w:bottom w:val="single" w:sz="4" w:space="1" w:color="auto"/>
          <w:right w:val="single" w:sz="4" w:space="14" w:color="auto"/>
        </w:pBdr>
        <w:ind w:left="1210"/>
        <w:rPr>
          <w:noProof/>
          <w:color w:val="000000" w:themeColor="text1"/>
        </w:rPr>
      </w:pPr>
      <w:r w:rsidRPr="00922145">
        <w:rPr>
          <w:noProof/>
          <w:color w:val="000000" w:themeColor="text1"/>
        </w:rPr>
        <w:t>Year</w:t>
      </w:r>
      <w:r w:rsidRPr="00922145">
        <w:rPr>
          <w:noProof/>
          <w:color w:val="000000" w:themeColor="text1"/>
        </w:rPr>
        <w:tab/>
      </w:r>
      <w:r>
        <w:rPr>
          <w:noProof/>
          <w:color w:val="000000" w:themeColor="text1"/>
        </w:rPr>
        <w:t>Revenue (percentage of costs covered/Paid by EU budget)</w:t>
      </w:r>
    </w:p>
    <w:p w14:paraId="1F9B46DA" w14:textId="77777777" w:rsidR="00EC37C5" w:rsidRPr="00922145" w:rsidRDefault="00EC37C5" w:rsidP="00EC37C5">
      <w:pPr>
        <w:pStyle w:val="Text1"/>
        <w:pBdr>
          <w:top w:val="single" w:sz="4" w:space="1" w:color="auto"/>
          <w:left w:val="single" w:sz="4" w:space="4" w:color="auto"/>
          <w:bottom w:val="single" w:sz="4" w:space="1" w:color="auto"/>
          <w:right w:val="single" w:sz="4" w:space="14" w:color="auto"/>
        </w:pBdr>
        <w:ind w:left="1210"/>
        <w:rPr>
          <w:noProof/>
          <w:color w:val="000000" w:themeColor="text1"/>
        </w:rPr>
      </w:pPr>
      <w:r w:rsidRPr="00922145">
        <w:rPr>
          <w:noProof/>
          <w:color w:val="000000" w:themeColor="text1"/>
        </w:rPr>
        <w:t>2028</w:t>
      </w:r>
      <w:r w:rsidRPr="00922145">
        <w:rPr>
          <w:noProof/>
          <w:color w:val="000000" w:themeColor="text1"/>
        </w:rPr>
        <w:tab/>
        <w:t>0</w:t>
      </w:r>
    </w:p>
    <w:p w14:paraId="22F9D01F" w14:textId="77777777" w:rsidR="00EC37C5" w:rsidRPr="00922145" w:rsidRDefault="00EC37C5" w:rsidP="00EC37C5">
      <w:pPr>
        <w:pStyle w:val="Text1"/>
        <w:pBdr>
          <w:top w:val="single" w:sz="4" w:space="1" w:color="auto"/>
          <w:left w:val="single" w:sz="4" w:space="4" w:color="auto"/>
          <w:bottom w:val="single" w:sz="4" w:space="1" w:color="auto"/>
          <w:right w:val="single" w:sz="4" w:space="14" w:color="auto"/>
        </w:pBdr>
        <w:ind w:left="1210"/>
        <w:rPr>
          <w:noProof/>
          <w:color w:val="000000" w:themeColor="text1"/>
        </w:rPr>
      </w:pPr>
      <w:r w:rsidRPr="00922145">
        <w:rPr>
          <w:noProof/>
          <w:color w:val="000000" w:themeColor="text1"/>
        </w:rPr>
        <w:t>2029</w:t>
      </w:r>
      <w:r w:rsidRPr="00922145">
        <w:rPr>
          <w:noProof/>
          <w:color w:val="000000" w:themeColor="text1"/>
        </w:rPr>
        <w:tab/>
      </w:r>
      <w:r>
        <w:rPr>
          <w:noProof/>
          <w:color w:val="000000" w:themeColor="text1"/>
        </w:rPr>
        <w:t>25</w:t>
      </w:r>
      <w:r w:rsidRPr="00922145">
        <w:rPr>
          <w:noProof/>
          <w:color w:val="000000" w:themeColor="text1"/>
        </w:rPr>
        <w:t>0 000 (</w:t>
      </w:r>
      <w:r>
        <w:rPr>
          <w:noProof/>
          <w:color w:val="000000" w:themeColor="text1"/>
        </w:rPr>
        <w:t>11%/ - EUR 1 350 000</w:t>
      </w:r>
      <w:r w:rsidRPr="00922145">
        <w:rPr>
          <w:noProof/>
          <w:color w:val="000000" w:themeColor="text1"/>
        </w:rPr>
        <w:t xml:space="preserve">) – </w:t>
      </w:r>
      <w:r w:rsidRPr="00922145">
        <w:rPr>
          <w:noProof/>
          <w:color w:val="000000" w:themeColor="text1"/>
          <w:sz w:val="20"/>
          <w:szCs w:val="20"/>
        </w:rPr>
        <w:t>one scheme (EUCC)</w:t>
      </w:r>
    </w:p>
    <w:p w14:paraId="64B1EE35" w14:textId="77777777" w:rsidR="00EC37C5" w:rsidRPr="00922145" w:rsidRDefault="00EC37C5" w:rsidP="00EC37C5">
      <w:pPr>
        <w:pStyle w:val="Text1"/>
        <w:pBdr>
          <w:top w:val="single" w:sz="4" w:space="1" w:color="auto"/>
          <w:left w:val="single" w:sz="4" w:space="4" w:color="auto"/>
          <w:bottom w:val="single" w:sz="4" w:space="1" w:color="auto"/>
          <w:right w:val="single" w:sz="4" w:space="14" w:color="auto"/>
        </w:pBdr>
        <w:ind w:left="1210"/>
        <w:rPr>
          <w:noProof/>
          <w:color w:val="000000" w:themeColor="text1"/>
        </w:rPr>
      </w:pPr>
      <w:r w:rsidRPr="00922145">
        <w:rPr>
          <w:noProof/>
          <w:color w:val="000000" w:themeColor="text1"/>
        </w:rPr>
        <w:t>2030</w:t>
      </w:r>
      <w:r w:rsidRPr="00922145">
        <w:rPr>
          <w:noProof/>
          <w:color w:val="000000" w:themeColor="text1"/>
        </w:rPr>
        <w:tab/>
      </w:r>
      <w:r>
        <w:rPr>
          <w:noProof/>
          <w:color w:val="000000" w:themeColor="text1"/>
        </w:rPr>
        <w:t>783</w:t>
      </w:r>
      <w:r w:rsidRPr="00922145">
        <w:rPr>
          <w:noProof/>
          <w:color w:val="000000" w:themeColor="text1"/>
        </w:rPr>
        <w:t xml:space="preserve"> 000 (</w:t>
      </w:r>
      <w:r>
        <w:rPr>
          <w:noProof/>
          <w:color w:val="000000" w:themeColor="text1"/>
        </w:rPr>
        <w:t>29%/ - EUR 2 000 000</w:t>
      </w:r>
      <w:r w:rsidRPr="00922145">
        <w:rPr>
          <w:noProof/>
          <w:color w:val="000000" w:themeColor="text1"/>
        </w:rPr>
        <w:t xml:space="preserve">) – </w:t>
      </w:r>
      <w:r w:rsidRPr="00922145">
        <w:rPr>
          <w:noProof/>
          <w:color w:val="000000" w:themeColor="text1"/>
          <w:sz w:val="20"/>
          <w:szCs w:val="20"/>
        </w:rPr>
        <w:t>three schemes (EUCC, ID Wallet, MSS)</w:t>
      </w:r>
    </w:p>
    <w:p w14:paraId="190C42E5" w14:textId="77777777" w:rsidR="00EC37C5" w:rsidRPr="00922145" w:rsidRDefault="00EC37C5" w:rsidP="00EC37C5">
      <w:pPr>
        <w:pStyle w:val="Text1"/>
        <w:pBdr>
          <w:top w:val="single" w:sz="4" w:space="1" w:color="auto"/>
          <w:left w:val="single" w:sz="4" w:space="4" w:color="auto"/>
          <w:bottom w:val="single" w:sz="4" w:space="1" w:color="auto"/>
          <w:right w:val="single" w:sz="4" w:space="14" w:color="auto"/>
        </w:pBdr>
        <w:ind w:left="1210"/>
        <w:rPr>
          <w:noProof/>
          <w:color w:val="000000" w:themeColor="text1"/>
        </w:rPr>
      </w:pPr>
      <w:r w:rsidRPr="00922145">
        <w:rPr>
          <w:noProof/>
          <w:color w:val="000000" w:themeColor="text1"/>
        </w:rPr>
        <w:t>2031</w:t>
      </w:r>
      <w:r w:rsidRPr="00922145">
        <w:rPr>
          <w:noProof/>
          <w:color w:val="000000" w:themeColor="text1"/>
        </w:rPr>
        <w:tab/>
      </w:r>
      <w:r>
        <w:rPr>
          <w:noProof/>
          <w:color w:val="000000" w:themeColor="text1"/>
        </w:rPr>
        <w:t>783</w:t>
      </w:r>
      <w:r w:rsidRPr="00922145">
        <w:rPr>
          <w:noProof/>
          <w:color w:val="000000" w:themeColor="text1"/>
        </w:rPr>
        <w:t xml:space="preserve"> 000 (</w:t>
      </w:r>
      <w:r>
        <w:rPr>
          <w:noProof/>
          <w:color w:val="000000" w:themeColor="text1"/>
        </w:rPr>
        <w:t>25%/ - EUR 1 930 000</w:t>
      </w:r>
      <w:r w:rsidRPr="00922145">
        <w:rPr>
          <w:noProof/>
          <w:color w:val="000000" w:themeColor="text1"/>
        </w:rPr>
        <w:t xml:space="preserve">) – </w:t>
      </w:r>
      <w:r w:rsidRPr="00922145">
        <w:rPr>
          <w:noProof/>
          <w:color w:val="000000" w:themeColor="text1"/>
          <w:sz w:val="20"/>
          <w:szCs w:val="20"/>
        </w:rPr>
        <w:t>three schemes (EUCC, ID Walle</w:t>
      </w:r>
      <w:r>
        <w:rPr>
          <w:noProof/>
          <w:color w:val="000000" w:themeColor="text1"/>
          <w:sz w:val="20"/>
          <w:szCs w:val="20"/>
        </w:rPr>
        <w:t>t</w:t>
      </w:r>
      <w:r w:rsidRPr="00922145">
        <w:rPr>
          <w:noProof/>
          <w:color w:val="000000" w:themeColor="text1"/>
          <w:sz w:val="20"/>
          <w:szCs w:val="20"/>
        </w:rPr>
        <w:t>, MSS)</w:t>
      </w:r>
    </w:p>
    <w:p w14:paraId="066F044A" w14:textId="77777777" w:rsidR="00EC37C5" w:rsidRPr="00922145" w:rsidRDefault="00EC37C5" w:rsidP="00EC37C5">
      <w:pPr>
        <w:pStyle w:val="Text1"/>
        <w:pBdr>
          <w:top w:val="single" w:sz="4" w:space="1" w:color="auto"/>
          <w:left w:val="single" w:sz="4" w:space="4" w:color="auto"/>
          <w:bottom w:val="single" w:sz="4" w:space="1" w:color="auto"/>
          <w:right w:val="single" w:sz="4" w:space="14" w:color="auto"/>
        </w:pBdr>
        <w:ind w:left="1210"/>
        <w:rPr>
          <w:noProof/>
          <w:color w:val="000000" w:themeColor="text1"/>
        </w:rPr>
      </w:pPr>
      <w:r w:rsidRPr="00922145">
        <w:rPr>
          <w:noProof/>
          <w:color w:val="000000" w:themeColor="text1"/>
        </w:rPr>
        <w:t>2032</w:t>
      </w:r>
      <w:r w:rsidRPr="00922145">
        <w:rPr>
          <w:noProof/>
          <w:color w:val="000000" w:themeColor="text1"/>
        </w:rPr>
        <w:tab/>
      </w:r>
      <w:r>
        <w:rPr>
          <w:noProof/>
          <w:color w:val="000000" w:themeColor="text1"/>
        </w:rPr>
        <w:t xml:space="preserve">3 </w:t>
      </w:r>
      <w:r w:rsidRPr="00922145">
        <w:rPr>
          <w:noProof/>
          <w:color w:val="000000" w:themeColor="text1"/>
        </w:rPr>
        <w:t>8</w:t>
      </w:r>
      <w:r>
        <w:rPr>
          <w:noProof/>
          <w:color w:val="000000" w:themeColor="text1"/>
        </w:rPr>
        <w:t>5</w:t>
      </w:r>
      <w:r w:rsidRPr="00922145">
        <w:rPr>
          <w:noProof/>
          <w:color w:val="000000" w:themeColor="text1"/>
        </w:rPr>
        <w:t>0 000 (</w:t>
      </w:r>
      <w:r>
        <w:rPr>
          <w:noProof/>
          <w:color w:val="000000" w:themeColor="text1"/>
        </w:rPr>
        <w:t>122%/ - EUR 2 400 000</w:t>
      </w:r>
      <w:r w:rsidRPr="00922145">
        <w:rPr>
          <w:noProof/>
          <w:color w:val="000000" w:themeColor="text1"/>
        </w:rPr>
        <w:t xml:space="preserve">) – </w:t>
      </w:r>
      <w:r w:rsidRPr="00922145">
        <w:rPr>
          <w:noProof/>
          <w:color w:val="000000" w:themeColor="text1"/>
          <w:sz w:val="20"/>
          <w:szCs w:val="20"/>
        </w:rPr>
        <w:t>five schemes (EUCC, ID Wallet, MSS, EUCS, 5G)</w:t>
      </w:r>
    </w:p>
    <w:p w14:paraId="6C044E17" w14:textId="77777777" w:rsidR="00EC37C5" w:rsidRPr="00B50FCF" w:rsidRDefault="00EC37C5" w:rsidP="00EC37C5">
      <w:pPr>
        <w:pStyle w:val="Text1"/>
        <w:pBdr>
          <w:top w:val="single" w:sz="4" w:space="1" w:color="auto"/>
          <w:left w:val="single" w:sz="4" w:space="4" w:color="auto"/>
          <w:bottom w:val="single" w:sz="4" w:space="1" w:color="auto"/>
          <w:right w:val="single" w:sz="4" w:space="14" w:color="auto"/>
        </w:pBdr>
        <w:ind w:left="1210"/>
        <w:rPr>
          <w:noProof/>
          <w:color w:val="000000" w:themeColor="text1"/>
          <w:lang w:val="fr-BE"/>
        </w:rPr>
      </w:pPr>
      <w:r w:rsidRPr="00B50FCF">
        <w:rPr>
          <w:noProof/>
          <w:color w:val="000000" w:themeColor="text1"/>
          <w:lang w:val="fr-BE"/>
        </w:rPr>
        <w:t>2033</w:t>
      </w:r>
      <w:r w:rsidRPr="00B50FCF">
        <w:rPr>
          <w:noProof/>
          <w:color w:val="000000" w:themeColor="text1"/>
          <w:lang w:val="fr-BE"/>
        </w:rPr>
        <w:tab/>
      </w:r>
      <w:r>
        <w:rPr>
          <w:noProof/>
          <w:color w:val="000000" w:themeColor="text1"/>
          <w:lang w:val="fr-BE"/>
        </w:rPr>
        <w:t>4 0</w:t>
      </w:r>
      <w:r w:rsidRPr="00B50FCF">
        <w:rPr>
          <w:noProof/>
          <w:color w:val="000000" w:themeColor="text1"/>
          <w:lang w:val="fr-BE"/>
        </w:rPr>
        <w:t>00 000 (</w:t>
      </w:r>
      <w:r>
        <w:rPr>
          <w:noProof/>
          <w:color w:val="000000" w:themeColor="text1"/>
          <w:lang w:val="fr-BE"/>
        </w:rPr>
        <w:t>126%/ + EUR 685 000</w:t>
      </w:r>
      <w:r w:rsidRPr="00B50FCF">
        <w:rPr>
          <w:noProof/>
          <w:color w:val="000000" w:themeColor="text1"/>
          <w:lang w:val="fr-BE"/>
        </w:rPr>
        <w:t xml:space="preserve">) – </w:t>
      </w:r>
      <w:r w:rsidRPr="00B50FCF">
        <w:rPr>
          <w:noProof/>
          <w:color w:val="000000" w:themeColor="text1"/>
          <w:sz w:val="20"/>
          <w:szCs w:val="20"/>
          <w:lang w:val="fr-BE"/>
        </w:rPr>
        <w:t xml:space="preserve">six schemes (EUCC, ID Wallet, MSS, EUCS, 5G, </w:t>
      </w:r>
      <w:r>
        <w:rPr>
          <w:noProof/>
          <w:color w:val="000000" w:themeColor="text1"/>
          <w:sz w:val="20"/>
          <w:szCs w:val="20"/>
          <w:lang w:val="fr-BE"/>
        </w:rPr>
        <w:t>C</w:t>
      </w:r>
      <w:r w:rsidRPr="00B50FCF">
        <w:rPr>
          <w:noProof/>
          <w:color w:val="000000" w:themeColor="text1"/>
          <w:sz w:val="20"/>
          <w:szCs w:val="20"/>
          <w:lang w:val="fr-BE"/>
        </w:rPr>
        <w:t>yberposture)</w:t>
      </w:r>
    </w:p>
    <w:p w14:paraId="235D7F36" w14:textId="77777777" w:rsidR="008E3FA9" w:rsidRDefault="00EC37C5" w:rsidP="008E3FA9">
      <w:pPr>
        <w:pStyle w:val="Text1"/>
        <w:pBdr>
          <w:top w:val="single" w:sz="4" w:space="1" w:color="auto"/>
          <w:left w:val="single" w:sz="4" w:space="4" w:color="auto"/>
          <w:bottom w:val="single" w:sz="4" w:space="1" w:color="auto"/>
          <w:right w:val="single" w:sz="4" w:space="14" w:color="auto"/>
        </w:pBdr>
        <w:ind w:left="1210"/>
        <w:rPr>
          <w:noProof/>
        </w:rPr>
      </w:pPr>
      <w:r w:rsidRPr="008E3FA9">
        <w:rPr>
          <w:noProof/>
          <w:color w:val="000000" w:themeColor="text1"/>
          <w:lang w:val="en-IE"/>
        </w:rPr>
        <w:t>2034</w:t>
      </w:r>
      <w:r w:rsidRPr="008E3FA9">
        <w:rPr>
          <w:noProof/>
          <w:lang w:val="en-IE"/>
        </w:rPr>
        <w:tab/>
      </w:r>
      <w:r w:rsidRPr="008E3FA9">
        <w:rPr>
          <w:noProof/>
          <w:color w:val="000000" w:themeColor="text1"/>
          <w:lang w:val="en-IE"/>
        </w:rPr>
        <w:t>4 500 000 (141%</w:t>
      </w:r>
      <w:r>
        <w:rPr>
          <w:noProof/>
          <w:color w:val="000000" w:themeColor="text1"/>
        </w:rPr>
        <w:t>/ + EUR 825 000</w:t>
      </w:r>
      <w:r w:rsidRPr="00922145">
        <w:rPr>
          <w:noProof/>
          <w:color w:val="000000" w:themeColor="text1"/>
        </w:rPr>
        <w:t xml:space="preserve">) – </w:t>
      </w:r>
      <w:r w:rsidRPr="00922145">
        <w:rPr>
          <w:noProof/>
          <w:color w:val="000000" w:themeColor="text1"/>
          <w:sz w:val="20"/>
          <w:szCs w:val="20"/>
        </w:rPr>
        <w:t>seven schemes</w:t>
      </w:r>
      <w:r w:rsidRPr="00922145">
        <w:rPr>
          <w:noProof/>
          <w:color w:val="000000" w:themeColor="text1"/>
        </w:rPr>
        <w:t xml:space="preserve"> </w:t>
      </w:r>
    </w:p>
    <w:p w14:paraId="0F9A4C27" w14:textId="4BB2BF30" w:rsidR="00EC37C5" w:rsidRDefault="00EC37C5" w:rsidP="008E3FA9">
      <w:pPr>
        <w:pStyle w:val="Text1"/>
        <w:pBdr>
          <w:top w:val="single" w:sz="4" w:space="1" w:color="auto"/>
          <w:left w:val="single" w:sz="4" w:space="4" w:color="auto"/>
          <w:bottom w:val="single" w:sz="4" w:space="1" w:color="auto"/>
          <w:right w:val="single" w:sz="4" w:space="14" w:color="auto"/>
        </w:pBdr>
        <w:ind w:left="1210"/>
        <w:rPr>
          <w:noProof/>
        </w:rPr>
      </w:pPr>
      <w:r w:rsidRPr="2714D713">
        <w:rPr>
          <w:noProof/>
        </w:rPr>
        <w:t xml:space="preserve">Fees in relation to </w:t>
      </w:r>
      <w:r>
        <w:rPr>
          <w:noProof/>
        </w:rPr>
        <w:t xml:space="preserve">testing </w:t>
      </w:r>
      <w:r w:rsidRPr="2714D713">
        <w:rPr>
          <w:noProof/>
        </w:rPr>
        <w:t>tools</w:t>
      </w:r>
      <w:r>
        <w:rPr>
          <w:noProof/>
        </w:rPr>
        <w:t xml:space="preserve"> to support conformity assessment procedures</w:t>
      </w:r>
    </w:p>
    <w:p w14:paraId="2D681E0E" w14:textId="77777777" w:rsidR="00EC37C5" w:rsidRDefault="00EC37C5" w:rsidP="00EC37C5">
      <w:pPr>
        <w:pStyle w:val="Text1"/>
        <w:pBdr>
          <w:top w:val="single" w:sz="4" w:space="1" w:color="auto"/>
          <w:left w:val="single" w:sz="4" w:space="4" w:color="auto"/>
          <w:bottom w:val="single" w:sz="4" w:space="1" w:color="auto"/>
          <w:right w:val="single" w:sz="4" w:space="14" w:color="auto"/>
        </w:pBdr>
        <w:ind w:left="1210"/>
        <w:rPr>
          <w:noProof/>
          <w:color w:val="000000" w:themeColor="text1"/>
        </w:rPr>
      </w:pPr>
    </w:p>
    <w:p w14:paraId="5BF8CADA" w14:textId="4C67BDE9" w:rsidR="008E3FA9" w:rsidRDefault="00EC37C5" w:rsidP="008E3FA9">
      <w:pPr>
        <w:pStyle w:val="Text1"/>
        <w:pBdr>
          <w:top w:val="single" w:sz="4" w:space="1" w:color="auto"/>
          <w:left w:val="single" w:sz="4" w:space="4" w:color="auto"/>
          <w:bottom w:val="single" w:sz="4" w:space="1" w:color="auto"/>
          <w:right w:val="single" w:sz="4" w:space="14" w:color="auto"/>
        </w:pBdr>
        <w:ind w:left="1210"/>
        <w:rPr>
          <w:noProof/>
          <w:color w:val="000000" w:themeColor="text1"/>
        </w:rPr>
      </w:pPr>
      <w:r w:rsidRPr="00EB75C2">
        <w:rPr>
          <w:noProof/>
        </w:rPr>
        <w:t xml:space="preserve">The fees in relation to this activity will be arranged in an </w:t>
      </w:r>
      <w:r w:rsidR="00E33667">
        <w:rPr>
          <w:noProof/>
        </w:rPr>
        <w:t>i</w:t>
      </w:r>
      <w:r w:rsidRPr="00EB75C2">
        <w:rPr>
          <w:noProof/>
        </w:rPr>
        <w:t xml:space="preserve">mplementing </w:t>
      </w:r>
      <w:r w:rsidR="00E33667">
        <w:rPr>
          <w:noProof/>
        </w:rPr>
        <w:t>a</w:t>
      </w:r>
      <w:r w:rsidRPr="00EB75C2">
        <w:rPr>
          <w:noProof/>
        </w:rPr>
        <w:t xml:space="preserve">ct, following the adoption of the revised Cybersecurity Act. </w:t>
      </w:r>
      <w:r>
        <w:rPr>
          <w:noProof/>
        </w:rPr>
        <w:t xml:space="preserve">However, to indicate estimated costs and expected revenues, calculations were made based on estimates provided by ENISA and included </w:t>
      </w:r>
      <w:r w:rsidRPr="00922145">
        <w:rPr>
          <w:noProof/>
          <w:color w:val="000000" w:themeColor="text1"/>
        </w:rPr>
        <w:t>in the Impact Assessment of the proposal for revision of the Cybersecurity Act</w:t>
      </w:r>
      <w:r>
        <w:rPr>
          <w:noProof/>
        </w:rPr>
        <w:t xml:space="preserve">. The costs related to support for testing and evaluation activities are estimated at: </w:t>
      </w:r>
    </w:p>
    <w:p w14:paraId="641F7E58" w14:textId="77777777" w:rsidR="008E3FA9" w:rsidRDefault="008E3FA9" w:rsidP="008E3FA9">
      <w:pPr>
        <w:pStyle w:val="Text1"/>
        <w:pBdr>
          <w:top w:val="single" w:sz="4" w:space="1" w:color="auto"/>
          <w:left w:val="single" w:sz="4" w:space="4" w:color="auto"/>
          <w:bottom w:val="single" w:sz="4" w:space="1" w:color="auto"/>
          <w:right w:val="single" w:sz="4" w:space="14" w:color="auto"/>
        </w:pBdr>
        <w:ind w:left="1210"/>
        <w:rPr>
          <w:noProof/>
          <w:color w:val="000000" w:themeColor="text1"/>
        </w:rPr>
      </w:pPr>
      <w:r>
        <w:rPr>
          <w:noProof/>
        </w:rPr>
        <w:t>FT</w:t>
      </w:r>
      <w:r w:rsidR="00EC37C5" w:rsidRPr="00A8038E">
        <w:rPr>
          <w:noProof/>
        </w:rPr>
        <w:t xml:space="preserve">Es:  4 </w:t>
      </w:r>
      <w:r w:rsidR="00EC37C5">
        <w:rPr>
          <w:noProof/>
        </w:rPr>
        <w:t>per year</w:t>
      </w:r>
    </w:p>
    <w:p w14:paraId="01F2B466" w14:textId="77777777" w:rsidR="008E3FA9" w:rsidRDefault="00EC37C5" w:rsidP="008E3FA9">
      <w:pPr>
        <w:pStyle w:val="Text1"/>
        <w:pBdr>
          <w:top w:val="single" w:sz="4" w:space="1" w:color="auto"/>
          <w:left w:val="single" w:sz="4" w:space="4" w:color="auto"/>
          <w:bottom w:val="single" w:sz="4" w:space="1" w:color="auto"/>
          <w:right w:val="single" w:sz="4" w:space="14" w:color="auto"/>
        </w:pBdr>
        <w:ind w:left="1210"/>
        <w:rPr>
          <w:noProof/>
          <w:color w:val="000000" w:themeColor="text1"/>
        </w:rPr>
      </w:pPr>
      <w:r w:rsidRPr="005466B5">
        <w:rPr>
          <w:noProof/>
        </w:rPr>
        <w:t xml:space="preserve">Operational costs:  800 K per year </w:t>
      </w:r>
    </w:p>
    <w:p w14:paraId="0904602D" w14:textId="327D09EE" w:rsidR="00EC37C5" w:rsidRPr="008E3FA9" w:rsidRDefault="00EC37C5" w:rsidP="008E3FA9">
      <w:pPr>
        <w:pStyle w:val="Text1"/>
        <w:pBdr>
          <w:top w:val="single" w:sz="4" w:space="1" w:color="auto"/>
          <w:left w:val="single" w:sz="4" w:space="4" w:color="auto"/>
          <w:bottom w:val="single" w:sz="4" w:space="1" w:color="auto"/>
          <w:right w:val="single" w:sz="4" w:space="14" w:color="auto"/>
        </w:pBdr>
        <w:ind w:left="1210"/>
        <w:rPr>
          <w:noProof/>
          <w:color w:val="000000" w:themeColor="text1"/>
        </w:rPr>
      </w:pPr>
      <w:r w:rsidRPr="00A8038E">
        <w:rPr>
          <w:noProof/>
        </w:rPr>
        <w:t>Total costs:  6</w:t>
      </w:r>
      <w:r>
        <w:rPr>
          <w:noProof/>
        </w:rPr>
        <w:t xml:space="preserve"> 500 000</w:t>
      </w:r>
      <w:r w:rsidRPr="00A8038E">
        <w:rPr>
          <w:noProof/>
        </w:rPr>
        <w:t xml:space="preserve"> M (5 years); per year: </w:t>
      </w:r>
      <w:r>
        <w:rPr>
          <w:noProof/>
        </w:rPr>
        <w:t xml:space="preserve">EUR </w:t>
      </w:r>
      <w:r w:rsidRPr="00A8038E">
        <w:rPr>
          <w:noProof/>
        </w:rPr>
        <w:t>1</w:t>
      </w:r>
      <w:r>
        <w:rPr>
          <w:noProof/>
        </w:rPr>
        <w:t xml:space="preserve"> 300 000</w:t>
      </w:r>
      <w:r w:rsidRPr="00A8038E">
        <w:rPr>
          <w:noProof/>
        </w:rPr>
        <w:t xml:space="preserve">  </w:t>
      </w:r>
    </w:p>
    <w:p w14:paraId="07EA60BD" w14:textId="77777777" w:rsidR="00EC37C5" w:rsidRDefault="00EC37C5" w:rsidP="00EC37C5">
      <w:pPr>
        <w:pStyle w:val="Text1"/>
        <w:pBdr>
          <w:top w:val="single" w:sz="4" w:space="1" w:color="auto"/>
          <w:left w:val="single" w:sz="4" w:space="4" w:color="auto"/>
          <w:bottom w:val="single" w:sz="4" w:space="1" w:color="auto"/>
          <w:right w:val="single" w:sz="4" w:space="14" w:color="auto"/>
        </w:pBdr>
        <w:ind w:left="1210"/>
        <w:rPr>
          <w:noProof/>
          <w:color w:val="000000" w:themeColor="text1"/>
        </w:rPr>
      </w:pPr>
      <w:r w:rsidRPr="00943327">
        <w:rPr>
          <w:noProof/>
          <w:color w:val="000000" w:themeColor="text1"/>
        </w:rPr>
        <w:t>It is expected that</w:t>
      </w:r>
      <w:r>
        <w:rPr>
          <w:noProof/>
          <w:color w:val="000000" w:themeColor="text1"/>
        </w:rPr>
        <w:t xml:space="preserve"> for ENISA,</w:t>
      </w:r>
      <w:r w:rsidRPr="00943327">
        <w:rPr>
          <w:noProof/>
          <w:color w:val="000000" w:themeColor="text1"/>
        </w:rPr>
        <w:t xml:space="preserve"> the first year</w:t>
      </w:r>
      <w:r>
        <w:rPr>
          <w:noProof/>
          <w:color w:val="000000" w:themeColor="text1"/>
        </w:rPr>
        <w:t xml:space="preserve"> </w:t>
      </w:r>
      <w:r w:rsidRPr="00943327">
        <w:rPr>
          <w:noProof/>
          <w:color w:val="000000" w:themeColor="text1"/>
        </w:rPr>
        <w:t xml:space="preserve">on-off investments would occur followed by maintenance costs. </w:t>
      </w:r>
      <w:r>
        <w:rPr>
          <w:noProof/>
          <w:color w:val="000000" w:themeColor="text1"/>
        </w:rPr>
        <w:t>Those</w:t>
      </w:r>
      <w:r w:rsidRPr="00943327">
        <w:rPr>
          <w:noProof/>
          <w:color w:val="000000" w:themeColor="text1"/>
        </w:rPr>
        <w:t xml:space="preserve"> costs would be gradually covered by revenues collected from fees. </w:t>
      </w:r>
    </w:p>
    <w:p w14:paraId="458DE397" w14:textId="77777777" w:rsidR="00EC37C5" w:rsidRDefault="00EC37C5" w:rsidP="00EC37C5">
      <w:pPr>
        <w:pStyle w:val="Text1"/>
        <w:pBdr>
          <w:top w:val="single" w:sz="4" w:space="1" w:color="auto"/>
          <w:left w:val="single" w:sz="4" w:space="4" w:color="auto"/>
          <w:bottom w:val="single" w:sz="4" w:space="1" w:color="auto"/>
          <w:right w:val="single" w:sz="4" w:space="14" w:color="auto"/>
        </w:pBdr>
        <w:ind w:left="1210"/>
        <w:rPr>
          <w:noProof/>
          <w:color w:val="000000" w:themeColor="text1"/>
        </w:rPr>
      </w:pPr>
      <w:r w:rsidRPr="0014182B">
        <w:rPr>
          <w:noProof/>
          <w:color w:val="000000" w:themeColor="text1"/>
        </w:rPr>
        <w:t>Year</w:t>
      </w:r>
      <w:r w:rsidRPr="0014182B">
        <w:rPr>
          <w:noProof/>
          <w:color w:val="000000" w:themeColor="text1"/>
        </w:rPr>
        <w:tab/>
        <w:t xml:space="preserve">Revenue </w:t>
      </w:r>
    </w:p>
    <w:p w14:paraId="6F60E2C8" w14:textId="77777777" w:rsidR="00EC37C5" w:rsidRPr="0014182B" w:rsidRDefault="00EC37C5" w:rsidP="00EC37C5">
      <w:pPr>
        <w:pStyle w:val="Text1"/>
        <w:pBdr>
          <w:top w:val="single" w:sz="4" w:space="1" w:color="auto"/>
          <w:left w:val="single" w:sz="4" w:space="4" w:color="auto"/>
          <w:bottom w:val="single" w:sz="4" w:space="1" w:color="auto"/>
          <w:right w:val="single" w:sz="4" w:space="14" w:color="auto"/>
        </w:pBdr>
        <w:ind w:left="1210"/>
        <w:rPr>
          <w:noProof/>
          <w:color w:val="000000" w:themeColor="text1"/>
        </w:rPr>
      </w:pPr>
      <w:r w:rsidRPr="0014182B">
        <w:rPr>
          <w:noProof/>
          <w:color w:val="000000" w:themeColor="text1"/>
        </w:rPr>
        <w:t>2028</w:t>
      </w:r>
      <w:r w:rsidRPr="0014182B">
        <w:rPr>
          <w:noProof/>
          <w:color w:val="000000" w:themeColor="text1"/>
        </w:rPr>
        <w:tab/>
        <w:t>0</w:t>
      </w:r>
    </w:p>
    <w:p w14:paraId="72E90512" w14:textId="77777777" w:rsidR="00EC37C5" w:rsidRPr="00922145" w:rsidRDefault="00EC37C5" w:rsidP="00EC37C5">
      <w:pPr>
        <w:pStyle w:val="Text1"/>
        <w:pBdr>
          <w:top w:val="single" w:sz="4" w:space="1" w:color="auto"/>
          <w:left w:val="single" w:sz="4" w:space="4" w:color="auto"/>
          <w:bottom w:val="single" w:sz="4" w:space="1" w:color="auto"/>
          <w:right w:val="single" w:sz="4" w:space="14" w:color="auto"/>
        </w:pBdr>
        <w:ind w:left="1210"/>
        <w:rPr>
          <w:noProof/>
          <w:color w:val="000000" w:themeColor="text1"/>
        </w:rPr>
      </w:pPr>
      <w:r w:rsidRPr="34534E1B">
        <w:rPr>
          <w:noProof/>
          <w:color w:val="000000" w:themeColor="text1"/>
        </w:rPr>
        <w:t>2029</w:t>
      </w:r>
      <w:r>
        <w:rPr>
          <w:noProof/>
        </w:rPr>
        <w:tab/>
      </w:r>
      <w:r w:rsidRPr="34534E1B">
        <w:rPr>
          <w:noProof/>
          <w:color w:val="000000" w:themeColor="text1"/>
        </w:rPr>
        <w:t>260 000</w:t>
      </w:r>
    </w:p>
    <w:p w14:paraId="70746B76" w14:textId="77777777" w:rsidR="00EC37C5" w:rsidRDefault="00EC37C5" w:rsidP="00EC37C5">
      <w:pPr>
        <w:pStyle w:val="Text1"/>
        <w:pBdr>
          <w:top w:val="single" w:sz="4" w:space="1" w:color="auto"/>
          <w:left w:val="single" w:sz="4" w:space="4" w:color="auto"/>
          <w:bottom w:val="single" w:sz="4" w:space="1" w:color="auto"/>
          <w:right w:val="single" w:sz="4" w:space="14" w:color="auto"/>
        </w:pBdr>
        <w:ind w:left="1210"/>
        <w:rPr>
          <w:noProof/>
          <w:color w:val="000000" w:themeColor="text1"/>
        </w:rPr>
      </w:pPr>
      <w:r w:rsidRPr="34534E1B">
        <w:rPr>
          <w:noProof/>
          <w:color w:val="000000" w:themeColor="text1"/>
        </w:rPr>
        <w:t>2030</w:t>
      </w:r>
      <w:r>
        <w:rPr>
          <w:noProof/>
        </w:rPr>
        <w:tab/>
      </w:r>
      <w:r w:rsidRPr="34534E1B">
        <w:rPr>
          <w:noProof/>
          <w:color w:val="000000" w:themeColor="text1"/>
        </w:rPr>
        <w:t>260 000</w:t>
      </w:r>
    </w:p>
    <w:p w14:paraId="3D4B8BAC" w14:textId="77777777" w:rsidR="00EC37C5" w:rsidRPr="0014182B" w:rsidRDefault="00EC37C5" w:rsidP="00EC37C5">
      <w:pPr>
        <w:pStyle w:val="Text1"/>
        <w:pBdr>
          <w:top w:val="single" w:sz="4" w:space="1" w:color="auto"/>
          <w:left w:val="single" w:sz="4" w:space="4" w:color="auto"/>
          <w:bottom w:val="single" w:sz="4" w:space="1" w:color="auto"/>
          <w:right w:val="single" w:sz="4" w:space="14" w:color="auto"/>
        </w:pBdr>
        <w:ind w:left="1210"/>
        <w:rPr>
          <w:noProof/>
          <w:color w:val="000000" w:themeColor="text1"/>
        </w:rPr>
      </w:pPr>
      <w:r w:rsidRPr="0014182B">
        <w:rPr>
          <w:noProof/>
          <w:color w:val="000000" w:themeColor="text1"/>
        </w:rPr>
        <w:t>2031</w:t>
      </w:r>
      <w:r w:rsidRPr="0014182B">
        <w:rPr>
          <w:noProof/>
          <w:color w:val="000000" w:themeColor="text1"/>
        </w:rPr>
        <w:tab/>
      </w:r>
      <w:r>
        <w:rPr>
          <w:noProof/>
          <w:color w:val="000000" w:themeColor="text1"/>
        </w:rPr>
        <w:t>650 000</w:t>
      </w:r>
    </w:p>
    <w:p w14:paraId="163A1E6D" w14:textId="77777777" w:rsidR="00EC37C5" w:rsidRPr="00922145" w:rsidRDefault="00EC37C5" w:rsidP="00EC37C5">
      <w:pPr>
        <w:pStyle w:val="Text1"/>
        <w:pBdr>
          <w:top w:val="single" w:sz="4" w:space="1" w:color="auto"/>
          <w:left w:val="single" w:sz="4" w:space="4" w:color="auto"/>
          <w:bottom w:val="single" w:sz="4" w:space="1" w:color="auto"/>
          <w:right w:val="single" w:sz="4" w:space="14" w:color="auto"/>
        </w:pBdr>
        <w:ind w:left="1210"/>
        <w:rPr>
          <w:noProof/>
          <w:color w:val="000000" w:themeColor="text1"/>
        </w:rPr>
      </w:pPr>
      <w:r w:rsidRPr="00922145">
        <w:rPr>
          <w:noProof/>
          <w:color w:val="000000" w:themeColor="text1"/>
        </w:rPr>
        <w:t>2032</w:t>
      </w:r>
      <w:r w:rsidRPr="00922145">
        <w:rPr>
          <w:noProof/>
          <w:color w:val="000000" w:themeColor="text1"/>
        </w:rPr>
        <w:tab/>
      </w:r>
      <w:r>
        <w:rPr>
          <w:noProof/>
          <w:color w:val="000000" w:themeColor="text1"/>
        </w:rPr>
        <w:t>650 000</w:t>
      </w:r>
    </w:p>
    <w:p w14:paraId="4EAE0660" w14:textId="77777777" w:rsidR="00EC37C5" w:rsidRPr="000F2A2E" w:rsidRDefault="00EC37C5" w:rsidP="00EC37C5">
      <w:pPr>
        <w:pStyle w:val="Text1"/>
        <w:pBdr>
          <w:top w:val="single" w:sz="4" w:space="1" w:color="auto"/>
          <w:left w:val="single" w:sz="4" w:space="4" w:color="auto"/>
          <w:bottom w:val="single" w:sz="4" w:space="1" w:color="auto"/>
          <w:right w:val="single" w:sz="4" w:space="14" w:color="auto"/>
        </w:pBdr>
        <w:ind w:left="1210"/>
        <w:rPr>
          <w:noProof/>
          <w:color w:val="000000" w:themeColor="text1"/>
          <w:lang w:val="en-IE"/>
        </w:rPr>
      </w:pPr>
      <w:r w:rsidRPr="000F2A2E">
        <w:rPr>
          <w:noProof/>
          <w:color w:val="000000" w:themeColor="text1"/>
          <w:lang w:val="en-IE"/>
        </w:rPr>
        <w:t xml:space="preserve">2033 </w:t>
      </w:r>
      <w:r w:rsidRPr="000F2A2E">
        <w:rPr>
          <w:noProof/>
          <w:color w:val="000000" w:themeColor="text1"/>
          <w:lang w:val="en-IE"/>
        </w:rPr>
        <w:tab/>
        <w:t>975 000</w:t>
      </w:r>
    </w:p>
    <w:p w14:paraId="34B82E08" w14:textId="56FF64BA" w:rsidR="00EC37C5" w:rsidRPr="008E3FA9" w:rsidRDefault="00EC37C5" w:rsidP="008E3FA9">
      <w:pPr>
        <w:pStyle w:val="Text1"/>
        <w:pBdr>
          <w:top w:val="single" w:sz="4" w:space="1" w:color="auto"/>
          <w:left w:val="single" w:sz="4" w:space="4" w:color="auto"/>
          <w:bottom w:val="single" w:sz="4" w:space="1" w:color="auto"/>
          <w:right w:val="single" w:sz="4" w:space="14" w:color="auto"/>
        </w:pBdr>
        <w:ind w:left="1210"/>
        <w:rPr>
          <w:noProof/>
        </w:rPr>
      </w:pPr>
      <w:r w:rsidRPr="000F2A2E">
        <w:rPr>
          <w:noProof/>
          <w:color w:val="000000" w:themeColor="text1"/>
          <w:lang w:val="en-IE"/>
        </w:rPr>
        <w:t>2034</w:t>
      </w:r>
      <w:r w:rsidRPr="000F2A2E">
        <w:rPr>
          <w:noProof/>
          <w:lang w:val="en-IE"/>
        </w:rPr>
        <w:tab/>
      </w:r>
      <w:r w:rsidRPr="000F2A2E">
        <w:rPr>
          <w:noProof/>
          <w:color w:val="000000" w:themeColor="text1"/>
          <w:lang w:val="en-IE"/>
        </w:rPr>
        <w:t>975 000</w:t>
      </w:r>
      <w:r w:rsidRPr="00922145">
        <w:rPr>
          <w:noProof/>
          <w:color w:val="000000" w:themeColor="text1"/>
        </w:rPr>
        <w:t xml:space="preserve"> </w:t>
      </w:r>
    </w:p>
    <w:p w14:paraId="18CAC5F8" w14:textId="77777777" w:rsidR="004F652B" w:rsidRDefault="004F652B">
      <w:pPr>
        <w:spacing w:before="0" w:after="200" w:line="276" w:lineRule="auto"/>
        <w:jc w:val="left"/>
        <w:rPr>
          <w:b/>
          <w:caps/>
          <w:smallCaps/>
          <w:noProof/>
        </w:rPr>
      </w:pPr>
      <w:r>
        <w:rPr>
          <w:caps/>
          <w:noProof/>
        </w:rPr>
        <w:br w:type="page"/>
      </w:r>
    </w:p>
    <w:p w14:paraId="36198580" w14:textId="77777777" w:rsidR="007476E9" w:rsidRDefault="007476E9" w:rsidP="00795DAC">
      <w:pPr>
        <w:pStyle w:val="ManualHeading1"/>
        <w:rPr>
          <w:caps/>
          <w:noProof/>
        </w:rPr>
        <w:sectPr w:rsidR="007476E9" w:rsidSect="000033F2">
          <w:headerReference w:type="default" r:id="rId18"/>
          <w:footerReference w:type="default" r:id="rId19"/>
          <w:pgSz w:w="11907" w:h="16840" w:code="9"/>
          <w:pgMar w:top="1134" w:right="1418" w:bottom="1134" w:left="1418" w:header="709" w:footer="709" w:gutter="0"/>
          <w:cols w:space="720"/>
          <w:docGrid w:linePitch="360"/>
        </w:sectPr>
      </w:pPr>
    </w:p>
    <w:p w14:paraId="0C234124" w14:textId="77777777" w:rsidR="00795DAC" w:rsidRPr="00532763" w:rsidRDefault="00795DAC" w:rsidP="00795DAC">
      <w:pPr>
        <w:pStyle w:val="ManualHeading1"/>
        <w:rPr>
          <w:caps/>
          <w:noProof/>
        </w:rPr>
      </w:pPr>
      <w:r w:rsidRPr="35C9C33A">
        <w:rPr>
          <w:caps/>
          <w:noProof/>
        </w:rPr>
        <w:t xml:space="preserve">4. </w:t>
      </w:r>
      <w:r w:rsidRPr="7D67B65D">
        <w:rPr>
          <w:caps/>
          <w:noProof/>
        </w:rPr>
        <w:t>Digital dimension</w:t>
      </w:r>
      <w:r>
        <w:rPr>
          <w:caps/>
          <w:noProof/>
        </w:rPr>
        <w:t>s</w:t>
      </w:r>
      <w:bookmarkEnd w:id="99"/>
      <w:bookmarkEnd w:id="100"/>
    </w:p>
    <w:p w14:paraId="3F86BA0D" w14:textId="77777777" w:rsidR="00795DAC" w:rsidRDefault="00795DAC" w:rsidP="00795DAC">
      <w:pPr>
        <w:pStyle w:val="ManualHeading2"/>
        <w:rPr>
          <w:noProof/>
        </w:rPr>
      </w:pPr>
      <w:bookmarkStart w:id="192" w:name="_Toc167220302"/>
      <w:bookmarkStart w:id="193" w:name="_Toc177549037"/>
      <w:r>
        <w:rPr>
          <w:noProof/>
        </w:rPr>
        <w:t>4.1.</w:t>
      </w:r>
      <w:r>
        <w:rPr>
          <w:noProof/>
        </w:rPr>
        <w:tab/>
        <w:t>Requirements of digital relevance</w:t>
      </w:r>
      <w:bookmarkEnd w:id="192"/>
      <w:bookmarkEnd w:id="193"/>
    </w:p>
    <w:p w14:paraId="2E9C5280" w14:textId="77777777" w:rsidR="00795DAC" w:rsidRDefault="00795DAC" w:rsidP="00795DAC">
      <w:pPr>
        <w:rPr>
          <w:i/>
          <w:noProof/>
          <w:lang w:eastAsia="en-GB"/>
        </w:rPr>
      </w:pPr>
      <w:r w:rsidRPr="00922145">
        <w:rPr>
          <w:i/>
          <w:noProof/>
          <w:lang w:eastAsia="en-GB"/>
        </w:rPr>
        <w:t xml:space="preserve">High-level description of the requirements of digital relevance and related categories (data, process digitalisation &amp; automation, digital solutions and/or digital public services) </w:t>
      </w:r>
    </w:p>
    <w:tbl>
      <w:tblPr>
        <w:tblStyle w:val="TableGrid1"/>
        <w:tblW w:w="0" w:type="auto"/>
        <w:tblLook w:val="04A0" w:firstRow="1" w:lastRow="0" w:firstColumn="1" w:lastColumn="0" w:noHBand="0" w:noVBand="1"/>
      </w:tblPr>
      <w:tblGrid>
        <w:gridCol w:w="14787"/>
      </w:tblGrid>
      <w:tr w:rsidR="007A5304" w:rsidRPr="00922145" w14:paraId="285BCF44" w14:textId="77777777" w:rsidTr="007476E9">
        <w:trPr>
          <w:trHeight w:val="300"/>
        </w:trPr>
        <w:tc>
          <w:tcPr>
            <w:tcW w:w="14787" w:type="dxa"/>
          </w:tcPr>
          <w:tbl>
            <w:tblPr>
              <w:tblW w:w="1455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87"/>
              <w:gridCol w:w="4332"/>
              <w:gridCol w:w="3015"/>
              <w:gridCol w:w="3040"/>
              <w:gridCol w:w="1281"/>
            </w:tblGrid>
            <w:tr w:rsidR="007A5304" w:rsidRPr="006F001C" w14:paraId="3EB06B71" w14:textId="77777777">
              <w:trPr>
                <w:trHeight w:val="285"/>
              </w:trPr>
              <w:tc>
                <w:tcPr>
                  <w:tcW w:w="2887" w:type="dxa"/>
                  <w:tcBorders>
                    <w:top w:val="single" w:sz="6" w:space="0" w:color="auto"/>
                    <w:left w:val="single" w:sz="6" w:space="0" w:color="auto"/>
                    <w:bottom w:val="single" w:sz="6" w:space="0" w:color="auto"/>
                    <w:right w:val="single" w:sz="6" w:space="0" w:color="auto"/>
                  </w:tcBorders>
                  <w:vAlign w:val="center"/>
                  <w:hideMark/>
                </w:tcPr>
                <w:p w14:paraId="3E15C0CE"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b/>
                      <w:bCs/>
                      <w:noProof/>
                      <w:sz w:val="22"/>
                      <w:lang w:eastAsia="en-IE"/>
                    </w:rPr>
                    <w:t>Reference to the requirement</w:t>
                  </w:r>
                  <w:r w:rsidRPr="006F001C">
                    <w:rPr>
                      <w:rFonts w:eastAsia="Times New Roman"/>
                      <w:noProof/>
                      <w:sz w:val="22"/>
                      <w:lang w:val="en-IE" w:eastAsia="en-IE"/>
                    </w:rPr>
                    <w:t> </w:t>
                  </w:r>
                </w:p>
              </w:tc>
              <w:tc>
                <w:tcPr>
                  <w:tcW w:w="4332" w:type="dxa"/>
                  <w:tcBorders>
                    <w:top w:val="single" w:sz="6" w:space="0" w:color="auto"/>
                    <w:left w:val="single" w:sz="6" w:space="0" w:color="auto"/>
                    <w:bottom w:val="single" w:sz="6" w:space="0" w:color="auto"/>
                    <w:right w:val="single" w:sz="6" w:space="0" w:color="auto"/>
                  </w:tcBorders>
                  <w:vAlign w:val="center"/>
                  <w:hideMark/>
                </w:tcPr>
                <w:p w14:paraId="6392838A"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b/>
                      <w:bCs/>
                      <w:noProof/>
                      <w:sz w:val="22"/>
                      <w:lang w:eastAsia="en-IE"/>
                    </w:rPr>
                    <w:t>Requirement description</w:t>
                  </w:r>
                  <w:r w:rsidRPr="006F001C">
                    <w:rPr>
                      <w:rFonts w:eastAsia="Times New Roman"/>
                      <w:noProof/>
                      <w:sz w:val="22"/>
                      <w:lang w:val="en-IE" w:eastAsia="en-IE"/>
                    </w:rPr>
                    <w:t> </w:t>
                  </w:r>
                </w:p>
              </w:tc>
              <w:tc>
                <w:tcPr>
                  <w:tcW w:w="3015" w:type="dxa"/>
                  <w:tcBorders>
                    <w:top w:val="single" w:sz="6" w:space="0" w:color="auto"/>
                    <w:left w:val="single" w:sz="6" w:space="0" w:color="auto"/>
                    <w:bottom w:val="single" w:sz="6" w:space="0" w:color="auto"/>
                    <w:right w:val="single" w:sz="6" w:space="0" w:color="auto"/>
                  </w:tcBorders>
                  <w:vAlign w:val="center"/>
                  <w:hideMark/>
                </w:tcPr>
                <w:p w14:paraId="06CD23C5"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b/>
                      <w:bCs/>
                      <w:noProof/>
                      <w:sz w:val="22"/>
                      <w:lang w:eastAsia="en-IE"/>
                    </w:rPr>
                    <w:t>Actors affected or concerned by the requirement</w:t>
                  </w:r>
                  <w:r w:rsidRPr="006F001C">
                    <w:rPr>
                      <w:rFonts w:eastAsia="Times New Roman"/>
                      <w:noProof/>
                      <w:sz w:val="22"/>
                      <w:lang w:val="en-IE" w:eastAsia="en-IE"/>
                    </w:rPr>
                    <w:t> </w:t>
                  </w:r>
                </w:p>
              </w:tc>
              <w:tc>
                <w:tcPr>
                  <w:tcW w:w="3040" w:type="dxa"/>
                  <w:tcBorders>
                    <w:top w:val="single" w:sz="6" w:space="0" w:color="auto"/>
                    <w:left w:val="single" w:sz="6" w:space="0" w:color="auto"/>
                    <w:bottom w:val="single" w:sz="6" w:space="0" w:color="auto"/>
                    <w:right w:val="single" w:sz="6" w:space="0" w:color="auto"/>
                  </w:tcBorders>
                  <w:vAlign w:val="center"/>
                  <w:hideMark/>
                </w:tcPr>
                <w:p w14:paraId="06E1FFDB"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b/>
                      <w:bCs/>
                      <w:noProof/>
                      <w:sz w:val="22"/>
                      <w:lang w:eastAsia="en-IE"/>
                    </w:rPr>
                    <w:t>High-level Processes</w:t>
                  </w:r>
                  <w:r w:rsidRPr="006F001C">
                    <w:rPr>
                      <w:rFonts w:eastAsia="Times New Roman"/>
                      <w:noProof/>
                      <w:sz w:val="22"/>
                      <w:lang w:val="en-IE" w:eastAsia="en-IE"/>
                    </w:rPr>
                    <w:t> </w:t>
                  </w:r>
                </w:p>
              </w:tc>
              <w:tc>
                <w:tcPr>
                  <w:tcW w:w="1281" w:type="dxa"/>
                  <w:tcBorders>
                    <w:top w:val="single" w:sz="6" w:space="0" w:color="auto"/>
                    <w:left w:val="single" w:sz="6" w:space="0" w:color="auto"/>
                    <w:bottom w:val="single" w:sz="6" w:space="0" w:color="auto"/>
                    <w:right w:val="single" w:sz="6" w:space="0" w:color="auto"/>
                  </w:tcBorders>
                  <w:vAlign w:val="center"/>
                  <w:hideMark/>
                </w:tcPr>
                <w:p w14:paraId="27212C62"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b/>
                      <w:bCs/>
                      <w:noProof/>
                      <w:sz w:val="22"/>
                      <w:lang w:eastAsia="en-IE"/>
                    </w:rPr>
                    <w:t>Categories</w:t>
                  </w:r>
                  <w:r w:rsidRPr="006F001C">
                    <w:rPr>
                      <w:rFonts w:eastAsia="Times New Roman"/>
                      <w:noProof/>
                      <w:sz w:val="22"/>
                      <w:lang w:val="en-IE" w:eastAsia="en-IE"/>
                    </w:rPr>
                    <w:t> </w:t>
                  </w:r>
                </w:p>
              </w:tc>
            </w:tr>
            <w:tr w:rsidR="007A5304" w:rsidRPr="006F001C" w14:paraId="0132A40F" w14:textId="77777777">
              <w:trPr>
                <w:trHeight w:val="2745"/>
              </w:trPr>
              <w:tc>
                <w:tcPr>
                  <w:tcW w:w="2887" w:type="dxa"/>
                  <w:tcBorders>
                    <w:top w:val="single" w:sz="6" w:space="0" w:color="auto"/>
                    <w:left w:val="single" w:sz="6" w:space="0" w:color="auto"/>
                    <w:bottom w:val="single" w:sz="6" w:space="0" w:color="auto"/>
                    <w:right w:val="single" w:sz="6" w:space="0" w:color="auto"/>
                  </w:tcBorders>
                  <w:hideMark/>
                </w:tcPr>
                <w:p w14:paraId="11169E9A"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Article 5(1)(a)</w:t>
                  </w:r>
                  <w:r w:rsidRPr="006F001C">
                    <w:rPr>
                      <w:rFonts w:eastAsia="Times New Roman"/>
                      <w:noProof/>
                      <w:sz w:val="22"/>
                      <w:lang w:val="en-IE" w:eastAsia="en-IE"/>
                    </w:rPr>
                    <w:t> </w:t>
                  </w:r>
                </w:p>
                <w:p w14:paraId="2BCF378A"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Support for implementation of EU law</w:t>
                  </w:r>
                  <w:r w:rsidRPr="006F001C">
                    <w:rPr>
                      <w:rFonts w:eastAsia="Times New Roman"/>
                      <w:noProof/>
                      <w:sz w:val="22"/>
                      <w:lang w:val="en-IE" w:eastAsia="en-IE"/>
                    </w:rPr>
                    <w:t> </w:t>
                  </w:r>
                </w:p>
              </w:tc>
              <w:tc>
                <w:tcPr>
                  <w:tcW w:w="4332" w:type="dxa"/>
                  <w:tcBorders>
                    <w:top w:val="single" w:sz="6" w:space="0" w:color="auto"/>
                    <w:left w:val="single" w:sz="6" w:space="0" w:color="auto"/>
                    <w:bottom w:val="single" w:sz="6" w:space="0" w:color="auto"/>
                    <w:right w:val="single" w:sz="6" w:space="0" w:color="auto"/>
                  </w:tcBorders>
                  <w:hideMark/>
                </w:tcPr>
                <w:p w14:paraId="47926872"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w:t>
                  </w:r>
                  <w:r w:rsidRPr="006F001C">
                    <w:rPr>
                      <w:rFonts w:ascii="Calibri" w:eastAsia="Times New Roman" w:hAnsi="Calibri" w:cs="Calibri"/>
                      <w:noProof/>
                      <w:sz w:val="22"/>
                      <w:lang w:val="en-IE" w:eastAsia="en-IE"/>
                    </w:rPr>
                    <w:tab/>
                  </w:r>
                  <w:r w:rsidRPr="006F001C">
                    <w:rPr>
                      <w:rFonts w:eastAsia="Times New Roman"/>
                      <w:noProof/>
                      <w:sz w:val="22"/>
                      <w:lang w:eastAsia="en-IE"/>
                    </w:rPr>
                    <w:t>assisting Member States in implementing Union policy and law regarding cybersecurity consistently, including by </w:t>
                  </w:r>
                  <w:r w:rsidRPr="006F001C">
                    <w:rPr>
                      <w:rFonts w:eastAsia="Times New Roman"/>
                      <w:b/>
                      <w:bCs/>
                      <w:noProof/>
                      <w:sz w:val="22"/>
                      <w:lang w:eastAsia="en-IE"/>
                    </w:rPr>
                    <w:t>issuing technical guidance</w:t>
                  </w:r>
                  <w:r>
                    <w:rPr>
                      <w:rFonts w:eastAsia="Times New Roman"/>
                      <w:b/>
                      <w:bCs/>
                      <w:noProof/>
                      <w:sz w:val="22"/>
                      <w:lang w:eastAsia="en-IE"/>
                    </w:rPr>
                    <w:t xml:space="preserve"> and</w:t>
                  </w:r>
                  <w:r w:rsidRPr="006F001C">
                    <w:rPr>
                      <w:rFonts w:eastAsia="Times New Roman"/>
                      <w:b/>
                      <w:bCs/>
                      <w:noProof/>
                      <w:sz w:val="22"/>
                      <w:lang w:eastAsia="en-IE"/>
                    </w:rPr>
                    <w:t xml:space="preserve"> reports,</w:t>
                  </w:r>
                  <w:r>
                    <w:rPr>
                      <w:rFonts w:eastAsia="Times New Roman"/>
                      <w:b/>
                      <w:bCs/>
                      <w:noProof/>
                      <w:sz w:val="22"/>
                      <w:lang w:eastAsia="en-IE"/>
                    </w:rPr>
                    <w:t xml:space="preserve"> by</w:t>
                  </w:r>
                  <w:r w:rsidRPr="006F001C">
                    <w:rPr>
                      <w:rFonts w:eastAsia="Times New Roman"/>
                      <w:b/>
                      <w:bCs/>
                      <w:noProof/>
                      <w:sz w:val="22"/>
                      <w:lang w:eastAsia="en-IE"/>
                    </w:rPr>
                    <w:t xml:space="preserve"> providing advice and </w:t>
                  </w:r>
                  <w:r>
                    <w:rPr>
                      <w:rFonts w:eastAsia="Times New Roman"/>
                      <w:b/>
                      <w:bCs/>
                      <w:noProof/>
                      <w:sz w:val="22"/>
                      <w:lang w:eastAsia="en-IE"/>
                    </w:rPr>
                    <w:t xml:space="preserve">sharing </w:t>
                  </w:r>
                  <w:r w:rsidRPr="006F001C">
                    <w:rPr>
                      <w:rFonts w:eastAsia="Times New Roman"/>
                      <w:b/>
                      <w:bCs/>
                      <w:noProof/>
                      <w:sz w:val="22"/>
                      <w:lang w:eastAsia="en-IE"/>
                    </w:rPr>
                    <w:t xml:space="preserve">best practices, </w:t>
                  </w:r>
                  <w:r>
                    <w:rPr>
                      <w:rFonts w:eastAsia="Times New Roman"/>
                      <w:b/>
                      <w:bCs/>
                      <w:noProof/>
                      <w:sz w:val="22"/>
                      <w:lang w:eastAsia="en-IE"/>
                    </w:rPr>
                    <w:t>and</w:t>
                  </w:r>
                  <w:r w:rsidRPr="006F001C">
                    <w:rPr>
                      <w:rFonts w:eastAsia="Times New Roman"/>
                      <w:b/>
                      <w:bCs/>
                      <w:noProof/>
                      <w:sz w:val="22"/>
                      <w:lang w:eastAsia="en-IE"/>
                    </w:rPr>
                    <w:t xml:space="preserve"> by facilitating the exchange of best practices between competent authorities in th</w:t>
                  </w:r>
                  <w:r>
                    <w:rPr>
                      <w:rFonts w:eastAsia="Times New Roman"/>
                      <w:b/>
                      <w:bCs/>
                      <w:noProof/>
                      <w:sz w:val="22"/>
                      <w:lang w:eastAsia="en-IE"/>
                    </w:rPr>
                    <w:t>is</w:t>
                  </w:r>
                  <w:r w:rsidRPr="006F001C">
                    <w:rPr>
                      <w:rFonts w:eastAsia="Times New Roman"/>
                      <w:b/>
                      <w:bCs/>
                      <w:noProof/>
                      <w:sz w:val="22"/>
                      <w:lang w:eastAsia="en-IE"/>
                    </w:rPr>
                    <w:t xml:space="preserve"> regard</w:t>
                  </w:r>
                  <w:r w:rsidRPr="006F001C">
                    <w:rPr>
                      <w:rFonts w:eastAsia="Times New Roman"/>
                      <w:noProof/>
                      <w:sz w:val="22"/>
                      <w:lang w:eastAsia="en-IE"/>
                    </w:rPr>
                    <w:t>;</w:t>
                  </w:r>
                  <w:r w:rsidRPr="006F001C">
                    <w:rPr>
                      <w:rFonts w:eastAsia="Times New Roman"/>
                      <w:noProof/>
                      <w:sz w:val="22"/>
                      <w:lang w:val="en-IE" w:eastAsia="en-IE"/>
                    </w:rPr>
                    <w:t> </w:t>
                  </w:r>
                </w:p>
              </w:tc>
              <w:tc>
                <w:tcPr>
                  <w:tcW w:w="3015" w:type="dxa"/>
                  <w:tcBorders>
                    <w:top w:val="single" w:sz="6" w:space="0" w:color="auto"/>
                    <w:left w:val="single" w:sz="6" w:space="0" w:color="auto"/>
                    <w:bottom w:val="single" w:sz="6" w:space="0" w:color="auto"/>
                    <w:right w:val="single" w:sz="6" w:space="0" w:color="auto"/>
                  </w:tcBorders>
                  <w:hideMark/>
                </w:tcPr>
                <w:p w14:paraId="56BDC9E9"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 ENISA</w:t>
                  </w:r>
                  <w:r w:rsidRPr="006F001C">
                    <w:rPr>
                      <w:rFonts w:eastAsia="Times New Roman"/>
                      <w:noProof/>
                      <w:sz w:val="22"/>
                      <w:lang w:val="en-IE" w:eastAsia="en-IE"/>
                    </w:rPr>
                    <w:t> </w:t>
                  </w:r>
                </w:p>
                <w:p w14:paraId="49F7CA15"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 Member States </w:t>
                  </w:r>
                  <w:r w:rsidRPr="006F001C">
                    <w:rPr>
                      <w:rFonts w:eastAsia="Times New Roman"/>
                      <w:noProof/>
                      <w:sz w:val="22"/>
                      <w:lang w:val="en-IE" w:eastAsia="en-IE"/>
                    </w:rPr>
                    <w:t> </w:t>
                  </w:r>
                </w:p>
              </w:tc>
              <w:tc>
                <w:tcPr>
                  <w:tcW w:w="3040" w:type="dxa"/>
                  <w:tcBorders>
                    <w:top w:val="single" w:sz="6" w:space="0" w:color="auto"/>
                    <w:left w:val="single" w:sz="6" w:space="0" w:color="auto"/>
                    <w:bottom w:val="single" w:sz="6" w:space="0" w:color="auto"/>
                    <w:right w:val="single" w:sz="6" w:space="0" w:color="auto"/>
                  </w:tcBorders>
                  <w:hideMark/>
                </w:tcPr>
                <w:p w14:paraId="42106AAF"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 xml:space="preserve">- processing data in order to issue technical guidance, reports, providing advice, and </w:t>
                  </w:r>
                  <w:r>
                    <w:rPr>
                      <w:rFonts w:eastAsia="Times New Roman"/>
                      <w:noProof/>
                      <w:sz w:val="22"/>
                      <w:lang w:eastAsia="en-IE"/>
                    </w:rPr>
                    <w:t xml:space="preserve">sharing </w:t>
                  </w:r>
                  <w:r w:rsidRPr="006F001C">
                    <w:rPr>
                      <w:rFonts w:eastAsia="Times New Roman"/>
                      <w:noProof/>
                      <w:sz w:val="22"/>
                      <w:lang w:eastAsia="en-IE"/>
                    </w:rPr>
                    <w:t>best practices</w:t>
                  </w:r>
                  <w:r>
                    <w:rPr>
                      <w:rFonts w:eastAsia="Times New Roman"/>
                      <w:noProof/>
                      <w:sz w:val="22"/>
                      <w:lang w:eastAsia="en-IE"/>
                    </w:rPr>
                    <w:t xml:space="preserve"> and </w:t>
                  </w:r>
                  <w:r w:rsidRPr="006F001C">
                    <w:rPr>
                      <w:rFonts w:eastAsia="Times New Roman"/>
                      <w:noProof/>
                      <w:sz w:val="22"/>
                      <w:lang w:eastAsia="en-IE"/>
                    </w:rPr>
                    <w:t>by facilitating the exchange of best practices between competent authorities</w:t>
                  </w:r>
                  <w:r w:rsidRPr="006F001C">
                    <w:rPr>
                      <w:rFonts w:eastAsia="Times New Roman"/>
                      <w:noProof/>
                      <w:sz w:val="22"/>
                      <w:lang w:val="en-IE" w:eastAsia="en-IE"/>
                    </w:rPr>
                    <w:t> </w:t>
                  </w:r>
                </w:p>
                <w:p w14:paraId="0AD99A5D"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 facilitating exchange of best practices </w:t>
                  </w:r>
                  <w:r w:rsidRPr="006F001C">
                    <w:rPr>
                      <w:rFonts w:eastAsia="Times New Roman"/>
                      <w:noProof/>
                      <w:sz w:val="22"/>
                      <w:lang w:val="en-IE" w:eastAsia="en-IE"/>
                    </w:rPr>
                    <w:t> </w:t>
                  </w:r>
                </w:p>
              </w:tc>
              <w:tc>
                <w:tcPr>
                  <w:tcW w:w="1281" w:type="dxa"/>
                  <w:tcBorders>
                    <w:top w:val="single" w:sz="6" w:space="0" w:color="auto"/>
                    <w:left w:val="single" w:sz="6" w:space="0" w:color="auto"/>
                    <w:bottom w:val="single" w:sz="6" w:space="0" w:color="auto"/>
                    <w:right w:val="single" w:sz="6" w:space="0" w:color="auto"/>
                  </w:tcBorders>
                  <w:hideMark/>
                </w:tcPr>
                <w:p w14:paraId="59038CA5"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processing </w:t>
                  </w:r>
                  <w:r w:rsidRPr="006F001C">
                    <w:rPr>
                      <w:rFonts w:eastAsia="Times New Roman"/>
                      <w:noProof/>
                      <w:sz w:val="22"/>
                      <w:lang w:val="en-IE" w:eastAsia="en-IE"/>
                    </w:rPr>
                    <w:t> </w:t>
                  </w:r>
                </w:p>
                <w:p w14:paraId="78376BE2"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flow</w:t>
                  </w:r>
                  <w:r w:rsidRPr="006F001C">
                    <w:rPr>
                      <w:rFonts w:eastAsia="Times New Roman"/>
                      <w:noProof/>
                      <w:sz w:val="22"/>
                      <w:lang w:val="en-IE" w:eastAsia="en-IE"/>
                    </w:rPr>
                    <w:t> </w:t>
                  </w:r>
                </w:p>
              </w:tc>
            </w:tr>
            <w:tr w:rsidR="007A5304" w:rsidRPr="006F001C" w14:paraId="615E0B00" w14:textId="77777777">
              <w:trPr>
                <w:trHeight w:val="2745"/>
              </w:trPr>
              <w:tc>
                <w:tcPr>
                  <w:tcW w:w="2887" w:type="dxa"/>
                  <w:tcBorders>
                    <w:top w:val="single" w:sz="6" w:space="0" w:color="auto"/>
                    <w:left w:val="single" w:sz="6" w:space="0" w:color="auto"/>
                    <w:bottom w:val="single" w:sz="6" w:space="0" w:color="auto"/>
                    <w:right w:val="single" w:sz="6" w:space="0" w:color="auto"/>
                  </w:tcBorders>
                  <w:hideMark/>
                </w:tcPr>
                <w:p w14:paraId="0ECC76BE"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Article 5(1)(b)</w:t>
                  </w:r>
                  <w:r w:rsidRPr="006F001C">
                    <w:rPr>
                      <w:rFonts w:eastAsia="Times New Roman"/>
                      <w:noProof/>
                      <w:sz w:val="22"/>
                      <w:lang w:val="en-IE" w:eastAsia="en-IE"/>
                    </w:rPr>
                    <w:t> </w:t>
                  </w:r>
                </w:p>
                <w:p w14:paraId="54F41FB4"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Support for implementation of EU law</w:t>
                  </w:r>
                  <w:r w:rsidRPr="006F001C">
                    <w:rPr>
                      <w:rFonts w:eastAsia="Times New Roman"/>
                      <w:noProof/>
                      <w:sz w:val="22"/>
                      <w:lang w:val="en-IE" w:eastAsia="en-IE"/>
                    </w:rPr>
                    <w:t> </w:t>
                  </w:r>
                </w:p>
              </w:tc>
              <w:tc>
                <w:tcPr>
                  <w:tcW w:w="4332" w:type="dxa"/>
                  <w:tcBorders>
                    <w:top w:val="single" w:sz="6" w:space="0" w:color="auto"/>
                    <w:left w:val="single" w:sz="6" w:space="0" w:color="auto"/>
                    <w:bottom w:val="single" w:sz="6" w:space="0" w:color="auto"/>
                    <w:right w:val="single" w:sz="6" w:space="0" w:color="auto"/>
                  </w:tcBorders>
                  <w:hideMark/>
                </w:tcPr>
                <w:p w14:paraId="34712913"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(b)</w:t>
                  </w:r>
                  <w:r w:rsidRPr="006F001C">
                    <w:rPr>
                      <w:rFonts w:ascii="Calibri" w:eastAsia="Times New Roman" w:hAnsi="Calibri" w:cs="Calibri"/>
                      <w:noProof/>
                      <w:sz w:val="22"/>
                      <w:lang w:val="en-IE" w:eastAsia="en-IE"/>
                    </w:rPr>
                    <w:tab/>
                  </w:r>
                  <w:r w:rsidRPr="006F001C">
                    <w:rPr>
                      <w:rFonts w:eastAsia="Times New Roman"/>
                      <w:noProof/>
                      <w:sz w:val="22"/>
                      <w:lang w:eastAsia="en-IE"/>
                    </w:rPr>
                    <w:t>supporting </w:t>
                  </w:r>
                  <w:r w:rsidRPr="006F001C">
                    <w:rPr>
                      <w:rFonts w:eastAsia="Times New Roman"/>
                      <w:b/>
                      <w:bCs/>
                      <w:noProof/>
                      <w:sz w:val="22"/>
                      <w:lang w:eastAsia="en-IE"/>
                    </w:rPr>
                    <w:t xml:space="preserve">information sharing </w:t>
                  </w:r>
                  <w:r>
                    <w:rPr>
                      <w:rFonts w:eastAsia="Times New Roman"/>
                      <w:b/>
                      <w:bCs/>
                      <w:noProof/>
                      <w:sz w:val="22"/>
                      <w:lang w:eastAsia="en-IE"/>
                    </w:rPr>
                    <w:t>with</w:t>
                  </w:r>
                  <w:r w:rsidRPr="006F001C">
                    <w:rPr>
                      <w:rFonts w:eastAsia="Times New Roman"/>
                      <w:b/>
                      <w:bCs/>
                      <w:noProof/>
                      <w:sz w:val="22"/>
                      <w:lang w:eastAsia="en-IE"/>
                    </w:rPr>
                    <w:t>in and between sectors, in particular regarding the sectors listed in Annexes I and II to Directive (EU) 2022/2555</w:t>
                  </w:r>
                  <w:r w:rsidRPr="006F001C">
                    <w:rPr>
                      <w:rFonts w:eastAsia="Times New Roman"/>
                      <w:noProof/>
                      <w:sz w:val="22"/>
                      <w:lang w:eastAsia="en-IE"/>
                    </w:rPr>
                    <w:t>, and products with digital elements falling within the scope of Regulation (EU) 2024/2847, </w:t>
                  </w:r>
                  <w:r w:rsidRPr="006F001C">
                    <w:rPr>
                      <w:rFonts w:eastAsia="Times New Roman"/>
                      <w:b/>
                      <w:bCs/>
                      <w:noProof/>
                      <w:sz w:val="22"/>
                      <w:lang w:eastAsia="en-IE"/>
                    </w:rPr>
                    <w:t>by providing best practices and guidance on available tools and procedures</w:t>
                  </w:r>
                  <w:r w:rsidRPr="006F001C">
                    <w:rPr>
                      <w:rFonts w:eastAsia="Times New Roman"/>
                      <w:noProof/>
                      <w:sz w:val="22"/>
                      <w:lang w:val="en-IE" w:eastAsia="en-IE"/>
                    </w:rPr>
                    <w:t> </w:t>
                  </w:r>
                </w:p>
              </w:tc>
              <w:tc>
                <w:tcPr>
                  <w:tcW w:w="3015" w:type="dxa"/>
                  <w:tcBorders>
                    <w:top w:val="single" w:sz="6" w:space="0" w:color="auto"/>
                    <w:left w:val="single" w:sz="6" w:space="0" w:color="auto"/>
                    <w:bottom w:val="single" w:sz="6" w:space="0" w:color="auto"/>
                    <w:right w:val="single" w:sz="6" w:space="0" w:color="auto"/>
                  </w:tcBorders>
                  <w:hideMark/>
                </w:tcPr>
                <w:p w14:paraId="7441969D"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 ENISA</w:t>
                  </w:r>
                  <w:r w:rsidRPr="006F001C">
                    <w:rPr>
                      <w:rFonts w:eastAsia="Times New Roman"/>
                      <w:noProof/>
                      <w:sz w:val="22"/>
                      <w:lang w:val="en-IE" w:eastAsia="en-IE"/>
                    </w:rPr>
                    <w:t> </w:t>
                  </w:r>
                </w:p>
                <w:p w14:paraId="133C07A3"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 sectors listed in Annexes I and II to Directive (EU) 2022/2555</w:t>
                  </w:r>
                  <w:r w:rsidRPr="006F001C">
                    <w:rPr>
                      <w:rFonts w:eastAsia="Times New Roman"/>
                      <w:noProof/>
                      <w:sz w:val="22"/>
                      <w:lang w:val="en-IE" w:eastAsia="en-IE"/>
                    </w:rPr>
                    <w:t> </w:t>
                  </w:r>
                </w:p>
                <w:p w14:paraId="00FDC2C6"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 stakeholders impacted by Regulation (EU) 2024/2847</w:t>
                  </w:r>
                  <w:r w:rsidRPr="006F001C">
                    <w:rPr>
                      <w:rFonts w:eastAsia="Times New Roman"/>
                      <w:noProof/>
                      <w:sz w:val="22"/>
                      <w:lang w:val="en-IE" w:eastAsia="en-IE"/>
                    </w:rPr>
                    <w:t> </w:t>
                  </w:r>
                </w:p>
              </w:tc>
              <w:tc>
                <w:tcPr>
                  <w:tcW w:w="3040" w:type="dxa"/>
                  <w:tcBorders>
                    <w:top w:val="single" w:sz="6" w:space="0" w:color="auto"/>
                    <w:left w:val="single" w:sz="6" w:space="0" w:color="auto"/>
                    <w:bottom w:val="single" w:sz="6" w:space="0" w:color="auto"/>
                    <w:right w:val="single" w:sz="6" w:space="0" w:color="auto"/>
                  </w:tcBorders>
                  <w:hideMark/>
                </w:tcPr>
                <w:p w14:paraId="2225CF24"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providing best practices and guidance on available tools and procedures on information sharing </w:t>
                  </w:r>
                  <w:r w:rsidRPr="006F001C">
                    <w:rPr>
                      <w:rFonts w:eastAsia="Times New Roman"/>
                      <w:noProof/>
                      <w:sz w:val="22"/>
                      <w:lang w:val="en-IE" w:eastAsia="en-IE"/>
                    </w:rPr>
                    <w:t> </w:t>
                  </w:r>
                </w:p>
              </w:tc>
              <w:tc>
                <w:tcPr>
                  <w:tcW w:w="1281" w:type="dxa"/>
                  <w:tcBorders>
                    <w:top w:val="single" w:sz="6" w:space="0" w:color="auto"/>
                    <w:left w:val="single" w:sz="6" w:space="0" w:color="auto"/>
                    <w:bottom w:val="single" w:sz="6" w:space="0" w:color="auto"/>
                    <w:right w:val="single" w:sz="6" w:space="0" w:color="auto"/>
                  </w:tcBorders>
                  <w:hideMark/>
                </w:tcPr>
                <w:p w14:paraId="1F886E2D"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processing </w:t>
                  </w:r>
                  <w:r w:rsidRPr="006F001C">
                    <w:rPr>
                      <w:rFonts w:eastAsia="Times New Roman"/>
                      <w:noProof/>
                      <w:sz w:val="22"/>
                      <w:lang w:val="en-IE" w:eastAsia="en-IE"/>
                    </w:rPr>
                    <w:t> </w:t>
                  </w:r>
                </w:p>
                <w:p w14:paraId="4FF76803"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flow</w:t>
                  </w:r>
                  <w:r w:rsidRPr="006F001C">
                    <w:rPr>
                      <w:rFonts w:eastAsia="Times New Roman"/>
                      <w:noProof/>
                      <w:sz w:val="22"/>
                      <w:lang w:val="en-IE" w:eastAsia="en-IE"/>
                    </w:rPr>
                    <w:t> </w:t>
                  </w:r>
                </w:p>
              </w:tc>
            </w:tr>
            <w:tr w:rsidR="007A5304" w:rsidRPr="006F001C" w14:paraId="77668C74" w14:textId="77777777">
              <w:trPr>
                <w:trHeight w:val="1320"/>
              </w:trPr>
              <w:tc>
                <w:tcPr>
                  <w:tcW w:w="2887" w:type="dxa"/>
                  <w:tcBorders>
                    <w:top w:val="single" w:sz="6" w:space="0" w:color="auto"/>
                    <w:left w:val="single" w:sz="6" w:space="0" w:color="auto"/>
                    <w:bottom w:val="single" w:sz="6" w:space="0" w:color="auto"/>
                    <w:right w:val="single" w:sz="6" w:space="0" w:color="auto"/>
                  </w:tcBorders>
                  <w:hideMark/>
                </w:tcPr>
                <w:p w14:paraId="6FD8E14E"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Article 5(1)(c)</w:t>
                  </w:r>
                  <w:r w:rsidRPr="006F001C">
                    <w:rPr>
                      <w:rFonts w:eastAsia="Times New Roman"/>
                      <w:noProof/>
                      <w:sz w:val="22"/>
                      <w:lang w:val="en-IE" w:eastAsia="en-IE"/>
                    </w:rPr>
                    <w:t> </w:t>
                  </w:r>
                </w:p>
                <w:p w14:paraId="6E485329"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Support for implementation of EU law</w:t>
                  </w:r>
                  <w:r w:rsidRPr="006F001C">
                    <w:rPr>
                      <w:rFonts w:eastAsia="Times New Roman"/>
                      <w:noProof/>
                      <w:sz w:val="22"/>
                      <w:lang w:val="en-IE" w:eastAsia="en-IE"/>
                    </w:rPr>
                    <w:t> </w:t>
                  </w:r>
                </w:p>
              </w:tc>
              <w:tc>
                <w:tcPr>
                  <w:tcW w:w="4332" w:type="dxa"/>
                  <w:tcBorders>
                    <w:top w:val="single" w:sz="6" w:space="0" w:color="auto"/>
                    <w:left w:val="single" w:sz="6" w:space="0" w:color="auto"/>
                    <w:bottom w:val="single" w:sz="6" w:space="0" w:color="auto"/>
                    <w:right w:val="single" w:sz="6" w:space="0" w:color="auto"/>
                  </w:tcBorders>
                  <w:hideMark/>
                </w:tcPr>
                <w:p w14:paraId="67AB4666"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(c)</w:t>
                  </w:r>
                  <w:r w:rsidRPr="006F001C">
                    <w:rPr>
                      <w:rFonts w:ascii="Calibri" w:eastAsia="Times New Roman" w:hAnsi="Calibri" w:cs="Calibri"/>
                      <w:noProof/>
                      <w:sz w:val="22"/>
                      <w:lang w:val="en-IE" w:eastAsia="en-IE"/>
                    </w:rPr>
                    <w:tab/>
                  </w:r>
                  <w:r w:rsidRPr="006F001C">
                    <w:rPr>
                      <w:rFonts w:eastAsia="Times New Roman"/>
                      <w:noProof/>
                      <w:sz w:val="22"/>
                      <w:lang w:eastAsia="en-IE"/>
                    </w:rPr>
                    <w:t>at the request of the Commission, assisting Member States by providing support, such as </w:t>
                  </w:r>
                  <w:r w:rsidRPr="006F001C">
                    <w:rPr>
                      <w:rFonts w:eastAsia="Times New Roman"/>
                      <w:b/>
                      <w:bCs/>
                      <w:noProof/>
                      <w:sz w:val="22"/>
                      <w:lang w:eastAsia="en-IE"/>
                    </w:rPr>
                    <w:t>technical guidance, including on cybersecurity risk management measures, tools for cybersecurity maturity assessment, and incident response playbooks</w:t>
                  </w:r>
                  <w:r w:rsidRPr="006F001C">
                    <w:rPr>
                      <w:rFonts w:eastAsia="Times New Roman"/>
                      <w:noProof/>
                      <w:sz w:val="22"/>
                      <w:lang w:eastAsia="en-IE"/>
                    </w:rPr>
                    <w:t>, tailored to the sectors listed in Annexes I and II to Directive (EU) 2022/2555, with a view to facilitating the improvement of their cybersecurity maturity level and compliance with Union law regarding cybersecurity;</w:t>
                  </w:r>
                  <w:r w:rsidRPr="006F001C">
                    <w:rPr>
                      <w:rFonts w:eastAsia="Times New Roman"/>
                      <w:noProof/>
                      <w:sz w:val="22"/>
                      <w:lang w:val="en-IE" w:eastAsia="en-IE"/>
                    </w:rPr>
                    <w:t> </w:t>
                  </w:r>
                </w:p>
              </w:tc>
              <w:tc>
                <w:tcPr>
                  <w:tcW w:w="3015" w:type="dxa"/>
                  <w:tcBorders>
                    <w:top w:val="single" w:sz="6" w:space="0" w:color="auto"/>
                    <w:left w:val="single" w:sz="6" w:space="0" w:color="auto"/>
                    <w:bottom w:val="single" w:sz="6" w:space="0" w:color="auto"/>
                    <w:right w:val="single" w:sz="6" w:space="0" w:color="auto"/>
                  </w:tcBorders>
                  <w:hideMark/>
                </w:tcPr>
                <w:p w14:paraId="30B8B6A9"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 EU Commission  </w:t>
                  </w:r>
                  <w:r w:rsidRPr="006F001C">
                    <w:rPr>
                      <w:rFonts w:eastAsia="Times New Roman"/>
                      <w:noProof/>
                      <w:sz w:val="22"/>
                      <w:lang w:val="en-IE" w:eastAsia="en-IE"/>
                    </w:rPr>
                    <w:t> </w:t>
                  </w:r>
                </w:p>
                <w:p w14:paraId="394431AF"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 ENISA</w:t>
                  </w:r>
                  <w:r w:rsidRPr="006F001C">
                    <w:rPr>
                      <w:rFonts w:eastAsia="Times New Roman"/>
                      <w:noProof/>
                      <w:sz w:val="22"/>
                      <w:lang w:val="en-IE" w:eastAsia="en-IE"/>
                    </w:rPr>
                    <w:t> </w:t>
                  </w:r>
                </w:p>
                <w:p w14:paraId="0832DA93"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 sectors listed in Annexes I and II to Directive (EU) 2022/2555</w:t>
                  </w:r>
                  <w:r w:rsidRPr="006F001C">
                    <w:rPr>
                      <w:rFonts w:eastAsia="Times New Roman"/>
                      <w:noProof/>
                      <w:sz w:val="22"/>
                      <w:lang w:val="en-IE" w:eastAsia="en-IE"/>
                    </w:rPr>
                    <w:t> </w:t>
                  </w:r>
                </w:p>
              </w:tc>
              <w:tc>
                <w:tcPr>
                  <w:tcW w:w="3040" w:type="dxa"/>
                  <w:tcBorders>
                    <w:top w:val="single" w:sz="6" w:space="0" w:color="auto"/>
                    <w:left w:val="single" w:sz="6" w:space="0" w:color="auto"/>
                    <w:bottom w:val="single" w:sz="6" w:space="0" w:color="auto"/>
                    <w:right w:val="single" w:sz="6" w:space="0" w:color="auto"/>
                  </w:tcBorders>
                  <w:hideMark/>
                </w:tcPr>
                <w:p w14:paraId="21F7DE45"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Providing technical guidance </w:t>
                  </w:r>
                  <w:r w:rsidRPr="006F001C">
                    <w:rPr>
                      <w:rFonts w:eastAsia="Times New Roman"/>
                      <w:noProof/>
                      <w:sz w:val="22"/>
                      <w:lang w:val="en-IE" w:eastAsia="en-IE"/>
                    </w:rPr>
                    <w:t> </w:t>
                  </w:r>
                </w:p>
              </w:tc>
              <w:tc>
                <w:tcPr>
                  <w:tcW w:w="1281" w:type="dxa"/>
                  <w:tcBorders>
                    <w:top w:val="single" w:sz="6" w:space="0" w:color="auto"/>
                    <w:left w:val="single" w:sz="6" w:space="0" w:color="auto"/>
                    <w:bottom w:val="single" w:sz="6" w:space="0" w:color="auto"/>
                    <w:right w:val="single" w:sz="6" w:space="0" w:color="auto"/>
                  </w:tcBorders>
                  <w:hideMark/>
                </w:tcPr>
                <w:p w14:paraId="3D16BEA1"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processing </w:t>
                  </w:r>
                  <w:r w:rsidRPr="006F001C">
                    <w:rPr>
                      <w:rFonts w:eastAsia="Times New Roman"/>
                      <w:noProof/>
                      <w:sz w:val="22"/>
                      <w:lang w:val="en-IE" w:eastAsia="en-IE"/>
                    </w:rPr>
                    <w:t> </w:t>
                  </w:r>
                </w:p>
                <w:p w14:paraId="2C9BFDDB"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flow</w:t>
                  </w:r>
                  <w:r w:rsidRPr="006F001C">
                    <w:rPr>
                      <w:rFonts w:eastAsia="Times New Roman"/>
                      <w:noProof/>
                      <w:sz w:val="22"/>
                      <w:lang w:val="en-IE" w:eastAsia="en-IE"/>
                    </w:rPr>
                    <w:t> </w:t>
                  </w:r>
                </w:p>
              </w:tc>
            </w:tr>
            <w:tr w:rsidR="007A5304" w:rsidRPr="006F001C" w14:paraId="7FE02005" w14:textId="77777777">
              <w:trPr>
                <w:trHeight w:val="1320"/>
              </w:trPr>
              <w:tc>
                <w:tcPr>
                  <w:tcW w:w="2887" w:type="dxa"/>
                  <w:tcBorders>
                    <w:top w:val="single" w:sz="6" w:space="0" w:color="auto"/>
                    <w:left w:val="single" w:sz="6" w:space="0" w:color="auto"/>
                    <w:bottom w:val="single" w:sz="6" w:space="0" w:color="auto"/>
                    <w:right w:val="single" w:sz="6" w:space="0" w:color="auto"/>
                  </w:tcBorders>
                  <w:hideMark/>
                </w:tcPr>
                <w:p w14:paraId="34272C70"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Article 5(1)(e)</w:t>
                  </w:r>
                  <w:r w:rsidRPr="006F001C">
                    <w:rPr>
                      <w:rFonts w:eastAsia="Times New Roman"/>
                      <w:noProof/>
                      <w:sz w:val="22"/>
                      <w:lang w:val="en-IE" w:eastAsia="en-IE"/>
                    </w:rPr>
                    <w:t> </w:t>
                  </w:r>
                </w:p>
              </w:tc>
              <w:tc>
                <w:tcPr>
                  <w:tcW w:w="4332" w:type="dxa"/>
                  <w:tcBorders>
                    <w:top w:val="single" w:sz="6" w:space="0" w:color="auto"/>
                    <w:left w:val="single" w:sz="6" w:space="0" w:color="auto"/>
                    <w:bottom w:val="single" w:sz="6" w:space="0" w:color="auto"/>
                    <w:right w:val="single" w:sz="6" w:space="0" w:color="auto"/>
                  </w:tcBorders>
                  <w:hideMark/>
                </w:tcPr>
                <w:p w14:paraId="5DE0868C"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 xml:space="preserve">(e) assisting Member States and </w:t>
                  </w:r>
                  <w:r>
                    <w:rPr>
                      <w:rFonts w:eastAsia="Times New Roman"/>
                      <w:noProof/>
                      <w:sz w:val="22"/>
                      <w:lang w:eastAsia="en-IE"/>
                    </w:rPr>
                    <w:t xml:space="preserve">relevant </w:t>
                  </w:r>
                  <w:r w:rsidRPr="006F001C">
                    <w:rPr>
                      <w:rFonts w:eastAsia="Times New Roman"/>
                      <w:noProof/>
                      <w:sz w:val="22"/>
                      <w:lang w:eastAsia="en-IE"/>
                    </w:rPr>
                    <w:t>Union entities in </w:t>
                  </w:r>
                  <w:r w:rsidRPr="006F001C">
                    <w:rPr>
                      <w:rFonts w:eastAsia="Times New Roman"/>
                      <w:b/>
                      <w:bCs/>
                      <w:noProof/>
                      <w:sz w:val="22"/>
                      <w:lang w:eastAsia="en-IE"/>
                    </w:rPr>
                    <w:t>developing and promoting cybersecurity policies</w:t>
                  </w:r>
                  <w:r w:rsidRPr="006F001C">
                    <w:rPr>
                      <w:rFonts w:eastAsia="Times New Roman"/>
                      <w:noProof/>
                      <w:sz w:val="22"/>
                      <w:lang w:eastAsia="en-IE"/>
                    </w:rPr>
                    <w:t xml:space="preserve"> related to sustaining the general availability </w:t>
                  </w:r>
                  <w:r>
                    <w:rPr>
                      <w:rFonts w:eastAsia="Times New Roman"/>
                      <w:noProof/>
                      <w:sz w:val="22"/>
                      <w:lang w:eastAsia="en-IE"/>
                    </w:rPr>
                    <w:t>and</w:t>
                  </w:r>
                  <w:r w:rsidRPr="006F001C">
                    <w:rPr>
                      <w:rFonts w:eastAsia="Times New Roman"/>
                      <w:noProof/>
                      <w:sz w:val="22"/>
                      <w:lang w:eastAsia="en-IE"/>
                    </w:rPr>
                    <w:t xml:space="preserve"> integrity of the public core of the open internet;</w:t>
                  </w:r>
                  <w:r w:rsidRPr="006F001C">
                    <w:rPr>
                      <w:rFonts w:eastAsia="Times New Roman"/>
                      <w:noProof/>
                      <w:sz w:val="22"/>
                      <w:lang w:val="en-IE" w:eastAsia="en-IE"/>
                    </w:rPr>
                    <w:t> </w:t>
                  </w:r>
                </w:p>
                <w:p w14:paraId="09969C1A"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val="en-IE" w:eastAsia="en-IE"/>
                    </w:rPr>
                    <w:t> </w:t>
                  </w:r>
                </w:p>
              </w:tc>
              <w:tc>
                <w:tcPr>
                  <w:tcW w:w="3015" w:type="dxa"/>
                  <w:tcBorders>
                    <w:top w:val="single" w:sz="6" w:space="0" w:color="auto"/>
                    <w:left w:val="single" w:sz="6" w:space="0" w:color="auto"/>
                    <w:bottom w:val="single" w:sz="6" w:space="0" w:color="auto"/>
                    <w:right w:val="single" w:sz="6" w:space="0" w:color="auto"/>
                  </w:tcBorders>
                  <w:hideMark/>
                </w:tcPr>
                <w:p w14:paraId="71EF52DB" w14:textId="77777777" w:rsidR="007A5304" w:rsidRPr="006F001C" w:rsidRDefault="007A5304">
                  <w:pPr>
                    <w:spacing w:before="0" w:after="0"/>
                    <w:jc w:val="left"/>
                    <w:textAlignment w:val="baseline"/>
                    <w:rPr>
                      <w:rFonts w:ascii="Segoe UI" w:eastAsia="Times New Roman" w:hAnsi="Segoe UI" w:cs="Segoe UI"/>
                      <w:noProof/>
                      <w:sz w:val="18"/>
                      <w:szCs w:val="18"/>
                      <w:lang w:val="fr-FR" w:eastAsia="en-IE"/>
                    </w:rPr>
                  </w:pPr>
                  <w:r w:rsidRPr="006F001C">
                    <w:rPr>
                      <w:rFonts w:eastAsia="Times New Roman"/>
                      <w:noProof/>
                      <w:sz w:val="22"/>
                      <w:lang w:val="fr-BE" w:eastAsia="en-IE"/>
                    </w:rPr>
                    <w:t>ENISA</w:t>
                  </w:r>
                  <w:r w:rsidRPr="006F001C">
                    <w:rPr>
                      <w:rFonts w:eastAsia="Times New Roman"/>
                      <w:noProof/>
                      <w:sz w:val="22"/>
                      <w:lang w:val="fr-FR" w:eastAsia="en-IE"/>
                    </w:rPr>
                    <w:t> </w:t>
                  </w:r>
                </w:p>
                <w:p w14:paraId="054A8B5B" w14:textId="77777777" w:rsidR="007A5304" w:rsidRPr="006F001C" w:rsidRDefault="007A5304">
                  <w:pPr>
                    <w:spacing w:before="0" w:after="0"/>
                    <w:jc w:val="left"/>
                    <w:textAlignment w:val="baseline"/>
                    <w:rPr>
                      <w:rFonts w:ascii="Segoe UI" w:eastAsia="Times New Roman" w:hAnsi="Segoe UI" w:cs="Segoe UI"/>
                      <w:noProof/>
                      <w:sz w:val="18"/>
                      <w:szCs w:val="18"/>
                      <w:lang w:val="fr-FR" w:eastAsia="en-IE"/>
                    </w:rPr>
                  </w:pPr>
                  <w:r w:rsidRPr="006F001C">
                    <w:rPr>
                      <w:rFonts w:eastAsia="Times New Roman"/>
                      <w:noProof/>
                      <w:sz w:val="22"/>
                      <w:lang w:val="fr-BE" w:eastAsia="en-IE"/>
                    </w:rPr>
                    <w:t>Member States</w:t>
                  </w:r>
                  <w:r w:rsidRPr="006F001C">
                    <w:rPr>
                      <w:rFonts w:eastAsia="Times New Roman"/>
                      <w:noProof/>
                      <w:sz w:val="22"/>
                      <w:lang w:val="fr-FR" w:eastAsia="en-IE"/>
                    </w:rPr>
                    <w:t> </w:t>
                  </w:r>
                </w:p>
                <w:p w14:paraId="17D0D5D6" w14:textId="77777777" w:rsidR="007A5304" w:rsidRPr="006F001C" w:rsidRDefault="007A5304">
                  <w:pPr>
                    <w:spacing w:before="0" w:after="0"/>
                    <w:jc w:val="left"/>
                    <w:textAlignment w:val="baseline"/>
                    <w:rPr>
                      <w:rFonts w:ascii="Segoe UI" w:eastAsia="Times New Roman" w:hAnsi="Segoe UI" w:cs="Segoe UI"/>
                      <w:noProof/>
                      <w:sz w:val="18"/>
                      <w:szCs w:val="18"/>
                      <w:lang w:val="fr-FR" w:eastAsia="en-IE"/>
                    </w:rPr>
                  </w:pPr>
                  <w:r w:rsidRPr="006F001C">
                    <w:rPr>
                      <w:rFonts w:eastAsia="Times New Roman"/>
                      <w:noProof/>
                      <w:sz w:val="22"/>
                      <w:lang w:val="fr-BE" w:eastAsia="en-IE"/>
                    </w:rPr>
                    <w:t>EU entities </w:t>
                  </w:r>
                  <w:r w:rsidRPr="006F001C">
                    <w:rPr>
                      <w:rFonts w:eastAsia="Times New Roman"/>
                      <w:noProof/>
                      <w:sz w:val="22"/>
                      <w:lang w:val="fr-FR" w:eastAsia="en-IE"/>
                    </w:rPr>
                    <w:t> </w:t>
                  </w:r>
                </w:p>
              </w:tc>
              <w:tc>
                <w:tcPr>
                  <w:tcW w:w="3040" w:type="dxa"/>
                  <w:tcBorders>
                    <w:top w:val="single" w:sz="6" w:space="0" w:color="auto"/>
                    <w:left w:val="single" w:sz="6" w:space="0" w:color="auto"/>
                    <w:bottom w:val="single" w:sz="6" w:space="0" w:color="auto"/>
                    <w:right w:val="single" w:sz="6" w:space="0" w:color="auto"/>
                  </w:tcBorders>
                  <w:hideMark/>
                </w:tcPr>
                <w:p w14:paraId="41A839ED"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Assisting in developing and promoting cybersecurity policies </w:t>
                  </w:r>
                  <w:r w:rsidRPr="006F001C">
                    <w:rPr>
                      <w:rFonts w:eastAsia="Times New Roman"/>
                      <w:noProof/>
                      <w:sz w:val="22"/>
                      <w:lang w:val="en-IE" w:eastAsia="en-IE"/>
                    </w:rPr>
                    <w:t> </w:t>
                  </w:r>
                </w:p>
              </w:tc>
              <w:tc>
                <w:tcPr>
                  <w:tcW w:w="1281" w:type="dxa"/>
                  <w:tcBorders>
                    <w:top w:val="single" w:sz="6" w:space="0" w:color="auto"/>
                    <w:left w:val="single" w:sz="6" w:space="0" w:color="auto"/>
                    <w:bottom w:val="single" w:sz="6" w:space="0" w:color="auto"/>
                    <w:right w:val="single" w:sz="6" w:space="0" w:color="auto"/>
                  </w:tcBorders>
                  <w:hideMark/>
                </w:tcPr>
                <w:p w14:paraId="6DC30200"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processing</w:t>
                  </w:r>
                  <w:r w:rsidRPr="006F001C">
                    <w:rPr>
                      <w:rFonts w:eastAsia="Times New Roman"/>
                      <w:noProof/>
                      <w:sz w:val="22"/>
                      <w:lang w:val="en-IE" w:eastAsia="en-IE"/>
                    </w:rPr>
                    <w:t> </w:t>
                  </w:r>
                </w:p>
                <w:p w14:paraId="6D30B016"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flow</w:t>
                  </w:r>
                  <w:r w:rsidRPr="006F001C">
                    <w:rPr>
                      <w:rFonts w:eastAsia="Times New Roman"/>
                      <w:noProof/>
                      <w:sz w:val="22"/>
                      <w:lang w:val="en-IE" w:eastAsia="en-IE"/>
                    </w:rPr>
                    <w:t> </w:t>
                  </w:r>
                </w:p>
              </w:tc>
            </w:tr>
            <w:tr w:rsidR="007A5304" w:rsidRPr="006F001C" w14:paraId="5897B771" w14:textId="77777777">
              <w:trPr>
                <w:trHeight w:val="615"/>
              </w:trPr>
              <w:tc>
                <w:tcPr>
                  <w:tcW w:w="2887" w:type="dxa"/>
                  <w:tcBorders>
                    <w:top w:val="single" w:sz="6" w:space="0" w:color="auto"/>
                    <w:left w:val="single" w:sz="6" w:space="0" w:color="auto"/>
                    <w:bottom w:val="single" w:sz="6" w:space="0" w:color="auto"/>
                    <w:right w:val="single" w:sz="6" w:space="0" w:color="auto"/>
                  </w:tcBorders>
                  <w:hideMark/>
                </w:tcPr>
                <w:p w14:paraId="54394C89"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Article 5(1)(f)</w:t>
                  </w:r>
                  <w:r w:rsidRPr="006F001C">
                    <w:rPr>
                      <w:rFonts w:eastAsia="Times New Roman"/>
                      <w:noProof/>
                      <w:sz w:val="22"/>
                      <w:lang w:val="en-IE" w:eastAsia="en-IE"/>
                    </w:rPr>
                    <w:t> </w:t>
                  </w:r>
                </w:p>
                <w:p w14:paraId="353A1330"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Support for implementation of EU law</w:t>
                  </w:r>
                  <w:r w:rsidRPr="006F001C">
                    <w:rPr>
                      <w:rFonts w:eastAsia="Times New Roman"/>
                      <w:noProof/>
                      <w:sz w:val="22"/>
                      <w:lang w:val="en-IE" w:eastAsia="en-IE"/>
                    </w:rPr>
                    <w:t> </w:t>
                  </w:r>
                </w:p>
              </w:tc>
              <w:tc>
                <w:tcPr>
                  <w:tcW w:w="4332" w:type="dxa"/>
                  <w:tcBorders>
                    <w:top w:val="single" w:sz="6" w:space="0" w:color="auto"/>
                    <w:left w:val="single" w:sz="6" w:space="0" w:color="auto"/>
                    <w:bottom w:val="single" w:sz="6" w:space="0" w:color="auto"/>
                    <w:right w:val="single" w:sz="6" w:space="0" w:color="auto"/>
                  </w:tcBorders>
                  <w:hideMark/>
                </w:tcPr>
                <w:p w14:paraId="0FFEF61A"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(f)</w:t>
                  </w:r>
                  <w:r w:rsidRPr="006F001C">
                    <w:rPr>
                      <w:rFonts w:ascii="Calibri" w:eastAsia="Times New Roman" w:hAnsi="Calibri" w:cs="Calibri"/>
                      <w:noProof/>
                      <w:sz w:val="22"/>
                      <w:lang w:val="en-IE" w:eastAsia="en-IE"/>
                    </w:rPr>
                    <w:tab/>
                  </w:r>
                  <w:r w:rsidRPr="006F001C">
                    <w:rPr>
                      <w:rFonts w:eastAsia="Times New Roman"/>
                      <w:noProof/>
                      <w:sz w:val="22"/>
                      <w:lang w:eastAsia="en-IE"/>
                    </w:rPr>
                    <w:t>in accordance with Regulation (EU) 2024/2847, </w:t>
                  </w:r>
                  <w:r w:rsidRPr="006F001C">
                    <w:rPr>
                      <w:rFonts w:eastAsia="Times New Roman"/>
                      <w:b/>
                      <w:bCs/>
                      <w:noProof/>
                      <w:sz w:val="22"/>
                      <w:lang w:eastAsia="en-IE"/>
                    </w:rPr>
                    <w:t>provid</w:t>
                  </w:r>
                  <w:r>
                    <w:rPr>
                      <w:rFonts w:eastAsia="Times New Roman"/>
                      <w:b/>
                      <w:bCs/>
                      <w:noProof/>
                      <w:sz w:val="22"/>
                      <w:lang w:eastAsia="en-IE"/>
                    </w:rPr>
                    <w:t>ing</w:t>
                  </w:r>
                  <w:r w:rsidRPr="006F001C">
                    <w:rPr>
                      <w:rFonts w:eastAsia="Times New Roman"/>
                      <w:b/>
                      <w:bCs/>
                      <w:noProof/>
                      <w:sz w:val="22"/>
                      <w:lang w:eastAsia="en-IE"/>
                    </w:rPr>
                    <w:t xml:space="preserve"> technical advice and support </w:t>
                  </w:r>
                  <w:r w:rsidRPr="006F001C">
                    <w:rPr>
                      <w:rFonts w:eastAsia="Times New Roman"/>
                      <w:noProof/>
                      <w:sz w:val="22"/>
                      <w:lang w:eastAsia="en-IE"/>
                    </w:rPr>
                    <w:t xml:space="preserve">on matters related to the implementation and enforcement of </w:t>
                  </w:r>
                  <w:r>
                    <w:rPr>
                      <w:rFonts w:eastAsia="Times New Roman"/>
                      <w:noProof/>
                      <w:sz w:val="22"/>
                      <w:lang w:eastAsia="en-IE"/>
                    </w:rPr>
                    <w:t xml:space="preserve">that </w:t>
                  </w:r>
                  <w:r w:rsidRPr="006F001C">
                    <w:rPr>
                      <w:rFonts w:eastAsia="Times New Roman"/>
                      <w:noProof/>
                      <w:sz w:val="22"/>
                      <w:lang w:eastAsia="en-IE"/>
                    </w:rPr>
                    <w:t>Regulation</w:t>
                  </w:r>
                  <w:r w:rsidRPr="006F001C">
                    <w:rPr>
                      <w:rFonts w:eastAsia="Times New Roman"/>
                      <w:noProof/>
                      <w:sz w:val="22"/>
                      <w:lang w:val="en-IE" w:eastAsia="en-IE"/>
                    </w:rPr>
                    <w:t> </w:t>
                  </w:r>
                </w:p>
              </w:tc>
              <w:tc>
                <w:tcPr>
                  <w:tcW w:w="3015" w:type="dxa"/>
                  <w:tcBorders>
                    <w:top w:val="single" w:sz="6" w:space="0" w:color="auto"/>
                    <w:left w:val="single" w:sz="6" w:space="0" w:color="auto"/>
                    <w:bottom w:val="single" w:sz="6" w:space="0" w:color="auto"/>
                    <w:right w:val="single" w:sz="6" w:space="0" w:color="auto"/>
                  </w:tcBorders>
                  <w:hideMark/>
                </w:tcPr>
                <w:p w14:paraId="4333F8DF"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-ENISA</w:t>
                  </w:r>
                  <w:r w:rsidRPr="006F001C">
                    <w:rPr>
                      <w:rFonts w:eastAsia="Times New Roman"/>
                      <w:noProof/>
                      <w:sz w:val="22"/>
                      <w:lang w:val="en-IE" w:eastAsia="en-IE"/>
                    </w:rPr>
                    <w:t> </w:t>
                  </w:r>
                </w:p>
                <w:p w14:paraId="3BDF4A0B"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 stakeholders impacted by Regulation (EU) 2024/2847</w:t>
                  </w:r>
                  <w:r w:rsidRPr="006F001C">
                    <w:rPr>
                      <w:rFonts w:eastAsia="Times New Roman"/>
                      <w:noProof/>
                      <w:sz w:val="22"/>
                      <w:lang w:val="en-IE" w:eastAsia="en-IE"/>
                    </w:rPr>
                    <w:t> </w:t>
                  </w:r>
                </w:p>
              </w:tc>
              <w:tc>
                <w:tcPr>
                  <w:tcW w:w="3040" w:type="dxa"/>
                  <w:tcBorders>
                    <w:top w:val="single" w:sz="6" w:space="0" w:color="auto"/>
                    <w:left w:val="single" w:sz="6" w:space="0" w:color="auto"/>
                    <w:bottom w:val="single" w:sz="6" w:space="0" w:color="auto"/>
                    <w:right w:val="single" w:sz="6" w:space="0" w:color="auto"/>
                  </w:tcBorders>
                  <w:hideMark/>
                </w:tcPr>
                <w:p w14:paraId="00286955"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Providing technical advice and support requires processing and sharing information about regulatory requirements, implementation challenges, and compliance guidance.</w:t>
                  </w:r>
                  <w:r w:rsidRPr="006F001C">
                    <w:rPr>
                      <w:rFonts w:eastAsia="Times New Roman"/>
                      <w:noProof/>
                      <w:sz w:val="22"/>
                      <w:lang w:val="en-IE" w:eastAsia="en-IE"/>
                    </w:rPr>
                    <w:t> </w:t>
                  </w:r>
                </w:p>
              </w:tc>
              <w:tc>
                <w:tcPr>
                  <w:tcW w:w="1281" w:type="dxa"/>
                  <w:tcBorders>
                    <w:top w:val="single" w:sz="6" w:space="0" w:color="auto"/>
                    <w:left w:val="single" w:sz="6" w:space="0" w:color="auto"/>
                    <w:bottom w:val="single" w:sz="6" w:space="0" w:color="auto"/>
                    <w:right w:val="single" w:sz="6" w:space="0" w:color="auto"/>
                  </w:tcBorders>
                  <w:hideMark/>
                </w:tcPr>
                <w:p w14:paraId="295D937C"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processing </w:t>
                  </w:r>
                  <w:r w:rsidRPr="006F001C">
                    <w:rPr>
                      <w:rFonts w:eastAsia="Times New Roman"/>
                      <w:noProof/>
                      <w:sz w:val="22"/>
                      <w:lang w:val="en-IE" w:eastAsia="en-IE"/>
                    </w:rPr>
                    <w:t> </w:t>
                  </w:r>
                </w:p>
                <w:p w14:paraId="05EFB8F8"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flow</w:t>
                  </w:r>
                  <w:r w:rsidRPr="006F001C">
                    <w:rPr>
                      <w:rFonts w:eastAsia="Times New Roman"/>
                      <w:noProof/>
                      <w:sz w:val="22"/>
                      <w:lang w:val="en-IE" w:eastAsia="en-IE"/>
                    </w:rPr>
                    <w:t> </w:t>
                  </w:r>
                </w:p>
              </w:tc>
            </w:tr>
            <w:tr w:rsidR="007A5304" w:rsidRPr="006F001C" w14:paraId="49A3E7D5" w14:textId="77777777">
              <w:trPr>
                <w:trHeight w:val="615"/>
              </w:trPr>
              <w:tc>
                <w:tcPr>
                  <w:tcW w:w="2887" w:type="dxa"/>
                  <w:tcBorders>
                    <w:top w:val="single" w:sz="6" w:space="0" w:color="auto"/>
                    <w:left w:val="single" w:sz="6" w:space="0" w:color="auto"/>
                    <w:bottom w:val="single" w:sz="6" w:space="0" w:color="auto"/>
                    <w:right w:val="single" w:sz="6" w:space="0" w:color="auto"/>
                  </w:tcBorders>
                  <w:hideMark/>
                </w:tcPr>
                <w:p w14:paraId="4F65507A"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Article 5(1)(h)</w:t>
                  </w:r>
                  <w:r w:rsidRPr="006F001C">
                    <w:rPr>
                      <w:rFonts w:eastAsia="Times New Roman"/>
                      <w:noProof/>
                      <w:sz w:val="22"/>
                      <w:lang w:val="en-IE" w:eastAsia="en-IE"/>
                    </w:rPr>
                    <w:t> </w:t>
                  </w:r>
                </w:p>
              </w:tc>
              <w:tc>
                <w:tcPr>
                  <w:tcW w:w="4332" w:type="dxa"/>
                  <w:tcBorders>
                    <w:top w:val="single" w:sz="6" w:space="0" w:color="auto"/>
                    <w:left w:val="single" w:sz="6" w:space="0" w:color="auto"/>
                    <w:bottom w:val="single" w:sz="6" w:space="0" w:color="auto"/>
                    <w:right w:val="single" w:sz="6" w:space="0" w:color="auto"/>
                  </w:tcBorders>
                  <w:hideMark/>
                </w:tcPr>
                <w:p w14:paraId="7CCD3DC5"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 xml:space="preserve">(h) at the request </w:t>
                  </w:r>
                  <w:r>
                    <w:rPr>
                      <w:rFonts w:eastAsia="Times New Roman"/>
                      <w:noProof/>
                      <w:sz w:val="22"/>
                      <w:lang w:eastAsia="en-IE"/>
                    </w:rPr>
                    <w:t>o</w:t>
                  </w:r>
                  <w:r w:rsidRPr="006F001C">
                    <w:rPr>
                      <w:rFonts w:eastAsia="Times New Roman"/>
                      <w:noProof/>
                      <w:sz w:val="22"/>
                      <w:lang w:eastAsia="en-IE"/>
                    </w:rPr>
                    <w:t>f the European Data Protection Board, providing advice on the implementation of specific cybersecurity aspects of Union policy and law related to data protection and privacy.</w:t>
                  </w:r>
                  <w:r w:rsidRPr="006F001C">
                    <w:rPr>
                      <w:rFonts w:eastAsia="Times New Roman"/>
                      <w:noProof/>
                      <w:sz w:val="22"/>
                      <w:lang w:val="en-IE" w:eastAsia="en-IE"/>
                    </w:rPr>
                    <w:t> </w:t>
                  </w:r>
                </w:p>
              </w:tc>
              <w:tc>
                <w:tcPr>
                  <w:tcW w:w="3015" w:type="dxa"/>
                  <w:tcBorders>
                    <w:top w:val="single" w:sz="6" w:space="0" w:color="auto"/>
                    <w:left w:val="single" w:sz="6" w:space="0" w:color="auto"/>
                    <w:bottom w:val="single" w:sz="6" w:space="0" w:color="auto"/>
                    <w:right w:val="single" w:sz="6" w:space="0" w:color="auto"/>
                  </w:tcBorders>
                  <w:hideMark/>
                </w:tcPr>
                <w:p w14:paraId="68C7AC85"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ENISA</w:t>
                  </w:r>
                  <w:r w:rsidRPr="006F001C">
                    <w:rPr>
                      <w:rFonts w:eastAsia="Times New Roman"/>
                      <w:noProof/>
                      <w:sz w:val="22"/>
                      <w:lang w:val="en-IE" w:eastAsia="en-IE"/>
                    </w:rPr>
                    <w:t> </w:t>
                  </w:r>
                </w:p>
                <w:p w14:paraId="4F325131"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EDPB</w:t>
                  </w:r>
                  <w:r w:rsidRPr="006F001C">
                    <w:rPr>
                      <w:rFonts w:eastAsia="Times New Roman"/>
                      <w:noProof/>
                      <w:sz w:val="22"/>
                      <w:lang w:val="en-IE" w:eastAsia="en-IE"/>
                    </w:rPr>
                    <w:t> </w:t>
                  </w:r>
                </w:p>
                <w:p w14:paraId="5861ADB3"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val="en-IE" w:eastAsia="en-IE"/>
                    </w:rPr>
                    <w:t> </w:t>
                  </w:r>
                </w:p>
              </w:tc>
              <w:tc>
                <w:tcPr>
                  <w:tcW w:w="3040" w:type="dxa"/>
                  <w:tcBorders>
                    <w:top w:val="single" w:sz="6" w:space="0" w:color="auto"/>
                    <w:left w:val="single" w:sz="6" w:space="0" w:color="auto"/>
                    <w:bottom w:val="single" w:sz="6" w:space="0" w:color="auto"/>
                    <w:right w:val="single" w:sz="6" w:space="0" w:color="auto"/>
                  </w:tcBorders>
                  <w:hideMark/>
                </w:tcPr>
                <w:p w14:paraId="36519142"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Providing advice at a request</w:t>
                  </w:r>
                  <w:r w:rsidRPr="006F001C">
                    <w:rPr>
                      <w:rFonts w:eastAsia="Times New Roman"/>
                      <w:noProof/>
                      <w:sz w:val="22"/>
                      <w:lang w:val="en-IE" w:eastAsia="en-IE"/>
                    </w:rPr>
                    <w:t> </w:t>
                  </w:r>
                </w:p>
              </w:tc>
              <w:tc>
                <w:tcPr>
                  <w:tcW w:w="1281" w:type="dxa"/>
                  <w:tcBorders>
                    <w:top w:val="single" w:sz="6" w:space="0" w:color="auto"/>
                    <w:left w:val="single" w:sz="6" w:space="0" w:color="auto"/>
                    <w:bottom w:val="single" w:sz="6" w:space="0" w:color="auto"/>
                    <w:right w:val="single" w:sz="6" w:space="0" w:color="auto"/>
                  </w:tcBorders>
                  <w:hideMark/>
                </w:tcPr>
                <w:p w14:paraId="723E53A9"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processing </w:t>
                  </w:r>
                  <w:r w:rsidRPr="006F001C">
                    <w:rPr>
                      <w:rFonts w:eastAsia="Times New Roman"/>
                      <w:noProof/>
                      <w:sz w:val="22"/>
                      <w:lang w:val="en-IE" w:eastAsia="en-IE"/>
                    </w:rPr>
                    <w:t> </w:t>
                  </w:r>
                </w:p>
                <w:p w14:paraId="5C1C6D8F"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flow</w:t>
                  </w:r>
                  <w:r w:rsidRPr="006F001C">
                    <w:rPr>
                      <w:rFonts w:eastAsia="Times New Roman"/>
                      <w:noProof/>
                      <w:sz w:val="22"/>
                      <w:lang w:val="en-IE" w:eastAsia="en-IE"/>
                    </w:rPr>
                    <w:t> </w:t>
                  </w:r>
                </w:p>
              </w:tc>
            </w:tr>
            <w:tr w:rsidR="007A5304" w:rsidRPr="006F001C" w14:paraId="178854A9" w14:textId="77777777">
              <w:trPr>
                <w:trHeight w:val="2745"/>
              </w:trPr>
              <w:tc>
                <w:tcPr>
                  <w:tcW w:w="2887" w:type="dxa"/>
                  <w:tcBorders>
                    <w:top w:val="single" w:sz="6" w:space="0" w:color="auto"/>
                    <w:left w:val="single" w:sz="6" w:space="0" w:color="auto"/>
                    <w:bottom w:val="single" w:sz="6" w:space="0" w:color="auto"/>
                    <w:right w:val="single" w:sz="6" w:space="0" w:color="auto"/>
                  </w:tcBorders>
                  <w:hideMark/>
                </w:tcPr>
                <w:p w14:paraId="3001AAE6"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Article 5(2)</w:t>
                  </w:r>
                  <w:r w:rsidRPr="006F001C">
                    <w:rPr>
                      <w:rFonts w:eastAsia="Times New Roman"/>
                      <w:noProof/>
                      <w:sz w:val="22"/>
                      <w:lang w:val="en-IE" w:eastAsia="en-IE"/>
                    </w:rPr>
                    <w:t> </w:t>
                  </w:r>
                </w:p>
                <w:p w14:paraId="4B060F33"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Contribution to Union level cybersecurity risk assessments</w:t>
                  </w:r>
                  <w:r w:rsidRPr="006F001C">
                    <w:rPr>
                      <w:rFonts w:eastAsia="Times New Roman"/>
                      <w:noProof/>
                      <w:sz w:val="22"/>
                      <w:lang w:val="en-IE" w:eastAsia="en-IE"/>
                    </w:rPr>
                    <w:t> </w:t>
                  </w:r>
                </w:p>
              </w:tc>
              <w:tc>
                <w:tcPr>
                  <w:tcW w:w="4332" w:type="dxa"/>
                  <w:tcBorders>
                    <w:top w:val="single" w:sz="6" w:space="0" w:color="auto"/>
                    <w:left w:val="single" w:sz="6" w:space="0" w:color="auto"/>
                    <w:bottom w:val="single" w:sz="6" w:space="0" w:color="auto"/>
                    <w:right w:val="single" w:sz="6" w:space="0" w:color="auto"/>
                  </w:tcBorders>
                  <w:hideMark/>
                </w:tcPr>
                <w:p w14:paraId="4281E29B"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val="en-IE" w:eastAsia="en-IE"/>
                    </w:rPr>
                    <w:t> </w:t>
                  </w:r>
                </w:p>
                <w:p w14:paraId="0BDF2E4D"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ENISA shall contribute to coordinated Union level cybersecurity risk assessments, including those carried out pursuant to Article 22 of Directive (EU) 2022/2555.</w:t>
                  </w:r>
                  <w:r w:rsidRPr="006F001C">
                    <w:rPr>
                      <w:rFonts w:eastAsia="Times New Roman"/>
                      <w:noProof/>
                      <w:sz w:val="22"/>
                      <w:lang w:val="en-IE" w:eastAsia="en-IE"/>
                    </w:rPr>
                    <w:t> </w:t>
                  </w:r>
                </w:p>
                <w:p w14:paraId="0BFFF939"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val="en-IE" w:eastAsia="en-IE"/>
                    </w:rPr>
                    <w:t> </w:t>
                  </w:r>
                </w:p>
              </w:tc>
              <w:tc>
                <w:tcPr>
                  <w:tcW w:w="3015" w:type="dxa"/>
                  <w:tcBorders>
                    <w:top w:val="single" w:sz="6" w:space="0" w:color="auto"/>
                    <w:left w:val="single" w:sz="6" w:space="0" w:color="auto"/>
                    <w:bottom w:val="single" w:sz="6" w:space="0" w:color="auto"/>
                    <w:right w:val="single" w:sz="6" w:space="0" w:color="auto"/>
                  </w:tcBorders>
                  <w:hideMark/>
                </w:tcPr>
                <w:p w14:paraId="7608AA7D"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ENISA</w:t>
                  </w:r>
                  <w:r w:rsidRPr="006F001C">
                    <w:rPr>
                      <w:rFonts w:eastAsia="Times New Roman"/>
                      <w:noProof/>
                      <w:sz w:val="22"/>
                      <w:lang w:val="en-IE" w:eastAsia="en-IE"/>
                    </w:rPr>
                    <w:t> </w:t>
                  </w:r>
                </w:p>
                <w:p w14:paraId="458172BF"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Member States </w:t>
                  </w:r>
                  <w:r w:rsidRPr="006F001C">
                    <w:rPr>
                      <w:rFonts w:eastAsia="Times New Roman"/>
                      <w:noProof/>
                      <w:sz w:val="22"/>
                      <w:lang w:val="en-IE" w:eastAsia="en-IE"/>
                    </w:rPr>
                    <w:t> </w:t>
                  </w:r>
                </w:p>
                <w:p w14:paraId="121BF49D"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General Public </w:t>
                  </w:r>
                  <w:r w:rsidRPr="006F001C">
                    <w:rPr>
                      <w:rFonts w:eastAsia="Times New Roman"/>
                      <w:noProof/>
                      <w:sz w:val="22"/>
                      <w:lang w:val="en-IE" w:eastAsia="en-IE"/>
                    </w:rPr>
                    <w:t> </w:t>
                  </w:r>
                </w:p>
              </w:tc>
              <w:tc>
                <w:tcPr>
                  <w:tcW w:w="3040" w:type="dxa"/>
                  <w:tcBorders>
                    <w:top w:val="single" w:sz="6" w:space="0" w:color="auto"/>
                    <w:left w:val="single" w:sz="6" w:space="0" w:color="auto"/>
                    <w:bottom w:val="single" w:sz="6" w:space="0" w:color="auto"/>
                    <w:right w:val="single" w:sz="6" w:space="0" w:color="auto"/>
                  </w:tcBorders>
                  <w:hideMark/>
                </w:tcPr>
                <w:p w14:paraId="5583DBBD"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Contributing to coordinated risk assessments, which requires data processing and data flow</w:t>
                  </w:r>
                  <w:r w:rsidRPr="006F001C">
                    <w:rPr>
                      <w:rFonts w:eastAsia="Times New Roman"/>
                      <w:noProof/>
                      <w:sz w:val="22"/>
                      <w:lang w:val="en-IE" w:eastAsia="en-IE"/>
                    </w:rPr>
                    <w:t> </w:t>
                  </w:r>
                </w:p>
              </w:tc>
              <w:tc>
                <w:tcPr>
                  <w:tcW w:w="1281" w:type="dxa"/>
                  <w:tcBorders>
                    <w:top w:val="single" w:sz="6" w:space="0" w:color="auto"/>
                    <w:left w:val="single" w:sz="6" w:space="0" w:color="auto"/>
                    <w:bottom w:val="single" w:sz="6" w:space="0" w:color="auto"/>
                    <w:right w:val="single" w:sz="6" w:space="0" w:color="auto"/>
                  </w:tcBorders>
                  <w:hideMark/>
                </w:tcPr>
                <w:p w14:paraId="3E91BE0C"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processing</w:t>
                  </w:r>
                  <w:r w:rsidRPr="006F001C">
                    <w:rPr>
                      <w:rFonts w:eastAsia="Times New Roman"/>
                      <w:noProof/>
                      <w:sz w:val="22"/>
                      <w:lang w:val="en-IE" w:eastAsia="en-IE"/>
                    </w:rPr>
                    <w:t> </w:t>
                  </w:r>
                </w:p>
                <w:p w14:paraId="7834AAC6"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flow </w:t>
                  </w:r>
                  <w:r w:rsidRPr="006F001C">
                    <w:rPr>
                      <w:rFonts w:eastAsia="Times New Roman"/>
                      <w:noProof/>
                      <w:sz w:val="22"/>
                      <w:lang w:val="en-IE" w:eastAsia="en-IE"/>
                    </w:rPr>
                    <w:t> </w:t>
                  </w:r>
                </w:p>
              </w:tc>
            </w:tr>
            <w:tr w:rsidR="007A5304" w:rsidRPr="006F001C" w14:paraId="0FD9AF62" w14:textId="77777777">
              <w:trPr>
                <w:trHeight w:val="2040"/>
              </w:trPr>
              <w:tc>
                <w:tcPr>
                  <w:tcW w:w="2887" w:type="dxa"/>
                  <w:tcBorders>
                    <w:top w:val="single" w:sz="6" w:space="0" w:color="auto"/>
                    <w:left w:val="single" w:sz="6" w:space="0" w:color="auto"/>
                    <w:bottom w:val="single" w:sz="6" w:space="0" w:color="auto"/>
                    <w:right w:val="single" w:sz="6" w:space="0" w:color="auto"/>
                  </w:tcBorders>
                  <w:hideMark/>
                </w:tcPr>
                <w:p w14:paraId="64248C11"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Article 5(3)</w:t>
                  </w:r>
                  <w:r w:rsidRPr="006F001C">
                    <w:rPr>
                      <w:rFonts w:eastAsia="Times New Roman"/>
                      <w:noProof/>
                      <w:sz w:val="22"/>
                      <w:lang w:val="en-IE" w:eastAsia="en-IE"/>
                    </w:rPr>
                    <w:t> </w:t>
                  </w:r>
                </w:p>
                <w:p w14:paraId="691E5C9D"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ENISA shall issue guidelines</w:t>
                  </w:r>
                  <w:r w:rsidRPr="006F001C">
                    <w:rPr>
                      <w:rFonts w:eastAsia="Times New Roman"/>
                      <w:noProof/>
                      <w:sz w:val="22"/>
                      <w:lang w:val="en-IE" w:eastAsia="en-IE"/>
                    </w:rPr>
                    <w:t> </w:t>
                  </w:r>
                </w:p>
              </w:tc>
              <w:tc>
                <w:tcPr>
                  <w:tcW w:w="4332" w:type="dxa"/>
                  <w:tcBorders>
                    <w:top w:val="single" w:sz="6" w:space="0" w:color="auto"/>
                    <w:left w:val="single" w:sz="6" w:space="0" w:color="auto"/>
                    <w:bottom w:val="single" w:sz="6" w:space="0" w:color="auto"/>
                    <w:right w:val="single" w:sz="6" w:space="0" w:color="auto"/>
                  </w:tcBorders>
                  <w:hideMark/>
                </w:tcPr>
                <w:p w14:paraId="4CD3D737"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ENISA shall </w:t>
                  </w:r>
                  <w:r w:rsidRPr="006F001C">
                    <w:rPr>
                      <w:rFonts w:eastAsia="Times New Roman"/>
                      <w:b/>
                      <w:bCs/>
                      <w:noProof/>
                      <w:sz w:val="22"/>
                      <w:lang w:eastAsia="en-IE"/>
                    </w:rPr>
                    <w:t>issue guidelines</w:t>
                  </w:r>
                  <w:r w:rsidRPr="006F001C">
                    <w:rPr>
                      <w:rFonts w:eastAsia="Times New Roman"/>
                      <w:noProof/>
                      <w:sz w:val="22"/>
                      <w:lang w:eastAsia="en-IE"/>
                    </w:rPr>
                    <w:t xml:space="preserve"> regarding the interoperability of network </w:t>
                  </w:r>
                  <w:r>
                    <w:rPr>
                      <w:rFonts w:eastAsia="Times New Roman"/>
                      <w:noProof/>
                      <w:sz w:val="22"/>
                      <w:lang w:eastAsia="en-IE"/>
                    </w:rPr>
                    <w:t xml:space="preserve">and </w:t>
                  </w:r>
                  <w:r w:rsidRPr="006F001C">
                    <w:rPr>
                      <w:rFonts w:eastAsia="Times New Roman"/>
                      <w:noProof/>
                      <w:sz w:val="22"/>
                      <w:lang w:eastAsia="en-IE"/>
                    </w:rPr>
                    <w:t>information systems used for information-sharing, including with regard to Cross-Border Cyber Hubs as referred to in Article 6(3) of Regulation (EU) 2025/38.</w:t>
                  </w:r>
                  <w:r w:rsidRPr="006F001C">
                    <w:rPr>
                      <w:rFonts w:eastAsia="Times New Roman"/>
                      <w:noProof/>
                      <w:sz w:val="22"/>
                      <w:lang w:val="en-IE" w:eastAsia="en-IE"/>
                    </w:rPr>
                    <w:t> </w:t>
                  </w:r>
                </w:p>
              </w:tc>
              <w:tc>
                <w:tcPr>
                  <w:tcW w:w="3015" w:type="dxa"/>
                  <w:tcBorders>
                    <w:top w:val="single" w:sz="6" w:space="0" w:color="auto"/>
                    <w:left w:val="single" w:sz="6" w:space="0" w:color="auto"/>
                    <w:bottom w:val="single" w:sz="6" w:space="0" w:color="auto"/>
                    <w:right w:val="single" w:sz="6" w:space="0" w:color="auto"/>
                  </w:tcBorders>
                  <w:hideMark/>
                </w:tcPr>
                <w:p w14:paraId="75F42D32"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ENISA</w:t>
                  </w:r>
                  <w:r w:rsidRPr="006F001C">
                    <w:rPr>
                      <w:rFonts w:eastAsia="Times New Roman"/>
                      <w:noProof/>
                      <w:sz w:val="22"/>
                      <w:lang w:val="en-IE" w:eastAsia="en-IE"/>
                    </w:rPr>
                    <w:t> </w:t>
                  </w:r>
                </w:p>
                <w:p w14:paraId="3376DDA9"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Member States</w:t>
                  </w:r>
                  <w:r w:rsidRPr="006F001C">
                    <w:rPr>
                      <w:rFonts w:eastAsia="Times New Roman"/>
                      <w:noProof/>
                      <w:sz w:val="22"/>
                      <w:lang w:val="en-IE" w:eastAsia="en-IE"/>
                    </w:rPr>
                    <w:t> </w:t>
                  </w:r>
                </w:p>
              </w:tc>
              <w:tc>
                <w:tcPr>
                  <w:tcW w:w="3040" w:type="dxa"/>
                  <w:tcBorders>
                    <w:top w:val="single" w:sz="6" w:space="0" w:color="auto"/>
                    <w:left w:val="single" w:sz="6" w:space="0" w:color="auto"/>
                    <w:bottom w:val="single" w:sz="6" w:space="0" w:color="auto"/>
                    <w:right w:val="single" w:sz="6" w:space="0" w:color="auto"/>
                  </w:tcBorders>
                  <w:hideMark/>
                </w:tcPr>
                <w:p w14:paraId="72227807"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ENISA shall issue guidelines</w:t>
                  </w:r>
                  <w:r w:rsidRPr="006F001C">
                    <w:rPr>
                      <w:rFonts w:eastAsia="Times New Roman"/>
                      <w:noProof/>
                      <w:sz w:val="22"/>
                      <w:lang w:val="en-IE" w:eastAsia="en-IE"/>
                    </w:rPr>
                    <w:t> </w:t>
                  </w:r>
                </w:p>
              </w:tc>
              <w:tc>
                <w:tcPr>
                  <w:tcW w:w="1281" w:type="dxa"/>
                  <w:tcBorders>
                    <w:top w:val="single" w:sz="6" w:space="0" w:color="auto"/>
                    <w:left w:val="single" w:sz="6" w:space="0" w:color="auto"/>
                    <w:bottom w:val="single" w:sz="6" w:space="0" w:color="auto"/>
                    <w:right w:val="single" w:sz="6" w:space="0" w:color="auto"/>
                  </w:tcBorders>
                  <w:hideMark/>
                </w:tcPr>
                <w:p w14:paraId="2F63AA5E"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processing </w:t>
                  </w:r>
                  <w:r w:rsidRPr="006F001C">
                    <w:rPr>
                      <w:rFonts w:eastAsia="Times New Roman"/>
                      <w:noProof/>
                      <w:sz w:val="22"/>
                      <w:lang w:val="en-IE" w:eastAsia="en-IE"/>
                    </w:rPr>
                    <w:t> </w:t>
                  </w:r>
                </w:p>
                <w:p w14:paraId="1D8B9B83"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flow</w:t>
                  </w:r>
                  <w:r w:rsidRPr="006F001C">
                    <w:rPr>
                      <w:rFonts w:eastAsia="Times New Roman"/>
                      <w:noProof/>
                      <w:sz w:val="22"/>
                      <w:lang w:val="en-IE" w:eastAsia="en-IE"/>
                    </w:rPr>
                    <w:t> </w:t>
                  </w:r>
                </w:p>
              </w:tc>
            </w:tr>
            <w:tr w:rsidR="007A5304" w:rsidRPr="006F001C" w14:paraId="2DF104A3" w14:textId="77777777">
              <w:trPr>
                <w:trHeight w:val="2040"/>
              </w:trPr>
              <w:tc>
                <w:tcPr>
                  <w:tcW w:w="2887" w:type="dxa"/>
                  <w:tcBorders>
                    <w:top w:val="single" w:sz="6" w:space="0" w:color="auto"/>
                    <w:left w:val="single" w:sz="6" w:space="0" w:color="auto"/>
                    <w:bottom w:val="single" w:sz="6" w:space="0" w:color="auto"/>
                    <w:right w:val="single" w:sz="6" w:space="0" w:color="auto"/>
                  </w:tcBorders>
                  <w:hideMark/>
                </w:tcPr>
                <w:p w14:paraId="2D29FE52"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Article 5(5)</w:t>
                  </w:r>
                  <w:r w:rsidRPr="006F001C">
                    <w:rPr>
                      <w:rFonts w:eastAsia="Times New Roman"/>
                      <w:noProof/>
                      <w:sz w:val="22"/>
                      <w:lang w:val="en-IE" w:eastAsia="en-IE"/>
                    </w:rPr>
                    <w:t> </w:t>
                  </w:r>
                </w:p>
                <w:p w14:paraId="3F0E60B6"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Support to the Commission</w:t>
                  </w:r>
                  <w:r w:rsidRPr="006F001C">
                    <w:rPr>
                      <w:rFonts w:eastAsia="Times New Roman"/>
                      <w:noProof/>
                      <w:sz w:val="22"/>
                      <w:lang w:val="en-IE" w:eastAsia="en-IE"/>
                    </w:rPr>
                    <w:t> </w:t>
                  </w:r>
                </w:p>
              </w:tc>
              <w:tc>
                <w:tcPr>
                  <w:tcW w:w="4332" w:type="dxa"/>
                  <w:tcBorders>
                    <w:top w:val="single" w:sz="6" w:space="0" w:color="auto"/>
                    <w:left w:val="single" w:sz="6" w:space="0" w:color="auto"/>
                    <w:bottom w:val="single" w:sz="6" w:space="0" w:color="auto"/>
                    <w:right w:val="single" w:sz="6" w:space="0" w:color="auto"/>
                  </w:tcBorders>
                  <w:hideMark/>
                </w:tcPr>
                <w:p w14:paraId="25A1068D"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At the </w:t>
                  </w:r>
                  <w:r w:rsidRPr="006F001C">
                    <w:rPr>
                      <w:rFonts w:eastAsia="Times New Roman"/>
                      <w:b/>
                      <w:bCs/>
                      <w:noProof/>
                      <w:sz w:val="22"/>
                      <w:lang w:eastAsia="en-IE"/>
                    </w:rPr>
                    <w:t>Commission’s request</w:t>
                  </w:r>
                  <w:r w:rsidRPr="006F001C">
                    <w:rPr>
                      <w:rFonts w:eastAsia="Times New Roman"/>
                      <w:noProof/>
                      <w:sz w:val="22"/>
                      <w:lang w:eastAsia="en-IE"/>
                    </w:rPr>
                    <w:t>, ENISA shall</w:t>
                  </w:r>
                  <w:r w:rsidRPr="006F001C">
                    <w:rPr>
                      <w:rFonts w:eastAsia="Times New Roman"/>
                      <w:b/>
                      <w:bCs/>
                      <w:noProof/>
                      <w:sz w:val="22"/>
                      <w:lang w:eastAsia="en-IE"/>
                    </w:rPr>
                    <w:t xml:space="preserve"> provide expertise, technical advice, information </w:t>
                  </w:r>
                  <w:r>
                    <w:rPr>
                      <w:rFonts w:eastAsia="Times New Roman"/>
                      <w:b/>
                      <w:bCs/>
                      <w:noProof/>
                      <w:sz w:val="22"/>
                      <w:lang w:eastAsia="en-IE"/>
                    </w:rPr>
                    <w:t>or</w:t>
                  </w:r>
                  <w:r w:rsidRPr="006F001C">
                    <w:rPr>
                      <w:rFonts w:eastAsia="Times New Roman"/>
                      <w:b/>
                      <w:bCs/>
                      <w:noProof/>
                      <w:sz w:val="22"/>
                      <w:lang w:eastAsia="en-IE"/>
                    </w:rPr>
                    <w:t xml:space="preserve"> analysis or carry out preparatory work</w:t>
                  </w:r>
                  <w:r w:rsidRPr="006F001C">
                    <w:rPr>
                      <w:rFonts w:eastAsia="Times New Roman"/>
                      <w:noProof/>
                      <w:sz w:val="22"/>
                      <w:lang w:eastAsia="en-IE"/>
                    </w:rPr>
                    <w:t xml:space="preserve"> on specific cybersecurity matters with a view to informing the Commission’s policymaking and monitoring of </w:t>
                  </w:r>
                  <w:r>
                    <w:rPr>
                      <w:rFonts w:eastAsia="Times New Roman"/>
                      <w:noProof/>
                      <w:sz w:val="22"/>
                      <w:lang w:eastAsia="en-IE"/>
                    </w:rPr>
                    <w:t xml:space="preserve">the </w:t>
                  </w:r>
                  <w:r w:rsidRPr="006F001C">
                    <w:rPr>
                      <w:rFonts w:eastAsia="Times New Roman"/>
                      <w:noProof/>
                      <w:sz w:val="22"/>
                      <w:lang w:eastAsia="en-IE"/>
                    </w:rPr>
                    <w:t>implementation of Union legislation.</w:t>
                  </w:r>
                  <w:r w:rsidRPr="006F001C">
                    <w:rPr>
                      <w:rFonts w:eastAsia="Times New Roman"/>
                      <w:noProof/>
                      <w:sz w:val="22"/>
                      <w:lang w:val="en-IE" w:eastAsia="en-IE"/>
                    </w:rPr>
                    <w:t> </w:t>
                  </w:r>
                </w:p>
              </w:tc>
              <w:tc>
                <w:tcPr>
                  <w:tcW w:w="3015" w:type="dxa"/>
                  <w:tcBorders>
                    <w:top w:val="single" w:sz="6" w:space="0" w:color="auto"/>
                    <w:left w:val="single" w:sz="6" w:space="0" w:color="auto"/>
                    <w:bottom w:val="single" w:sz="6" w:space="0" w:color="auto"/>
                    <w:right w:val="single" w:sz="6" w:space="0" w:color="auto"/>
                  </w:tcBorders>
                  <w:hideMark/>
                </w:tcPr>
                <w:p w14:paraId="2D85204C"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EU Commission</w:t>
                  </w:r>
                  <w:r w:rsidRPr="006F001C">
                    <w:rPr>
                      <w:rFonts w:eastAsia="Times New Roman"/>
                      <w:noProof/>
                      <w:sz w:val="22"/>
                      <w:lang w:val="en-IE" w:eastAsia="en-IE"/>
                    </w:rPr>
                    <w:t> </w:t>
                  </w:r>
                </w:p>
                <w:p w14:paraId="6734CB9D"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ENISA</w:t>
                  </w:r>
                  <w:r w:rsidRPr="006F001C">
                    <w:rPr>
                      <w:rFonts w:eastAsia="Times New Roman"/>
                      <w:noProof/>
                      <w:sz w:val="22"/>
                      <w:lang w:val="en-IE" w:eastAsia="en-IE"/>
                    </w:rPr>
                    <w:t> </w:t>
                  </w:r>
                </w:p>
              </w:tc>
              <w:tc>
                <w:tcPr>
                  <w:tcW w:w="3040" w:type="dxa"/>
                  <w:tcBorders>
                    <w:top w:val="single" w:sz="6" w:space="0" w:color="auto"/>
                    <w:left w:val="single" w:sz="6" w:space="0" w:color="auto"/>
                    <w:bottom w:val="single" w:sz="6" w:space="0" w:color="auto"/>
                    <w:right w:val="single" w:sz="6" w:space="0" w:color="auto"/>
                  </w:tcBorders>
                  <w:hideMark/>
                </w:tcPr>
                <w:p w14:paraId="6F74353A"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Preparing and sending information to the Commission</w:t>
                  </w:r>
                  <w:r w:rsidRPr="006F001C">
                    <w:rPr>
                      <w:rFonts w:eastAsia="Times New Roman"/>
                      <w:noProof/>
                      <w:sz w:val="22"/>
                      <w:lang w:val="en-IE" w:eastAsia="en-IE"/>
                    </w:rPr>
                    <w:t> </w:t>
                  </w:r>
                </w:p>
              </w:tc>
              <w:tc>
                <w:tcPr>
                  <w:tcW w:w="1281" w:type="dxa"/>
                  <w:tcBorders>
                    <w:top w:val="single" w:sz="6" w:space="0" w:color="auto"/>
                    <w:left w:val="single" w:sz="6" w:space="0" w:color="auto"/>
                    <w:bottom w:val="single" w:sz="6" w:space="0" w:color="auto"/>
                    <w:right w:val="single" w:sz="6" w:space="0" w:color="auto"/>
                  </w:tcBorders>
                  <w:hideMark/>
                </w:tcPr>
                <w:p w14:paraId="582AE130"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processing </w:t>
                  </w:r>
                  <w:r w:rsidRPr="006F001C">
                    <w:rPr>
                      <w:rFonts w:eastAsia="Times New Roman"/>
                      <w:noProof/>
                      <w:sz w:val="22"/>
                      <w:lang w:val="en-IE" w:eastAsia="en-IE"/>
                    </w:rPr>
                    <w:t> </w:t>
                  </w:r>
                </w:p>
                <w:p w14:paraId="000DD6AB"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flow</w:t>
                  </w:r>
                  <w:r w:rsidRPr="006F001C">
                    <w:rPr>
                      <w:rFonts w:eastAsia="Times New Roman"/>
                      <w:noProof/>
                      <w:sz w:val="22"/>
                      <w:lang w:val="en-IE" w:eastAsia="en-IE"/>
                    </w:rPr>
                    <w:t> </w:t>
                  </w:r>
                </w:p>
              </w:tc>
            </w:tr>
            <w:tr w:rsidR="007A5304" w:rsidRPr="006F001C" w14:paraId="79E0D5E5" w14:textId="77777777">
              <w:trPr>
                <w:trHeight w:val="3330"/>
              </w:trPr>
              <w:tc>
                <w:tcPr>
                  <w:tcW w:w="2887" w:type="dxa"/>
                  <w:tcBorders>
                    <w:top w:val="single" w:sz="6" w:space="0" w:color="auto"/>
                    <w:left w:val="single" w:sz="6" w:space="0" w:color="auto"/>
                    <w:bottom w:val="single" w:sz="6" w:space="0" w:color="auto"/>
                    <w:right w:val="single" w:sz="6" w:space="0" w:color="auto"/>
                  </w:tcBorders>
                  <w:hideMark/>
                </w:tcPr>
                <w:p w14:paraId="124BA2A2"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Article 6</w:t>
                  </w:r>
                  <w:r w:rsidRPr="006F001C">
                    <w:rPr>
                      <w:rFonts w:eastAsia="Times New Roman"/>
                      <w:noProof/>
                      <w:sz w:val="22"/>
                      <w:lang w:val="en-IE" w:eastAsia="en-IE"/>
                    </w:rPr>
                    <w:t> </w:t>
                  </w:r>
                </w:p>
                <w:p w14:paraId="7AAAD18D"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Capacity-building</w:t>
                  </w:r>
                  <w:r w:rsidRPr="006F001C">
                    <w:rPr>
                      <w:rFonts w:eastAsia="Times New Roman"/>
                      <w:noProof/>
                      <w:sz w:val="22"/>
                      <w:lang w:val="en-IE" w:eastAsia="en-IE"/>
                    </w:rPr>
                    <w:t> </w:t>
                  </w:r>
                </w:p>
              </w:tc>
              <w:tc>
                <w:tcPr>
                  <w:tcW w:w="4332" w:type="dxa"/>
                  <w:tcBorders>
                    <w:top w:val="single" w:sz="6" w:space="0" w:color="auto"/>
                    <w:left w:val="single" w:sz="6" w:space="0" w:color="auto"/>
                    <w:bottom w:val="single" w:sz="6" w:space="0" w:color="auto"/>
                    <w:right w:val="single" w:sz="6" w:space="0" w:color="auto"/>
                  </w:tcBorders>
                  <w:hideMark/>
                </w:tcPr>
                <w:p w14:paraId="063610FA"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ENISA shall assist by providing knowledge and expertise, best practices, etc.</w:t>
                  </w:r>
                  <w:r w:rsidRPr="006F001C">
                    <w:rPr>
                      <w:rFonts w:eastAsia="Times New Roman"/>
                      <w:noProof/>
                      <w:sz w:val="22"/>
                      <w:lang w:val="en-IE" w:eastAsia="en-IE"/>
                    </w:rPr>
                    <w:t> </w:t>
                  </w:r>
                </w:p>
              </w:tc>
              <w:tc>
                <w:tcPr>
                  <w:tcW w:w="3015" w:type="dxa"/>
                  <w:tcBorders>
                    <w:top w:val="single" w:sz="6" w:space="0" w:color="auto"/>
                    <w:left w:val="single" w:sz="6" w:space="0" w:color="auto"/>
                    <w:bottom w:val="single" w:sz="6" w:space="0" w:color="auto"/>
                    <w:right w:val="single" w:sz="6" w:space="0" w:color="auto"/>
                  </w:tcBorders>
                  <w:hideMark/>
                </w:tcPr>
                <w:p w14:paraId="6335F8F2"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ENISA</w:t>
                  </w:r>
                  <w:r w:rsidRPr="006F001C">
                    <w:rPr>
                      <w:rFonts w:eastAsia="Times New Roman"/>
                      <w:noProof/>
                      <w:sz w:val="22"/>
                      <w:lang w:val="en-IE" w:eastAsia="en-IE"/>
                    </w:rPr>
                    <w:t> </w:t>
                  </w:r>
                </w:p>
                <w:p w14:paraId="289C499C"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Member States</w:t>
                  </w:r>
                  <w:r w:rsidRPr="006F001C">
                    <w:rPr>
                      <w:rFonts w:eastAsia="Times New Roman"/>
                      <w:noProof/>
                      <w:sz w:val="22"/>
                      <w:lang w:val="en-IE" w:eastAsia="en-IE"/>
                    </w:rPr>
                    <w:t> </w:t>
                  </w:r>
                </w:p>
                <w:p w14:paraId="0EC0BC84"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EU entities</w:t>
                  </w:r>
                  <w:r w:rsidRPr="006F001C">
                    <w:rPr>
                      <w:rFonts w:eastAsia="Times New Roman"/>
                      <w:noProof/>
                      <w:sz w:val="22"/>
                      <w:lang w:val="en-IE" w:eastAsia="en-IE"/>
                    </w:rPr>
                    <w:t> </w:t>
                  </w:r>
                </w:p>
                <w:p w14:paraId="130CDB70"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Public and private stakeholders</w:t>
                  </w:r>
                  <w:r w:rsidRPr="006F001C">
                    <w:rPr>
                      <w:rFonts w:eastAsia="Times New Roman"/>
                      <w:noProof/>
                      <w:sz w:val="22"/>
                      <w:lang w:val="en-IE" w:eastAsia="en-IE"/>
                    </w:rPr>
                    <w:t> </w:t>
                  </w:r>
                </w:p>
                <w:p w14:paraId="6F4B161A"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Market surveillance authorities</w:t>
                  </w:r>
                  <w:r w:rsidRPr="006F001C">
                    <w:rPr>
                      <w:rFonts w:eastAsia="Times New Roman"/>
                      <w:noProof/>
                      <w:sz w:val="22"/>
                      <w:lang w:val="en-IE" w:eastAsia="en-IE"/>
                    </w:rPr>
                    <w:t> </w:t>
                  </w:r>
                </w:p>
                <w:p w14:paraId="2E9BC90D"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ECCG members</w:t>
                  </w:r>
                  <w:r w:rsidRPr="006F001C">
                    <w:rPr>
                      <w:rFonts w:eastAsia="Times New Roman"/>
                      <w:noProof/>
                      <w:sz w:val="22"/>
                      <w:lang w:val="en-IE" w:eastAsia="en-IE"/>
                    </w:rPr>
                    <w:t> </w:t>
                  </w:r>
                </w:p>
                <w:p w14:paraId="297CB6E4"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ECCC</w:t>
                  </w:r>
                  <w:r w:rsidRPr="006F001C">
                    <w:rPr>
                      <w:rFonts w:eastAsia="Times New Roman"/>
                      <w:noProof/>
                      <w:sz w:val="22"/>
                      <w:lang w:val="en-IE" w:eastAsia="en-IE"/>
                    </w:rPr>
                    <w:t> </w:t>
                  </w:r>
                </w:p>
              </w:tc>
              <w:tc>
                <w:tcPr>
                  <w:tcW w:w="3040" w:type="dxa"/>
                  <w:tcBorders>
                    <w:top w:val="single" w:sz="6" w:space="0" w:color="auto"/>
                    <w:left w:val="single" w:sz="6" w:space="0" w:color="auto"/>
                    <w:bottom w:val="single" w:sz="6" w:space="0" w:color="auto"/>
                    <w:right w:val="single" w:sz="6" w:space="0" w:color="auto"/>
                  </w:tcBorders>
                  <w:hideMark/>
                </w:tcPr>
                <w:p w14:paraId="30810107"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Providing knowledge and expertise </w:t>
                  </w:r>
                  <w:r w:rsidRPr="006F001C">
                    <w:rPr>
                      <w:rFonts w:eastAsia="Times New Roman"/>
                      <w:noProof/>
                      <w:sz w:val="22"/>
                      <w:lang w:val="en-IE" w:eastAsia="en-IE"/>
                    </w:rPr>
                    <w:t> </w:t>
                  </w:r>
                </w:p>
              </w:tc>
              <w:tc>
                <w:tcPr>
                  <w:tcW w:w="1281" w:type="dxa"/>
                  <w:tcBorders>
                    <w:top w:val="single" w:sz="6" w:space="0" w:color="auto"/>
                    <w:left w:val="single" w:sz="6" w:space="0" w:color="auto"/>
                    <w:bottom w:val="single" w:sz="6" w:space="0" w:color="auto"/>
                    <w:right w:val="single" w:sz="6" w:space="0" w:color="auto"/>
                  </w:tcBorders>
                  <w:hideMark/>
                </w:tcPr>
                <w:p w14:paraId="601125DC"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processing </w:t>
                  </w:r>
                  <w:r w:rsidRPr="006F001C">
                    <w:rPr>
                      <w:rFonts w:eastAsia="Times New Roman"/>
                      <w:noProof/>
                      <w:sz w:val="22"/>
                      <w:lang w:val="en-IE" w:eastAsia="en-IE"/>
                    </w:rPr>
                    <w:t> </w:t>
                  </w:r>
                </w:p>
                <w:p w14:paraId="0CE64B3B"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flow</w:t>
                  </w:r>
                  <w:r w:rsidRPr="006F001C">
                    <w:rPr>
                      <w:rFonts w:eastAsia="Times New Roman"/>
                      <w:noProof/>
                      <w:sz w:val="22"/>
                      <w:lang w:val="en-IE" w:eastAsia="en-IE"/>
                    </w:rPr>
                    <w:t> </w:t>
                  </w:r>
                </w:p>
              </w:tc>
            </w:tr>
            <w:tr w:rsidR="007A5304" w:rsidRPr="006F001C" w14:paraId="580357CA" w14:textId="77777777">
              <w:trPr>
                <w:trHeight w:val="2040"/>
              </w:trPr>
              <w:tc>
                <w:tcPr>
                  <w:tcW w:w="2887" w:type="dxa"/>
                  <w:tcBorders>
                    <w:top w:val="single" w:sz="6" w:space="0" w:color="auto"/>
                    <w:left w:val="single" w:sz="6" w:space="0" w:color="auto"/>
                    <w:bottom w:val="single" w:sz="6" w:space="0" w:color="auto"/>
                    <w:right w:val="single" w:sz="6" w:space="0" w:color="auto"/>
                  </w:tcBorders>
                  <w:hideMark/>
                </w:tcPr>
                <w:p w14:paraId="417AACA0"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Article 7</w:t>
                  </w:r>
                  <w:r w:rsidRPr="006F001C">
                    <w:rPr>
                      <w:rFonts w:eastAsia="Times New Roman"/>
                      <w:noProof/>
                      <w:sz w:val="22"/>
                      <w:lang w:val="en-IE" w:eastAsia="en-IE"/>
                    </w:rPr>
                    <w:t> </w:t>
                  </w:r>
                </w:p>
                <w:p w14:paraId="1A3D4879"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Awareness-raising and talent pool</w:t>
                  </w:r>
                  <w:r w:rsidRPr="006F001C">
                    <w:rPr>
                      <w:rFonts w:eastAsia="Times New Roman"/>
                      <w:noProof/>
                      <w:sz w:val="22"/>
                      <w:lang w:val="en-IE" w:eastAsia="en-IE"/>
                    </w:rPr>
                    <w:t> </w:t>
                  </w:r>
                </w:p>
              </w:tc>
              <w:tc>
                <w:tcPr>
                  <w:tcW w:w="4332" w:type="dxa"/>
                  <w:tcBorders>
                    <w:top w:val="single" w:sz="6" w:space="0" w:color="auto"/>
                    <w:left w:val="single" w:sz="6" w:space="0" w:color="auto"/>
                    <w:bottom w:val="single" w:sz="6" w:space="0" w:color="auto"/>
                    <w:right w:val="single" w:sz="6" w:space="0" w:color="auto"/>
                  </w:tcBorders>
                  <w:hideMark/>
                </w:tcPr>
                <w:p w14:paraId="3C121556"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ENISA shall assist Member States in their efforts to raise awareness of Union policies and legislation regarding cybersecurity and promote their visibility</w:t>
                  </w:r>
                  <w:r w:rsidRPr="006F001C">
                    <w:rPr>
                      <w:rFonts w:eastAsia="Times New Roman"/>
                      <w:b/>
                      <w:bCs/>
                      <w:noProof/>
                      <w:sz w:val="22"/>
                      <w:lang w:eastAsia="en-IE"/>
                    </w:rPr>
                    <w:t> by developing actionable tools and guidance</w:t>
                  </w:r>
                  <w:r>
                    <w:rPr>
                      <w:rFonts w:eastAsia="Times New Roman"/>
                      <w:noProof/>
                      <w:sz w:val="22"/>
                      <w:lang w:eastAsia="en-IE"/>
                    </w:rPr>
                    <w:t>. ENISA shall</w:t>
                  </w:r>
                  <w:r w:rsidRPr="006F001C">
                    <w:rPr>
                      <w:rFonts w:eastAsia="Times New Roman"/>
                      <w:noProof/>
                      <w:sz w:val="22"/>
                      <w:lang w:eastAsia="en-IE"/>
                    </w:rPr>
                    <w:t xml:space="preserve"> support initiatives aimed at increasing the European cybersecurity talent pool, in particular by coordinating competitions.</w:t>
                  </w:r>
                  <w:r w:rsidRPr="006F001C">
                    <w:rPr>
                      <w:rFonts w:eastAsia="Times New Roman"/>
                      <w:noProof/>
                      <w:sz w:val="22"/>
                      <w:lang w:val="en-IE" w:eastAsia="en-IE"/>
                    </w:rPr>
                    <w:t> </w:t>
                  </w:r>
                </w:p>
              </w:tc>
              <w:tc>
                <w:tcPr>
                  <w:tcW w:w="3015" w:type="dxa"/>
                  <w:tcBorders>
                    <w:top w:val="single" w:sz="6" w:space="0" w:color="auto"/>
                    <w:left w:val="single" w:sz="6" w:space="0" w:color="auto"/>
                    <w:bottom w:val="single" w:sz="6" w:space="0" w:color="auto"/>
                    <w:right w:val="single" w:sz="6" w:space="0" w:color="auto"/>
                  </w:tcBorders>
                  <w:hideMark/>
                </w:tcPr>
                <w:p w14:paraId="1CC953BE"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ENISA</w:t>
                  </w:r>
                  <w:r w:rsidRPr="006F001C">
                    <w:rPr>
                      <w:rFonts w:eastAsia="Times New Roman"/>
                      <w:noProof/>
                      <w:sz w:val="22"/>
                      <w:lang w:val="en-IE" w:eastAsia="en-IE"/>
                    </w:rPr>
                    <w:t> </w:t>
                  </w:r>
                </w:p>
                <w:p w14:paraId="729E6F25"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Member States</w:t>
                  </w:r>
                  <w:r w:rsidRPr="006F001C">
                    <w:rPr>
                      <w:rFonts w:eastAsia="Times New Roman"/>
                      <w:noProof/>
                      <w:sz w:val="22"/>
                      <w:lang w:val="en-IE" w:eastAsia="en-IE"/>
                    </w:rPr>
                    <w:t> </w:t>
                  </w:r>
                </w:p>
              </w:tc>
              <w:tc>
                <w:tcPr>
                  <w:tcW w:w="3040" w:type="dxa"/>
                  <w:tcBorders>
                    <w:top w:val="single" w:sz="6" w:space="0" w:color="auto"/>
                    <w:left w:val="single" w:sz="6" w:space="0" w:color="auto"/>
                    <w:bottom w:val="single" w:sz="6" w:space="0" w:color="auto"/>
                    <w:right w:val="single" w:sz="6" w:space="0" w:color="auto"/>
                  </w:tcBorders>
                  <w:hideMark/>
                </w:tcPr>
                <w:p w14:paraId="431AD773"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Developing actionable tools and guidance</w:t>
                  </w:r>
                  <w:r w:rsidRPr="006F001C">
                    <w:rPr>
                      <w:rFonts w:eastAsia="Times New Roman"/>
                      <w:noProof/>
                      <w:sz w:val="22"/>
                      <w:lang w:val="en-IE" w:eastAsia="en-IE"/>
                    </w:rPr>
                    <w:t> </w:t>
                  </w:r>
                </w:p>
              </w:tc>
              <w:tc>
                <w:tcPr>
                  <w:tcW w:w="1281" w:type="dxa"/>
                  <w:tcBorders>
                    <w:top w:val="single" w:sz="6" w:space="0" w:color="auto"/>
                    <w:left w:val="single" w:sz="6" w:space="0" w:color="auto"/>
                    <w:bottom w:val="single" w:sz="6" w:space="0" w:color="auto"/>
                    <w:right w:val="single" w:sz="6" w:space="0" w:color="auto"/>
                  </w:tcBorders>
                  <w:hideMark/>
                </w:tcPr>
                <w:p w14:paraId="77C83E1A"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processing</w:t>
                  </w:r>
                  <w:r w:rsidRPr="006F001C">
                    <w:rPr>
                      <w:rFonts w:eastAsia="Times New Roman"/>
                      <w:noProof/>
                      <w:sz w:val="22"/>
                      <w:lang w:val="en-IE" w:eastAsia="en-IE"/>
                    </w:rPr>
                    <w:t> </w:t>
                  </w:r>
                </w:p>
              </w:tc>
            </w:tr>
            <w:tr w:rsidR="007A5304" w:rsidRPr="006F001C" w14:paraId="14899658" w14:textId="77777777">
              <w:trPr>
                <w:trHeight w:val="1320"/>
              </w:trPr>
              <w:tc>
                <w:tcPr>
                  <w:tcW w:w="2887" w:type="dxa"/>
                  <w:tcBorders>
                    <w:top w:val="single" w:sz="6" w:space="0" w:color="auto"/>
                    <w:left w:val="single" w:sz="6" w:space="0" w:color="auto"/>
                    <w:bottom w:val="single" w:sz="6" w:space="0" w:color="auto"/>
                    <w:right w:val="single" w:sz="6" w:space="0" w:color="auto"/>
                  </w:tcBorders>
                  <w:hideMark/>
                </w:tcPr>
                <w:p w14:paraId="134BD367"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Article 8(1) Market knowledge and analyses</w:t>
                  </w:r>
                  <w:r w:rsidRPr="006F001C">
                    <w:rPr>
                      <w:rFonts w:eastAsia="Times New Roman"/>
                      <w:noProof/>
                      <w:sz w:val="22"/>
                      <w:lang w:val="en-IE" w:eastAsia="en-IE"/>
                    </w:rPr>
                    <w:t> </w:t>
                  </w:r>
                </w:p>
              </w:tc>
              <w:tc>
                <w:tcPr>
                  <w:tcW w:w="4332" w:type="dxa"/>
                  <w:tcBorders>
                    <w:top w:val="single" w:sz="6" w:space="0" w:color="auto"/>
                    <w:left w:val="single" w:sz="6" w:space="0" w:color="auto"/>
                    <w:bottom w:val="single" w:sz="6" w:space="0" w:color="auto"/>
                    <w:right w:val="single" w:sz="6" w:space="0" w:color="auto"/>
                  </w:tcBorders>
                  <w:hideMark/>
                </w:tcPr>
                <w:p w14:paraId="5EF9C2EC"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ENISA shall </w:t>
                  </w:r>
                  <w:r>
                    <w:rPr>
                      <w:rFonts w:eastAsia="Times New Roman"/>
                      <w:b/>
                      <w:bCs/>
                      <w:noProof/>
                      <w:sz w:val="22"/>
                      <w:lang w:eastAsia="en-IE"/>
                    </w:rPr>
                    <w:t>carry out</w:t>
                  </w:r>
                  <w:r w:rsidRPr="006F001C">
                    <w:rPr>
                      <w:rFonts w:eastAsia="Times New Roman"/>
                      <w:b/>
                      <w:bCs/>
                      <w:noProof/>
                      <w:sz w:val="22"/>
                      <w:lang w:eastAsia="en-IE"/>
                    </w:rPr>
                    <w:t xml:space="preserve"> and disseminate analyses</w:t>
                  </w:r>
                  <w:r w:rsidRPr="006F001C">
                    <w:rPr>
                      <w:rFonts w:eastAsia="Times New Roman"/>
                      <w:noProof/>
                      <w:sz w:val="22"/>
                      <w:lang w:eastAsia="en-IE"/>
                    </w:rPr>
                    <w:t xml:space="preserve"> of the main market trends in the cybersecurity market on both the demand and supply sides, in particular related to the areas where European cybersecurity certification schemes exist or are planned, sectors listed in Annexes I and II to Directive (EU) 2022/2555 and product categories covered by Regulation </w:t>
                  </w:r>
                  <w:r>
                    <w:rPr>
                      <w:rFonts w:eastAsia="Times New Roman"/>
                      <w:noProof/>
                      <w:sz w:val="22"/>
                      <w:lang w:eastAsia="en-IE"/>
                    </w:rPr>
                    <w:t xml:space="preserve">(EU) </w:t>
                  </w:r>
                  <w:r w:rsidRPr="006F001C">
                    <w:rPr>
                      <w:rFonts w:eastAsia="Times New Roman"/>
                      <w:noProof/>
                      <w:sz w:val="22"/>
                      <w:lang w:eastAsia="en-IE"/>
                    </w:rPr>
                    <w:t>2024/2847, including Annexes III and IV</w:t>
                  </w:r>
                  <w:r>
                    <w:rPr>
                      <w:rFonts w:eastAsia="Times New Roman"/>
                      <w:noProof/>
                      <w:sz w:val="22"/>
                      <w:lang w:eastAsia="en-IE"/>
                    </w:rPr>
                    <w:t xml:space="preserve"> to that Regulation</w:t>
                  </w:r>
                  <w:r w:rsidRPr="006F001C">
                    <w:rPr>
                      <w:rFonts w:eastAsia="Times New Roman"/>
                      <w:noProof/>
                      <w:sz w:val="22"/>
                      <w:lang w:eastAsia="en-IE"/>
                    </w:rPr>
                    <w:t>.</w:t>
                  </w:r>
                  <w:r w:rsidRPr="006F001C">
                    <w:rPr>
                      <w:rFonts w:eastAsia="Times New Roman"/>
                      <w:noProof/>
                      <w:sz w:val="22"/>
                      <w:lang w:val="en-IE" w:eastAsia="en-IE"/>
                    </w:rPr>
                    <w:t> </w:t>
                  </w:r>
                </w:p>
              </w:tc>
              <w:tc>
                <w:tcPr>
                  <w:tcW w:w="3015" w:type="dxa"/>
                  <w:tcBorders>
                    <w:top w:val="single" w:sz="6" w:space="0" w:color="auto"/>
                    <w:left w:val="single" w:sz="6" w:space="0" w:color="auto"/>
                    <w:bottom w:val="single" w:sz="6" w:space="0" w:color="auto"/>
                    <w:right w:val="single" w:sz="6" w:space="0" w:color="auto"/>
                  </w:tcBorders>
                  <w:hideMark/>
                </w:tcPr>
                <w:p w14:paraId="2EB7D3E4"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ENISA</w:t>
                  </w:r>
                  <w:r w:rsidRPr="006F001C">
                    <w:rPr>
                      <w:rFonts w:eastAsia="Times New Roman"/>
                      <w:noProof/>
                      <w:sz w:val="22"/>
                      <w:lang w:val="en-IE" w:eastAsia="en-IE"/>
                    </w:rPr>
                    <w:t> </w:t>
                  </w:r>
                </w:p>
                <w:p w14:paraId="5D48AAD7"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Sectors listed in Annexes I and II to Directive (EU) 2022/2555</w:t>
                  </w:r>
                  <w:r w:rsidRPr="006F001C">
                    <w:rPr>
                      <w:rFonts w:eastAsia="Times New Roman"/>
                      <w:noProof/>
                      <w:sz w:val="22"/>
                      <w:lang w:val="en-IE" w:eastAsia="en-IE"/>
                    </w:rPr>
                    <w:t> </w:t>
                  </w:r>
                </w:p>
                <w:p w14:paraId="47CEF237"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Product categories covered by Regulation (EU) 2024/2847</w:t>
                  </w:r>
                  <w:r w:rsidRPr="006F001C">
                    <w:rPr>
                      <w:rFonts w:eastAsia="Times New Roman"/>
                      <w:noProof/>
                      <w:sz w:val="22"/>
                      <w:lang w:val="en-IE" w:eastAsia="en-IE"/>
                    </w:rPr>
                    <w:t> </w:t>
                  </w:r>
                </w:p>
              </w:tc>
              <w:tc>
                <w:tcPr>
                  <w:tcW w:w="3040" w:type="dxa"/>
                  <w:tcBorders>
                    <w:top w:val="single" w:sz="6" w:space="0" w:color="auto"/>
                    <w:left w:val="single" w:sz="6" w:space="0" w:color="auto"/>
                    <w:bottom w:val="single" w:sz="6" w:space="0" w:color="auto"/>
                    <w:right w:val="single" w:sz="6" w:space="0" w:color="auto"/>
                  </w:tcBorders>
                  <w:hideMark/>
                </w:tcPr>
                <w:p w14:paraId="692F0856"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Perform and disseminate analyse</w:t>
                  </w:r>
                  <w:r w:rsidRPr="006F001C">
                    <w:rPr>
                      <w:rFonts w:eastAsia="Times New Roman"/>
                      <w:noProof/>
                      <w:sz w:val="22"/>
                      <w:lang w:val="en-IE" w:eastAsia="en-IE"/>
                    </w:rPr>
                    <w:t> </w:t>
                  </w:r>
                </w:p>
              </w:tc>
              <w:tc>
                <w:tcPr>
                  <w:tcW w:w="1281" w:type="dxa"/>
                  <w:tcBorders>
                    <w:top w:val="single" w:sz="6" w:space="0" w:color="auto"/>
                    <w:left w:val="single" w:sz="6" w:space="0" w:color="auto"/>
                    <w:bottom w:val="single" w:sz="6" w:space="0" w:color="auto"/>
                    <w:right w:val="single" w:sz="6" w:space="0" w:color="auto"/>
                  </w:tcBorders>
                  <w:hideMark/>
                </w:tcPr>
                <w:p w14:paraId="4C5FBBB6"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processing </w:t>
                  </w:r>
                  <w:r w:rsidRPr="006F001C">
                    <w:rPr>
                      <w:rFonts w:eastAsia="Times New Roman"/>
                      <w:noProof/>
                      <w:sz w:val="22"/>
                      <w:lang w:val="en-IE" w:eastAsia="en-IE"/>
                    </w:rPr>
                    <w:t> </w:t>
                  </w:r>
                </w:p>
                <w:p w14:paraId="0FB1013F"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flow</w:t>
                  </w:r>
                  <w:r w:rsidRPr="006F001C">
                    <w:rPr>
                      <w:rFonts w:eastAsia="Times New Roman"/>
                      <w:noProof/>
                      <w:sz w:val="22"/>
                      <w:lang w:val="en-IE" w:eastAsia="en-IE"/>
                    </w:rPr>
                    <w:t> </w:t>
                  </w:r>
                </w:p>
              </w:tc>
            </w:tr>
            <w:tr w:rsidR="007A5304" w:rsidRPr="006F001C" w14:paraId="0EA30995" w14:textId="77777777">
              <w:trPr>
                <w:trHeight w:val="2745"/>
              </w:trPr>
              <w:tc>
                <w:tcPr>
                  <w:tcW w:w="2887" w:type="dxa"/>
                  <w:tcBorders>
                    <w:top w:val="single" w:sz="6" w:space="0" w:color="auto"/>
                    <w:left w:val="single" w:sz="6" w:space="0" w:color="auto"/>
                    <w:bottom w:val="single" w:sz="6" w:space="0" w:color="auto"/>
                    <w:right w:val="single" w:sz="6" w:space="0" w:color="auto"/>
                  </w:tcBorders>
                  <w:hideMark/>
                </w:tcPr>
                <w:p w14:paraId="7D597A3E"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Article 8(2) Market knowledge and analyses</w:t>
                  </w:r>
                  <w:r w:rsidRPr="006F001C">
                    <w:rPr>
                      <w:rFonts w:eastAsia="Times New Roman"/>
                      <w:noProof/>
                      <w:sz w:val="22"/>
                      <w:lang w:val="en-IE" w:eastAsia="en-IE"/>
                    </w:rPr>
                    <w:t> </w:t>
                  </w:r>
                </w:p>
              </w:tc>
              <w:tc>
                <w:tcPr>
                  <w:tcW w:w="4332" w:type="dxa"/>
                  <w:tcBorders>
                    <w:top w:val="single" w:sz="6" w:space="0" w:color="auto"/>
                    <w:left w:val="single" w:sz="6" w:space="0" w:color="auto"/>
                    <w:bottom w:val="single" w:sz="6" w:space="0" w:color="auto"/>
                    <w:right w:val="single" w:sz="6" w:space="0" w:color="auto"/>
                  </w:tcBorders>
                  <w:hideMark/>
                </w:tcPr>
                <w:p w14:paraId="6CB39947"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ENISA shall </w:t>
                  </w:r>
                  <w:r>
                    <w:rPr>
                      <w:rFonts w:eastAsia="Times New Roman"/>
                      <w:b/>
                      <w:bCs/>
                      <w:noProof/>
                      <w:sz w:val="22"/>
                      <w:lang w:eastAsia="en-IE"/>
                    </w:rPr>
                    <w:t>carry out</w:t>
                  </w:r>
                  <w:r w:rsidRPr="006F001C">
                    <w:rPr>
                      <w:rFonts w:eastAsia="Times New Roman"/>
                      <w:b/>
                      <w:bCs/>
                      <w:noProof/>
                      <w:sz w:val="22"/>
                      <w:lang w:eastAsia="en-IE"/>
                    </w:rPr>
                    <w:t xml:space="preserve"> and disseminate analys</w:t>
                  </w:r>
                  <w:r>
                    <w:rPr>
                      <w:rFonts w:eastAsia="Times New Roman"/>
                      <w:b/>
                      <w:bCs/>
                      <w:noProof/>
                      <w:sz w:val="22"/>
                      <w:lang w:eastAsia="en-IE"/>
                    </w:rPr>
                    <w:t>e</w:t>
                  </w:r>
                  <w:r w:rsidRPr="006F001C">
                    <w:rPr>
                      <w:rFonts w:eastAsia="Times New Roman"/>
                      <w:b/>
                      <w:bCs/>
                      <w:noProof/>
                      <w:sz w:val="22"/>
                      <w:lang w:eastAsia="en-IE"/>
                    </w:rPr>
                    <w:t>s</w:t>
                  </w:r>
                  <w:r w:rsidRPr="006F001C">
                    <w:rPr>
                      <w:rFonts w:eastAsia="Times New Roman"/>
                      <w:noProof/>
                      <w:sz w:val="22"/>
                      <w:lang w:eastAsia="en-IE"/>
                    </w:rPr>
                    <w:t xml:space="preserve"> of technological cybersecurity trends, in particular in relation to </w:t>
                  </w:r>
                  <w:r>
                    <w:rPr>
                      <w:rFonts w:eastAsia="Times New Roman"/>
                      <w:noProof/>
                      <w:sz w:val="22"/>
                      <w:lang w:eastAsia="en-IE"/>
                    </w:rPr>
                    <w:t xml:space="preserve">activities and entities falling within </w:t>
                  </w:r>
                  <w:r w:rsidRPr="006F001C">
                    <w:rPr>
                      <w:rFonts w:eastAsia="Times New Roman"/>
                      <w:noProof/>
                      <w:sz w:val="22"/>
                      <w:lang w:eastAsia="en-IE"/>
                    </w:rPr>
                    <w:t xml:space="preserve">the scope of Directive (EU) 2022/2555 and products with digital elements falling within the scope of Regulation </w:t>
                  </w:r>
                  <w:r>
                    <w:rPr>
                      <w:rFonts w:eastAsia="Times New Roman"/>
                      <w:noProof/>
                      <w:sz w:val="22"/>
                      <w:lang w:eastAsia="en-IE"/>
                    </w:rPr>
                    <w:t xml:space="preserve">(EU) </w:t>
                  </w:r>
                  <w:r w:rsidRPr="006F001C">
                    <w:rPr>
                      <w:rFonts w:eastAsia="Times New Roman"/>
                      <w:noProof/>
                      <w:sz w:val="22"/>
                      <w:lang w:eastAsia="en-IE"/>
                    </w:rPr>
                    <w:t>2024/2847.</w:t>
                  </w:r>
                  <w:r w:rsidRPr="006F001C">
                    <w:rPr>
                      <w:rFonts w:eastAsia="Times New Roman"/>
                      <w:noProof/>
                      <w:sz w:val="22"/>
                      <w:lang w:val="en-IE" w:eastAsia="en-IE"/>
                    </w:rPr>
                    <w:t> </w:t>
                  </w:r>
                </w:p>
              </w:tc>
              <w:tc>
                <w:tcPr>
                  <w:tcW w:w="3015" w:type="dxa"/>
                  <w:tcBorders>
                    <w:top w:val="single" w:sz="6" w:space="0" w:color="auto"/>
                    <w:left w:val="single" w:sz="6" w:space="0" w:color="auto"/>
                    <w:bottom w:val="single" w:sz="6" w:space="0" w:color="auto"/>
                    <w:right w:val="single" w:sz="6" w:space="0" w:color="auto"/>
                  </w:tcBorders>
                  <w:hideMark/>
                </w:tcPr>
                <w:p w14:paraId="410C2344"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ENISA</w:t>
                  </w:r>
                  <w:r w:rsidRPr="006F001C">
                    <w:rPr>
                      <w:rFonts w:eastAsia="Times New Roman"/>
                      <w:noProof/>
                      <w:sz w:val="22"/>
                      <w:lang w:val="en-IE" w:eastAsia="en-IE"/>
                    </w:rPr>
                    <w:t> </w:t>
                  </w:r>
                </w:p>
                <w:p w14:paraId="09B1C5E4"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General public, stakeholders within the sense of Directive (EU) 2022/2555 and Regulation (EU) 2024/2847</w:t>
                  </w:r>
                  <w:r w:rsidRPr="006F001C">
                    <w:rPr>
                      <w:rFonts w:eastAsia="Times New Roman"/>
                      <w:noProof/>
                      <w:sz w:val="22"/>
                      <w:lang w:val="en-IE" w:eastAsia="en-IE"/>
                    </w:rPr>
                    <w:t> </w:t>
                  </w:r>
                </w:p>
              </w:tc>
              <w:tc>
                <w:tcPr>
                  <w:tcW w:w="3040" w:type="dxa"/>
                  <w:tcBorders>
                    <w:top w:val="single" w:sz="6" w:space="0" w:color="auto"/>
                    <w:left w:val="single" w:sz="6" w:space="0" w:color="auto"/>
                    <w:bottom w:val="single" w:sz="6" w:space="0" w:color="auto"/>
                    <w:right w:val="single" w:sz="6" w:space="0" w:color="auto"/>
                  </w:tcBorders>
                  <w:hideMark/>
                </w:tcPr>
                <w:p w14:paraId="04017BAC"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Perform and disseminate analysis</w:t>
                  </w:r>
                  <w:r w:rsidRPr="006F001C">
                    <w:rPr>
                      <w:rFonts w:eastAsia="Times New Roman"/>
                      <w:noProof/>
                      <w:sz w:val="22"/>
                      <w:lang w:val="en-IE" w:eastAsia="en-IE"/>
                    </w:rPr>
                    <w:t> </w:t>
                  </w:r>
                </w:p>
              </w:tc>
              <w:tc>
                <w:tcPr>
                  <w:tcW w:w="1281" w:type="dxa"/>
                  <w:tcBorders>
                    <w:top w:val="single" w:sz="6" w:space="0" w:color="auto"/>
                    <w:left w:val="single" w:sz="6" w:space="0" w:color="auto"/>
                    <w:bottom w:val="single" w:sz="6" w:space="0" w:color="auto"/>
                    <w:right w:val="single" w:sz="6" w:space="0" w:color="auto"/>
                  </w:tcBorders>
                  <w:hideMark/>
                </w:tcPr>
                <w:p w14:paraId="47F21FAB"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processing</w:t>
                  </w:r>
                  <w:r w:rsidRPr="006F001C">
                    <w:rPr>
                      <w:rFonts w:eastAsia="Times New Roman"/>
                      <w:noProof/>
                      <w:sz w:val="22"/>
                      <w:lang w:val="en-IE" w:eastAsia="en-IE"/>
                    </w:rPr>
                    <w:t> </w:t>
                  </w:r>
                </w:p>
                <w:p w14:paraId="2EB5C714"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flow</w:t>
                  </w:r>
                  <w:r w:rsidRPr="006F001C">
                    <w:rPr>
                      <w:rFonts w:eastAsia="Times New Roman"/>
                      <w:noProof/>
                      <w:sz w:val="22"/>
                      <w:lang w:val="en-IE" w:eastAsia="en-IE"/>
                    </w:rPr>
                    <w:t> </w:t>
                  </w:r>
                </w:p>
              </w:tc>
            </w:tr>
            <w:tr w:rsidR="007A5304" w:rsidRPr="006F001C" w14:paraId="6B08886F" w14:textId="77777777">
              <w:trPr>
                <w:trHeight w:val="2385"/>
              </w:trPr>
              <w:tc>
                <w:tcPr>
                  <w:tcW w:w="2887" w:type="dxa"/>
                  <w:tcBorders>
                    <w:top w:val="single" w:sz="6" w:space="0" w:color="auto"/>
                    <w:left w:val="single" w:sz="6" w:space="0" w:color="auto"/>
                    <w:bottom w:val="single" w:sz="6" w:space="0" w:color="auto"/>
                    <w:right w:val="single" w:sz="6" w:space="0" w:color="auto"/>
                  </w:tcBorders>
                  <w:hideMark/>
                </w:tcPr>
                <w:p w14:paraId="1FB35F44"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Article 8(3) Market knowledge and support for ecosystems</w:t>
                  </w:r>
                  <w:r w:rsidRPr="006F001C">
                    <w:rPr>
                      <w:rFonts w:eastAsia="Times New Roman"/>
                      <w:noProof/>
                      <w:sz w:val="22"/>
                      <w:lang w:val="en-IE" w:eastAsia="en-IE"/>
                    </w:rPr>
                    <w:t> </w:t>
                  </w:r>
                </w:p>
              </w:tc>
              <w:tc>
                <w:tcPr>
                  <w:tcW w:w="4332" w:type="dxa"/>
                  <w:tcBorders>
                    <w:top w:val="single" w:sz="6" w:space="0" w:color="auto"/>
                    <w:left w:val="single" w:sz="6" w:space="0" w:color="auto"/>
                    <w:bottom w:val="single" w:sz="6" w:space="0" w:color="auto"/>
                    <w:right w:val="single" w:sz="6" w:space="0" w:color="auto"/>
                  </w:tcBorders>
                  <w:hideMark/>
                </w:tcPr>
                <w:p w14:paraId="3F5A67C7"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ENISA shall build knowledge and </w:t>
                  </w:r>
                  <w:r w:rsidRPr="006F001C">
                    <w:rPr>
                      <w:rFonts w:eastAsia="Times New Roman"/>
                      <w:b/>
                      <w:bCs/>
                      <w:noProof/>
                      <w:sz w:val="22"/>
                      <w:lang w:eastAsia="en-IE"/>
                    </w:rPr>
                    <w:t>disseminate technical advice and analyses</w:t>
                  </w:r>
                  <w:r w:rsidRPr="006F001C">
                    <w:rPr>
                      <w:rFonts w:eastAsia="Times New Roman"/>
                      <w:noProof/>
                      <w:sz w:val="22"/>
                      <w:lang w:eastAsia="en-IE"/>
                    </w:rPr>
                    <w:t> </w:t>
                  </w:r>
                  <w:r>
                    <w:rPr>
                      <w:rFonts w:eastAsia="Times New Roman"/>
                      <w:noProof/>
                      <w:sz w:val="22"/>
                      <w:lang w:eastAsia="en-IE"/>
                    </w:rPr>
                    <w:t>o</w:t>
                  </w:r>
                  <w:r w:rsidRPr="006F001C">
                    <w:rPr>
                      <w:rFonts w:eastAsia="Times New Roman"/>
                      <w:noProof/>
                      <w:sz w:val="22"/>
                      <w:lang w:eastAsia="en-IE"/>
                    </w:rPr>
                    <w:t>n state-of-the-art cybersecurity tools, frameworks standards and best practices.</w:t>
                  </w:r>
                  <w:r w:rsidRPr="006F001C">
                    <w:rPr>
                      <w:rFonts w:eastAsia="Times New Roman"/>
                      <w:noProof/>
                      <w:sz w:val="22"/>
                      <w:lang w:val="en-IE" w:eastAsia="en-IE"/>
                    </w:rPr>
                    <w:t> </w:t>
                  </w:r>
                </w:p>
              </w:tc>
              <w:tc>
                <w:tcPr>
                  <w:tcW w:w="3015" w:type="dxa"/>
                  <w:tcBorders>
                    <w:top w:val="single" w:sz="6" w:space="0" w:color="auto"/>
                    <w:left w:val="single" w:sz="6" w:space="0" w:color="auto"/>
                    <w:bottom w:val="single" w:sz="6" w:space="0" w:color="auto"/>
                    <w:right w:val="single" w:sz="6" w:space="0" w:color="auto"/>
                  </w:tcBorders>
                  <w:hideMark/>
                </w:tcPr>
                <w:p w14:paraId="0A4C205A"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ENISA</w:t>
                  </w:r>
                  <w:r w:rsidRPr="006F001C">
                    <w:rPr>
                      <w:rFonts w:eastAsia="Times New Roman"/>
                      <w:noProof/>
                      <w:sz w:val="22"/>
                      <w:lang w:val="en-IE" w:eastAsia="en-IE"/>
                    </w:rPr>
                    <w:t> </w:t>
                  </w:r>
                </w:p>
                <w:p w14:paraId="2581D51E"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General public</w:t>
                  </w:r>
                  <w:r w:rsidRPr="006F001C">
                    <w:rPr>
                      <w:rFonts w:eastAsia="Times New Roman"/>
                      <w:noProof/>
                      <w:sz w:val="22"/>
                      <w:lang w:val="en-IE" w:eastAsia="en-IE"/>
                    </w:rPr>
                    <w:t> </w:t>
                  </w:r>
                </w:p>
              </w:tc>
              <w:tc>
                <w:tcPr>
                  <w:tcW w:w="3040" w:type="dxa"/>
                  <w:tcBorders>
                    <w:top w:val="single" w:sz="6" w:space="0" w:color="auto"/>
                    <w:left w:val="single" w:sz="6" w:space="0" w:color="auto"/>
                    <w:bottom w:val="single" w:sz="6" w:space="0" w:color="auto"/>
                    <w:right w:val="single" w:sz="6" w:space="0" w:color="auto"/>
                  </w:tcBorders>
                  <w:hideMark/>
                </w:tcPr>
                <w:p w14:paraId="00D9B120"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Disseminate technical advice and analyses in state-of-the-art cybersecurity tools, frameworks standards and best practices.</w:t>
                  </w:r>
                  <w:r w:rsidRPr="006F001C">
                    <w:rPr>
                      <w:rFonts w:eastAsia="Times New Roman"/>
                      <w:noProof/>
                      <w:sz w:val="22"/>
                      <w:lang w:val="en-IE" w:eastAsia="en-IE"/>
                    </w:rPr>
                    <w:t> </w:t>
                  </w:r>
                </w:p>
              </w:tc>
              <w:tc>
                <w:tcPr>
                  <w:tcW w:w="1281" w:type="dxa"/>
                  <w:tcBorders>
                    <w:top w:val="single" w:sz="6" w:space="0" w:color="auto"/>
                    <w:left w:val="single" w:sz="6" w:space="0" w:color="auto"/>
                    <w:bottom w:val="single" w:sz="6" w:space="0" w:color="auto"/>
                    <w:right w:val="single" w:sz="6" w:space="0" w:color="auto"/>
                  </w:tcBorders>
                  <w:hideMark/>
                </w:tcPr>
                <w:p w14:paraId="3A6CC835"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processing</w:t>
                  </w:r>
                  <w:r w:rsidRPr="006F001C">
                    <w:rPr>
                      <w:rFonts w:eastAsia="Times New Roman"/>
                      <w:noProof/>
                      <w:sz w:val="22"/>
                      <w:lang w:val="en-IE" w:eastAsia="en-IE"/>
                    </w:rPr>
                    <w:t> </w:t>
                  </w:r>
                </w:p>
                <w:p w14:paraId="7A4959D7"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flow</w:t>
                  </w:r>
                  <w:r w:rsidRPr="006F001C">
                    <w:rPr>
                      <w:rFonts w:eastAsia="Times New Roman"/>
                      <w:noProof/>
                      <w:sz w:val="22"/>
                      <w:lang w:val="en-IE" w:eastAsia="en-IE"/>
                    </w:rPr>
                    <w:t> </w:t>
                  </w:r>
                </w:p>
              </w:tc>
            </w:tr>
            <w:tr w:rsidR="007A5304" w:rsidRPr="006F001C" w14:paraId="07A87A53" w14:textId="77777777">
              <w:trPr>
                <w:trHeight w:val="2235"/>
              </w:trPr>
              <w:tc>
                <w:tcPr>
                  <w:tcW w:w="2887" w:type="dxa"/>
                  <w:tcBorders>
                    <w:top w:val="single" w:sz="6" w:space="0" w:color="auto"/>
                    <w:left w:val="single" w:sz="6" w:space="0" w:color="auto"/>
                    <w:bottom w:val="single" w:sz="6" w:space="0" w:color="auto"/>
                    <w:right w:val="single" w:sz="6" w:space="0" w:color="auto"/>
                  </w:tcBorders>
                  <w:hideMark/>
                </w:tcPr>
                <w:p w14:paraId="416709ED"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Article 9</w:t>
                  </w:r>
                  <w:r w:rsidRPr="006F001C">
                    <w:rPr>
                      <w:rFonts w:eastAsia="Times New Roman"/>
                      <w:noProof/>
                      <w:sz w:val="22"/>
                      <w:lang w:val="en-IE" w:eastAsia="en-IE"/>
                    </w:rPr>
                    <w:t> </w:t>
                  </w:r>
                </w:p>
                <w:p w14:paraId="28F4AFD3"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International cooperation</w:t>
                  </w:r>
                  <w:r w:rsidRPr="006F001C">
                    <w:rPr>
                      <w:rFonts w:eastAsia="Times New Roman"/>
                      <w:noProof/>
                      <w:sz w:val="22"/>
                      <w:lang w:val="en-IE" w:eastAsia="en-IE"/>
                    </w:rPr>
                    <w:t> </w:t>
                  </w:r>
                </w:p>
                <w:p w14:paraId="4E0A0C9D"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val="en-IE" w:eastAsia="en-IE"/>
                    </w:rPr>
                    <w:t> </w:t>
                  </w:r>
                </w:p>
              </w:tc>
              <w:tc>
                <w:tcPr>
                  <w:tcW w:w="4332" w:type="dxa"/>
                  <w:tcBorders>
                    <w:top w:val="single" w:sz="6" w:space="0" w:color="auto"/>
                    <w:left w:val="single" w:sz="6" w:space="0" w:color="auto"/>
                    <w:bottom w:val="single" w:sz="6" w:space="0" w:color="auto"/>
                    <w:right w:val="single" w:sz="6" w:space="0" w:color="auto"/>
                  </w:tcBorders>
                  <w:hideMark/>
                </w:tcPr>
                <w:p w14:paraId="7292D081"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ENISA shall contribute by analysing and reporting to the Management Board on the outcome of international exercises, facilitating the exchange of best practices, providing the Commission with expertise, advice.</w:t>
                  </w:r>
                  <w:r w:rsidRPr="006F001C">
                    <w:rPr>
                      <w:rFonts w:eastAsia="Times New Roman"/>
                      <w:noProof/>
                      <w:sz w:val="22"/>
                      <w:lang w:val="en-IE" w:eastAsia="en-IE"/>
                    </w:rPr>
                    <w:t> </w:t>
                  </w:r>
                </w:p>
              </w:tc>
              <w:tc>
                <w:tcPr>
                  <w:tcW w:w="3015" w:type="dxa"/>
                  <w:tcBorders>
                    <w:top w:val="single" w:sz="6" w:space="0" w:color="auto"/>
                    <w:left w:val="single" w:sz="6" w:space="0" w:color="auto"/>
                    <w:bottom w:val="single" w:sz="6" w:space="0" w:color="auto"/>
                    <w:right w:val="single" w:sz="6" w:space="0" w:color="auto"/>
                  </w:tcBorders>
                  <w:hideMark/>
                </w:tcPr>
                <w:p w14:paraId="0555CD2B"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International audience </w:t>
                  </w:r>
                  <w:r w:rsidRPr="006F001C">
                    <w:rPr>
                      <w:rFonts w:eastAsia="Times New Roman"/>
                      <w:noProof/>
                      <w:sz w:val="22"/>
                      <w:lang w:val="en-IE" w:eastAsia="en-IE"/>
                    </w:rPr>
                    <w:t> </w:t>
                  </w:r>
                </w:p>
                <w:p w14:paraId="47AC981A"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ENISA</w:t>
                  </w:r>
                  <w:r w:rsidRPr="006F001C">
                    <w:rPr>
                      <w:rFonts w:eastAsia="Times New Roman"/>
                      <w:noProof/>
                      <w:sz w:val="22"/>
                      <w:lang w:val="en-IE" w:eastAsia="en-IE"/>
                    </w:rPr>
                    <w:t> </w:t>
                  </w:r>
                </w:p>
                <w:p w14:paraId="4354011A"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Management Board of ENISA</w:t>
                  </w:r>
                  <w:r w:rsidRPr="006F001C">
                    <w:rPr>
                      <w:rFonts w:eastAsia="Times New Roman"/>
                      <w:noProof/>
                      <w:sz w:val="22"/>
                      <w:lang w:val="en-IE" w:eastAsia="en-IE"/>
                    </w:rPr>
                    <w:t> </w:t>
                  </w:r>
                </w:p>
                <w:p w14:paraId="08BB0C41"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EU Commission</w:t>
                  </w:r>
                  <w:r w:rsidRPr="006F001C">
                    <w:rPr>
                      <w:rFonts w:eastAsia="Times New Roman"/>
                      <w:noProof/>
                      <w:sz w:val="22"/>
                      <w:lang w:val="en-IE" w:eastAsia="en-IE"/>
                    </w:rPr>
                    <w:t> </w:t>
                  </w:r>
                </w:p>
              </w:tc>
              <w:tc>
                <w:tcPr>
                  <w:tcW w:w="3040" w:type="dxa"/>
                  <w:tcBorders>
                    <w:top w:val="single" w:sz="6" w:space="0" w:color="auto"/>
                    <w:left w:val="single" w:sz="6" w:space="0" w:color="auto"/>
                    <w:bottom w:val="single" w:sz="6" w:space="0" w:color="auto"/>
                    <w:right w:val="single" w:sz="6" w:space="0" w:color="auto"/>
                  </w:tcBorders>
                  <w:hideMark/>
                </w:tcPr>
                <w:p w14:paraId="0AD1C9DF"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Analysing and reporting; providing advice etc.</w:t>
                  </w:r>
                  <w:r w:rsidRPr="006F001C">
                    <w:rPr>
                      <w:rFonts w:eastAsia="Times New Roman"/>
                      <w:noProof/>
                      <w:sz w:val="22"/>
                      <w:lang w:val="en-IE" w:eastAsia="en-IE"/>
                    </w:rPr>
                    <w:t> </w:t>
                  </w:r>
                </w:p>
                <w:p w14:paraId="2D3A2297"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val="en-IE" w:eastAsia="en-IE"/>
                    </w:rPr>
                    <w:t> </w:t>
                  </w:r>
                </w:p>
              </w:tc>
              <w:tc>
                <w:tcPr>
                  <w:tcW w:w="1281" w:type="dxa"/>
                  <w:tcBorders>
                    <w:top w:val="single" w:sz="6" w:space="0" w:color="auto"/>
                    <w:left w:val="single" w:sz="6" w:space="0" w:color="auto"/>
                    <w:bottom w:val="single" w:sz="6" w:space="0" w:color="auto"/>
                    <w:right w:val="single" w:sz="6" w:space="0" w:color="auto"/>
                  </w:tcBorders>
                  <w:hideMark/>
                </w:tcPr>
                <w:p w14:paraId="2A4DC5A3"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processing</w:t>
                  </w:r>
                  <w:r w:rsidRPr="006F001C">
                    <w:rPr>
                      <w:rFonts w:eastAsia="Times New Roman"/>
                      <w:noProof/>
                      <w:sz w:val="22"/>
                      <w:lang w:val="en-IE" w:eastAsia="en-IE"/>
                    </w:rPr>
                    <w:t> </w:t>
                  </w:r>
                </w:p>
                <w:p w14:paraId="04A3BC56"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flow</w:t>
                  </w:r>
                  <w:r w:rsidRPr="006F001C">
                    <w:rPr>
                      <w:rFonts w:eastAsia="Times New Roman"/>
                      <w:noProof/>
                      <w:sz w:val="22"/>
                      <w:lang w:val="en-IE" w:eastAsia="en-IE"/>
                    </w:rPr>
                    <w:t> </w:t>
                  </w:r>
                </w:p>
                <w:p w14:paraId="187CD29C"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val="en-IE" w:eastAsia="en-IE"/>
                    </w:rPr>
                    <w:t> </w:t>
                  </w:r>
                </w:p>
              </w:tc>
            </w:tr>
            <w:tr w:rsidR="007A5304" w:rsidRPr="006F001C" w14:paraId="49CFF332" w14:textId="77777777">
              <w:trPr>
                <w:trHeight w:val="765"/>
              </w:trPr>
              <w:tc>
                <w:tcPr>
                  <w:tcW w:w="2887" w:type="dxa"/>
                  <w:tcBorders>
                    <w:top w:val="single" w:sz="6" w:space="0" w:color="auto"/>
                    <w:left w:val="single" w:sz="6" w:space="0" w:color="auto"/>
                    <w:bottom w:val="single" w:sz="6" w:space="0" w:color="auto"/>
                    <w:right w:val="single" w:sz="6" w:space="0" w:color="auto"/>
                  </w:tcBorders>
                  <w:hideMark/>
                </w:tcPr>
                <w:p w14:paraId="656978D9"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Article 10(2) and (3)</w:t>
                  </w:r>
                  <w:r w:rsidRPr="006F001C">
                    <w:rPr>
                      <w:rFonts w:eastAsia="Times New Roman"/>
                      <w:noProof/>
                      <w:sz w:val="22"/>
                      <w:lang w:val="en-IE" w:eastAsia="en-IE"/>
                    </w:rPr>
                    <w:t> </w:t>
                  </w:r>
                </w:p>
                <w:p w14:paraId="1A4E0D9A"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Operational cooperation</w:t>
                  </w:r>
                  <w:r w:rsidRPr="006F001C">
                    <w:rPr>
                      <w:rFonts w:eastAsia="Times New Roman"/>
                      <w:noProof/>
                      <w:sz w:val="22"/>
                      <w:lang w:val="en-IE" w:eastAsia="en-IE"/>
                    </w:rPr>
                    <w:t> </w:t>
                  </w:r>
                </w:p>
              </w:tc>
              <w:tc>
                <w:tcPr>
                  <w:tcW w:w="4332" w:type="dxa"/>
                  <w:tcBorders>
                    <w:top w:val="single" w:sz="6" w:space="0" w:color="auto"/>
                    <w:left w:val="single" w:sz="6" w:space="0" w:color="auto"/>
                    <w:bottom w:val="single" w:sz="6" w:space="0" w:color="auto"/>
                    <w:right w:val="single" w:sz="6" w:space="0" w:color="auto"/>
                  </w:tcBorders>
                  <w:hideMark/>
                </w:tcPr>
                <w:p w14:paraId="3F6C8E95"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2.</w:t>
                  </w:r>
                  <w:r w:rsidRPr="006F001C">
                    <w:rPr>
                      <w:rFonts w:ascii="Calibri" w:eastAsia="Times New Roman" w:hAnsi="Calibri" w:cs="Calibri"/>
                      <w:noProof/>
                      <w:sz w:val="22"/>
                      <w:lang w:val="en-IE" w:eastAsia="en-IE"/>
                    </w:rPr>
                    <w:tab/>
                  </w:r>
                  <w:r w:rsidRPr="006F001C">
                    <w:rPr>
                      <w:rFonts w:eastAsia="Times New Roman"/>
                      <w:noProof/>
                      <w:sz w:val="22"/>
                      <w:lang w:eastAsia="en-IE"/>
                    </w:rPr>
                    <w:t>ENISA shall be a member of the network of national CSIRTs established pursuant to Article 15(1) of Directive (EU) 2022/2555</w:t>
                  </w:r>
                  <w:r>
                    <w:rPr>
                      <w:rFonts w:eastAsia="Times New Roman"/>
                      <w:noProof/>
                      <w:sz w:val="22"/>
                      <w:lang w:eastAsia="en-IE"/>
                    </w:rPr>
                    <w:t xml:space="preserve"> and</w:t>
                  </w:r>
                  <w:r w:rsidRPr="006F001C">
                    <w:rPr>
                      <w:rFonts w:eastAsia="Times New Roman"/>
                      <w:noProof/>
                      <w:sz w:val="22"/>
                      <w:lang w:eastAsia="en-IE"/>
                    </w:rPr>
                    <w:t xml:space="preserve"> shall </w:t>
                  </w:r>
                  <w:r w:rsidRPr="006F001C">
                    <w:rPr>
                      <w:rFonts w:eastAsia="Times New Roman"/>
                      <w:b/>
                      <w:bCs/>
                      <w:noProof/>
                      <w:sz w:val="22"/>
                      <w:lang w:eastAsia="en-IE"/>
                    </w:rPr>
                    <w:t>provide the secretariat</w:t>
                  </w:r>
                  <w:r w:rsidRPr="006F001C">
                    <w:rPr>
                      <w:rFonts w:eastAsia="Times New Roman"/>
                      <w:noProof/>
                      <w:sz w:val="22"/>
                      <w:lang w:eastAsia="en-IE"/>
                    </w:rPr>
                    <w:t> of the CSIRTs network pursuant to Article 15(2) of Directive (EU) 2022/2555.</w:t>
                  </w:r>
                  <w:r w:rsidRPr="006F001C">
                    <w:rPr>
                      <w:rFonts w:eastAsia="Times New Roman"/>
                      <w:noProof/>
                      <w:sz w:val="22"/>
                      <w:lang w:val="en-IE" w:eastAsia="en-IE"/>
                    </w:rPr>
                    <w:t> </w:t>
                  </w:r>
                </w:p>
                <w:p w14:paraId="42A6C877"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3.</w:t>
                  </w:r>
                  <w:r w:rsidRPr="006F001C">
                    <w:rPr>
                      <w:rFonts w:ascii="Calibri" w:eastAsia="Times New Roman" w:hAnsi="Calibri" w:cs="Calibri"/>
                      <w:noProof/>
                      <w:sz w:val="22"/>
                      <w:lang w:val="en-IE" w:eastAsia="en-IE"/>
                    </w:rPr>
                    <w:tab/>
                  </w:r>
                  <w:r w:rsidRPr="006F001C">
                    <w:rPr>
                      <w:rFonts w:eastAsia="Times New Roman"/>
                      <w:noProof/>
                      <w:sz w:val="22"/>
                      <w:lang w:eastAsia="en-IE"/>
                    </w:rPr>
                    <w:t>ENISA shall </w:t>
                  </w:r>
                  <w:r w:rsidRPr="006F001C">
                    <w:rPr>
                      <w:rFonts w:eastAsia="Times New Roman"/>
                      <w:b/>
                      <w:bCs/>
                      <w:noProof/>
                      <w:sz w:val="22"/>
                      <w:lang w:eastAsia="en-IE"/>
                    </w:rPr>
                    <w:t>provide the secretariat</w:t>
                  </w:r>
                  <w:r w:rsidRPr="006F001C">
                    <w:rPr>
                      <w:rFonts w:eastAsia="Times New Roman"/>
                      <w:noProof/>
                      <w:sz w:val="22"/>
                      <w:lang w:eastAsia="en-IE"/>
                    </w:rPr>
                    <w:t xml:space="preserve"> of </w:t>
                  </w:r>
                  <w:r w:rsidRPr="004F4445">
                    <w:rPr>
                      <w:rFonts w:eastAsia="Times New Roman"/>
                      <w:noProof/>
                      <w:sz w:val="22"/>
                      <w:lang w:eastAsia="en-IE"/>
                    </w:rPr>
                    <w:t>the European cyber crisis liaison organisation network (</w:t>
                  </w:r>
                  <w:r w:rsidRPr="006F001C">
                    <w:rPr>
                      <w:rFonts w:eastAsia="Times New Roman"/>
                      <w:noProof/>
                      <w:sz w:val="22"/>
                      <w:lang w:eastAsia="en-IE"/>
                    </w:rPr>
                    <w:t>EU-CyCLONe</w:t>
                  </w:r>
                  <w:r>
                    <w:rPr>
                      <w:rFonts w:eastAsia="Times New Roman"/>
                      <w:noProof/>
                      <w:sz w:val="22"/>
                      <w:lang w:eastAsia="en-IE"/>
                    </w:rPr>
                    <w:t>)</w:t>
                  </w:r>
                  <w:r w:rsidRPr="006F001C">
                    <w:rPr>
                      <w:rFonts w:eastAsia="Times New Roman"/>
                      <w:noProof/>
                      <w:sz w:val="22"/>
                      <w:lang w:eastAsia="en-IE"/>
                    </w:rPr>
                    <w:t> pursuant to Article 16(2)</w:t>
                  </w:r>
                  <w:r>
                    <w:rPr>
                      <w:rFonts w:eastAsia="Times New Roman"/>
                      <w:noProof/>
                      <w:sz w:val="22"/>
                      <w:lang w:eastAsia="en-IE"/>
                    </w:rPr>
                    <w:t>, second subparagraph,</w:t>
                  </w:r>
                  <w:r w:rsidRPr="006F001C">
                    <w:rPr>
                      <w:rFonts w:eastAsia="Times New Roman"/>
                      <w:noProof/>
                      <w:sz w:val="22"/>
                      <w:lang w:eastAsia="en-IE"/>
                    </w:rPr>
                    <w:t xml:space="preserve"> of Directive (EU) 2022/2555.</w:t>
                  </w:r>
                  <w:r w:rsidRPr="006F001C">
                    <w:rPr>
                      <w:rFonts w:eastAsia="Times New Roman"/>
                      <w:noProof/>
                      <w:sz w:val="22"/>
                      <w:lang w:val="en-IE" w:eastAsia="en-IE"/>
                    </w:rPr>
                    <w:t> </w:t>
                  </w:r>
                </w:p>
              </w:tc>
              <w:tc>
                <w:tcPr>
                  <w:tcW w:w="3015" w:type="dxa"/>
                  <w:tcBorders>
                    <w:top w:val="single" w:sz="6" w:space="0" w:color="auto"/>
                    <w:left w:val="single" w:sz="6" w:space="0" w:color="auto"/>
                    <w:bottom w:val="single" w:sz="6" w:space="0" w:color="auto"/>
                    <w:right w:val="single" w:sz="6" w:space="0" w:color="auto"/>
                  </w:tcBorders>
                  <w:hideMark/>
                </w:tcPr>
                <w:p w14:paraId="13654B02" w14:textId="77777777" w:rsidR="007A5304" w:rsidRPr="00291CE2" w:rsidRDefault="007A5304">
                  <w:pPr>
                    <w:spacing w:before="0" w:after="0"/>
                    <w:jc w:val="left"/>
                    <w:textAlignment w:val="baseline"/>
                    <w:rPr>
                      <w:rFonts w:ascii="Segoe UI" w:eastAsia="Times New Roman" w:hAnsi="Segoe UI" w:cs="Segoe UI"/>
                      <w:noProof/>
                      <w:sz w:val="18"/>
                      <w:szCs w:val="18"/>
                      <w:lang w:val="fr-BE" w:eastAsia="en-IE"/>
                    </w:rPr>
                  </w:pPr>
                  <w:r w:rsidRPr="00291CE2">
                    <w:rPr>
                      <w:rFonts w:eastAsia="Times New Roman"/>
                      <w:noProof/>
                      <w:sz w:val="22"/>
                      <w:lang w:val="fr-BE" w:eastAsia="en-IE"/>
                    </w:rPr>
                    <w:t>ENISA </w:t>
                  </w:r>
                </w:p>
                <w:p w14:paraId="2FFB5409" w14:textId="77777777" w:rsidR="007A5304" w:rsidRPr="00291CE2" w:rsidRDefault="007A5304">
                  <w:pPr>
                    <w:spacing w:before="0" w:after="0"/>
                    <w:jc w:val="left"/>
                    <w:textAlignment w:val="baseline"/>
                    <w:rPr>
                      <w:rFonts w:ascii="Segoe UI" w:eastAsia="Times New Roman" w:hAnsi="Segoe UI" w:cs="Segoe UI"/>
                      <w:noProof/>
                      <w:sz w:val="18"/>
                      <w:szCs w:val="18"/>
                      <w:lang w:val="fr-BE" w:eastAsia="en-IE"/>
                    </w:rPr>
                  </w:pPr>
                  <w:r w:rsidRPr="00291CE2">
                    <w:rPr>
                      <w:rFonts w:eastAsia="Times New Roman"/>
                      <w:noProof/>
                      <w:sz w:val="22"/>
                      <w:lang w:val="fr-BE" w:eastAsia="en-IE"/>
                    </w:rPr>
                    <w:t>CSIRTs (Article 15(1) of Directive (EU) 2022/2555) </w:t>
                  </w:r>
                </w:p>
                <w:p w14:paraId="57D39B9C" w14:textId="77777777" w:rsidR="007A5304" w:rsidRPr="00291CE2" w:rsidRDefault="007A5304">
                  <w:pPr>
                    <w:spacing w:before="0" w:after="0"/>
                    <w:jc w:val="left"/>
                    <w:textAlignment w:val="baseline"/>
                    <w:rPr>
                      <w:rFonts w:ascii="Segoe UI" w:eastAsia="Times New Roman" w:hAnsi="Segoe UI" w:cs="Segoe UI"/>
                      <w:noProof/>
                      <w:sz w:val="18"/>
                      <w:szCs w:val="18"/>
                      <w:lang w:val="fr-BE" w:eastAsia="en-IE"/>
                    </w:rPr>
                  </w:pPr>
                  <w:r w:rsidRPr="00291CE2">
                    <w:rPr>
                      <w:rFonts w:eastAsia="Times New Roman"/>
                      <w:noProof/>
                      <w:sz w:val="22"/>
                      <w:lang w:val="fr-BE" w:eastAsia="en-IE"/>
                    </w:rPr>
                    <w:t>EU-CyCLONe (Article 16(2) of Directive (EU) 2022/2555) </w:t>
                  </w:r>
                </w:p>
              </w:tc>
              <w:tc>
                <w:tcPr>
                  <w:tcW w:w="3040" w:type="dxa"/>
                  <w:tcBorders>
                    <w:top w:val="single" w:sz="6" w:space="0" w:color="auto"/>
                    <w:left w:val="single" w:sz="6" w:space="0" w:color="auto"/>
                    <w:bottom w:val="single" w:sz="6" w:space="0" w:color="auto"/>
                    <w:right w:val="single" w:sz="6" w:space="0" w:color="auto"/>
                  </w:tcBorders>
                  <w:hideMark/>
                </w:tcPr>
                <w:p w14:paraId="6C058E4E"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Facilitating exchange of information, taking the duties of secretariat of networks</w:t>
                  </w:r>
                  <w:r w:rsidRPr="006F001C">
                    <w:rPr>
                      <w:rFonts w:eastAsia="Times New Roman"/>
                      <w:noProof/>
                      <w:sz w:val="22"/>
                      <w:lang w:val="en-IE" w:eastAsia="en-IE"/>
                    </w:rPr>
                    <w:t> </w:t>
                  </w:r>
                </w:p>
              </w:tc>
              <w:tc>
                <w:tcPr>
                  <w:tcW w:w="1281" w:type="dxa"/>
                  <w:tcBorders>
                    <w:top w:val="single" w:sz="6" w:space="0" w:color="auto"/>
                    <w:left w:val="single" w:sz="6" w:space="0" w:color="auto"/>
                    <w:bottom w:val="single" w:sz="6" w:space="0" w:color="auto"/>
                    <w:right w:val="single" w:sz="6" w:space="0" w:color="auto"/>
                  </w:tcBorders>
                  <w:hideMark/>
                </w:tcPr>
                <w:p w14:paraId="2C312FFD"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flow</w:t>
                  </w:r>
                  <w:r w:rsidRPr="006F001C">
                    <w:rPr>
                      <w:rFonts w:eastAsia="Times New Roman"/>
                      <w:noProof/>
                      <w:sz w:val="22"/>
                      <w:lang w:val="en-IE" w:eastAsia="en-IE"/>
                    </w:rPr>
                    <w:t> </w:t>
                  </w:r>
                </w:p>
                <w:p w14:paraId="760AB4E1"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Digital solution</w:t>
                  </w:r>
                  <w:r w:rsidRPr="006F001C">
                    <w:rPr>
                      <w:rFonts w:eastAsia="Times New Roman"/>
                      <w:noProof/>
                      <w:sz w:val="22"/>
                      <w:lang w:val="en-IE" w:eastAsia="en-IE"/>
                    </w:rPr>
                    <w:t> </w:t>
                  </w:r>
                </w:p>
                <w:p w14:paraId="13CA0FE1"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Digital public service </w:t>
                  </w:r>
                  <w:r w:rsidRPr="006F001C">
                    <w:rPr>
                      <w:rFonts w:eastAsia="Times New Roman"/>
                      <w:noProof/>
                      <w:sz w:val="22"/>
                      <w:lang w:val="en-IE" w:eastAsia="en-IE"/>
                    </w:rPr>
                    <w:t> </w:t>
                  </w:r>
                </w:p>
              </w:tc>
            </w:tr>
            <w:tr w:rsidR="007A5304" w:rsidRPr="006F001C" w14:paraId="6A777534" w14:textId="77777777">
              <w:trPr>
                <w:trHeight w:val="3795"/>
              </w:trPr>
              <w:tc>
                <w:tcPr>
                  <w:tcW w:w="2887" w:type="dxa"/>
                  <w:tcBorders>
                    <w:top w:val="single" w:sz="6" w:space="0" w:color="auto"/>
                    <w:left w:val="single" w:sz="6" w:space="0" w:color="auto"/>
                    <w:bottom w:val="single" w:sz="6" w:space="0" w:color="auto"/>
                    <w:right w:val="single" w:sz="6" w:space="0" w:color="auto"/>
                  </w:tcBorders>
                  <w:hideMark/>
                </w:tcPr>
                <w:p w14:paraId="49B19171"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val="en-IE" w:eastAsia="en-IE"/>
                    </w:rPr>
                    <w:t> </w:t>
                  </w:r>
                </w:p>
                <w:p w14:paraId="3C257272"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Article 11(1)(b)</w:t>
                  </w:r>
                  <w:r w:rsidRPr="006F001C">
                    <w:rPr>
                      <w:rFonts w:eastAsia="Times New Roman"/>
                      <w:noProof/>
                      <w:sz w:val="22"/>
                      <w:lang w:val="en-IE" w:eastAsia="en-IE"/>
                    </w:rPr>
                    <w:t> </w:t>
                  </w:r>
                </w:p>
                <w:p w14:paraId="03A44374"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Situational awareness </w:t>
                  </w:r>
                  <w:r w:rsidRPr="006F001C">
                    <w:rPr>
                      <w:rFonts w:eastAsia="Times New Roman"/>
                      <w:noProof/>
                      <w:sz w:val="22"/>
                      <w:lang w:val="en-IE" w:eastAsia="en-IE"/>
                    </w:rPr>
                    <w:t> </w:t>
                  </w:r>
                </w:p>
                <w:p w14:paraId="4FBC69EB"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val="en-IE" w:eastAsia="en-IE"/>
                    </w:rPr>
                    <w:t> </w:t>
                  </w:r>
                </w:p>
                <w:p w14:paraId="0A383FBB"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Article 12</w:t>
                  </w:r>
                  <w:r w:rsidRPr="006F001C">
                    <w:rPr>
                      <w:rFonts w:eastAsia="Times New Roman"/>
                      <w:noProof/>
                      <w:sz w:val="22"/>
                      <w:lang w:val="en-IE" w:eastAsia="en-IE"/>
                    </w:rPr>
                    <w:t> </w:t>
                  </w:r>
                </w:p>
                <w:p w14:paraId="2AF196DE"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Early alerts </w:t>
                  </w:r>
                  <w:r w:rsidRPr="006F001C">
                    <w:rPr>
                      <w:rFonts w:eastAsia="Times New Roman"/>
                      <w:noProof/>
                      <w:sz w:val="22"/>
                      <w:lang w:val="en-IE" w:eastAsia="en-IE"/>
                    </w:rPr>
                    <w:t> </w:t>
                  </w:r>
                </w:p>
              </w:tc>
              <w:tc>
                <w:tcPr>
                  <w:tcW w:w="4332" w:type="dxa"/>
                  <w:tcBorders>
                    <w:top w:val="single" w:sz="6" w:space="0" w:color="auto"/>
                    <w:left w:val="single" w:sz="6" w:space="0" w:color="auto"/>
                    <w:bottom w:val="single" w:sz="6" w:space="0" w:color="auto"/>
                    <w:right w:val="single" w:sz="6" w:space="0" w:color="auto"/>
                  </w:tcBorders>
                  <w:hideMark/>
                </w:tcPr>
                <w:p w14:paraId="11358364"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b/>
                      <w:bCs/>
                      <w:noProof/>
                      <w:sz w:val="22"/>
                      <w:lang w:eastAsia="en-IE"/>
                    </w:rPr>
                    <w:t>issuing early alerts</w:t>
                  </w:r>
                  <w:r w:rsidRPr="006F001C">
                    <w:rPr>
                      <w:rFonts w:eastAsia="Times New Roman"/>
                      <w:noProof/>
                      <w:sz w:val="22"/>
                      <w:lang w:eastAsia="en-IE"/>
                    </w:rPr>
                    <w:t> </w:t>
                  </w:r>
                  <w:r>
                    <w:rPr>
                      <w:rFonts w:eastAsia="Times New Roman"/>
                      <w:noProof/>
                      <w:sz w:val="22"/>
                      <w:lang w:eastAsia="en-IE"/>
                    </w:rPr>
                    <w:t xml:space="preserve">in accordance with </w:t>
                  </w:r>
                  <w:r w:rsidRPr="006F001C">
                    <w:rPr>
                      <w:rFonts w:eastAsia="Times New Roman"/>
                      <w:noProof/>
                      <w:sz w:val="22"/>
                      <w:lang w:eastAsia="en-IE"/>
                    </w:rPr>
                    <w:t>Article 1</w:t>
                  </w:r>
                  <w:r>
                    <w:rPr>
                      <w:rFonts w:eastAsia="Times New Roman"/>
                      <w:noProof/>
                      <w:sz w:val="22"/>
                      <w:lang w:eastAsia="en-IE"/>
                    </w:rPr>
                    <w:t>2</w:t>
                  </w:r>
                  <w:r w:rsidRPr="006F001C">
                    <w:rPr>
                      <w:rFonts w:eastAsia="Times New Roman"/>
                      <w:noProof/>
                      <w:sz w:val="22"/>
                      <w:lang w:val="en-IE" w:eastAsia="en-IE"/>
                    </w:rPr>
                    <w:t> </w:t>
                  </w:r>
                </w:p>
                <w:p w14:paraId="4CFE4468"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val="en-IE" w:eastAsia="en-IE"/>
                    </w:rPr>
                    <w:t> </w:t>
                  </w:r>
                </w:p>
              </w:tc>
              <w:tc>
                <w:tcPr>
                  <w:tcW w:w="3015" w:type="dxa"/>
                  <w:tcBorders>
                    <w:top w:val="single" w:sz="6" w:space="0" w:color="auto"/>
                    <w:left w:val="single" w:sz="6" w:space="0" w:color="auto"/>
                    <w:bottom w:val="single" w:sz="6" w:space="0" w:color="auto"/>
                    <w:right w:val="single" w:sz="6" w:space="0" w:color="auto"/>
                  </w:tcBorders>
                  <w:hideMark/>
                </w:tcPr>
                <w:p w14:paraId="519322A5" w14:textId="77777777" w:rsidR="007A5304" w:rsidRPr="006F001C" w:rsidRDefault="007A5304">
                  <w:pPr>
                    <w:spacing w:before="0" w:after="0"/>
                    <w:jc w:val="left"/>
                    <w:textAlignment w:val="baseline"/>
                    <w:rPr>
                      <w:rFonts w:ascii="Segoe UI" w:eastAsia="Times New Roman" w:hAnsi="Segoe UI" w:cs="Segoe UI"/>
                      <w:noProof/>
                      <w:sz w:val="18"/>
                      <w:szCs w:val="18"/>
                      <w:lang w:val="fr-FR" w:eastAsia="en-IE"/>
                    </w:rPr>
                  </w:pPr>
                  <w:r w:rsidRPr="006F001C">
                    <w:rPr>
                      <w:rFonts w:eastAsia="Times New Roman"/>
                      <w:noProof/>
                      <w:sz w:val="22"/>
                      <w:lang w:val="fr-BE" w:eastAsia="en-IE"/>
                    </w:rPr>
                    <w:t>EU Commission</w:t>
                  </w:r>
                  <w:r w:rsidRPr="006F001C">
                    <w:rPr>
                      <w:rFonts w:eastAsia="Times New Roman"/>
                      <w:noProof/>
                      <w:sz w:val="22"/>
                      <w:lang w:val="fr-FR" w:eastAsia="en-IE"/>
                    </w:rPr>
                    <w:t> </w:t>
                  </w:r>
                </w:p>
                <w:p w14:paraId="14A4FE1E" w14:textId="77777777" w:rsidR="007A5304" w:rsidRPr="006F001C" w:rsidRDefault="007A5304">
                  <w:pPr>
                    <w:spacing w:before="0" w:after="0"/>
                    <w:jc w:val="left"/>
                    <w:textAlignment w:val="baseline"/>
                    <w:rPr>
                      <w:rFonts w:ascii="Segoe UI" w:eastAsia="Times New Roman" w:hAnsi="Segoe UI" w:cs="Segoe UI"/>
                      <w:noProof/>
                      <w:sz w:val="18"/>
                      <w:szCs w:val="18"/>
                      <w:lang w:val="fr-FR" w:eastAsia="en-IE"/>
                    </w:rPr>
                  </w:pPr>
                  <w:r w:rsidRPr="006F001C">
                    <w:rPr>
                      <w:rFonts w:eastAsia="Times New Roman"/>
                      <w:noProof/>
                      <w:sz w:val="22"/>
                      <w:lang w:val="fr-BE" w:eastAsia="en-IE"/>
                    </w:rPr>
                    <w:t>ENISA</w:t>
                  </w:r>
                  <w:r w:rsidRPr="006F001C">
                    <w:rPr>
                      <w:rFonts w:eastAsia="Times New Roman"/>
                      <w:noProof/>
                      <w:sz w:val="22"/>
                      <w:lang w:val="fr-FR" w:eastAsia="en-IE"/>
                    </w:rPr>
                    <w:t> </w:t>
                  </w:r>
                </w:p>
                <w:p w14:paraId="18B58723" w14:textId="77777777" w:rsidR="007A5304" w:rsidRPr="006F001C" w:rsidRDefault="007A5304">
                  <w:pPr>
                    <w:spacing w:before="0" w:after="0"/>
                    <w:jc w:val="left"/>
                    <w:textAlignment w:val="baseline"/>
                    <w:rPr>
                      <w:rFonts w:ascii="Segoe UI" w:eastAsia="Times New Roman" w:hAnsi="Segoe UI" w:cs="Segoe UI"/>
                      <w:noProof/>
                      <w:sz w:val="18"/>
                      <w:szCs w:val="18"/>
                      <w:lang w:val="fr-FR" w:eastAsia="en-IE"/>
                    </w:rPr>
                  </w:pPr>
                  <w:r w:rsidRPr="006F001C">
                    <w:rPr>
                      <w:rFonts w:eastAsia="Times New Roman"/>
                      <w:noProof/>
                      <w:sz w:val="22"/>
                      <w:lang w:val="fr-BE" w:eastAsia="en-IE"/>
                    </w:rPr>
                    <w:t>Europol</w:t>
                  </w:r>
                  <w:r w:rsidRPr="006F001C">
                    <w:rPr>
                      <w:rFonts w:eastAsia="Times New Roman"/>
                      <w:noProof/>
                      <w:sz w:val="22"/>
                      <w:lang w:val="fr-FR" w:eastAsia="en-IE"/>
                    </w:rPr>
                    <w:t> </w:t>
                  </w:r>
                </w:p>
                <w:p w14:paraId="070E1313" w14:textId="77777777" w:rsidR="007A5304" w:rsidRPr="006F001C" w:rsidRDefault="007A5304">
                  <w:pPr>
                    <w:spacing w:before="0" w:after="0"/>
                    <w:jc w:val="left"/>
                    <w:textAlignment w:val="baseline"/>
                    <w:rPr>
                      <w:rFonts w:ascii="Segoe UI" w:eastAsia="Times New Roman" w:hAnsi="Segoe UI" w:cs="Segoe UI"/>
                      <w:noProof/>
                      <w:sz w:val="18"/>
                      <w:szCs w:val="18"/>
                      <w:lang w:val="fr-FR" w:eastAsia="en-IE"/>
                    </w:rPr>
                  </w:pPr>
                  <w:r w:rsidRPr="006F001C">
                    <w:rPr>
                      <w:rFonts w:eastAsia="Times New Roman"/>
                      <w:noProof/>
                      <w:sz w:val="22"/>
                      <w:lang w:val="fr-BE" w:eastAsia="en-IE"/>
                    </w:rPr>
                    <w:t>EU-CyCLONe</w:t>
                  </w:r>
                  <w:r w:rsidRPr="006F001C">
                    <w:rPr>
                      <w:rFonts w:eastAsia="Times New Roman"/>
                      <w:noProof/>
                      <w:sz w:val="22"/>
                      <w:lang w:val="fr-FR" w:eastAsia="en-IE"/>
                    </w:rPr>
                    <w:t> </w:t>
                  </w:r>
                </w:p>
                <w:p w14:paraId="41FE6CB6" w14:textId="77777777" w:rsidR="007A5304" w:rsidRPr="008438D8" w:rsidRDefault="007A5304">
                  <w:pPr>
                    <w:spacing w:before="0" w:after="0"/>
                    <w:jc w:val="left"/>
                    <w:textAlignment w:val="baseline"/>
                    <w:rPr>
                      <w:rFonts w:ascii="Segoe UI" w:eastAsia="Times New Roman" w:hAnsi="Segoe UI" w:cs="Segoe UI"/>
                      <w:noProof/>
                      <w:sz w:val="18"/>
                      <w:szCs w:val="18"/>
                      <w:lang w:val="en-IE" w:eastAsia="en-IE"/>
                    </w:rPr>
                  </w:pPr>
                  <w:r w:rsidRPr="008438D8">
                    <w:rPr>
                      <w:rFonts w:eastAsia="Times New Roman"/>
                      <w:noProof/>
                      <w:sz w:val="22"/>
                      <w:lang w:val="en-IE" w:eastAsia="en-IE"/>
                    </w:rPr>
                    <w:t>CSIRTs network </w:t>
                  </w:r>
                </w:p>
                <w:p w14:paraId="589D4D6B"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CERT-EU</w:t>
                  </w:r>
                  <w:r w:rsidRPr="006F001C">
                    <w:rPr>
                      <w:rFonts w:eastAsia="Times New Roman"/>
                      <w:noProof/>
                      <w:sz w:val="22"/>
                      <w:lang w:val="en-IE" w:eastAsia="en-IE"/>
                    </w:rPr>
                    <w:t> </w:t>
                  </w:r>
                </w:p>
                <w:p w14:paraId="25AFF0C4"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Entities listed in Annexes I and II to Directive (EU) 2022/2555</w:t>
                  </w:r>
                  <w:r w:rsidRPr="006F001C">
                    <w:rPr>
                      <w:rFonts w:eastAsia="Times New Roman"/>
                      <w:noProof/>
                      <w:sz w:val="22"/>
                      <w:lang w:val="en-IE" w:eastAsia="en-IE"/>
                    </w:rPr>
                    <w:t> </w:t>
                  </w:r>
                </w:p>
              </w:tc>
              <w:tc>
                <w:tcPr>
                  <w:tcW w:w="3040" w:type="dxa"/>
                  <w:tcBorders>
                    <w:top w:val="single" w:sz="6" w:space="0" w:color="auto"/>
                    <w:left w:val="single" w:sz="6" w:space="0" w:color="auto"/>
                    <w:bottom w:val="single" w:sz="6" w:space="0" w:color="auto"/>
                    <w:right w:val="single" w:sz="6" w:space="0" w:color="auto"/>
                  </w:tcBorders>
                  <w:hideMark/>
                </w:tcPr>
                <w:p w14:paraId="69B46272"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Issuing early alerts</w:t>
                  </w:r>
                  <w:r w:rsidRPr="006F001C">
                    <w:rPr>
                      <w:rFonts w:eastAsia="Times New Roman"/>
                      <w:noProof/>
                      <w:sz w:val="22"/>
                      <w:lang w:val="en-IE" w:eastAsia="en-IE"/>
                    </w:rPr>
                    <w:t> </w:t>
                  </w:r>
                </w:p>
              </w:tc>
              <w:tc>
                <w:tcPr>
                  <w:tcW w:w="1281" w:type="dxa"/>
                  <w:tcBorders>
                    <w:top w:val="single" w:sz="6" w:space="0" w:color="auto"/>
                    <w:left w:val="single" w:sz="6" w:space="0" w:color="auto"/>
                    <w:bottom w:val="single" w:sz="6" w:space="0" w:color="auto"/>
                    <w:right w:val="single" w:sz="6" w:space="0" w:color="auto"/>
                  </w:tcBorders>
                  <w:hideMark/>
                </w:tcPr>
                <w:p w14:paraId="4831A80C"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processing</w:t>
                  </w:r>
                  <w:r w:rsidRPr="006F001C">
                    <w:rPr>
                      <w:rFonts w:eastAsia="Times New Roman"/>
                      <w:noProof/>
                      <w:sz w:val="22"/>
                      <w:lang w:val="en-IE" w:eastAsia="en-IE"/>
                    </w:rPr>
                    <w:t> </w:t>
                  </w:r>
                </w:p>
                <w:p w14:paraId="3408BF22"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flow </w:t>
                  </w:r>
                  <w:r w:rsidRPr="006F001C">
                    <w:rPr>
                      <w:rFonts w:eastAsia="Times New Roman"/>
                      <w:noProof/>
                      <w:sz w:val="22"/>
                      <w:lang w:val="en-IE" w:eastAsia="en-IE"/>
                    </w:rPr>
                    <w:t> </w:t>
                  </w:r>
                </w:p>
                <w:p w14:paraId="4E994EF9"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Digital public service</w:t>
                  </w:r>
                  <w:r w:rsidRPr="006F001C">
                    <w:rPr>
                      <w:rFonts w:eastAsia="Times New Roman"/>
                      <w:noProof/>
                      <w:sz w:val="22"/>
                      <w:lang w:val="en-IE" w:eastAsia="en-IE"/>
                    </w:rPr>
                    <w:t> </w:t>
                  </w:r>
                </w:p>
              </w:tc>
            </w:tr>
            <w:tr w:rsidR="007A5304" w:rsidRPr="006F001C" w14:paraId="25761E0E" w14:textId="77777777">
              <w:trPr>
                <w:trHeight w:val="900"/>
              </w:trPr>
              <w:tc>
                <w:tcPr>
                  <w:tcW w:w="2887" w:type="dxa"/>
                  <w:tcBorders>
                    <w:top w:val="single" w:sz="6" w:space="0" w:color="auto"/>
                    <w:left w:val="single" w:sz="6" w:space="0" w:color="auto"/>
                    <w:bottom w:val="single" w:sz="6" w:space="0" w:color="auto"/>
                    <w:right w:val="single" w:sz="6" w:space="0" w:color="auto"/>
                  </w:tcBorders>
                  <w:hideMark/>
                </w:tcPr>
                <w:p w14:paraId="03D8486D"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Article 10(4)(</w:t>
                  </w:r>
                  <w:r>
                    <w:rPr>
                      <w:rFonts w:eastAsia="Times New Roman"/>
                      <w:noProof/>
                      <w:sz w:val="22"/>
                      <w:lang w:eastAsia="en-IE"/>
                    </w:rPr>
                    <w:t>b</w:t>
                  </w:r>
                  <w:r w:rsidRPr="006F001C">
                    <w:rPr>
                      <w:rFonts w:eastAsia="Times New Roman"/>
                      <w:noProof/>
                      <w:sz w:val="22"/>
                      <w:lang w:eastAsia="en-IE"/>
                    </w:rPr>
                    <w:t>)</w:t>
                  </w:r>
                  <w:r w:rsidRPr="006F001C">
                    <w:rPr>
                      <w:rFonts w:eastAsia="Times New Roman"/>
                      <w:noProof/>
                      <w:sz w:val="22"/>
                      <w:lang w:val="en-IE" w:eastAsia="en-IE"/>
                    </w:rPr>
                    <w:t> </w:t>
                  </w:r>
                </w:p>
                <w:p w14:paraId="1B5F2CBB"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Operational cooperation</w:t>
                  </w:r>
                  <w:r w:rsidRPr="006F001C">
                    <w:rPr>
                      <w:rFonts w:eastAsia="Times New Roman"/>
                      <w:noProof/>
                      <w:sz w:val="22"/>
                      <w:lang w:val="en-IE" w:eastAsia="en-IE"/>
                    </w:rPr>
                    <w:t> </w:t>
                  </w:r>
                </w:p>
              </w:tc>
              <w:tc>
                <w:tcPr>
                  <w:tcW w:w="4332" w:type="dxa"/>
                  <w:tcBorders>
                    <w:top w:val="single" w:sz="6" w:space="0" w:color="auto"/>
                    <w:left w:val="single" w:sz="6" w:space="0" w:color="auto"/>
                    <w:bottom w:val="single" w:sz="6" w:space="0" w:color="auto"/>
                    <w:right w:val="single" w:sz="6" w:space="0" w:color="auto"/>
                  </w:tcBorders>
                  <w:hideMark/>
                </w:tcPr>
                <w:p w14:paraId="2D43BF14"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w:t>
                  </w:r>
                  <w:r>
                    <w:rPr>
                      <w:rFonts w:eastAsia="Times New Roman"/>
                      <w:noProof/>
                      <w:sz w:val="22"/>
                      <w:lang w:eastAsia="en-IE"/>
                    </w:rPr>
                    <w:t>b</w:t>
                  </w:r>
                  <w:r w:rsidRPr="006F001C">
                    <w:rPr>
                      <w:rFonts w:eastAsia="Times New Roman"/>
                      <w:noProof/>
                      <w:sz w:val="22"/>
                      <w:lang w:eastAsia="en-IE"/>
                    </w:rPr>
                    <w:t>)</w:t>
                  </w:r>
                  <w:r w:rsidRPr="006F001C">
                    <w:rPr>
                      <w:rFonts w:ascii="Calibri" w:eastAsia="Times New Roman" w:hAnsi="Calibri" w:cs="Calibri"/>
                      <w:noProof/>
                      <w:sz w:val="22"/>
                      <w:lang w:val="en-IE" w:eastAsia="en-IE"/>
                    </w:rPr>
                    <w:tab/>
                  </w:r>
                  <w:r w:rsidRPr="006F001C">
                    <w:rPr>
                      <w:rFonts w:eastAsia="Times New Roman"/>
                      <w:noProof/>
                      <w:sz w:val="22"/>
                      <w:lang w:eastAsia="en-IE"/>
                    </w:rPr>
                    <w:t>at the request of one or more Member States, </w:t>
                  </w:r>
                  <w:r w:rsidRPr="006F001C">
                    <w:rPr>
                      <w:rFonts w:eastAsia="Times New Roman"/>
                      <w:b/>
                      <w:bCs/>
                      <w:noProof/>
                      <w:sz w:val="22"/>
                      <w:lang w:eastAsia="en-IE"/>
                    </w:rPr>
                    <w:t>providing advice and assessments in relation to a specific potential or ongoing incident or cyber threat</w:t>
                  </w:r>
                  <w:r w:rsidRPr="006F001C">
                    <w:rPr>
                      <w:rFonts w:eastAsia="Times New Roman"/>
                      <w:noProof/>
                      <w:sz w:val="22"/>
                      <w:lang w:eastAsia="en-IE"/>
                    </w:rPr>
                    <w:t>, including through the provision of expertise and </w:t>
                  </w:r>
                  <w:r w:rsidRPr="006F001C">
                    <w:rPr>
                      <w:rFonts w:eastAsia="Times New Roman"/>
                      <w:b/>
                      <w:bCs/>
                      <w:noProof/>
                      <w:sz w:val="22"/>
                      <w:lang w:eastAsia="en-IE"/>
                    </w:rPr>
                    <w:t>facilitating the technical handling of such incidents</w:t>
                  </w:r>
                  <w:r w:rsidRPr="006F001C">
                    <w:rPr>
                      <w:rFonts w:eastAsia="Times New Roman"/>
                      <w:noProof/>
                      <w:sz w:val="22"/>
                      <w:lang w:eastAsia="en-IE"/>
                    </w:rPr>
                    <w:t>, and through </w:t>
                  </w:r>
                  <w:r w:rsidRPr="006F001C">
                    <w:rPr>
                      <w:rFonts w:eastAsia="Times New Roman"/>
                      <w:b/>
                      <w:bCs/>
                      <w:noProof/>
                      <w:sz w:val="22"/>
                      <w:lang w:eastAsia="en-IE"/>
                    </w:rPr>
                    <w:t>supporting the voluntary sharing of relevant information and technical solutions between Member States;</w:t>
                  </w:r>
                  <w:r w:rsidRPr="006F001C">
                    <w:rPr>
                      <w:rFonts w:eastAsia="Times New Roman"/>
                      <w:noProof/>
                      <w:sz w:val="22"/>
                      <w:lang w:val="en-IE" w:eastAsia="en-IE"/>
                    </w:rPr>
                    <w:t> </w:t>
                  </w:r>
                </w:p>
              </w:tc>
              <w:tc>
                <w:tcPr>
                  <w:tcW w:w="3015" w:type="dxa"/>
                  <w:tcBorders>
                    <w:top w:val="single" w:sz="6" w:space="0" w:color="auto"/>
                    <w:left w:val="single" w:sz="6" w:space="0" w:color="auto"/>
                    <w:bottom w:val="single" w:sz="6" w:space="0" w:color="auto"/>
                    <w:right w:val="single" w:sz="6" w:space="0" w:color="auto"/>
                  </w:tcBorders>
                  <w:hideMark/>
                </w:tcPr>
                <w:p w14:paraId="1B061E23"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ENISA</w:t>
                  </w:r>
                  <w:r w:rsidRPr="006F001C">
                    <w:rPr>
                      <w:rFonts w:eastAsia="Times New Roman"/>
                      <w:noProof/>
                      <w:sz w:val="22"/>
                      <w:lang w:val="en-IE" w:eastAsia="en-IE"/>
                    </w:rPr>
                    <w:t> </w:t>
                  </w:r>
                </w:p>
                <w:p w14:paraId="54BEDD36"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Member States</w:t>
                  </w:r>
                  <w:r w:rsidRPr="006F001C">
                    <w:rPr>
                      <w:rFonts w:eastAsia="Times New Roman"/>
                      <w:noProof/>
                      <w:sz w:val="22"/>
                      <w:lang w:val="en-IE" w:eastAsia="en-IE"/>
                    </w:rPr>
                    <w:t> </w:t>
                  </w:r>
                </w:p>
              </w:tc>
              <w:tc>
                <w:tcPr>
                  <w:tcW w:w="3040" w:type="dxa"/>
                  <w:tcBorders>
                    <w:top w:val="single" w:sz="6" w:space="0" w:color="auto"/>
                    <w:left w:val="single" w:sz="6" w:space="0" w:color="auto"/>
                    <w:bottom w:val="single" w:sz="6" w:space="0" w:color="auto"/>
                    <w:right w:val="single" w:sz="6" w:space="0" w:color="auto"/>
                  </w:tcBorders>
                  <w:hideMark/>
                </w:tcPr>
                <w:p w14:paraId="393938CF"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Providing advice and assessments in relation to a specific potential or ongoing incident or cyber threat;</w:t>
                  </w:r>
                  <w:r w:rsidRPr="006F001C">
                    <w:rPr>
                      <w:rFonts w:eastAsia="Times New Roman"/>
                      <w:noProof/>
                      <w:sz w:val="22"/>
                      <w:lang w:val="en-IE" w:eastAsia="en-IE"/>
                    </w:rPr>
                    <w:t> </w:t>
                  </w:r>
                </w:p>
                <w:p w14:paraId="63452F05"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Facilitating the technical handling of such incidents;</w:t>
                  </w:r>
                  <w:r w:rsidRPr="006F001C">
                    <w:rPr>
                      <w:rFonts w:eastAsia="Times New Roman"/>
                      <w:noProof/>
                      <w:sz w:val="22"/>
                      <w:lang w:val="en-IE" w:eastAsia="en-IE"/>
                    </w:rPr>
                    <w:t> </w:t>
                  </w:r>
                </w:p>
                <w:p w14:paraId="7029BA24"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Supporting the voluntary sharing of relevant information and technical solutions between Member States</w:t>
                  </w:r>
                  <w:r w:rsidRPr="006F001C">
                    <w:rPr>
                      <w:rFonts w:eastAsia="Times New Roman"/>
                      <w:noProof/>
                      <w:sz w:val="22"/>
                      <w:lang w:val="en-IE" w:eastAsia="en-IE"/>
                    </w:rPr>
                    <w:t> </w:t>
                  </w:r>
                </w:p>
              </w:tc>
              <w:tc>
                <w:tcPr>
                  <w:tcW w:w="1281" w:type="dxa"/>
                  <w:tcBorders>
                    <w:top w:val="single" w:sz="6" w:space="0" w:color="auto"/>
                    <w:left w:val="single" w:sz="6" w:space="0" w:color="auto"/>
                    <w:bottom w:val="single" w:sz="6" w:space="0" w:color="auto"/>
                    <w:right w:val="single" w:sz="6" w:space="0" w:color="auto"/>
                  </w:tcBorders>
                  <w:hideMark/>
                </w:tcPr>
                <w:p w14:paraId="0BD6E36E"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processing</w:t>
                  </w:r>
                  <w:r w:rsidRPr="006F001C">
                    <w:rPr>
                      <w:rFonts w:eastAsia="Times New Roman"/>
                      <w:noProof/>
                      <w:sz w:val="22"/>
                      <w:lang w:val="en-IE" w:eastAsia="en-IE"/>
                    </w:rPr>
                    <w:t> </w:t>
                  </w:r>
                </w:p>
                <w:p w14:paraId="4DDF9940"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flow</w:t>
                  </w:r>
                  <w:r w:rsidRPr="006F001C">
                    <w:rPr>
                      <w:rFonts w:eastAsia="Times New Roman"/>
                      <w:noProof/>
                      <w:sz w:val="22"/>
                      <w:lang w:val="en-IE" w:eastAsia="en-IE"/>
                    </w:rPr>
                    <w:t> </w:t>
                  </w:r>
                </w:p>
                <w:p w14:paraId="1606FF20"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Digital public services</w:t>
                  </w:r>
                  <w:r w:rsidRPr="006F001C">
                    <w:rPr>
                      <w:rFonts w:eastAsia="Times New Roman"/>
                      <w:noProof/>
                      <w:sz w:val="22"/>
                      <w:lang w:val="en-IE" w:eastAsia="en-IE"/>
                    </w:rPr>
                    <w:t> </w:t>
                  </w:r>
                </w:p>
              </w:tc>
            </w:tr>
            <w:tr w:rsidR="007A5304" w:rsidRPr="006F001C" w14:paraId="67EE2111" w14:textId="77777777">
              <w:trPr>
                <w:trHeight w:val="1470"/>
              </w:trPr>
              <w:tc>
                <w:tcPr>
                  <w:tcW w:w="2887" w:type="dxa"/>
                  <w:tcBorders>
                    <w:top w:val="single" w:sz="6" w:space="0" w:color="auto"/>
                    <w:left w:val="single" w:sz="6" w:space="0" w:color="auto"/>
                    <w:bottom w:val="single" w:sz="6" w:space="0" w:color="auto"/>
                    <w:right w:val="single" w:sz="6" w:space="0" w:color="auto"/>
                  </w:tcBorders>
                  <w:hideMark/>
                </w:tcPr>
                <w:p w14:paraId="3F6BD81A"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Article 10(4)(</w:t>
                  </w:r>
                  <w:r>
                    <w:rPr>
                      <w:rFonts w:eastAsia="Times New Roman"/>
                      <w:noProof/>
                      <w:sz w:val="22"/>
                      <w:lang w:eastAsia="en-IE"/>
                    </w:rPr>
                    <w:t>c</w:t>
                  </w:r>
                  <w:r w:rsidRPr="006F001C">
                    <w:rPr>
                      <w:rFonts w:eastAsia="Times New Roman"/>
                      <w:noProof/>
                      <w:sz w:val="22"/>
                      <w:lang w:eastAsia="en-IE"/>
                    </w:rPr>
                    <w:t>)</w:t>
                  </w:r>
                  <w:r w:rsidRPr="006F001C">
                    <w:rPr>
                      <w:rFonts w:eastAsia="Times New Roman"/>
                      <w:noProof/>
                      <w:sz w:val="22"/>
                      <w:lang w:val="en-IE" w:eastAsia="en-IE"/>
                    </w:rPr>
                    <w:t> </w:t>
                  </w:r>
                </w:p>
                <w:p w14:paraId="274E2F32"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Operational cooperation</w:t>
                  </w:r>
                  <w:r w:rsidRPr="006F001C">
                    <w:rPr>
                      <w:rFonts w:eastAsia="Times New Roman"/>
                      <w:noProof/>
                      <w:sz w:val="22"/>
                      <w:lang w:val="en-IE" w:eastAsia="en-IE"/>
                    </w:rPr>
                    <w:t> </w:t>
                  </w:r>
                </w:p>
              </w:tc>
              <w:tc>
                <w:tcPr>
                  <w:tcW w:w="4332" w:type="dxa"/>
                  <w:tcBorders>
                    <w:top w:val="single" w:sz="6" w:space="0" w:color="auto"/>
                    <w:left w:val="single" w:sz="6" w:space="0" w:color="auto"/>
                    <w:bottom w:val="single" w:sz="6" w:space="0" w:color="auto"/>
                    <w:right w:val="single" w:sz="6" w:space="0" w:color="auto"/>
                  </w:tcBorders>
                  <w:hideMark/>
                </w:tcPr>
                <w:p w14:paraId="7D754B28"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w:t>
                  </w:r>
                  <w:r>
                    <w:rPr>
                      <w:rFonts w:eastAsia="Times New Roman"/>
                      <w:noProof/>
                      <w:sz w:val="22"/>
                      <w:lang w:eastAsia="en-IE"/>
                    </w:rPr>
                    <w:t>c</w:t>
                  </w:r>
                  <w:r w:rsidRPr="006F001C">
                    <w:rPr>
                      <w:rFonts w:eastAsia="Times New Roman"/>
                      <w:noProof/>
                      <w:sz w:val="22"/>
                      <w:lang w:eastAsia="en-IE"/>
                    </w:rPr>
                    <w:t>)</w:t>
                  </w:r>
                  <w:r w:rsidRPr="006F001C">
                    <w:rPr>
                      <w:rFonts w:ascii="Calibri" w:eastAsia="Times New Roman" w:hAnsi="Calibri" w:cs="Calibri"/>
                      <w:noProof/>
                      <w:sz w:val="22"/>
                      <w:lang w:val="en-IE" w:eastAsia="en-IE"/>
                    </w:rPr>
                    <w:tab/>
                  </w:r>
                  <w:r w:rsidRPr="006F001C">
                    <w:rPr>
                      <w:rFonts w:eastAsia="Times New Roman"/>
                      <w:noProof/>
                      <w:sz w:val="22"/>
                      <w:lang w:eastAsia="en-IE"/>
                    </w:rPr>
                    <w:t>analysing vulnerabilities, threats and incidents;</w:t>
                  </w:r>
                  <w:r w:rsidRPr="006F001C">
                    <w:rPr>
                      <w:rFonts w:eastAsia="Times New Roman"/>
                      <w:noProof/>
                      <w:sz w:val="22"/>
                      <w:lang w:val="en-IE" w:eastAsia="en-IE"/>
                    </w:rPr>
                    <w:t> </w:t>
                  </w:r>
                </w:p>
              </w:tc>
              <w:tc>
                <w:tcPr>
                  <w:tcW w:w="3015" w:type="dxa"/>
                  <w:tcBorders>
                    <w:top w:val="single" w:sz="6" w:space="0" w:color="auto"/>
                    <w:left w:val="single" w:sz="6" w:space="0" w:color="auto"/>
                    <w:bottom w:val="single" w:sz="6" w:space="0" w:color="auto"/>
                    <w:right w:val="single" w:sz="6" w:space="0" w:color="auto"/>
                  </w:tcBorders>
                  <w:hideMark/>
                </w:tcPr>
                <w:p w14:paraId="17D12E00"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ENISA</w:t>
                  </w:r>
                  <w:r w:rsidRPr="006F001C">
                    <w:rPr>
                      <w:rFonts w:eastAsia="Times New Roman"/>
                      <w:noProof/>
                      <w:sz w:val="22"/>
                      <w:lang w:val="en-IE" w:eastAsia="en-IE"/>
                    </w:rPr>
                    <w:t> </w:t>
                  </w:r>
                </w:p>
                <w:p w14:paraId="4EDE8234"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Member States</w:t>
                  </w:r>
                  <w:r w:rsidRPr="006F001C">
                    <w:rPr>
                      <w:rFonts w:eastAsia="Times New Roman"/>
                      <w:noProof/>
                      <w:sz w:val="22"/>
                      <w:lang w:val="en-IE" w:eastAsia="en-IE"/>
                    </w:rPr>
                    <w:t> </w:t>
                  </w:r>
                </w:p>
              </w:tc>
              <w:tc>
                <w:tcPr>
                  <w:tcW w:w="3040" w:type="dxa"/>
                  <w:tcBorders>
                    <w:top w:val="single" w:sz="6" w:space="0" w:color="auto"/>
                    <w:left w:val="single" w:sz="6" w:space="0" w:color="auto"/>
                    <w:bottom w:val="single" w:sz="6" w:space="0" w:color="auto"/>
                    <w:right w:val="single" w:sz="6" w:space="0" w:color="auto"/>
                  </w:tcBorders>
                  <w:hideMark/>
                </w:tcPr>
                <w:p w14:paraId="4935D450"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collection from public sources and data exchange with the Member States </w:t>
                  </w:r>
                  <w:r w:rsidRPr="006F001C">
                    <w:rPr>
                      <w:rFonts w:eastAsia="Times New Roman"/>
                      <w:noProof/>
                      <w:sz w:val="22"/>
                      <w:lang w:val="en-IE" w:eastAsia="en-IE"/>
                    </w:rPr>
                    <w:t> </w:t>
                  </w:r>
                </w:p>
              </w:tc>
              <w:tc>
                <w:tcPr>
                  <w:tcW w:w="1281" w:type="dxa"/>
                  <w:tcBorders>
                    <w:top w:val="single" w:sz="6" w:space="0" w:color="auto"/>
                    <w:left w:val="single" w:sz="6" w:space="0" w:color="auto"/>
                    <w:bottom w:val="single" w:sz="6" w:space="0" w:color="auto"/>
                    <w:right w:val="single" w:sz="6" w:space="0" w:color="auto"/>
                  </w:tcBorders>
                  <w:hideMark/>
                </w:tcPr>
                <w:p w14:paraId="311EEF95"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processing</w:t>
                  </w:r>
                  <w:r w:rsidRPr="006F001C">
                    <w:rPr>
                      <w:rFonts w:eastAsia="Times New Roman"/>
                      <w:noProof/>
                      <w:sz w:val="22"/>
                      <w:lang w:val="en-IE" w:eastAsia="en-IE"/>
                    </w:rPr>
                    <w:t> </w:t>
                  </w:r>
                </w:p>
                <w:p w14:paraId="0AD9FDE6"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flow</w:t>
                  </w:r>
                  <w:r w:rsidRPr="006F001C">
                    <w:rPr>
                      <w:rFonts w:eastAsia="Times New Roman"/>
                      <w:noProof/>
                      <w:sz w:val="22"/>
                      <w:lang w:val="en-IE" w:eastAsia="en-IE"/>
                    </w:rPr>
                    <w:t> </w:t>
                  </w:r>
                </w:p>
              </w:tc>
            </w:tr>
            <w:tr w:rsidR="007A5304" w:rsidRPr="006F001C" w14:paraId="59A0AEAC" w14:textId="77777777">
              <w:trPr>
                <w:trHeight w:val="1710"/>
              </w:trPr>
              <w:tc>
                <w:tcPr>
                  <w:tcW w:w="2887" w:type="dxa"/>
                  <w:tcBorders>
                    <w:top w:val="single" w:sz="6" w:space="0" w:color="auto"/>
                    <w:left w:val="single" w:sz="6" w:space="0" w:color="auto"/>
                    <w:bottom w:val="single" w:sz="6" w:space="0" w:color="auto"/>
                    <w:right w:val="single" w:sz="6" w:space="0" w:color="auto"/>
                  </w:tcBorders>
                  <w:hideMark/>
                </w:tcPr>
                <w:p w14:paraId="35777214"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Article 10(4)(</w:t>
                  </w:r>
                  <w:r>
                    <w:rPr>
                      <w:rFonts w:eastAsia="Times New Roman"/>
                      <w:noProof/>
                      <w:sz w:val="22"/>
                      <w:lang w:eastAsia="en-IE"/>
                    </w:rPr>
                    <w:t>d</w:t>
                  </w:r>
                  <w:r w:rsidRPr="006F001C">
                    <w:rPr>
                      <w:rFonts w:eastAsia="Times New Roman"/>
                      <w:noProof/>
                      <w:sz w:val="22"/>
                      <w:lang w:eastAsia="en-IE"/>
                    </w:rPr>
                    <w:t>)</w:t>
                  </w:r>
                  <w:r w:rsidRPr="006F001C">
                    <w:rPr>
                      <w:rFonts w:eastAsia="Times New Roman"/>
                      <w:noProof/>
                      <w:sz w:val="22"/>
                      <w:lang w:val="en-IE" w:eastAsia="en-IE"/>
                    </w:rPr>
                    <w:t> </w:t>
                  </w:r>
                </w:p>
                <w:p w14:paraId="42602821"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Operational cooperation</w:t>
                  </w:r>
                  <w:r w:rsidRPr="006F001C">
                    <w:rPr>
                      <w:rFonts w:eastAsia="Times New Roman"/>
                      <w:noProof/>
                      <w:sz w:val="22"/>
                      <w:lang w:val="en-IE" w:eastAsia="en-IE"/>
                    </w:rPr>
                    <w:t> </w:t>
                  </w:r>
                </w:p>
              </w:tc>
              <w:tc>
                <w:tcPr>
                  <w:tcW w:w="4332" w:type="dxa"/>
                  <w:tcBorders>
                    <w:top w:val="single" w:sz="6" w:space="0" w:color="auto"/>
                    <w:left w:val="single" w:sz="6" w:space="0" w:color="auto"/>
                    <w:bottom w:val="single" w:sz="6" w:space="0" w:color="auto"/>
                    <w:right w:val="single" w:sz="6" w:space="0" w:color="auto"/>
                  </w:tcBorders>
                  <w:hideMark/>
                </w:tcPr>
                <w:p w14:paraId="7DF06309"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w:t>
                  </w:r>
                  <w:r>
                    <w:rPr>
                      <w:rFonts w:eastAsia="Times New Roman"/>
                      <w:noProof/>
                      <w:sz w:val="22"/>
                      <w:lang w:eastAsia="en-IE"/>
                    </w:rPr>
                    <w:t>d</w:t>
                  </w:r>
                  <w:r w:rsidRPr="006F001C">
                    <w:rPr>
                      <w:rFonts w:eastAsia="Times New Roman"/>
                      <w:noProof/>
                      <w:sz w:val="22"/>
                      <w:lang w:eastAsia="en-IE"/>
                    </w:rPr>
                    <w:t>) at the </w:t>
                  </w:r>
                  <w:r w:rsidRPr="006F001C">
                    <w:rPr>
                      <w:rFonts w:eastAsia="Times New Roman"/>
                      <w:b/>
                      <w:bCs/>
                      <w:noProof/>
                      <w:sz w:val="22"/>
                      <w:lang w:eastAsia="en-IE"/>
                    </w:rPr>
                    <w:t>request of one or more Member States</w:t>
                  </w:r>
                  <w:r w:rsidRPr="006F001C">
                    <w:rPr>
                      <w:rFonts w:eastAsia="Times New Roman"/>
                      <w:noProof/>
                      <w:sz w:val="22"/>
                      <w:lang w:eastAsia="en-IE"/>
                    </w:rPr>
                    <w:t>, </w:t>
                  </w:r>
                  <w:r w:rsidRPr="006F001C">
                    <w:rPr>
                      <w:rFonts w:eastAsia="Times New Roman"/>
                      <w:b/>
                      <w:bCs/>
                      <w:noProof/>
                      <w:sz w:val="22"/>
                      <w:lang w:eastAsia="en-IE"/>
                    </w:rPr>
                    <w:t>providing support i</w:t>
                  </w:r>
                  <w:r w:rsidRPr="006F001C">
                    <w:rPr>
                      <w:rFonts w:eastAsia="Times New Roman"/>
                      <w:noProof/>
                      <w:sz w:val="22"/>
                      <w:lang w:eastAsia="en-IE"/>
                    </w:rPr>
                    <w:t>n relation to </w:t>
                  </w:r>
                  <w:r w:rsidRPr="006F001C">
                    <w:rPr>
                      <w:rFonts w:eastAsia="Times New Roman"/>
                      <w:i/>
                      <w:iCs/>
                      <w:noProof/>
                      <w:sz w:val="22"/>
                      <w:lang w:eastAsia="en-IE"/>
                    </w:rPr>
                    <w:t>ex-post</w:t>
                  </w:r>
                  <w:r w:rsidRPr="006F001C">
                    <w:rPr>
                      <w:rFonts w:eastAsia="Times New Roman"/>
                      <w:noProof/>
                      <w:sz w:val="22"/>
                      <w:lang w:eastAsia="en-IE"/>
                    </w:rPr>
                    <w:t> technical inquiries regarding significant incidents within the meaning of Directive (EU) 2022/2555;</w:t>
                  </w:r>
                  <w:r w:rsidRPr="006F001C">
                    <w:rPr>
                      <w:rFonts w:eastAsia="Times New Roman"/>
                      <w:noProof/>
                      <w:sz w:val="22"/>
                      <w:lang w:val="en-IE" w:eastAsia="en-IE"/>
                    </w:rPr>
                    <w:t> </w:t>
                  </w:r>
                </w:p>
              </w:tc>
              <w:tc>
                <w:tcPr>
                  <w:tcW w:w="3015" w:type="dxa"/>
                  <w:tcBorders>
                    <w:top w:val="single" w:sz="6" w:space="0" w:color="auto"/>
                    <w:left w:val="single" w:sz="6" w:space="0" w:color="auto"/>
                    <w:bottom w:val="single" w:sz="6" w:space="0" w:color="auto"/>
                    <w:right w:val="single" w:sz="6" w:space="0" w:color="auto"/>
                  </w:tcBorders>
                  <w:hideMark/>
                </w:tcPr>
                <w:p w14:paraId="0A144370"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ENISA</w:t>
                  </w:r>
                  <w:r w:rsidRPr="006F001C">
                    <w:rPr>
                      <w:rFonts w:eastAsia="Times New Roman"/>
                      <w:noProof/>
                      <w:sz w:val="22"/>
                      <w:lang w:val="en-IE" w:eastAsia="en-IE"/>
                    </w:rPr>
                    <w:t> </w:t>
                  </w:r>
                </w:p>
                <w:p w14:paraId="466BDA35"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Member States</w:t>
                  </w:r>
                  <w:r w:rsidRPr="006F001C">
                    <w:rPr>
                      <w:rFonts w:eastAsia="Times New Roman"/>
                      <w:noProof/>
                      <w:sz w:val="22"/>
                      <w:lang w:val="en-IE" w:eastAsia="en-IE"/>
                    </w:rPr>
                    <w:t> </w:t>
                  </w:r>
                </w:p>
              </w:tc>
              <w:tc>
                <w:tcPr>
                  <w:tcW w:w="3040" w:type="dxa"/>
                  <w:tcBorders>
                    <w:top w:val="single" w:sz="6" w:space="0" w:color="auto"/>
                    <w:left w:val="single" w:sz="6" w:space="0" w:color="auto"/>
                    <w:bottom w:val="single" w:sz="6" w:space="0" w:color="auto"/>
                    <w:right w:val="single" w:sz="6" w:space="0" w:color="auto"/>
                  </w:tcBorders>
                  <w:hideMark/>
                </w:tcPr>
                <w:p w14:paraId="329EF7C6"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Analysis and support in response to technical inquiries regarding incidents</w:t>
                  </w:r>
                  <w:r w:rsidRPr="006F001C">
                    <w:rPr>
                      <w:rFonts w:eastAsia="Times New Roman"/>
                      <w:noProof/>
                      <w:sz w:val="22"/>
                      <w:lang w:val="en-IE" w:eastAsia="en-IE"/>
                    </w:rPr>
                    <w:t> </w:t>
                  </w:r>
                </w:p>
              </w:tc>
              <w:tc>
                <w:tcPr>
                  <w:tcW w:w="1281" w:type="dxa"/>
                  <w:tcBorders>
                    <w:top w:val="single" w:sz="6" w:space="0" w:color="auto"/>
                    <w:left w:val="single" w:sz="6" w:space="0" w:color="auto"/>
                    <w:bottom w:val="single" w:sz="6" w:space="0" w:color="auto"/>
                    <w:right w:val="single" w:sz="6" w:space="0" w:color="auto"/>
                  </w:tcBorders>
                  <w:hideMark/>
                </w:tcPr>
                <w:p w14:paraId="17943C93"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processing</w:t>
                  </w:r>
                  <w:r w:rsidRPr="006F001C">
                    <w:rPr>
                      <w:rFonts w:eastAsia="Times New Roman"/>
                      <w:noProof/>
                      <w:sz w:val="22"/>
                      <w:lang w:val="en-IE" w:eastAsia="en-IE"/>
                    </w:rPr>
                    <w:t> </w:t>
                  </w:r>
                </w:p>
                <w:p w14:paraId="2CE49E7B"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flow</w:t>
                  </w:r>
                  <w:r w:rsidRPr="006F001C">
                    <w:rPr>
                      <w:rFonts w:eastAsia="Times New Roman"/>
                      <w:noProof/>
                      <w:sz w:val="22"/>
                      <w:lang w:val="en-IE" w:eastAsia="en-IE"/>
                    </w:rPr>
                    <w:t> </w:t>
                  </w:r>
                </w:p>
              </w:tc>
            </w:tr>
            <w:tr w:rsidR="007A5304" w:rsidRPr="006F001C" w14:paraId="4CA6C15A" w14:textId="77777777">
              <w:trPr>
                <w:trHeight w:val="2745"/>
              </w:trPr>
              <w:tc>
                <w:tcPr>
                  <w:tcW w:w="2887" w:type="dxa"/>
                  <w:tcBorders>
                    <w:top w:val="single" w:sz="6" w:space="0" w:color="auto"/>
                    <w:left w:val="single" w:sz="6" w:space="0" w:color="auto"/>
                    <w:bottom w:val="single" w:sz="6" w:space="0" w:color="auto"/>
                    <w:right w:val="single" w:sz="6" w:space="0" w:color="auto"/>
                  </w:tcBorders>
                  <w:hideMark/>
                </w:tcPr>
                <w:p w14:paraId="0459DC19"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Article 10(4)(</w:t>
                  </w:r>
                  <w:r>
                    <w:rPr>
                      <w:rFonts w:eastAsia="Times New Roman"/>
                      <w:noProof/>
                      <w:sz w:val="22"/>
                      <w:lang w:eastAsia="en-IE"/>
                    </w:rPr>
                    <w:t>e</w:t>
                  </w:r>
                  <w:r w:rsidRPr="006F001C">
                    <w:rPr>
                      <w:rFonts w:eastAsia="Times New Roman"/>
                      <w:noProof/>
                      <w:sz w:val="22"/>
                      <w:lang w:eastAsia="en-IE"/>
                    </w:rPr>
                    <w:t>)</w:t>
                  </w:r>
                  <w:r w:rsidRPr="006F001C">
                    <w:rPr>
                      <w:rFonts w:eastAsia="Times New Roman"/>
                      <w:noProof/>
                      <w:sz w:val="22"/>
                      <w:lang w:val="en-IE" w:eastAsia="en-IE"/>
                    </w:rPr>
                    <w:t> </w:t>
                  </w:r>
                </w:p>
                <w:p w14:paraId="065D55DF"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Operational cooperation</w:t>
                  </w:r>
                  <w:r w:rsidRPr="006F001C">
                    <w:rPr>
                      <w:rFonts w:eastAsia="Times New Roman"/>
                      <w:noProof/>
                      <w:sz w:val="22"/>
                      <w:lang w:val="en-IE" w:eastAsia="en-IE"/>
                    </w:rPr>
                    <w:t> </w:t>
                  </w:r>
                </w:p>
              </w:tc>
              <w:tc>
                <w:tcPr>
                  <w:tcW w:w="4332" w:type="dxa"/>
                  <w:tcBorders>
                    <w:top w:val="single" w:sz="6" w:space="0" w:color="auto"/>
                    <w:left w:val="single" w:sz="6" w:space="0" w:color="auto"/>
                    <w:bottom w:val="single" w:sz="6" w:space="0" w:color="auto"/>
                    <w:right w:val="single" w:sz="6" w:space="0" w:color="auto"/>
                  </w:tcBorders>
                  <w:hideMark/>
                </w:tcPr>
                <w:p w14:paraId="45B3F49F"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w:t>
                  </w:r>
                  <w:r>
                    <w:rPr>
                      <w:rFonts w:eastAsia="Times New Roman"/>
                      <w:noProof/>
                      <w:sz w:val="22"/>
                      <w:lang w:eastAsia="en-IE"/>
                    </w:rPr>
                    <w:t>e</w:t>
                  </w:r>
                  <w:r w:rsidRPr="006F001C">
                    <w:rPr>
                      <w:rFonts w:eastAsia="Times New Roman"/>
                      <w:noProof/>
                      <w:sz w:val="22"/>
                      <w:lang w:eastAsia="en-IE"/>
                    </w:rPr>
                    <w:t>)</w:t>
                  </w:r>
                  <w:r w:rsidRPr="006F001C">
                    <w:rPr>
                      <w:rFonts w:ascii="Calibri" w:eastAsia="Times New Roman" w:hAnsi="Calibri" w:cs="Calibri"/>
                      <w:noProof/>
                      <w:sz w:val="22"/>
                      <w:lang w:val="en-IE" w:eastAsia="en-IE"/>
                    </w:rPr>
                    <w:tab/>
                  </w:r>
                  <w:r w:rsidRPr="006F001C">
                    <w:rPr>
                      <w:rFonts w:eastAsia="Times New Roman"/>
                      <w:noProof/>
                      <w:sz w:val="22"/>
                      <w:lang w:eastAsia="en-IE"/>
                    </w:rPr>
                    <w:t>contributing to supporting the coordinated management of large-scale cybersecurity incidents and crises at operational level, in</w:t>
                  </w:r>
                  <w:r>
                    <w:rPr>
                      <w:rFonts w:eastAsia="Times New Roman"/>
                      <w:noProof/>
                      <w:sz w:val="22"/>
                      <w:lang w:eastAsia="en-IE"/>
                    </w:rPr>
                    <w:t xml:space="preserve"> </w:t>
                  </w:r>
                  <w:r w:rsidRPr="006F001C">
                    <w:rPr>
                      <w:rFonts w:eastAsia="Times New Roman"/>
                      <w:noProof/>
                      <w:sz w:val="22"/>
                      <w:lang w:eastAsia="en-IE"/>
                    </w:rPr>
                    <w:t>particular by </w:t>
                  </w:r>
                  <w:r w:rsidRPr="006F001C">
                    <w:rPr>
                      <w:rFonts w:eastAsia="Times New Roman"/>
                      <w:b/>
                      <w:bCs/>
                      <w:noProof/>
                      <w:sz w:val="22"/>
                      <w:lang w:eastAsia="en-IE"/>
                    </w:rPr>
                    <w:t>assisting EU-CyCLONe in preparing reports to political level by facilitating and by facilitating timely information-sharing between the CSIRTs network, and EU-CyCLONe;</w:t>
                  </w:r>
                  <w:r w:rsidRPr="006F001C">
                    <w:rPr>
                      <w:rFonts w:eastAsia="Times New Roman"/>
                      <w:noProof/>
                      <w:sz w:val="22"/>
                      <w:lang w:val="en-IE" w:eastAsia="en-IE"/>
                    </w:rPr>
                    <w:t> </w:t>
                  </w:r>
                </w:p>
              </w:tc>
              <w:tc>
                <w:tcPr>
                  <w:tcW w:w="3015" w:type="dxa"/>
                  <w:tcBorders>
                    <w:top w:val="single" w:sz="6" w:space="0" w:color="auto"/>
                    <w:left w:val="single" w:sz="6" w:space="0" w:color="auto"/>
                    <w:bottom w:val="single" w:sz="6" w:space="0" w:color="auto"/>
                    <w:right w:val="single" w:sz="6" w:space="0" w:color="auto"/>
                  </w:tcBorders>
                  <w:hideMark/>
                </w:tcPr>
                <w:p w14:paraId="23BC62D6" w14:textId="77777777" w:rsidR="007A5304" w:rsidRPr="006F001C" w:rsidRDefault="007A5304">
                  <w:pPr>
                    <w:spacing w:before="0" w:after="0"/>
                    <w:jc w:val="left"/>
                    <w:textAlignment w:val="baseline"/>
                    <w:rPr>
                      <w:rFonts w:ascii="Segoe UI" w:eastAsia="Times New Roman" w:hAnsi="Segoe UI" w:cs="Segoe UI"/>
                      <w:noProof/>
                      <w:sz w:val="18"/>
                      <w:szCs w:val="18"/>
                      <w:lang w:val="fr-FR" w:eastAsia="en-IE"/>
                    </w:rPr>
                  </w:pPr>
                  <w:r w:rsidRPr="006F001C">
                    <w:rPr>
                      <w:rFonts w:eastAsia="Times New Roman"/>
                      <w:noProof/>
                      <w:sz w:val="22"/>
                      <w:lang w:val="fr-BE" w:eastAsia="en-IE"/>
                    </w:rPr>
                    <w:t>ENISA</w:t>
                  </w:r>
                  <w:r w:rsidRPr="006F001C">
                    <w:rPr>
                      <w:rFonts w:eastAsia="Times New Roman"/>
                      <w:noProof/>
                      <w:sz w:val="22"/>
                      <w:lang w:val="fr-FR" w:eastAsia="en-IE"/>
                    </w:rPr>
                    <w:t> </w:t>
                  </w:r>
                </w:p>
                <w:p w14:paraId="0D2874E0" w14:textId="77777777" w:rsidR="007A5304" w:rsidRPr="006F001C" w:rsidRDefault="007A5304">
                  <w:pPr>
                    <w:spacing w:before="0" w:after="0"/>
                    <w:jc w:val="left"/>
                    <w:textAlignment w:val="baseline"/>
                    <w:rPr>
                      <w:rFonts w:ascii="Segoe UI" w:eastAsia="Times New Roman" w:hAnsi="Segoe UI" w:cs="Segoe UI"/>
                      <w:noProof/>
                      <w:sz w:val="18"/>
                      <w:szCs w:val="18"/>
                      <w:lang w:val="fr-FR" w:eastAsia="en-IE"/>
                    </w:rPr>
                  </w:pPr>
                  <w:r w:rsidRPr="006F001C">
                    <w:rPr>
                      <w:rFonts w:eastAsia="Times New Roman"/>
                      <w:noProof/>
                      <w:sz w:val="22"/>
                      <w:lang w:val="fr-BE" w:eastAsia="en-IE"/>
                    </w:rPr>
                    <w:t>EU-CyCLONe</w:t>
                  </w:r>
                  <w:r w:rsidRPr="006F001C">
                    <w:rPr>
                      <w:rFonts w:eastAsia="Times New Roman"/>
                      <w:noProof/>
                      <w:sz w:val="22"/>
                      <w:lang w:val="fr-FR" w:eastAsia="en-IE"/>
                    </w:rPr>
                    <w:t> </w:t>
                  </w:r>
                </w:p>
                <w:p w14:paraId="641873A3" w14:textId="77777777" w:rsidR="007A5304" w:rsidRPr="006F001C" w:rsidRDefault="007A5304">
                  <w:pPr>
                    <w:spacing w:before="0" w:after="0"/>
                    <w:jc w:val="left"/>
                    <w:textAlignment w:val="baseline"/>
                    <w:rPr>
                      <w:rFonts w:ascii="Segoe UI" w:eastAsia="Times New Roman" w:hAnsi="Segoe UI" w:cs="Segoe UI"/>
                      <w:noProof/>
                      <w:sz w:val="18"/>
                      <w:szCs w:val="18"/>
                      <w:lang w:val="fr-FR" w:eastAsia="en-IE"/>
                    </w:rPr>
                  </w:pPr>
                  <w:r w:rsidRPr="006F001C">
                    <w:rPr>
                      <w:rFonts w:eastAsia="Times New Roman"/>
                      <w:noProof/>
                      <w:sz w:val="22"/>
                      <w:lang w:val="fr-BE" w:eastAsia="en-IE"/>
                    </w:rPr>
                    <w:t>CSIRTs network</w:t>
                  </w:r>
                  <w:r w:rsidRPr="006F001C">
                    <w:rPr>
                      <w:rFonts w:eastAsia="Times New Roman"/>
                      <w:noProof/>
                      <w:color w:val="750B1C"/>
                      <w:sz w:val="22"/>
                      <w:lang w:val="fr-FR" w:eastAsia="en-IE"/>
                    </w:rPr>
                    <w:t> </w:t>
                  </w:r>
                </w:p>
              </w:tc>
              <w:tc>
                <w:tcPr>
                  <w:tcW w:w="3040" w:type="dxa"/>
                  <w:tcBorders>
                    <w:top w:val="single" w:sz="6" w:space="0" w:color="auto"/>
                    <w:left w:val="single" w:sz="6" w:space="0" w:color="auto"/>
                    <w:bottom w:val="single" w:sz="6" w:space="0" w:color="auto"/>
                    <w:right w:val="single" w:sz="6" w:space="0" w:color="auto"/>
                  </w:tcBorders>
                  <w:hideMark/>
                </w:tcPr>
                <w:p w14:paraId="1919323F"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Analysing data to support the preparation of reports; facilitating timely information sharing between networks</w:t>
                  </w:r>
                  <w:r w:rsidRPr="006F001C">
                    <w:rPr>
                      <w:rFonts w:eastAsia="Times New Roman"/>
                      <w:noProof/>
                      <w:sz w:val="22"/>
                      <w:lang w:val="en-IE" w:eastAsia="en-IE"/>
                    </w:rPr>
                    <w:t> </w:t>
                  </w:r>
                </w:p>
              </w:tc>
              <w:tc>
                <w:tcPr>
                  <w:tcW w:w="1281" w:type="dxa"/>
                  <w:tcBorders>
                    <w:top w:val="single" w:sz="6" w:space="0" w:color="auto"/>
                    <w:left w:val="single" w:sz="6" w:space="0" w:color="auto"/>
                    <w:bottom w:val="single" w:sz="6" w:space="0" w:color="auto"/>
                    <w:right w:val="single" w:sz="6" w:space="0" w:color="auto"/>
                  </w:tcBorders>
                  <w:hideMark/>
                </w:tcPr>
                <w:p w14:paraId="76A9624A"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processing</w:t>
                  </w:r>
                  <w:r w:rsidRPr="006F001C">
                    <w:rPr>
                      <w:rFonts w:eastAsia="Times New Roman"/>
                      <w:noProof/>
                      <w:sz w:val="22"/>
                      <w:lang w:val="en-IE" w:eastAsia="en-IE"/>
                    </w:rPr>
                    <w:t> </w:t>
                  </w:r>
                </w:p>
                <w:p w14:paraId="5B2CB50E"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flow </w:t>
                  </w:r>
                  <w:r w:rsidRPr="006F001C">
                    <w:rPr>
                      <w:rFonts w:eastAsia="Times New Roman"/>
                      <w:noProof/>
                      <w:sz w:val="22"/>
                      <w:lang w:val="en-IE" w:eastAsia="en-IE"/>
                    </w:rPr>
                    <w:t> </w:t>
                  </w:r>
                </w:p>
                <w:p w14:paraId="5D2AC3CF"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Digital public service </w:t>
                  </w:r>
                  <w:r w:rsidRPr="006F001C">
                    <w:rPr>
                      <w:rFonts w:eastAsia="Times New Roman"/>
                      <w:noProof/>
                      <w:sz w:val="22"/>
                      <w:lang w:val="en-IE" w:eastAsia="en-IE"/>
                    </w:rPr>
                    <w:t> </w:t>
                  </w:r>
                </w:p>
              </w:tc>
            </w:tr>
            <w:tr w:rsidR="007A5304" w:rsidRPr="006F001C" w14:paraId="2AC13C30" w14:textId="77777777">
              <w:trPr>
                <w:trHeight w:val="1590"/>
              </w:trPr>
              <w:tc>
                <w:tcPr>
                  <w:tcW w:w="2887" w:type="dxa"/>
                  <w:tcBorders>
                    <w:top w:val="single" w:sz="6" w:space="0" w:color="auto"/>
                    <w:left w:val="single" w:sz="6" w:space="0" w:color="auto"/>
                    <w:bottom w:val="single" w:sz="6" w:space="0" w:color="auto"/>
                    <w:right w:val="single" w:sz="6" w:space="0" w:color="auto"/>
                  </w:tcBorders>
                  <w:hideMark/>
                </w:tcPr>
                <w:p w14:paraId="34547BC7"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Article 10(</w:t>
                  </w:r>
                  <w:r>
                    <w:rPr>
                      <w:rFonts w:eastAsia="Times New Roman"/>
                      <w:noProof/>
                      <w:sz w:val="22"/>
                      <w:lang w:eastAsia="en-IE"/>
                    </w:rPr>
                    <w:t>5</w:t>
                  </w:r>
                  <w:r w:rsidRPr="006F001C">
                    <w:rPr>
                      <w:rFonts w:eastAsia="Times New Roman"/>
                      <w:noProof/>
                      <w:sz w:val="22"/>
                      <w:lang w:eastAsia="en-IE"/>
                    </w:rPr>
                    <w:t>) </w:t>
                  </w:r>
                  <w:r w:rsidRPr="006F001C">
                    <w:rPr>
                      <w:rFonts w:eastAsia="Times New Roman"/>
                      <w:noProof/>
                      <w:sz w:val="22"/>
                      <w:lang w:val="en-IE" w:eastAsia="en-IE"/>
                    </w:rPr>
                    <w:t> </w:t>
                  </w:r>
                </w:p>
                <w:p w14:paraId="281D5238"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Operational cooperation</w:t>
                  </w:r>
                  <w:r w:rsidRPr="006F001C">
                    <w:rPr>
                      <w:rFonts w:eastAsia="Times New Roman"/>
                      <w:noProof/>
                      <w:sz w:val="22"/>
                      <w:lang w:val="en-IE" w:eastAsia="en-IE"/>
                    </w:rPr>
                    <w:t> </w:t>
                  </w:r>
                </w:p>
              </w:tc>
              <w:tc>
                <w:tcPr>
                  <w:tcW w:w="4332" w:type="dxa"/>
                  <w:tcBorders>
                    <w:top w:val="single" w:sz="6" w:space="0" w:color="auto"/>
                    <w:left w:val="single" w:sz="6" w:space="0" w:color="auto"/>
                    <w:bottom w:val="single" w:sz="6" w:space="0" w:color="auto"/>
                    <w:right w:val="single" w:sz="6" w:space="0" w:color="auto"/>
                  </w:tcBorders>
                  <w:hideMark/>
                </w:tcPr>
                <w:p w14:paraId="07E7E86B"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Pr>
                      <w:rFonts w:eastAsia="Times New Roman"/>
                      <w:noProof/>
                      <w:sz w:val="22"/>
                      <w:lang w:eastAsia="en-IE"/>
                    </w:rPr>
                    <w:t>A</w:t>
                  </w:r>
                  <w:r w:rsidRPr="006F001C">
                    <w:rPr>
                      <w:rFonts w:eastAsia="Times New Roman"/>
                      <w:noProof/>
                      <w:sz w:val="22"/>
                      <w:lang w:eastAsia="en-IE"/>
                    </w:rPr>
                    <w:t>t the </w:t>
                  </w:r>
                  <w:r w:rsidRPr="006F001C">
                    <w:rPr>
                      <w:rFonts w:eastAsia="Times New Roman"/>
                      <w:b/>
                      <w:bCs/>
                      <w:noProof/>
                      <w:sz w:val="22"/>
                      <w:lang w:eastAsia="en-IE"/>
                    </w:rPr>
                    <w:t>request of a Member State</w:t>
                  </w:r>
                  <w:r w:rsidRPr="006F001C">
                    <w:rPr>
                      <w:rFonts w:eastAsia="Times New Roman"/>
                      <w:noProof/>
                      <w:sz w:val="22"/>
                      <w:lang w:eastAsia="en-IE"/>
                    </w:rPr>
                    <w:t> or a Union entity</w:t>
                  </w:r>
                  <w:r>
                    <w:rPr>
                      <w:rFonts w:eastAsia="Times New Roman"/>
                      <w:noProof/>
                      <w:sz w:val="22"/>
                      <w:lang w:eastAsia="en-IE"/>
                    </w:rPr>
                    <w:t xml:space="preserve"> in cooperation with CERT-EU ENISA shall</w:t>
                  </w:r>
                  <w:r w:rsidRPr="006F001C">
                    <w:rPr>
                      <w:rFonts w:eastAsia="Times New Roman"/>
                      <w:noProof/>
                      <w:sz w:val="22"/>
                      <w:lang w:eastAsia="en-IE"/>
                    </w:rPr>
                    <w:t xml:space="preserve"> support consistent public communication relating to an incident or cyber threat.</w:t>
                  </w:r>
                  <w:r w:rsidRPr="006F001C">
                    <w:rPr>
                      <w:rFonts w:eastAsia="Times New Roman"/>
                      <w:noProof/>
                      <w:sz w:val="22"/>
                      <w:lang w:val="en-IE" w:eastAsia="en-IE"/>
                    </w:rPr>
                    <w:t> </w:t>
                  </w:r>
                </w:p>
              </w:tc>
              <w:tc>
                <w:tcPr>
                  <w:tcW w:w="3015" w:type="dxa"/>
                  <w:tcBorders>
                    <w:top w:val="single" w:sz="6" w:space="0" w:color="auto"/>
                    <w:left w:val="single" w:sz="6" w:space="0" w:color="auto"/>
                    <w:bottom w:val="single" w:sz="6" w:space="0" w:color="auto"/>
                    <w:right w:val="single" w:sz="6" w:space="0" w:color="auto"/>
                  </w:tcBorders>
                  <w:hideMark/>
                </w:tcPr>
                <w:p w14:paraId="66CBFB94"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ENISA</w:t>
                  </w:r>
                  <w:r w:rsidRPr="006F001C">
                    <w:rPr>
                      <w:rFonts w:eastAsia="Times New Roman"/>
                      <w:noProof/>
                      <w:sz w:val="22"/>
                      <w:lang w:val="en-IE" w:eastAsia="en-IE"/>
                    </w:rPr>
                    <w:t> </w:t>
                  </w:r>
                </w:p>
                <w:p w14:paraId="3A7F4B23"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Member States</w:t>
                  </w:r>
                  <w:r w:rsidRPr="006F001C">
                    <w:rPr>
                      <w:rFonts w:eastAsia="Times New Roman"/>
                      <w:noProof/>
                      <w:sz w:val="22"/>
                      <w:lang w:val="en-IE" w:eastAsia="en-IE"/>
                    </w:rPr>
                    <w:t> </w:t>
                  </w:r>
                </w:p>
              </w:tc>
              <w:tc>
                <w:tcPr>
                  <w:tcW w:w="3040" w:type="dxa"/>
                  <w:tcBorders>
                    <w:top w:val="single" w:sz="6" w:space="0" w:color="auto"/>
                    <w:left w:val="single" w:sz="6" w:space="0" w:color="auto"/>
                    <w:bottom w:val="single" w:sz="6" w:space="0" w:color="auto"/>
                    <w:right w:val="single" w:sz="6" w:space="0" w:color="auto"/>
                  </w:tcBorders>
                  <w:hideMark/>
                </w:tcPr>
                <w:p w14:paraId="4072468C"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Receiving request and communicate, if needed</w:t>
                  </w:r>
                  <w:r w:rsidRPr="006F001C">
                    <w:rPr>
                      <w:rFonts w:eastAsia="Times New Roman"/>
                      <w:noProof/>
                      <w:sz w:val="22"/>
                      <w:lang w:val="en-IE" w:eastAsia="en-IE"/>
                    </w:rPr>
                    <w:t> </w:t>
                  </w:r>
                </w:p>
              </w:tc>
              <w:tc>
                <w:tcPr>
                  <w:tcW w:w="1281" w:type="dxa"/>
                  <w:tcBorders>
                    <w:top w:val="single" w:sz="6" w:space="0" w:color="auto"/>
                    <w:left w:val="single" w:sz="6" w:space="0" w:color="auto"/>
                    <w:bottom w:val="single" w:sz="6" w:space="0" w:color="auto"/>
                    <w:right w:val="single" w:sz="6" w:space="0" w:color="auto"/>
                  </w:tcBorders>
                  <w:hideMark/>
                </w:tcPr>
                <w:p w14:paraId="7B09319D"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flow</w:t>
                  </w:r>
                  <w:r w:rsidRPr="006F001C">
                    <w:rPr>
                      <w:rFonts w:eastAsia="Times New Roman"/>
                      <w:noProof/>
                      <w:sz w:val="22"/>
                      <w:lang w:val="en-IE" w:eastAsia="en-IE"/>
                    </w:rPr>
                    <w:t> </w:t>
                  </w:r>
                </w:p>
              </w:tc>
            </w:tr>
            <w:tr w:rsidR="007A5304" w:rsidRPr="000F51F7" w14:paraId="6B32BDD3" w14:textId="77777777">
              <w:trPr>
                <w:trHeight w:val="2745"/>
              </w:trPr>
              <w:tc>
                <w:tcPr>
                  <w:tcW w:w="2887" w:type="dxa"/>
                  <w:tcBorders>
                    <w:top w:val="single" w:sz="6" w:space="0" w:color="auto"/>
                    <w:left w:val="single" w:sz="6" w:space="0" w:color="auto"/>
                    <w:bottom w:val="single" w:sz="6" w:space="0" w:color="auto"/>
                    <w:right w:val="single" w:sz="6" w:space="0" w:color="auto"/>
                  </w:tcBorders>
                  <w:hideMark/>
                </w:tcPr>
                <w:p w14:paraId="522EC37F"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Article 10(</w:t>
                  </w:r>
                  <w:r>
                    <w:rPr>
                      <w:rFonts w:eastAsia="Times New Roman"/>
                      <w:noProof/>
                      <w:sz w:val="22"/>
                      <w:lang w:eastAsia="en-IE"/>
                    </w:rPr>
                    <w:t>6</w:t>
                  </w:r>
                  <w:r w:rsidRPr="006F001C">
                    <w:rPr>
                      <w:rFonts w:eastAsia="Times New Roman"/>
                      <w:noProof/>
                      <w:sz w:val="22"/>
                      <w:lang w:eastAsia="en-IE"/>
                    </w:rPr>
                    <w:t>)</w:t>
                  </w:r>
                  <w:r w:rsidRPr="006F001C">
                    <w:rPr>
                      <w:rFonts w:eastAsia="Times New Roman"/>
                      <w:noProof/>
                      <w:sz w:val="22"/>
                      <w:lang w:val="en-IE" w:eastAsia="en-IE"/>
                    </w:rPr>
                    <w:t> </w:t>
                  </w:r>
                </w:p>
                <w:p w14:paraId="670EB29B"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Operational cooperation</w:t>
                  </w:r>
                  <w:r w:rsidRPr="006F001C">
                    <w:rPr>
                      <w:rFonts w:eastAsia="Times New Roman"/>
                      <w:noProof/>
                      <w:sz w:val="22"/>
                      <w:lang w:val="en-IE" w:eastAsia="en-IE"/>
                    </w:rPr>
                    <w:t> </w:t>
                  </w:r>
                </w:p>
              </w:tc>
              <w:tc>
                <w:tcPr>
                  <w:tcW w:w="4332" w:type="dxa"/>
                  <w:tcBorders>
                    <w:top w:val="single" w:sz="6" w:space="0" w:color="auto"/>
                    <w:left w:val="single" w:sz="6" w:space="0" w:color="auto"/>
                    <w:bottom w:val="single" w:sz="6" w:space="0" w:color="auto"/>
                    <w:right w:val="single" w:sz="6" w:space="0" w:color="auto"/>
                  </w:tcBorders>
                  <w:hideMark/>
                </w:tcPr>
                <w:p w14:paraId="39E6CB7C"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ENISA shall </w:t>
                  </w:r>
                  <w:r w:rsidRPr="006F001C">
                    <w:rPr>
                      <w:rFonts w:eastAsia="Times New Roman"/>
                      <w:b/>
                      <w:bCs/>
                      <w:noProof/>
                      <w:sz w:val="22"/>
                      <w:lang w:eastAsia="en-IE"/>
                    </w:rPr>
                    <w:t>support</w:t>
                  </w:r>
                  <w:r w:rsidRPr="006F001C">
                    <w:rPr>
                      <w:rFonts w:eastAsia="Times New Roman"/>
                      <w:noProof/>
                      <w:sz w:val="22"/>
                      <w:lang w:eastAsia="en-IE"/>
                    </w:rPr>
                    <w:t> cooperation among Member States and</w:t>
                  </w:r>
                  <w:r>
                    <w:rPr>
                      <w:rFonts w:eastAsia="Times New Roman"/>
                      <w:noProof/>
                      <w:sz w:val="22"/>
                      <w:lang w:eastAsia="en-IE"/>
                    </w:rPr>
                    <w:t>,</w:t>
                  </w:r>
                  <w:r w:rsidRPr="006F001C">
                    <w:rPr>
                      <w:rFonts w:eastAsia="Times New Roman"/>
                      <w:noProof/>
                      <w:sz w:val="22"/>
                      <w:lang w:eastAsia="en-IE"/>
                    </w:rPr>
                    <w:t xml:space="preserve"> </w:t>
                  </w:r>
                  <w:r>
                    <w:rPr>
                      <w:rFonts w:eastAsia="Times New Roman"/>
                      <w:noProof/>
                      <w:sz w:val="22"/>
                      <w:lang w:eastAsia="en-IE"/>
                    </w:rPr>
                    <w:t>through CERT-EU, among</w:t>
                  </w:r>
                  <w:r w:rsidRPr="006F001C">
                    <w:rPr>
                      <w:rFonts w:eastAsia="Times New Roman"/>
                      <w:noProof/>
                      <w:sz w:val="22"/>
                      <w:lang w:eastAsia="en-IE"/>
                    </w:rPr>
                    <w:t xml:space="preserve"> Union entities</w:t>
                  </w:r>
                  <w:r>
                    <w:rPr>
                      <w:rFonts w:eastAsia="Times New Roman"/>
                      <w:noProof/>
                      <w:sz w:val="22"/>
                      <w:lang w:eastAsia="en-IE"/>
                    </w:rPr>
                    <w:t>,</w:t>
                  </w:r>
                  <w:r w:rsidRPr="006F001C">
                    <w:rPr>
                      <w:rFonts w:eastAsia="Times New Roman"/>
                      <w:noProof/>
                      <w:sz w:val="22"/>
                      <w:lang w:eastAsia="en-IE"/>
                    </w:rPr>
                    <w:t> with regard to the </w:t>
                  </w:r>
                  <w:r w:rsidRPr="006F001C">
                    <w:rPr>
                      <w:rFonts w:eastAsia="Times New Roman"/>
                      <w:b/>
                      <w:bCs/>
                      <w:noProof/>
                      <w:sz w:val="22"/>
                      <w:lang w:eastAsia="en-IE"/>
                    </w:rPr>
                    <w:t>deployment of secure communications tools. </w:t>
                  </w:r>
                  <w:r w:rsidRPr="006F001C">
                    <w:rPr>
                      <w:rFonts w:eastAsia="Times New Roman"/>
                      <w:noProof/>
                      <w:sz w:val="22"/>
                      <w:lang w:eastAsia="en-IE"/>
                    </w:rPr>
                    <w:t xml:space="preserve">ENISA shall use within the CSIRTs network and EU-CyCLONe secure communications tools which are provided by legal entities </w:t>
                  </w:r>
                  <w:r>
                    <w:rPr>
                      <w:rFonts w:eastAsia="Times New Roman"/>
                      <w:noProof/>
                      <w:sz w:val="22"/>
                      <w:lang w:eastAsia="en-IE"/>
                    </w:rPr>
                    <w:t>that are not</w:t>
                  </w:r>
                  <w:r w:rsidRPr="006F001C">
                    <w:rPr>
                      <w:rFonts w:eastAsia="Times New Roman"/>
                      <w:noProof/>
                      <w:sz w:val="22"/>
                      <w:lang w:eastAsia="en-IE"/>
                    </w:rPr>
                    <w:t xml:space="preserve"> established in </w:t>
                  </w:r>
                  <w:r>
                    <w:rPr>
                      <w:rFonts w:eastAsia="Times New Roman"/>
                      <w:noProof/>
                      <w:sz w:val="22"/>
                      <w:lang w:eastAsia="en-IE"/>
                    </w:rPr>
                    <w:t xml:space="preserve">or </w:t>
                  </w:r>
                  <w:r w:rsidRPr="006F001C">
                    <w:rPr>
                      <w:rFonts w:eastAsia="Times New Roman"/>
                      <w:noProof/>
                      <w:sz w:val="22"/>
                      <w:lang w:eastAsia="en-IE"/>
                    </w:rPr>
                    <w:t xml:space="preserve">controlled by </w:t>
                  </w:r>
                  <w:r>
                    <w:rPr>
                      <w:rFonts w:eastAsia="Times New Roman"/>
                      <w:noProof/>
                      <w:sz w:val="22"/>
                      <w:lang w:eastAsia="en-IE"/>
                    </w:rPr>
                    <w:t>third countries</w:t>
                  </w:r>
                  <w:r w:rsidRPr="006F001C">
                    <w:rPr>
                      <w:rFonts w:eastAsia="Times New Roman"/>
                      <w:noProof/>
                      <w:sz w:val="22"/>
                      <w:lang w:eastAsia="en-IE"/>
                    </w:rPr>
                    <w:t xml:space="preserve"> or by nationals of </w:t>
                  </w:r>
                  <w:r>
                    <w:rPr>
                      <w:rFonts w:eastAsia="Times New Roman"/>
                      <w:noProof/>
                      <w:sz w:val="22"/>
                      <w:lang w:eastAsia="en-IE"/>
                    </w:rPr>
                    <w:t>third countries</w:t>
                  </w:r>
                  <w:r w:rsidRPr="006F001C">
                    <w:rPr>
                      <w:rFonts w:eastAsia="Times New Roman"/>
                      <w:noProof/>
                      <w:sz w:val="22"/>
                      <w:lang w:eastAsia="en-IE"/>
                    </w:rPr>
                    <w:t>.    </w:t>
                  </w:r>
                  <w:r w:rsidRPr="006F001C">
                    <w:rPr>
                      <w:rFonts w:eastAsia="Times New Roman"/>
                      <w:noProof/>
                      <w:sz w:val="22"/>
                      <w:lang w:val="en-IE" w:eastAsia="en-IE"/>
                    </w:rPr>
                    <w:t> </w:t>
                  </w:r>
                </w:p>
              </w:tc>
              <w:tc>
                <w:tcPr>
                  <w:tcW w:w="3015" w:type="dxa"/>
                  <w:tcBorders>
                    <w:top w:val="single" w:sz="6" w:space="0" w:color="auto"/>
                    <w:left w:val="single" w:sz="6" w:space="0" w:color="auto"/>
                    <w:bottom w:val="single" w:sz="6" w:space="0" w:color="auto"/>
                    <w:right w:val="single" w:sz="6" w:space="0" w:color="auto"/>
                  </w:tcBorders>
                  <w:hideMark/>
                </w:tcPr>
                <w:p w14:paraId="66193274" w14:textId="77777777" w:rsidR="007A5304" w:rsidRPr="006F001C" w:rsidRDefault="007A5304">
                  <w:pPr>
                    <w:spacing w:before="0" w:after="0"/>
                    <w:jc w:val="left"/>
                    <w:textAlignment w:val="baseline"/>
                    <w:rPr>
                      <w:rFonts w:ascii="Segoe UI" w:eastAsia="Times New Roman" w:hAnsi="Segoe UI" w:cs="Segoe UI"/>
                      <w:noProof/>
                      <w:sz w:val="18"/>
                      <w:szCs w:val="18"/>
                      <w:lang w:val="fr-FR" w:eastAsia="en-IE"/>
                    </w:rPr>
                  </w:pPr>
                  <w:r w:rsidRPr="006F001C">
                    <w:rPr>
                      <w:rFonts w:eastAsia="Times New Roman"/>
                      <w:noProof/>
                      <w:sz w:val="22"/>
                      <w:lang w:val="fr-BE" w:eastAsia="en-IE"/>
                    </w:rPr>
                    <w:t>ENISA</w:t>
                  </w:r>
                  <w:r w:rsidRPr="006F001C">
                    <w:rPr>
                      <w:rFonts w:eastAsia="Times New Roman"/>
                      <w:noProof/>
                      <w:sz w:val="22"/>
                      <w:lang w:val="fr-FR" w:eastAsia="en-IE"/>
                    </w:rPr>
                    <w:t> </w:t>
                  </w:r>
                </w:p>
                <w:p w14:paraId="6FB1873F" w14:textId="77777777" w:rsidR="007A5304" w:rsidRPr="006F001C" w:rsidRDefault="007A5304">
                  <w:pPr>
                    <w:spacing w:before="0" w:after="0"/>
                    <w:jc w:val="left"/>
                    <w:textAlignment w:val="baseline"/>
                    <w:rPr>
                      <w:rFonts w:ascii="Segoe UI" w:eastAsia="Times New Roman" w:hAnsi="Segoe UI" w:cs="Segoe UI"/>
                      <w:noProof/>
                      <w:sz w:val="18"/>
                      <w:szCs w:val="18"/>
                      <w:lang w:val="fr-FR" w:eastAsia="en-IE"/>
                    </w:rPr>
                  </w:pPr>
                  <w:r w:rsidRPr="006F001C">
                    <w:rPr>
                      <w:rFonts w:eastAsia="Times New Roman"/>
                      <w:noProof/>
                      <w:sz w:val="22"/>
                      <w:lang w:val="fr-BE" w:eastAsia="en-IE"/>
                    </w:rPr>
                    <w:t>EU Commission</w:t>
                  </w:r>
                  <w:r w:rsidRPr="006F001C">
                    <w:rPr>
                      <w:rFonts w:eastAsia="Times New Roman"/>
                      <w:noProof/>
                      <w:sz w:val="22"/>
                      <w:lang w:val="fr-FR" w:eastAsia="en-IE"/>
                    </w:rPr>
                    <w:t> </w:t>
                  </w:r>
                </w:p>
                <w:p w14:paraId="089E6670" w14:textId="77777777" w:rsidR="007A5304" w:rsidRPr="006F001C" w:rsidRDefault="007A5304">
                  <w:pPr>
                    <w:spacing w:before="0" w:after="0"/>
                    <w:jc w:val="left"/>
                    <w:textAlignment w:val="baseline"/>
                    <w:rPr>
                      <w:rFonts w:ascii="Segoe UI" w:eastAsia="Times New Roman" w:hAnsi="Segoe UI" w:cs="Segoe UI"/>
                      <w:noProof/>
                      <w:sz w:val="18"/>
                      <w:szCs w:val="18"/>
                      <w:lang w:val="fr-FR" w:eastAsia="en-IE"/>
                    </w:rPr>
                  </w:pPr>
                  <w:r w:rsidRPr="006F001C">
                    <w:rPr>
                      <w:rFonts w:eastAsia="Times New Roman"/>
                      <w:noProof/>
                      <w:sz w:val="22"/>
                      <w:lang w:val="fr-BE" w:eastAsia="en-IE"/>
                    </w:rPr>
                    <w:t>Member States</w:t>
                  </w:r>
                  <w:r w:rsidRPr="006F001C">
                    <w:rPr>
                      <w:rFonts w:eastAsia="Times New Roman"/>
                      <w:noProof/>
                      <w:sz w:val="22"/>
                      <w:lang w:val="fr-FR" w:eastAsia="en-IE"/>
                    </w:rPr>
                    <w:t> </w:t>
                  </w:r>
                </w:p>
                <w:p w14:paraId="3FCC958D" w14:textId="77777777" w:rsidR="007A5304" w:rsidRPr="006F001C" w:rsidRDefault="007A5304">
                  <w:pPr>
                    <w:spacing w:before="0" w:after="0"/>
                    <w:jc w:val="left"/>
                    <w:textAlignment w:val="baseline"/>
                    <w:rPr>
                      <w:rFonts w:ascii="Segoe UI" w:eastAsia="Times New Roman" w:hAnsi="Segoe UI" w:cs="Segoe UI"/>
                      <w:noProof/>
                      <w:sz w:val="18"/>
                      <w:szCs w:val="18"/>
                      <w:lang w:val="fr-FR" w:eastAsia="en-IE"/>
                    </w:rPr>
                  </w:pPr>
                  <w:r w:rsidRPr="006F001C">
                    <w:rPr>
                      <w:rFonts w:eastAsia="Times New Roman"/>
                      <w:noProof/>
                      <w:sz w:val="22"/>
                      <w:lang w:val="fr-BE" w:eastAsia="en-IE"/>
                    </w:rPr>
                    <w:t>EU entities</w:t>
                  </w:r>
                  <w:r w:rsidRPr="006F001C">
                    <w:rPr>
                      <w:rFonts w:eastAsia="Times New Roman"/>
                      <w:noProof/>
                      <w:sz w:val="22"/>
                      <w:lang w:val="fr-FR" w:eastAsia="en-IE"/>
                    </w:rPr>
                    <w:t> </w:t>
                  </w:r>
                </w:p>
                <w:p w14:paraId="26922B46"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CSIRTs network</w:t>
                  </w:r>
                  <w:r w:rsidRPr="006F001C">
                    <w:rPr>
                      <w:rFonts w:eastAsia="Times New Roman"/>
                      <w:noProof/>
                      <w:sz w:val="22"/>
                      <w:lang w:val="en-IE" w:eastAsia="en-IE"/>
                    </w:rPr>
                    <w:t> </w:t>
                  </w:r>
                </w:p>
                <w:p w14:paraId="5092E93B"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EU-CyCLONe</w:t>
                  </w:r>
                  <w:r w:rsidRPr="006F001C">
                    <w:rPr>
                      <w:rFonts w:eastAsia="Times New Roman"/>
                      <w:noProof/>
                      <w:sz w:val="22"/>
                      <w:lang w:val="en-IE" w:eastAsia="en-IE"/>
                    </w:rPr>
                    <w:t> </w:t>
                  </w:r>
                </w:p>
              </w:tc>
              <w:tc>
                <w:tcPr>
                  <w:tcW w:w="3040" w:type="dxa"/>
                  <w:tcBorders>
                    <w:top w:val="single" w:sz="6" w:space="0" w:color="auto"/>
                    <w:left w:val="single" w:sz="6" w:space="0" w:color="auto"/>
                    <w:bottom w:val="single" w:sz="6" w:space="0" w:color="auto"/>
                    <w:right w:val="single" w:sz="6" w:space="0" w:color="auto"/>
                  </w:tcBorders>
                  <w:hideMark/>
                </w:tcPr>
                <w:p w14:paraId="2F0A5D3E"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Support the deployment of secure communication tools and use such tools within the CSIRTs network and EU-CyCLONe. </w:t>
                  </w:r>
                  <w:r w:rsidRPr="006F001C">
                    <w:rPr>
                      <w:rFonts w:eastAsia="Times New Roman"/>
                      <w:noProof/>
                      <w:sz w:val="22"/>
                      <w:lang w:val="en-IE" w:eastAsia="en-IE"/>
                    </w:rPr>
                    <w:t> </w:t>
                  </w:r>
                </w:p>
              </w:tc>
              <w:tc>
                <w:tcPr>
                  <w:tcW w:w="1281" w:type="dxa"/>
                  <w:tcBorders>
                    <w:top w:val="single" w:sz="6" w:space="0" w:color="auto"/>
                    <w:left w:val="single" w:sz="6" w:space="0" w:color="auto"/>
                    <w:bottom w:val="single" w:sz="6" w:space="0" w:color="auto"/>
                    <w:right w:val="single" w:sz="6" w:space="0" w:color="auto"/>
                  </w:tcBorders>
                  <w:hideMark/>
                </w:tcPr>
                <w:p w14:paraId="3BA7E113" w14:textId="77777777" w:rsidR="007A5304" w:rsidRPr="00291CE2" w:rsidRDefault="007A5304">
                  <w:pPr>
                    <w:spacing w:before="0" w:after="0"/>
                    <w:jc w:val="left"/>
                    <w:textAlignment w:val="baseline"/>
                    <w:rPr>
                      <w:rFonts w:ascii="Segoe UI" w:eastAsia="Times New Roman" w:hAnsi="Segoe UI" w:cs="Segoe UI"/>
                      <w:noProof/>
                      <w:sz w:val="18"/>
                      <w:szCs w:val="18"/>
                      <w:lang w:val="fr-BE" w:eastAsia="en-IE"/>
                    </w:rPr>
                  </w:pPr>
                  <w:r w:rsidRPr="00291CE2">
                    <w:rPr>
                      <w:rFonts w:eastAsia="Times New Roman"/>
                      <w:noProof/>
                      <w:sz w:val="22"/>
                      <w:lang w:val="fr-BE" w:eastAsia="en-IE"/>
                    </w:rPr>
                    <w:t>Digital solution </w:t>
                  </w:r>
                </w:p>
                <w:p w14:paraId="32726FAB" w14:textId="77777777" w:rsidR="007A5304" w:rsidRPr="00291CE2" w:rsidRDefault="007A5304">
                  <w:pPr>
                    <w:spacing w:before="0" w:after="0"/>
                    <w:jc w:val="left"/>
                    <w:textAlignment w:val="baseline"/>
                    <w:rPr>
                      <w:rFonts w:ascii="Segoe UI" w:eastAsia="Times New Roman" w:hAnsi="Segoe UI" w:cs="Segoe UI"/>
                      <w:noProof/>
                      <w:sz w:val="18"/>
                      <w:szCs w:val="18"/>
                      <w:lang w:val="fr-BE" w:eastAsia="en-IE"/>
                    </w:rPr>
                  </w:pPr>
                  <w:r w:rsidRPr="00291CE2">
                    <w:rPr>
                      <w:rFonts w:eastAsia="Times New Roman"/>
                      <w:noProof/>
                      <w:sz w:val="22"/>
                      <w:lang w:val="fr-BE" w:eastAsia="en-IE"/>
                    </w:rPr>
                    <w:t>Digital public service </w:t>
                  </w:r>
                </w:p>
              </w:tc>
            </w:tr>
            <w:tr w:rsidR="007A5304" w:rsidRPr="006F001C" w14:paraId="36DE5D82" w14:textId="77777777">
              <w:trPr>
                <w:trHeight w:val="3075"/>
              </w:trPr>
              <w:tc>
                <w:tcPr>
                  <w:tcW w:w="2887" w:type="dxa"/>
                  <w:tcBorders>
                    <w:top w:val="single" w:sz="6" w:space="0" w:color="auto"/>
                    <w:left w:val="single" w:sz="6" w:space="0" w:color="auto"/>
                    <w:bottom w:val="single" w:sz="6" w:space="0" w:color="auto"/>
                    <w:right w:val="single" w:sz="6" w:space="0" w:color="auto"/>
                  </w:tcBorders>
                  <w:hideMark/>
                </w:tcPr>
                <w:p w14:paraId="14A9252A"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Article 11(1)(a)</w:t>
                  </w:r>
                  <w:r w:rsidRPr="006F001C">
                    <w:rPr>
                      <w:rFonts w:eastAsia="Times New Roman"/>
                      <w:noProof/>
                      <w:sz w:val="22"/>
                      <w:lang w:val="en-IE" w:eastAsia="en-IE"/>
                    </w:rPr>
                    <w:t> </w:t>
                  </w:r>
                </w:p>
                <w:p w14:paraId="38038A1C"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Shared cybersecurity situational awareness </w:t>
                  </w:r>
                  <w:r w:rsidRPr="006F001C">
                    <w:rPr>
                      <w:rFonts w:eastAsia="Times New Roman"/>
                      <w:noProof/>
                      <w:sz w:val="22"/>
                      <w:lang w:val="en-IE" w:eastAsia="en-IE"/>
                    </w:rPr>
                    <w:t> </w:t>
                  </w:r>
                </w:p>
              </w:tc>
              <w:tc>
                <w:tcPr>
                  <w:tcW w:w="4332" w:type="dxa"/>
                  <w:tcBorders>
                    <w:top w:val="single" w:sz="6" w:space="0" w:color="auto"/>
                    <w:left w:val="single" w:sz="6" w:space="0" w:color="auto"/>
                    <w:bottom w:val="single" w:sz="6" w:space="0" w:color="auto"/>
                    <w:right w:val="single" w:sz="6" w:space="0" w:color="auto"/>
                  </w:tcBorders>
                  <w:hideMark/>
                </w:tcPr>
                <w:p w14:paraId="7AD62371"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w:t>
                  </w:r>
                  <w:r w:rsidRPr="006F001C">
                    <w:rPr>
                      <w:rFonts w:ascii="Calibri" w:eastAsia="Times New Roman" w:hAnsi="Calibri" w:cs="Calibri"/>
                      <w:noProof/>
                      <w:sz w:val="22"/>
                      <w:lang w:val="en-IE" w:eastAsia="en-IE"/>
                    </w:rPr>
                    <w:tab/>
                  </w:r>
                  <w:r w:rsidRPr="006F001C">
                    <w:rPr>
                      <w:rFonts w:eastAsia="Times New Roman"/>
                      <w:b/>
                      <w:bCs/>
                      <w:noProof/>
                      <w:sz w:val="22"/>
                      <w:lang w:eastAsia="en-IE"/>
                    </w:rPr>
                    <w:t>develop</w:t>
                  </w:r>
                  <w:r w:rsidRPr="006F001C">
                    <w:rPr>
                      <w:rFonts w:eastAsia="Times New Roman"/>
                      <w:noProof/>
                      <w:sz w:val="22"/>
                      <w:lang w:eastAsia="en-IE"/>
                    </w:rPr>
                    <w:t xml:space="preserve"> in cooperation with EU-CyCLONe, the CSIRTs network, the Commission, </w:t>
                  </w:r>
                  <w:r>
                    <w:rPr>
                      <w:rFonts w:eastAsia="Times New Roman"/>
                      <w:noProof/>
                      <w:sz w:val="22"/>
                      <w:lang w:eastAsia="en-IE"/>
                    </w:rPr>
                    <w:t xml:space="preserve">CERT-EU, </w:t>
                  </w:r>
                  <w:r w:rsidRPr="006F001C">
                    <w:rPr>
                      <w:rFonts w:eastAsia="Times New Roman"/>
                      <w:noProof/>
                      <w:sz w:val="22"/>
                      <w:lang w:eastAsia="en-IE"/>
                    </w:rPr>
                    <w:t xml:space="preserve">Europol and </w:t>
                  </w:r>
                  <w:r>
                    <w:rPr>
                      <w:rFonts w:eastAsia="Times New Roman"/>
                      <w:noProof/>
                      <w:sz w:val="22"/>
                      <w:lang w:eastAsia="en-IE"/>
                    </w:rPr>
                    <w:t xml:space="preserve">other </w:t>
                  </w:r>
                  <w:r w:rsidRPr="006F001C">
                    <w:rPr>
                      <w:rFonts w:eastAsia="Times New Roman"/>
                      <w:noProof/>
                      <w:sz w:val="22"/>
                      <w:lang w:eastAsia="en-IE"/>
                    </w:rPr>
                    <w:t>relevant Union entities </w:t>
                  </w:r>
                  <w:r w:rsidRPr="006F001C">
                    <w:rPr>
                      <w:rFonts w:eastAsia="Times New Roman"/>
                      <w:b/>
                      <w:bCs/>
                      <w:noProof/>
                      <w:sz w:val="22"/>
                      <w:lang w:eastAsia="en-IE"/>
                    </w:rPr>
                    <w:t>repositories </w:t>
                  </w:r>
                  <w:r w:rsidRPr="006F001C">
                    <w:rPr>
                      <w:rFonts w:eastAsia="Times New Roman"/>
                      <w:noProof/>
                      <w:sz w:val="22"/>
                      <w:lang w:eastAsia="en-IE"/>
                    </w:rPr>
                    <w:t>of verified, reliable cyber threat intelligence, including trends in incidents, tactics, techniques and procedures;</w:t>
                  </w:r>
                  <w:r w:rsidRPr="006F001C">
                    <w:rPr>
                      <w:rFonts w:eastAsia="Times New Roman"/>
                      <w:noProof/>
                      <w:sz w:val="22"/>
                      <w:lang w:val="en-IE" w:eastAsia="en-IE"/>
                    </w:rPr>
                    <w:t> </w:t>
                  </w:r>
                </w:p>
              </w:tc>
              <w:tc>
                <w:tcPr>
                  <w:tcW w:w="3015" w:type="dxa"/>
                  <w:tcBorders>
                    <w:top w:val="single" w:sz="6" w:space="0" w:color="auto"/>
                    <w:left w:val="single" w:sz="6" w:space="0" w:color="auto"/>
                    <w:bottom w:val="single" w:sz="6" w:space="0" w:color="auto"/>
                    <w:right w:val="single" w:sz="6" w:space="0" w:color="auto"/>
                  </w:tcBorders>
                  <w:hideMark/>
                </w:tcPr>
                <w:p w14:paraId="041AAD00" w14:textId="77777777" w:rsidR="007A5304" w:rsidRPr="006F001C" w:rsidRDefault="007A5304">
                  <w:pPr>
                    <w:spacing w:before="0" w:after="0"/>
                    <w:jc w:val="left"/>
                    <w:textAlignment w:val="baseline"/>
                    <w:rPr>
                      <w:rFonts w:ascii="Segoe UI" w:eastAsia="Times New Roman" w:hAnsi="Segoe UI" w:cs="Segoe UI"/>
                      <w:noProof/>
                      <w:sz w:val="18"/>
                      <w:szCs w:val="18"/>
                      <w:lang w:val="fr-FR" w:eastAsia="en-IE"/>
                    </w:rPr>
                  </w:pPr>
                  <w:r w:rsidRPr="006F001C">
                    <w:rPr>
                      <w:rFonts w:eastAsia="Times New Roman"/>
                      <w:noProof/>
                      <w:sz w:val="22"/>
                      <w:lang w:val="fr-BE" w:eastAsia="en-IE"/>
                    </w:rPr>
                    <w:t>EU Commission</w:t>
                  </w:r>
                  <w:r w:rsidRPr="006F001C">
                    <w:rPr>
                      <w:rFonts w:eastAsia="Times New Roman"/>
                      <w:noProof/>
                      <w:sz w:val="22"/>
                      <w:lang w:val="fr-FR" w:eastAsia="en-IE"/>
                    </w:rPr>
                    <w:t> </w:t>
                  </w:r>
                </w:p>
                <w:p w14:paraId="0E6B91B9" w14:textId="77777777" w:rsidR="007A5304" w:rsidRPr="006F001C" w:rsidRDefault="007A5304">
                  <w:pPr>
                    <w:spacing w:before="0" w:after="0"/>
                    <w:jc w:val="left"/>
                    <w:textAlignment w:val="baseline"/>
                    <w:rPr>
                      <w:rFonts w:ascii="Segoe UI" w:eastAsia="Times New Roman" w:hAnsi="Segoe UI" w:cs="Segoe UI"/>
                      <w:noProof/>
                      <w:sz w:val="18"/>
                      <w:szCs w:val="18"/>
                      <w:lang w:val="fr-FR" w:eastAsia="en-IE"/>
                    </w:rPr>
                  </w:pPr>
                  <w:r w:rsidRPr="006F001C">
                    <w:rPr>
                      <w:rFonts w:eastAsia="Times New Roman"/>
                      <w:noProof/>
                      <w:sz w:val="22"/>
                      <w:lang w:val="fr-BE" w:eastAsia="en-IE"/>
                    </w:rPr>
                    <w:t>ENISA</w:t>
                  </w:r>
                  <w:r w:rsidRPr="006F001C">
                    <w:rPr>
                      <w:rFonts w:eastAsia="Times New Roman"/>
                      <w:noProof/>
                      <w:sz w:val="22"/>
                      <w:lang w:val="fr-FR" w:eastAsia="en-IE"/>
                    </w:rPr>
                    <w:t> </w:t>
                  </w:r>
                </w:p>
                <w:p w14:paraId="4FC22CF0" w14:textId="77777777" w:rsidR="007A5304" w:rsidRPr="006F001C" w:rsidRDefault="007A5304">
                  <w:pPr>
                    <w:spacing w:before="0" w:after="0"/>
                    <w:jc w:val="left"/>
                    <w:textAlignment w:val="baseline"/>
                    <w:rPr>
                      <w:rFonts w:ascii="Segoe UI" w:eastAsia="Times New Roman" w:hAnsi="Segoe UI" w:cs="Segoe UI"/>
                      <w:noProof/>
                      <w:sz w:val="18"/>
                      <w:szCs w:val="18"/>
                      <w:lang w:val="fr-FR" w:eastAsia="en-IE"/>
                    </w:rPr>
                  </w:pPr>
                  <w:r w:rsidRPr="006F001C">
                    <w:rPr>
                      <w:rFonts w:eastAsia="Times New Roman"/>
                      <w:noProof/>
                      <w:sz w:val="22"/>
                      <w:lang w:val="fr-BE" w:eastAsia="en-IE"/>
                    </w:rPr>
                    <w:t>EU-CyCLONe</w:t>
                  </w:r>
                  <w:r w:rsidRPr="006F001C">
                    <w:rPr>
                      <w:rFonts w:eastAsia="Times New Roman"/>
                      <w:noProof/>
                      <w:sz w:val="22"/>
                      <w:lang w:val="fr-FR" w:eastAsia="en-IE"/>
                    </w:rPr>
                    <w:t> </w:t>
                  </w:r>
                </w:p>
                <w:p w14:paraId="6742DF02" w14:textId="77777777" w:rsidR="007A5304" w:rsidRPr="006F001C" w:rsidRDefault="007A5304">
                  <w:pPr>
                    <w:spacing w:before="0" w:after="0"/>
                    <w:jc w:val="left"/>
                    <w:textAlignment w:val="baseline"/>
                    <w:rPr>
                      <w:rFonts w:ascii="Segoe UI" w:eastAsia="Times New Roman" w:hAnsi="Segoe UI" w:cs="Segoe UI"/>
                      <w:noProof/>
                      <w:sz w:val="18"/>
                      <w:szCs w:val="18"/>
                      <w:lang w:val="fr-FR" w:eastAsia="en-IE"/>
                    </w:rPr>
                  </w:pPr>
                  <w:r w:rsidRPr="006F001C">
                    <w:rPr>
                      <w:rFonts w:eastAsia="Times New Roman"/>
                      <w:noProof/>
                      <w:sz w:val="22"/>
                      <w:lang w:val="fr-BE" w:eastAsia="en-IE"/>
                    </w:rPr>
                    <w:t>CSIRTs network</w:t>
                  </w:r>
                  <w:r w:rsidRPr="006F001C">
                    <w:rPr>
                      <w:rFonts w:eastAsia="Times New Roman"/>
                      <w:noProof/>
                      <w:sz w:val="22"/>
                      <w:lang w:val="fr-FR" w:eastAsia="en-IE"/>
                    </w:rPr>
                    <w:t> </w:t>
                  </w:r>
                </w:p>
                <w:p w14:paraId="0B72382E" w14:textId="77777777" w:rsidR="007A5304" w:rsidRPr="006F001C" w:rsidRDefault="007A5304">
                  <w:pPr>
                    <w:spacing w:before="0" w:after="0"/>
                    <w:jc w:val="left"/>
                    <w:textAlignment w:val="baseline"/>
                    <w:rPr>
                      <w:rFonts w:ascii="Segoe UI" w:eastAsia="Times New Roman" w:hAnsi="Segoe UI" w:cs="Segoe UI"/>
                      <w:noProof/>
                      <w:sz w:val="18"/>
                      <w:szCs w:val="18"/>
                      <w:lang w:val="fr-FR" w:eastAsia="en-IE"/>
                    </w:rPr>
                  </w:pPr>
                  <w:r w:rsidRPr="006F001C">
                    <w:rPr>
                      <w:rFonts w:eastAsia="Times New Roman"/>
                      <w:noProof/>
                      <w:sz w:val="22"/>
                      <w:lang w:val="fr-BE" w:eastAsia="en-IE"/>
                    </w:rPr>
                    <w:t>Europol</w:t>
                  </w:r>
                  <w:r w:rsidRPr="006F001C">
                    <w:rPr>
                      <w:rFonts w:eastAsia="Times New Roman"/>
                      <w:noProof/>
                      <w:sz w:val="22"/>
                      <w:lang w:val="fr-FR" w:eastAsia="en-IE"/>
                    </w:rPr>
                    <w:t> </w:t>
                  </w:r>
                </w:p>
                <w:p w14:paraId="37E1F821" w14:textId="77777777" w:rsidR="007A5304" w:rsidRPr="006F001C" w:rsidRDefault="007A5304">
                  <w:pPr>
                    <w:spacing w:before="0" w:after="0"/>
                    <w:jc w:val="left"/>
                    <w:textAlignment w:val="baseline"/>
                    <w:rPr>
                      <w:rFonts w:ascii="Segoe UI" w:eastAsia="Times New Roman" w:hAnsi="Segoe UI" w:cs="Segoe UI"/>
                      <w:noProof/>
                      <w:sz w:val="18"/>
                      <w:szCs w:val="18"/>
                      <w:lang w:val="fr-FR" w:eastAsia="en-IE"/>
                    </w:rPr>
                  </w:pPr>
                  <w:r w:rsidRPr="006F001C">
                    <w:rPr>
                      <w:rFonts w:eastAsia="Times New Roman"/>
                      <w:noProof/>
                      <w:sz w:val="22"/>
                      <w:lang w:val="fr-BE" w:eastAsia="en-IE"/>
                    </w:rPr>
                    <w:t>EU entities</w:t>
                  </w:r>
                  <w:r w:rsidRPr="006F001C">
                    <w:rPr>
                      <w:rFonts w:eastAsia="Times New Roman"/>
                      <w:noProof/>
                      <w:sz w:val="22"/>
                      <w:lang w:val="fr-FR" w:eastAsia="en-IE"/>
                    </w:rPr>
                    <w:t> </w:t>
                  </w:r>
                </w:p>
                <w:p w14:paraId="72F8E566" w14:textId="77777777" w:rsidR="007A5304" w:rsidRPr="006F001C" w:rsidRDefault="007A5304">
                  <w:pPr>
                    <w:spacing w:before="0" w:after="0"/>
                    <w:jc w:val="left"/>
                    <w:textAlignment w:val="baseline"/>
                    <w:rPr>
                      <w:rFonts w:ascii="Segoe UI" w:eastAsia="Times New Roman" w:hAnsi="Segoe UI" w:cs="Segoe UI"/>
                      <w:noProof/>
                      <w:sz w:val="18"/>
                      <w:szCs w:val="18"/>
                      <w:lang w:val="fr-FR" w:eastAsia="en-IE"/>
                    </w:rPr>
                  </w:pPr>
                  <w:r w:rsidRPr="006F001C">
                    <w:rPr>
                      <w:rFonts w:eastAsia="Times New Roman"/>
                      <w:noProof/>
                      <w:sz w:val="22"/>
                      <w:lang w:val="fr-BE" w:eastAsia="en-IE"/>
                    </w:rPr>
                    <w:t>CERT-EU</w:t>
                  </w:r>
                  <w:r w:rsidRPr="006F001C">
                    <w:rPr>
                      <w:rFonts w:eastAsia="Times New Roman"/>
                      <w:noProof/>
                      <w:sz w:val="22"/>
                      <w:lang w:val="fr-FR" w:eastAsia="en-IE"/>
                    </w:rPr>
                    <w:t> </w:t>
                  </w:r>
                </w:p>
              </w:tc>
              <w:tc>
                <w:tcPr>
                  <w:tcW w:w="3040" w:type="dxa"/>
                  <w:tcBorders>
                    <w:top w:val="single" w:sz="6" w:space="0" w:color="auto"/>
                    <w:left w:val="single" w:sz="6" w:space="0" w:color="auto"/>
                    <w:bottom w:val="single" w:sz="6" w:space="0" w:color="auto"/>
                    <w:right w:val="single" w:sz="6" w:space="0" w:color="auto"/>
                  </w:tcBorders>
                  <w:hideMark/>
                </w:tcPr>
                <w:p w14:paraId="51856AF9"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Develop repositories </w:t>
                  </w:r>
                  <w:r w:rsidRPr="006F001C">
                    <w:rPr>
                      <w:rFonts w:eastAsia="Times New Roman"/>
                      <w:noProof/>
                      <w:sz w:val="22"/>
                      <w:lang w:val="en-IE" w:eastAsia="en-IE"/>
                    </w:rPr>
                    <w:t> </w:t>
                  </w:r>
                </w:p>
              </w:tc>
              <w:tc>
                <w:tcPr>
                  <w:tcW w:w="1281" w:type="dxa"/>
                  <w:tcBorders>
                    <w:top w:val="single" w:sz="6" w:space="0" w:color="auto"/>
                    <w:left w:val="single" w:sz="6" w:space="0" w:color="auto"/>
                    <w:bottom w:val="single" w:sz="6" w:space="0" w:color="auto"/>
                    <w:right w:val="single" w:sz="6" w:space="0" w:color="auto"/>
                  </w:tcBorders>
                  <w:hideMark/>
                </w:tcPr>
                <w:p w14:paraId="0665A21C"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Digital flow</w:t>
                  </w:r>
                  <w:r w:rsidRPr="006F001C">
                    <w:rPr>
                      <w:rFonts w:eastAsia="Times New Roman"/>
                      <w:noProof/>
                      <w:sz w:val="22"/>
                      <w:lang w:val="en-IE" w:eastAsia="en-IE"/>
                    </w:rPr>
                    <w:t> </w:t>
                  </w:r>
                </w:p>
                <w:p w14:paraId="0408C2E0"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Digital solution </w:t>
                  </w:r>
                  <w:r w:rsidRPr="006F001C">
                    <w:rPr>
                      <w:rFonts w:eastAsia="Times New Roman"/>
                      <w:noProof/>
                      <w:sz w:val="22"/>
                      <w:lang w:val="en-IE" w:eastAsia="en-IE"/>
                    </w:rPr>
                    <w:t> </w:t>
                  </w:r>
                </w:p>
                <w:p w14:paraId="5F28AF6A"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Digital public service</w:t>
                  </w:r>
                  <w:r w:rsidRPr="006F001C">
                    <w:rPr>
                      <w:rFonts w:eastAsia="Times New Roman"/>
                      <w:noProof/>
                      <w:sz w:val="22"/>
                      <w:lang w:val="en-IE" w:eastAsia="en-IE"/>
                    </w:rPr>
                    <w:t> </w:t>
                  </w:r>
                </w:p>
              </w:tc>
            </w:tr>
            <w:tr w:rsidR="007A5304" w:rsidRPr="006F001C" w14:paraId="7D6DD1E7" w14:textId="77777777">
              <w:trPr>
                <w:trHeight w:val="1545"/>
              </w:trPr>
              <w:tc>
                <w:tcPr>
                  <w:tcW w:w="2887" w:type="dxa"/>
                  <w:tcBorders>
                    <w:top w:val="single" w:sz="6" w:space="0" w:color="auto"/>
                    <w:left w:val="single" w:sz="6" w:space="0" w:color="auto"/>
                    <w:bottom w:val="single" w:sz="6" w:space="0" w:color="auto"/>
                    <w:right w:val="single" w:sz="6" w:space="0" w:color="auto"/>
                  </w:tcBorders>
                  <w:hideMark/>
                </w:tcPr>
                <w:p w14:paraId="0BB62291"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val="en-IE" w:eastAsia="en-IE"/>
                    </w:rPr>
                    <w:t>Article 11(1)(c) to (g) </w:t>
                  </w:r>
                </w:p>
                <w:p w14:paraId="6558BC16"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Shared cybersecurity situational awareness</w:t>
                  </w:r>
                  <w:r w:rsidRPr="006F001C">
                    <w:rPr>
                      <w:rFonts w:eastAsia="Times New Roman"/>
                      <w:noProof/>
                      <w:sz w:val="22"/>
                      <w:lang w:val="en-IE" w:eastAsia="en-IE"/>
                    </w:rPr>
                    <w:t> </w:t>
                  </w:r>
                </w:p>
              </w:tc>
              <w:tc>
                <w:tcPr>
                  <w:tcW w:w="4332" w:type="dxa"/>
                  <w:tcBorders>
                    <w:top w:val="single" w:sz="6" w:space="0" w:color="auto"/>
                    <w:left w:val="single" w:sz="6" w:space="0" w:color="auto"/>
                    <w:bottom w:val="single" w:sz="6" w:space="0" w:color="auto"/>
                    <w:right w:val="single" w:sz="6" w:space="0" w:color="auto"/>
                  </w:tcBorders>
                  <w:hideMark/>
                </w:tcPr>
                <w:p w14:paraId="183486AA"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Provide timely </w:t>
                  </w:r>
                  <w:r w:rsidRPr="006F001C">
                    <w:rPr>
                      <w:rFonts w:eastAsia="Times New Roman"/>
                      <w:i/>
                      <w:iCs/>
                      <w:noProof/>
                      <w:sz w:val="22"/>
                      <w:lang w:eastAsia="en-IE"/>
                    </w:rPr>
                    <w:t>ad-hoc</w:t>
                  </w:r>
                  <w:r w:rsidRPr="006F001C">
                    <w:rPr>
                      <w:rFonts w:eastAsia="Times New Roman"/>
                      <w:noProof/>
                      <w:sz w:val="22"/>
                      <w:lang w:eastAsia="en-IE"/>
                    </w:rPr>
                    <w:t> analyses (some at request); provide analysis and technical advice; prepare technical situation report in cooperation with other entities; monitoring trends and sharing them</w:t>
                  </w:r>
                  <w:r w:rsidRPr="006F001C">
                    <w:rPr>
                      <w:rFonts w:eastAsia="Times New Roman"/>
                      <w:noProof/>
                      <w:sz w:val="22"/>
                      <w:lang w:val="en-IE" w:eastAsia="en-IE"/>
                    </w:rPr>
                    <w:t> </w:t>
                  </w:r>
                </w:p>
              </w:tc>
              <w:tc>
                <w:tcPr>
                  <w:tcW w:w="3015" w:type="dxa"/>
                  <w:tcBorders>
                    <w:top w:val="single" w:sz="6" w:space="0" w:color="auto"/>
                    <w:left w:val="single" w:sz="6" w:space="0" w:color="auto"/>
                    <w:bottom w:val="single" w:sz="6" w:space="0" w:color="auto"/>
                    <w:right w:val="single" w:sz="6" w:space="0" w:color="auto"/>
                  </w:tcBorders>
                  <w:hideMark/>
                </w:tcPr>
                <w:p w14:paraId="321EE619" w14:textId="77777777" w:rsidR="007A5304" w:rsidRPr="006F001C" w:rsidRDefault="007A5304">
                  <w:pPr>
                    <w:spacing w:before="0" w:after="0"/>
                    <w:jc w:val="left"/>
                    <w:textAlignment w:val="baseline"/>
                    <w:rPr>
                      <w:rFonts w:ascii="Segoe UI" w:eastAsia="Times New Roman" w:hAnsi="Segoe UI" w:cs="Segoe UI"/>
                      <w:noProof/>
                      <w:sz w:val="18"/>
                      <w:szCs w:val="18"/>
                      <w:lang w:val="fr-FR" w:eastAsia="en-IE"/>
                    </w:rPr>
                  </w:pPr>
                  <w:r w:rsidRPr="006F001C">
                    <w:rPr>
                      <w:rFonts w:eastAsia="Times New Roman"/>
                      <w:noProof/>
                      <w:sz w:val="22"/>
                      <w:lang w:val="fr-BE" w:eastAsia="en-IE"/>
                    </w:rPr>
                    <w:t>ENISA</w:t>
                  </w:r>
                  <w:r w:rsidRPr="006F001C">
                    <w:rPr>
                      <w:rFonts w:eastAsia="Times New Roman"/>
                      <w:noProof/>
                      <w:sz w:val="22"/>
                      <w:lang w:val="fr-FR" w:eastAsia="en-IE"/>
                    </w:rPr>
                    <w:t> </w:t>
                  </w:r>
                </w:p>
                <w:p w14:paraId="666E2BB7" w14:textId="77777777" w:rsidR="007A5304" w:rsidRPr="006F001C" w:rsidRDefault="007A5304">
                  <w:pPr>
                    <w:spacing w:before="0" w:after="0"/>
                    <w:jc w:val="left"/>
                    <w:textAlignment w:val="baseline"/>
                    <w:rPr>
                      <w:rFonts w:ascii="Segoe UI" w:eastAsia="Times New Roman" w:hAnsi="Segoe UI" w:cs="Segoe UI"/>
                      <w:noProof/>
                      <w:sz w:val="18"/>
                      <w:szCs w:val="18"/>
                      <w:lang w:val="fr-FR" w:eastAsia="en-IE"/>
                    </w:rPr>
                  </w:pPr>
                  <w:r w:rsidRPr="006F001C">
                    <w:rPr>
                      <w:rFonts w:eastAsia="Times New Roman"/>
                      <w:noProof/>
                      <w:sz w:val="22"/>
                      <w:lang w:val="fr-BE" w:eastAsia="en-IE"/>
                    </w:rPr>
                    <w:t>Member States</w:t>
                  </w:r>
                  <w:r w:rsidRPr="006F001C">
                    <w:rPr>
                      <w:rFonts w:eastAsia="Times New Roman"/>
                      <w:noProof/>
                      <w:sz w:val="22"/>
                      <w:lang w:val="fr-FR" w:eastAsia="en-IE"/>
                    </w:rPr>
                    <w:t> </w:t>
                  </w:r>
                </w:p>
                <w:p w14:paraId="2B8FF522" w14:textId="77777777" w:rsidR="007A5304" w:rsidRPr="006F001C" w:rsidRDefault="007A5304">
                  <w:pPr>
                    <w:spacing w:before="0" w:after="0"/>
                    <w:jc w:val="left"/>
                    <w:textAlignment w:val="baseline"/>
                    <w:rPr>
                      <w:rFonts w:ascii="Segoe UI" w:eastAsia="Times New Roman" w:hAnsi="Segoe UI" w:cs="Segoe UI"/>
                      <w:noProof/>
                      <w:sz w:val="18"/>
                      <w:szCs w:val="18"/>
                      <w:lang w:val="fr-FR" w:eastAsia="en-IE"/>
                    </w:rPr>
                  </w:pPr>
                  <w:r w:rsidRPr="006F001C">
                    <w:rPr>
                      <w:rFonts w:eastAsia="Times New Roman"/>
                      <w:noProof/>
                      <w:sz w:val="22"/>
                      <w:lang w:val="fr-BE" w:eastAsia="en-IE"/>
                    </w:rPr>
                    <w:t>EU Commission</w:t>
                  </w:r>
                  <w:r w:rsidRPr="006F001C">
                    <w:rPr>
                      <w:rFonts w:eastAsia="Times New Roman"/>
                      <w:noProof/>
                      <w:sz w:val="22"/>
                      <w:lang w:val="fr-FR" w:eastAsia="en-IE"/>
                    </w:rPr>
                    <w:t> </w:t>
                  </w:r>
                </w:p>
                <w:p w14:paraId="4CBBD12C" w14:textId="77777777" w:rsidR="007A5304" w:rsidRPr="006F001C" w:rsidRDefault="007A5304">
                  <w:pPr>
                    <w:spacing w:before="0" w:after="0"/>
                    <w:jc w:val="left"/>
                    <w:textAlignment w:val="baseline"/>
                    <w:rPr>
                      <w:rFonts w:ascii="Segoe UI" w:eastAsia="Times New Roman" w:hAnsi="Segoe UI" w:cs="Segoe UI"/>
                      <w:noProof/>
                      <w:sz w:val="18"/>
                      <w:szCs w:val="18"/>
                      <w:lang w:val="fr-FR" w:eastAsia="en-IE"/>
                    </w:rPr>
                  </w:pPr>
                  <w:r w:rsidRPr="006F001C">
                    <w:rPr>
                      <w:rFonts w:eastAsia="Times New Roman"/>
                      <w:noProof/>
                      <w:sz w:val="22"/>
                      <w:lang w:val="fr-BE" w:eastAsia="en-IE"/>
                    </w:rPr>
                    <w:t>EU entities</w:t>
                  </w:r>
                  <w:r w:rsidRPr="006F001C">
                    <w:rPr>
                      <w:rFonts w:eastAsia="Times New Roman"/>
                      <w:noProof/>
                      <w:sz w:val="22"/>
                      <w:lang w:val="fr-FR" w:eastAsia="en-IE"/>
                    </w:rPr>
                    <w:t> </w:t>
                  </w:r>
                </w:p>
                <w:p w14:paraId="5C546B2F"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EU-CyCLONe</w:t>
                  </w:r>
                  <w:r w:rsidRPr="006F001C">
                    <w:rPr>
                      <w:rFonts w:eastAsia="Times New Roman"/>
                      <w:noProof/>
                      <w:sz w:val="22"/>
                      <w:lang w:val="en-IE" w:eastAsia="en-IE"/>
                    </w:rPr>
                    <w:t> </w:t>
                  </w:r>
                </w:p>
                <w:p w14:paraId="2DA0E0FD"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CSIRTs network</w:t>
                  </w:r>
                  <w:r w:rsidRPr="006F001C">
                    <w:rPr>
                      <w:rFonts w:eastAsia="Times New Roman"/>
                      <w:noProof/>
                      <w:sz w:val="22"/>
                      <w:lang w:val="en-IE" w:eastAsia="en-IE"/>
                    </w:rPr>
                    <w:t> </w:t>
                  </w:r>
                </w:p>
              </w:tc>
              <w:tc>
                <w:tcPr>
                  <w:tcW w:w="3040" w:type="dxa"/>
                  <w:tcBorders>
                    <w:top w:val="single" w:sz="6" w:space="0" w:color="auto"/>
                    <w:left w:val="single" w:sz="6" w:space="0" w:color="auto"/>
                    <w:bottom w:val="single" w:sz="6" w:space="0" w:color="auto"/>
                    <w:right w:val="single" w:sz="6" w:space="0" w:color="auto"/>
                  </w:tcBorders>
                  <w:hideMark/>
                </w:tcPr>
                <w:p w14:paraId="0FE40781"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analysis, sharing information and providing reports (some upon request)</w:t>
                  </w:r>
                  <w:r w:rsidRPr="006F001C">
                    <w:rPr>
                      <w:rFonts w:eastAsia="Times New Roman"/>
                      <w:noProof/>
                      <w:sz w:val="22"/>
                      <w:lang w:val="en-IE" w:eastAsia="en-IE"/>
                    </w:rPr>
                    <w:t> </w:t>
                  </w:r>
                </w:p>
              </w:tc>
              <w:tc>
                <w:tcPr>
                  <w:tcW w:w="1281" w:type="dxa"/>
                  <w:tcBorders>
                    <w:top w:val="single" w:sz="6" w:space="0" w:color="auto"/>
                    <w:left w:val="single" w:sz="6" w:space="0" w:color="auto"/>
                    <w:bottom w:val="single" w:sz="6" w:space="0" w:color="auto"/>
                    <w:right w:val="single" w:sz="6" w:space="0" w:color="auto"/>
                  </w:tcBorders>
                  <w:hideMark/>
                </w:tcPr>
                <w:p w14:paraId="3A009F2E"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processing</w:t>
                  </w:r>
                  <w:r w:rsidRPr="006F001C">
                    <w:rPr>
                      <w:rFonts w:eastAsia="Times New Roman"/>
                      <w:noProof/>
                      <w:sz w:val="22"/>
                      <w:lang w:val="en-IE" w:eastAsia="en-IE"/>
                    </w:rPr>
                    <w:t> </w:t>
                  </w:r>
                </w:p>
                <w:p w14:paraId="44E76DD8"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flow </w:t>
                  </w:r>
                  <w:r w:rsidRPr="006F001C">
                    <w:rPr>
                      <w:rFonts w:eastAsia="Times New Roman"/>
                      <w:noProof/>
                      <w:sz w:val="22"/>
                      <w:lang w:val="en-IE" w:eastAsia="en-IE"/>
                    </w:rPr>
                    <w:t> </w:t>
                  </w:r>
                </w:p>
              </w:tc>
            </w:tr>
            <w:tr w:rsidR="007A5304" w:rsidRPr="006F001C" w14:paraId="00F5DC36" w14:textId="77777777">
              <w:trPr>
                <w:trHeight w:val="1920"/>
              </w:trPr>
              <w:tc>
                <w:tcPr>
                  <w:tcW w:w="2887" w:type="dxa"/>
                  <w:tcBorders>
                    <w:top w:val="single" w:sz="6" w:space="0" w:color="auto"/>
                    <w:left w:val="single" w:sz="6" w:space="0" w:color="auto"/>
                    <w:bottom w:val="single" w:sz="6" w:space="0" w:color="auto"/>
                    <w:right w:val="single" w:sz="6" w:space="0" w:color="auto"/>
                  </w:tcBorders>
                  <w:hideMark/>
                </w:tcPr>
                <w:p w14:paraId="791A9455"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Article 11(2)(a)</w:t>
                  </w:r>
                  <w:r w:rsidRPr="006F001C">
                    <w:rPr>
                      <w:rFonts w:eastAsia="Times New Roman"/>
                      <w:noProof/>
                      <w:sz w:val="22"/>
                      <w:lang w:val="en-IE" w:eastAsia="en-IE"/>
                    </w:rPr>
                    <w:t> </w:t>
                  </w:r>
                </w:p>
                <w:p w14:paraId="0BB9862E"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Shared cybersecurity situational awareness</w:t>
                  </w:r>
                  <w:r w:rsidRPr="006F001C">
                    <w:rPr>
                      <w:rFonts w:eastAsia="Times New Roman"/>
                      <w:noProof/>
                      <w:sz w:val="22"/>
                      <w:lang w:val="en-IE" w:eastAsia="en-IE"/>
                    </w:rPr>
                    <w:t> </w:t>
                  </w:r>
                </w:p>
              </w:tc>
              <w:tc>
                <w:tcPr>
                  <w:tcW w:w="4332" w:type="dxa"/>
                  <w:tcBorders>
                    <w:top w:val="single" w:sz="6" w:space="0" w:color="auto"/>
                    <w:left w:val="single" w:sz="6" w:space="0" w:color="auto"/>
                    <w:bottom w:val="single" w:sz="6" w:space="0" w:color="auto"/>
                    <w:right w:val="single" w:sz="6" w:space="0" w:color="auto"/>
                  </w:tcBorders>
                  <w:hideMark/>
                </w:tcPr>
                <w:p w14:paraId="675D4B94" w14:textId="77777777" w:rsidR="007A5304" w:rsidRPr="006F001C" w:rsidRDefault="007A5304">
                  <w:pPr>
                    <w:spacing w:before="0" w:after="0"/>
                    <w:textAlignment w:val="baseline"/>
                    <w:rPr>
                      <w:rFonts w:eastAsia="Times New Roman"/>
                      <w:noProof/>
                      <w:sz w:val="22"/>
                      <w:lang w:val="en-IE" w:eastAsia="en-IE"/>
                    </w:rPr>
                  </w:pPr>
                  <w:r w:rsidRPr="006F001C">
                    <w:rPr>
                      <w:rFonts w:eastAsia="Times New Roman"/>
                      <w:noProof/>
                      <w:sz w:val="22"/>
                      <w:lang w:eastAsia="en-IE"/>
                    </w:rPr>
                    <w:t>ENISA shall</w:t>
                  </w:r>
                  <w:r w:rsidRPr="006F001C">
                    <w:rPr>
                      <w:rFonts w:eastAsia="Times New Roman"/>
                      <w:b/>
                      <w:bCs/>
                      <w:noProof/>
                      <w:sz w:val="22"/>
                      <w:lang w:eastAsia="en-IE"/>
                    </w:rPr>
                    <w:t> perform analyses</w:t>
                  </w:r>
                  <w:r w:rsidRPr="006F001C">
                    <w:rPr>
                      <w:rFonts w:eastAsia="Times New Roman"/>
                      <w:noProof/>
                      <w:sz w:val="22"/>
                      <w:lang w:eastAsia="en-IE"/>
                    </w:rPr>
                    <w:t> of cyber threats, incidents, trends, emerging technologies and their impacts, including a regular </w:t>
                  </w:r>
                  <w:r w:rsidRPr="006F001C">
                    <w:rPr>
                      <w:rFonts w:eastAsia="Times New Roman"/>
                      <w:b/>
                      <w:bCs/>
                      <w:noProof/>
                      <w:sz w:val="22"/>
                      <w:lang w:eastAsia="en-IE"/>
                    </w:rPr>
                    <w:t>analysis</w:t>
                  </w:r>
                  <w:r w:rsidRPr="006F001C">
                    <w:rPr>
                      <w:rFonts w:eastAsia="Times New Roman"/>
                      <w:noProof/>
                      <w:sz w:val="22"/>
                      <w:lang w:eastAsia="en-IE"/>
                    </w:rPr>
                    <w:t> addressing sectors listed in Annexes I and II to Directive (EU) 2022/2555</w:t>
                  </w:r>
                  <w:r>
                    <w:rPr>
                      <w:rFonts w:eastAsia="Times New Roman"/>
                      <w:noProof/>
                      <w:sz w:val="22"/>
                      <w:lang w:eastAsia="en-IE"/>
                    </w:rPr>
                    <w:t xml:space="preserve"> and relevant product categories covered by Regulation (EU) 2024/2847</w:t>
                  </w:r>
                  <w:r w:rsidRPr="006F001C">
                    <w:rPr>
                      <w:rFonts w:eastAsia="Times New Roman"/>
                      <w:noProof/>
                      <w:sz w:val="22"/>
                      <w:lang w:eastAsia="en-IE"/>
                    </w:rPr>
                    <w:t>;</w:t>
                  </w:r>
                  <w:r w:rsidRPr="006F001C">
                    <w:rPr>
                      <w:rFonts w:eastAsia="Times New Roman"/>
                      <w:noProof/>
                      <w:sz w:val="22"/>
                      <w:lang w:val="en-IE" w:eastAsia="en-IE"/>
                    </w:rPr>
                    <w:t> </w:t>
                  </w:r>
                </w:p>
              </w:tc>
              <w:tc>
                <w:tcPr>
                  <w:tcW w:w="3015" w:type="dxa"/>
                  <w:tcBorders>
                    <w:top w:val="single" w:sz="6" w:space="0" w:color="auto"/>
                    <w:left w:val="single" w:sz="6" w:space="0" w:color="auto"/>
                    <w:bottom w:val="single" w:sz="6" w:space="0" w:color="auto"/>
                    <w:right w:val="single" w:sz="6" w:space="0" w:color="auto"/>
                  </w:tcBorders>
                  <w:hideMark/>
                </w:tcPr>
                <w:p w14:paraId="012967CD"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ENISA</w:t>
                  </w:r>
                  <w:r w:rsidRPr="006F001C">
                    <w:rPr>
                      <w:rFonts w:eastAsia="Times New Roman"/>
                      <w:noProof/>
                      <w:sz w:val="22"/>
                      <w:lang w:val="en-IE" w:eastAsia="en-IE"/>
                    </w:rPr>
                    <w:t> </w:t>
                  </w:r>
                </w:p>
                <w:p w14:paraId="2C7FE0B1"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General public</w:t>
                  </w:r>
                  <w:r w:rsidRPr="006F001C">
                    <w:rPr>
                      <w:rFonts w:eastAsia="Times New Roman"/>
                      <w:noProof/>
                      <w:sz w:val="22"/>
                      <w:lang w:val="en-IE" w:eastAsia="en-IE"/>
                    </w:rPr>
                    <w:t> </w:t>
                  </w:r>
                </w:p>
              </w:tc>
              <w:tc>
                <w:tcPr>
                  <w:tcW w:w="3040" w:type="dxa"/>
                  <w:tcBorders>
                    <w:top w:val="single" w:sz="6" w:space="0" w:color="auto"/>
                    <w:left w:val="single" w:sz="6" w:space="0" w:color="auto"/>
                    <w:bottom w:val="single" w:sz="6" w:space="0" w:color="auto"/>
                    <w:right w:val="single" w:sz="6" w:space="0" w:color="auto"/>
                  </w:tcBorders>
                  <w:hideMark/>
                </w:tcPr>
                <w:p w14:paraId="40DBA923"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Analyse data to provide information impactful for the cybersecurity; regular report</w:t>
                  </w:r>
                  <w:r w:rsidRPr="006F001C">
                    <w:rPr>
                      <w:rFonts w:eastAsia="Times New Roman"/>
                      <w:noProof/>
                      <w:sz w:val="22"/>
                      <w:lang w:val="en-IE" w:eastAsia="en-IE"/>
                    </w:rPr>
                    <w:t> </w:t>
                  </w:r>
                </w:p>
              </w:tc>
              <w:tc>
                <w:tcPr>
                  <w:tcW w:w="1281" w:type="dxa"/>
                  <w:tcBorders>
                    <w:top w:val="single" w:sz="6" w:space="0" w:color="auto"/>
                    <w:left w:val="single" w:sz="6" w:space="0" w:color="auto"/>
                    <w:bottom w:val="single" w:sz="6" w:space="0" w:color="auto"/>
                    <w:right w:val="single" w:sz="6" w:space="0" w:color="auto"/>
                  </w:tcBorders>
                  <w:hideMark/>
                </w:tcPr>
                <w:p w14:paraId="45F489F4"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processing</w:t>
                  </w:r>
                  <w:r w:rsidRPr="006F001C">
                    <w:rPr>
                      <w:rFonts w:eastAsia="Times New Roman"/>
                      <w:noProof/>
                      <w:sz w:val="22"/>
                      <w:lang w:val="en-IE" w:eastAsia="en-IE"/>
                    </w:rPr>
                    <w:t> </w:t>
                  </w:r>
                </w:p>
                <w:p w14:paraId="515D3CE4"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flow</w:t>
                  </w:r>
                  <w:r w:rsidRPr="006F001C">
                    <w:rPr>
                      <w:rFonts w:eastAsia="Times New Roman"/>
                      <w:noProof/>
                      <w:sz w:val="22"/>
                      <w:lang w:val="en-IE" w:eastAsia="en-IE"/>
                    </w:rPr>
                    <w:t> </w:t>
                  </w:r>
                </w:p>
              </w:tc>
            </w:tr>
            <w:tr w:rsidR="007A5304" w:rsidRPr="006F001C" w14:paraId="58487348" w14:textId="77777777">
              <w:trPr>
                <w:trHeight w:val="3120"/>
              </w:trPr>
              <w:tc>
                <w:tcPr>
                  <w:tcW w:w="2887" w:type="dxa"/>
                  <w:tcBorders>
                    <w:top w:val="single" w:sz="6" w:space="0" w:color="auto"/>
                    <w:left w:val="single" w:sz="6" w:space="0" w:color="auto"/>
                    <w:bottom w:val="single" w:sz="6" w:space="0" w:color="auto"/>
                    <w:right w:val="single" w:sz="6" w:space="0" w:color="auto"/>
                  </w:tcBorders>
                  <w:hideMark/>
                </w:tcPr>
                <w:p w14:paraId="730DADE0"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Article 11(2)(b)</w:t>
                  </w:r>
                  <w:r w:rsidRPr="006F001C">
                    <w:rPr>
                      <w:rFonts w:eastAsia="Times New Roman"/>
                      <w:noProof/>
                      <w:sz w:val="22"/>
                      <w:lang w:val="en-IE" w:eastAsia="en-IE"/>
                    </w:rPr>
                    <w:t> </w:t>
                  </w:r>
                </w:p>
                <w:p w14:paraId="6ED4554C"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Shared cybersecurity situational awareness</w:t>
                  </w:r>
                  <w:r w:rsidRPr="006F001C">
                    <w:rPr>
                      <w:rFonts w:eastAsia="Times New Roman"/>
                      <w:noProof/>
                      <w:sz w:val="22"/>
                      <w:lang w:val="en-IE" w:eastAsia="en-IE"/>
                    </w:rPr>
                    <w:t> </w:t>
                  </w:r>
                </w:p>
              </w:tc>
              <w:tc>
                <w:tcPr>
                  <w:tcW w:w="4332" w:type="dxa"/>
                  <w:tcBorders>
                    <w:top w:val="single" w:sz="6" w:space="0" w:color="auto"/>
                    <w:left w:val="single" w:sz="6" w:space="0" w:color="auto"/>
                    <w:bottom w:val="single" w:sz="6" w:space="0" w:color="auto"/>
                    <w:right w:val="single" w:sz="6" w:space="0" w:color="auto"/>
                  </w:tcBorders>
                  <w:hideMark/>
                </w:tcPr>
                <w:p w14:paraId="62D931C7" w14:textId="77777777" w:rsidR="007A5304" w:rsidRPr="006F001C" w:rsidRDefault="007A5304">
                  <w:pPr>
                    <w:spacing w:before="0" w:after="0"/>
                    <w:textAlignment w:val="baseline"/>
                    <w:rPr>
                      <w:rFonts w:eastAsia="Times New Roman"/>
                      <w:noProof/>
                      <w:sz w:val="22"/>
                      <w:lang w:val="en-IE" w:eastAsia="en-IE"/>
                    </w:rPr>
                  </w:pPr>
                  <w:r>
                    <w:rPr>
                      <w:rFonts w:eastAsia="Times New Roman"/>
                      <w:noProof/>
                      <w:sz w:val="22"/>
                      <w:lang w:eastAsia="en-IE"/>
                    </w:rPr>
                    <w:t xml:space="preserve">ENISA </w:t>
                  </w:r>
                  <w:r w:rsidRPr="006F001C">
                    <w:rPr>
                      <w:rFonts w:eastAsia="Times New Roman"/>
                      <w:noProof/>
                      <w:sz w:val="22"/>
                      <w:lang w:eastAsia="en-IE"/>
                    </w:rPr>
                    <w:t>shall </w:t>
                  </w:r>
                  <w:r w:rsidRPr="006F001C">
                    <w:rPr>
                      <w:rFonts w:eastAsia="Times New Roman"/>
                      <w:b/>
                      <w:bCs/>
                      <w:noProof/>
                      <w:sz w:val="22"/>
                      <w:lang w:eastAsia="en-IE"/>
                    </w:rPr>
                    <w:t>issue, in cooperation with the Commission, and, where appropriate the CSIRTs network, advice, guidance and best practices</w:t>
                  </w:r>
                  <w:r w:rsidRPr="006F001C">
                    <w:rPr>
                      <w:rFonts w:eastAsia="Times New Roman"/>
                      <w:noProof/>
                      <w:sz w:val="22"/>
                      <w:lang w:eastAsia="en-IE"/>
                    </w:rPr>
                    <w:t> for the security of network and information systems, in particular for the security of the infrastructures supporting the sectors listed in Annexes I and II to Directive (EU) 2022/2555;</w:t>
                  </w:r>
                  <w:r w:rsidRPr="006F001C">
                    <w:rPr>
                      <w:rFonts w:eastAsia="Times New Roman"/>
                      <w:noProof/>
                      <w:sz w:val="22"/>
                      <w:lang w:val="en-IE" w:eastAsia="en-IE"/>
                    </w:rPr>
                    <w:t> </w:t>
                  </w:r>
                </w:p>
                <w:p w14:paraId="41579229"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val="en-IE" w:eastAsia="en-IE"/>
                    </w:rPr>
                    <w:t> </w:t>
                  </w:r>
                </w:p>
              </w:tc>
              <w:tc>
                <w:tcPr>
                  <w:tcW w:w="3015" w:type="dxa"/>
                  <w:tcBorders>
                    <w:top w:val="single" w:sz="6" w:space="0" w:color="auto"/>
                    <w:left w:val="single" w:sz="6" w:space="0" w:color="auto"/>
                    <w:bottom w:val="single" w:sz="6" w:space="0" w:color="auto"/>
                    <w:right w:val="single" w:sz="6" w:space="0" w:color="auto"/>
                  </w:tcBorders>
                  <w:hideMark/>
                </w:tcPr>
                <w:p w14:paraId="578EF3D4" w14:textId="77777777" w:rsidR="007A5304" w:rsidRPr="006F001C" w:rsidRDefault="007A5304">
                  <w:pPr>
                    <w:spacing w:before="0" w:after="0"/>
                    <w:jc w:val="left"/>
                    <w:textAlignment w:val="baseline"/>
                    <w:rPr>
                      <w:rFonts w:ascii="Segoe UI" w:eastAsia="Times New Roman" w:hAnsi="Segoe UI" w:cs="Segoe UI"/>
                      <w:noProof/>
                      <w:sz w:val="18"/>
                      <w:szCs w:val="18"/>
                      <w:lang w:val="fr-FR" w:eastAsia="en-IE"/>
                    </w:rPr>
                  </w:pPr>
                  <w:r w:rsidRPr="006F001C">
                    <w:rPr>
                      <w:rFonts w:eastAsia="Times New Roman"/>
                      <w:noProof/>
                      <w:sz w:val="22"/>
                      <w:lang w:val="fr-BE" w:eastAsia="en-IE"/>
                    </w:rPr>
                    <w:t>EU Commission</w:t>
                  </w:r>
                  <w:r w:rsidRPr="006F001C">
                    <w:rPr>
                      <w:rFonts w:eastAsia="Times New Roman"/>
                      <w:noProof/>
                      <w:sz w:val="22"/>
                      <w:lang w:val="fr-FR" w:eastAsia="en-IE"/>
                    </w:rPr>
                    <w:t> </w:t>
                  </w:r>
                </w:p>
                <w:p w14:paraId="222CEA0E" w14:textId="77777777" w:rsidR="007A5304" w:rsidRPr="006F001C" w:rsidRDefault="007A5304">
                  <w:pPr>
                    <w:spacing w:before="0" w:after="0"/>
                    <w:jc w:val="left"/>
                    <w:textAlignment w:val="baseline"/>
                    <w:rPr>
                      <w:rFonts w:ascii="Segoe UI" w:eastAsia="Times New Roman" w:hAnsi="Segoe UI" w:cs="Segoe UI"/>
                      <w:noProof/>
                      <w:sz w:val="18"/>
                      <w:szCs w:val="18"/>
                      <w:lang w:val="fr-FR" w:eastAsia="en-IE"/>
                    </w:rPr>
                  </w:pPr>
                  <w:r w:rsidRPr="006F001C">
                    <w:rPr>
                      <w:rFonts w:eastAsia="Times New Roman"/>
                      <w:noProof/>
                      <w:sz w:val="22"/>
                      <w:lang w:val="fr-BE" w:eastAsia="en-IE"/>
                    </w:rPr>
                    <w:t>CERT-EU</w:t>
                  </w:r>
                  <w:r w:rsidRPr="006F001C">
                    <w:rPr>
                      <w:rFonts w:eastAsia="Times New Roman"/>
                      <w:noProof/>
                      <w:sz w:val="22"/>
                      <w:lang w:val="fr-FR" w:eastAsia="en-IE"/>
                    </w:rPr>
                    <w:t> </w:t>
                  </w:r>
                </w:p>
                <w:p w14:paraId="301BCCFD" w14:textId="77777777" w:rsidR="007A5304" w:rsidRPr="006F001C" w:rsidRDefault="007A5304">
                  <w:pPr>
                    <w:spacing w:before="0" w:after="0"/>
                    <w:jc w:val="left"/>
                    <w:textAlignment w:val="baseline"/>
                    <w:rPr>
                      <w:rFonts w:ascii="Segoe UI" w:eastAsia="Times New Roman" w:hAnsi="Segoe UI" w:cs="Segoe UI"/>
                      <w:noProof/>
                      <w:sz w:val="18"/>
                      <w:szCs w:val="18"/>
                      <w:lang w:val="fr-FR" w:eastAsia="en-IE"/>
                    </w:rPr>
                  </w:pPr>
                  <w:r w:rsidRPr="006F001C">
                    <w:rPr>
                      <w:rFonts w:eastAsia="Times New Roman"/>
                      <w:noProof/>
                      <w:sz w:val="22"/>
                      <w:lang w:val="fr-BE" w:eastAsia="en-IE"/>
                    </w:rPr>
                    <w:t>CSIRTs network</w:t>
                  </w:r>
                  <w:r w:rsidRPr="006F001C">
                    <w:rPr>
                      <w:rFonts w:eastAsia="Times New Roman"/>
                      <w:noProof/>
                      <w:sz w:val="22"/>
                      <w:lang w:val="fr-FR" w:eastAsia="en-IE"/>
                    </w:rPr>
                    <w:t> </w:t>
                  </w:r>
                </w:p>
                <w:p w14:paraId="3593DEB3"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General public</w:t>
                  </w:r>
                  <w:r w:rsidRPr="006F001C">
                    <w:rPr>
                      <w:rFonts w:eastAsia="Times New Roman"/>
                      <w:noProof/>
                      <w:sz w:val="22"/>
                      <w:lang w:val="en-IE" w:eastAsia="en-IE"/>
                    </w:rPr>
                    <w:t> </w:t>
                  </w:r>
                </w:p>
              </w:tc>
              <w:tc>
                <w:tcPr>
                  <w:tcW w:w="3040" w:type="dxa"/>
                  <w:tcBorders>
                    <w:top w:val="single" w:sz="6" w:space="0" w:color="auto"/>
                    <w:left w:val="single" w:sz="6" w:space="0" w:color="auto"/>
                    <w:bottom w:val="single" w:sz="6" w:space="0" w:color="auto"/>
                    <w:right w:val="single" w:sz="6" w:space="0" w:color="auto"/>
                  </w:tcBorders>
                  <w:hideMark/>
                </w:tcPr>
                <w:p w14:paraId="04D35C3D"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Issuing advice, guidance and best practice</w:t>
                  </w:r>
                  <w:r w:rsidRPr="006F001C">
                    <w:rPr>
                      <w:rFonts w:eastAsia="Times New Roman"/>
                      <w:noProof/>
                      <w:sz w:val="22"/>
                      <w:lang w:val="en-IE" w:eastAsia="en-IE"/>
                    </w:rPr>
                    <w:t> </w:t>
                  </w:r>
                </w:p>
              </w:tc>
              <w:tc>
                <w:tcPr>
                  <w:tcW w:w="1281" w:type="dxa"/>
                  <w:tcBorders>
                    <w:top w:val="single" w:sz="6" w:space="0" w:color="auto"/>
                    <w:left w:val="single" w:sz="6" w:space="0" w:color="auto"/>
                    <w:bottom w:val="single" w:sz="6" w:space="0" w:color="auto"/>
                    <w:right w:val="single" w:sz="6" w:space="0" w:color="auto"/>
                  </w:tcBorders>
                  <w:hideMark/>
                </w:tcPr>
                <w:p w14:paraId="3B863028"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processing</w:t>
                  </w:r>
                  <w:r w:rsidRPr="006F001C">
                    <w:rPr>
                      <w:rFonts w:eastAsia="Times New Roman"/>
                      <w:noProof/>
                      <w:sz w:val="22"/>
                      <w:lang w:val="en-IE" w:eastAsia="en-IE"/>
                    </w:rPr>
                    <w:t> </w:t>
                  </w:r>
                </w:p>
                <w:p w14:paraId="25F23783"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flow</w:t>
                  </w:r>
                  <w:r w:rsidRPr="006F001C">
                    <w:rPr>
                      <w:rFonts w:eastAsia="Times New Roman"/>
                      <w:noProof/>
                      <w:sz w:val="22"/>
                      <w:lang w:val="en-IE" w:eastAsia="en-IE"/>
                    </w:rPr>
                    <w:t> </w:t>
                  </w:r>
                </w:p>
              </w:tc>
            </w:tr>
            <w:tr w:rsidR="007A5304" w:rsidRPr="006F001C" w14:paraId="5010ACB9" w14:textId="77777777">
              <w:trPr>
                <w:trHeight w:val="1650"/>
              </w:trPr>
              <w:tc>
                <w:tcPr>
                  <w:tcW w:w="2887" w:type="dxa"/>
                  <w:tcBorders>
                    <w:top w:val="single" w:sz="6" w:space="0" w:color="auto"/>
                    <w:left w:val="single" w:sz="6" w:space="0" w:color="auto"/>
                    <w:bottom w:val="single" w:sz="6" w:space="0" w:color="auto"/>
                    <w:right w:val="single" w:sz="6" w:space="0" w:color="auto"/>
                  </w:tcBorders>
                  <w:hideMark/>
                </w:tcPr>
                <w:p w14:paraId="6E7B7110"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Article 11(2)(c)</w:t>
                  </w:r>
                  <w:r w:rsidRPr="006F001C">
                    <w:rPr>
                      <w:rFonts w:eastAsia="Times New Roman"/>
                      <w:noProof/>
                      <w:sz w:val="22"/>
                      <w:lang w:val="en-IE" w:eastAsia="en-IE"/>
                    </w:rPr>
                    <w:t> </w:t>
                  </w:r>
                </w:p>
                <w:p w14:paraId="10AD5FD6"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Shared cybersecurity situational awareness</w:t>
                  </w:r>
                  <w:r w:rsidRPr="006F001C">
                    <w:rPr>
                      <w:rFonts w:eastAsia="Times New Roman"/>
                      <w:noProof/>
                      <w:sz w:val="22"/>
                      <w:lang w:val="en-IE" w:eastAsia="en-IE"/>
                    </w:rPr>
                    <w:t> </w:t>
                  </w:r>
                </w:p>
              </w:tc>
              <w:tc>
                <w:tcPr>
                  <w:tcW w:w="4332" w:type="dxa"/>
                  <w:tcBorders>
                    <w:top w:val="single" w:sz="6" w:space="0" w:color="auto"/>
                    <w:left w:val="single" w:sz="6" w:space="0" w:color="auto"/>
                    <w:bottom w:val="single" w:sz="6" w:space="0" w:color="auto"/>
                    <w:right w:val="single" w:sz="6" w:space="0" w:color="auto"/>
                  </w:tcBorders>
                  <w:hideMark/>
                </w:tcPr>
                <w:p w14:paraId="6642534E" w14:textId="77777777" w:rsidR="007A5304" w:rsidRPr="006F001C" w:rsidRDefault="007A5304">
                  <w:pPr>
                    <w:spacing w:before="0" w:after="0"/>
                    <w:textAlignment w:val="baseline"/>
                    <w:rPr>
                      <w:rFonts w:eastAsia="Times New Roman"/>
                      <w:noProof/>
                      <w:sz w:val="22"/>
                      <w:lang w:val="en-IE" w:eastAsia="en-IE"/>
                    </w:rPr>
                  </w:pPr>
                  <w:r>
                    <w:rPr>
                      <w:rFonts w:eastAsia="Times New Roman"/>
                      <w:noProof/>
                      <w:sz w:val="22"/>
                      <w:lang w:eastAsia="en-IE"/>
                    </w:rPr>
                    <w:t xml:space="preserve">ENISA </w:t>
                  </w:r>
                  <w:r w:rsidRPr="006F001C">
                    <w:rPr>
                      <w:rFonts w:eastAsia="Times New Roman"/>
                      <w:noProof/>
                      <w:sz w:val="22"/>
                      <w:lang w:eastAsia="en-IE"/>
                    </w:rPr>
                    <w:t xml:space="preserve">shall </w:t>
                  </w:r>
                  <w:r>
                    <w:rPr>
                      <w:rFonts w:eastAsia="Times New Roman"/>
                      <w:noProof/>
                      <w:sz w:val="22"/>
                      <w:lang w:eastAsia="en-IE"/>
                    </w:rPr>
                    <w:t>carry out</w:t>
                  </w:r>
                  <w:r w:rsidRPr="006F001C">
                    <w:rPr>
                      <w:rFonts w:eastAsia="Times New Roman"/>
                      <w:b/>
                      <w:bCs/>
                      <w:noProof/>
                      <w:sz w:val="22"/>
                      <w:lang w:eastAsia="en-IE"/>
                    </w:rPr>
                    <w:t> long-term strategic analyses of cyber threats</w:t>
                  </w:r>
                  <w:r w:rsidRPr="006F001C">
                    <w:rPr>
                      <w:rFonts w:eastAsia="Times New Roman"/>
                      <w:noProof/>
                      <w:sz w:val="22"/>
                      <w:lang w:eastAsia="en-IE"/>
                    </w:rPr>
                    <w:t> and incidents in order to </w:t>
                  </w:r>
                  <w:r w:rsidRPr="006F001C">
                    <w:rPr>
                      <w:rFonts w:eastAsia="Times New Roman"/>
                      <w:b/>
                      <w:bCs/>
                      <w:noProof/>
                      <w:sz w:val="22"/>
                      <w:lang w:eastAsia="en-IE"/>
                    </w:rPr>
                    <w:t>identify </w:t>
                  </w:r>
                  <w:r w:rsidRPr="006F001C">
                    <w:rPr>
                      <w:rFonts w:eastAsia="Times New Roman"/>
                      <w:noProof/>
                      <w:sz w:val="22"/>
                      <w:lang w:eastAsia="en-IE"/>
                    </w:rPr>
                    <w:t>emerging trends and help prevent incidents.</w:t>
                  </w:r>
                  <w:r w:rsidRPr="006F001C">
                    <w:rPr>
                      <w:rFonts w:eastAsia="Times New Roman"/>
                      <w:noProof/>
                      <w:sz w:val="22"/>
                      <w:lang w:val="en-IE" w:eastAsia="en-IE"/>
                    </w:rPr>
                    <w:t> </w:t>
                  </w:r>
                </w:p>
              </w:tc>
              <w:tc>
                <w:tcPr>
                  <w:tcW w:w="3015" w:type="dxa"/>
                  <w:tcBorders>
                    <w:top w:val="single" w:sz="6" w:space="0" w:color="auto"/>
                    <w:left w:val="single" w:sz="6" w:space="0" w:color="auto"/>
                    <w:bottom w:val="single" w:sz="6" w:space="0" w:color="auto"/>
                    <w:right w:val="single" w:sz="6" w:space="0" w:color="auto"/>
                  </w:tcBorders>
                  <w:hideMark/>
                </w:tcPr>
                <w:p w14:paraId="1982CAE1"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ENISA </w:t>
                  </w:r>
                  <w:r w:rsidRPr="006F001C">
                    <w:rPr>
                      <w:rFonts w:eastAsia="Times New Roman"/>
                      <w:noProof/>
                      <w:sz w:val="22"/>
                      <w:lang w:val="en-IE" w:eastAsia="en-IE"/>
                    </w:rPr>
                    <w:t> </w:t>
                  </w:r>
                </w:p>
                <w:p w14:paraId="49ADD0A9"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General public</w:t>
                  </w:r>
                  <w:r w:rsidRPr="006F001C">
                    <w:rPr>
                      <w:rFonts w:eastAsia="Times New Roman"/>
                      <w:noProof/>
                      <w:sz w:val="22"/>
                      <w:lang w:val="en-IE" w:eastAsia="en-IE"/>
                    </w:rPr>
                    <w:t> </w:t>
                  </w:r>
                </w:p>
              </w:tc>
              <w:tc>
                <w:tcPr>
                  <w:tcW w:w="3040" w:type="dxa"/>
                  <w:tcBorders>
                    <w:top w:val="single" w:sz="6" w:space="0" w:color="auto"/>
                    <w:left w:val="single" w:sz="6" w:space="0" w:color="auto"/>
                    <w:bottom w:val="single" w:sz="6" w:space="0" w:color="auto"/>
                    <w:right w:val="single" w:sz="6" w:space="0" w:color="auto"/>
                  </w:tcBorders>
                  <w:hideMark/>
                </w:tcPr>
                <w:p w14:paraId="2C2AC2B4"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Analysis of data and identification of emerging threats </w:t>
                  </w:r>
                  <w:r w:rsidRPr="006F001C">
                    <w:rPr>
                      <w:rFonts w:eastAsia="Times New Roman"/>
                      <w:noProof/>
                      <w:sz w:val="22"/>
                      <w:lang w:val="en-IE" w:eastAsia="en-IE"/>
                    </w:rPr>
                    <w:t> </w:t>
                  </w:r>
                </w:p>
              </w:tc>
              <w:tc>
                <w:tcPr>
                  <w:tcW w:w="1281" w:type="dxa"/>
                  <w:tcBorders>
                    <w:top w:val="single" w:sz="6" w:space="0" w:color="auto"/>
                    <w:left w:val="single" w:sz="6" w:space="0" w:color="auto"/>
                    <w:bottom w:val="single" w:sz="6" w:space="0" w:color="auto"/>
                    <w:right w:val="single" w:sz="6" w:space="0" w:color="auto"/>
                  </w:tcBorders>
                  <w:hideMark/>
                </w:tcPr>
                <w:p w14:paraId="7F7C4F06"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processing</w:t>
                  </w:r>
                  <w:r w:rsidRPr="006F001C">
                    <w:rPr>
                      <w:rFonts w:eastAsia="Times New Roman"/>
                      <w:noProof/>
                      <w:sz w:val="22"/>
                      <w:lang w:val="en-IE" w:eastAsia="en-IE"/>
                    </w:rPr>
                    <w:t> </w:t>
                  </w:r>
                </w:p>
                <w:p w14:paraId="5EF09F00"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val="en-IE" w:eastAsia="en-IE"/>
                    </w:rPr>
                    <w:t> </w:t>
                  </w:r>
                </w:p>
              </w:tc>
            </w:tr>
            <w:tr w:rsidR="007A5304" w:rsidRPr="006F001C" w14:paraId="121F44AA" w14:textId="77777777">
              <w:trPr>
                <w:trHeight w:val="1845"/>
              </w:trPr>
              <w:tc>
                <w:tcPr>
                  <w:tcW w:w="2887" w:type="dxa"/>
                  <w:tcBorders>
                    <w:top w:val="single" w:sz="6" w:space="0" w:color="auto"/>
                    <w:left w:val="single" w:sz="6" w:space="0" w:color="auto"/>
                    <w:bottom w:val="single" w:sz="6" w:space="0" w:color="auto"/>
                    <w:right w:val="single" w:sz="6" w:space="0" w:color="auto"/>
                  </w:tcBorders>
                  <w:hideMark/>
                </w:tcPr>
                <w:p w14:paraId="2ABF1A5D"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Article 11(3)</w:t>
                  </w:r>
                  <w:r w:rsidRPr="006F001C">
                    <w:rPr>
                      <w:rFonts w:eastAsia="Times New Roman"/>
                      <w:noProof/>
                      <w:sz w:val="22"/>
                      <w:lang w:val="en-IE" w:eastAsia="en-IE"/>
                    </w:rPr>
                    <w:t> </w:t>
                  </w:r>
                </w:p>
                <w:p w14:paraId="00631D82"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Shared cybersecurity situational awareness</w:t>
                  </w:r>
                  <w:r w:rsidRPr="006F001C">
                    <w:rPr>
                      <w:rFonts w:eastAsia="Times New Roman"/>
                      <w:noProof/>
                      <w:sz w:val="22"/>
                      <w:lang w:val="en-IE" w:eastAsia="en-IE"/>
                    </w:rPr>
                    <w:t> </w:t>
                  </w:r>
                </w:p>
              </w:tc>
              <w:tc>
                <w:tcPr>
                  <w:tcW w:w="4332" w:type="dxa"/>
                  <w:tcBorders>
                    <w:top w:val="single" w:sz="6" w:space="0" w:color="auto"/>
                    <w:left w:val="single" w:sz="6" w:space="0" w:color="auto"/>
                    <w:bottom w:val="single" w:sz="6" w:space="0" w:color="auto"/>
                    <w:right w:val="single" w:sz="6" w:space="0" w:color="auto"/>
                  </w:tcBorders>
                  <w:hideMark/>
                </w:tcPr>
                <w:p w14:paraId="756FAEC8"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ENISA may </w:t>
                  </w:r>
                  <w:r w:rsidRPr="006F001C">
                    <w:rPr>
                      <w:rFonts w:eastAsia="Times New Roman"/>
                      <w:b/>
                      <w:bCs/>
                      <w:noProof/>
                      <w:sz w:val="22"/>
                      <w:lang w:eastAsia="en-IE"/>
                    </w:rPr>
                    <w:t>make the analyses</w:t>
                  </w:r>
                  <w:r w:rsidRPr="006F001C">
                    <w:rPr>
                      <w:rFonts w:eastAsia="Times New Roman"/>
                      <w:noProof/>
                      <w:sz w:val="22"/>
                      <w:lang w:eastAsia="en-IE"/>
                    </w:rPr>
                    <w:t>, advice, guidance, best practices and reports referred to in paragraph 2 </w:t>
                  </w:r>
                  <w:r w:rsidRPr="006F001C">
                    <w:rPr>
                      <w:rFonts w:eastAsia="Times New Roman"/>
                      <w:b/>
                      <w:bCs/>
                      <w:noProof/>
                      <w:sz w:val="22"/>
                      <w:lang w:eastAsia="en-IE"/>
                    </w:rPr>
                    <w:t>public</w:t>
                  </w:r>
                  <w:r w:rsidRPr="00291CE2">
                    <w:rPr>
                      <w:rFonts w:eastAsia="Times New Roman"/>
                      <w:noProof/>
                      <w:sz w:val="22"/>
                      <w:lang w:eastAsia="en-IE"/>
                    </w:rPr>
                    <w:t>, in agreement with</w:t>
                  </w:r>
                  <w:r>
                    <w:rPr>
                      <w:rFonts w:eastAsia="Times New Roman"/>
                      <w:b/>
                      <w:bCs/>
                      <w:noProof/>
                      <w:sz w:val="22"/>
                      <w:lang w:eastAsia="en-IE"/>
                    </w:rPr>
                    <w:t xml:space="preserve"> </w:t>
                  </w:r>
                  <w:r w:rsidRPr="00291CE2">
                    <w:rPr>
                      <w:rFonts w:eastAsia="Times New Roman"/>
                      <w:noProof/>
                      <w:sz w:val="22"/>
                      <w:lang w:eastAsia="en-IE"/>
                    </w:rPr>
                    <w:t>the contributing entities referred to in paragraph 2</w:t>
                  </w:r>
                  <w:r w:rsidRPr="006F001C">
                    <w:rPr>
                      <w:rFonts w:eastAsia="Times New Roman"/>
                      <w:noProof/>
                      <w:sz w:val="22"/>
                      <w:lang w:eastAsia="en-IE"/>
                    </w:rPr>
                    <w:t>.</w:t>
                  </w:r>
                  <w:r w:rsidRPr="006F001C">
                    <w:rPr>
                      <w:rFonts w:eastAsia="Times New Roman"/>
                      <w:noProof/>
                      <w:sz w:val="22"/>
                      <w:lang w:val="en-IE" w:eastAsia="en-IE"/>
                    </w:rPr>
                    <w:t> </w:t>
                  </w:r>
                </w:p>
              </w:tc>
              <w:tc>
                <w:tcPr>
                  <w:tcW w:w="3015" w:type="dxa"/>
                  <w:tcBorders>
                    <w:top w:val="single" w:sz="6" w:space="0" w:color="auto"/>
                    <w:left w:val="single" w:sz="6" w:space="0" w:color="auto"/>
                    <w:bottom w:val="single" w:sz="6" w:space="0" w:color="auto"/>
                    <w:right w:val="single" w:sz="6" w:space="0" w:color="auto"/>
                  </w:tcBorders>
                  <w:hideMark/>
                </w:tcPr>
                <w:p w14:paraId="58913574"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ENISA</w:t>
                  </w:r>
                  <w:r w:rsidRPr="006F001C">
                    <w:rPr>
                      <w:rFonts w:eastAsia="Times New Roman"/>
                      <w:noProof/>
                      <w:sz w:val="22"/>
                      <w:lang w:val="en-IE" w:eastAsia="en-IE"/>
                    </w:rPr>
                    <w:t> </w:t>
                  </w:r>
                </w:p>
                <w:p w14:paraId="55BC82AC"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General public</w:t>
                  </w:r>
                  <w:r w:rsidRPr="006F001C">
                    <w:rPr>
                      <w:rFonts w:eastAsia="Times New Roman"/>
                      <w:noProof/>
                      <w:sz w:val="22"/>
                      <w:lang w:val="en-IE" w:eastAsia="en-IE"/>
                    </w:rPr>
                    <w:t> </w:t>
                  </w:r>
                </w:p>
              </w:tc>
              <w:tc>
                <w:tcPr>
                  <w:tcW w:w="3040" w:type="dxa"/>
                  <w:tcBorders>
                    <w:top w:val="single" w:sz="6" w:space="0" w:color="auto"/>
                    <w:left w:val="single" w:sz="6" w:space="0" w:color="auto"/>
                    <w:bottom w:val="single" w:sz="6" w:space="0" w:color="auto"/>
                    <w:right w:val="single" w:sz="6" w:space="0" w:color="auto"/>
                  </w:tcBorders>
                  <w:hideMark/>
                </w:tcPr>
                <w:p w14:paraId="3BEDF107"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Making information public</w:t>
                  </w:r>
                  <w:r w:rsidRPr="006F001C">
                    <w:rPr>
                      <w:rFonts w:eastAsia="Times New Roman"/>
                      <w:noProof/>
                      <w:sz w:val="22"/>
                      <w:lang w:val="en-IE" w:eastAsia="en-IE"/>
                    </w:rPr>
                    <w:t> </w:t>
                  </w:r>
                </w:p>
              </w:tc>
              <w:tc>
                <w:tcPr>
                  <w:tcW w:w="1281" w:type="dxa"/>
                  <w:tcBorders>
                    <w:top w:val="single" w:sz="6" w:space="0" w:color="auto"/>
                    <w:left w:val="single" w:sz="6" w:space="0" w:color="auto"/>
                    <w:bottom w:val="single" w:sz="6" w:space="0" w:color="auto"/>
                    <w:right w:val="single" w:sz="6" w:space="0" w:color="auto"/>
                  </w:tcBorders>
                  <w:hideMark/>
                </w:tcPr>
                <w:p w14:paraId="32446CA4"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flow</w:t>
                  </w:r>
                  <w:r w:rsidRPr="006F001C">
                    <w:rPr>
                      <w:rFonts w:eastAsia="Times New Roman"/>
                      <w:noProof/>
                      <w:sz w:val="22"/>
                      <w:lang w:val="en-IE" w:eastAsia="en-IE"/>
                    </w:rPr>
                    <w:t> </w:t>
                  </w:r>
                </w:p>
                <w:p w14:paraId="060893EB"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Digital public service </w:t>
                  </w:r>
                  <w:r w:rsidRPr="006F001C">
                    <w:rPr>
                      <w:rFonts w:eastAsia="Times New Roman"/>
                      <w:noProof/>
                      <w:sz w:val="22"/>
                      <w:lang w:val="en-IE" w:eastAsia="en-IE"/>
                    </w:rPr>
                    <w:t> </w:t>
                  </w:r>
                </w:p>
              </w:tc>
            </w:tr>
            <w:tr w:rsidR="007A5304" w:rsidRPr="006F001C" w14:paraId="1351D0B1" w14:textId="77777777">
              <w:trPr>
                <w:trHeight w:val="2460"/>
              </w:trPr>
              <w:tc>
                <w:tcPr>
                  <w:tcW w:w="2887" w:type="dxa"/>
                  <w:tcBorders>
                    <w:top w:val="single" w:sz="6" w:space="0" w:color="auto"/>
                    <w:left w:val="single" w:sz="6" w:space="0" w:color="auto"/>
                    <w:bottom w:val="single" w:sz="6" w:space="0" w:color="auto"/>
                    <w:right w:val="single" w:sz="6" w:space="0" w:color="auto"/>
                  </w:tcBorders>
                  <w:hideMark/>
                </w:tcPr>
                <w:p w14:paraId="5499DA44"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Article 13(2)</w:t>
                  </w:r>
                  <w:r w:rsidRPr="006F001C">
                    <w:rPr>
                      <w:rFonts w:eastAsia="Times New Roman"/>
                      <w:noProof/>
                      <w:sz w:val="22"/>
                      <w:lang w:val="en-IE" w:eastAsia="en-IE"/>
                    </w:rPr>
                    <w:t> </w:t>
                  </w:r>
                </w:p>
                <w:p w14:paraId="2D57387F"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Support in Incident Response </w:t>
                  </w:r>
                  <w:r w:rsidRPr="006F001C">
                    <w:rPr>
                      <w:rFonts w:eastAsia="Times New Roman"/>
                      <w:noProof/>
                      <w:sz w:val="22"/>
                      <w:lang w:val="en-IE" w:eastAsia="en-IE"/>
                    </w:rPr>
                    <w:t> </w:t>
                  </w:r>
                </w:p>
              </w:tc>
              <w:tc>
                <w:tcPr>
                  <w:tcW w:w="4332" w:type="dxa"/>
                  <w:tcBorders>
                    <w:top w:val="single" w:sz="6" w:space="0" w:color="auto"/>
                    <w:left w:val="single" w:sz="6" w:space="0" w:color="auto"/>
                    <w:bottom w:val="single" w:sz="6" w:space="0" w:color="auto"/>
                    <w:right w:val="single" w:sz="6" w:space="0" w:color="auto"/>
                  </w:tcBorders>
                  <w:hideMark/>
                </w:tcPr>
                <w:p w14:paraId="061F3928"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2.</w:t>
                  </w:r>
                  <w:r w:rsidRPr="006F001C">
                    <w:rPr>
                      <w:rFonts w:ascii="Calibri" w:eastAsia="Times New Roman" w:hAnsi="Calibri" w:cs="Calibri"/>
                      <w:noProof/>
                      <w:sz w:val="22"/>
                      <w:lang w:val="en-IE" w:eastAsia="en-IE"/>
                    </w:rPr>
                    <w:tab/>
                  </w:r>
                  <w:r w:rsidRPr="006F001C">
                    <w:rPr>
                      <w:rFonts w:eastAsia="Times New Roman"/>
                      <w:noProof/>
                      <w:sz w:val="22"/>
                      <w:lang w:eastAsia="en-IE"/>
                    </w:rPr>
                    <w:t>At the request from the Commission or EU-CyCLONe, ENISA, with the support of the CSIRTs network and with the approval of the Member State concerned, shall </w:t>
                  </w:r>
                  <w:r w:rsidRPr="006F001C">
                    <w:rPr>
                      <w:rFonts w:eastAsia="Times New Roman"/>
                      <w:b/>
                      <w:bCs/>
                      <w:noProof/>
                      <w:sz w:val="22"/>
                      <w:lang w:eastAsia="en-IE"/>
                    </w:rPr>
                    <w:t>review and assess significant cybersecurity incidents</w:t>
                  </w:r>
                  <w:r w:rsidRPr="006F001C">
                    <w:rPr>
                      <w:rFonts w:eastAsia="Times New Roman"/>
                      <w:noProof/>
                      <w:sz w:val="22"/>
                      <w:lang w:eastAsia="en-IE"/>
                    </w:rPr>
                    <w:t> or large-scale cybersecurity incidents in accordance with Article 21 of Regulation (EU) 2025/38.</w:t>
                  </w:r>
                  <w:r w:rsidRPr="006F001C">
                    <w:rPr>
                      <w:rFonts w:eastAsia="Times New Roman"/>
                      <w:noProof/>
                      <w:sz w:val="22"/>
                      <w:lang w:val="en-IE" w:eastAsia="en-IE"/>
                    </w:rPr>
                    <w:t> </w:t>
                  </w:r>
                </w:p>
              </w:tc>
              <w:tc>
                <w:tcPr>
                  <w:tcW w:w="3015" w:type="dxa"/>
                  <w:tcBorders>
                    <w:top w:val="single" w:sz="6" w:space="0" w:color="auto"/>
                    <w:left w:val="single" w:sz="6" w:space="0" w:color="auto"/>
                    <w:bottom w:val="single" w:sz="6" w:space="0" w:color="auto"/>
                    <w:right w:val="single" w:sz="6" w:space="0" w:color="auto"/>
                  </w:tcBorders>
                  <w:hideMark/>
                </w:tcPr>
                <w:p w14:paraId="76E05EE9" w14:textId="77777777" w:rsidR="007A5304" w:rsidRPr="006F001C" w:rsidRDefault="007A5304">
                  <w:pPr>
                    <w:spacing w:before="0" w:after="0"/>
                    <w:jc w:val="left"/>
                    <w:textAlignment w:val="baseline"/>
                    <w:rPr>
                      <w:rFonts w:ascii="Segoe UI" w:eastAsia="Times New Roman" w:hAnsi="Segoe UI" w:cs="Segoe UI"/>
                      <w:noProof/>
                      <w:sz w:val="18"/>
                      <w:szCs w:val="18"/>
                      <w:lang w:val="fr-FR" w:eastAsia="en-IE"/>
                    </w:rPr>
                  </w:pPr>
                  <w:r w:rsidRPr="006F001C">
                    <w:rPr>
                      <w:rFonts w:eastAsia="Times New Roman"/>
                      <w:noProof/>
                      <w:sz w:val="22"/>
                      <w:lang w:val="fr-BE" w:eastAsia="en-IE"/>
                    </w:rPr>
                    <w:t>EU Commission</w:t>
                  </w:r>
                  <w:r w:rsidRPr="006F001C">
                    <w:rPr>
                      <w:rFonts w:eastAsia="Times New Roman"/>
                      <w:noProof/>
                      <w:sz w:val="22"/>
                      <w:lang w:val="fr-FR" w:eastAsia="en-IE"/>
                    </w:rPr>
                    <w:t> </w:t>
                  </w:r>
                </w:p>
                <w:p w14:paraId="18A6175E" w14:textId="77777777" w:rsidR="007A5304" w:rsidRPr="006F001C" w:rsidRDefault="007A5304">
                  <w:pPr>
                    <w:spacing w:before="0" w:after="0"/>
                    <w:jc w:val="left"/>
                    <w:textAlignment w:val="baseline"/>
                    <w:rPr>
                      <w:rFonts w:ascii="Segoe UI" w:eastAsia="Times New Roman" w:hAnsi="Segoe UI" w:cs="Segoe UI"/>
                      <w:noProof/>
                      <w:sz w:val="18"/>
                      <w:szCs w:val="18"/>
                      <w:lang w:val="fr-FR" w:eastAsia="en-IE"/>
                    </w:rPr>
                  </w:pPr>
                  <w:r w:rsidRPr="006F001C">
                    <w:rPr>
                      <w:rFonts w:eastAsia="Times New Roman"/>
                      <w:noProof/>
                      <w:sz w:val="22"/>
                      <w:lang w:val="fr-BE" w:eastAsia="en-IE"/>
                    </w:rPr>
                    <w:t>ENISA</w:t>
                  </w:r>
                  <w:r w:rsidRPr="006F001C">
                    <w:rPr>
                      <w:rFonts w:eastAsia="Times New Roman"/>
                      <w:noProof/>
                      <w:sz w:val="22"/>
                      <w:lang w:val="fr-FR" w:eastAsia="en-IE"/>
                    </w:rPr>
                    <w:t> </w:t>
                  </w:r>
                </w:p>
                <w:p w14:paraId="36DB3B67" w14:textId="77777777" w:rsidR="007A5304" w:rsidRPr="006F001C" w:rsidRDefault="007A5304">
                  <w:pPr>
                    <w:spacing w:before="0" w:after="0"/>
                    <w:jc w:val="left"/>
                    <w:textAlignment w:val="baseline"/>
                    <w:rPr>
                      <w:rFonts w:ascii="Segoe UI" w:eastAsia="Times New Roman" w:hAnsi="Segoe UI" w:cs="Segoe UI"/>
                      <w:noProof/>
                      <w:sz w:val="18"/>
                      <w:szCs w:val="18"/>
                      <w:lang w:val="fr-FR" w:eastAsia="en-IE"/>
                    </w:rPr>
                  </w:pPr>
                  <w:r w:rsidRPr="006F001C">
                    <w:rPr>
                      <w:rFonts w:eastAsia="Times New Roman"/>
                      <w:noProof/>
                      <w:sz w:val="22"/>
                      <w:lang w:val="fr-BE" w:eastAsia="en-IE"/>
                    </w:rPr>
                    <w:t>EU-CyCLONe</w:t>
                  </w:r>
                  <w:r w:rsidRPr="006F001C">
                    <w:rPr>
                      <w:rFonts w:eastAsia="Times New Roman"/>
                      <w:noProof/>
                      <w:sz w:val="22"/>
                      <w:lang w:val="fr-FR" w:eastAsia="en-IE"/>
                    </w:rPr>
                    <w:t> </w:t>
                  </w:r>
                </w:p>
                <w:p w14:paraId="1382B87C" w14:textId="77777777" w:rsidR="007A5304" w:rsidRPr="006F001C" w:rsidRDefault="007A5304">
                  <w:pPr>
                    <w:spacing w:before="0" w:after="0"/>
                    <w:jc w:val="left"/>
                    <w:textAlignment w:val="baseline"/>
                    <w:rPr>
                      <w:rFonts w:ascii="Segoe UI" w:eastAsia="Times New Roman" w:hAnsi="Segoe UI" w:cs="Segoe UI"/>
                      <w:noProof/>
                      <w:sz w:val="18"/>
                      <w:szCs w:val="18"/>
                      <w:lang w:val="fr-FR" w:eastAsia="en-IE"/>
                    </w:rPr>
                  </w:pPr>
                  <w:r w:rsidRPr="006F001C">
                    <w:rPr>
                      <w:rFonts w:eastAsia="Times New Roman"/>
                      <w:noProof/>
                      <w:sz w:val="22"/>
                      <w:lang w:val="fr-BE" w:eastAsia="en-IE"/>
                    </w:rPr>
                    <w:t>CSIRT Network</w:t>
                  </w:r>
                  <w:r w:rsidRPr="006F001C">
                    <w:rPr>
                      <w:rFonts w:eastAsia="Times New Roman"/>
                      <w:noProof/>
                      <w:sz w:val="22"/>
                      <w:lang w:val="fr-FR" w:eastAsia="en-IE"/>
                    </w:rPr>
                    <w:t> </w:t>
                  </w:r>
                </w:p>
                <w:p w14:paraId="18EC2D43"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Member States</w:t>
                  </w:r>
                  <w:r w:rsidRPr="006F001C">
                    <w:rPr>
                      <w:rFonts w:eastAsia="Times New Roman"/>
                      <w:noProof/>
                      <w:sz w:val="22"/>
                      <w:lang w:val="en-IE" w:eastAsia="en-IE"/>
                    </w:rPr>
                    <w:t> </w:t>
                  </w:r>
                </w:p>
              </w:tc>
              <w:tc>
                <w:tcPr>
                  <w:tcW w:w="3040" w:type="dxa"/>
                  <w:tcBorders>
                    <w:top w:val="single" w:sz="6" w:space="0" w:color="auto"/>
                    <w:left w:val="single" w:sz="6" w:space="0" w:color="auto"/>
                    <w:bottom w:val="single" w:sz="6" w:space="0" w:color="auto"/>
                    <w:right w:val="single" w:sz="6" w:space="0" w:color="auto"/>
                  </w:tcBorders>
                  <w:hideMark/>
                </w:tcPr>
                <w:p w14:paraId="3791305E"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Review and assess significant cybersecurity incidents</w:t>
                  </w:r>
                  <w:r w:rsidRPr="006F001C">
                    <w:rPr>
                      <w:rFonts w:eastAsia="Times New Roman"/>
                      <w:noProof/>
                      <w:sz w:val="22"/>
                      <w:lang w:val="en-IE" w:eastAsia="en-IE"/>
                    </w:rPr>
                    <w:t> </w:t>
                  </w:r>
                </w:p>
              </w:tc>
              <w:tc>
                <w:tcPr>
                  <w:tcW w:w="1281" w:type="dxa"/>
                  <w:tcBorders>
                    <w:top w:val="single" w:sz="6" w:space="0" w:color="auto"/>
                    <w:left w:val="single" w:sz="6" w:space="0" w:color="auto"/>
                    <w:bottom w:val="single" w:sz="6" w:space="0" w:color="auto"/>
                    <w:right w:val="single" w:sz="6" w:space="0" w:color="auto"/>
                  </w:tcBorders>
                  <w:hideMark/>
                </w:tcPr>
                <w:p w14:paraId="57F9557F"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processing </w:t>
                  </w:r>
                  <w:r w:rsidRPr="006F001C">
                    <w:rPr>
                      <w:rFonts w:eastAsia="Times New Roman"/>
                      <w:noProof/>
                      <w:sz w:val="22"/>
                      <w:lang w:val="en-IE" w:eastAsia="en-IE"/>
                    </w:rPr>
                    <w:t> </w:t>
                  </w:r>
                </w:p>
              </w:tc>
            </w:tr>
            <w:tr w:rsidR="007A5304" w:rsidRPr="006F001C" w14:paraId="531820BF" w14:textId="77777777">
              <w:trPr>
                <w:trHeight w:val="1890"/>
              </w:trPr>
              <w:tc>
                <w:tcPr>
                  <w:tcW w:w="2887" w:type="dxa"/>
                  <w:tcBorders>
                    <w:top w:val="single" w:sz="6" w:space="0" w:color="auto"/>
                    <w:left w:val="single" w:sz="6" w:space="0" w:color="auto"/>
                    <w:bottom w:val="single" w:sz="6" w:space="0" w:color="auto"/>
                    <w:right w:val="single" w:sz="6" w:space="0" w:color="auto"/>
                  </w:tcBorders>
                  <w:hideMark/>
                </w:tcPr>
                <w:p w14:paraId="44BFCAD3"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Article 14(2)</w:t>
                  </w:r>
                  <w:r w:rsidRPr="006F001C">
                    <w:rPr>
                      <w:rFonts w:eastAsia="Times New Roman"/>
                      <w:noProof/>
                      <w:sz w:val="22"/>
                      <w:lang w:val="en-IE" w:eastAsia="en-IE"/>
                    </w:rPr>
                    <w:t> </w:t>
                  </w:r>
                </w:p>
                <w:p w14:paraId="0CD4E728"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Cybersecurity exercises at Union level</w:t>
                  </w:r>
                  <w:r w:rsidRPr="006F001C">
                    <w:rPr>
                      <w:rFonts w:eastAsia="Times New Roman"/>
                      <w:noProof/>
                      <w:sz w:val="22"/>
                      <w:lang w:val="en-IE" w:eastAsia="en-IE"/>
                    </w:rPr>
                    <w:t> </w:t>
                  </w:r>
                </w:p>
              </w:tc>
              <w:tc>
                <w:tcPr>
                  <w:tcW w:w="4332" w:type="dxa"/>
                  <w:tcBorders>
                    <w:top w:val="single" w:sz="6" w:space="0" w:color="auto"/>
                    <w:left w:val="single" w:sz="6" w:space="0" w:color="auto"/>
                    <w:bottom w:val="single" w:sz="6" w:space="0" w:color="auto"/>
                    <w:right w:val="single" w:sz="6" w:space="0" w:color="auto"/>
                  </w:tcBorders>
                  <w:hideMark/>
                </w:tcPr>
                <w:p w14:paraId="5EB4AF96"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2.</w:t>
                  </w:r>
                  <w:r w:rsidRPr="006F001C">
                    <w:rPr>
                      <w:rFonts w:ascii="Calibri" w:eastAsia="Times New Roman" w:hAnsi="Calibri" w:cs="Calibri"/>
                      <w:noProof/>
                      <w:sz w:val="22"/>
                      <w:lang w:val="en-IE" w:eastAsia="en-IE"/>
                    </w:rPr>
                    <w:tab/>
                  </w:r>
                  <w:r w:rsidRPr="006F001C">
                    <w:rPr>
                      <w:rFonts w:eastAsia="Times New Roman"/>
                      <w:noProof/>
                      <w:sz w:val="22"/>
                      <w:lang w:eastAsia="en-IE"/>
                    </w:rPr>
                    <w:t>ENISA shall </w:t>
                  </w:r>
                  <w:r w:rsidRPr="006F001C">
                    <w:rPr>
                      <w:rFonts w:eastAsia="Times New Roman"/>
                      <w:b/>
                      <w:bCs/>
                      <w:noProof/>
                      <w:sz w:val="22"/>
                      <w:lang w:eastAsia="en-IE"/>
                    </w:rPr>
                    <w:t>maintain a repository</w:t>
                  </w:r>
                  <w:r w:rsidRPr="006F001C">
                    <w:rPr>
                      <w:rFonts w:eastAsia="Times New Roman"/>
                      <w:noProof/>
                      <w:sz w:val="22"/>
                      <w:lang w:eastAsia="en-IE"/>
                    </w:rPr>
                    <w:t xml:space="preserve"> of lessons learned from the exercises </w:t>
                  </w:r>
                  <w:r>
                    <w:rPr>
                      <w:rFonts w:eastAsia="Times New Roman"/>
                      <w:noProof/>
                      <w:sz w:val="22"/>
                      <w:lang w:eastAsia="en-IE"/>
                    </w:rPr>
                    <w:t xml:space="preserve">referred to in paragraph 1 </w:t>
                  </w:r>
                  <w:r w:rsidRPr="006F001C">
                    <w:rPr>
                      <w:rFonts w:eastAsia="Times New Roman"/>
                      <w:noProof/>
                      <w:sz w:val="22"/>
                      <w:lang w:eastAsia="en-IE"/>
                    </w:rPr>
                    <w:t>and recommend to Member States and, where relevant, to Union entities how the lessons learned may be implemented effectively and efficiently.</w:t>
                  </w:r>
                  <w:r w:rsidRPr="006F001C">
                    <w:rPr>
                      <w:rFonts w:eastAsia="Times New Roman"/>
                      <w:noProof/>
                      <w:sz w:val="22"/>
                      <w:lang w:val="en-IE" w:eastAsia="en-IE"/>
                    </w:rPr>
                    <w:t> </w:t>
                  </w:r>
                </w:p>
              </w:tc>
              <w:tc>
                <w:tcPr>
                  <w:tcW w:w="3015" w:type="dxa"/>
                  <w:tcBorders>
                    <w:top w:val="single" w:sz="6" w:space="0" w:color="auto"/>
                    <w:left w:val="single" w:sz="6" w:space="0" w:color="auto"/>
                    <w:bottom w:val="single" w:sz="6" w:space="0" w:color="auto"/>
                    <w:right w:val="single" w:sz="6" w:space="0" w:color="auto"/>
                  </w:tcBorders>
                  <w:hideMark/>
                </w:tcPr>
                <w:p w14:paraId="54C10753" w14:textId="77777777" w:rsidR="007A5304" w:rsidRPr="006F001C" w:rsidRDefault="007A5304">
                  <w:pPr>
                    <w:spacing w:before="0" w:after="0"/>
                    <w:jc w:val="left"/>
                    <w:textAlignment w:val="baseline"/>
                    <w:rPr>
                      <w:rFonts w:ascii="Segoe UI" w:eastAsia="Times New Roman" w:hAnsi="Segoe UI" w:cs="Segoe UI"/>
                      <w:noProof/>
                      <w:sz w:val="18"/>
                      <w:szCs w:val="18"/>
                      <w:lang w:val="fr-FR" w:eastAsia="en-IE"/>
                    </w:rPr>
                  </w:pPr>
                  <w:r w:rsidRPr="006F001C">
                    <w:rPr>
                      <w:rFonts w:eastAsia="Times New Roman"/>
                      <w:noProof/>
                      <w:sz w:val="22"/>
                      <w:lang w:val="fr-BE" w:eastAsia="en-IE"/>
                    </w:rPr>
                    <w:t>ENISA</w:t>
                  </w:r>
                  <w:r w:rsidRPr="006F001C">
                    <w:rPr>
                      <w:rFonts w:eastAsia="Times New Roman"/>
                      <w:noProof/>
                      <w:sz w:val="22"/>
                      <w:lang w:val="fr-FR" w:eastAsia="en-IE"/>
                    </w:rPr>
                    <w:t> </w:t>
                  </w:r>
                </w:p>
                <w:p w14:paraId="0C42E255" w14:textId="77777777" w:rsidR="007A5304" w:rsidRPr="006F001C" w:rsidRDefault="007A5304">
                  <w:pPr>
                    <w:spacing w:before="0" w:after="0"/>
                    <w:jc w:val="left"/>
                    <w:textAlignment w:val="baseline"/>
                    <w:rPr>
                      <w:rFonts w:ascii="Segoe UI" w:eastAsia="Times New Roman" w:hAnsi="Segoe UI" w:cs="Segoe UI"/>
                      <w:noProof/>
                      <w:sz w:val="18"/>
                      <w:szCs w:val="18"/>
                      <w:lang w:val="fr-FR" w:eastAsia="en-IE"/>
                    </w:rPr>
                  </w:pPr>
                  <w:r w:rsidRPr="006F001C">
                    <w:rPr>
                      <w:rFonts w:eastAsia="Times New Roman"/>
                      <w:noProof/>
                      <w:sz w:val="22"/>
                      <w:lang w:val="fr-BE" w:eastAsia="en-IE"/>
                    </w:rPr>
                    <w:t>Member States</w:t>
                  </w:r>
                  <w:r w:rsidRPr="006F001C">
                    <w:rPr>
                      <w:rFonts w:eastAsia="Times New Roman"/>
                      <w:noProof/>
                      <w:sz w:val="22"/>
                      <w:lang w:val="fr-FR" w:eastAsia="en-IE"/>
                    </w:rPr>
                    <w:t> </w:t>
                  </w:r>
                </w:p>
                <w:p w14:paraId="7CF18EEC" w14:textId="77777777" w:rsidR="007A5304" w:rsidRPr="006F001C" w:rsidRDefault="007A5304">
                  <w:pPr>
                    <w:spacing w:before="0" w:after="0"/>
                    <w:jc w:val="left"/>
                    <w:textAlignment w:val="baseline"/>
                    <w:rPr>
                      <w:rFonts w:ascii="Segoe UI" w:eastAsia="Times New Roman" w:hAnsi="Segoe UI" w:cs="Segoe UI"/>
                      <w:noProof/>
                      <w:sz w:val="18"/>
                      <w:szCs w:val="18"/>
                      <w:lang w:val="fr-FR" w:eastAsia="en-IE"/>
                    </w:rPr>
                  </w:pPr>
                  <w:r w:rsidRPr="006F001C">
                    <w:rPr>
                      <w:rFonts w:eastAsia="Times New Roman"/>
                      <w:noProof/>
                      <w:sz w:val="22"/>
                      <w:lang w:val="fr-BE" w:eastAsia="en-IE"/>
                    </w:rPr>
                    <w:t>EU entities</w:t>
                  </w:r>
                  <w:r w:rsidRPr="006F001C">
                    <w:rPr>
                      <w:rFonts w:eastAsia="Times New Roman"/>
                      <w:noProof/>
                      <w:sz w:val="22"/>
                      <w:lang w:val="fr-FR" w:eastAsia="en-IE"/>
                    </w:rPr>
                    <w:t> </w:t>
                  </w:r>
                </w:p>
              </w:tc>
              <w:tc>
                <w:tcPr>
                  <w:tcW w:w="3040" w:type="dxa"/>
                  <w:tcBorders>
                    <w:top w:val="single" w:sz="6" w:space="0" w:color="auto"/>
                    <w:left w:val="single" w:sz="6" w:space="0" w:color="auto"/>
                    <w:bottom w:val="single" w:sz="6" w:space="0" w:color="auto"/>
                    <w:right w:val="single" w:sz="6" w:space="0" w:color="auto"/>
                  </w:tcBorders>
                  <w:hideMark/>
                </w:tcPr>
                <w:p w14:paraId="5A04EED7"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Maintain a repository</w:t>
                  </w:r>
                  <w:r w:rsidRPr="006F001C">
                    <w:rPr>
                      <w:rFonts w:eastAsia="Times New Roman"/>
                      <w:noProof/>
                      <w:sz w:val="22"/>
                      <w:lang w:val="en-IE" w:eastAsia="en-IE"/>
                    </w:rPr>
                    <w:t> </w:t>
                  </w:r>
                </w:p>
              </w:tc>
              <w:tc>
                <w:tcPr>
                  <w:tcW w:w="1281" w:type="dxa"/>
                  <w:tcBorders>
                    <w:top w:val="single" w:sz="6" w:space="0" w:color="auto"/>
                    <w:left w:val="single" w:sz="6" w:space="0" w:color="auto"/>
                    <w:bottom w:val="single" w:sz="6" w:space="0" w:color="auto"/>
                    <w:right w:val="single" w:sz="6" w:space="0" w:color="auto"/>
                  </w:tcBorders>
                  <w:hideMark/>
                </w:tcPr>
                <w:p w14:paraId="0A4B98BB"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processing </w:t>
                  </w:r>
                  <w:r w:rsidRPr="006F001C">
                    <w:rPr>
                      <w:rFonts w:eastAsia="Times New Roman"/>
                      <w:noProof/>
                      <w:sz w:val="22"/>
                      <w:lang w:val="en-IE" w:eastAsia="en-IE"/>
                    </w:rPr>
                    <w:t> </w:t>
                  </w:r>
                </w:p>
                <w:p w14:paraId="112F039F"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Digital solution</w:t>
                  </w:r>
                  <w:r w:rsidRPr="006F001C">
                    <w:rPr>
                      <w:rFonts w:eastAsia="Times New Roman"/>
                      <w:noProof/>
                      <w:sz w:val="22"/>
                      <w:lang w:val="en-IE" w:eastAsia="en-IE"/>
                    </w:rPr>
                    <w:t> </w:t>
                  </w:r>
                </w:p>
                <w:p w14:paraId="53AA9B64"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Digital public service </w:t>
                  </w:r>
                  <w:r w:rsidRPr="006F001C">
                    <w:rPr>
                      <w:rFonts w:eastAsia="Times New Roman"/>
                      <w:noProof/>
                      <w:sz w:val="22"/>
                      <w:lang w:val="en-IE" w:eastAsia="en-IE"/>
                    </w:rPr>
                    <w:t> </w:t>
                  </w:r>
                </w:p>
              </w:tc>
            </w:tr>
            <w:tr w:rsidR="007A5304" w:rsidRPr="006F001C" w14:paraId="25584B95" w14:textId="77777777">
              <w:trPr>
                <w:trHeight w:val="1350"/>
              </w:trPr>
              <w:tc>
                <w:tcPr>
                  <w:tcW w:w="2887" w:type="dxa"/>
                  <w:tcBorders>
                    <w:top w:val="single" w:sz="6" w:space="0" w:color="auto"/>
                    <w:left w:val="single" w:sz="6" w:space="0" w:color="auto"/>
                    <w:bottom w:val="single" w:sz="6" w:space="0" w:color="auto"/>
                    <w:right w:val="single" w:sz="6" w:space="0" w:color="auto"/>
                  </w:tcBorders>
                  <w:hideMark/>
                </w:tcPr>
                <w:p w14:paraId="5FAD1BEC"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Article 14</w:t>
                  </w:r>
                  <w:r w:rsidRPr="006F001C">
                    <w:rPr>
                      <w:rFonts w:eastAsia="Times New Roman"/>
                      <w:noProof/>
                      <w:sz w:val="22"/>
                      <w:lang w:val="en-IE" w:eastAsia="en-IE"/>
                    </w:rPr>
                    <w:t> </w:t>
                  </w:r>
                </w:p>
                <w:p w14:paraId="0F151317"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Cybersecurity exercises at Union level  </w:t>
                  </w:r>
                  <w:r w:rsidRPr="006F001C">
                    <w:rPr>
                      <w:rFonts w:eastAsia="Times New Roman"/>
                      <w:noProof/>
                      <w:sz w:val="22"/>
                      <w:lang w:val="en-IE" w:eastAsia="en-IE"/>
                    </w:rPr>
                    <w:t> </w:t>
                  </w:r>
                </w:p>
              </w:tc>
              <w:tc>
                <w:tcPr>
                  <w:tcW w:w="4332" w:type="dxa"/>
                  <w:tcBorders>
                    <w:top w:val="single" w:sz="6" w:space="0" w:color="auto"/>
                    <w:left w:val="single" w:sz="6" w:space="0" w:color="auto"/>
                    <w:bottom w:val="single" w:sz="6" w:space="0" w:color="auto"/>
                    <w:right w:val="single" w:sz="6" w:space="0" w:color="auto"/>
                  </w:tcBorders>
                  <w:hideMark/>
                </w:tcPr>
                <w:p w14:paraId="368A117A"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Receiving requests from EU-CyCLONe, the Commission, Member States, or CERT-EU, ENISA shall organise or contribute to the organisation of cybersecurity exercises.</w:t>
                  </w:r>
                  <w:r w:rsidRPr="006F001C">
                    <w:rPr>
                      <w:rFonts w:eastAsia="Times New Roman"/>
                      <w:noProof/>
                      <w:sz w:val="22"/>
                      <w:lang w:val="en-IE" w:eastAsia="en-IE"/>
                    </w:rPr>
                    <w:t> </w:t>
                  </w:r>
                </w:p>
                <w:p w14:paraId="69CD5108"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ENISA shall support the Commission in compiling an annual rolling programme of Union-level cybersecurity exercises.</w:t>
                  </w:r>
                  <w:r w:rsidRPr="006F001C">
                    <w:rPr>
                      <w:rFonts w:eastAsia="Times New Roman"/>
                      <w:noProof/>
                      <w:sz w:val="22"/>
                      <w:lang w:val="en-IE" w:eastAsia="en-IE"/>
                    </w:rPr>
                    <w:t> </w:t>
                  </w:r>
                </w:p>
              </w:tc>
              <w:tc>
                <w:tcPr>
                  <w:tcW w:w="3015" w:type="dxa"/>
                  <w:tcBorders>
                    <w:top w:val="single" w:sz="6" w:space="0" w:color="auto"/>
                    <w:left w:val="single" w:sz="6" w:space="0" w:color="auto"/>
                    <w:bottom w:val="single" w:sz="6" w:space="0" w:color="auto"/>
                    <w:right w:val="single" w:sz="6" w:space="0" w:color="auto"/>
                  </w:tcBorders>
                  <w:hideMark/>
                </w:tcPr>
                <w:p w14:paraId="04AA8656" w14:textId="77777777" w:rsidR="007A5304" w:rsidRPr="006F001C" w:rsidRDefault="007A5304">
                  <w:pPr>
                    <w:spacing w:before="0" w:after="0"/>
                    <w:jc w:val="left"/>
                    <w:textAlignment w:val="baseline"/>
                    <w:rPr>
                      <w:rFonts w:ascii="Segoe UI" w:eastAsia="Times New Roman" w:hAnsi="Segoe UI" w:cs="Segoe UI"/>
                      <w:noProof/>
                      <w:sz w:val="18"/>
                      <w:szCs w:val="18"/>
                      <w:lang w:val="fr-FR" w:eastAsia="en-IE"/>
                    </w:rPr>
                  </w:pPr>
                  <w:r w:rsidRPr="006F001C">
                    <w:rPr>
                      <w:rFonts w:eastAsia="Times New Roman"/>
                      <w:noProof/>
                      <w:sz w:val="22"/>
                      <w:lang w:val="fr-BE" w:eastAsia="en-IE"/>
                    </w:rPr>
                    <w:t>ENISA</w:t>
                  </w:r>
                  <w:r w:rsidRPr="006F001C">
                    <w:rPr>
                      <w:rFonts w:eastAsia="Times New Roman"/>
                      <w:noProof/>
                      <w:sz w:val="22"/>
                      <w:lang w:val="fr-FR" w:eastAsia="en-IE"/>
                    </w:rPr>
                    <w:t> </w:t>
                  </w:r>
                </w:p>
                <w:p w14:paraId="1CF05056" w14:textId="77777777" w:rsidR="007A5304" w:rsidRPr="006F001C" w:rsidRDefault="007A5304">
                  <w:pPr>
                    <w:spacing w:before="0" w:after="0"/>
                    <w:jc w:val="left"/>
                    <w:textAlignment w:val="baseline"/>
                    <w:rPr>
                      <w:rFonts w:ascii="Segoe UI" w:eastAsia="Times New Roman" w:hAnsi="Segoe UI" w:cs="Segoe UI"/>
                      <w:noProof/>
                      <w:sz w:val="18"/>
                      <w:szCs w:val="18"/>
                      <w:lang w:val="fr-FR" w:eastAsia="en-IE"/>
                    </w:rPr>
                  </w:pPr>
                  <w:r w:rsidRPr="006F001C">
                    <w:rPr>
                      <w:rFonts w:eastAsia="Times New Roman"/>
                      <w:noProof/>
                      <w:sz w:val="22"/>
                      <w:lang w:val="fr-BE" w:eastAsia="en-IE"/>
                    </w:rPr>
                    <w:t>Commission</w:t>
                  </w:r>
                  <w:r w:rsidRPr="006F001C">
                    <w:rPr>
                      <w:rFonts w:eastAsia="Times New Roman"/>
                      <w:noProof/>
                      <w:sz w:val="22"/>
                      <w:lang w:val="fr-FR" w:eastAsia="en-IE"/>
                    </w:rPr>
                    <w:t> </w:t>
                  </w:r>
                </w:p>
                <w:p w14:paraId="4A46A478" w14:textId="77777777" w:rsidR="007A5304" w:rsidRPr="006F001C" w:rsidRDefault="007A5304">
                  <w:pPr>
                    <w:spacing w:before="0" w:after="0"/>
                    <w:jc w:val="left"/>
                    <w:textAlignment w:val="baseline"/>
                    <w:rPr>
                      <w:rFonts w:ascii="Segoe UI" w:eastAsia="Times New Roman" w:hAnsi="Segoe UI" w:cs="Segoe UI"/>
                      <w:noProof/>
                      <w:sz w:val="18"/>
                      <w:szCs w:val="18"/>
                      <w:lang w:val="fr-FR" w:eastAsia="en-IE"/>
                    </w:rPr>
                  </w:pPr>
                  <w:r w:rsidRPr="006F001C">
                    <w:rPr>
                      <w:rFonts w:eastAsia="Times New Roman"/>
                      <w:noProof/>
                      <w:sz w:val="22"/>
                      <w:lang w:val="fr-BE" w:eastAsia="en-IE"/>
                    </w:rPr>
                    <w:t>Member States</w:t>
                  </w:r>
                  <w:r w:rsidRPr="006F001C">
                    <w:rPr>
                      <w:rFonts w:eastAsia="Times New Roman"/>
                      <w:noProof/>
                      <w:sz w:val="22"/>
                      <w:lang w:val="fr-FR" w:eastAsia="en-IE"/>
                    </w:rPr>
                    <w:t> </w:t>
                  </w:r>
                </w:p>
                <w:p w14:paraId="13207666" w14:textId="77777777" w:rsidR="007A5304" w:rsidRPr="006F001C" w:rsidRDefault="007A5304">
                  <w:pPr>
                    <w:spacing w:before="0" w:after="0"/>
                    <w:jc w:val="left"/>
                    <w:textAlignment w:val="baseline"/>
                    <w:rPr>
                      <w:rFonts w:ascii="Segoe UI" w:eastAsia="Times New Roman" w:hAnsi="Segoe UI" w:cs="Segoe UI"/>
                      <w:noProof/>
                      <w:sz w:val="18"/>
                      <w:szCs w:val="18"/>
                      <w:lang w:val="fr-FR" w:eastAsia="en-IE"/>
                    </w:rPr>
                  </w:pPr>
                  <w:r w:rsidRPr="006F001C">
                    <w:rPr>
                      <w:rFonts w:eastAsia="Times New Roman"/>
                      <w:noProof/>
                      <w:sz w:val="22"/>
                      <w:lang w:val="fr-BE" w:eastAsia="en-IE"/>
                    </w:rPr>
                    <w:t>EU entities </w:t>
                  </w:r>
                  <w:r w:rsidRPr="006F001C">
                    <w:rPr>
                      <w:rFonts w:eastAsia="Times New Roman"/>
                      <w:noProof/>
                      <w:sz w:val="22"/>
                      <w:lang w:val="fr-FR" w:eastAsia="en-IE"/>
                    </w:rPr>
                    <w:t> </w:t>
                  </w:r>
                </w:p>
                <w:p w14:paraId="5F6AE29F"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CERT-EU</w:t>
                  </w:r>
                  <w:r w:rsidRPr="006F001C">
                    <w:rPr>
                      <w:rFonts w:eastAsia="Times New Roman"/>
                      <w:noProof/>
                      <w:sz w:val="22"/>
                      <w:lang w:val="en-IE" w:eastAsia="en-IE"/>
                    </w:rPr>
                    <w:t> </w:t>
                  </w:r>
                </w:p>
              </w:tc>
              <w:tc>
                <w:tcPr>
                  <w:tcW w:w="3040" w:type="dxa"/>
                  <w:tcBorders>
                    <w:top w:val="single" w:sz="6" w:space="0" w:color="auto"/>
                    <w:left w:val="single" w:sz="6" w:space="0" w:color="auto"/>
                    <w:bottom w:val="single" w:sz="6" w:space="0" w:color="auto"/>
                    <w:right w:val="single" w:sz="6" w:space="0" w:color="auto"/>
                  </w:tcBorders>
                  <w:hideMark/>
                </w:tcPr>
                <w:p w14:paraId="2284D71D"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Receiving requests to organise or support the organisation of exercises </w:t>
                  </w:r>
                  <w:r w:rsidRPr="006F001C">
                    <w:rPr>
                      <w:rFonts w:eastAsia="Times New Roman"/>
                      <w:noProof/>
                      <w:sz w:val="22"/>
                      <w:lang w:val="en-IE" w:eastAsia="en-IE"/>
                    </w:rPr>
                    <w:t> </w:t>
                  </w:r>
                </w:p>
              </w:tc>
              <w:tc>
                <w:tcPr>
                  <w:tcW w:w="1281" w:type="dxa"/>
                  <w:tcBorders>
                    <w:top w:val="single" w:sz="6" w:space="0" w:color="auto"/>
                    <w:left w:val="single" w:sz="6" w:space="0" w:color="auto"/>
                    <w:bottom w:val="single" w:sz="6" w:space="0" w:color="auto"/>
                    <w:right w:val="single" w:sz="6" w:space="0" w:color="auto"/>
                  </w:tcBorders>
                  <w:hideMark/>
                </w:tcPr>
                <w:p w14:paraId="5D3D35D8"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flow</w:t>
                  </w:r>
                  <w:r w:rsidRPr="006F001C">
                    <w:rPr>
                      <w:rFonts w:eastAsia="Times New Roman"/>
                      <w:noProof/>
                      <w:sz w:val="22"/>
                      <w:lang w:val="en-IE" w:eastAsia="en-IE"/>
                    </w:rPr>
                    <w:t> </w:t>
                  </w:r>
                </w:p>
                <w:p w14:paraId="10479629"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processing</w:t>
                  </w:r>
                  <w:r w:rsidRPr="006F001C">
                    <w:rPr>
                      <w:rFonts w:eastAsia="Times New Roman"/>
                      <w:noProof/>
                      <w:sz w:val="22"/>
                      <w:lang w:val="en-IE" w:eastAsia="en-IE"/>
                    </w:rPr>
                    <w:t> </w:t>
                  </w:r>
                </w:p>
              </w:tc>
            </w:tr>
            <w:tr w:rsidR="007A5304" w:rsidRPr="006F001C" w14:paraId="31883772" w14:textId="77777777">
              <w:trPr>
                <w:trHeight w:val="2745"/>
              </w:trPr>
              <w:tc>
                <w:tcPr>
                  <w:tcW w:w="2887" w:type="dxa"/>
                  <w:tcBorders>
                    <w:top w:val="single" w:sz="6" w:space="0" w:color="auto"/>
                    <w:left w:val="single" w:sz="6" w:space="0" w:color="auto"/>
                    <w:bottom w:val="single" w:sz="6" w:space="0" w:color="auto"/>
                    <w:right w:val="single" w:sz="6" w:space="0" w:color="auto"/>
                  </w:tcBorders>
                  <w:hideMark/>
                </w:tcPr>
                <w:p w14:paraId="47585ECE"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Article 15</w:t>
                  </w:r>
                  <w:r w:rsidRPr="006F001C">
                    <w:rPr>
                      <w:rFonts w:eastAsia="Times New Roman"/>
                      <w:noProof/>
                      <w:sz w:val="22"/>
                      <w:lang w:val="en-IE" w:eastAsia="en-IE"/>
                    </w:rPr>
                    <w:t> </w:t>
                  </w:r>
                </w:p>
                <w:p w14:paraId="2439F036"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Provision on tools and platforms </w:t>
                  </w:r>
                  <w:r w:rsidRPr="006F001C">
                    <w:rPr>
                      <w:rFonts w:eastAsia="Times New Roman"/>
                      <w:noProof/>
                      <w:sz w:val="22"/>
                      <w:lang w:val="en-IE" w:eastAsia="en-IE"/>
                    </w:rPr>
                    <w:t> </w:t>
                  </w:r>
                </w:p>
                <w:p w14:paraId="5DC10641"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val="en-IE" w:eastAsia="en-IE"/>
                    </w:rPr>
                    <w:t> </w:t>
                  </w:r>
                </w:p>
              </w:tc>
              <w:tc>
                <w:tcPr>
                  <w:tcW w:w="4332" w:type="dxa"/>
                  <w:tcBorders>
                    <w:top w:val="single" w:sz="6" w:space="0" w:color="auto"/>
                    <w:left w:val="single" w:sz="6" w:space="0" w:color="auto"/>
                    <w:bottom w:val="single" w:sz="6" w:space="0" w:color="auto"/>
                    <w:right w:val="single" w:sz="6" w:space="0" w:color="auto"/>
                  </w:tcBorders>
                  <w:hideMark/>
                </w:tcPr>
                <w:p w14:paraId="5119E61F"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1.</w:t>
                  </w:r>
                  <w:r w:rsidRPr="006F001C">
                    <w:rPr>
                      <w:rFonts w:ascii="Calibri" w:eastAsia="Times New Roman" w:hAnsi="Calibri" w:cs="Calibri"/>
                      <w:noProof/>
                      <w:sz w:val="22"/>
                      <w:lang w:val="en-IE" w:eastAsia="en-IE"/>
                    </w:rPr>
                    <w:tab/>
                  </w:r>
                  <w:r w:rsidRPr="006F001C">
                    <w:rPr>
                      <w:rFonts w:eastAsia="Times New Roman"/>
                      <w:b/>
                      <w:bCs/>
                      <w:noProof/>
                      <w:sz w:val="22"/>
                      <w:lang w:eastAsia="en-IE"/>
                    </w:rPr>
                    <w:t xml:space="preserve">ENISA shall establish, provide, operate, maintain and update as necessary, operational technical tools, </w:t>
                  </w:r>
                  <w:r>
                    <w:rPr>
                      <w:rFonts w:eastAsia="Times New Roman"/>
                      <w:b/>
                      <w:bCs/>
                      <w:noProof/>
                      <w:sz w:val="22"/>
                      <w:lang w:eastAsia="en-IE"/>
                    </w:rPr>
                    <w:t>including</w:t>
                  </w:r>
                  <w:r w:rsidRPr="006F001C">
                    <w:rPr>
                      <w:rFonts w:eastAsia="Times New Roman"/>
                      <w:b/>
                      <w:bCs/>
                      <w:noProof/>
                      <w:sz w:val="22"/>
                      <w:lang w:eastAsia="en-IE"/>
                    </w:rPr>
                    <w:t xml:space="preserve"> platforms</w:t>
                  </w:r>
                  <w:r w:rsidRPr="006F001C">
                    <w:rPr>
                      <w:rFonts w:eastAsia="Times New Roman"/>
                      <w:noProof/>
                      <w:sz w:val="22"/>
                      <w:lang w:eastAsia="en-IE"/>
                    </w:rPr>
                    <w:t xml:space="preserve"> related to cybersecurity at Union level, in particular the single reporting platform </w:t>
                  </w:r>
                  <w:r>
                    <w:rPr>
                      <w:rFonts w:eastAsia="Times New Roman"/>
                      <w:noProof/>
                      <w:sz w:val="22"/>
                      <w:lang w:eastAsia="en-IE"/>
                    </w:rPr>
                    <w:t>for incident reporting</w:t>
                  </w:r>
                  <w:r w:rsidRPr="006F001C">
                    <w:rPr>
                      <w:rFonts w:eastAsia="Times New Roman"/>
                      <w:noProof/>
                      <w:sz w:val="22"/>
                      <w:lang w:eastAsia="en-IE"/>
                    </w:rPr>
                    <w:t xml:space="preserve"> established pursuant to Article 16(1) of Regulation (EU) 2024/2847 [and the single-entry point established pursuant to Article 23a of Directive (EU) 2022/2555], </w:t>
                  </w:r>
                  <w:r>
                    <w:rPr>
                      <w:rFonts w:eastAsia="Times New Roman"/>
                      <w:noProof/>
                      <w:sz w:val="22"/>
                      <w:lang w:eastAsia="en-IE"/>
                    </w:rPr>
                    <w:t>and</w:t>
                  </w:r>
                  <w:r w:rsidRPr="006F001C">
                    <w:rPr>
                      <w:rFonts w:eastAsia="Times New Roman"/>
                      <w:noProof/>
                      <w:sz w:val="22"/>
                      <w:lang w:eastAsia="en-IE"/>
                    </w:rPr>
                    <w:t xml:space="preserve"> testing tools to support the implementation of conformity assessment procedures in </w:t>
                  </w:r>
                  <w:r>
                    <w:rPr>
                      <w:rFonts w:eastAsia="Times New Roman"/>
                      <w:noProof/>
                      <w:sz w:val="22"/>
                      <w:lang w:eastAsia="en-IE"/>
                    </w:rPr>
                    <w:t>accordance with the</w:t>
                  </w:r>
                  <w:r w:rsidRPr="006F001C">
                    <w:rPr>
                      <w:rFonts w:eastAsia="Times New Roman"/>
                      <w:noProof/>
                      <w:sz w:val="22"/>
                      <w:lang w:eastAsia="en-IE"/>
                    </w:rPr>
                    <w:t xml:space="preserve"> relevant Union legislation.</w:t>
                  </w:r>
                  <w:r w:rsidRPr="006F001C">
                    <w:rPr>
                      <w:rFonts w:eastAsia="Times New Roman"/>
                      <w:noProof/>
                      <w:sz w:val="22"/>
                      <w:lang w:val="en-IE" w:eastAsia="en-IE"/>
                    </w:rPr>
                    <w:t> </w:t>
                  </w:r>
                </w:p>
                <w:p w14:paraId="699E0C6D"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2.</w:t>
                  </w:r>
                  <w:r w:rsidRPr="006F001C">
                    <w:rPr>
                      <w:rFonts w:ascii="Calibri" w:eastAsia="Times New Roman" w:hAnsi="Calibri" w:cs="Calibri"/>
                      <w:noProof/>
                      <w:sz w:val="22"/>
                      <w:lang w:val="en-IE" w:eastAsia="en-IE"/>
                    </w:rPr>
                    <w:tab/>
                  </w:r>
                  <w:r w:rsidRPr="006F001C">
                    <w:rPr>
                      <w:rFonts w:eastAsia="Times New Roman"/>
                      <w:noProof/>
                      <w:sz w:val="22"/>
                      <w:lang w:eastAsia="en-IE"/>
                    </w:rPr>
                    <w:t>Where appropriate for the purposes of paragraph 1, </w:t>
                  </w:r>
                  <w:r w:rsidRPr="006F001C">
                    <w:rPr>
                      <w:rFonts w:eastAsia="Times New Roman"/>
                      <w:b/>
                      <w:bCs/>
                      <w:noProof/>
                      <w:sz w:val="22"/>
                      <w:lang w:eastAsia="en-IE"/>
                    </w:rPr>
                    <w:t>ENISA shall cooperate and exchange information</w:t>
                  </w:r>
                  <w:r w:rsidRPr="006F001C">
                    <w:rPr>
                      <w:rFonts w:eastAsia="Times New Roman"/>
                      <w:noProof/>
                      <w:sz w:val="22"/>
                      <w:lang w:eastAsia="en-IE"/>
                    </w:rPr>
                    <w:t> with the CSIRTs network and, where applicable, market surveillance authorities.    </w:t>
                  </w:r>
                  <w:r w:rsidRPr="006F001C">
                    <w:rPr>
                      <w:rFonts w:eastAsia="Times New Roman"/>
                      <w:noProof/>
                      <w:sz w:val="22"/>
                      <w:lang w:val="en-IE" w:eastAsia="en-IE"/>
                    </w:rPr>
                    <w:t> </w:t>
                  </w:r>
                </w:p>
              </w:tc>
              <w:tc>
                <w:tcPr>
                  <w:tcW w:w="3015" w:type="dxa"/>
                  <w:tcBorders>
                    <w:top w:val="single" w:sz="6" w:space="0" w:color="auto"/>
                    <w:left w:val="single" w:sz="6" w:space="0" w:color="auto"/>
                    <w:bottom w:val="single" w:sz="6" w:space="0" w:color="auto"/>
                    <w:right w:val="single" w:sz="6" w:space="0" w:color="auto"/>
                  </w:tcBorders>
                  <w:hideMark/>
                </w:tcPr>
                <w:p w14:paraId="6F4F9147"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ENISA</w:t>
                  </w:r>
                  <w:r w:rsidRPr="006F001C">
                    <w:rPr>
                      <w:rFonts w:eastAsia="Times New Roman"/>
                      <w:noProof/>
                      <w:sz w:val="22"/>
                      <w:lang w:val="en-IE" w:eastAsia="en-IE"/>
                    </w:rPr>
                    <w:t> </w:t>
                  </w:r>
                </w:p>
                <w:p w14:paraId="5A854F45"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CSIRTs Network</w:t>
                  </w:r>
                  <w:r w:rsidRPr="006F001C">
                    <w:rPr>
                      <w:rFonts w:eastAsia="Times New Roman"/>
                      <w:noProof/>
                      <w:sz w:val="22"/>
                      <w:lang w:val="en-IE" w:eastAsia="en-IE"/>
                    </w:rPr>
                    <w:t> </w:t>
                  </w:r>
                </w:p>
                <w:p w14:paraId="473EFB48"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General public</w:t>
                  </w:r>
                  <w:r w:rsidRPr="006F001C">
                    <w:rPr>
                      <w:rFonts w:eastAsia="Times New Roman"/>
                      <w:noProof/>
                      <w:sz w:val="22"/>
                      <w:lang w:val="en-IE" w:eastAsia="en-IE"/>
                    </w:rPr>
                    <w:t> </w:t>
                  </w:r>
                </w:p>
                <w:p w14:paraId="563AE49A"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Market surveillance authorities</w:t>
                  </w:r>
                  <w:r w:rsidRPr="006F001C">
                    <w:rPr>
                      <w:rFonts w:eastAsia="Times New Roman"/>
                      <w:noProof/>
                      <w:sz w:val="22"/>
                      <w:lang w:val="en-IE" w:eastAsia="en-IE"/>
                    </w:rPr>
                    <w:t> </w:t>
                  </w:r>
                </w:p>
                <w:p w14:paraId="2C60D3EB"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val="en-IE" w:eastAsia="en-IE"/>
                    </w:rPr>
                    <w:t> </w:t>
                  </w:r>
                </w:p>
              </w:tc>
              <w:tc>
                <w:tcPr>
                  <w:tcW w:w="3040" w:type="dxa"/>
                  <w:tcBorders>
                    <w:top w:val="single" w:sz="6" w:space="0" w:color="auto"/>
                    <w:left w:val="single" w:sz="6" w:space="0" w:color="auto"/>
                    <w:bottom w:val="single" w:sz="6" w:space="0" w:color="auto"/>
                    <w:right w:val="single" w:sz="6" w:space="0" w:color="auto"/>
                  </w:tcBorders>
                  <w:hideMark/>
                </w:tcPr>
                <w:p w14:paraId="19AEAE66"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ENISA shall establish, provide, operate, maintain and update as necessary, operational technical tools, such as platforms</w:t>
                  </w:r>
                  <w:r w:rsidRPr="006F001C">
                    <w:rPr>
                      <w:rFonts w:eastAsia="Times New Roman"/>
                      <w:noProof/>
                      <w:sz w:val="22"/>
                      <w:lang w:val="en-IE" w:eastAsia="en-IE"/>
                    </w:rPr>
                    <w:t> </w:t>
                  </w:r>
                </w:p>
              </w:tc>
              <w:tc>
                <w:tcPr>
                  <w:tcW w:w="1281" w:type="dxa"/>
                  <w:tcBorders>
                    <w:top w:val="single" w:sz="6" w:space="0" w:color="auto"/>
                    <w:left w:val="single" w:sz="6" w:space="0" w:color="auto"/>
                    <w:bottom w:val="single" w:sz="6" w:space="0" w:color="auto"/>
                    <w:right w:val="single" w:sz="6" w:space="0" w:color="auto"/>
                  </w:tcBorders>
                  <w:hideMark/>
                </w:tcPr>
                <w:p w14:paraId="5D65323B"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Digital solution</w:t>
                  </w:r>
                  <w:r w:rsidRPr="006F001C">
                    <w:rPr>
                      <w:rFonts w:eastAsia="Times New Roman"/>
                      <w:noProof/>
                      <w:sz w:val="22"/>
                      <w:lang w:val="en-IE" w:eastAsia="en-IE"/>
                    </w:rPr>
                    <w:t> </w:t>
                  </w:r>
                </w:p>
                <w:p w14:paraId="0E44DD99"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Digital public service</w:t>
                  </w:r>
                  <w:r w:rsidRPr="006F001C">
                    <w:rPr>
                      <w:rFonts w:eastAsia="Times New Roman"/>
                      <w:noProof/>
                      <w:sz w:val="22"/>
                      <w:lang w:val="en-IE" w:eastAsia="en-IE"/>
                    </w:rPr>
                    <w:t> </w:t>
                  </w:r>
                </w:p>
                <w:p w14:paraId="02F5FA19"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flow</w:t>
                  </w:r>
                  <w:r w:rsidRPr="006F001C">
                    <w:rPr>
                      <w:rFonts w:eastAsia="Times New Roman"/>
                      <w:noProof/>
                      <w:sz w:val="22"/>
                      <w:lang w:val="en-IE" w:eastAsia="en-IE"/>
                    </w:rPr>
                    <w:t> </w:t>
                  </w:r>
                </w:p>
              </w:tc>
            </w:tr>
            <w:tr w:rsidR="007A5304" w:rsidRPr="006F001C" w14:paraId="5234A887" w14:textId="77777777">
              <w:trPr>
                <w:trHeight w:val="1920"/>
              </w:trPr>
              <w:tc>
                <w:tcPr>
                  <w:tcW w:w="2887" w:type="dxa"/>
                  <w:tcBorders>
                    <w:top w:val="single" w:sz="6" w:space="0" w:color="auto"/>
                    <w:left w:val="single" w:sz="6" w:space="0" w:color="auto"/>
                    <w:bottom w:val="single" w:sz="6" w:space="0" w:color="auto"/>
                    <w:right w:val="single" w:sz="6" w:space="0" w:color="auto"/>
                  </w:tcBorders>
                  <w:hideMark/>
                </w:tcPr>
                <w:p w14:paraId="51C3EA41"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Article 16(2)</w:t>
                  </w:r>
                  <w:r w:rsidRPr="006F001C">
                    <w:rPr>
                      <w:rFonts w:eastAsia="Times New Roman"/>
                      <w:noProof/>
                      <w:sz w:val="22"/>
                      <w:lang w:val="en-IE" w:eastAsia="en-IE"/>
                    </w:rPr>
                    <w:t> </w:t>
                  </w:r>
                </w:p>
                <w:p w14:paraId="63FEA849"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Vulnerability management services </w:t>
                  </w:r>
                  <w:r w:rsidRPr="006F001C">
                    <w:rPr>
                      <w:rFonts w:eastAsia="Times New Roman"/>
                      <w:noProof/>
                      <w:sz w:val="22"/>
                      <w:lang w:val="en-IE" w:eastAsia="en-IE"/>
                    </w:rPr>
                    <w:t> </w:t>
                  </w:r>
                </w:p>
              </w:tc>
              <w:tc>
                <w:tcPr>
                  <w:tcW w:w="4332" w:type="dxa"/>
                  <w:tcBorders>
                    <w:top w:val="single" w:sz="6" w:space="0" w:color="auto"/>
                    <w:left w:val="single" w:sz="6" w:space="0" w:color="auto"/>
                    <w:bottom w:val="single" w:sz="6" w:space="0" w:color="auto"/>
                    <w:right w:val="single" w:sz="6" w:space="0" w:color="auto"/>
                  </w:tcBorders>
                  <w:hideMark/>
                </w:tcPr>
                <w:p w14:paraId="3B8AEF35" w14:textId="77777777" w:rsidR="007A5304" w:rsidRPr="009E2872" w:rsidRDefault="007A5304">
                  <w:pPr>
                    <w:spacing w:before="0" w:after="0"/>
                    <w:jc w:val="left"/>
                    <w:textAlignment w:val="baseline"/>
                    <w:rPr>
                      <w:rFonts w:eastAsia="Times New Roman"/>
                      <w:noProof/>
                      <w:sz w:val="22"/>
                      <w:lang w:eastAsia="en-IE"/>
                    </w:rPr>
                  </w:pPr>
                  <w:r w:rsidRPr="009E2872">
                    <w:rPr>
                      <w:rFonts w:eastAsia="Times New Roman"/>
                      <w:noProof/>
                      <w:sz w:val="22"/>
                      <w:lang w:eastAsia="en-IE"/>
                    </w:rPr>
                    <w:t>(a)</w:t>
                  </w:r>
                  <w:r w:rsidRPr="009E2872">
                    <w:rPr>
                      <w:rFonts w:eastAsia="Times New Roman"/>
                      <w:noProof/>
                      <w:sz w:val="22"/>
                      <w:lang w:eastAsia="en-IE"/>
                    </w:rPr>
                    <w:tab/>
                    <w:t xml:space="preserve">maintaining the European vulnerability database established pursuant to Article 12(2) of Directive (EU) 2022/2555; </w:t>
                  </w:r>
                </w:p>
                <w:p w14:paraId="5C07934D" w14:textId="77777777" w:rsidR="007A5304" w:rsidRPr="009E2872" w:rsidRDefault="007A5304">
                  <w:pPr>
                    <w:spacing w:before="0" w:after="0"/>
                    <w:jc w:val="left"/>
                    <w:textAlignment w:val="baseline"/>
                    <w:rPr>
                      <w:rFonts w:eastAsia="Times New Roman"/>
                      <w:noProof/>
                      <w:sz w:val="22"/>
                      <w:lang w:eastAsia="en-IE"/>
                    </w:rPr>
                  </w:pPr>
                  <w:r w:rsidRPr="009E2872">
                    <w:rPr>
                      <w:rFonts w:eastAsia="Times New Roman"/>
                      <w:noProof/>
                      <w:sz w:val="22"/>
                      <w:lang w:eastAsia="en-IE"/>
                    </w:rPr>
                    <w:t>(b)</w:t>
                  </w:r>
                  <w:r w:rsidRPr="009E2872">
                    <w:rPr>
                      <w:rFonts w:eastAsia="Times New Roman"/>
                      <w:noProof/>
                      <w:sz w:val="22"/>
                      <w:lang w:eastAsia="en-IE"/>
                    </w:rPr>
                    <w:tab/>
                    <w:t xml:space="preserve">providing vulnerability management services to </w:t>
                  </w:r>
                  <w:r w:rsidRPr="00291CE2">
                    <w:rPr>
                      <w:rFonts w:eastAsia="Times New Roman"/>
                      <w:b/>
                      <w:bCs/>
                      <w:noProof/>
                      <w:sz w:val="22"/>
                      <w:lang w:eastAsia="en-IE"/>
                    </w:rPr>
                    <w:t>stakeholders</w:t>
                  </w:r>
                  <w:r w:rsidRPr="009E2872">
                    <w:rPr>
                      <w:rFonts w:eastAsia="Times New Roman"/>
                      <w:noProof/>
                      <w:sz w:val="22"/>
                      <w:lang w:eastAsia="en-IE"/>
                    </w:rPr>
                    <w:t>, building on the European vulnerability database and making use of relevant information available to ENISA;</w:t>
                  </w:r>
                </w:p>
                <w:p w14:paraId="29AAE304" w14:textId="77777777" w:rsidR="007A5304" w:rsidRPr="009E2872" w:rsidRDefault="007A5304">
                  <w:pPr>
                    <w:spacing w:before="0" w:after="0"/>
                    <w:jc w:val="left"/>
                    <w:textAlignment w:val="baseline"/>
                    <w:rPr>
                      <w:rFonts w:eastAsia="Times New Roman"/>
                      <w:noProof/>
                      <w:sz w:val="22"/>
                      <w:lang w:eastAsia="en-IE"/>
                    </w:rPr>
                  </w:pPr>
                  <w:r w:rsidRPr="009E2872">
                    <w:rPr>
                      <w:rFonts w:eastAsia="Times New Roman"/>
                      <w:noProof/>
                      <w:sz w:val="22"/>
                      <w:lang w:eastAsia="en-IE"/>
                    </w:rPr>
                    <w:t>(c)</w:t>
                  </w:r>
                  <w:r w:rsidRPr="009E2872">
                    <w:rPr>
                      <w:rFonts w:eastAsia="Times New Roman"/>
                      <w:noProof/>
                      <w:sz w:val="22"/>
                      <w:lang w:eastAsia="en-IE"/>
                    </w:rPr>
                    <w:tab/>
                    <w:t xml:space="preserve">where appropriate, entering into structured cooperation with </w:t>
                  </w:r>
                  <w:r w:rsidRPr="00291CE2">
                    <w:rPr>
                      <w:rFonts w:eastAsia="Times New Roman"/>
                      <w:b/>
                      <w:bCs/>
                      <w:noProof/>
                      <w:sz w:val="22"/>
                      <w:lang w:eastAsia="en-IE"/>
                    </w:rPr>
                    <w:t>organisations</w:t>
                  </w:r>
                  <w:r w:rsidRPr="009E2872">
                    <w:rPr>
                      <w:rFonts w:eastAsia="Times New Roman"/>
                      <w:noProof/>
                      <w:sz w:val="22"/>
                      <w:lang w:eastAsia="en-IE"/>
                    </w:rPr>
                    <w:t xml:space="preserve"> providing programmes, registries or databases similar to the European vulnerability database;</w:t>
                  </w:r>
                </w:p>
                <w:p w14:paraId="1BD3D577" w14:textId="77777777" w:rsidR="007A5304" w:rsidRPr="009E2872" w:rsidRDefault="007A5304">
                  <w:pPr>
                    <w:spacing w:before="0" w:after="0"/>
                    <w:jc w:val="left"/>
                    <w:textAlignment w:val="baseline"/>
                    <w:rPr>
                      <w:rFonts w:eastAsia="Times New Roman"/>
                      <w:noProof/>
                      <w:sz w:val="22"/>
                      <w:lang w:eastAsia="en-IE"/>
                    </w:rPr>
                  </w:pPr>
                  <w:r w:rsidRPr="009E2872">
                    <w:rPr>
                      <w:rFonts w:eastAsia="Times New Roman"/>
                      <w:noProof/>
                      <w:sz w:val="22"/>
                      <w:lang w:eastAsia="en-IE"/>
                    </w:rPr>
                    <w:t>(d)</w:t>
                  </w:r>
                  <w:r w:rsidRPr="009E2872">
                    <w:rPr>
                      <w:rFonts w:eastAsia="Times New Roman"/>
                      <w:noProof/>
                      <w:sz w:val="22"/>
                      <w:lang w:eastAsia="en-IE"/>
                    </w:rPr>
                    <w:tab/>
                    <w:t xml:space="preserve">actively supporting the </w:t>
                  </w:r>
                  <w:r w:rsidRPr="00291CE2">
                    <w:rPr>
                      <w:rFonts w:eastAsia="Times New Roman"/>
                      <w:b/>
                      <w:bCs/>
                      <w:noProof/>
                      <w:sz w:val="22"/>
                      <w:lang w:eastAsia="en-IE"/>
                    </w:rPr>
                    <w:t>CSIRTs</w:t>
                  </w:r>
                  <w:r w:rsidRPr="009E2872">
                    <w:rPr>
                      <w:rFonts w:eastAsia="Times New Roman"/>
                      <w:noProof/>
                      <w:sz w:val="22"/>
                      <w:lang w:eastAsia="en-IE"/>
                    </w:rPr>
                    <w:t xml:space="preserve"> designated as coordinators pursuant to Article 12(1) of Directive (EU) 2022/2555 with regard to the management of the coordinated disclosure of vulnerabilities which may have a significant impact on entities in more than one Member State;</w:t>
                  </w:r>
                </w:p>
                <w:p w14:paraId="28B0F4DF"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9E2872">
                    <w:rPr>
                      <w:rFonts w:eastAsia="Times New Roman"/>
                      <w:noProof/>
                      <w:sz w:val="22"/>
                      <w:lang w:eastAsia="en-IE"/>
                    </w:rPr>
                    <w:t>(e)</w:t>
                  </w:r>
                  <w:r>
                    <w:rPr>
                      <w:rFonts w:eastAsia="Times New Roman"/>
                      <w:noProof/>
                      <w:sz w:val="22"/>
                      <w:lang w:eastAsia="en-IE"/>
                    </w:rPr>
                    <w:t xml:space="preserve"> </w:t>
                  </w:r>
                  <w:r w:rsidRPr="009E2872">
                    <w:rPr>
                      <w:rFonts w:eastAsia="Times New Roman"/>
                      <w:noProof/>
                      <w:sz w:val="22"/>
                      <w:lang w:eastAsia="en-IE"/>
                    </w:rPr>
                    <w:t xml:space="preserve">developing and maintaining methodologies and governance mechanisms for vulnerability identification and coordinated disclosure, </w:t>
                  </w:r>
                  <w:r w:rsidRPr="00291CE2">
                    <w:rPr>
                      <w:rFonts w:eastAsia="Times New Roman"/>
                      <w:b/>
                      <w:bCs/>
                      <w:noProof/>
                      <w:sz w:val="22"/>
                      <w:lang w:eastAsia="en-IE"/>
                    </w:rPr>
                    <w:t>in cooperation with national competent authorities, CSIRTs, industry and the research community</w:t>
                  </w:r>
                </w:p>
              </w:tc>
              <w:tc>
                <w:tcPr>
                  <w:tcW w:w="3015" w:type="dxa"/>
                  <w:tcBorders>
                    <w:top w:val="single" w:sz="6" w:space="0" w:color="auto"/>
                    <w:left w:val="single" w:sz="6" w:space="0" w:color="auto"/>
                    <w:bottom w:val="single" w:sz="6" w:space="0" w:color="auto"/>
                    <w:right w:val="single" w:sz="6" w:space="0" w:color="auto"/>
                  </w:tcBorders>
                  <w:hideMark/>
                </w:tcPr>
                <w:p w14:paraId="27AEE328"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ENISA</w:t>
                  </w:r>
                  <w:r w:rsidRPr="006F001C">
                    <w:rPr>
                      <w:rFonts w:eastAsia="Times New Roman"/>
                      <w:noProof/>
                      <w:sz w:val="22"/>
                      <w:lang w:val="en-IE" w:eastAsia="en-IE"/>
                    </w:rPr>
                    <w:t> </w:t>
                  </w:r>
                </w:p>
                <w:p w14:paraId="7B4D4EB1"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National CSIRTs</w:t>
                  </w:r>
                  <w:r w:rsidRPr="006F001C">
                    <w:rPr>
                      <w:rFonts w:eastAsia="Times New Roman"/>
                      <w:noProof/>
                      <w:sz w:val="22"/>
                      <w:lang w:val="en-IE" w:eastAsia="en-IE"/>
                    </w:rPr>
                    <w:t> </w:t>
                  </w:r>
                </w:p>
                <w:p w14:paraId="5FD0E259"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CSIRTs network</w:t>
                  </w:r>
                  <w:r w:rsidRPr="006F001C">
                    <w:rPr>
                      <w:rFonts w:eastAsia="Times New Roman"/>
                      <w:noProof/>
                      <w:sz w:val="22"/>
                      <w:lang w:val="en-IE" w:eastAsia="en-IE"/>
                    </w:rPr>
                    <w:t> </w:t>
                  </w:r>
                </w:p>
                <w:p w14:paraId="6B884885"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National competent authorities</w:t>
                  </w:r>
                  <w:r w:rsidRPr="006F001C">
                    <w:rPr>
                      <w:rFonts w:eastAsia="Times New Roman"/>
                      <w:noProof/>
                      <w:sz w:val="22"/>
                      <w:lang w:val="en-IE" w:eastAsia="en-IE"/>
                    </w:rPr>
                    <w:t> </w:t>
                  </w:r>
                </w:p>
                <w:p w14:paraId="66530E80"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Industry</w:t>
                  </w:r>
                  <w:r w:rsidRPr="006F001C">
                    <w:rPr>
                      <w:rFonts w:eastAsia="Times New Roman"/>
                      <w:noProof/>
                      <w:sz w:val="22"/>
                      <w:lang w:val="en-IE" w:eastAsia="en-IE"/>
                    </w:rPr>
                    <w:t> </w:t>
                  </w:r>
                </w:p>
                <w:p w14:paraId="1B602BD4"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Research community</w:t>
                  </w:r>
                  <w:r w:rsidRPr="006F001C">
                    <w:rPr>
                      <w:rFonts w:eastAsia="Times New Roman"/>
                      <w:noProof/>
                      <w:sz w:val="22"/>
                      <w:lang w:val="en-IE" w:eastAsia="en-IE"/>
                    </w:rPr>
                    <w:t> </w:t>
                  </w:r>
                </w:p>
                <w:p w14:paraId="537E29FF"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General public</w:t>
                  </w:r>
                  <w:r w:rsidRPr="006F001C">
                    <w:rPr>
                      <w:rFonts w:eastAsia="Times New Roman"/>
                      <w:noProof/>
                      <w:sz w:val="22"/>
                      <w:lang w:val="en-IE" w:eastAsia="en-IE"/>
                    </w:rPr>
                    <w:t> </w:t>
                  </w:r>
                </w:p>
                <w:p w14:paraId="2A1E0E81"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International actors providing programmes, registries or databases</w:t>
                  </w:r>
                  <w:r w:rsidRPr="006F001C">
                    <w:rPr>
                      <w:rFonts w:eastAsia="Times New Roman"/>
                      <w:noProof/>
                      <w:sz w:val="22"/>
                      <w:lang w:val="en-IE" w:eastAsia="en-IE"/>
                    </w:rPr>
                    <w:t> </w:t>
                  </w:r>
                </w:p>
              </w:tc>
              <w:tc>
                <w:tcPr>
                  <w:tcW w:w="3040" w:type="dxa"/>
                  <w:tcBorders>
                    <w:top w:val="single" w:sz="6" w:space="0" w:color="auto"/>
                    <w:left w:val="single" w:sz="6" w:space="0" w:color="auto"/>
                    <w:bottom w:val="single" w:sz="6" w:space="0" w:color="auto"/>
                    <w:right w:val="single" w:sz="6" w:space="0" w:color="auto"/>
                  </w:tcBorders>
                  <w:hideMark/>
                </w:tcPr>
                <w:p w14:paraId="5E1F2FCC" w14:textId="02218FA1"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Providing</w:t>
                  </w:r>
                  <w:r w:rsidR="00C04535">
                    <w:rPr>
                      <w:rFonts w:eastAsia="Times New Roman"/>
                      <w:noProof/>
                      <w:sz w:val="22"/>
                      <w:lang w:eastAsia="en-IE"/>
                    </w:rPr>
                    <w:t xml:space="preserve"> </w:t>
                  </w:r>
                  <w:r w:rsidRPr="006F001C">
                    <w:rPr>
                      <w:rFonts w:eastAsia="Times New Roman"/>
                      <w:noProof/>
                      <w:sz w:val="22"/>
                      <w:lang w:eastAsia="en-IE"/>
                    </w:rPr>
                    <w:t>vulnerability management services; entering into structured cooperation where appropriate; cooperation with stakeholders </w:t>
                  </w:r>
                  <w:r w:rsidRPr="006F001C">
                    <w:rPr>
                      <w:rFonts w:eastAsia="Times New Roman"/>
                      <w:noProof/>
                      <w:sz w:val="22"/>
                      <w:lang w:val="en-IE" w:eastAsia="en-IE"/>
                    </w:rPr>
                    <w:t> </w:t>
                  </w:r>
                </w:p>
              </w:tc>
              <w:tc>
                <w:tcPr>
                  <w:tcW w:w="1281" w:type="dxa"/>
                  <w:tcBorders>
                    <w:top w:val="single" w:sz="6" w:space="0" w:color="auto"/>
                    <w:left w:val="single" w:sz="6" w:space="0" w:color="auto"/>
                    <w:bottom w:val="single" w:sz="6" w:space="0" w:color="auto"/>
                    <w:right w:val="single" w:sz="6" w:space="0" w:color="auto"/>
                  </w:tcBorders>
                  <w:hideMark/>
                </w:tcPr>
                <w:p w14:paraId="6D798324"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Digital solution </w:t>
                  </w:r>
                  <w:r w:rsidRPr="006F001C">
                    <w:rPr>
                      <w:rFonts w:eastAsia="Times New Roman"/>
                      <w:noProof/>
                      <w:sz w:val="22"/>
                      <w:lang w:val="en-IE" w:eastAsia="en-IE"/>
                    </w:rPr>
                    <w:t> </w:t>
                  </w:r>
                </w:p>
                <w:p w14:paraId="69A8FAB4"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Digital public service </w:t>
                  </w:r>
                  <w:r w:rsidRPr="006F001C">
                    <w:rPr>
                      <w:rFonts w:eastAsia="Times New Roman"/>
                      <w:noProof/>
                      <w:sz w:val="22"/>
                      <w:lang w:val="en-IE" w:eastAsia="en-IE"/>
                    </w:rPr>
                    <w:t> </w:t>
                  </w:r>
                </w:p>
                <w:p w14:paraId="12A6CAB2"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flow</w:t>
                  </w:r>
                  <w:r w:rsidRPr="006F001C">
                    <w:rPr>
                      <w:rFonts w:eastAsia="Times New Roman"/>
                      <w:noProof/>
                      <w:sz w:val="22"/>
                      <w:lang w:val="en-IE" w:eastAsia="en-IE"/>
                    </w:rPr>
                    <w:t> </w:t>
                  </w:r>
                </w:p>
                <w:p w14:paraId="23BAD972"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val="en-IE" w:eastAsia="en-IE"/>
                    </w:rPr>
                    <w:t> </w:t>
                  </w:r>
                </w:p>
              </w:tc>
            </w:tr>
            <w:tr w:rsidR="007A5304" w:rsidRPr="006F001C" w14:paraId="15C5F1E1" w14:textId="77777777">
              <w:trPr>
                <w:trHeight w:val="1470"/>
              </w:trPr>
              <w:tc>
                <w:tcPr>
                  <w:tcW w:w="2887" w:type="dxa"/>
                  <w:tcBorders>
                    <w:top w:val="single" w:sz="6" w:space="0" w:color="auto"/>
                    <w:left w:val="single" w:sz="6" w:space="0" w:color="auto"/>
                    <w:bottom w:val="single" w:sz="6" w:space="0" w:color="auto"/>
                    <w:right w:val="single" w:sz="6" w:space="0" w:color="auto"/>
                  </w:tcBorders>
                  <w:hideMark/>
                </w:tcPr>
                <w:p w14:paraId="49323323"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Article 17</w:t>
                  </w:r>
                  <w:r w:rsidRPr="006F001C">
                    <w:rPr>
                      <w:rFonts w:eastAsia="Times New Roman"/>
                      <w:noProof/>
                      <w:sz w:val="22"/>
                      <w:lang w:val="en-IE" w:eastAsia="en-IE"/>
                    </w:rPr>
                    <w:t> </w:t>
                  </w:r>
                </w:p>
                <w:p w14:paraId="25E0955E"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Cybersecurity certification</w:t>
                  </w:r>
                  <w:r w:rsidRPr="006F001C">
                    <w:rPr>
                      <w:rFonts w:eastAsia="Times New Roman"/>
                      <w:noProof/>
                      <w:sz w:val="22"/>
                      <w:lang w:val="en-IE" w:eastAsia="en-IE"/>
                    </w:rPr>
                    <w:t> </w:t>
                  </w:r>
                </w:p>
                <w:p w14:paraId="33CEEDD9"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val="en-IE" w:eastAsia="en-IE"/>
                    </w:rPr>
                    <w:t> </w:t>
                  </w:r>
                </w:p>
                <w:p w14:paraId="2487683D"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Article 18</w:t>
                  </w:r>
                  <w:r w:rsidRPr="006F001C">
                    <w:rPr>
                      <w:rFonts w:eastAsia="Times New Roman"/>
                      <w:noProof/>
                      <w:sz w:val="22"/>
                      <w:lang w:val="en-IE" w:eastAsia="en-IE"/>
                    </w:rPr>
                    <w:t> </w:t>
                  </w:r>
                </w:p>
                <w:p w14:paraId="79B6ADCB"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Standardisation, technical specifications and guidance</w:t>
                  </w:r>
                  <w:r w:rsidRPr="006F001C">
                    <w:rPr>
                      <w:rFonts w:eastAsia="Times New Roman"/>
                      <w:noProof/>
                      <w:sz w:val="22"/>
                      <w:lang w:val="en-IE" w:eastAsia="en-IE"/>
                    </w:rPr>
                    <w:t> </w:t>
                  </w:r>
                </w:p>
              </w:tc>
              <w:tc>
                <w:tcPr>
                  <w:tcW w:w="4332" w:type="dxa"/>
                  <w:tcBorders>
                    <w:top w:val="single" w:sz="6" w:space="0" w:color="auto"/>
                    <w:left w:val="single" w:sz="6" w:space="0" w:color="auto"/>
                    <w:bottom w:val="single" w:sz="6" w:space="0" w:color="auto"/>
                    <w:right w:val="single" w:sz="6" w:space="0" w:color="auto"/>
                  </w:tcBorders>
                  <w:hideMark/>
                </w:tcPr>
                <w:p w14:paraId="70364971"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Article 17(1)</w:t>
                  </w:r>
                  <w:r w:rsidRPr="006F001C">
                    <w:rPr>
                      <w:rFonts w:eastAsia="Times New Roman"/>
                      <w:noProof/>
                      <w:sz w:val="22"/>
                      <w:lang w:val="en-IE" w:eastAsia="en-IE"/>
                    </w:rPr>
                    <w:t> </w:t>
                  </w:r>
                </w:p>
                <w:p w14:paraId="6DAC6843"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 </w:t>
                  </w:r>
                  <w:r w:rsidRPr="006F001C">
                    <w:rPr>
                      <w:rFonts w:eastAsia="Times New Roman"/>
                      <w:b/>
                      <w:bCs/>
                      <w:noProof/>
                      <w:sz w:val="22"/>
                      <w:lang w:eastAsia="en-IE"/>
                    </w:rPr>
                    <w:t>preparing candidate European cybersecurity certification schemes (‘candidate schemes’)</w:t>
                  </w:r>
                  <w:r w:rsidRPr="006F001C">
                    <w:rPr>
                      <w:rFonts w:eastAsia="Times New Roman"/>
                      <w:noProof/>
                      <w:sz w:val="22"/>
                      <w:lang w:eastAsia="en-IE"/>
                    </w:rPr>
                    <w:t xml:space="preserve"> for ICT products, ICT services, ICT processes, managed security services </w:t>
                  </w:r>
                  <w:r>
                    <w:rPr>
                      <w:rFonts w:eastAsia="Times New Roman"/>
                      <w:noProof/>
                      <w:sz w:val="22"/>
                      <w:lang w:eastAsia="en-IE"/>
                    </w:rPr>
                    <w:t>and the</w:t>
                  </w:r>
                  <w:r w:rsidRPr="006F001C">
                    <w:rPr>
                      <w:rFonts w:eastAsia="Times New Roman"/>
                      <w:noProof/>
                      <w:sz w:val="22"/>
                      <w:lang w:eastAsia="en-IE"/>
                    </w:rPr>
                    <w:t xml:space="preserve"> cyber posture of entities, and related technical specifications in accordance with Article 74;</w:t>
                  </w:r>
                  <w:r w:rsidRPr="006F001C">
                    <w:rPr>
                      <w:rFonts w:eastAsia="Times New Roman"/>
                      <w:noProof/>
                      <w:sz w:val="22"/>
                      <w:lang w:val="en-IE" w:eastAsia="en-IE"/>
                    </w:rPr>
                    <w:t> </w:t>
                  </w:r>
                </w:p>
                <w:p w14:paraId="0A28C80E" w14:textId="77777777" w:rsidR="007A5304" w:rsidRDefault="007A5304">
                  <w:pPr>
                    <w:spacing w:before="0" w:after="0"/>
                    <w:textAlignment w:val="baseline"/>
                    <w:rPr>
                      <w:rFonts w:eastAsia="Times New Roman"/>
                      <w:noProof/>
                      <w:sz w:val="22"/>
                      <w:lang w:val="en-IE" w:eastAsia="en-IE"/>
                    </w:rPr>
                  </w:pPr>
                  <w:r w:rsidRPr="006F001C">
                    <w:rPr>
                      <w:rFonts w:eastAsia="Times New Roman"/>
                      <w:noProof/>
                      <w:sz w:val="22"/>
                      <w:lang w:eastAsia="en-IE"/>
                    </w:rPr>
                    <w:t>(b) </w:t>
                  </w:r>
                  <w:r w:rsidRPr="006F001C">
                    <w:rPr>
                      <w:rFonts w:eastAsia="Times New Roman"/>
                      <w:b/>
                      <w:bCs/>
                      <w:noProof/>
                      <w:sz w:val="22"/>
                      <w:lang w:eastAsia="en-IE"/>
                    </w:rPr>
                    <w:t>maintaining adopted European cybersecurity certification schemes</w:t>
                  </w:r>
                  <w:r w:rsidRPr="006F001C">
                    <w:rPr>
                      <w:rFonts w:eastAsia="Times New Roman"/>
                      <w:noProof/>
                      <w:sz w:val="22"/>
                      <w:lang w:eastAsia="en-IE"/>
                    </w:rPr>
                    <w:t> in accordance with Article 75, including in view of a possible review of the adopted European cybersecurity certification schemes in accordance with Article 76;</w:t>
                  </w:r>
                  <w:r w:rsidRPr="006F001C">
                    <w:rPr>
                      <w:rFonts w:eastAsia="Times New Roman"/>
                      <w:noProof/>
                      <w:sz w:val="22"/>
                      <w:lang w:val="en-IE" w:eastAsia="en-IE"/>
                    </w:rPr>
                    <w:t> </w:t>
                  </w:r>
                </w:p>
                <w:p w14:paraId="598F8259"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Pr>
                      <w:noProof/>
                      <w:lang w:val="en-IE"/>
                    </w:rPr>
                    <w:t xml:space="preserve">(c) promoting </w:t>
                  </w:r>
                  <w:r>
                    <w:rPr>
                      <w:noProof/>
                    </w:rPr>
                    <w:t xml:space="preserve">the uptake of adopted schemes and </w:t>
                  </w:r>
                  <w:r w:rsidRPr="00502FEF">
                    <w:rPr>
                      <w:noProof/>
                    </w:rPr>
                    <w:t xml:space="preserve">maintaining </w:t>
                  </w:r>
                  <w:r w:rsidRPr="00502FEF">
                    <w:rPr>
                      <w:rFonts w:eastAsia="Times New Roman"/>
                      <w:noProof/>
                      <w:color w:val="000000"/>
                      <w:lang w:eastAsia="en-IE"/>
                    </w:rPr>
                    <w:t xml:space="preserve">a dedicated website providing information on, and publicising, European cybersecurity certification schemes, European cybersecurity certificates and EU statements of conformity </w:t>
                  </w:r>
                  <w:r w:rsidRPr="00502FEF">
                    <w:rPr>
                      <w:noProof/>
                    </w:rPr>
                    <w:t xml:space="preserve">in accordance with Article </w:t>
                  </w:r>
                  <w:r>
                    <w:rPr>
                      <w:noProof/>
                    </w:rPr>
                    <w:t>79;</w:t>
                  </w:r>
                </w:p>
                <w:p w14:paraId="71887230" w14:textId="77777777" w:rsidR="007A5304" w:rsidRPr="00604C8C" w:rsidRDefault="007A5304">
                  <w:pPr>
                    <w:spacing w:before="0" w:after="0"/>
                    <w:textAlignment w:val="baseline"/>
                    <w:rPr>
                      <w:rFonts w:ascii="Segoe UI" w:eastAsia="Times New Roman" w:hAnsi="Segoe UI" w:cs="Segoe UI"/>
                      <w:noProof/>
                      <w:sz w:val="18"/>
                      <w:szCs w:val="18"/>
                      <w:lang w:eastAsia="en-IE"/>
                    </w:rPr>
                  </w:pPr>
                </w:p>
                <w:p w14:paraId="1A917DD2"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Article 17(2)</w:t>
                  </w:r>
                  <w:r w:rsidRPr="006F001C">
                    <w:rPr>
                      <w:rFonts w:eastAsia="Times New Roman"/>
                      <w:noProof/>
                      <w:sz w:val="22"/>
                      <w:lang w:val="en-IE" w:eastAsia="en-IE"/>
                    </w:rPr>
                    <w:t> </w:t>
                  </w:r>
                </w:p>
                <w:p w14:paraId="5A94A7CC"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w:t>
                  </w:r>
                  <w:r w:rsidRPr="006F001C">
                    <w:rPr>
                      <w:rFonts w:eastAsia="Times New Roman"/>
                      <w:b/>
                      <w:bCs/>
                      <w:noProof/>
                      <w:sz w:val="22"/>
                      <w:lang w:eastAsia="en-IE"/>
                    </w:rPr>
                    <w:t> preparing</w:t>
                  </w:r>
                  <w:r w:rsidRPr="006F001C">
                    <w:rPr>
                      <w:rFonts w:eastAsia="Times New Roman"/>
                      <w:noProof/>
                      <w:sz w:val="22"/>
                      <w:lang w:eastAsia="en-IE"/>
                    </w:rPr>
                    <w:t xml:space="preserve"> model provisions to be referenced in the European cybersecurity certification schemes (‘candidate schemes’) for ICT products, ICT services, ICT processes, managed security services </w:t>
                  </w:r>
                  <w:r>
                    <w:rPr>
                      <w:rFonts w:eastAsia="Times New Roman"/>
                      <w:noProof/>
                      <w:sz w:val="22"/>
                      <w:lang w:eastAsia="en-IE"/>
                    </w:rPr>
                    <w:t>and</w:t>
                  </w:r>
                  <w:r w:rsidRPr="006F001C">
                    <w:rPr>
                      <w:rFonts w:eastAsia="Times New Roman"/>
                      <w:noProof/>
                      <w:sz w:val="22"/>
                      <w:lang w:eastAsia="en-IE"/>
                    </w:rPr>
                    <w:t xml:space="preserve"> cyber posture of entities in accordance with Article 81(5).</w:t>
                  </w:r>
                  <w:r w:rsidRPr="006F001C">
                    <w:rPr>
                      <w:rFonts w:eastAsia="Times New Roman"/>
                      <w:noProof/>
                      <w:sz w:val="22"/>
                      <w:lang w:val="en-IE" w:eastAsia="en-IE"/>
                    </w:rPr>
                    <w:t> </w:t>
                  </w:r>
                </w:p>
                <w:p w14:paraId="13F61407"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val="en-IE" w:eastAsia="en-IE"/>
                    </w:rPr>
                    <w:t> </w:t>
                  </w:r>
                </w:p>
                <w:p w14:paraId="626B1EFE"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Article 18</w:t>
                  </w:r>
                  <w:r w:rsidRPr="006F001C">
                    <w:rPr>
                      <w:rFonts w:eastAsia="Times New Roman"/>
                      <w:noProof/>
                      <w:sz w:val="22"/>
                      <w:lang w:val="en-IE" w:eastAsia="en-IE"/>
                    </w:rPr>
                    <w:t> </w:t>
                  </w:r>
                </w:p>
                <w:p w14:paraId="4290D6EE"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1. ENISA shall draft technical specifications and guidance to support the implementation of Union legislation</w:t>
                  </w:r>
                  <w:r>
                    <w:rPr>
                      <w:rFonts w:eastAsia="Times New Roman"/>
                      <w:noProof/>
                      <w:sz w:val="22"/>
                      <w:lang w:eastAsia="en-IE"/>
                    </w:rPr>
                    <w:t xml:space="preserve"> in the field of cybersecurity</w:t>
                  </w:r>
                  <w:r w:rsidRPr="006F001C">
                    <w:rPr>
                      <w:rFonts w:eastAsia="Times New Roman"/>
                      <w:noProof/>
                      <w:sz w:val="22"/>
                      <w:lang w:eastAsia="en-IE"/>
                    </w:rPr>
                    <w:t>.</w:t>
                  </w:r>
                  <w:r w:rsidRPr="006F001C">
                    <w:rPr>
                      <w:rFonts w:eastAsia="Times New Roman"/>
                      <w:noProof/>
                      <w:sz w:val="22"/>
                      <w:lang w:val="en-IE" w:eastAsia="en-IE"/>
                    </w:rPr>
                    <w:t> </w:t>
                  </w:r>
                </w:p>
                <w:p w14:paraId="49924E70" w14:textId="77777777" w:rsidR="007A5304" w:rsidRPr="00291CE2" w:rsidRDefault="007A5304">
                  <w:pPr>
                    <w:spacing w:before="0" w:after="0"/>
                    <w:textAlignment w:val="baseline"/>
                    <w:rPr>
                      <w:rFonts w:eastAsia="Times New Roman"/>
                      <w:noProof/>
                      <w:sz w:val="22"/>
                      <w:lang w:val="en-IE" w:eastAsia="en-IE"/>
                    </w:rPr>
                  </w:pPr>
                  <w:r w:rsidRPr="006F001C">
                    <w:rPr>
                      <w:rFonts w:eastAsia="Times New Roman"/>
                      <w:noProof/>
                      <w:sz w:val="22"/>
                      <w:lang w:eastAsia="en-IE"/>
                    </w:rPr>
                    <w:t>2. ENISA shall </w:t>
                  </w:r>
                  <w:r w:rsidRPr="006F001C">
                    <w:rPr>
                      <w:rFonts w:eastAsia="Times New Roman"/>
                      <w:b/>
                      <w:bCs/>
                      <w:noProof/>
                      <w:sz w:val="22"/>
                      <w:lang w:eastAsia="en-IE"/>
                    </w:rPr>
                    <w:t>monitor, participate and lead in standardisation developments</w:t>
                  </w:r>
                  <w:r w:rsidRPr="006F001C">
                    <w:rPr>
                      <w:rFonts w:eastAsia="Times New Roman"/>
                      <w:noProof/>
                      <w:sz w:val="22"/>
                      <w:lang w:eastAsia="en-IE"/>
                    </w:rPr>
                    <w:t xml:space="preserve"> activities at </w:t>
                  </w:r>
                  <w:r>
                    <w:rPr>
                      <w:rFonts w:eastAsia="Times New Roman"/>
                      <w:noProof/>
                      <w:sz w:val="22"/>
                      <w:lang w:eastAsia="en-IE"/>
                    </w:rPr>
                    <w:t>Union level</w:t>
                  </w:r>
                  <w:r w:rsidRPr="006F001C">
                    <w:rPr>
                      <w:rFonts w:eastAsia="Times New Roman"/>
                      <w:noProof/>
                      <w:sz w:val="22"/>
                      <w:lang w:eastAsia="en-IE"/>
                    </w:rPr>
                    <w:t xml:space="preserve"> and, in accordance with Article 9, at </w:t>
                  </w:r>
                  <w:r w:rsidRPr="004A164A">
                    <w:rPr>
                      <w:rFonts w:eastAsia="Times New Roman"/>
                      <w:noProof/>
                      <w:sz w:val="22"/>
                      <w:lang w:eastAsia="en-IE"/>
                    </w:rPr>
                    <w:t>international level.</w:t>
                  </w:r>
                  <w:r w:rsidRPr="004A164A">
                    <w:rPr>
                      <w:rFonts w:eastAsia="Times New Roman"/>
                      <w:noProof/>
                      <w:sz w:val="22"/>
                      <w:lang w:val="en-IE" w:eastAsia="en-IE"/>
                    </w:rPr>
                    <w:t> </w:t>
                  </w:r>
                </w:p>
                <w:p w14:paraId="0CD800B2" w14:textId="77777777" w:rsidR="007A5304" w:rsidRPr="00291CE2" w:rsidRDefault="007A5304">
                  <w:pPr>
                    <w:spacing w:before="0" w:after="0"/>
                    <w:textAlignment w:val="baseline"/>
                    <w:rPr>
                      <w:rFonts w:eastAsia="Times New Roman"/>
                      <w:noProof/>
                      <w:sz w:val="22"/>
                      <w:lang w:val="en-IE" w:eastAsia="en-IE"/>
                    </w:rPr>
                  </w:pPr>
                  <w:r w:rsidRPr="004A164A">
                    <w:rPr>
                      <w:rFonts w:eastAsia="Times New Roman"/>
                      <w:noProof/>
                      <w:sz w:val="22"/>
                      <w:lang w:eastAsia="en-IE"/>
                    </w:rPr>
                    <w:t>3. </w:t>
                  </w:r>
                  <w:r w:rsidRPr="00291CE2">
                    <w:rPr>
                      <w:rFonts w:eastAsia="Times New Roman"/>
                      <w:noProof/>
                      <w:sz w:val="22"/>
                      <w:lang w:val="en-IE" w:eastAsia="en-IE"/>
                    </w:rPr>
                    <w:t xml:space="preserve">ENISA shall support the development and evaluation of cryptographic algorithms. Where an evaluated cryptographic algorithm is evaluated positively, ENISA shall cooperate, in accordance with Regulation (EU) No 1025/2012, with the European standardisation bodies to support its standardisation. </w:t>
                  </w:r>
                </w:p>
                <w:p w14:paraId="559F769E" w14:textId="1D8651C4" w:rsidR="007A5304" w:rsidRPr="006F001C" w:rsidRDefault="007A5304">
                  <w:pPr>
                    <w:spacing w:before="0" w:after="0"/>
                    <w:textAlignment w:val="baseline"/>
                    <w:rPr>
                      <w:rFonts w:ascii="Segoe UI" w:eastAsia="Times New Roman" w:hAnsi="Segoe UI" w:cs="Segoe UI"/>
                      <w:noProof/>
                      <w:sz w:val="18"/>
                      <w:szCs w:val="18"/>
                      <w:lang w:val="en-IE" w:eastAsia="en-IE"/>
                    </w:rPr>
                  </w:pPr>
                  <w:r w:rsidRPr="004A164A">
                    <w:rPr>
                      <w:rFonts w:eastAsia="Times New Roman"/>
                      <w:noProof/>
                      <w:sz w:val="22"/>
                      <w:lang w:eastAsia="en-IE"/>
                    </w:rPr>
                    <w:t>4. ENISA shall </w:t>
                  </w:r>
                  <w:r w:rsidRPr="004A164A">
                    <w:rPr>
                      <w:rFonts w:eastAsia="Times New Roman"/>
                      <w:b/>
                      <w:bCs/>
                      <w:noProof/>
                      <w:sz w:val="22"/>
                      <w:lang w:eastAsia="en-IE"/>
                    </w:rPr>
                    <w:t>provide technical expertise</w:t>
                  </w:r>
                  <w:r w:rsidRPr="004A164A">
                    <w:rPr>
                      <w:rFonts w:eastAsia="Times New Roman"/>
                      <w:noProof/>
                      <w:sz w:val="22"/>
                      <w:lang w:eastAsia="en-IE"/>
                    </w:rPr>
                    <w:t xml:space="preserve"> to the Commission and the </w:t>
                  </w:r>
                  <w:r>
                    <w:rPr>
                      <w:rFonts w:eastAsia="Times New Roman"/>
                      <w:noProof/>
                      <w:sz w:val="22"/>
                      <w:lang w:eastAsia="en-IE"/>
                    </w:rPr>
                    <w:t>ECCG</w:t>
                  </w:r>
                  <w:r w:rsidRPr="006F001C">
                    <w:rPr>
                      <w:rFonts w:eastAsia="Times New Roman"/>
                      <w:noProof/>
                      <w:sz w:val="22"/>
                      <w:lang w:eastAsia="en-IE"/>
                    </w:rPr>
                    <w:t> on appropriate standards or technical specifications in support of Union policies related to cybersecurity,</w:t>
                  </w:r>
                  <w:r>
                    <w:rPr>
                      <w:noProof/>
                    </w:rPr>
                    <w:t xml:space="preserve"> </w:t>
                  </w:r>
                  <w:r w:rsidR="003E0F0A">
                    <w:rPr>
                      <w:noProof/>
                    </w:rPr>
                    <w:t xml:space="preserve">in particular Regulation (EU) 2024/2847, </w:t>
                  </w:r>
                  <w:r w:rsidRPr="006F001C">
                    <w:rPr>
                      <w:rFonts w:eastAsia="Times New Roman"/>
                      <w:noProof/>
                      <w:sz w:val="22"/>
                      <w:lang w:eastAsia="en-IE"/>
                    </w:rPr>
                    <w:t xml:space="preserve"> including for Union harmonisation legislation </w:t>
                  </w:r>
                  <w:r>
                    <w:rPr>
                      <w:rFonts w:eastAsia="Times New Roman"/>
                      <w:noProof/>
                      <w:sz w:val="22"/>
                      <w:lang w:eastAsia="en-IE"/>
                    </w:rPr>
                    <w:t xml:space="preserve">in the field of cybersecurity </w:t>
                  </w:r>
                  <w:r w:rsidRPr="006F001C">
                    <w:rPr>
                      <w:rFonts w:eastAsia="Times New Roman"/>
                      <w:noProof/>
                      <w:sz w:val="22"/>
                      <w:lang w:eastAsia="en-IE"/>
                    </w:rPr>
                    <w:t>and European cybersecurity certification schemes pursuant to point (d) of Article 81(1)</w:t>
                  </w:r>
                  <w:r>
                    <w:rPr>
                      <w:rFonts w:eastAsia="Times New Roman"/>
                      <w:noProof/>
                      <w:sz w:val="22"/>
                      <w:lang w:eastAsia="en-IE"/>
                    </w:rPr>
                    <w:t>, point (d)</w:t>
                  </w:r>
                  <w:r w:rsidRPr="006F001C">
                    <w:rPr>
                      <w:rFonts w:eastAsia="Times New Roman"/>
                      <w:noProof/>
                      <w:sz w:val="22"/>
                      <w:lang w:eastAsia="en-IE"/>
                    </w:rPr>
                    <w:t>. </w:t>
                  </w:r>
                  <w:r w:rsidRPr="006F001C">
                    <w:rPr>
                      <w:rFonts w:eastAsia="Times New Roman"/>
                      <w:noProof/>
                      <w:sz w:val="22"/>
                      <w:lang w:val="en-IE" w:eastAsia="en-IE"/>
                    </w:rPr>
                    <w:t> </w:t>
                  </w:r>
                </w:p>
                <w:p w14:paraId="61966FF3"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5. ENISA shall assist the Commission in the assessment of draft harmonised standards to support the implementation of Union harmonisation legislation in the field of cybersecurity.</w:t>
                  </w:r>
                  <w:r w:rsidRPr="006F001C">
                    <w:rPr>
                      <w:rFonts w:eastAsia="Times New Roman"/>
                      <w:noProof/>
                      <w:sz w:val="22"/>
                      <w:lang w:val="en-IE" w:eastAsia="en-IE"/>
                    </w:rPr>
                    <w:t> </w:t>
                  </w:r>
                </w:p>
              </w:tc>
              <w:tc>
                <w:tcPr>
                  <w:tcW w:w="3015" w:type="dxa"/>
                  <w:tcBorders>
                    <w:top w:val="single" w:sz="6" w:space="0" w:color="auto"/>
                    <w:left w:val="single" w:sz="6" w:space="0" w:color="auto"/>
                    <w:bottom w:val="single" w:sz="6" w:space="0" w:color="auto"/>
                    <w:right w:val="single" w:sz="6" w:space="0" w:color="auto"/>
                  </w:tcBorders>
                  <w:hideMark/>
                </w:tcPr>
                <w:p w14:paraId="6351B456"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ENISA</w:t>
                  </w:r>
                  <w:r w:rsidRPr="006F001C">
                    <w:rPr>
                      <w:rFonts w:eastAsia="Times New Roman"/>
                      <w:noProof/>
                      <w:sz w:val="22"/>
                      <w:lang w:val="en-IE" w:eastAsia="en-IE"/>
                    </w:rPr>
                    <w:t> </w:t>
                  </w:r>
                </w:p>
                <w:p w14:paraId="50803922"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General public</w:t>
                  </w:r>
                  <w:r w:rsidRPr="006F001C">
                    <w:rPr>
                      <w:rFonts w:eastAsia="Times New Roman"/>
                      <w:noProof/>
                      <w:sz w:val="22"/>
                      <w:lang w:val="en-IE" w:eastAsia="en-IE"/>
                    </w:rPr>
                    <w:t> </w:t>
                  </w:r>
                </w:p>
              </w:tc>
              <w:tc>
                <w:tcPr>
                  <w:tcW w:w="3040" w:type="dxa"/>
                  <w:tcBorders>
                    <w:top w:val="single" w:sz="6" w:space="0" w:color="auto"/>
                    <w:left w:val="single" w:sz="6" w:space="0" w:color="auto"/>
                    <w:bottom w:val="single" w:sz="6" w:space="0" w:color="auto"/>
                    <w:right w:val="single" w:sz="6" w:space="0" w:color="auto"/>
                  </w:tcBorders>
                  <w:hideMark/>
                </w:tcPr>
                <w:p w14:paraId="621CAAC9"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Analysing data and exchanging data flows with the Commission and other stakeholders; preparing candidate certification scheme; maintaining ENISA website</w:t>
                  </w:r>
                  <w:r w:rsidRPr="006F001C">
                    <w:rPr>
                      <w:rFonts w:eastAsia="Times New Roman"/>
                      <w:noProof/>
                      <w:sz w:val="22"/>
                      <w:lang w:val="en-IE" w:eastAsia="en-IE"/>
                    </w:rPr>
                    <w:t> </w:t>
                  </w:r>
                </w:p>
              </w:tc>
              <w:tc>
                <w:tcPr>
                  <w:tcW w:w="1281" w:type="dxa"/>
                  <w:tcBorders>
                    <w:top w:val="single" w:sz="6" w:space="0" w:color="auto"/>
                    <w:left w:val="single" w:sz="6" w:space="0" w:color="auto"/>
                    <w:bottom w:val="single" w:sz="6" w:space="0" w:color="auto"/>
                    <w:right w:val="single" w:sz="6" w:space="0" w:color="auto"/>
                  </w:tcBorders>
                  <w:hideMark/>
                </w:tcPr>
                <w:p w14:paraId="00D0CE45"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processing</w:t>
                  </w:r>
                  <w:r w:rsidRPr="006F001C">
                    <w:rPr>
                      <w:rFonts w:eastAsia="Times New Roman"/>
                      <w:noProof/>
                      <w:sz w:val="22"/>
                      <w:lang w:val="en-IE" w:eastAsia="en-IE"/>
                    </w:rPr>
                    <w:t> </w:t>
                  </w:r>
                </w:p>
                <w:p w14:paraId="6585DA19"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flows</w:t>
                  </w:r>
                  <w:r w:rsidRPr="006F001C">
                    <w:rPr>
                      <w:rFonts w:eastAsia="Times New Roman"/>
                      <w:noProof/>
                      <w:sz w:val="22"/>
                      <w:lang w:val="en-IE" w:eastAsia="en-IE"/>
                    </w:rPr>
                    <w:t> </w:t>
                  </w:r>
                </w:p>
                <w:p w14:paraId="5B0CD14A"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Digital public service</w:t>
                  </w:r>
                  <w:r w:rsidRPr="006F001C">
                    <w:rPr>
                      <w:rFonts w:eastAsia="Times New Roman"/>
                      <w:noProof/>
                      <w:sz w:val="22"/>
                      <w:lang w:val="en-IE" w:eastAsia="en-IE"/>
                    </w:rPr>
                    <w:t> </w:t>
                  </w:r>
                </w:p>
              </w:tc>
            </w:tr>
            <w:tr w:rsidR="007A5304" w:rsidRPr="006F001C" w14:paraId="5DE2A487" w14:textId="77777777">
              <w:trPr>
                <w:trHeight w:val="765"/>
              </w:trPr>
              <w:tc>
                <w:tcPr>
                  <w:tcW w:w="2887" w:type="dxa"/>
                  <w:tcBorders>
                    <w:top w:val="single" w:sz="6" w:space="0" w:color="auto"/>
                    <w:left w:val="single" w:sz="6" w:space="0" w:color="auto"/>
                    <w:bottom w:val="single" w:sz="6" w:space="0" w:color="auto"/>
                    <w:right w:val="single" w:sz="6" w:space="0" w:color="auto"/>
                  </w:tcBorders>
                  <w:hideMark/>
                </w:tcPr>
                <w:p w14:paraId="65DD1117"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Article 19 – European Cybersecurity Skills Framework</w:t>
                  </w:r>
                  <w:r w:rsidRPr="006F001C">
                    <w:rPr>
                      <w:rFonts w:eastAsia="Times New Roman"/>
                      <w:noProof/>
                      <w:sz w:val="22"/>
                      <w:lang w:val="en-IE" w:eastAsia="en-IE"/>
                    </w:rPr>
                    <w:t> </w:t>
                  </w:r>
                </w:p>
                <w:p w14:paraId="6CE57CB7"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val="en-IE" w:eastAsia="en-IE"/>
                    </w:rPr>
                    <w:t> </w:t>
                  </w:r>
                </w:p>
                <w:p w14:paraId="3AEE5EC2"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val="en-IE" w:eastAsia="en-IE"/>
                    </w:rPr>
                    <w:t> </w:t>
                  </w:r>
                </w:p>
                <w:p w14:paraId="65B61011"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val="en-IE" w:eastAsia="en-IE"/>
                    </w:rPr>
                    <w:t> </w:t>
                  </w:r>
                </w:p>
                <w:p w14:paraId="149342FB"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val="en-IE" w:eastAsia="en-IE"/>
                    </w:rPr>
                    <w:t> </w:t>
                  </w:r>
                </w:p>
                <w:p w14:paraId="707D52C0"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val="en-IE" w:eastAsia="en-IE"/>
                    </w:rPr>
                    <w:t> </w:t>
                  </w:r>
                </w:p>
                <w:p w14:paraId="12DC791A"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val="en-IE" w:eastAsia="en-IE"/>
                    </w:rPr>
                    <w:t> </w:t>
                  </w:r>
                </w:p>
                <w:p w14:paraId="2F1E9CE8"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val="en-IE" w:eastAsia="en-IE"/>
                    </w:rPr>
                    <w:t> </w:t>
                  </w:r>
                </w:p>
              </w:tc>
              <w:tc>
                <w:tcPr>
                  <w:tcW w:w="4332" w:type="dxa"/>
                  <w:tcBorders>
                    <w:top w:val="single" w:sz="6" w:space="0" w:color="auto"/>
                    <w:left w:val="single" w:sz="6" w:space="0" w:color="auto"/>
                    <w:bottom w:val="single" w:sz="6" w:space="0" w:color="auto"/>
                    <w:right w:val="single" w:sz="6" w:space="0" w:color="auto"/>
                  </w:tcBorders>
                  <w:hideMark/>
                </w:tcPr>
                <w:p w14:paraId="44764E8B" w14:textId="77777777" w:rsidR="007A5304" w:rsidRPr="00291CE2" w:rsidRDefault="007A5304">
                  <w:pPr>
                    <w:spacing w:before="0" w:after="0"/>
                    <w:textAlignment w:val="baseline"/>
                    <w:rPr>
                      <w:rFonts w:eastAsia="Times New Roman"/>
                      <w:b/>
                      <w:bCs/>
                      <w:noProof/>
                      <w:sz w:val="22"/>
                      <w:lang w:val="en-IE" w:eastAsia="en-IE"/>
                    </w:rPr>
                  </w:pPr>
                  <w:r w:rsidRPr="00291CE2">
                    <w:rPr>
                      <w:rFonts w:eastAsia="Times New Roman"/>
                      <w:noProof/>
                      <w:sz w:val="22"/>
                      <w:lang w:val="en-IE" w:eastAsia="en-IE"/>
                    </w:rPr>
                    <w:t xml:space="preserve">ENISA </w:t>
                  </w:r>
                  <w:r w:rsidRPr="00291CE2">
                    <w:rPr>
                      <w:rFonts w:eastAsia="Times New Roman"/>
                      <w:b/>
                      <w:bCs/>
                      <w:noProof/>
                      <w:sz w:val="22"/>
                      <w:lang w:val="en-IE" w:eastAsia="en-IE"/>
                    </w:rPr>
                    <w:t>shall develop and make publicly available a European Cybersecurity Skills framework (‘ECSF’)</w:t>
                  </w:r>
                  <w:r w:rsidRPr="00291CE2">
                    <w:rPr>
                      <w:rFonts w:eastAsia="Times New Roman"/>
                      <w:noProof/>
                      <w:sz w:val="22"/>
                      <w:lang w:val="en-IE" w:eastAsia="en-IE"/>
                    </w:rPr>
                    <w:t xml:space="preserve">. Before making the ECSF publicly available  or updating it  pursuant to paragraph 4, ENISA shall </w:t>
                  </w:r>
                  <w:r w:rsidRPr="00291CE2">
                    <w:rPr>
                      <w:rFonts w:eastAsia="Times New Roman"/>
                      <w:b/>
                      <w:bCs/>
                      <w:noProof/>
                      <w:sz w:val="22"/>
                      <w:lang w:val="en-IE" w:eastAsia="en-IE"/>
                    </w:rPr>
                    <w:t>consult the Commission.</w:t>
                  </w:r>
                </w:p>
                <w:p w14:paraId="09AFF14F" w14:textId="77777777" w:rsidR="007A5304" w:rsidRPr="00291CE2" w:rsidRDefault="007A5304">
                  <w:pPr>
                    <w:spacing w:before="0" w:after="0"/>
                    <w:textAlignment w:val="baseline"/>
                    <w:rPr>
                      <w:rFonts w:eastAsia="Times New Roman"/>
                      <w:noProof/>
                      <w:sz w:val="22"/>
                      <w:lang w:val="en-IE" w:eastAsia="en-IE"/>
                    </w:rPr>
                  </w:pPr>
                  <w:r w:rsidRPr="00291CE2">
                    <w:rPr>
                      <w:rFonts w:eastAsia="Times New Roman"/>
                      <w:noProof/>
                      <w:sz w:val="22"/>
                      <w:lang w:val="en-IE" w:eastAsia="en-IE"/>
                    </w:rPr>
                    <w:t xml:space="preserve">The use of the ECSF shall be </w:t>
                  </w:r>
                  <w:r w:rsidRPr="00291CE2">
                    <w:rPr>
                      <w:rFonts w:eastAsia="Times New Roman"/>
                      <w:b/>
                      <w:bCs/>
                      <w:noProof/>
                      <w:sz w:val="22"/>
                      <w:lang w:val="en-IE" w:eastAsia="en-IE"/>
                    </w:rPr>
                    <w:t>voluntary for public and private entities</w:t>
                  </w:r>
                  <w:r w:rsidRPr="00291CE2">
                    <w:rPr>
                      <w:rFonts w:eastAsia="Times New Roman"/>
                      <w:noProof/>
                      <w:sz w:val="22"/>
                      <w:lang w:val="en-IE" w:eastAsia="en-IE"/>
                    </w:rPr>
                    <w:t>.</w:t>
                  </w:r>
                </w:p>
                <w:p w14:paraId="3DC909C3" w14:textId="77777777" w:rsidR="007A5304" w:rsidRPr="00291CE2" w:rsidRDefault="007A5304">
                  <w:pPr>
                    <w:spacing w:before="0" w:after="0"/>
                    <w:textAlignment w:val="baseline"/>
                    <w:rPr>
                      <w:rFonts w:eastAsia="Times New Roman"/>
                      <w:noProof/>
                      <w:sz w:val="22"/>
                      <w:lang w:val="en-IE" w:eastAsia="en-IE"/>
                    </w:rPr>
                  </w:pPr>
                  <w:r w:rsidRPr="00291CE2">
                    <w:rPr>
                      <w:rFonts w:eastAsia="Times New Roman"/>
                      <w:noProof/>
                      <w:sz w:val="22"/>
                      <w:lang w:val="en-IE" w:eastAsia="en-IE"/>
                    </w:rPr>
                    <w:t xml:space="preserve">ENISA may </w:t>
                  </w:r>
                  <w:r w:rsidRPr="00291CE2">
                    <w:rPr>
                      <w:rFonts w:eastAsia="Times New Roman"/>
                      <w:b/>
                      <w:bCs/>
                      <w:noProof/>
                      <w:sz w:val="22"/>
                      <w:lang w:val="en-IE" w:eastAsia="en-IE"/>
                    </w:rPr>
                    <w:t>consult stakeholders</w:t>
                  </w:r>
                  <w:r>
                    <w:rPr>
                      <w:rFonts w:eastAsia="Times New Roman"/>
                      <w:b/>
                      <w:bCs/>
                      <w:noProof/>
                      <w:sz w:val="22"/>
                      <w:lang w:val="en-IE" w:eastAsia="en-IE"/>
                    </w:rPr>
                    <w:t xml:space="preserve"> </w:t>
                  </w:r>
                  <w:r w:rsidRPr="00291CE2">
                    <w:rPr>
                      <w:rFonts w:eastAsia="Times New Roman"/>
                      <w:noProof/>
                      <w:sz w:val="22"/>
                      <w:lang w:val="en-IE" w:eastAsia="en-IE"/>
                    </w:rPr>
                    <w:t>in the development and uptake of the ECSF.</w:t>
                  </w:r>
                </w:p>
              </w:tc>
              <w:tc>
                <w:tcPr>
                  <w:tcW w:w="3015" w:type="dxa"/>
                  <w:tcBorders>
                    <w:top w:val="single" w:sz="6" w:space="0" w:color="auto"/>
                    <w:left w:val="single" w:sz="6" w:space="0" w:color="auto"/>
                    <w:bottom w:val="single" w:sz="6" w:space="0" w:color="auto"/>
                    <w:right w:val="single" w:sz="6" w:space="0" w:color="auto"/>
                  </w:tcBorders>
                  <w:hideMark/>
                </w:tcPr>
                <w:p w14:paraId="6488622B"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ENISA</w:t>
                  </w:r>
                  <w:r w:rsidRPr="006F001C">
                    <w:rPr>
                      <w:rFonts w:eastAsia="Times New Roman"/>
                      <w:noProof/>
                      <w:sz w:val="22"/>
                      <w:lang w:val="en-IE" w:eastAsia="en-IE"/>
                    </w:rPr>
                    <w:t> </w:t>
                  </w:r>
                </w:p>
                <w:p w14:paraId="5F2AEDC7"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Commission</w:t>
                  </w:r>
                  <w:r w:rsidRPr="006F001C">
                    <w:rPr>
                      <w:rFonts w:eastAsia="Times New Roman"/>
                      <w:noProof/>
                      <w:sz w:val="22"/>
                      <w:lang w:val="en-IE" w:eastAsia="en-IE"/>
                    </w:rPr>
                    <w:t> </w:t>
                  </w:r>
                </w:p>
                <w:p w14:paraId="0CF0C330"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General public</w:t>
                  </w:r>
                  <w:r w:rsidRPr="006F001C">
                    <w:rPr>
                      <w:rFonts w:eastAsia="Times New Roman"/>
                      <w:noProof/>
                      <w:sz w:val="22"/>
                      <w:lang w:val="en-IE" w:eastAsia="en-IE"/>
                    </w:rPr>
                    <w:t> </w:t>
                  </w:r>
                </w:p>
                <w:p w14:paraId="0B7CBE64"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Member States </w:t>
                  </w:r>
                  <w:r w:rsidRPr="006F001C">
                    <w:rPr>
                      <w:rFonts w:eastAsia="Times New Roman"/>
                      <w:noProof/>
                      <w:sz w:val="22"/>
                      <w:lang w:val="en-IE" w:eastAsia="en-IE"/>
                    </w:rPr>
                    <w:t> </w:t>
                  </w:r>
                </w:p>
                <w:p w14:paraId="4BA0AD69"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EU entities</w:t>
                  </w:r>
                  <w:r w:rsidRPr="006F001C">
                    <w:rPr>
                      <w:rFonts w:eastAsia="Times New Roman"/>
                      <w:noProof/>
                      <w:sz w:val="22"/>
                      <w:lang w:val="en-IE" w:eastAsia="en-IE"/>
                    </w:rPr>
                    <w:t> </w:t>
                  </w:r>
                </w:p>
                <w:p w14:paraId="6E297FFD"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Public and private stakeholders</w:t>
                  </w:r>
                  <w:r w:rsidRPr="006F001C">
                    <w:rPr>
                      <w:rFonts w:eastAsia="Times New Roman"/>
                      <w:noProof/>
                      <w:sz w:val="22"/>
                      <w:lang w:val="en-IE" w:eastAsia="en-IE"/>
                    </w:rPr>
                    <w:t> </w:t>
                  </w:r>
                </w:p>
                <w:p w14:paraId="49200DDD"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val="en-IE" w:eastAsia="en-IE"/>
                    </w:rPr>
                    <w:t> </w:t>
                  </w:r>
                </w:p>
              </w:tc>
              <w:tc>
                <w:tcPr>
                  <w:tcW w:w="3040" w:type="dxa"/>
                  <w:tcBorders>
                    <w:top w:val="single" w:sz="6" w:space="0" w:color="auto"/>
                    <w:left w:val="single" w:sz="6" w:space="0" w:color="auto"/>
                    <w:bottom w:val="single" w:sz="6" w:space="0" w:color="auto"/>
                    <w:right w:val="single" w:sz="6" w:space="0" w:color="auto"/>
                  </w:tcBorders>
                  <w:hideMark/>
                </w:tcPr>
                <w:p w14:paraId="6DC0A1FC"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Maintenance of the ECSF; consultation with stakeholders; uptake of the ECSF  </w:t>
                  </w:r>
                  <w:r w:rsidRPr="006F001C">
                    <w:rPr>
                      <w:rFonts w:eastAsia="Times New Roman"/>
                      <w:noProof/>
                      <w:sz w:val="22"/>
                      <w:lang w:val="en-IE" w:eastAsia="en-IE"/>
                    </w:rPr>
                    <w:t> </w:t>
                  </w:r>
                </w:p>
              </w:tc>
              <w:tc>
                <w:tcPr>
                  <w:tcW w:w="1281" w:type="dxa"/>
                  <w:tcBorders>
                    <w:top w:val="single" w:sz="6" w:space="0" w:color="auto"/>
                    <w:left w:val="single" w:sz="6" w:space="0" w:color="auto"/>
                    <w:bottom w:val="single" w:sz="6" w:space="0" w:color="auto"/>
                    <w:right w:val="single" w:sz="6" w:space="0" w:color="auto"/>
                  </w:tcBorders>
                  <w:hideMark/>
                </w:tcPr>
                <w:p w14:paraId="1213446C"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processing </w:t>
                  </w:r>
                  <w:r w:rsidRPr="006F001C">
                    <w:rPr>
                      <w:rFonts w:eastAsia="Times New Roman"/>
                      <w:noProof/>
                      <w:sz w:val="22"/>
                      <w:lang w:val="en-IE" w:eastAsia="en-IE"/>
                    </w:rPr>
                    <w:t> </w:t>
                  </w:r>
                </w:p>
                <w:p w14:paraId="0834B117"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flow</w:t>
                  </w:r>
                  <w:r w:rsidRPr="006F001C">
                    <w:rPr>
                      <w:rFonts w:eastAsia="Times New Roman"/>
                      <w:noProof/>
                      <w:sz w:val="22"/>
                      <w:lang w:val="en-IE" w:eastAsia="en-IE"/>
                    </w:rPr>
                    <w:t> </w:t>
                  </w:r>
                </w:p>
                <w:p w14:paraId="687A6844"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Digital solution</w:t>
                  </w:r>
                  <w:r w:rsidRPr="006F001C">
                    <w:rPr>
                      <w:rFonts w:eastAsia="Times New Roman"/>
                      <w:noProof/>
                      <w:sz w:val="22"/>
                      <w:lang w:val="en-IE" w:eastAsia="en-IE"/>
                    </w:rPr>
                    <w:t> </w:t>
                  </w:r>
                </w:p>
                <w:p w14:paraId="3AFED949"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val="en-IE" w:eastAsia="en-IE"/>
                    </w:rPr>
                    <w:t> </w:t>
                  </w:r>
                </w:p>
              </w:tc>
            </w:tr>
            <w:tr w:rsidR="007A5304" w:rsidRPr="006F001C" w14:paraId="11CF7C47" w14:textId="77777777">
              <w:trPr>
                <w:trHeight w:val="765"/>
              </w:trPr>
              <w:tc>
                <w:tcPr>
                  <w:tcW w:w="2887" w:type="dxa"/>
                  <w:tcBorders>
                    <w:top w:val="single" w:sz="6" w:space="0" w:color="auto"/>
                    <w:left w:val="single" w:sz="6" w:space="0" w:color="auto"/>
                    <w:bottom w:val="single" w:sz="6" w:space="0" w:color="auto"/>
                    <w:right w:val="single" w:sz="6" w:space="0" w:color="auto"/>
                  </w:tcBorders>
                  <w:hideMark/>
                </w:tcPr>
                <w:p w14:paraId="5ACEB52B"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Articles 20-23 – European individual cybersecurity skills attestation schemes</w:t>
                  </w:r>
                  <w:r w:rsidRPr="006F001C">
                    <w:rPr>
                      <w:rFonts w:eastAsia="Times New Roman"/>
                      <w:noProof/>
                      <w:sz w:val="22"/>
                      <w:lang w:val="en-IE" w:eastAsia="en-IE"/>
                    </w:rPr>
                    <w:t> </w:t>
                  </w:r>
                </w:p>
              </w:tc>
              <w:tc>
                <w:tcPr>
                  <w:tcW w:w="4332" w:type="dxa"/>
                  <w:tcBorders>
                    <w:top w:val="single" w:sz="6" w:space="0" w:color="auto"/>
                    <w:left w:val="single" w:sz="6" w:space="0" w:color="auto"/>
                    <w:bottom w:val="single" w:sz="6" w:space="0" w:color="auto"/>
                    <w:right w:val="single" w:sz="6" w:space="0" w:color="auto"/>
                  </w:tcBorders>
                  <w:hideMark/>
                </w:tcPr>
                <w:p w14:paraId="47092290" w14:textId="77777777" w:rsidR="007A5304" w:rsidRPr="00291CE2" w:rsidRDefault="007A5304">
                  <w:pPr>
                    <w:spacing w:before="0" w:after="0"/>
                    <w:textAlignment w:val="baseline"/>
                    <w:rPr>
                      <w:rFonts w:eastAsia="Times New Roman"/>
                      <w:noProof/>
                      <w:sz w:val="22"/>
                      <w:lang w:val="en-IE" w:eastAsia="en-IE"/>
                    </w:rPr>
                  </w:pPr>
                  <w:r w:rsidRPr="00291CE2">
                    <w:rPr>
                      <w:rFonts w:eastAsia="Times New Roman"/>
                      <w:noProof/>
                      <w:sz w:val="22"/>
                      <w:lang w:eastAsia="en-IE"/>
                    </w:rPr>
                    <w:t xml:space="preserve">ENISA shall </w:t>
                  </w:r>
                  <w:r w:rsidRPr="00291CE2">
                    <w:rPr>
                      <w:rFonts w:eastAsia="Times New Roman"/>
                      <w:b/>
                      <w:bCs/>
                      <w:noProof/>
                      <w:sz w:val="22"/>
                      <w:lang w:eastAsia="en-IE"/>
                    </w:rPr>
                    <w:t>develop, adopt and maintain European individual cybersecurity skills attestation schemes</w:t>
                  </w:r>
                  <w:r w:rsidRPr="00291CE2">
                    <w:rPr>
                      <w:rFonts w:eastAsia="Times New Roman"/>
                      <w:noProof/>
                      <w:sz w:val="22"/>
                      <w:lang w:eastAsia="en-IE"/>
                    </w:rPr>
                    <w:t xml:space="preserve">. The use of European individual cybersecurity skills attestation schemes shall be </w:t>
                  </w:r>
                  <w:r w:rsidRPr="00291CE2">
                    <w:rPr>
                      <w:rFonts w:eastAsia="Times New Roman"/>
                      <w:b/>
                      <w:bCs/>
                      <w:noProof/>
                      <w:sz w:val="22"/>
                      <w:lang w:eastAsia="en-IE"/>
                    </w:rPr>
                    <w:t>voluntary for national public bodies and private entities</w:t>
                  </w:r>
                  <w:r w:rsidRPr="00291CE2">
                    <w:rPr>
                      <w:rFonts w:eastAsia="Times New Roman"/>
                      <w:noProof/>
                      <w:sz w:val="22"/>
                      <w:lang w:eastAsia="en-IE"/>
                    </w:rPr>
                    <w:t xml:space="preserve">, unless otherwise specified by national law. </w:t>
                  </w:r>
                </w:p>
                <w:p w14:paraId="447FD663" w14:textId="77777777" w:rsidR="007A5304" w:rsidRDefault="007A5304">
                  <w:pPr>
                    <w:spacing w:before="0" w:after="0"/>
                    <w:textAlignment w:val="baseline"/>
                    <w:rPr>
                      <w:rFonts w:eastAsia="Times New Roman"/>
                      <w:b/>
                      <w:bCs/>
                      <w:noProof/>
                      <w:sz w:val="22"/>
                      <w:lang w:eastAsia="en-IE"/>
                    </w:rPr>
                  </w:pPr>
                  <w:r w:rsidRPr="00291CE2">
                    <w:rPr>
                      <w:rFonts w:eastAsia="Times New Roman"/>
                      <w:noProof/>
                      <w:sz w:val="22"/>
                      <w:lang w:eastAsia="en-IE"/>
                    </w:rPr>
                    <w:t xml:space="preserve">Prior to initiating a new European individual cybersecurity skills attestation scheme, ENISA shall </w:t>
                  </w:r>
                  <w:r w:rsidRPr="00291CE2">
                    <w:rPr>
                      <w:rFonts w:eastAsia="Times New Roman"/>
                      <w:b/>
                      <w:bCs/>
                      <w:noProof/>
                      <w:sz w:val="22"/>
                      <w:lang w:eastAsia="en-IE"/>
                    </w:rPr>
                    <w:t>consult the Commission</w:t>
                  </w:r>
                  <w:r w:rsidRPr="00291CE2">
                    <w:rPr>
                      <w:rFonts w:eastAsia="Times New Roman"/>
                      <w:noProof/>
                      <w:sz w:val="22"/>
                      <w:lang w:eastAsia="en-IE"/>
                    </w:rPr>
                    <w:t xml:space="preserve">. ENISA shall only adopt such a scheme following a positive </w:t>
                  </w:r>
                  <w:r w:rsidRPr="00291CE2">
                    <w:rPr>
                      <w:rFonts w:eastAsia="Times New Roman"/>
                      <w:b/>
                      <w:bCs/>
                      <w:noProof/>
                      <w:sz w:val="22"/>
                      <w:lang w:eastAsia="en-IE"/>
                    </w:rPr>
                    <w:t>opinion from the Commission</w:t>
                  </w:r>
                  <w:r w:rsidRPr="00291CE2">
                    <w:rPr>
                      <w:rFonts w:eastAsia="Times New Roman"/>
                      <w:noProof/>
                      <w:sz w:val="22"/>
                      <w:lang w:eastAsia="en-IE"/>
                    </w:rPr>
                    <w:t xml:space="preserve">.  When preparing a European individual cybersecurity skills attestation scheme, ENISA may </w:t>
                  </w:r>
                  <w:r w:rsidRPr="00291CE2">
                    <w:rPr>
                      <w:rFonts w:eastAsia="Times New Roman"/>
                      <w:b/>
                      <w:bCs/>
                      <w:noProof/>
                      <w:sz w:val="22"/>
                      <w:lang w:eastAsia="en-IE"/>
                    </w:rPr>
                    <w:t>consult relevant stakeholders.</w:t>
                  </w:r>
                </w:p>
                <w:p w14:paraId="77507944" w14:textId="77777777" w:rsidR="007A5304" w:rsidRDefault="007A5304">
                  <w:pPr>
                    <w:spacing w:before="0" w:after="0"/>
                    <w:textAlignment w:val="baseline"/>
                    <w:rPr>
                      <w:noProof/>
                    </w:rPr>
                  </w:pPr>
                  <w:r w:rsidRPr="00777BC3">
                    <w:rPr>
                      <w:noProof/>
                    </w:rPr>
                    <w:t xml:space="preserve">ENISA shall ensure </w:t>
                  </w:r>
                  <w:r w:rsidRPr="00291CE2">
                    <w:rPr>
                      <w:b/>
                      <w:bCs/>
                      <w:noProof/>
                    </w:rPr>
                    <w:t>close cooperation with Member States</w:t>
                  </w:r>
                  <w:r w:rsidRPr="00777BC3">
                    <w:rPr>
                      <w:noProof/>
                    </w:rPr>
                    <w:t xml:space="preserve"> throughout </w:t>
                  </w:r>
                  <w:r>
                    <w:rPr>
                      <w:noProof/>
                    </w:rPr>
                    <w:t>preparation</w:t>
                  </w:r>
                  <w:r w:rsidRPr="00777BC3">
                    <w:rPr>
                      <w:noProof/>
                    </w:rPr>
                    <w:t xml:space="preserve"> of the European individual cybersecurity skills attestation schemes.</w:t>
                  </w:r>
                </w:p>
                <w:p w14:paraId="654915B8"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D777F1">
                    <w:rPr>
                      <w:rFonts w:eastAsia="Times New Roman"/>
                      <w:noProof/>
                      <w:sz w:val="22"/>
                      <w:lang w:eastAsia="en-IE"/>
                    </w:rPr>
                    <w:t xml:space="preserve">Authorised attestation providers shall </w:t>
                  </w:r>
                  <w:r w:rsidRPr="00291CE2">
                    <w:rPr>
                      <w:rFonts w:eastAsia="Times New Roman"/>
                      <w:b/>
                      <w:bCs/>
                      <w:noProof/>
                      <w:sz w:val="22"/>
                      <w:lang w:eastAsia="en-IE"/>
                    </w:rPr>
                    <w:t>assess whether individuals meet the requirements</w:t>
                  </w:r>
                  <w:r w:rsidRPr="00D777F1">
                    <w:rPr>
                      <w:rFonts w:eastAsia="Times New Roman"/>
                      <w:noProof/>
                      <w:sz w:val="22"/>
                      <w:lang w:eastAsia="en-IE"/>
                    </w:rPr>
                    <w:t xml:space="preserve"> of a European individual cybersecurity skills attestation scheme and, where those requirements are met, issue European individual cybersecurity skills attestations.</w:t>
                  </w:r>
                </w:p>
                <w:p w14:paraId="3FD322F6" w14:textId="77777777" w:rsidR="007A5304" w:rsidRDefault="007A5304">
                  <w:pPr>
                    <w:spacing w:before="0" w:after="0"/>
                    <w:textAlignment w:val="baseline"/>
                    <w:rPr>
                      <w:rFonts w:eastAsia="Times New Roman"/>
                      <w:noProof/>
                      <w:sz w:val="22"/>
                      <w:lang w:eastAsia="en-IE"/>
                    </w:rPr>
                  </w:pPr>
                  <w:r w:rsidRPr="00E8609F">
                    <w:rPr>
                      <w:rFonts w:eastAsia="Times New Roman"/>
                      <w:noProof/>
                      <w:sz w:val="22"/>
                      <w:lang w:eastAsia="en-IE"/>
                    </w:rPr>
                    <w:t xml:space="preserve">ENISA shall </w:t>
                  </w:r>
                  <w:r w:rsidRPr="00291CE2">
                    <w:rPr>
                      <w:rFonts w:eastAsia="Times New Roman"/>
                      <w:b/>
                      <w:bCs/>
                      <w:noProof/>
                      <w:sz w:val="22"/>
                      <w:lang w:eastAsia="en-IE"/>
                    </w:rPr>
                    <w:t>provide guidance to and conduct obligatory training of assessors</w:t>
                  </w:r>
                  <w:r w:rsidRPr="00E8609F">
                    <w:rPr>
                      <w:rFonts w:eastAsia="Times New Roman"/>
                      <w:noProof/>
                      <w:sz w:val="22"/>
                      <w:lang w:eastAsia="en-IE"/>
                    </w:rPr>
                    <w:t xml:space="preserve"> regarding the requirements and assessment methods included in the European individual cybersecurity skills attestation scheme as referred to in Article 20(3), point (b).</w:t>
                  </w:r>
                </w:p>
                <w:p w14:paraId="21F11F85" w14:textId="223AEF98" w:rsidR="007A5304" w:rsidRDefault="007A5304">
                  <w:pPr>
                    <w:spacing w:before="0" w:after="0"/>
                    <w:textAlignment w:val="baseline"/>
                    <w:rPr>
                      <w:noProof/>
                    </w:rPr>
                  </w:pPr>
                  <w:r>
                    <w:rPr>
                      <w:noProof/>
                    </w:rPr>
                    <w:t>E</w:t>
                  </w:r>
                  <w:r w:rsidRPr="00777BC3">
                    <w:rPr>
                      <w:noProof/>
                    </w:rPr>
                    <w:t xml:space="preserve">ntities </w:t>
                  </w:r>
                  <w:r>
                    <w:rPr>
                      <w:noProof/>
                    </w:rPr>
                    <w:t>wishing</w:t>
                  </w:r>
                  <w:r w:rsidRPr="00777BC3">
                    <w:rPr>
                      <w:noProof/>
                    </w:rPr>
                    <w:t xml:space="preserve"> to become </w:t>
                  </w:r>
                  <w:r>
                    <w:rPr>
                      <w:noProof/>
                    </w:rPr>
                    <w:t xml:space="preserve">authorised </w:t>
                  </w:r>
                  <w:r w:rsidRPr="00777BC3">
                    <w:rPr>
                      <w:noProof/>
                    </w:rPr>
                    <w:t>attestation providers</w:t>
                  </w:r>
                  <w:r>
                    <w:rPr>
                      <w:noProof/>
                    </w:rPr>
                    <w:t xml:space="preserve"> </w:t>
                  </w:r>
                  <w:r w:rsidRPr="00777BC3">
                    <w:rPr>
                      <w:noProof/>
                    </w:rPr>
                    <w:t xml:space="preserve">or </w:t>
                  </w:r>
                  <w:r w:rsidR="008E54F4">
                    <w:rPr>
                      <w:noProof/>
                    </w:rPr>
                    <w:t xml:space="preserve">to </w:t>
                  </w:r>
                  <w:r w:rsidRPr="00777BC3">
                    <w:rPr>
                      <w:noProof/>
                    </w:rPr>
                    <w:t xml:space="preserve">renew their authorisation </w:t>
                  </w:r>
                  <w:r w:rsidRPr="00291CE2">
                    <w:rPr>
                      <w:b/>
                      <w:bCs/>
                      <w:noProof/>
                    </w:rPr>
                    <w:t>(‘applicants’) shall submit an application</w:t>
                  </w:r>
                  <w:r>
                    <w:rPr>
                      <w:noProof/>
                    </w:rPr>
                    <w:t xml:space="preserve"> to ENISA.</w:t>
                  </w:r>
                </w:p>
                <w:p w14:paraId="1BE3319B" w14:textId="7208CFCA" w:rsidR="007A5304" w:rsidRPr="00F1184F" w:rsidRDefault="007A5304">
                  <w:pPr>
                    <w:spacing w:before="0" w:after="0"/>
                    <w:textAlignment w:val="baseline"/>
                    <w:rPr>
                      <w:rFonts w:eastAsia="Times New Roman"/>
                      <w:noProof/>
                      <w:sz w:val="22"/>
                      <w:lang w:eastAsia="en-IE"/>
                    </w:rPr>
                  </w:pPr>
                  <w:r w:rsidRPr="0007187D">
                    <w:rPr>
                      <w:rFonts w:eastAsia="Times New Roman"/>
                      <w:noProof/>
                      <w:sz w:val="22"/>
                      <w:lang w:eastAsia="en-IE"/>
                    </w:rPr>
                    <w:t>Authorised attestation providers shall</w:t>
                  </w:r>
                  <w:r w:rsidR="005B3EF1">
                    <w:rPr>
                      <w:rFonts w:eastAsia="Times New Roman"/>
                      <w:noProof/>
                      <w:sz w:val="22"/>
                      <w:lang w:eastAsia="en-IE"/>
                    </w:rPr>
                    <w:t xml:space="preserve"> </w:t>
                  </w:r>
                  <w:r w:rsidRPr="00F1184F">
                    <w:rPr>
                      <w:rFonts w:eastAsia="Times New Roman"/>
                      <w:noProof/>
                      <w:sz w:val="22"/>
                      <w:lang w:eastAsia="en-IE"/>
                    </w:rPr>
                    <w:t xml:space="preserve">ensure that, </w:t>
                  </w:r>
                  <w:r w:rsidRPr="00291CE2">
                    <w:rPr>
                      <w:rFonts w:eastAsia="Times New Roman"/>
                      <w:b/>
                      <w:bCs/>
                      <w:noProof/>
                      <w:sz w:val="22"/>
                      <w:lang w:eastAsia="en-IE"/>
                    </w:rPr>
                    <w:t xml:space="preserve">at the request of the individual, </w:t>
                  </w:r>
                  <w:r w:rsidRPr="00F1184F">
                    <w:rPr>
                      <w:rFonts w:eastAsia="Times New Roman"/>
                      <w:noProof/>
                      <w:sz w:val="22"/>
                      <w:lang w:eastAsia="en-IE"/>
                    </w:rPr>
                    <w:t>electronic attestations of European individual cybersecurity skills attestations are issued as electronic attestations of attributes in a format that can be stored in the European Digital Identity Wallets set out in Regulation (EU) No 910/2014.</w:t>
                  </w:r>
                </w:p>
                <w:p w14:paraId="75F2D05C" w14:textId="0EFF8357" w:rsidR="007A5304" w:rsidRDefault="005B3EF1">
                  <w:pPr>
                    <w:spacing w:before="0" w:after="0"/>
                    <w:textAlignment w:val="baseline"/>
                    <w:rPr>
                      <w:rFonts w:eastAsia="Times New Roman"/>
                      <w:noProof/>
                      <w:sz w:val="22"/>
                      <w:lang w:eastAsia="en-IE"/>
                    </w:rPr>
                  </w:pPr>
                  <w:r>
                    <w:rPr>
                      <w:rFonts w:eastAsia="Times New Roman"/>
                      <w:noProof/>
                      <w:sz w:val="22"/>
                      <w:lang w:eastAsia="en-IE"/>
                    </w:rPr>
                    <w:t xml:space="preserve">Applicants and authorised attestation providers shall </w:t>
                  </w:r>
                  <w:r w:rsidR="007A5304" w:rsidRPr="00F1184F">
                    <w:rPr>
                      <w:rFonts w:eastAsia="Times New Roman"/>
                      <w:noProof/>
                      <w:sz w:val="22"/>
                      <w:lang w:eastAsia="en-IE"/>
                    </w:rPr>
                    <w:t xml:space="preserve">allow </w:t>
                  </w:r>
                  <w:r w:rsidR="007A5304" w:rsidRPr="00291CE2">
                    <w:rPr>
                      <w:rFonts w:eastAsia="Times New Roman"/>
                      <w:b/>
                      <w:bCs/>
                      <w:noProof/>
                      <w:sz w:val="22"/>
                      <w:lang w:eastAsia="en-IE"/>
                    </w:rPr>
                    <w:t>ENISA to conduct evaluations</w:t>
                  </w:r>
                  <w:r w:rsidR="007A5304" w:rsidRPr="00F1184F">
                    <w:rPr>
                      <w:rFonts w:eastAsia="Times New Roman"/>
                      <w:noProof/>
                      <w:sz w:val="22"/>
                      <w:lang w:eastAsia="en-IE"/>
                    </w:rPr>
                    <w:t xml:space="preserve"> as part of the initial application process, maintenance of the authorisation or renewal thereof and share all relevant information to ensure the </w:t>
                  </w:r>
                  <w:r w:rsidR="0081264F">
                    <w:rPr>
                      <w:rFonts w:eastAsia="Times New Roman"/>
                      <w:noProof/>
                      <w:sz w:val="22"/>
                      <w:lang w:eastAsia="en-IE"/>
                    </w:rPr>
                    <w:t xml:space="preserve">requirements </w:t>
                  </w:r>
                  <w:r w:rsidR="007A5304" w:rsidRPr="00F1184F">
                    <w:rPr>
                      <w:rFonts w:eastAsia="Times New Roman"/>
                      <w:noProof/>
                      <w:sz w:val="22"/>
                      <w:lang w:eastAsia="en-IE"/>
                    </w:rPr>
                    <w:t xml:space="preserve">laid down in paragraphs 3, 4 and </w:t>
                  </w:r>
                  <w:r w:rsidR="0081264F">
                    <w:rPr>
                      <w:rFonts w:eastAsia="Times New Roman"/>
                      <w:noProof/>
                      <w:sz w:val="22"/>
                      <w:lang w:eastAsia="en-IE"/>
                    </w:rPr>
                    <w:t xml:space="preserve">the obligations laid down in paragraph </w:t>
                  </w:r>
                  <w:r w:rsidR="007A5304" w:rsidRPr="00F1184F">
                    <w:rPr>
                      <w:rFonts w:eastAsia="Times New Roman"/>
                      <w:noProof/>
                      <w:sz w:val="22"/>
                      <w:lang w:eastAsia="en-IE"/>
                    </w:rPr>
                    <w:t>5 are met or continue to be met in accordance with Article 22(2).</w:t>
                  </w:r>
                </w:p>
                <w:p w14:paraId="7F305D71" w14:textId="77777777" w:rsidR="007A5304" w:rsidRDefault="007A5304">
                  <w:pPr>
                    <w:spacing w:before="0" w:after="0"/>
                    <w:textAlignment w:val="baseline"/>
                    <w:rPr>
                      <w:rFonts w:eastAsia="Times New Roman"/>
                      <w:noProof/>
                      <w:sz w:val="22"/>
                      <w:lang w:eastAsia="en-IE"/>
                    </w:rPr>
                  </w:pPr>
                  <w:r w:rsidRPr="00E26D81">
                    <w:rPr>
                      <w:rFonts w:eastAsia="Times New Roman"/>
                      <w:noProof/>
                      <w:sz w:val="22"/>
                      <w:lang w:eastAsia="en-IE"/>
                    </w:rPr>
                    <w:t xml:space="preserve">Authorised attestation providers shall immediately </w:t>
                  </w:r>
                  <w:r w:rsidRPr="00291CE2">
                    <w:rPr>
                      <w:rFonts w:eastAsia="Times New Roman"/>
                      <w:b/>
                      <w:bCs/>
                      <w:noProof/>
                      <w:sz w:val="22"/>
                      <w:lang w:eastAsia="en-IE"/>
                    </w:rPr>
                    <w:t>inform ENISA</w:t>
                  </w:r>
                  <w:r w:rsidRPr="00E26D81">
                    <w:rPr>
                      <w:rFonts w:eastAsia="Times New Roman"/>
                      <w:noProof/>
                      <w:sz w:val="22"/>
                      <w:lang w:eastAsia="en-IE"/>
                    </w:rPr>
                    <w:t xml:space="preserve"> if any of the requirements listed in paragraph 3 is no longer met or if any doubt that those requirements are not met, arises, including regarding the independence of assessors.</w:t>
                  </w:r>
                </w:p>
                <w:p w14:paraId="7D7DBA59"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p>
                <w:p w14:paraId="5B62E3BD" w14:textId="48F102B0" w:rsidR="007A5304" w:rsidRDefault="007A5304">
                  <w:pPr>
                    <w:spacing w:before="0" w:after="0"/>
                    <w:textAlignment w:val="baseline"/>
                    <w:rPr>
                      <w:rFonts w:eastAsia="Times New Roman"/>
                      <w:noProof/>
                      <w:sz w:val="22"/>
                      <w:lang w:eastAsia="en-IE"/>
                    </w:rPr>
                  </w:pPr>
                  <w:r w:rsidRPr="009D4247">
                    <w:rPr>
                      <w:rFonts w:eastAsia="Times New Roman"/>
                      <w:noProof/>
                      <w:sz w:val="22"/>
                      <w:lang w:eastAsia="en-IE"/>
                    </w:rPr>
                    <w:t xml:space="preserve">Applicants shall </w:t>
                  </w:r>
                  <w:r w:rsidRPr="00291CE2">
                    <w:rPr>
                      <w:rFonts w:eastAsia="Times New Roman"/>
                      <w:b/>
                      <w:bCs/>
                      <w:noProof/>
                      <w:sz w:val="22"/>
                      <w:lang w:eastAsia="en-IE"/>
                    </w:rPr>
                    <w:t>pay a fee to ENISA</w:t>
                  </w:r>
                  <w:r w:rsidRPr="009D4247">
                    <w:rPr>
                      <w:rFonts w:eastAsia="Times New Roman"/>
                      <w:noProof/>
                      <w:sz w:val="22"/>
                      <w:lang w:eastAsia="en-IE"/>
                    </w:rPr>
                    <w:t xml:space="preserve"> for </w:t>
                  </w:r>
                  <w:r w:rsidR="00A95C4A">
                    <w:rPr>
                      <w:rFonts w:eastAsia="Times New Roman"/>
                      <w:noProof/>
                      <w:sz w:val="22"/>
                      <w:lang w:eastAsia="en-IE"/>
                    </w:rPr>
                    <w:t>the</w:t>
                  </w:r>
                  <w:r w:rsidRPr="009D4247">
                    <w:rPr>
                      <w:rFonts w:eastAsia="Times New Roman"/>
                      <w:noProof/>
                      <w:sz w:val="22"/>
                      <w:lang w:eastAsia="en-IE"/>
                    </w:rPr>
                    <w:t xml:space="preserve"> assessment of their application</w:t>
                  </w:r>
                  <w:r w:rsidRPr="006F001C">
                    <w:rPr>
                      <w:rFonts w:eastAsia="Times New Roman"/>
                      <w:noProof/>
                      <w:sz w:val="22"/>
                      <w:lang w:eastAsia="en-IE"/>
                    </w:rPr>
                    <w:t>.</w:t>
                  </w:r>
                  <w:r w:rsidR="00A95C4A">
                    <w:rPr>
                      <w:rFonts w:eastAsia="Times New Roman"/>
                      <w:noProof/>
                      <w:sz w:val="22"/>
                      <w:lang w:eastAsia="en-IE"/>
                    </w:rPr>
                    <w:t xml:space="preserve"> </w:t>
                  </w:r>
                  <w:r w:rsidR="00A95C4A" w:rsidRPr="143BC936">
                    <w:rPr>
                      <w:rFonts w:eastAsia="Times New Roman"/>
                      <w:noProof/>
                      <w:sz w:val="22"/>
                      <w:lang w:eastAsia="en-IE"/>
                    </w:rPr>
                    <w:t xml:space="preserve">Authorised attestation providers shall </w:t>
                  </w:r>
                  <w:r w:rsidR="00A95C4A" w:rsidRPr="00284A03">
                    <w:rPr>
                      <w:rFonts w:eastAsia="Times New Roman"/>
                      <w:b/>
                      <w:noProof/>
                      <w:sz w:val="22"/>
                      <w:lang w:eastAsia="en-IE"/>
                    </w:rPr>
                    <w:t>pay a fee to ENISA</w:t>
                  </w:r>
                  <w:r w:rsidR="00A95C4A" w:rsidRPr="143BC936">
                    <w:rPr>
                      <w:rFonts w:eastAsia="Times New Roman"/>
                      <w:noProof/>
                      <w:sz w:val="22"/>
                      <w:lang w:eastAsia="en-IE"/>
                    </w:rPr>
                    <w:t xml:space="preserve"> for the maintenance of their authorisation.</w:t>
                  </w:r>
                  <w:r w:rsidRPr="006F001C">
                    <w:rPr>
                      <w:rFonts w:eastAsia="Times New Roman"/>
                      <w:noProof/>
                      <w:sz w:val="22"/>
                      <w:lang w:eastAsia="en-IE"/>
                    </w:rPr>
                    <w:t> </w:t>
                  </w:r>
                </w:p>
                <w:p w14:paraId="7BC7A9CA" w14:textId="20A4C70A" w:rsidR="007A5304" w:rsidRPr="005E2AE3" w:rsidRDefault="007A5304">
                  <w:pPr>
                    <w:spacing w:before="0" w:after="0"/>
                    <w:textAlignment w:val="baseline"/>
                    <w:rPr>
                      <w:rFonts w:eastAsia="Times New Roman"/>
                      <w:noProof/>
                      <w:sz w:val="22"/>
                      <w:lang w:eastAsia="en-IE"/>
                    </w:rPr>
                  </w:pPr>
                  <w:r w:rsidRPr="006F001C">
                    <w:rPr>
                      <w:rFonts w:eastAsia="Times New Roman"/>
                      <w:noProof/>
                      <w:sz w:val="22"/>
                      <w:lang w:val="en-IE" w:eastAsia="en-IE"/>
                    </w:rPr>
                    <w:t> </w:t>
                  </w:r>
                  <w:r w:rsidRPr="00291CE2">
                    <w:rPr>
                      <w:rFonts w:eastAsia="Times New Roman"/>
                      <w:b/>
                      <w:bCs/>
                      <w:noProof/>
                      <w:sz w:val="22"/>
                      <w:lang w:eastAsia="en-IE"/>
                    </w:rPr>
                    <w:t>ENISA shall evaluate</w:t>
                  </w:r>
                  <w:r w:rsidRPr="005E2AE3">
                    <w:rPr>
                      <w:rFonts w:eastAsia="Times New Roman"/>
                      <w:noProof/>
                      <w:sz w:val="22"/>
                      <w:lang w:eastAsia="en-IE"/>
                    </w:rPr>
                    <w:t xml:space="preserve"> whether the requirements laid down in Article 21(3) and (4) and the obligations laid down in Article 21(5) are met or continue to be met by applicants</w:t>
                  </w:r>
                  <w:r w:rsidR="0090037A">
                    <w:rPr>
                      <w:rFonts w:eastAsia="Times New Roman"/>
                      <w:noProof/>
                      <w:sz w:val="22"/>
                      <w:lang w:eastAsia="en-IE"/>
                    </w:rPr>
                    <w:t xml:space="preserve"> and authorised attestation providers</w:t>
                  </w:r>
                  <w:r w:rsidRPr="005E2AE3">
                    <w:rPr>
                      <w:rFonts w:eastAsia="Times New Roman"/>
                      <w:noProof/>
                      <w:sz w:val="22"/>
                      <w:lang w:eastAsia="en-IE"/>
                    </w:rPr>
                    <w:t>.</w:t>
                  </w:r>
                </w:p>
                <w:p w14:paraId="35C9AC4F" w14:textId="77777777" w:rsidR="007A5304" w:rsidRDefault="007A5304">
                  <w:pPr>
                    <w:spacing w:before="0" w:after="0"/>
                    <w:textAlignment w:val="baseline"/>
                    <w:rPr>
                      <w:rFonts w:eastAsia="Times New Roman"/>
                      <w:noProof/>
                      <w:sz w:val="22"/>
                      <w:lang w:eastAsia="en-IE"/>
                    </w:rPr>
                  </w:pPr>
                  <w:r w:rsidRPr="005E2AE3">
                    <w:rPr>
                      <w:rFonts w:eastAsia="Times New Roman"/>
                      <w:noProof/>
                      <w:sz w:val="22"/>
                      <w:lang w:eastAsia="en-IE"/>
                    </w:rPr>
                    <w:t xml:space="preserve">After examining an application against the requirements laid down in Article </w:t>
                  </w:r>
                </w:p>
                <w:p w14:paraId="14E42B58" w14:textId="76C85B2A" w:rsidR="007A5304" w:rsidRDefault="007A5304">
                  <w:pPr>
                    <w:pStyle w:val="Text1"/>
                    <w:ind w:left="0"/>
                    <w:rPr>
                      <w:noProof/>
                    </w:rPr>
                  </w:pPr>
                  <w:r w:rsidRPr="005E2AE3">
                    <w:rPr>
                      <w:rFonts w:eastAsia="Times New Roman"/>
                      <w:noProof/>
                      <w:sz w:val="22"/>
                      <w:lang w:eastAsia="en-IE"/>
                    </w:rPr>
                    <w:t xml:space="preserve">21(3) and (4), </w:t>
                  </w:r>
                  <w:r w:rsidRPr="00291CE2">
                    <w:rPr>
                      <w:rFonts w:eastAsia="Times New Roman"/>
                      <w:b/>
                      <w:bCs/>
                      <w:noProof/>
                      <w:sz w:val="22"/>
                      <w:lang w:eastAsia="en-IE"/>
                    </w:rPr>
                    <w:t xml:space="preserve">ENISA </w:t>
                  </w:r>
                  <w:r w:rsidR="0090037A">
                    <w:rPr>
                      <w:rFonts w:eastAsia="Times New Roman"/>
                      <w:b/>
                      <w:bCs/>
                      <w:noProof/>
                      <w:sz w:val="22"/>
                      <w:lang w:eastAsia="en-IE"/>
                    </w:rPr>
                    <w:t>may</w:t>
                  </w:r>
                  <w:r w:rsidRPr="00291CE2">
                    <w:rPr>
                      <w:rFonts w:eastAsia="Times New Roman"/>
                      <w:b/>
                      <w:bCs/>
                      <w:noProof/>
                      <w:sz w:val="22"/>
                      <w:lang w:eastAsia="en-IE"/>
                    </w:rPr>
                    <w:t xml:space="preserve"> issue a decision</w:t>
                  </w:r>
                  <w:r w:rsidRPr="005E2AE3">
                    <w:rPr>
                      <w:rFonts w:eastAsia="Times New Roman"/>
                      <w:noProof/>
                      <w:sz w:val="22"/>
                      <w:lang w:eastAsia="en-IE"/>
                    </w:rPr>
                    <w:t>.</w:t>
                  </w:r>
                  <w:r>
                    <w:rPr>
                      <w:rFonts w:eastAsia="Times New Roman"/>
                      <w:noProof/>
                      <w:sz w:val="22"/>
                      <w:lang w:eastAsia="en-IE"/>
                    </w:rPr>
                    <w:t xml:space="preserve"> </w:t>
                  </w:r>
                  <w:r w:rsidRPr="00291CE2">
                    <w:rPr>
                      <w:rFonts w:eastAsia="Times New Roman"/>
                      <w:b/>
                      <w:bCs/>
                      <w:noProof/>
                      <w:sz w:val="22"/>
                      <w:lang w:eastAsia="en-IE"/>
                    </w:rPr>
                    <w:t>ENISA may amend, suspend or revoke such decisions</w:t>
                  </w:r>
                  <w:r w:rsidRPr="007F7B94">
                    <w:rPr>
                      <w:rFonts w:eastAsia="Times New Roman"/>
                      <w:noProof/>
                      <w:sz w:val="22"/>
                      <w:lang w:eastAsia="en-IE"/>
                    </w:rPr>
                    <w:t xml:space="preserve">.  </w:t>
                  </w:r>
                </w:p>
                <w:p w14:paraId="105F7DE1" w14:textId="77777777" w:rsidR="007A5304" w:rsidRPr="00777BC3" w:rsidRDefault="007A5304">
                  <w:pPr>
                    <w:pStyle w:val="Text1"/>
                    <w:ind w:left="0"/>
                    <w:rPr>
                      <w:noProof/>
                    </w:rPr>
                  </w:pPr>
                  <w:r w:rsidRPr="00291CE2">
                    <w:rPr>
                      <w:b/>
                      <w:bCs/>
                      <w:noProof/>
                    </w:rPr>
                    <w:t>ENISA shall maintain and regularly update a dedicated website</w:t>
                  </w:r>
                  <w:r w:rsidRPr="00777BC3">
                    <w:rPr>
                      <w:noProof/>
                    </w:rPr>
                    <w:t xml:space="preserve"> providing public information on:</w:t>
                  </w:r>
                </w:p>
                <w:p w14:paraId="3A6CC8FA" w14:textId="63F33284" w:rsidR="007A5304" w:rsidRPr="00291CE2" w:rsidRDefault="006D01CD" w:rsidP="006D01CD">
                  <w:pPr>
                    <w:pStyle w:val="Point1"/>
                    <w:rPr>
                      <w:noProof/>
                      <w:lang w:eastAsia="en-IE"/>
                    </w:rPr>
                  </w:pPr>
                  <w:r w:rsidRPr="006D01CD">
                    <w:rPr>
                      <w:noProof/>
                    </w:rPr>
                    <w:t>(a)</w:t>
                  </w:r>
                  <w:r w:rsidRPr="006D01CD">
                    <w:rPr>
                      <w:noProof/>
                    </w:rPr>
                    <w:tab/>
                  </w:r>
                  <w:r w:rsidR="007A5304" w:rsidRPr="00291CE2">
                    <w:rPr>
                      <w:noProof/>
                      <w:lang w:eastAsia="en-IE"/>
                    </w:rPr>
                    <w:t>the ECSF, including the framework and its timeline for update;</w:t>
                  </w:r>
                </w:p>
                <w:p w14:paraId="7A66E70C" w14:textId="529CC9B6" w:rsidR="007A5304" w:rsidRPr="00291CE2" w:rsidRDefault="006D01CD" w:rsidP="006D01CD">
                  <w:pPr>
                    <w:pStyle w:val="Point1"/>
                    <w:rPr>
                      <w:noProof/>
                    </w:rPr>
                  </w:pPr>
                  <w:r w:rsidRPr="006D01CD">
                    <w:rPr>
                      <w:noProof/>
                    </w:rPr>
                    <w:t>(b)</w:t>
                  </w:r>
                  <w:r w:rsidRPr="006D01CD">
                    <w:rPr>
                      <w:noProof/>
                    </w:rPr>
                    <w:tab/>
                  </w:r>
                  <w:r w:rsidR="007A5304" w:rsidRPr="00291CE2">
                    <w:rPr>
                      <w:noProof/>
                      <w:lang w:eastAsia="en-IE"/>
                    </w:rPr>
                    <w:t>the European individual cybersecurity skills attestation schemes, their progress and timelines for their development;</w:t>
                  </w:r>
                </w:p>
                <w:p w14:paraId="58BABB75" w14:textId="64560222" w:rsidR="007A5304" w:rsidRDefault="006D01CD" w:rsidP="006D01CD">
                  <w:pPr>
                    <w:pStyle w:val="Point1"/>
                    <w:rPr>
                      <w:noProof/>
                      <w:lang w:eastAsia="en-IE"/>
                    </w:rPr>
                  </w:pPr>
                  <w:r w:rsidRPr="006D01CD">
                    <w:rPr>
                      <w:noProof/>
                    </w:rPr>
                    <w:t>(c)</w:t>
                  </w:r>
                  <w:r w:rsidRPr="006D01CD">
                    <w:rPr>
                      <w:noProof/>
                    </w:rPr>
                    <w:tab/>
                  </w:r>
                  <w:r w:rsidR="007A5304" w:rsidRPr="00291CE2">
                    <w:rPr>
                      <w:noProof/>
                      <w:lang w:eastAsia="en-IE"/>
                    </w:rPr>
                    <w:t>the fees associated with each European individual cybersecurity skills attestation scheme adopted pursuant to Article 47 of this Regulation;</w:t>
                  </w:r>
                </w:p>
                <w:p w14:paraId="0EB65A56" w14:textId="79F5C365" w:rsidR="007A5304" w:rsidRPr="00291CE2" w:rsidRDefault="006D01CD" w:rsidP="006D01CD">
                  <w:pPr>
                    <w:pStyle w:val="Point1"/>
                    <w:rPr>
                      <w:noProof/>
                    </w:rPr>
                  </w:pPr>
                  <w:r w:rsidRPr="006D01CD">
                    <w:rPr>
                      <w:noProof/>
                    </w:rPr>
                    <w:t>(d)</w:t>
                  </w:r>
                  <w:r w:rsidRPr="006D01CD">
                    <w:rPr>
                      <w:noProof/>
                    </w:rPr>
                    <w:tab/>
                  </w:r>
                  <w:r w:rsidR="007A5304" w:rsidRPr="00291CE2">
                    <w:rPr>
                      <w:rFonts w:eastAsia="Times New Roman"/>
                      <w:noProof/>
                      <w:lang w:eastAsia="en-IE"/>
                    </w:rPr>
                    <w:t xml:space="preserve">the </w:t>
                  </w:r>
                  <w:r w:rsidR="007A5304" w:rsidRPr="00291CE2">
                    <w:rPr>
                      <w:noProof/>
                    </w:rPr>
                    <w:t>indicative cost of a European individual cybersecurity skills attestation</w:t>
                  </w:r>
                  <w:r w:rsidR="007A5304" w:rsidRPr="00291CE2" w:rsidDel="00C145BC">
                    <w:rPr>
                      <w:rFonts w:eastAsia="Times New Roman"/>
                      <w:noProof/>
                      <w:lang w:eastAsia="en-IE"/>
                    </w:rPr>
                    <w:t xml:space="preserve"> </w:t>
                  </w:r>
                  <w:r w:rsidR="007A5304" w:rsidRPr="00291CE2">
                    <w:rPr>
                      <w:rFonts w:eastAsia="Times New Roman"/>
                      <w:noProof/>
                      <w:lang w:eastAsia="en-IE"/>
                    </w:rPr>
                    <w:t>in accordance with Article 20(4);</w:t>
                  </w:r>
                </w:p>
                <w:p w14:paraId="04B45F20" w14:textId="1F18154C" w:rsidR="007A5304" w:rsidRPr="00291CE2" w:rsidRDefault="006D01CD" w:rsidP="006D01CD">
                  <w:pPr>
                    <w:pStyle w:val="Point1"/>
                    <w:rPr>
                      <w:noProof/>
                    </w:rPr>
                  </w:pPr>
                  <w:r w:rsidRPr="006D01CD">
                    <w:rPr>
                      <w:noProof/>
                    </w:rPr>
                    <w:t>(e)</w:t>
                  </w:r>
                  <w:r w:rsidRPr="006D01CD">
                    <w:rPr>
                      <w:noProof/>
                    </w:rPr>
                    <w:tab/>
                  </w:r>
                  <w:r w:rsidR="007A5304" w:rsidRPr="00291CE2">
                    <w:rPr>
                      <w:noProof/>
                      <w:lang w:eastAsia="en-IE"/>
                    </w:rPr>
                    <w:t>the list of authorised attestation providers.</w:t>
                  </w:r>
                </w:p>
                <w:p w14:paraId="16B205DA" w14:textId="77777777" w:rsidR="007A5304" w:rsidRPr="006F001C" w:rsidRDefault="007A5304">
                  <w:pPr>
                    <w:spacing w:before="0" w:after="0"/>
                    <w:textAlignment w:val="baseline"/>
                    <w:rPr>
                      <w:rFonts w:ascii="Calibri" w:eastAsia="Times New Roman" w:hAnsi="Calibri" w:cs="Calibri"/>
                      <w:noProof/>
                      <w:sz w:val="22"/>
                      <w:lang w:val="en-IE" w:eastAsia="en-IE"/>
                    </w:rPr>
                  </w:pPr>
                </w:p>
              </w:tc>
              <w:tc>
                <w:tcPr>
                  <w:tcW w:w="3015" w:type="dxa"/>
                  <w:tcBorders>
                    <w:top w:val="single" w:sz="6" w:space="0" w:color="auto"/>
                    <w:left w:val="single" w:sz="6" w:space="0" w:color="auto"/>
                    <w:bottom w:val="single" w:sz="6" w:space="0" w:color="auto"/>
                    <w:right w:val="single" w:sz="6" w:space="0" w:color="auto"/>
                  </w:tcBorders>
                  <w:hideMark/>
                </w:tcPr>
                <w:p w14:paraId="46972AA7"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ENISA</w:t>
                  </w:r>
                  <w:r w:rsidRPr="006F001C">
                    <w:rPr>
                      <w:rFonts w:eastAsia="Times New Roman"/>
                      <w:noProof/>
                      <w:sz w:val="22"/>
                      <w:lang w:val="en-IE" w:eastAsia="en-IE"/>
                    </w:rPr>
                    <w:t> </w:t>
                  </w:r>
                </w:p>
                <w:p w14:paraId="304C13D3"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Commission </w:t>
                  </w:r>
                  <w:r w:rsidRPr="006F001C">
                    <w:rPr>
                      <w:rFonts w:eastAsia="Times New Roman"/>
                      <w:noProof/>
                      <w:sz w:val="22"/>
                      <w:lang w:val="en-IE" w:eastAsia="en-IE"/>
                    </w:rPr>
                    <w:t> </w:t>
                  </w:r>
                </w:p>
                <w:p w14:paraId="71A1403E"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General public</w:t>
                  </w:r>
                  <w:r w:rsidRPr="006F001C">
                    <w:rPr>
                      <w:rFonts w:eastAsia="Times New Roman"/>
                      <w:noProof/>
                      <w:sz w:val="22"/>
                      <w:lang w:val="en-IE" w:eastAsia="en-IE"/>
                    </w:rPr>
                    <w:t> </w:t>
                  </w:r>
                </w:p>
                <w:p w14:paraId="522A8C60"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Member States </w:t>
                  </w:r>
                  <w:r w:rsidRPr="006F001C">
                    <w:rPr>
                      <w:rFonts w:eastAsia="Times New Roman"/>
                      <w:noProof/>
                      <w:sz w:val="22"/>
                      <w:lang w:val="en-IE" w:eastAsia="en-IE"/>
                    </w:rPr>
                    <w:t> </w:t>
                  </w:r>
                </w:p>
                <w:p w14:paraId="45581079"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EU entities</w:t>
                  </w:r>
                  <w:r w:rsidRPr="006F001C">
                    <w:rPr>
                      <w:rFonts w:eastAsia="Times New Roman"/>
                      <w:noProof/>
                      <w:sz w:val="22"/>
                      <w:lang w:val="en-IE" w:eastAsia="en-IE"/>
                    </w:rPr>
                    <w:t> </w:t>
                  </w:r>
                </w:p>
                <w:p w14:paraId="5E7CC460"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Public and private stakeholders (contributing to the development of an attestation scheme; applicants and European individual cybersecurity skills attestations providers, including assessors) </w:t>
                  </w:r>
                  <w:r w:rsidRPr="006F001C">
                    <w:rPr>
                      <w:rFonts w:eastAsia="Times New Roman"/>
                      <w:noProof/>
                      <w:sz w:val="22"/>
                      <w:lang w:val="en-IE" w:eastAsia="en-IE"/>
                    </w:rPr>
                    <w:t> </w:t>
                  </w:r>
                </w:p>
                <w:p w14:paraId="73868F95"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val="en-IE" w:eastAsia="en-IE"/>
                    </w:rPr>
                    <w:t> </w:t>
                  </w:r>
                </w:p>
              </w:tc>
              <w:tc>
                <w:tcPr>
                  <w:tcW w:w="3040" w:type="dxa"/>
                  <w:tcBorders>
                    <w:top w:val="single" w:sz="6" w:space="0" w:color="auto"/>
                    <w:left w:val="single" w:sz="6" w:space="0" w:color="auto"/>
                    <w:bottom w:val="single" w:sz="6" w:space="0" w:color="auto"/>
                    <w:right w:val="single" w:sz="6" w:space="0" w:color="auto"/>
                  </w:tcBorders>
                  <w:hideMark/>
                </w:tcPr>
                <w:p w14:paraId="0C3F38E0"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Developing and maintaining schemes; consultations with stakeholders; processing of applications; issue decisions; maintaining a website </w:t>
                  </w:r>
                  <w:r w:rsidRPr="006F001C">
                    <w:rPr>
                      <w:rFonts w:eastAsia="Times New Roman"/>
                      <w:noProof/>
                      <w:sz w:val="22"/>
                      <w:lang w:val="en-IE" w:eastAsia="en-IE"/>
                    </w:rPr>
                    <w:t> </w:t>
                  </w:r>
                </w:p>
              </w:tc>
              <w:tc>
                <w:tcPr>
                  <w:tcW w:w="1281" w:type="dxa"/>
                  <w:tcBorders>
                    <w:top w:val="single" w:sz="6" w:space="0" w:color="auto"/>
                    <w:left w:val="single" w:sz="6" w:space="0" w:color="auto"/>
                    <w:bottom w:val="single" w:sz="6" w:space="0" w:color="auto"/>
                    <w:right w:val="single" w:sz="6" w:space="0" w:color="auto"/>
                  </w:tcBorders>
                  <w:hideMark/>
                </w:tcPr>
                <w:p w14:paraId="707592A8"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processing </w:t>
                  </w:r>
                  <w:r w:rsidRPr="006F001C">
                    <w:rPr>
                      <w:rFonts w:eastAsia="Times New Roman"/>
                      <w:noProof/>
                      <w:sz w:val="22"/>
                      <w:lang w:val="en-IE" w:eastAsia="en-IE"/>
                    </w:rPr>
                    <w:t> </w:t>
                  </w:r>
                </w:p>
                <w:p w14:paraId="69883A74"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flow</w:t>
                  </w:r>
                  <w:r w:rsidRPr="006F001C">
                    <w:rPr>
                      <w:rFonts w:eastAsia="Times New Roman"/>
                      <w:noProof/>
                      <w:sz w:val="22"/>
                      <w:lang w:val="en-IE" w:eastAsia="en-IE"/>
                    </w:rPr>
                    <w:t> </w:t>
                  </w:r>
                </w:p>
                <w:p w14:paraId="2A37650F"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Digital solution</w:t>
                  </w:r>
                  <w:r w:rsidRPr="006F001C">
                    <w:rPr>
                      <w:rFonts w:eastAsia="Times New Roman"/>
                      <w:noProof/>
                      <w:sz w:val="22"/>
                      <w:lang w:val="en-IE" w:eastAsia="en-IE"/>
                    </w:rPr>
                    <w:t> </w:t>
                  </w:r>
                </w:p>
                <w:p w14:paraId="2A2CC006"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Digital public service</w:t>
                  </w:r>
                  <w:r w:rsidRPr="006F001C">
                    <w:rPr>
                      <w:rFonts w:eastAsia="Times New Roman"/>
                      <w:noProof/>
                      <w:sz w:val="22"/>
                      <w:lang w:val="en-IE" w:eastAsia="en-IE"/>
                    </w:rPr>
                    <w:t> </w:t>
                  </w:r>
                </w:p>
              </w:tc>
            </w:tr>
            <w:tr w:rsidR="007A5304" w:rsidRPr="006F001C" w14:paraId="6BC3DD3B" w14:textId="77777777">
              <w:trPr>
                <w:trHeight w:val="1515"/>
              </w:trPr>
              <w:tc>
                <w:tcPr>
                  <w:tcW w:w="2887" w:type="dxa"/>
                  <w:tcBorders>
                    <w:top w:val="single" w:sz="6" w:space="0" w:color="auto"/>
                    <w:left w:val="single" w:sz="6" w:space="0" w:color="auto"/>
                    <w:bottom w:val="single" w:sz="6" w:space="0" w:color="auto"/>
                    <w:right w:val="single" w:sz="6" w:space="0" w:color="auto"/>
                  </w:tcBorders>
                  <w:hideMark/>
                </w:tcPr>
                <w:p w14:paraId="5FDF57F4"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Article 25 </w:t>
                  </w:r>
                  <w:r w:rsidRPr="006F001C">
                    <w:rPr>
                      <w:rFonts w:eastAsia="Times New Roman"/>
                      <w:noProof/>
                      <w:sz w:val="22"/>
                      <w:lang w:val="en-IE" w:eastAsia="en-IE"/>
                    </w:rPr>
                    <w:t> </w:t>
                  </w:r>
                </w:p>
                <w:p w14:paraId="163E1345"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Composition of the Management Board</w:t>
                  </w:r>
                  <w:r w:rsidRPr="006F001C">
                    <w:rPr>
                      <w:rFonts w:eastAsia="Times New Roman"/>
                      <w:noProof/>
                      <w:sz w:val="22"/>
                      <w:lang w:val="en-IE" w:eastAsia="en-IE"/>
                    </w:rPr>
                    <w:t> </w:t>
                  </w:r>
                </w:p>
              </w:tc>
              <w:tc>
                <w:tcPr>
                  <w:tcW w:w="4332" w:type="dxa"/>
                  <w:tcBorders>
                    <w:top w:val="single" w:sz="6" w:space="0" w:color="auto"/>
                    <w:left w:val="single" w:sz="6" w:space="0" w:color="auto"/>
                    <w:bottom w:val="single" w:sz="6" w:space="0" w:color="auto"/>
                    <w:right w:val="single" w:sz="6" w:space="0" w:color="auto"/>
                  </w:tcBorders>
                  <w:hideMark/>
                </w:tcPr>
                <w:p w14:paraId="6675F98F" w14:textId="77777777" w:rsidR="007A5304" w:rsidRPr="006F001C" w:rsidRDefault="007A5304" w:rsidP="00C32E82">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b/>
                      <w:bCs/>
                      <w:noProof/>
                      <w:sz w:val="22"/>
                      <w:lang w:eastAsia="en-IE"/>
                    </w:rPr>
                    <w:t>Appointing members </w:t>
                  </w:r>
                  <w:r w:rsidRPr="006F001C">
                    <w:rPr>
                      <w:rFonts w:eastAsia="Times New Roman"/>
                      <w:noProof/>
                      <w:sz w:val="22"/>
                      <w:lang w:eastAsia="en-IE"/>
                    </w:rPr>
                    <w:t xml:space="preserve">to the </w:t>
                  </w:r>
                  <w:r w:rsidR="00C32E82">
                    <w:rPr>
                      <w:rFonts w:eastAsia="Times New Roman"/>
                      <w:noProof/>
                      <w:sz w:val="22"/>
                      <w:lang w:eastAsia="en-IE"/>
                    </w:rPr>
                    <w:t>M</w:t>
                  </w:r>
                  <w:r w:rsidRPr="006F001C">
                    <w:rPr>
                      <w:rFonts w:eastAsia="Times New Roman"/>
                      <w:noProof/>
                      <w:sz w:val="22"/>
                      <w:lang w:eastAsia="en-IE"/>
                    </w:rPr>
                    <w:t>anagement Board of ENISA.</w:t>
                  </w:r>
                  <w:r w:rsidRPr="006F001C">
                    <w:rPr>
                      <w:rFonts w:eastAsia="Times New Roman"/>
                      <w:noProof/>
                      <w:sz w:val="22"/>
                      <w:lang w:val="en-IE" w:eastAsia="en-IE"/>
                    </w:rPr>
                    <w:t> </w:t>
                  </w:r>
                </w:p>
              </w:tc>
              <w:tc>
                <w:tcPr>
                  <w:tcW w:w="3015" w:type="dxa"/>
                  <w:tcBorders>
                    <w:top w:val="single" w:sz="6" w:space="0" w:color="auto"/>
                    <w:left w:val="single" w:sz="6" w:space="0" w:color="auto"/>
                    <w:bottom w:val="single" w:sz="6" w:space="0" w:color="auto"/>
                    <w:right w:val="single" w:sz="6" w:space="0" w:color="auto"/>
                  </w:tcBorders>
                  <w:hideMark/>
                </w:tcPr>
                <w:p w14:paraId="56F3C554" w14:textId="77777777" w:rsidR="007A5304" w:rsidRPr="006F001C" w:rsidRDefault="007A5304">
                  <w:pPr>
                    <w:spacing w:before="0" w:after="0"/>
                    <w:jc w:val="left"/>
                    <w:textAlignment w:val="baseline"/>
                    <w:rPr>
                      <w:rFonts w:ascii="Segoe UI" w:eastAsia="Times New Roman" w:hAnsi="Segoe UI" w:cs="Segoe UI"/>
                      <w:noProof/>
                      <w:sz w:val="18"/>
                      <w:szCs w:val="18"/>
                      <w:lang w:val="fr-FR" w:eastAsia="en-IE"/>
                    </w:rPr>
                  </w:pPr>
                  <w:r w:rsidRPr="006F001C">
                    <w:rPr>
                      <w:rFonts w:eastAsia="Times New Roman"/>
                      <w:noProof/>
                      <w:sz w:val="22"/>
                      <w:lang w:val="fr-BE" w:eastAsia="en-IE"/>
                    </w:rPr>
                    <w:t>ENISA</w:t>
                  </w:r>
                  <w:r w:rsidRPr="006F001C">
                    <w:rPr>
                      <w:rFonts w:eastAsia="Times New Roman"/>
                      <w:noProof/>
                      <w:sz w:val="22"/>
                      <w:lang w:val="fr-FR" w:eastAsia="en-IE"/>
                    </w:rPr>
                    <w:t> </w:t>
                  </w:r>
                </w:p>
                <w:p w14:paraId="60E6144F" w14:textId="77777777" w:rsidR="007A5304" w:rsidRPr="006F001C" w:rsidRDefault="007A5304">
                  <w:pPr>
                    <w:spacing w:before="0" w:after="0"/>
                    <w:jc w:val="left"/>
                    <w:textAlignment w:val="baseline"/>
                    <w:rPr>
                      <w:rFonts w:ascii="Segoe UI" w:eastAsia="Times New Roman" w:hAnsi="Segoe UI" w:cs="Segoe UI"/>
                      <w:noProof/>
                      <w:sz w:val="18"/>
                      <w:szCs w:val="18"/>
                      <w:lang w:val="fr-FR" w:eastAsia="en-IE"/>
                    </w:rPr>
                  </w:pPr>
                  <w:r w:rsidRPr="006F001C">
                    <w:rPr>
                      <w:rFonts w:eastAsia="Times New Roman"/>
                      <w:noProof/>
                      <w:sz w:val="22"/>
                      <w:lang w:val="fr-BE" w:eastAsia="en-IE"/>
                    </w:rPr>
                    <w:t>EU Commission</w:t>
                  </w:r>
                  <w:r w:rsidRPr="006F001C">
                    <w:rPr>
                      <w:rFonts w:eastAsia="Times New Roman"/>
                      <w:noProof/>
                      <w:sz w:val="22"/>
                      <w:lang w:val="fr-FR" w:eastAsia="en-IE"/>
                    </w:rPr>
                    <w:t> </w:t>
                  </w:r>
                </w:p>
                <w:p w14:paraId="75A61102" w14:textId="77777777" w:rsidR="007A5304" w:rsidRPr="006F001C" w:rsidRDefault="007A5304">
                  <w:pPr>
                    <w:spacing w:before="0" w:after="0"/>
                    <w:jc w:val="left"/>
                    <w:textAlignment w:val="baseline"/>
                    <w:rPr>
                      <w:rFonts w:ascii="Segoe UI" w:eastAsia="Times New Roman" w:hAnsi="Segoe UI" w:cs="Segoe UI"/>
                      <w:noProof/>
                      <w:sz w:val="18"/>
                      <w:szCs w:val="18"/>
                      <w:lang w:val="fr-FR" w:eastAsia="en-IE"/>
                    </w:rPr>
                  </w:pPr>
                  <w:r w:rsidRPr="006F001C">
                    <w:rPr>
                      <w:rFonts w:eastAsia="Times New Roman"/>
                      <w:noProof/>
                      <w:sz w:val="22"/>
                      <w:lang w:val="fr-BE" w:eastAsia="en-IE"/>
                    </w:rPr>
                    <w:t>Member States</w:t>
                  </w:r>
                  <w:r w:rsidRPr="006F001C">
                    <w:rPr>
                      <w:rFonts w:eastAsia="Times New Roman"/>
                      <w:noProof/>
                      <w:sz w:val="22"/>
                      <w:lang w:val="fr-FR" w:eastAsia="en-IE"/>
                    </w:rPr>
                    <w:t> </w:t>
                  </w:r>
                </w:p>
              </w:tc>
              <w:tc>
                <w:tcPr>
                  <w:tcW w:w="3040" w:type="dxa"/>
                  <w:tcBorders>
                    <w:top w:val="single" w:sz="6" w:space="0" w:color="auto"/>
                    <w:left w:val="single" w:sz="6" w:space="0" w:color="auto"/>
                    <w:bottom w:val="single" w:sz="6" w:space="0" w:color="auto"/>
                    <w:right w:val="single" w:sz="6" w:space="0" w:color="auto"/>
                  </w:tcBorders>
                  <w:hideMark/>
                </w:tcPr>
                <w:p w14:paraId="7EE772A8"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Appointing members</w:t>
                  </w:r>
                  <w:r w:rsidRPr="006F001C">
                    <w:rPr>
                      <w:rFonts w:eastAsia="Times New Roman"/>
                      <w:noProof/>
                      <w:sz w:val="22"/>
                      <w:lang w:val="en-IE" w:eastAsia="en-IE"/>
                    </w:rPr>
                    <w:t> </w:t>
                  </w:r>
                </w:p>
              </w:tc>
              <w:tc>
                <w:tcPr>
                  <w:tcW w:w="1281" w:type="dxa"/>
                  <w:tcBorders>
                    <w:top w:val="single" w:sz="6" w:space="0" w:color="auto"/>
                    <w:left w:val="single" w:sz="6" w:space="0" w:color="auto"/>
                    <w:bottom w:val="single" w:sz="6" w:space="0" w:color="auto"/>
                    <w:right w:val="single" w:sz="6" w:space="0" w:color="auto"/>
                  </w:tcBorders>
                  <w:hideMark/>
                </w:tcPr>
                <w:p w14:paraId="10269DD5"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flow</w:t>
                  </w:r>
                  <w:r w:rsidRPr="006F001C">
                    <w:rPr>
                      <w:rFonts w:eastAsia="Times New Roman"/>
                      <w:noProof/>
                      <w:sz w:val="22"/>
                      <w:lang w:val="en-IE" w:eastAsia="en-IE"/>
                    </w:rPr>
                    <w:t> </w:t>
                  </w:r>
                </w:p>
                <w:p w14:paraId="34819F2A"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processing</w:t>
                  </w:r>
                  <w:r w:rsidRPr="006F001C">
                    <w:rPr>
                      <w:rFonts w:eastAsia="Times New Roman"/>
                      <w:noProof/>
                      <w:sz w:val="22"/>
                      <w:lang w:val="en-IE" w:eastAsia="en-IE"/>
                    </w:rPr>
                    <w:t> </w:t>
                  </w:r>
                </w:p>
              </w:tc>
            </w:tr>
            <w:tr w:rsidR="007A5304" w:rsidRPr="006F001C" w14:paraId="2604A8CD" w14:textId="77777777">
              <w:trPr>
                <w:trHeight w:val="765"/>
              </w:trPr>
              <w:tc>
                <w:tcPr>
                  <w:tcW w:w="2887" w:type="dxa"/>
                  <w:tcBorders>
                    <w:top w:val="single" w:sz="6" w:space="0" w:color="auto"/>
                    <w:left w:val="single" w:sz="6" w:space="0" w:color="auto"/>
                    <w:bottom w:val="single" w:sz="6" w:space="0" w:color="auto"/>
                    <w:right w:val="single" w:sz="6" w:space="0" w:color="auto"/>
                  </w:tcBorders>
                  <w:hideMark/>
                </w:tcPr>
                <w:p w14:paraId="540B0B81"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Article 28(1) </w:t>
                  </w:r>
                  <w:r w:rsidRPr="006F001C">
                    <w:rPr>
                      <w:rFonts w:eastAsia="Times New Roman"/>
                      <w:noProof/>
                      <w:sz w:val="22"/>
                      <w:lang w:val="en-IE" w:eastAsia="en-IE"/>
                    </w:rPr>
                    <w:t> </w:t>
                  </w:r>
                </w:p>
                <w:p w14:paraId="46C5436E"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Functions of the Management Board</w:t>
                  </w:r>
                  <w:r w:rsidRPr="006F001C">
                    <w:rPr>
                      <w:rFonts w:eastAsia="Times New Roman"/>
                      <w:noProof/>
                      <w:sz w:val="22"/>
                      <w:lang w:val="en-IE" w:eastAsia="en-IE"/>
                    </w:rPr>
                    <w:t> </w:t>
                  </w:r>
                </w:p>
                <w:p w14:paraId="18B8BE90"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val="en-IE" w:eastAsia="en-IE"/>
                    </w:rPr>
                    <w:t> </w:t>
                  </w:r>
                </w:p>
                <w:p w14:paraId="02734780"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Article 30</w:t>
                  </w:r>
                  <w:r w:rsidRPr="006F001C">
                    <w:rPr>
                      <w:rFonts w:eastAsia="Times New Roman"/>
                      <w:noProof/>
                      <w:sz w:val="22"/>
                      <w:lang w:val="en-IE" w:eastAsia="en-IE"/>
                    </w:rPr>
                    <w:t> </w:t>
                  </w:r>
                </w:p>
                <w:p w14:paraId="1B8A9AEC"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Executive Board</w:t>
                  </w:r>
                  <w:r w:rsidRPr="006F001C">
                    <w:rPr>
                      <w:rFonts w:eastAsia="Times New Roman"/>
                      <w:noProof/>
                      <w:sz w:val="22"/>
                      <w:lang w:val="en-IE" w:eastAsia="en-IE"/>
                    </w:rPr>
                    <w:t> </w:t>
                  </w:r>
                </w:p>
              </w:tc>
              <w:tc>
                <w:tcPr>
                  <w:tcW w:w="4332" w:type="dxa"/>
                  <w:tcBorders>
                    <w:top w:val="single" w:sz="6" w:space="0" w:color="auto"/>
                    <w:left w:val="single" w:sz="6" w:space="0" w:color="auto"/>
                    <w:bottom w:val="single" w:sz="6" w:space="0" w:color="auto"/>
                    <w:right w:val="single" w:sz="6" w:space="0" w:color="auto"/>
                  </w:tcBorders>
                  <w:hideMark/>
                </w:tcPr>
                <w:p w14:paraId="2F6603AA" w14:textId="77777777" w:rsidR="007A5304" w:rsidRPr="006F001C" w:rsidRDefault="007A5304" w:rsidP="00D06470">
                  <w:pPr>
                    <w:numPr>
                      <w:ilvl w:val="0"/>
                      <w:numId w:val="165"/>
                    </w:numPr>
                    <w:spacing w:before="0" w:after="0"/>
                    <w:ind w:firstLine="0"/>
                    <w:textAlignment w:val="baseline"/>
                    <w:rPr>
                      <w:rFonts w:eastAsia="Times New Roman"/>
                      <w:noProof/>
                      <w:sz w:val="22"/>
                      <w:lang w:val="en-IE" w:eastAsia="en-IE"/>
                    </w:rPr>
                  </w:pPr>
                  <w:r w:rsidRPr="006F001C">
                    <w:rPr>
                      <w:rFonts w:eastAsia="Times New Roman"/>
                      <w:noProof/>
                      <w:sz w:val="22"/>
                      <w:lang w:eastAsia="en-IE"/>
                    </w:rPr>
                    <w:t>adopt ENISA’s draft single programming document referred to in Article 44, before its </w:t>
                  </w:r>
                  <w:r w:rsidRPr="006F001C">
                    <w:rPr>
                      <w:rFonts w:eastAsia="Times New Roman"/>
                      <w:b/>
                      <w:bCs/>
                      <w:noProof/>
                      <w:sz w:val="22"/>
                      <w:lang w:eastAsia="en-IE"/>
                    </w:rPr>
                    <w:t>submission to the Commission for an opinion</w:t>
                  </w:r>
                  <w:r w:rsidRPr="006F001C">
                    <w:rPr>
                      <w:rFonts w:eastAsia="Times New Roman"/>
                      <w:noProof/>
                      <w:sz w:val="22"/>
                      <w:lang w:eastAsia="en-IE"/>
                    </w:rPr>
                    <w:t>;</w:t>
                  </w:r>
                  <w:r w:rsidRPr="006F001C">
                    <w:rPr>
                      <w:rFonts w:eastAsia="Times New Roman"/>
                      <w:noProof/>
                      <w:sz w:val="22"/>
                      <w:lang w:val="en-IE" w:eastAsia="en-IE"/>
                    </w:rPr>
                    <w:t> </w:t>
                  </w:r>
                </w:p>
                <w:p w14:paraId="77A75683"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(f)  </w:t>
                  </w:r>
                  <w:r w:rsidRPr="006F001C">
                    <w:rPr>
                      <w:rFonts w:eastAsia="Times New Roman"/>
                      <w:b/>
                      <w:bCs/>
                      <w:noProof/>
                      <w:sz w:val="22"/>
                      <w:lang w:eastAsia="en-IE"/>
                    </w:rPr>
                    <w:t>assess</w:t>
                  </w:r>
                  <w:r w:rsidRPr="006F001C">
                    <w:rPr>
                      <w:rFonts w:eastAsia="Times New Roman"/>
                      <w:noProof/>
                      <w:sz w:val="22"/>
                      <w:lang w:eastAsia="en-IE"/>
                    </w:rPr>
                    <w:t> and adopt the consolidated annual report on ENISA’s activities, including the accounts and a description of how ENISA has met its performance indicators, </w:t>
                  </w:r>
                  <w:r w:rsidRPr="006F001C">
                    <w:rPr>
                      <w:rFonts w:eastAsia="Times New Roman"/>
                      <w:b/>
                      <w:bCs/>
                      <w:noProof/>
                      <w:sz w:val="22"/>
                      <w:lang w:eastAsia="en-IE"/>
                    </w:rPr>
                    <w:t>submit both the annual report and the assessment</w:t>
                  </w:r>
                  <w:r w:rsidRPr="006F001C">
                    <w:rPr>
                      <w:rFonts w:eastAsia="Times New Roman"/>
                      <w:noProof/>
                      <w:sz w:val="22"/>
                      <w:lang w:eastAsia="en-IE"/>
                    </w:rPr>
                    <w:t xml:space="preserve"> thereof by 1 July of the following year, to the European Parliament, to the Council, to the Commission and to the </w:t>
                  </w:r>
                  <w:r>
                    <w:rPr>
                      <w:rFonts w:eastAsia="Times New Roman"/>
                      <w:noProof/>
                      <w:sz w:val="22"/>
                      <w:lang w:eastAsia="en-IE"/>
                    </w:rPr>
                    <w:t xml:space="preserve">European </w:t>
                  </w:r>
                  <w:r w:rsidRPr="006F001C">
                    <w:rPr>
                      <w:rFonts w:eastAsia="Times New Roman"/>
                      <w:noProof/>
                      <w:sz w:val="22"/>
                      <w:lang w:eastAsia="en-IE"/>
                    </w:rPr>
                    <w:t>Court of Auditors</w:t>
                  </w:r>
                  <w:r>
                    <w:rPr>
                      <w:rFonts w:eastAsia="Times New Roman"/>
                      <w:noProof/>
                      <w:sz w:val="22"/>
                      <w:lang w:eastAsia="en-IE"/>
                    </w:rPr>
                    <w:t>;</w:t>
                  </w:r>
                  <w:r w:rsidRPr="006F001C">
                    <w:rPr>
                      <w:rFonts w:eastAsia="Times New Roman"/>
                      <w:noProof/>
                      <w:sz w:val="22"/>
                      <w:lang w:eastAsia="en-IE"/>
                    </w:rPr>
                    <w:t xml:space="preserve"> make the annual report public;</w:t>
                  </w:r>
                  <w:r w:rsidRPr="006F001C">
                    <w:rPr>
                      <w:rFonts w:eastAsia="Times New Roman"/>
                      <w:noProof/>
                      <w:sz w:val="22"/>
                      <w:lang w:val="en-IE" w:eastAsia="en-IE"/>
                    </w:rPr>
                    <w:t> </w:t>
                  </w:r>
                </w:p>
                <w:p w14:paraId="69AEE3E9"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w:t>
                  </w:r>
                  <w:r>
                    <w:rPr>
                      <w:rFonts w:eastAsia="Times New Roman"/>
                      <w:noProof/>
                      <w:sz w:val="22"/>
                      <w:lang w:eastAsia="en-IE"/>
                    </w:rPr>
                    <w:t>i</w:t>
                  </w:r>
                  <w:r w:rsidRPr="006F001C">
                    <w:rPr>
                      <w:rFonts w:eastAsia="Times New Roman"/>
                      <w:noProof/>
                      <w:sz w:val="22"/>
                      <w:lang w:eastAsia="en-IE"/>
                    </w:rPr>
                    <w:t>) ensure adequate </w:t>
                  </w:r>
                  <w:r w:rsidRPr="006F001C">
                    <w:rPr>
                      <w:rFonts w:eastAsia="Times New Roman"/>
                      <w:b/>
                      <w:bCs/>
                      <w:noProof/>
                      <w:sz w:val="22"/>
                      <w:lang w:eastAsia="en-IE"/>
                    </w:rPr>
                    <w:t>follow-up to findings</w:t>
                  </w:r>
                  <w:r w:rsidRPr="006F001C">
                    <w:rPr>
                      <w:rFonts w:eastAsia="Times New Roman"/>
                      <w:noProof/>
                      <w:sz w:val="22"/>
                      <w:lang w:eastAsia="en-IE"/>
                    </w:rPr>
                    <w:t> and recommendations stemming from internal or external audit reports and evaluations and from investigations of the European Anti-Fraud Office (OLAF) and of the European Public Prosecutor’s Office (EPPO);</w:t>
                  </w:r>
                  <w:r w:rsidRPr="006F001C">
                    <w:rPr>
                      <w:rFonts w:eastAsia="Times New Roman"/>
                      <w:noProof/>
                      <w:sz w:val="22"/>
                      <w:lang w:val="en-IE" w:eastAsia="en-IE"/>
                    </w:rPr>
                    <w:t> </w:t>
                  </w:r>
                </w:p>
              </w:tc>
              <w:tc>
                <w:tcPr>
                  <w:tcW w:w="3015" w:type="dxa"/>
                  <w:tcBorders>
                    <w:top w:val="single" w:sz="6" w:space="0" w:color="auto"/>
                    <w:left w:val="single" w:sz="6" w:space="0" w:color="auto"/>
                    <w:bottom w:val="single" w:sz="6" w:space="0" w:color="auto"/>
                    <w:right w:val="single" w:sz="6" w:space="0" w:color="auto"/>
                  </w:tcBorders>
                  <w:hideMark/>
                </w:tcPr>
                <w:p w14:paraId="756A5974"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ENISA</w:t>
                  </w:r>
                  <w:r w:rsidRPr="006F001C">
                    <w:rPr>
                      <w:rFonts w:eastAsia="Times New Roman"/>
                      <w:noProof/>
                      <w:sz w:val="22"/>
                      <w:lang w:val="en-IE" w:eastAsia="en-IE"/>
                    </w:rPr>
                    <w:t> </w:t>
                  </w:r>
                </w:p>
                <w:p w14:paraId="0BF6A1FE"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EU Commission </w:t>
                  </w:r>
                  <w:r w:rsidRPr="006F001C">
                    <w:rPr>
                      <w:rFonts w:eastAsia="Times New Roman"/>
                      <w:noProof/>
                      <w:sz w:val="22"/>
                      <w:lang w:val="en-IE" w:eastAsia="en-IE"/>
                    </w:rPr>
                    <w:t> </w:t>
                  </w:r>
                </w:p>
                <w:p w14:paraId="0FB141A7"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European Parliament</w:t>
                  </w:r>
                  <w:r w:rsidRPr="006F001C">
                    <w:rPr>
                      <w:rFonts w:eastAsia="Times New Roman"/>
                      <w:noProof/>
                      <w:sz w:val="22"/>
                      <w:lang w:val="en-IE" w:eastAsia="en-IE"/>
                    </w:rPr>
                    <w:t> </w:t>
                  </w:r>
                </w:p>
                <w:p w14:paraId="1E3055DF"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Council of the EU</w:t>
                  </w:r>
                  <w:r w:rsidRPr="006F001C">
                    <w:rPr>
                      <w:rFonts w:eastAsia="Times New Roman"/>
                      <w:noProof/>
                      <w:sz w:val="22"/>
                      <w:lang w:val="en-IE" w:eastAsia="en-IE"/>
                    </w:rPr>
                    <w:t> </w:t>
                  </w:r>
                </w:p>
                <w:p w14:paraId="3F5B1A50"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Court of Auditors</w:t>
                  </w:r>
                  <w:r w:rsidRPr="006F001C">
                    <w:rPr>
                      <w:rFonts w:eastAsia="Times New Roman"/>
                      <w:noProof/>
                      <w:sz w:val="22"/>
                      <w:lang w:val="en-IE" w:eastAsia="en-IE"/>
                    </w:rPr>
                    <w:t> </w:t>
                  </w:r>
                </w:p>
                <w:p w14:paraId="250D41C9"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Member States </w:t>
                  </w:r>
                  <w:r w:rsidRPr="006F001C">
                    <w:rPr>
                      <w:rFonts w:eastAsia="Times New Roman"/>
                      <w:noProof/>
                      <w:sz w:val="22"/>
                      <w:lang w:val="en-IE" w:eastAsia="en-IE"/>
                    </w:rPr>
                    <w:t> </w:t>
                  </w:r>
                </w:p>
                <w:p w14:paraId="08A183E1"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General public</w:t>
                  </w:r>
                  <w:r w:rsidRPr="006F001C">
                    <w:rPr>
                      <w:rFonts w:eastAsia="Times New Roman"/>
                      <w:noProof/>
                      <w:sz w:val="22"/>
                      <w:lang w:val="en-IE" w:eastAsia="en-IE"/>
                    </w:rPr>
                    <w:t> </w:t>
                  </w:r>
                </w:p>
              </w:tc>
              <w:tc>
                <w:tcPr>
                  <w:tcW w:w="3040" w:type="dxa"/>
                  <w:tcBorders>
                    <w:top w:val="single" w:sz="6" w:space="0" w:color="auto"/>
                    <w:left w:val="single" w:sz="6" w:space="0" w:color="auto"/>
                    <w:bottom w:val="single" w:sz="6" w:space="0" w:color="auto"/>
                    <w:right w:val="single" w:sz="6" w:space="0" w:color="auto"/>
                  </w:tcBorders>
                  <w:hideMark/>
                </w:tcPr>
                <w:p w14:paraId="374D09A2"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Submission of the SPD to the Commission for an opinion;</w:t>
                  </w:r>
                  <w:r w:rsidRPr="006F001C">
                    <w:rPr>
                      <w:rFonts w:eastAsia="Times New Roman"/>
                      <w:noProof/>
                      <w:sz w:val="22"/>
                      <w:lang w:val="en-IE" w:eastAsia="en-IE"/>
                    </w:rPr>
                    <w:t> </w:t>
                  </w:r>
                </w:p>
                <w:p w14:paraId="21775CDA"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Assess and adopt the consolidated annual report on ENISA’s activities, including the accounts and a description of how ENISA has met its performance indicators, submit both the annual report and the assessment; </w:t>
                  </w:r>
                  <w:r w:rsidRPr="006F001C">
                    <w:rPr>
                      <w:rFonts w:eastAsia="Times New Roman"/>
                      <w:noProof/>
                      <w:sz w:val="22"/>
                      <w:lang w:val="en-IE" w:eastAsia="en-IE"/>
                    </w:rPr>
                    <w:t> </w:t>
                  </w:r>
                </w:p>
                <w:p w14:paraId="7B31D83B"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Follow-up the findings </w:t>
                  </w:r>
                  <w:r w:rsidRPr="006F001C">
                    <w:rPr>
                      <w:rFonts w:eastAsia="Times New Roman"/>
                      <w:noProof/>
                      <w:sz w:val="22"/>
                      <w:lang w:val="en-IE" w:eastAsia="en-IE"/>
                    </w:rPr>
                    <w:t> </w:t>
                  </w:r>
                </w:p>
              </w:tc>
              <w:tc>
                <w:tcPr>
                  <w:tcW w:w="1281" w:type="dxa"/>
                  <w:tcBorders>
                    <w:top w:val="single" w:sz="6" w:space="0" w:color="auto"/>
                    <w:left w:val="single" w:sz="6" w:space="0" w:color="auto"/>
                    <w:bottom w:val="single" w:sz="6" w:space="0" w:color="auto"/>
                    <w:right w:val="single" w:sz="6" w:space="0" w:color="auto"/>
                  </w:tcBorders>
                  <w:hideMark/>
                </w:tcPr>
                <w:p w14:paraId="424142C0"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flow</w:t>
                  </w:r>
                  <w:r w:rsidRPr="006F001C">
                    <w:rPr>
                      <w:rFonts w:eastAsia="Times New Roman"/>
                      <w:noProof/>
                      <w:sz w:val="22"/>
                      <w:lang w:val="en-IE" w:eastAsia="en-IE"/>
                    </w:rPr>
                    <w:t> </w:t>
                  </w:r>
                </w:p>
                <w:p w14:paraId="5CAA8834"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processing</w:t>
                  </w:r>
                  <w:r w:rsidRPr="006F001C">
                    <w:rPr>
                      <w:rFonts w:eastAsia="Times New Roman"/>
                      <w:noProof/>
                      <w:sz w:val="22"/>
                      <w:lang w:val="en-IE" w:eastAsia="en-IE"/>
                    </w:rPr>
                    <w:t> </w:t>
                  </w:r>
                </w:p>
                <w:p w14:paraId="15382589"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val="en-IE" w:eastAsia="en-IE"/>
                    </w:rPr>
                    <w:t> </w:t>
                  </w:r>
                </w:p>
              </w:tc>
            </w:tr>
            <w:tr w:rsidR="007A5304" w:rsidRPr="006F001C" w14:paraId="273BBF65" w14:textId="77777777">
              <w:trPr>
                <w:trHeight w:val="2460"/>
              </w:trPr>
              <w:tc>
                <w:tcPr>
                  <w:tcW w:w="2887" w:type="dxa"/>
                  <w:tcBorders>
                    <w:top w:val="single" w:sz="6" w:space="0" w:color="auto"/>
                    <w:left w:val="single" w:sz="6" w:space="0" w:color="auto"/>
                    <w:bottom w:val="single" w:sz="6" w:space="0" w:color="auto"/>
                    <w:right w:val="single" w:sz="6" w:space="0" w:color="auto"/>
                  </w:tcBorders>
                  <w:hideMark/>
                </w:tcPr>
                <w:p w14:paraId="1BCC8483"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Article 31(8)</w:t>
                  </w:r>
                  <w:r w:rsidRPr="006F001C">
                    <w:rPr>
                      <w:rFonts w:eastAsia="Times New Roman"/>
                      <w:noProof/>
                      <w:sz w:val="22"/>
                      <w:lang w:val="en-IE" w:eastAsia="en-IE"/>
                    </w:rPr>
                    <w:t> </w:t>
                  </w:r>
                </w:p>
                <w:p w14:paraId="1004465F"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Appointment, dismissal and extension of the term of office</w:t>
                  </w:r>
                  <w:r w:rsidRPr="006F001C">
                    <w:rPr>
                      <w:rFonts w:eastAsia="Times New Roman"/>
                      <w:noProof/>
                      <w:sz w:val="22"/>
                      <w:lang w:val="en-IE" w:eastAsia="en-IE"/>
                    </w:rPr>
                    <w:t> </w:t>
                  </w:r>
                </w:p>
                <w:p w14:paraId="0F0C6782"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val="en-IE" w:eastAsia="en-IE"/>
                    </w:rPr>
                    <w:t> </w:t>
                  </w:r>
                </w:p>
              </w:tc>
              <w:tc>
                <w:tcPr>
                  <w:tcW w:w="4332" w:type="dxa"/>
                  <w:tcBorders>
                    <w:top w:val="single" w:sz="6" w:space="0" w:color="auto"/>
                    <w:left w:val="single" w:sz="6" w:space="0" w:color="auto"/>
                    <w:bottom w:val="single" w:sz="6" w:space="0" w:color="auto"/>
                    <w:right w:val="single" w:sz="6" w:space="0" w:color="auto"/>
                  </w:tcBorders>
                  <w:hideMark/>
                </w:tcPr>
                <w:p w14:paraId="69EB9428"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The </w:t>
                  </w:r>
                  <w:r w:rsidRPr="006F001C">
                    <w:rPr>
                      <w:rFonts w:eastAsia="Times New Roman"/>
                      <w:b/>
                      <w:bCs/>
                      <w:noProof/>
                      <w:sz w:val="22"/>
                      <w:lang w:eastAsia="en-IE"/>
                    </w:rPr>
                    <w:t>Management Board shall inform the European Parliament </w:t>
                  </w:r>
                  <w:r w:rsidRPr="006F001C">
                    <w:rPr>
                      <w:rFonts w:eastAsia="Times New Roman"/>
                      <w:noProof/>
                      <w:sz w:val="22"/>
                      <w:lang w:eastAsia="en-IE"/>
                    </w:rPr>
                    <w:t>about its intention to extend the Executive Director’s term of office</w:t>
                  </w:r>
                  <w:r>
                    <w:rPr>
                      <w:rFonts w:eastAsia="Times New Roman"/>
                      <w:noProof/>
                      <w:sz w:val="22"/>
                      <w:lang w:eastAsia="en-IE"/>
                    </w:rPr>
                    <w:t xml:space="preserve"> in accordance with paragraph 6</w:t>
                  </w:r>
                  <w:r w:rsidRPr="006F001C">
                    <w:rPr>
                      <w:rFonts w:eastAsia="Times New Roman"/>
                      <w:noProof/>
                      <w:sz w:val="22"/>
                      <w:lang w:eastAsia="en-IE"/>
                    </w:rPr>
                    <w:t xml:space="preserve">. Within three months before any such extension, the Executive Director, if invited, shall make a statement before the relevant committee of the European Parliament and answer </w:t>
                  </w:r>
                  <w:r>
                    <w:rPr>
                      <w:rFonts w:eastAsia="Times New Roman"/>
                      <w:noProof/>
                      <w:sz w:val="22"/>
                      <w:lang w:eastAsia="en-IE"/>
                    </w:rPr>
                    <w:t>m</w:t>
                  </w:r>
                  <w:r w:rsidRPr="006F001C">
                    <w:rPr>
                      <w:rFonts w:eastAsia="Times New Roman"/>
                      <w:noProof/>
                      <w:sz w:val="22"/>
                      <w:lang w:eastAsia="en-IE"/>
                    </w:rPr>
                    <w:t>embers’ questions.</w:t>
                  </w:r>
                  <w:r w:rsidRPr="006F001C">
                    <w:rPr>
                      <w:rFonts w:eastAsia="Times New Roman"/>
                      <w:noProof/>
                      <w:sz w:val="22"/>
                      <w:lang w:val="en-IE" w:eastAsia="en-IE"/>
                    </w:rPr>
                    <w:t> </w:t>
                  </w:r>
                </w:p>
              </w:tc>
              <w:tc>
                <w:tcPr>
                  <w:tcW w:w="3015" w:type="dxa"/>
                  <w:tcBorders>
                    <w:top w:val="single" w:sz="6" w:space="0" w:color="auto"/>
                    <w:left w:val="single" w:sz="6" w:space="0" w:color="auto"/>
                    <w:bottom w:val="single" w:sz="6" w:space="0" w:color="auto"/>
                    <w:right w:val="single" w:sz="6" w:space="0" w:color="auto"/>
                  </w:tcBorders>
                  <w:hideMark/>
                </w:tcPr>
                <w:p w14:paraId="0D9FA9A3"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ENISA </w:t>
                  </w:r>
                  <w:r w:rsidRPr="006F001C">
                    <w:rPr>
                      <w:rFonts w:eastAsia="Times New Roman"/>
                      <w:noProof/>
                      <w:sz w:val="22"/>
                      <w:lang w:val="en-IE" w:eastAsia="en-IE"/>
                    </w:rPr>
                    <w:t> </w:t>
                  </w:r>
                </w:p>
                <w:p w14:paraId="413B834B"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Management Board of ENISA </w:t>
                  </w:r>
                  <w:r w:rsidRPr="006F001C">
                    <w:rPr>
                      <w:rFonts w:eastAsia="Times New Roman"/>
                      <w:noProof/>
                      <w:sz w:val="22"/>
                      <w:lang w:val="en-IE" w:eastAsia="en-IE"/>
                    </w:rPr>
                    <w:t> </w:t>
                  </w:r>
                </w:p>
                <w:p w14:paraId="2328AD1D"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European Parliament </w:t>
                  </w:r>
                  <w:r w:rsidRPr="006F001C">
                    <w:rPr>
                      <w:rFonts w:eastAsia="Times New Roman"/>
                      <w:noProof/>
                      <w:sz w:val="22"/>
                      <w:lang w:val="en-IE" w:eastAsia="en-IE"/>
                    </w:rPr>
                    <w:t> </w:t>
                  </w:r>
                </w:p>
              </w:tc>
              <w:tc>
                <w:tcPr>
                  <w:tcW w:w="3040" w:type="dxa"/>
                  <w:tcBorders>
                    <w:top w:val="single" w:sz="6" w:space="0" w:color="auto"/>
                    <w:left w:val="single" w:sz="6" w:space="0" w:color="auto"/>
                    <w:bottom w:val="single" w:sz="6" w:space="0" w:color="auto"/>
                    <w:right w:val="single" w:sz="6" w:space="0" w:color="auto"/>
                  </w:tcBorders>
                  <w:hideMark/>
                </w:tcPr>
                <w:p w14:paraId="6A85F558"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The Management Board shall inform the European Parliament</w:t>
                  </w:r>
                  <w:r w:rsidRPr="006F001C">
                    <w:rPr>
                      <w:rFonts w:eastAsia="Times New Roman"/>
                      <w:noProof/>
                      <w:sz w:val="22"/>
                      <w:lang w:val="en-IE" w:eastAsia="en-IE"/>
                    </w:rPr>
                    <w:t> </w:t>
                  </w:r>
                </w:p>
              </w:tc>
              <w:tc>
                <w:tcPr>
                  <w:tcW w:w="1281" w:type="dxa"/>
                  <w:tcBorders>
                    <w:top w:val="single" w:sz="6" w:space="0" w:color="auto"/>
                    <w:left w:val="single" w:sz="6" w:space="0" w:color="auto"/>
                    <w:bottom w:val="single" w:sz="6" w:space="0" w:color="auto"/>
                    <w:right w:val="single" w:sz="6" w:space="0" w:color="auto"/>
                  </w:tcBorders>
                  <w:hideMark/>
                </w:tcPr>
                <w:p w14:paraId="30221992"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flow</w:t>
                  </w:r>
                  <w:r w:rsidRPr="006F001C">
                    <w:rPr>
                      <w:rFonts w:eastAsia="Times New Roman"/>
                      <w:noProof/>
                      <w:sz w:val="22"/>
                      <w:lang w:val="en-IE" w:eastAsia="en-IE"/>
                    </w:rPr>
                    <w:t> </w:t>
                  </w:r>
                </w:p>
              </w:tc>
            </w:tr>
            <w:tr w:rsidR="007A5304" w:rsidRPr="006F001C" w14:paraId="68EE7393" w14:textId="77777777">
              <w:trPr>
                <w:trHeight w:val="2745"/>
              </w:trPr>
              <w:tc>
                <w:tcPr>
                  <w:tcW w:w="2887" w:type="dxa"/>
                  <w:tcBorders>
                    <w:top w:val="single" w:sz="6" w:space="0" w:color="auto"/>
                    <w:left w:val="single" w:sz="6" w:space="0" w:color="auto"/>
                    <w:bottom w:val="single" w:sz="6" w:space="0" w:color="auto"/>
                    <w:right w:val="single" w:sz="6" w:space="0" w:color="auto"/>
                  </w:tcBorders>
                  <w:hideMark/>
                </w:tcPr>
                <w:p w14:paraId="3A2A58DD"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Article 32(3)</w:t>
                  </w:r>
                  <w:r w:rsidRPr="006F001C">
                    <w:rPr>
                      <w:rFonts w:eastAsia="Times New Roman"/>
                      <w:noProof/>
                      <w:sz w:val="22"/>
                      <w:lang w:val="en-IE" w:eastAsia="en-IE"/>
                    </w:rPr>
                    <w:t> </w:t>
                  </w:r>
                </w:p>
                <w:p w14:paraId="059FE198"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Tasks and responsibilities of the Executive Director</w:t>
                  </w:r>
                  <w:r w:rsidRPr="006F001C">
                    <w:rPr>
                      <w:rFonts w:eastAsia="Times New Roman"/>
                      <w:noProof/>
                      <w:sz w:val="22"/>
                      <w:lang w:val="en-IE" w:eastAsia="en-IE"/>
                    </w:rPr>
                    <w:t> </w:t>
                  </w:r>
                </w:p>
                <w:p w14:paraId="619E2662"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val="en-IE" w:eastAsia="en-IE"/>
                    </w:rPr>
                    <w:t> </w:t>
                  </w:r>
                </w:p>
                <w:p w14:paraId="0B337737"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val="en-IE" w:eastAsia="en-IE"/>
                    </w:rPr>
                    <w:t> </w:t>
                  </w:r>
                </w:p>
                <w:p w14:paraId="507124E3"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Article 32(5)</w:t>
                  </w:r>
                  <w:r w:rsidRPr="006F001C">
                    <w:rPr>
                      <w:rFonts w:eastAsia="Times New Roman"/>
                      <w:noProof/>
                      <w:sz w:val="22"/>
                      <w:lang w:val="en-IE" w:eastAsia="en-IE"/>
                    </w:rPr>
                    <w:t> </w:t>
                  </w:r>
                </w:p>
              </w:tc>
              <w:tc>
                <w:tcPr>
                  <w:tcW w:w="4332" w:type="dxa"/>
                  <w:tcBorders>
                    <w:top w:val="single" w:sz="6" w:space="0" w:color="auto"/>
                    <w:left w:val="single" w:sz="6" w:space="0" w:color="auto"/>
                    <w:bottom w:val="single" w:sz="6" w:space="0" w:color="auto"/>
                    <w:right w:val="single" w:sz="6" w:space="0" w:color="auto"/>
                  </w:tcBorders>
                  <w:hideMark/>
                </w:tcPr>
                <w:p w14:paraId="1FA1033D"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3. The </w:t>
                  </w:r>
                  <w:r w:rsidRPr="006F001C">
                    <w:rPr>
                      <w:rFonts w:eastAsia="Times New Roman"/>
                      <w:b/>
                      <w:bCs/>
                      <w:noProof/>
                      <w:sz w:val="22"/>
                      <w:lang w:eastAsia="en-IE"/>
                    </w:rPr>
                    <w:t>Executive Director shall report to the European Parliament </w:t>
                  </w:r>
                  <w:r w:rsidRPr="006F001C">
                    <w:rPr>
                      <w:rFonts w:eastAsia="Times New Roman"/>
                      <w:noProof/>
                      <w:sz w:val="22"/>
                      <w:lang w:eastAsia="en-IE"/>
                    </w:rPr>
                    <w:t xml:space="preserve">on the performance of </w:t>
                  </w:r>
                  <w:r>
                    <w:rPr>
                      <w:rFonts w:eastAsia="Times New Roman"/>
                      <w:noProof/>
                      <w:sz w:val="22"/>
                      <w:lang w:eastAsia="en-IE"/>
                    </w:rPr>
                    <w:t>their</w:t>
                  </w:r>
                  <w:r w:rsidRPr="006F001C">
                    <w:rPr>
                      <w:rFonts w:eastAsia="Times New Roman"/>
                      <w:noProof/>
                      <w:sz w:val="22"/>
                      <w:lang w:eastAsia="en-IE"/>
                    </w:rPr>
                    <w:t xml:space="preserve"> tasks when invited to do so. The Council may invite the Executive Director to report on the performance of </w:t>
                  </w:r>
                  <w:r>
                    <w:rPr>
                      <w:rFonts w:eastAsia="Times New Roman"/>
                      <w:noProof/>
                      <w:sz w:val="22"/>
                      <w:lang w:eastAsia="en-IE"/>
                    </w:rPr>
                    <w:t>their</w:t>
                  </w:r>
                  <w:r w:rsidRPr="006F001C">
                    <w:rPr>
                      <w:rFonts w:eastAsia="Times New Roman"/>
                      <w:noProof/>
                      <w:sz w:val="22"/>
                      <w:lang w:eastAsia="en-IE"/>
                    </w:rPr>
                    <w:t xml:space="preserve"> tasks.</w:t>
                  </w:r>
                  <w:r w:rsidRPr="006F001C">
                    <w:rPr>
                      <w:rFonts w:eastAsia="Times New Roman"/>
                      <w:noProof/>
                      <w:sz w:val="22"/>
                      <w:lang w:val="en-IE" w:eastAsia="en-IE"/>
                    </w:rPr>
                    <w:t> </w:t>
                  </w:r>
                </w:p>
                <w:p w14:paraId="7F060EC7"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Preparing draft budget plans strategies, strategic documents.</w:t>
                  </w:r>
                  <w:r w:rsidRPr="006F001C">
                    <w:rPr>
                      <w:rFonts w:eastAsia="Times New Roman"/>
                      <w:noProof/>
                      <w:sz w:val="22"/>
                      <w:lang w:val="en-IE" w:eastAsia="en-IE"/>
                    </w:rPr>
                    <w:t> </w:t>
                  </w:r>
                </w:p>
              </w:tc>
              <w:tc>
                <w:tcPr>
                  <w:tcW w:w="3015" w:type="dxa"/>
                  <w:tcBorders>
                    <w:top w:val="single" w:sz="6" w:space="0" w:color="auto"/>
                    <w:left w:val="single" w:sz="6" w:space="0" w:color="auto"/>
                    <w:bottom w:val="single" w:sz="6" w:space="0" w:color="auto"/>
                    <w:right w:val="single" w:sz="6" w:space="0" w:color="auto"/>
                  </w:tcBorders>
                  <w:hideMark/>
                </w:tcPr>
                <w:p w14:paraId="2671DD68"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Executive Director of ENISA</w:t>
                  </w:r>
                  <w:r w:rsidRPr="006F001C">
                    <w:rPr>
                      <w:rFonts w:eastAsia="Times New Roman"/>
                      <w:noProof/>
                      <w:sz w:val="22"/>
                      <w:lang w:val="en-IE" w:eastAsia="en-IE"/>
                    </w:rPr>
                    <w:t> </w:t>
                  </w:r>
                </w:p>
                <w:p w14:paraId="7947B505"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European Parliament </w:t>
                  </w:r>
                  <w:r w:rsidRPr="006F001C">
                    <w:rPr>
                      <w:rFonts w:eastAsia="Times New Roman"/>
                      <w:noProof/>
                      <w:sz w:val="22"/>
                      <w:lang w:val="en-IE" w:eastAsia="en-IE"/>
                    </w:rPr>
                    <w:t> </w:t>
                  </w:r>
                </w:p>
              </w:tc>
              <w:tc>
                <w:tcPr>
                  <w:tcW w:w="3040" w:type="dxa"/>
                  <w:tcBorders>
                    <w:top w:val="single" w:sz="6" w:space="0" w:color="auto"/>
                    <w:left w:val="single" w:sz="6" w:space="0" w:color="auto"/>
                    <w:bottom w:val="single" w:sz="6" w:space="0" w:color="auto"/>
                    <w:right w:val="single" w:sz="6" w:space="0" w:color="auto"/>
                  </w:tcBorders>
                  <w:hideMark/>
                </w:tcPr>
                <w:p w14:paraId="4EF883A4"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Reporting on the performance </w:t>
                  </w:r>
                  <w:r w:rsidRPr="006F001C">
                    <w:rPr>
                      <w:rFonts w:eastAsia="Times New Roman"/>
                      <w:noProof/>
                      <w:sz w:val="22"/>
                      <w:lang w:val="en-IE" w:eastAsia="en-IE"/>
                    </w:rPr>
                    <w:t> </w:t>
                  </w:r>
                </w:p>
              </w:tc>
              <w:tc>
                <w:tcPr>
                  <w:tcW w:w="1281" w:type="dxa"/>
                  <w:tcBorders>
                    <w:top w:val="single" w:sz="6" w:space="0" w:color="auto"/>
                    <w:left w:val="single" w:sz="6" w:space="0" w:color="auto"/>
                    <w:bottom w:val="single" w:sz="6" w:space="0" w:color="auto"/>
                    <w:right w:val="single" w:sz="6" w:space="0" w:color="auto"/>
                  </w:tcBorders>
                  <w:hideMark/>
                </w:tcPr>
                <w:p w14:paraId="2EDF0A1D"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flow</w:t>
                  </w:r>
                  <w:r w:rsidRPr="006F001C">
                    <w:rPr>
                      <w:rFonts w:eastAsia="Times New Roman"/>
                      <w:noProof/>
                      <w:sz w:val="22"/>
                      <w:lang w:val="en-IE" w:eastAsia="en-IE"/>
                    </w:rPr>
                    <w:t> </w:t>
                  </w:r>
                </w:p>
                <w:p w14:paraId="3D93C4B7"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processing</w:t>
                  </w:r>
                  <w:r w:rsidRPr="006F001C">
                    <w:rPr>
                      <w:rFonts w:eastAsia="Times New Roman"/>
                      <w:noProof/>
                      <w:sz w:val="22"/>
                      <w:lang w:val="en-IE" w:eastAsia="en-IE"/>
                    </w:rPr>
                    <w:t> </w:t>
                  </w:r>
                </w:p>
              </w:tc>
            </w:tr>
            <w:tr w:rsidR="007A5304" w:rsidRPr="006F001C" w14:paraId="4354E6E6" w14:textId="77777777">
              <w:trPr>
                <w:trHeight w:val="2745"/>
              </w:trPr>
              <w:tc>
                <w:tcPr>
                  <w:tcW w:w="2887" w:type="dxa"/>
                  <w:tcBorders>
                    <w:top w:val="single" w:sz="6" w:space="0" w:color="auto"/>
                    <w:left w:val="single" w:sz="6" w:space="0" w:color="auto"/>
                    <w:bottom w:val="single" w:sz="6" w:space="0" w:color="auto"/>
                    <w:right w:val="single" w:sz="6" w:space="0" w:color="auto"/>
                  </w:tcBorders>
                  <w:hideMark/>
                </w:tcPr>
                <w:p w14:paraId="1ED4B91A"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Article 35(5), (6)</w:t>
                  </w:r>
                  <w:r w:rsidRPr="006F001C">
                    <w:rPr>
                      <w:rFonts w:eastAsia="Times New Roman"/>
                      <w:noProof/>
                      <w:sz w:val="22"/>
                      <w:lang w:val="en-IE" w:eastAsia="en-IE"/>
                    </w:rPr>
                    <w:t> </w:t>
                  </w:r>
                </w:p>
                <w:p w14:paraId="61CDE718"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ENISA Advisory Group </w:t>
                  </w:r>
                  <w:r w:rsidRPr="006F001C">
                    <w:rPr>
                      <w:rFonts w:eastAsia="Times New Roman"/>
                      <w:noProof/>
                      <w:sz w:val="22"/>
                      <w:lang w:val="en-IE" w:eastAsia="en-IE"/>
                    </w:rPr>
                    <w:t> </w:t>
                  </w:r>
                </w:p>
              </w:tc>
              <w:tc>
                <w:tcPr>
                  <w:tcW w:w="4332" w:type="dxa"/>
                  <w:tcBorders>
                    <w:top w:val="single" w:sz="6" w:space="0" w:color="auto"/>
                    <w:left w:val="single" w:sz="6" w:space="0" w:color="auto"/>
                    <w:bottom w:val="single" w:sz="6" w:space="0" w:color="auto"/>
                    <w:right w:val="single" w:sz="6" w:space="0" w:color="auto"/>
                  </w:tcBorders>
                  <w:hideMark/>
                </w:tcPr>
                <w:p w14:paraId="33277CF4"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5.The ENISA Advisory Group </w:t>
                  </w:r>
                  <w:r w:rsidRPr="006F001C">
                    <w:rPr>
                      <w:rFonts w:eastAsia="Times New Roman"/>
                      <w:b/>
                      <w:bCs/>
                      <w:noProof/>
                      <w:sz w:val="22"/>
                      <w:lang w:eastAsia="en-IE"/>
                    </w:rPr>
                    <w:t>shall advise ENISA</w:t>
                  </w:r>
                  <w:r w:rsidRPr="006F001C">
                    <w:rPr>
                      <w:rFonts w:eastAsia="Times New Roman"/>
                      <w:noProof/>
                      <w:sz w:val="22"/>
                      <w:lang w:eastAsia="en-IE"/>
                    </w:rPr>
                    <w:t xml:space="preserve"> in respect of the performance of ENISA’s tasks, except </w:t>
                  </w:r>
                  <w:r>
                    <w:rPr>
                      <w:rFonts w:eastAsia="Times New Roman"/>
                      <w:noProof/>
                      <w:sz w:val="22"/>
                      <w:lang w:eastAsia="en-IE"/>
                    </w:rPr>
                    <w:t>for</w:t>
                  </w:r>
                  <w:r w:rsidRPr="006F001C">
                    <w:rPr>
                      <w:rFonts w:eastAsia="Times New Roman"/>
                      <w:noProof/>
                      <w:sz w:val="22"/>
                      <w:lang w:eastAsia="en-IE"/>
                    </w:rPr>
                    <w:t xml:space="preserve"> the application of the provisions of Titles III, IV, and V of this Regulation. It shall in particular advise the Executive Director on the drawing up of a proposal for ENISA’s annual work programme, and on ensuring communication with the relevant stakeholders on issues related to the annual work programme.</w:t>
                  </w:r>
                  <w:r w:rsidRPr="006F001C">
                    <w:rPr>
                      <w:rFonts w:eastAsia="Times New Roman"/>
                      <w:noProof/>
                      <w:sz w:val="22"/>
                      <w:lang w:val="en-IE" w:eastAsia="en-IE"/>
                    </w:rPr>
                    <w:t> </w:t>
                  </w:r>
                </w:p>
                <w:p w14:paraId="0CF17270"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6.</w:t>
                  </w:r>
                  <w:r w:rsidRPr="006F001C">
                    <w:rPr>
                      <w:rFonts w:ascii="Calibri" w:eastAsia="Times New Roman" w:hAnsi="Calibri" w:cs="Calibri"/>
                      <w:noProof/>
                      <w:sz w:val="22"/>
                      <w:lang w:val="en-IE" w:eastAsia="en-IE"/>
                    </w:rPr>
                    <w:tab/>
                  </w:r>
                  <w:r w:rsidRPr="006F001C">
                    <w:rPr>
                      <w:rFonts w:eastAsia="Times New Roman"/>
                      <w:noProof/>
                      <w:sz w:val="22"/>
                      <w:lang w:eastAsia="en-IE"/>
                    </w:rPr>
                    <w:t>The ENISA Advisory Group </w:t>
                  </w:r>
                  <w:r w:rsidRPr="006F001C">
                    <w:rPr>
                      <w:rFonts w:eastAsia="Times New Roman"/>
                      <w:b/>
                      <w:bCs/>
                      <w:noProof/>
                      <w:sz w:val="22"/>
                      <w:lang w:eastAsia="en-IE"/>
                    </w:rPr>
                    <w:t>shall inform the Management Board</w:t>
                  </w:r>
                  <w:r w:rsidRPr="006F001C">
                    <w:rPr>
                      <w:rFonts w:eastAsia="Times New Roman"/>
                      <w:noProof/>
                      <w:sz w:val="22"/>
                      <w:lang w:eastAsia="en-IE"/>
                    </w:rPr>
                    <w:t> of its activities on a regular basis.</w:t>
                  </w:r>
                  <w:r w:rsidRPr="006F001C">
                    <w:rPr>
                      <w:rFonts w:eastAsia="Times New Roman"/>
                      <w:noProof/>
                      <w:sz w:val="22"/>
                      <w:lang w:val="en-IE" w:eastAsia="en-IE"/>
                    </w:rPr>
                    <w:t> </w:t>
                  </w:r>
                </w:p>
              </w:tc>
              <w:tc>
                <w:tcPr>
                  <w:tcW w:w="3015" w:type="dxa"/>
                  <w:tcBorders>
                    <w:top w:val="single" w:sz="6" w:space="0" w:color="auto"/>
                    <w:left w:val="single" w:sz="6" w:space="0" w:color="auto"/>
                    <w:bottom w:val="single" w:sz="6" w:space="0" w:color="auto"/>
                    <w:right w:val="single" w:sz="6" w:space="0" w:color="auto"/>
                  </w:tcBorders>
                  <w:hideMark/>
                </w:tcPr>
                <w:p w14:paraId="25BFE557"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ENISA</w:t>
                  </w:r>
                  <w:r w:rsidRPr="006F001C">
                    <w:rPr>
                      <w:rFonts w:eastAsia="Times New Roman"/>
                      <w:noProof/>
                      <w:sz w:val="22"/>
                      <w:lang w:val="en-IE" w:eastAsia="en-IE"/>
                    </w:rPr>
                    <w:t> </w:t>
                  </w:r>
                </w:p>
                <w:p w14:paraId="4DCE0C5A"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Members of the ENISA Advisory Group </w:t>
                  </w:r>
                  <w:r w:rsidRPr="006F001C">
                    <w:rPr>
                      <w:rFonts w:eastAsia="Times New Roman"/>
                      <w:noProof/>
                      <w:sz w:val="22"/>
                      <w:lang w:val="en-IE" w:eastAsia="en-IE"/>
                    </w:rPr>
                    <w:t> </w:t>
                  </w:r>
                </w:p>
                <w:p w14:paraId="74BCB90D"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Management Board of ENISA </w:t>
                  </w:r>
                  <w:r w:rsidRPr="006F001C">
                    <w:rPr>
                      <w:rFonts w:eastAsia="Times New Roman"/>
                      <w:noProof/>
                      <w:sz w:val="22"/>
                      <w:lang w:val="en-IE" w:eastAsia="en-IE"/>
                    </w:rPr>
                    <w:t> </w:t>
                  </w:r>
                </w:p>
                <w:p w14:paraId="07141832"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Executive Director of ENISA</w:t>
                  </w:r>
                  <w:r w:rsidRPr="006F001C">
                    <w:rPr>
                      <w:rFonts w:eastAsia="Times New Roman"/>
                      <w:noProof/>
                      <w:sz w:val="22"/>
                      <w:lang w:val="en-IE" w:eastAsia="en-IE"/>
                    </w:rPr>
                    <w:t> </w:t>
                  </w:r>
                </w:p>
              </w:tc>
              <w:tc>
                <w:tcPr>
                  <w:tcW w:w="3040" w:type="dxa"/>
                  <w:tcBorders>
                    <w:top w:val="single" w:sz="6" w:space="0" w:color="auto"/>
                    <w:left w:val="single" w:sz="6" w:space="0" w:color="auto"/>
                    <w:bottom w:val="single" w:sz="6" w:space="0" w:color="auto"/>
                    <w:right w:val="single" w:sz="6" w:space="0" w:color="auto"/>
                  </w:tcBorders>
                  <w:hideMark/>
                </w:tcPr>
                <w:p w14:paraId="28F0DC01"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Advise and inform on its activities </w:t>
                  </w:r>
                  <w:r w:rsidRPr="006F001C">
                    <w:rPr>
                      <w:rFonts w:eastAsia="Times New Roman"/>
                      <w:noProof/>
                      <w:sz w:val="22"/>
                      <w:lang w:val="en-IE" w:eastAsia="en-IE"/>
                    </w:rPr>
                    <w:t> </w:t>
                  </w:r>
                </w:p>
              </w:tc>
              <w:tc>
                <w:tcPr>
                  <w:tcW w:w="1281" w:type="dxa"/>
                  <w:tcBorders>
                    <w:top w:val="single" w:sz="6" w:space="0" w:color="auto"/>
                    <w:left w:val="single" w:sz="6" w:space="0" w:color="auto"/>
                    <w:bottom w:val="single" w:sz="6" w:space="0" w:color="auto"/>
                    <w:right w:val="single" w:sz="6" w:space="0" w:color="auto"/>
                  </w:tcBorders>
                  <w:hideMark/>
                </w:tcPr>
                <w:p w14:paraId="3B34E1CA"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processing</w:t>
                  </w:r>
                  <w:r w:rsidRPr="006F001C">
                    <w:rPr>
                      <w:rFonts w:eastAsia="Times New Roman"/>
                      <w:noProof/>
                      <w:sz w:val="22"/>
                      <w:lang w:val="en-IE" w:eastAsia="en-IE"/>
                    </w:rPr>
                    <w:t> </w:t>
                  </w:r>
                </w:p>
                <w:p w14:paraId="76C6CA89"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flow</w:t>
                  </w:r>
                  <w:r w:rsidRPr="006F001C">
                    <w:rPr>
                      <w:rFonts w:eastAsia="Times New Roman"/>
                      <w:noProof/>
                      <w:sz w:val="22"/>
                      <w:lang w:val="en-IE" w:eastAsia="en-IE"/>
                    </w:rPr>
                    <w:t> </w:t>
                  </w:r>
                </w:p>
              </w:tc>
            </w:tr>
            <w:tr w:rsidR="007A5304" w:rsidRPr="006F001C" w14:paraId="2524E14F" w14:textId="77777777">
              <w:trPr>
                <w:trHeight w:val="1470"/>
              </w:trPr>
              <w:tc>
                <w:tcPr>
                  <w:tcW w:w="2887" w:type="dxa"/>
                  <w:tcBorders>
                    <w:top w:val="single" w:sz="6" w:space="0" w:color="auto"/>
                    <w:left w:val="single" w:sz="6" w:space="0" w:color="auto"/>
                    <w:bottom w:val="single" w:sz="6" w:space="0" w:color="auto"/>
                    <w:right w:val="single" w:sz="6" w:space="0" w:color="auto"/>
                  </w:tcBorders>
                  <w:hideMark/>
                </w:tcPr>
                <w:p w14:paraId="2B2AEC95"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Article 36-43 </w:t>
                  </w:r>
                  <w:r w:rsidRPr="006F001C">
                    <w:rPr>
                      <w:rFonts w:eastAsia="Times New Roman"/>
                      <w:noProof/>
                      <w:sz w:val="22"/>
                      <w:lang w:val="en-IE" w:eastAsia="en-IE"/>
                    </w:rPr>
                    <w:t> </w:t>
                  </w:r>
                </w:p>
                <w:p w14:paraId="28C2E09B"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Board of Appeal </w:t>
                  </w:r>
                  <w:r w:rsidRPr="006F001C">
                    <w:rPr>
                      <w:rFonts w:eastAsia="Times New Roman"/>
                      <w:noProof/>
                      <w:sz w:val="22"/>
                      <w:lang w:val="en-IE" w:eastAsia="en-IE"/>
                    </w:rPr>
                    <w:t> </w:t>
                  </w:r>
                </w:p>
              </w:tc>
              <w:tc>
                <w:tcPr>
                  <w:tcW w:w="4332" w:type="dxa"/>
                  <w:tcBorders>
                    <w:top w:val="single" w:sz="6" w:space="0" w:color="auto"/>
                    <w:left w:val="single" w:sz="6" w:space="0" w:color="auto"/>
                    <w:bottom w:val="single" w:sz="6" w:space="0" w:color="auto"/>
                    <w:right w:val="single" w:sz="6" w:space="0" w:color="auto"/>
                  </w:tcBorders>
                  <w:hideMark/>
                </w:tcPr>
                <w:p w14:paraId="572F50EE"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ENISA shall </w:t>
                  </w:r>
                  <w:r w:rsidRPr="006F001C">
                    <w:rPr>
                      <w:rFonts w:eastAsia="Times New Roman"/>
                      <w:b/>
                      <w:bCs/>
                      <w:noProof/>
                      <w:sz w:val="22"/>
                      <w:lang w:eastAsia="en-IE"/>
                    </w:rPr>
                    <w:t>establish a Board of Appeal</w:t>
                  </w:r>
                  <w:r w:rsidRPr="006F001C">
                    <w:rPr>
                      <w:rFonts w:eastAsia="Times New Roman"/>
                      <w:noProof/>
                      <w:sz w:val="22"/>
                      <w:lang w:eastAsia="en-IE"/>
                    </w:rPr>
                    <w:t> by a decision of the Management Board.</w:t>
                  </w:r>
                  <w:r w:rsidRPr="006F001C">
                    <w:rPr>
                      <w:rFonts w:eastAsia="Times New Roman"/>
                      <w:noProof/>
                      <w:sz w:val="22"/>
                      <w:lang w:val="en-IE" w:eastAsia="en-IE"/>
                    </w:rPr>
                    <w:t> </w:t>
                  </w:r>
                </w:p>
                <w:p w14:paraId="4D40A442"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 xml:space="preserve">The Board of Appeal shall be composed of a Chairperson and three other members. Each member of the Board of Appeal shall have an alternate. The alternate shall represent the member in </w:t>
                  </w:r>
                  <w:r>
                    <w:rPr>
                      <w:rFonts w:eastAsia="Times New Roman"/>
                      <w:noProof/>
                      <w:sz w:val="22"/>
                      <w:lang w:eastAsia="en-IE"/>
                    </w:rPr>
                    <w:t>their</w:t>
                  </w:r>
                  <w:r w:rsidRPr="006F001C">
                    <w:rPr>
                      <w:rFonts w:eastAsia="Times New Roman"/>
                      <w:noProof/>
                      <w:sz w:val="22"/>
                      <w:lang w:eastAsia="en-IE"/>
                    </w:rPr>
                    <w:t xml:space="preserve"> absence.</w:t>
                  </w:r>
                  <w:r w:rsidRPr="006F001C">
                    <w:rPr>
                      <w:rFonts w:eastAsia="Times New Roman"/>
                      <w:noProof/>
                      <w:sz w:val="22"/>
                      <w:lang w:val="en-IE" w:eastAsia="en-IE"/>
                    </w:rPr>
                    <w:t> </w:t>
                  </w:r>
                </w:p>
                <w:p w14:paraId="43EA6419"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The Management Board shall </w:t>
                  </w:r>
                  <w:r w:rsidRPr="006F001C">
                    <w:rPr>
                      <w:rFonts w:eastAsia="Times New Roman"/>
                      <w:b/>
                      <w:bCs/>
                      <w:noProof/>
                      <w:sz w:val="22"/>
                      <w:lang w:eastAsia="en-IE"/>
                    </w:rPr>
                    <w:t>appoint the Chairperson, the other members and their alternates</w:t>
                  </w:r>
                  <w:r w:rsidRPr="006F001C">
                    <w:rPr>
                      <w:rFonts w:eastAsia="Times New Roman"/>
                      <w:noProof/>
                      <w:sz w:val="22"/>
                      <w:lang w:eastAsia="en-IE"/>
                    </w:rPr>
                    <w:t> from a </w:t>
                  </w:r>
                  <w:r w:rsidRPr="006F001C">
                    <w:rPr>
                      <w:rFonts w:eastAsia="Times New Roman"/>
                      <w:b/>
                      <w:bCs/>
                      <w:noProof/>
                      <w:sz w:val="22"/>
                      <w:lang w:eastAsia="en-IE"/>
                    </w:rPr>
                    <w:t>list of qualified candidates established by the Commission</w:t>
                  </w:r>
                  <w:r w:rsidRPr="006F001C">
                    <w:rPr>
                      <w:rFonts w:eastAsia="Times New Roman"/>
                      <w:noProof/>
                      <w:sz w:val="22"/>
                      <w:lang w:eastAsia="en-IE"/>
                    </w:rPr>
                    <w:t>.</w:t>
                  </w:r>
                  <w:r w:rsidRPr="006F001C">
                    <w:rPr>
                      <w:rFonts w:eastAsia="Times New Roman"/>
                      <w:noProof/>
                      <w:sz w:val="22"/>
                      <w:lang w:val="en-IE" w:eastAsia="en-IE"/>
                    </w:rPr>
                    <w:t> </w:t>
                  </w:r>
                  <w:r w:rsidRPr="00291CE2">
                    <w:rPr>
                      <w:rFonts w:eastAsia="Times New Roman"/>
                      <w:noProof/>
                      <w:sz w:val="22"/>
                      <w:lang w:eastAsia="en-IE"/>
                    </w:rPr>
                    <w:t>The list of qualified candidates shall be valid for four years. The validity of this list may be extended by the Management Board for additional four-year periods acting on a proposal from the Commission.</w:t>
                  </w:r>
                </w:p>
                <w:p w14:paraId="120EF10C"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Where the Board of Appeal considers that the nature of the appeal so requires, it may request the </w:t>
                  </w:r>
                  <w:r w:rsidRPr="006F001C">
                    <w:rPr>
                      <w:rFonts w:eastAsia="Times New Roman"/>
                      <w:b/>
                      <w:bCs/>
                      <w:noProof/>
                      <w:sz w:val="22"/>
                      <w:lang w:eastAsia="en-IE"/>
                    </w:rPr>
                    <w:t>Management Board to appoint two additional members and their alternates</w:t>
                  </w:r>
                  <w:r w:rsidRPr="006F001C">
                    <w:rPr>
                      <w:rFonts w:eastAsia="Times New Roman"/>
                      <w:noProof/>
                      <w:sz w:val="22"/>
                      <w:lang w:eastAsia="en-IE"/>
                    </w:rPr>
                    <w:t> from the list referred to in paragraph 3.</w:t>
                  </w:r>
                  <w:r w:rsidRPr="006F001C">
                    <w:rPr>
                      <w:rFonts w:eastAsia="Times New Roman"/>
                      <w:noProof/>
                      <w:sz w:val="22"/>
                      <w:lang w:val="en-IE" w:eastAsia="en-IE"/>
                    </w:rPr>
                    <w:t> </w:t>
                  </w:r>
                </w:p>
                <w:p w14:paraId="6242044B"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The Board of Appeal shall adopt and </w:t>
                  </w:r>
                  <w:r w:rsidRPr="006F001C">
                    <w:rPr>
                      <w:rFonts w:eastAsia="Times New Roman"/>
                      <w:b/>
                      <w:bCs/>
                      <w:noProof/>
                      <w:sz w:val="22"/>
                      <w:lang w:eastAsia="en-IE"/>
                    </w:rPr>
                    <w:t>make public its rules of procedure</w:t>
                  </w:r>
                  <w:r>
                    <w:rPr>
                      <w:rFonts w:eastAsia="Times New Roman"/>
                      <w:b/>
                      <w:bCs/>
                      <w:noProof/>
                      <w:sz w:val="22"/>
                      <w:lang w:eastAsia="en-IE"/>
                    </w:rPr>
                    <w:t>.</w:t>
                  </w:r>
                  <w:r w:rsidRPr="006F001C">
                    <w:rPr>
                      <w:rFonts w:eastAsia="Times New Roman"/>
                      <w:noProof/>
                      <w:sz w:val="22"/>
                      <w:lang w:val="en-IE" w:eastAsia="en-IE"/>
                    </w:rPr>
                    <w:t> </w:t>
                  </w:r>
                </w:p>
                <w:p w14:paraId="19AB8E29"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 xml:space="preserve">If, for one of the reasons listed in paragraph 1 or for any other reason, a member of a Board of Appeal considers that </w:t>
                  </w:r>
                  <w:r>
                    <w:rPr>
                      <w:rFonts w:eastAsia="Times New Roman"/>
                      <w:noProof/>
                      <w:sz w:val="22"/>
                      <w:lang w:eastAsia="en-IE"/>
                    </w:rPr>
                    <w:t>they</w:t>
                  </w:r>
                  <w:r w:rsidRPr="006F001C">
                    <w:rPr>
                      <w:rFonts w:eastAsia="Times New Roman"/>
                      <w:noProof/>
                      <w:sz w:val="22"/>
                      <w:lang w:eastAsia="en-IE"/>
                    </w:rPr>
                    <w:t xml:space="preserve"> should not take part in any appeal proceeding, </w:t>
                  </w:r>
                  <w:r>
                    <w:rPr>
                      <w:rFonts w:eastAsia="Times New Roman"/>
                      <w:noProof/>
                      <w:sz w:val="22"/>
                      <w:lang w:eastAsia="en-IE"/>
                    </w:rPr>
                    <w:t>they</w:t>
                  </w:r>
                  <w:r w:rsidRPr="006F001C">
                    <w:rPr>
                      <w:rFonts w:eastAsia="Times New Roman"/>
                      <w:noProof/>
                      <w:sz w:val="22"/>
                      <w:lang w:eastAsia="en-IE"/>
                    </w:rPr>
                    <w:t> </w:t>
                  </w:r>
                  <w:r w:rsidRPr="006F001C">
                    <w:rPr>
                      <w:rFonts w:eastAsia="Times New Roman"/>
                      <w:b/>
                      <w:bCs/>
                      <w:noProof/>
                      <w:sz w:val="22"/>
                      <w:lang w:eastAsia="en-IE"/>
                    </w:rPr>
                    <w:t>shall inform the Board of Appeal accordingly</w:t>
                  </w:r>
                  <w:r w:rsidRPr="006F001C">
                    <w:rPr>
                      <w:rFonts w:eastAsia="Times New Roman"/>
                      <w:noProof/>
                      <w:sz w:val="22"/>
                      <w:lang w:eastAsia="en-IE"/>
                    </w:rPr>
                    <w:t>.</w:t>
                  </w:r>
                  <w:r w:rsidRPr="006F001C">
                    <w:rPr>
                      <w:rFonts w:eastAsia="Times New Roman"/>
                      <w:noProof/>
                      <w:sz w:val="22"/>
                      <w:lang w:val="en-IE" w:eastAsia="en-IE"/>
                    </w:rPr>
                    <w:t> </w:t>
                  </w:r>
                </w:p>
                <w:p w14:paraId="6579775C" w14:textId="3A8BE45F" w:rsidR="007A5304" w:rsidRDefault="007A5304">
                  <w:pPr>
                    <w:spacing w:before="0" w:after="0"/>
                    <w:textAlignment w:val="baseline"/>
                    <w:rPr>
                      <w:rFonts w:eastAsia="Times New Roman"/>
                      <w:noProof/>
                      <w:sz w:val="22"/>
                      <w:lang w:eastAsia="en-IE"/>
                    </w:rPr>
                  </w:pPr>
                  <w:r w:rsidRPr="006F001C">
                    <w:rPr>
                      <w:rFonts w:eastAsia="Times New Roman"/>
                      <w:noProof/>
                      <w:sz w:val="22"/>
                      <w:lang w:eastAsia="en-IE"/>
                    </w:rPr>
                    <w:t>The Board of Appeal shall </w:t>
                  </w:r>
                  <w:r w:rsidRPr="006F001C">
                    <w:rPr>
                      <w:rFonts w:eastAsia="Times New Roman"/>
                      <w:b/>
                      <w:bCs/>
                      <w:noProof/>
                      <w:sz w:val="22"/>
                      <w:lang w:eastAsia="en-IE"/>
                    </w:rPr>
                    <w:t>decide as to the action to be taken</w:t>
                  </w:r>
                  <w:r w:rsidRPr="006F001C">
                    <w:rPr>
                      <w:rFonts w:eastAsia="Times New Roman"/>
                      <w:noProof/>
                      <w:sz w:val="22"/>
                      <w:lang w:eastAsia="en-IE"/>
                    </w:rPr>
                    <w:t xml:space="preserve"> in the cases </w:t>
                  </w:r>
                  <w:r>
                    <w:rPr>
                      <w:rFonts w:eastAsia="Times New Roman"/>
                      <w:noProof/>
                      <w:sz w:val="22"/>
                      <w:lang w:eastAsia="en-IE"/>
                    </w:rPr>
                    <w:t>listed</w:t>
                  </w:r>
                  <w:r w:rsidRPr="006F001C">
                    <w:rPr>
                      <w:rFonts w:eastAsia="Times New Roman"/>
                      <w:noProof/>
                      <w:sz w:val="22"/>
                      <w:lang w:eastAsia="en-IE"/>
                    </w:rPr>
                    <w:t xml:space="preserve"> in paragraphs 2 and 3 without the participation of the member concerned. For the purposes of taking that decision, the member concerned shall be replaced on the Board of Appeal by </w:t>
                  </w:r>
                  <w:r>
                    <w:rPr>
                      <w:rFonts w:eastAsia="Times New Roman"/>
                      <w:noProof/>
                      <w:sz w:val="22"/>
                      <w:lang w:eastAsia="en-IE"/>
                    </w:rPr>
                    <w:t>their</w:t>
                  </w:r>
                  <w:r w:rsidRPr="006F001C">
                    <w:rPr>
                      <w:rFonts w:eastAsia="Times New Roman"/>
                      <w:noProof/>
                      <w:sz w:val="22"/>
                      <w:lang w:eastAsia="en-IE"/>
                    </w:rPr>
                    <w:t xml:space="preserve"> alternate. </w:t>
                  </w:r>
                  <w:r w:rsidRPr="00FE65B0">
                    <w:rPr>
                      <w:noProof/>
                    </w:rPr>
                    <w:t>An appeal brought pursuant to paragraph 1 shall be subject to interlocutory revision in accordance with Article 41 before being put to the Board of Appeal for examination</w:t>
                  </w:r>
                  <w:r>
                    <w:rPr>
                      <w:rFonts w:eastAsia="Times New Roman"/>
                      <w:noProof/>
                      <w:sz w:val="22"/>
                      <w:lang w:eastAsia="en-IE"/>
                    </w:rPr>
                    <w:t>.</w:t>
                  </w:r>
                </w:p>
                <w:p w14:paraId="7FE4F4A9" w14:textId="582C7D02"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Applicants within the meaning of Article 21(3) may </w:t>
                  </w:r>
                  <w:r w:rsidRPr="006F001C">
                    <w:rPr>
                      <w:rFonts w:eastAsia="Times New Roman"/>
                      <w:b/>
                      <w:bCs/>
                      <w:noProof/>
                      <w:sz w:val="22"/>
                      <w:lang w:eastAsia="en-IE"/>
                    </w:rPr>
                    <w:t>appeal against</w:t>
                  </w:r>
                  <w:r>
                    <w:rPr>
                      <w:rFonts w:eastAsia="Times New Roman"/>
                      <w:b/>
                      <w:bCs/>
                      <w:noProof/>
                      <w:sz w:val="22"/>
                      <w:lang w:eastAsia="en-IE"/>
                    </w:rPr>
                    <w:t>:</w:t>
                  </w:r>
                  <w:r w:rsidRPr="006F001C">
                    <w:rPr>
                      <w:rFonts w:eastAsia="Times New Roman"/>
                      <w:b/>
                      <w:bCs/>
                      <w:noProof/>
                      <w:sz w:val="22"/>
                      <w:lang w:eastAsia="en-IE"/>
                    </w:rPr>
                    <w:t xml:space="preserve"> a decision of ENISA</w:t>
                  </w:r>
                  <w:r w:rsidRPr="006F001C">
                    <w:rPr>
                      <w:rFonts w:eastAsia="Times New Roman"/>
                      <w:noProof/>
                      <w:sz w:val="22"/>
                      <w:lang w:eastAsia="en-IE"/>
                    </w:rPr>
                    <w:t xml:space="preserve"> addressed to them, pursuant to Article 22(3), </w:t>
                  </w:r>
                  <w:r w:rsidRPr="00291CE2">
                    <w:rPr>
                      <w:rFonts w:eastAsia="Times New Roman"/>
                      <w:noProof/>
                      <w:sz w:val="22"/>
                      <w:lang w:eastAsia="en-IE"/>
                    </w:rPr>
                    <w:t>ENISA’s failure to act in respect of an application submitted by them to ENISA within the applicable time limits laid down in Article 22(4).</w:t>
                  </w:r>
                </w:p>
                <w:p w14:paraId="0D8AFB59" w14:textId="77777777" w:rsidR="007A5304" w:rsidRPr="00291CE2" w:rsidRDefault="007A5304">
                  <w:pPr>
                    <w:spacing w:before="0" w:after="0"/>
                    <w:textAlignment w:val="baseline"/>
                    <w:rPr>
                      <w:rFonts w:eastAsia="Times New Roman"/>
                      <w:noProof/>
                      <w:sz w:val="22"/>
                      <w:lang w:eastAsia="en-IE"/>
                    </w:rPr>
                  </w:pPr>
                  <w:r w:rsidRPr="00BD590A">
                    <w:rPr>
                      <w:rFonts w:eastAsia="Times New Roman"/>
                      <w:noProof/>
                      <w:sz w:val="22"/>
                      <w:lang w:eastAsia="en-IE"/>
                    </w:rPr>
                    <w:t xml:space="preserve">In the case referred to in paragraph 1, point (a), </w:t>
                  </w:r>
                  <w:r>
                    <w:rPr>
                      <w:rFonts w:eastAsia="Times New Roman"/>
                      <w:noProof/>
                      <w:sz w:val="22"/>
                      <w:lang w:eastAsia="en-IE"/>
                    </w:rPr>
                    <w:t>the</w:t>
                  </w:r>
                  <w:r w:rsidRPr="006F001C">
                    <w:rPr>
                      <w:rFonts w:eastAsia="Times New Roman"/>
                      <w:noProof/>
                      <w:sz w:val="22"/>
                      <w:lang w:eastAsia="en-IE"/>
                    </w:rPr>
                    <w:t xml:space="preserve"> appeal, together with the statement of grounds thereof, shall be</w:t>
                  </w:r>
                  <w:r w:rsidRPr="00064E21">
                    <w:rPr>
                      <w:rFonts w:eastAsia="Times New Roman"/>
                      <w:noProof/>
                      <w:sz w:val="22"/>
                      <w:lang w:eastAsia="en-IE"/>
                    </w:rPr>
                    <w:t xml:space="preserve"> </w:t>
                  </w:r>
                  <w:r w:rsidRPr="00291CE2">
                    <w:rPr>
                      <w:rFonts w:eastAsia="Times New Roman"/>
                      <w:b/>
                      <w:bCs/>
                      <w:noProof/>
                      <w:sz w:val="22"/>
                      <w:lang w:eastAsia="en-IE"/>
                    </w:rPr>
                    <w:t>filed in writing</w:t>
                  </w:r>
                  <w:r w:rsidRPr="00064E21">
                    <w:rPr>
                      <w:rFonts w:eastAsia="Times New Roman"/>
                      <w:noProof/>
                      <w:sz w:val="22"/>
                      <w:lang w:eastAsia="en-IE"/>
                    </w:rPr>
                    <w:t xml:space="preserve"> in accordance with the rules of procedure referred to in Article 36(5) within two months of notification of the decision to the applicant concerned, or, in the absence thereof, of the day on which the decision came to the knowledge of the applicant</w:t>
                  </w:r>
                  <w:r w:rsidRPr="006F001C">
                    <w:rPr>
                      <w:rFonts w:eastAsia="Times New Roman"/>
                      <w:noProof/>
                      <w:sz w:val="22"/>
                      <w:lang w:eastAsia="en-IE"/>
                    </w:rPr>
                    <w:t>.</w:t>
                  </w:r>
                  <w:r w:rsidRPr="00291CE2">
                    <w:rPr>
                      <w:rFonts w:eastAsia="Times New Roman"/>
                      <w:noProof/>
                      <w:sz w:val="22"/>
                      <w:lang w:eastAsia="en-IE"/>
                    </w:rPr>
                    <w:t> </w:t>
                  </w:r>
                </w:p>
                <w:p w14:paraId="27D933DD" w14:textId="77777777" w:rsidR="007A5304" w:rsidRPr="00291CE2" w:rsidRDefault="007A5304">
                  <w:pPr>
                    <w:spacing w:before="0" w:after="0"/>
                    <w:textAlignment w:val="baseline"/>
                    <w:rPr>
                      <w:rFonts w:eastAsia="Times New Roman"/>
                      <w:noProof/>
                      <w:sz w:val="22"/>
                      <w:lang w:eastAsia="en-IE"/>
                    </w:rPr>
                  </w:pPr>
                  <w:r w:rsidRPr="00291CE2">
                    <w:rPr>
                      <w:rFonts w:eastAsia="Times New Roman"/>
                      <w:noProof/>
                      <w:sz w:val="22"/>
                      <w:lang w:eastAsia="en-IE"/>
                    </w:rPr>
                    <w:t>In the case referred to in paragraph 1, point (b) , the appeal shall be</w:t>
                  </w:r>
                  <w:r w:rsidRPr="00291CE2">
                    <w:rPr>
                      <w:rFonts w:eastAsia="Times New Roman"/>
                      <w:b/>
                      <w:bCs/>
                      <w:noProof/>
                      <w:sz w:val="22"/>
                      <w:lang w:eastAsia="en-IE"/>
                    </w:rPr>
                    <w:t xml:space="preserve"> filed with ENISA in writing</w:t>
                  </w:r>
                  <w:r w:rsidRPr="00291CE2">
                    <w:rPr>
                      <w:rFonts w:eastAsia="Times New Roman"/>
                      <w:noProof/>
                      <w:sz w:val="22"/>
                      <w:lang w:eastAsia="en-IE"/>
                    </w:rPr>
                    <w:t xml:space="preserve"> in accordance with the rules of procedure referred to in Article 36(5) within two months of the day of expiry of the time limit set out in Article 22(4).</w:t>
                  </w:r>
                </w:p>
                <w:p w14:paraId="52A77768"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If ENISA considers the appeal to be admissible and well founded, it </w:t>
                  </w:r>
                  <w:r w:rsidRPr="006F001C">
                    <w:rPr>
                      <w:rFonts w:eastAsia="Times New Roman"/>
                      <w:b/>
                      <w:bCs/>
                      <w:noProof/>
                      <w:sz w:val="22"/>
                      <w:lang w:eastAsia="en-IE"/>
                    </w:rPr>
                    <w:t>shall rectify the decision or failure to act</w:t>
                  </w:r>
                  <w:r w:rsidRPr="006F001C">
                    <w:rPr>
                      <w:rFonts w:eastAsia="Times New Roman"/>
                      <w:noProof/>
                      <w:sz w:val="22"/>
                      <w:lang w:eastAsia="en-IE"/>
                    </w:rPr>
                    <w:t> referred to in Article 40(1). </w:t>
                  </w:r>
                  <w:r w:rsidRPr="006F001C">
                    <w:rPr>
                      <w:rFonts w:eastAsia="Times New Roman"/>
                      <w:noProof/>
                      <w:sz w:val="22"/>
                      <w:lang w:val="en-IE" w:eastAsia="en-IE"/>
                    </w:rPr>
                    <w:t> </w:t>
                  </w:r>
                </w:p>
                <w:p w14:paraId="7D9CAD9D"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286E60">
                    <w:rPr>
                      <w:rFonts w:eastAsia="Times New Roman"/>
                      <w:noProof/>
                      <w:sz w:val="22"/>
                      <w:lang w:eastAsia="en-IE"/>
                    </w:rPr>
                    <w:t xml:space="preserve">If ENISA does not rectify the decision within one month after receipt of the appeal, it shall immediately </w:t>
                  </w:r>
                  <w:r w:rsidRPr="00291CE2">
                    <w:rPr>
                      <w:rFonts w:eastAsia="Times New Roman"/>
                      <w:b/>
                      <w:bCs/>
                      <w:noProof/>
                      <w:sz w:val="22"/>
                      <w:lang w:eastAsia="en-IE"/>
                    </w:rPr>
                    <w:t>decide whether to suspend the application of its decision and shall refer the appeal to the Board of Appeal</w:t>
                  </w:r>
                  <w:r w:rsidRPr="00286E60">
                    <w:rPr>
                      <w:rFonts w:eastAsia="Times New Roman"/>
                      <w:noProof/>
                      <w:sz w:val="22"/>
                      <w:lang w:eastAsia="en-IE"/>
                    </w:rPr>
                    <w:t>.</w:t>
                  </w:r>
                  <w:r w:rsidRPr="006F001C">
                    <w:rPr>
                      <w:rFonts w:eastAsia="Times New Roman"/>
                      <w:noProof/>
                      <w:sz w:val="22"/>
                      <w:lang w:val="en-IE" w:eastAsia="en-IE"/>
                    </w:rPr>
                    <w:t> </w:t>
                  </w:r>
                </w:p>
                <w:p w14:paraId="7EBD6242"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The </w:t>
                  </w:r>
                  <w:r w:rsidRPr="006F001C">
                    <w:rPr>
                      <w:rFonts w:eastAsia="Times New Roman"/>
                      <w:b/>
                      <w:bCs/>
                      <w:noProof/>
                      <w:sz w:val="22"/>
                      <w:lang w:eastAsia="en-IE"/>
                    </w:rPr>
                    <w:t>Board of Appeal shall decide</w:t>
                  </w:r>
                  <w:r w:rsidRPr="006F001C">
                    <w:rPr>
                      <w:rFonts w:eastAsia="Times New Roman"/>
                      <w:noProof/>
                      <w:sz w:val="22"/>
                      <w:lang w:eastAsia="en-IE"/>
                    </w:rPr>
                    <w:t> within 3 months of the appeal being filed whether to grant or refuse that appeal. When examining an appeal, the Board of Appeal shall act within the deadlines laid down in its rules of procedure. It shall, as often as necessary, </w:t>
                  </w:r>
                  <w:r w:rsidRPr="006F001C">
                    <w:rPr>
                      <w:rFonts w:eastAsia="Times New Roman"/>
                      <w:b/>
                      <w:bCs/>
                      <w:noProof/>
                      <w:sz w:val="22"/>
                      <w:lang w:eastAsia="en-IE"/>
                    </w:rPr>
                    <w:t>invite the parties to the appeal proceedings to file, within specified time limits, observations on its notifications or on communications from other parties to the appeal proceedings</w:t>
                  </w:r>
                  <w:r w:rsidRPr="006F001C">
                    <w:rPr>
                      <w:rFonts w:eastAsia="Times New Roman"/>
                      <w:noProof/>
                      <w:sz w:val="22"/>
                      <w:lang w:eastAsia="en-IE"/>
                    </w:rPr>
                    <w:t>. Parties to the appeal proceedings shall be entitled to make </w:t>
                  </w:r>
                  <w:r w:rsidRPr="006F001C">
                    <w:rPr>
                      <w:rFonts w:eastAsia="Times New Roman"/>
                      <w:b/>
                      <w:bCs/>
                      <w:noProof/>
                      <w:sz w:val="22"/>
                      <w:lang w:eastAsia="en-IE"/>
                    </w:rPr>
                    <w:t>oral representations.</w:t>
                  </w:r>
                  <w:r w:rsidRPr="006F001C">
                    <w:rPr>
                      <w:rFonts w:eastAsia="Times New Roman"/>
                      <w:noProof/>
                      <w:sz w:val="22"/>
                      <w:lang w:val="en-IE" w:eastAsia="en-IE"/>
                    </w:rPr>
                    <w:t> </w:t>
                  </w:r>
                </w:p>
                <w:p w14:paraId="426F727E"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Where the Board of Appeal finds that the grounds for appeal are founded, it </w:t>
                  </w:r>
                  <w:r w:rsidRPr="006F001C">
                    <w:rPr>
                      <w:rFonts w:eastAsia="Times New Roman"/>
                      <w:b/>
                      <w:bCs/>
                      <w:noProof/>
                      <w:sz w:val="22"/>
                      <w:lang w:eastAsia="en-IE"/>
                    </w:rPr>
                    <w:t>shall remit the case to ENISA. </w:t>
                  </w:r>
                  <w:r w:rsidRPr="006F001C">
                    <w:rPr>
                      <w:rFonts w:eastAsia="Times New Roman"/>
                      <w:noProof/>
                      <w:sz w:val="22"/>
                      <w:lang w:eastAsia="en-IE"/>
                    </w:rPr>
                    <w:t>ENISA shall </w:t>
                  </w:r>
                  <w:r w:rsidRPr="006F001C">
                    <w:rPr>
                      <w:rFonts w:eastAsia="Times New Roman"/>
                      <w:b/>
                      <w:bCs/>
                      <w:noProof/>
                      <w:sz w:val="22"/>
                      <w:lang w:eastAsia="en-IE"/>
                    </w:rPr>
                    <w:t>take its final decision</w:t>
                  </w:r>
                  <w:r w:rsidRPr="006F001C">
                    <w:rPr>
                      <w:rFonts w:eastAsia="Times New Roman"/>
                      <w:noProof/>
                      <w:sz w:val="22"/>
                      <w:lang w:eastAsia="en-IE"/>
                    </w:rPr>
                    <w:t xml:space="preserve"> in compliance with the findings of the Board of Appeal and shall </w:t>
                  </w:r>
                  <w:r w:rsidRPr="00291CE2">
                    <w:rPr>
                      <w:rFonts w:eastAsia="Times New Roman"/>
                      <w:b/>
                      <w:noProof/>
                      <w:sz w:val="22"/>
                      <w:lang w:eastAsia="en-IE"/>
                    </w:rPr>
                    <w:t>provide a statement of reasons for that decision</w:t>
                  </w:r>
                  <w:r w:rsidRPr="006F001C">
                    <w:rPr>
                      <w:rFonts w:eastAsia="Times New Roman"/>
                      <w:noProof/>
                      <w:sz w:val="22"/>
                      <w:lang w:eastAsia="en-IE"/>
                    </w:rPr>
                    <w:t>. ENISA shall </w:t>
                  </w:r>
                  <w:r w:rsidRPr="006F001C">
                    <w:rPr>
                      <w:rFonts w:eastAsia="Times New Roman"/>
                      <w:b/>
                      <w:bCs/>
                      <w:noProof/>
                      <w:sz w:val="22"/>
                      <w:lang w:eastAsia="en-IE"/>
                    </w:rPr>
                    <w:t>inform the parties</w:t>
                  </w:r>
                  <w:r w:rsidRPr="006F001C">
                    <w:rPr>
                      <w:rFonts w:eastAsia="Times New Roman"/>
                      <w:noProof/>
                      <w:sz w:val="22"/>
                      <w:lang w:eastAsia="en-IE"/>
                    </w:rPr>
                    <w:t> to the appeal proceedings accordingly.</w:t>
                  </w:r>
                  <w:r w:rsidRPr="006F001C">
                    <w:rPr>
                      <w:rFonts w:eastAsia="Times New Roman"/>
                      <w:noProof/>
                      <w:sz w:val="22"/>
                      <w:lang w:val="en-IE" w:eastAsia="en-IE"/>
                    </w:rPr>
                    <w:t> </w:t>
                  </w:r>
                </w:p>
                <w:p w14:paraId="488810A2" w14:textId="17CD1BE1"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Actions for the annulment of decisions of ENISA taken pursuant to Article 22(3), or for failure to act within the applicable time limits pursuant to Article 22(4), may </w:t>
                  </w:r>
                  <w:r w:rsidRPr="006F001C">
                    <w:rPr>
                      <w:rFonts w:eastAsia="Times New Roman"/>
                      <w:b/>
                      <w:bCs/>
                      <w:noProof/>
                      <w:sz w:val="22"/>
                      <w:lang w:eastAsia="en-IE"/>
                    </w:rPr>
                    <w:t>be brought before the Court of Justice of the European Union</w:t>
                  </w:r>
                  <w:r w:rsidRPr="006F001C">
                    <w:rPr>
                      <w:rFonts w:eastAsia="Times New Roman"/>
                      <w:noProof/>
                      <w:sz w:val="22"/>
                      <w:lang w:eastAsia="en-IE"/>
                    </w:rPr>
                    <w:t> </w:t>
                  </w:r>
                  <w:r w:rsidRPr="007A35DB">
                    <w:rPr>
                      <w:rFonts w:eastAsia="Times New Roman"/>
                      <w:noProof/>
                      <w:sz w:val="22"/>
                      <w:lang w:eastAsia="en-IE"/>
                    </w:rPr>
                    <w:t>after the appeal procedure within ENISA laid down in Articles 39 to 42 has been exhausted or in the event of failure to act within the applicable time limit pursuant to Article 41(2).</w:t>
                  </w:r>
                </w:p>
                <w:p w14:paraId="26F2EDEC"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ENISA shall </w:t>
                  </w:r>
                  <w:r w:rsidRPr="006F001C">
                    <w:rPr>
                      <w:rFonts w:eastAsia="Times New Roman"/>
                      <w:b/>
                      <w:bCs/>
                      <w:noProof/>
                      <w:sz w:val="22"/>
                      <w:lang w:eastAsia="en-IE"/>
                    </w:rPr>
                    <w:t>take all necessary measures to comply</w:t>
                  </w:r>
                  <w:r w:rsidRPr="006F001C">
                    <w:rPr>
                      <w:rFonts w:eastAsia="Times New Roman"/>
                      <w:noProof/>
                      <w:sz w:val="22"/>
                      <w:lang w:eastAsia="en-IE"/>
                    </w:rPr>
                    <w:t> with the judgment of the Court of Justice of the European Union</w:t>
                  </w:r>
                  <w:r w:rsidRPr="006F001C">
                    <w:rPr>
                      <w:rFonts w:eastAsia="Times New Roman"/>
                      <w:noProof/>
                      <w:sz w:val="22"/>
                      <w:lang w:val="en-IE" w:eastAsia="en-IE"/>
                    </w:rPr>
                    <w:t> </w:t>
                  </w:r>
                </w:p>
              </w:tc>
              <w:tc>
                <w:tcPr>
                  <w:tcW w:w="3015" w:type="dxa"/>
                  <w:tcBorders>
                    <w:top w:val="single" w:sz="6" w:space="0" w:color="auto"/>
                    <w:left w:val="single" w:sz="6" w:space="0" w:color="auto"/>
                    <w:bottom w:val="single" w:sz="6" w:space="0" w:color="auto"/>
                    <w:right w:val="single" w:sz="6" w:space="0" w:color="auto"/>
                  </w:tcBorders>
                  <w:hideMark/>
                </w:tcPr>
                <w:p w14:paraId="509E2CC2"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ENISA</w:t>
                  </w:r>
                  <w:r w:rsidRPr="006F001C">
                    <w:rPr>
                      <w:rFonts w:eastAsia="Times New Roman"/>
                      <w:noProof/>
                      <w:sz w:val="22"/>
                      <w:lang w:val="en-IE" w:eastAsia="en-IE"/>
                    </w:rPr>
                    <w:t> </w:t>
                  </w:r>
                </w:p>
                <w:p w14:paraId="5F27E6E4"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Management Board of ENISA </w:t>
                  </w:r>
                  <w:r w:rsidRPr="006F001C">
                    <w:rPr>
                      <w:rFonts w:eastAsia="Times New Roman"/>
                      <w:noProof/>
                      <w:sz w:val="22"/>
                      <w:lang w:val="en-IE" w:eastAsia="en-IE"/>
                    </w:rPr>
                    <w:t> </w:t>
                  </w:r>
                </w:p>
                <w:p w14:paraId="18D19F8F"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Commission</w:t>
                  </w:r>
                  <w:r w:rsidRPr="006F001C">
                    <w:rPr>
                      <w:rFonts w:eastAsia="Times New Roman"/>
                      <w:noProof/>
                      <w:sz w:val="22"/>
                      <w:lang w:val="en-IE" w:eastAsia="en-IE"/>
                    </w:rPr>
                    <w:t> </w:t>
                  </w:r>
                </w:p>
                <w:p w14:paraId="3CE2E58D"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Board of Appeal in the sense of Article 36 of CSA2 proposal</w:t>
                  </w:r>
                  <w:r w:rsidRPr="006F001C">
                    <w:rPr>
                      <w:rFonts w:eastAsia="Times New Roman"/>
                      <w:noProof/>
                      <w:sz w:val="22"/>
                      <w:lang w:val="en-IE" w:eastAsia="en-IE"/>
                    </w:rPr>
                    <w:t> </w:t>
                  </w:r>
                </w:p>
                <w:p w14:paraId="678D1954"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Applicants (legal entities that wish to become authorised attestation providers, to maintain or to renew their authorisation)</w:t>
                  </w:r>
                  <w:r w:rsidRPr="006F001C">
                    <w:rPr>
                      <w:rFonts w:eastAsia="Times New Roman"/>
                      <w:noProof/>
                      <w:sz w:val="22"/>
                      <w:lang w:val="en-IE" w:eastAsia="en-IE"/>
                    </w:rPr>
                    <w:t> </w:t>
                  </w:r>
                </w:p>
              </w:tc>
              <w:tc>
                <w:tcPr>
                  <w:tcW w:w="3040" w:type="dxa"/>
                  <w:tcBorders>
                    <w:top w:val="single" w:sz="6" w:space="0" w:color="auto"/>
                    <w:left w:val="single" w:sz="6" w:space="0" w:color="auto"/>
                    <w:bottom w:val="single" w:sz="6" w:space="0" w:color="auto"/>
                    <w:right w:val="single" w:sz="6" w:space="0" w:color="auto"/>
                  </w:tcBorders>
                  <w:hideMark/>
                </w:tcPr>
                <w:p w14:paraId="2B1193D1"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Issuing decisions based on appeals </w:t>
                  </w:r>
                  <w:r w:rsidRPr="006F001C">
                    <w:rPr>
                      <w:rFonts w:eastAsia="Times New Roman"/>
                      <w:noProof/>
                      <w:sz w:val="22"/>
                      <w:lang w:val="en-IE" w:eastAsia="en-IE"/>
                    </w:rPr>
                    <w:t> </w:t>
                  </w:r>
                </w:p>
                <w:p w14:paraId="5C608CC5"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Processing the appeals</w:t>
                  </w:r>
                  <w:r w:rsidRPr="006F001C">
                    <w:rPr>
                      <w:rFonts w:eastAsia="Times New Roman"/>
                      <w:noProof/>
                      <w:sz w:val="22"/>
                      <w:lang w:val="en-IE" w:eastAsia="en-IE"/>
                    </w:rPr>
                    <w:t> </w:t>
                  </w:r>
                </w:p>
                <w:p w14:paraId="7F054538"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Preparing and publishing rules of procedures</w:t>
                  </w:r>
                  <w:r w:rsidRPr="006F001C">
                    <w:rPr>
                      <w:rFonts w:eastAsia="Times New Roman"/>
                      <w:noProof/>
                      <w:sz w:val="22"/>
                      <w:lang w:val="en-IE" w:eastAsia="en-IE"/>
                    </w:rPr>
                    <w:t> </w:t>
                  </w:r>
                </w:p>
                <w:p w14:paraId="083D6584"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Information flows</w:t>
                  </w:r>
                  <w:r w:rsidRPr="006F001C">
                    <w:rPr>
                      <w:rFonts w:eastAsia="Times New Roman"/>
                      <w:noProof/>
                      <w:sz w:val="22"/>
                      <w:lang w:val="en-IE" w:eastAsia="en-IE"/>
                    </w:rPr>
                    <w:t> </w:t>
                  </w:r>
                </w:p>
              </w:tc>
              <w:tc>
                <w:tcPr>
                  <w:tcW w:w="1281" w:type="dxa"/>
                  <w:tcBorders>
                    <w:top w:val="single" w:sz="6" w:space="0" w:color="auto"/>
                    <w:left w:val="single" w:sz="6" w:space="0" w:color="auto"/>
                    <w:bottom w:val="single" w:sz="6" w:space="0" w:color="auto"/>
                    <w:right w:val="single" w:sz="6" w:space="0" w:color="auto"/>
                  </w:tcBorders>
                  <w:hideMark/>
                </w:tcPr>
                <w:p w14:paraId="366C2948"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processing </w:t>
                  </w:r>
                  <w:r w:rsidRPr="006F001C">
                    <w:rPr>
                      <w:rFonts w:eastAsia="Times New Roman"/>
                      <w:noProof/>
                      <w:sz w:val="22"/>
                      <w:lang w:val="en-IE" w:eastAsia="en-IE"/>
                    </w:rPr>
                    <w:t> </w:t>
                  </w:r>
                </w:p>
                <w:p w14:paraId="6E788F10"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flow </w:t>
                  </w:r>
                  <w:r w:rsidRPr="006F001C">
                    <w:rPr>
                      <w:rFonts w:eastAsia="Times New Roman"/>
                      <w:noProof/>
                      <w:sz w:val="22"/>
                      <w:lang w:val="en-IE" w:eastAsia="en-IE"/>
                    </w:rPr>
                    <w:t> </w:t>
                  </w:r>
                </w:p>
                <w:p w14:paraId="221545D6"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Digital public service </w:t>
                  </w:r>
                  <w:r w:rsidRPr="006F001C">
                    <w:rPr>
                      <w:rFonts w:eastAsia="Times New Roman"/>
                      <w:noProof/>
                      <w:sz w:val="22"/>
                      <w:lang w:val="en-IE" w:eastAsia="en-IE"/>
                    </w:rPr>
                    <w:t> </w:t>
                  </w:r>
                </w:p>
              </w:tc>
            </w:tr>
            <w:tr w:rsidR="007A5304" w:rsidRPr="006F001C" w14:paraId="4894DA00" w14:textId="77777777">
              <w:trPr>
                <w:trHeight w:val="1470"/>
              </w:trPr>
              <w:tc>
                <w:tcPr>
                  <w:tcW w:w="2887" w:type="dxa"/>
                  <w:tcBorders>
                    <w:top w:val="single" w:sz="6" w:space="0" w:color="auto"/>
                    <w:left w:val="single" w:sz="6" w:space="0" w:color="auto"/>
                    <w:bottom w:val="single" w:sz="6" w:space="0" w:color="auto"/>
                    <w:right w:val="single" w:sz="6" w:space="0" w:color="auto"/>
                  </w:tcBorders>
                  <w:hideMark/>
                </w:tcPr>
                <w:p w14:paraId="12E460E1"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Article 44</w:t>
                  </w:r>
                  <w:r w:rsidRPr="006F001C">
                    <w:rPr>
                      <w:rFonts w:eastAsia="Times New Roman"/>
                      <w:noProof/>
                      <w:sz w:val="22"/>
                      <w:lang w:val="en-IE" w:eastAsia="en-IE"/>
                    </w:rPr>
                    <w:t> </w:t>
                  </w:r>
                </w:p>
                <w:p w14:paraId="5E654EA9"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Single Programming Document</w:t>
                  </w:r>
                  <w:r w:rsidRPr="006F001C">
                    <w:rPr>
                      <w:rFonts w:eastAsia="Times New Roman"/>
                      <w:noProof/>
                      <w:sz w:val="22"/>
                      <w:lang w:val="en-IE" w:eastAsia="en-IE"/>
                    </w:rPr>
                    <w:t> </w:t>
                  </w:r>
                </w:p>
              </w:tc>
              <w:tc>
                <w:tcPr>
                  <w:tcW w:w="4332" w:type="dxa"/>
                  <w:tcBorders>
                    <w:top w:val="single" w:sz="6" w:space="0" w:color="auto"/>
                    <w:left w:val="single" w:sz="6" w:space="0" w:color="auto"/>
                    <w:bottom w:val="single" w:sz="6" w:space="0" w:color="auto"/>
                    <w:right w:val="single" w:sz="6" w:space="0" w:color="auto"/>
                  </w:tcBorders>
                  <w:hideMark/>
                </w:tcPr>
                <w:p w14:paraId="6F8788B3"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2. Each year, the Executive Director shall draw up a draft single programming document</w:t>
                  </w:r>
                  <w:r>
                    <w:rPr>
                      <w:rFonts w:eastAsia="Times New Roman"/>
                      <w:noProof/>
                      <w:sz w:val="22"/>
                      <w:lang w:eastAsia="en-IE"/>
                    </w:rPr>
                    <w:t xml:space="preserve">, as referred to in paragraph 1, </w:t>
                  </w:r>
                  <w:r w:rsidRPr="006F001C">
                    <w:rPr>
                      <w:rFonts w:eastAsia="Times New Roman"/>
                      <w:noProof/>
                      <w:sz w:val="22"/>
                      <w:lang w:eastAsia="en-IE"/>
                    </w:rPr>
                    <w:t>with the corresponding financial and human resources planning in accordance with Article 32 of Commission Delegated Regulation (EU) 2019/715 and taking into account the guidelines set by the Commission.</w:t>
                  </w:r>
                  <w:r w:rsidRPr="006F001C">
                    <w:rPr>
                      <w:rFonts w:eastAsia="Times New Roman"/>
                      <w:noProof/>
                      <w:sz w:val="22"/>
                      <w:lang w:val="en-IE" w:eastAsia="en-IE"/>
                    </w:rPr>
                    <w:t> </w:t>
                  </w:r>
                </w:p>
                <w:p w14:paraId="3D943D07"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3. By 30 November each year, the Management Board shall adopt the single programming document referred to in paragraph 1, taking into account the opinion of the Commission</w:t>
                  </w:r>
                  <w:r>
                    <w:rPr>
                      <w:rFonts w:eastAsia="Times New Roman"/>
                      <w:noProof/>
                      <w:sz w:val="22"/>
                      <w:lang w:eastAsia="en-IE"/>
                    </w:rPr>
                    <w:t xml:space="preserve"> referred to in Article 32(7) of Delegated Regulation (EU) 2019/715</w:t>
                  </w:r>
                  <w:r w:rsidRPr="006F001C">
                    <w:rPr>
                      <w:rFonts w:eastAsia="Times New Roman"/>
                      <w:noProof/>
                      <w:sz w:val="22"/>
                      <w:lang w:eastAsia="en-IE"/>
                    </w:rPr>
                    <w:t>. If the Management Board decides not to take into account any elements of the opinion of the Commission, it shall provide thorough justification for that decision. The Management Board shall forward the single programming document to the European Parliament, to the Council and to the Commission by 31 January of the following year, as well as any subsequently updated versions of that document</w:t>
                  </w:r>
                  <w:r>
                    <w:rPr>
                      <w:rFonts w:eastAsia="Times New Roman"/>
                      <w:noProof/>
                      <w:sz w:val="22"/>
                      <w:lang w:eastAsia="en-IE"/>
                    </w:rPr>
                    <w:t>.</w:t>
                  </w:r>
                  <w:r w:rsidRPr="006F001C">
                    <w:rPr>
                      <w:rFonts w:eastAsia="Times New Roman"/>
                      <w:noProof/>
                      <w:sz w:val="22"/>
                      <w:lang w:val="en-IE" w:eastAsia="en-IE"/>
                    </w:rPr>
                    <w:t> </w:t>
                  </w:r>
                </w:p>
                <w:p w14:paraId="7AF61513"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val="en-IE" w:eastAsia="en-IE"/>
                    </w:rPr>
                    <w:t> </w:t>
                  </w:r>
                </w:p>
              </w:tc>
              <w:tc>
                <w:tcPr>
                  <w:tcW w:w="3015" w:type="dxa"/>
                  <w:tcBorders>
                    <w:top w:val="single" w:sz="6" w:space="0" w:color="auto"/>
                    <w:left w:val="single" w:sz="6" w:space="0" w:color="auto"/>
                    <w:bottom w:val="single" w:sz="6" w:space="0" w:color="auto"/>
                    <w:right w:val="single" w:sz="6" w:space="0" w:color="auto"/>
                  </w:tcBorders>
                  <w:hideMark/>
                </w:tcPr>
                <w:p w14:paraId="4D936A72"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Executive Director of ENISA</w:t>
                  </w:r>
                  <w:r w:rsidRPr="006F001C">
                    <w:rPr>
                      <w:rFonts w:eastAsia="Times New Roman"/>
                      <w:noProof/>
                      <w:sz w:val="22"/>
                      <w:lang w:val="en-IE" w:eastAsia="en-IE"/>
                    </w:rPr>
                    <w:t> </w:t>
                  </w:r>
                </w:p>
                <w:p w14:paraId="2B676AA9"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Management Board of ENISA</w:t>
                  </w:r>
                  <w:r w:rsidRPr="006F001C">
                    <w:rPr>
                      <w:rFonts w:eastAsia="Times New Roman"/>
                      <w:noProof/>
                      <w:sz w:val="22"/>
                      <w:lang w:val="en-IE" w:eastAsia="en-IE"/>
                    </w:rPr>
                    <w:t> </w:t>
                  </w:r>
                </w:p>
                <w:p w14:paraId="3973A7AB"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EU Commission</w:t>
                  </w:r>
                  <w:r w:rsidRPr="006F001C">
                    <w:rPr>
                      <w:rFonts w:eastAsia="Times New Roman"/>
                      <w:noProof/>
                      <w:sz w:val="22"/>
                      <w:lang w:val="en-IE" w:eastAsia="en-IE"/>
                    </w:rPr>
                    <w:t> </w:t>
                  </w:r>
                </w:p>
                <w:p w14:paraId="24F40F88"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European Parliament</w:t>
                  </w:r>
                  <w:r w:rsidRPr="006F001C">
                    <w:rPr>
                      <w:rFonts w:eastAsia="Times New Roman"/>
                      <w:noProof/>
                      <w:sz w:val="22"/>
                      <w:lang w:val="en-IE" w:eastAsia="en-IE"/>
                    </w:rPr>
                    <w:t> </w:t>
                  </w:r>
                </w:p>
                <w:p w14:paraId="4204A807"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Council</w:t>
                  </w:r>
                  <w:r w:rsidRPr="006F001C">
                    <w:rPr>
                      <w:rFonts w:eastAsia="Times New Roman"/>
                      <w:noProof/>
                      <w:sz w:val="22"/>
                      <w:lang w:val="en-IE" w:eastAsia="en-IE"/>
                    </w:rPr>
                    <w:t> </w:t>
                  </w:r>
                </w:p>
              </w:tc>
              <w:tc>
                <w:tcPr>
                  <w:tcW w:w="3040" w:type="dxa"/>
                  <w:tcBorders>
                    <w:top w:val="single" w:sz="6" w:space="0" w:color="auto"/>
                    <w:left w:val="single" w:sz="6" w:space="0" w:color="auto"/>
                    <w:bottom w:val="single" w:sz="6" w:space="0" w:color="auto"/>
                    <w:right w:val="single" w:sz="6" w:space="0" w:color="auto"/>
                  </w:tcBorders>
                  <w:hideMark/>
                </w:tcPr>
                <w:p w14:paraId="47AEE34B"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Drafting, adopting, and forwarding a single programming document every year</w:t>
                  </w:r>
                  <w:r w:rsidRPr="006F001C">
                    <w:rPr>
                      <w:rFonts w:eastAsia="Times New Roman"/>
                      <w:noProof/>
                      <w:sz w:val="22"/>
                      <w:lang w:val="en-IE" w:eastAsia="en-IE"/>
                    </w:rPr>
                    <w:t> </w:t>
                  </w:r>
                </w:p>
              </w:tc>
              <w:tc>
                <w:tcPr>
                  <w:tcW w:w="1281" w:type="dxa"/>
                  <w:tcBorders>
                    <w:top w:val="single" w:sz="6" w:space="0" w:color="auto"/>
                    <w:left w:val="single" w:sz="6" w:space="0" w:color="auto"/>
                    <w:bottom w:val="single" w:sz="6" w:space="0" w:color="auto"/>
                    <w:right w:val="single" w:sz="6" w:space="0" w:color="auto"/>
                  </w:tcBorders>
                  <w:hideMark/>
                </w:tcPr>
                <w:p w14:paraId="1B528A6B"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flow</w:t>
                  </w:r>
                  <w:r w:rsidRPr="006F001C">
                    <w:rPr>
                      <w:rFonts w:eastAsia="Times New Roman"/>
                      <w:noProof/>
                      <w:sz w:val="22"/>
                      <w:lang w:val="en-IE" w:eastAsia="en-IE"/>
                    </w:rPr>
                    <w:t> </w:t>
                  </w:r>
                </w:p>
              </w:tc>
            </w:tr>
            <w:tr w:rsidR="007A5304" w:rsidRPr="006F001C" w14:paraId="3E2AA220" w14:textId="77777777">
              <w:trPr>
                <w:trHeight w:val="1755"/>
              </w:trPr>
              <w:tc>
                <w:tcPr>
                  <w:tcW w:w="2887" w:type="dxa"/>
                  <w:tcBorders>
                    <w:top w:val="single" w:sz="6" w:space="0" w:color="auto"/>
                    <w:left w:val="single" w:sz="6" w:space="0" w:color="auto"/>
                    <w:bottom w:val="single" w:sz="6" w:space="0" w:color="auto"/>
                    <w:right w:val="single" w:sz="6" w:space="0" w:color="auto"/>
                  </w:tcBorders>
                  <w:hideMark/>
                </w:tcPr>
                <w:p w14:paraId="117C1582"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Article 45</w:t>
                  </w:r>
                  <w:r w:rsidRPr="006F001C">
                    <w:rPr>
                      <w:rFonts w:eastAsia="Times New Roman"/>
                      <w:noProof/>
                      <w:sz w:val="22"/>
                      <w:lang w:val="en-IE" w:eastAsia="en-IE"/>
                    </w:rPr>
                    <w:t> </w:t>
                  </w:r>
                </w:p>
                <w:p w14:paraId="6051D818"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Establishment of ENISA’s budget</w:t>
                  </w:r>
                  <w:r w:rsidRPr="006F001C">
                    <w:rPr>
                      <w:rFonts w:eastAsia="Times New Roman"/>
                      <w:noProof/>
                      <w:sz w:val="22"/>
                      <w:lang w:val="en-IE" w:eastAsia="en-IE"/>
                    </w:rPr>
                    <w:t> </w:t>
                  </w:r>
                </w:p>
              </w:tc>
              <w:tc>
                <w:tcPr>
                  <w:tcW w:w="4332" w:type="dxa"/>
                  <w:tcBorders>
                    <w:top w:val="single" w:sz="6" w:space="0" w:color="auto"/>
                    <w:left w:val="single" w:sz="6" w:space="0" w:color="auto"/>
                    <w:bottom w:val="single" w:sz="6" w:space="0" w:color="auto"/>
                    <w:right w:val="single" w:sz="6" w:space="0" w:color="auto"/>
                  </w:tcBorders>
                  <w:hideMark/>
                </w:tcPr>
                <w:p w14:paraId="3EDBEF94"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4.</w:t>
                  </w:r>
                  <w:r w:rsidRPr="006F001C">
                    <w:rPr>
                      <w:rFonts w:ascii="Calibri" w:eastAsia="Times New Roman" w:hAnsi="Calibri" w:cs="Calibri"/>
                      <w:noProof/>
                      <w:sz w:val="22"/>
                      <w:lang w:val="en-IE" w:eastAsia="en-IE"/>
                    </w:rPr>
                    <w:tab/>
                  </w:r>
                  <w:r w:rsidRPr="006F001C">
                    <w:rPr>
                      <w:rFonts w:eastAsia="Times New Roman"/>
                      <w:noProof/>
                      <w:sz w:val="22"/>
                      <w:lang w:eastAsia="en-IE"/>
                    </w:rPr>
                    <w:t>The </w:t>
                  </w:r>
                  <w:r w:rsidRPr="006F001C">
                    <w:rPr>
                      <w:rFonts w:eastAsia="Times New Roman"/>
                      <w:b/>
                      <w:bCs/>
                      <w:noProof/>
                      <w:sz w:val="22"/>
                      <w:lang w:eastAsia="en-IE"/>
                    </w:rPr>
                    <w:t>Commission shall send the draft estimate to the budgetary authority</w:t>
                  </w:r>
                  <w:r w:rsidRPr="006F001C">
                    <w:rPr>
                      <w:rFonts w:eastAsia="Times New Roman"/>
                      <w:noProof/>
                      <w:sz w:val="22"/>
                      <w:lang w:eastAsia="en-IE"/>
                    </w:rPr>
                    <w:t> together with the draft general budget of the Union. The draft estimate shall also be made available to ENISA.</w:t>
                  </w:r>
                  <w:r w:rsidRPr="006F001C">
                    <w:rPr>
                      <w:rFonts w:eastAsia="Times New Roman"/>
                      <w:noProof/>
                      <w:sz w:val="22"/>
                      <w:lang w:val="en-IE" w:eastAsia="en-IE"/>
                    </w:rPr>
                    <w:t> </w:t>
                  </w:r>
                </w:p>
              </w:tc>
              <w:tc>
                <w:tcPr>
                  <w:tcW w:w="3015" w:type="dxa"/>
                  <w:tcBorders>
                    <w:top w:val="single" w:sz="6" w:space="0" w:color="auto"/>
                    <w:left w:val="single" w:sz="6" w:space="0" w:color="auto"/>
                    <w:bottom w:val="single" w:sz="6" w:space="0" w:color="auto"/>
                    <w:right w:val="single" w:sz="6" w:space="0" w:color="auto"/>
                  </w:tcBorders>
                  <w:hideMark/>
                </w:tcPr>
                <w:p w14:paraId="1682D8F6"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ENISA</w:t>
                  </w:r>
                  <w:r w:rsidRPr="006F001C">
                    <w:rPr>
                      <w:rFonts w:eastAsia="Times New Roman"/>
                      <w:noProof/>
                      <w:sz w:val="22"/>
                      <w:lang w:val="en-IE" w:eastAsia="en-IE"/>
                    </w:rPr>
                    <w:t> </w:t>
                  </w:r>
                </w:p>
                <w:p w14:paraId="34CA00D4"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EU Commission</w:t>
                  </w:r>
                  <w:r w:rsidRPr="006F001C">
                    <w:rPr>
                      <w:rFonts w:eastAsia="Times New Roman"/>
                      <w:noProof/>
                      <w:sz w:val="22"/>
                      <w:lang w:val="en-IE" w:eastAsia="en-IE"/>
                    </w:rPr>
                    <w:t> </w:t>
                  </w:r>
                </w:p>
              </w:tc>
              <w:tc>
                <w:tcPr>
                  <w:tcW w:w="3040" w:type="dxa"/>
                  <w:tcBorders>
                    <w:top w:val="single" w:sz="6" w:space="0" w:color="auto"/>
                    <w:left w:val="single" w:sz="6" w:space="0" w:color="auto"/>
                    <w:bottom w:val="single" w:sz="6" w:space="0" w:color="auto"/>
                    <w:right w:val="single" w:sz="6" w:space="0" w:color="auto"/>
                  </w:tcBorders>
                  <w:hideMark/>
                </w:tcPr>
                <w:p w14:paraId="448E85FA"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Sharing information</w:t>
                  </w:r>
                  <w:r w:rsidRPr="006F001C">
                    <w:rPr>
                      <w:rFonts w:eastAsia="Times New Roman"/>
                      <w:noProof/>
                      <w:sz w:val="22"/>
                      <w:lang w:val="en-IE" w:eastAsia="en-IE"/>
                    </w:rPr>
                    <w:t> </w:t>
                  </w:r>
                </w:p>
              </w:tc>
              <w:tc>
                <w:tcPr>
                  <w:tcW w:w="1281" w:type="dxa"/>
                  <w:tcBorders>
                    <w:top w:val="single" w:sz="6" w:space="0" w:color="auto"/>
                    <w:left w:val="single" w:sz="6" w:space="0" w:color="auto"/>
                    <w:bottom w:val="single" w:sz="6" w:space="0" w:color="auto"/>
                    <w:right w:val="single" w:sz="6" w:space="0" w:color="auto"/>
                  </w:tcBorders>
                  <w:hideMark/>
                </w:tcPr>
                <w:p w14:paraId="2AB6B42B"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flow</w:t>
                  </w:r>
                  <w:r w:rsidRPr="006F001C">
                    <w:rPr>
                      <w:rFonts w:eastAsia="Times New Roman"/>
                      <w:noProof/>
                      <w:sz w:val="22"/>
                      <w:lang w:val="en-IE" w:eastAsia="en-IE"/>
                    </w:rPr>
                    <w:t> </w:t>
                  </w:r>
                </w:p>
              </w:tc>
            </w:tr>
            <w:tr w:rsidR="007A5304" w:rsidRPr="006F001C" w14:paraId="2D57AFA7" w14:textId="77777777">
              <w:trPr>
                <w:trHeight w:val="1665"/>
              </w:trPr>
              <w:tc>
                <w:tcPr>
                  <w:tcW w:w="2887" w:type="dxa"/>
                  <w:tcBorders>
                    <w:top w:val="single" w:sz="6" w:space="0" w:color="auto"/>
                    <w:left w:val="single" w:sz="6" w:space="0" w:color="auto"/>
                    <w:bottom w:val="single" w:sz="6" w:space="0" w:color="auto"/>
                    <w:right w:val="single" w:sz="6" w:space="0" w:color="auto"/>
                  </w:tcBorders>
                  <w:hideMark/>
                </w:tcPr>
                <w:p w14:paraId="049A6A90"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Article 47</w:t>
                  </w:r>
                  <w:r w:rsidRPr="006F001C">
                    <w:rPr>
                      <w:rFonts w:eastAsia="Times New Roman"/>
                      <w:noProof/>
                      <w:sz w:val="22"/>
                      <w:lang w:val="en-IE" w:eastAsia="en-IE"/>
                    </w:rPr>
                    <w:t> </w:t>
                  </w:r>
                </w:p>
                <w:p w14:paraId="32F6CDFC" w14:textId="09044E65"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Fees </w:t>
                  </w:r>
                  <w:r w:rsidRPr="006F001C">
                    <w:rPr>
                      <w:rFonts w:eastAsia="Times New Roman"/>
                      <w:noProof/>
                      <w:sz w:val="22"/>
                      <w:lang w:val="en-IE" w:eastAsia="en-IE"/>
                    </w:rPr>
                    <w:t> </w:t>
                  </w:r>
                </w:p>
              </w:tc>
              <w:tc>
                <w:tcPr>
                  <w:tcW w:w="4332" w:type="dxa"/>
                  <w:tcBorders>
                    <w:top w:val="single" w:sz="6" w:space="0" w:color="auto"/>
                    <w:left w:val="single" w:sz="6" w:space="0" w:color="auto"/>
                    <w:bottom w:val="single" w:sz="6" w:space="0" w:color="auto"/>
                    <w:right w:val="single" w:sz="6" w:space="0" w:color="auto"/>
                  </w:tcBorders>
                  <w:hideMark/>
                </w:tcPr>
                <w:p w14:paraId="4BC13A9E" w14:textId="77777777" w:rsidR="0031212A" w:rsidRPr="006F001C" w:rsidRDefault="0031212A" w:rsidP="0031212A">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 xml:space="preserve">In relation to European individual attestation schemes activities laid down in Article 22(1), </w:t>
                  </w:r>
                  <w:r w:rsidRPr="493E7C3A">
                    <w:rPr>
                      <w:rFonts w:eastAsia="Times New Roman"/>
                      <w:noProof/>
                      <w:sz w:val="22"/>
                      <w:lang w:eastAsia="en-IE"/>
                    </w:rPr>
                    <w:t xml:space="preserve">the </w:t>
                  </w:r>
                  <w:r w:rsidRPr="00284A03">
                    <w:rPr>
                      <w:rFonts w:eastAsia="Times New Roman"/>
                      <w:b/>
                      <w:noProof/>
                      <w:sz w:val="22"/>
                      <w:lang w:eastAsia="en-IE"/>
                    </w:rPr>
                    <w:t>following fees shall be levied</w:t>
                  </w:r>
                  <w:r w:rsidRPr="493E7C3A">
                    <w:rPr>
                      <w:rFonts w:eastAsia="Times New Roman"/>
                      <w:noProof/>
                      <w:sz w:val="22"/>
                      <w:lang w:eastAsia="en-IE"/>
                    </w:rPr>
                    <w:t xml:space="preserve"> towards applicants within the meaning of Article 21(3) or to authorised attestation providers to contribute to covering the full costs of the activities performed by ENISA</w:t>
                  </w:r>
                  <w:r w:rsidRPr="006F001C">
                    <w:rPr>
                      <w:rFonts w:eastAsia="Times New Roman"/>
                      <w:noProof/>
                      <w:sz w:val="22"/>
                      <w:lang w:eastAsia="en-IE"/>
                    </w:rPr>
                    <w:t>:</w:t>
                  </w:r>
                  <w:r w:rsidRPr="006F001C">
                    <w:rPr>
                      <w:rFonts w:eastAsia="Times New Roman"/>
                      <w:noProof/>
                      <w:sz w:val="22"/>
                      <w:lang w:val="en-IE" w:eastAsia="en-IE"/>
                    </w:rPr>
                    <w:t> </w:t>
                  </w:r>
                </w:p>
                <w:p w14:paraId="4EF2A7A0" w14:textId="77777777" w:rsidR="0031212A" w:rsidRPr="006F001C" w:rsidRDefault="0031212A" w:rsidP="00D06470">
                  <w:pPr>
                    <w:numPr>
                      <w:ilvl w:val="0"/>
                      <w:numId w:val="166"/>
                    </w:numPr>
                    <w:spacing w:before="0" w:after="0"/>
                    <w:ind w:firstLine="0"/>
                    <w:textAlignment w:val="baseline"/>
                    <w:rPr>
                      <w:rFonts w:eastAsia="Times New Roman"/>
                      <w:noProof/>
                      <w:sz w:val="22"/>
                      <w:lang w:val="en-IE" w:eastAsia="en-IE"/>
                    </w:rPr>
                  </w:pPr>
                  <w:r w:rsidRPr="00284A03">
                    <w:rPr>
                      <w:rFonts w:eastAsia="Times New Roman"/>
                      <w:noProof/>
                      <w:sz w:val="22"/>
                      <w:lang w:eastAsia="en-IE"/>
                    </w:rPr>
                    <w:t>issuing authorisations</w:t>
                  </w:r>
                  <w:r w:rsidRPr="493E7C3A">
                    <w:rPr>
                      <w:rFonts w:eastAsia="Times New Roman"/>
                      <w:b/>
                      <w:bCs/>
                      <w:noProof/>
                      <w:sz w:val="22"/>
                      <w:lang w:eastAsia="en-IE"/>
                    </w:rPr>
                    <w:t xml:space="preserve"> </w:t>
                  </w:r>
                  <w:r w:rsidRPr="00284A03">
                    <w:rPr>
                      <w:rFonts w:eastAsia="Times New Roman"/>
                      <w:noProof/>
                      <w:sz w:val="22"/>
                      <w:lang w:eastAsia="en-IE"/>
                    </w:rPr>
                    <w:t>following examination of the</w:t>
                  </w:r>
                  <w:r w:rsidRPr="493E7C3A">
                    <w:rPr>
                      <w:rFonts w:eastAsia="Times New Roman"/>
                      <w:b/>
                      <w:bCs/>
                      <w:noProof/>
                      <w:sz w:val="22"/>
                      <w:lang w:eastAsia="en-IE"/>
                    </w:rPr>
                    <w:t xml:space="preserve"> </w:t>
                  </w:r>
                  <w:r w:rsidRPr="00284A03">
                    <w:rPr>
                      <w:rFonts w:eastAsia="Times New Roman"/>
                      <w:noProof/>
                      <w:sz w:val="22"/>
                      <w:lang w:eastAsia="en-IE"/>
                    </w:rPr>
                    <w:t>requirements laid down in Article 21(3) and (4), including conducting evaluations;</w:t>
                  </w:r>
                </w:p>
                <w:p w14:paraId="4E157200" w14:textId="77777777" w:rsidR="0031212A" w:rsidRPr="006F001C" w:rsidRDefault="0031212A" w:rsidP="00D06470">
                  <w:pPr>
                    <w:numPr>
                      <w:ilvl w:val="0"/>
                      <w:numId w:val="167"/>
                    </w:numPr>
                    <w:spacing w:before="0" w:after="0"/>
                    <w:ind w:firstLine="0"/>
                    <w:textAlignment w:val="baseline"/>
                    <w:rPr>
                      <w:rFonts w:eastAsia="Times New Roman"/>
                      <w:noProof/>
                      <w:sz w:val="22"/>
                      <w:lang w:val="en-IE" w:eastAsia="en-IE"/>
                    </w:rPr>
                  </w:pPr>
                  <w:r w:rsidRPr="04CF555D">
                    <w:rPr>
                      <w:rFonts w:eastAsia="Times New Roman"/>
                      <w:noProof/>
                      <w:sz w:val="22"/>
                      <w:lang w:eastAsia="en-IE"/>
                    </w:rPr>
                    <w:t>yearly maintenance of the authorisation</w:t>
                  </w:r>
                  <w:r w:rsidRPr="006F001C">
                    <w:rPr>
                      <w:rFonts w:eastAsia="Times New Roman"/>
                      <w:noProof/>
                      <w:sz w:val="22"/>
                      <w:lang w:eastAsia="en-IE"/>
                    </w:rPr>
                    <w:t>;</w:t>
                  </w:r>
                  <w:r w:rsidRPr="006F001C">
                    <w:rPr>
                      <w:rFonts w:eastAsia="Times New Roman"/>
                      <w:noProof/>
                      <w:sz w:val="22"/>
                      <w:lang w:val="en-IE" w:eastAsia="en-IE"/>
                    </w:rPr>
                    <w:t> </w:t>
                  </w:r>
                </w:p>
                <w:p w14:paraId="27C351C7" w14:textId="77777777" w:rsidR="0031212A" w:rsidRDefault="0031212A" w:rsidP="00D06470">
                  <w:pPr>
                    <w:numPr>
                      <w:ilvl w:val="0"/>
                      <w:numId w:val="168"/>
                    </w:numPr>
                    <w:spacing w:before="0" w:after="0"/>
                    <w:ind w:firstLine="0"/>
                    <w:rPr>
                      <w:rFonts w:eastAsia="Times New Roman"/>
                      <w:noProof/>
                      <w:sz w:val="22"/>
                      <w:lang w:val="en-IE" w:eastAsia="en-IE"/>
                    </w:rPr>
                  </w:pPr>
                  <w:r w:rsidRPr="45B47128">
                    <w:rPr>
                      <w:rFonts w:eastAsia="Times New Roman"/>
                      <w:noProof/>
                      <w:sz w:val="22"/>
                      <w:lang w:val="en-IE" w:eastAsia="en-IE"/>
                    </w:rPr>
                    <w:t>renewing authorisations for providers of European individual cybersecurity skills attestations, including conducting evaluations.</w:t>
                  </w:r>
                </w:p>
                <w:p w14:paraId="101B405B" w14:textId="77777777" w:rsidR="0031212A" w:rsidRDefault="0031212A" w:rsidP="0031212A">
                  <w:pPr>
                    <w:spacing w:before="0" w:after="0"/>
                    <w:rPr>
                      <w:rFonts w:ascii="Segoe UI" w:eastAsia="Times New Roman" w:hAnsi="Segoe UI" w:cs="Segoe UI"/>
                      <w:noProof/>
                      <w:sz w:val="18"/>
                      <w:szCs w:val="18"/>
                      <w:lang w:val="en-IE" w:eastAsia="en-IE"/>
                    </w:rPr>
                  </w:pPr>
                  <w:r w:rsidRPr="3795316D">
                    <w:rPr>
                      <w:rFonts w:eastAsia="Times New Roman"/>
                      <w:noProof/>
                      <w:color w:val="000000" w:themeColor="text1"/>
                      <w:sz w:val="22"/>
                      <w:lang w:val="en-IE" w:eastAsia="en-IE"/>
                    </w:rPr>
                    <w:t xml:space="preserve">In relation to certification, the </w:t>
                  </w:r>
                  <w:r w:rsidRPr="00284A03">
                    <w:rPr>
                      <w:rFonts w:eastAsia="Times New Roman"/>
                      <w:b/>
                      <w:noProof/>
                      <w:color w:val="000000" w:themeColor="text1"/>
                      <w:sz w:val="22"/>
                      <w:lang w:val="en-IE" w:eastAsia="en-IE"/>
                    </w:rPr>
                    <w:t>following fees shall be levied on the conformity assessment bodies</w:t>
                  </w:r>
                  <w:r w:rsidRPr="3795316D">
                    <w:rPr>
                      <w:rFonts w:eastAsia="Times New Roman"/>
                      <w:noProof/>
                      <w:color w:val="000000" w:themeColor="text1"/>
                      <w:sz w:val="22"/>
                      <w:lang w:val="en-IE" w:eastAsia="en-IE"/>
                    </w:rPr>
                    <w:t xml:space="preserve"> for the maintenance of European cybersecurity certification schemes under which European cybersecurity certificates are issued, in particular:  </w:t>
                  </w:r>
                </w:p>
                <w:p w14:paraId="00808ADA" w14:textId="77777777" w:rsidR="0031212A" w:rsidRDefault="0031212A" w:rsidP="0031212A">
                  <w:pPr>
                    <w:spacing w:before="0" w:after="0"/>
                    <w:rPr>
                      <w:noProof/>
                    </w:rPr>
                  </w:pPr>
                  <w:r w:rsidRPr="3795316D">
                    <w:rPr>
                      <w:rFonts w:eastAsia="Times New Roman"/>
                      <w:noProof/>
                      <w:color w:val="000000" w:themeColor="text1"/>
                      <w:sz w:val="22"/>
                      <w:lang w:val="en-IE" w:eastAsia="en-IE"/>
                    </w:rPr>
                    <w:t xml:space="preserve">an annual fee for the participation in a European cybersecurity certification scheme;    </w:t>
                  </w:r>
                </w:p>
                <w:p w14:paraId="5E5B6B9D" w14:textId="77777777" w:rsidR="0031212A" w:rsidRDefault="0031212A" w:rsidP="0031212A">
                  <w:pPr>
                    <w:spacing w:before="0" w:after="0"/>
                    <w:rPr>
                      <w:noProof/>
                    </w:rPr>
                  </w:pPr>
                  <w:r w:rsidRPr="3795316D">
                    <w:rPr>
                      <w:rFonts w:eastAsia="Times New Roman"/>
                      <w:noProof/>
                      <w:color w:val="000000" w:themeColor="text1"/>
                      <w:sz w:val="22"/>
                      <w:lang w:val="en-IE" w:eastAsia="en-IE"/>
                    </w:rPr>
                    <w:t xml:space="preserve">a fee for issuance of European cybersecurity certificates under European cybersecurity certification schemes. </w:t>
                  </w:r>
                </w:p>
                <w:p w14:paraId="743C5C7F" w14:textId="77777777" w:rsidR="0031212A" w:rsidRDefault="0031212A" w:rsidP="0031212A">
                  <w:pPr>
                    <w:spacing w:before="0" w:after="0"/>
                    <w:rPr>
                      <w:noProof/>
                    </w:rPr>
                  </w:pPr>
                  <w:r w:rsidRPr="3795316D">
                    <w:rPr>
                      <w:rFonts w:eastAsia="Times New Roman"/>
                      <w:noProof/>
                      <w:color w:val="000000" w:themeColor="text1"/>
                      <w:sz w:val="22"/>
                      <w:lang w:val="en-IE" w:eastAsia="en-IE"/>
                    </w:rPr>
                    <w:t xml:space="preserve">The fees referred to in point b) shall be levied when the conformity assessment body submits European cybersecurity certificates to ENISA for publication on their website pursuant to Article 79.  </w:t>
                  </w:r>
                </w:p>
                <w:p w14:paraId="5AE1E4AB" w14:textId="42CE13F1"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The </w:t>
                  </w:r>
                  <w:r w:rsidRPr="006F001C">
                    <w:rPr>
                      <w:rFonts w:eastAsia="Times New Roman"/>
                      <w:b/>
                      <w:bCs/>
                      <w:noProof/>
                      <w:sz w:val="22"/>
                      <w:lang w:eastAsia="en-IE"/>
                    </w:rPr>
                    <w:t>Commission shall adopt implementing acts</w:t>
                  </w:r>
                  <w:r w:rsidRPr="006F001C">
                    <w:rPr>
                      <w:rFonts w:eastAsia="Times New Roman"/>
                      <w:noProof/>
                      <w:sz w:val="22"/>
                      <w:lang w:eastAsia="en-IE"/>
                    </w:rPr>
                    <w:t> laying down detailed rules relating to fees levied by ENISA </w:t>
                  </w:r>
                  <w:r w:rsidRPr="006F001C">
                    <w:rPr>
                      <w:rFonts w:eastAsia="Times New Roman"/>
                      <w:noProof/>
                      <w:sz w:val="22"/>
                      <w:lang w:val="en-IE" w:eastAsia="en-IE"/>
                    </w:rPr>
                    <w:t> </w:t>
                  </w:r>
                </w:p>
                <w:p w14:paraId="270E6125" w14:textId="1389D3FF"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ENISA shall include a </w:t>
                  </w:r>
                  <w:r w:rsidRPr="006F001C">
                    <w:rPr>
                      <w:rFonts w:eastAsia="Times New Roman"/>
                      <w:b/>
                      <w:bCs/>
                      <w:noProof/>
                      <w:sz w:val="22"/>
                      <w:lang w:eastAsia="en-IE"/>
                    </w:rPr>
                    <w:t>report on the fees levied and their impact on the Agency’s budge</w:t>
                  </w:r>
                  <w:r w:rsidRPr="006F001C">
                    <w:rPr>
                      <w:rFonts w:eastAsia="Times New Roman"/>
                      <w:noProof/>
                      <w:sz w:val="22"/>
                      <w:lang w:eastAsia="en-IE"/>
                    </w:rPr>
                    <w:t>t as part of the procedure for the presentation of accounts</w:t>
                  </w:r>
                  <w:r w:rsidR="000571A9">
                    <w:rPr>
                      <w:rFonts w:eastAsia="Times New Roman"/>
                      <w:noProof/>
                      <w:sz w:val="22"/>
                      <w:lang w:eastAsia="en-IE"/>
                    </w:rPr>
                    <w:t>.</w:t>
                  </w:r>
                </w:p>
              </w:tc>
              <w:tc>
                <w:tcPr>
                  <w:tcW w:w="3015" w:type="dxa"/>
                  <w:tcBorders>
                    <w:top w:val="single" w:sz="6" w:space="0" w:color="auto"/>
                    <w:left w:val="single" w:sz="6" w:space="0" w:color="auto"/>
                    <w:bottom w:val="single" w:sz="6" w:space="0" w:color="auto"/>
                    <w:right w:val="single" w:sz="6" w:space="0" w:color="auto"/>
                  </w:tcBorders>
                  <w:hideMark/>
                </w:tcPr>
                <w:p w14:paraId="6DB186EE"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Commission</w:t>
                  </w:r>
                  <w:r w:rsidRPr="006F001C">
                    <w:rPr>
                      <w:rFonts w:eastAsia="Times New Roman"/>
                      <w:noProof/>
                      <w:sz w:val="22"/>
                      <w:lang w:val="en-IE" w:eastAsia="en-IE"/>
                    </w:rPr>
                    <w:t> </w:t>
                  </w:r>
                </w:p>
                <w:p w14:paraId="4E924508"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ENISA</w:t>
                  </w:r>
                  <w:r w:rsidRPr="006F001C">
                    <w:rPr>
                      <w:rFonts w:eastAsia="Times New Roman"/>
                      <w:noProof/>
                      <w:sz w:val="22"/>
                      <w:lang w:val="en-IE" w:eastAsia="en-IE"/>
                    </w:rPr>
                    <w:t> </w:t>
                  </w:r>
                </w:p>
                <w:p w14:paraId="5C6F2563"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Attestation providers</w:t>
                  </w:r>
                  <w:r w:rsidRPr="006F001C">
                    <w:rPr>
                      <w:rFonts w:eastAsia="Times New Roman"/>
                      <w:noProof/>
                      <w:sz w:val="22"/>
                      <w:lang w:val="en-IE" w:eastAsia="en-IE"/>
                    </w:rPr>
                    <w:t> </w:t>
                  </w:r>
                </w:p>
                <w:p w14:paraId="2EFA2CDE"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Conformity assessment bodies</w:t>
                  </w:r>
                  <w:r w:rsidRPr="006F001C">
                    <w:rPr>
                      <w:rFonts w:eastAsia="Times New Roman"/>
                      <w:noProof/>
                      <w:sz w:val="22"/>
                      <w:lang w:val="en-IE" w:eastAsia="en-IE"/>
                    </w:rPr>
                    <w:t> </w:t>
                  </w:r>
                </w:p>
              </w:tc>
              <w:tc>
                <w:tcPr>
                  <w:tcW w:w="3040" w:type="dxa"/>
                  <w:tcBorders>
                    <w:top w:val="single" w:sz="6" w:space="0" w:color="auto"/>
                    <w:left w:val="single" w:sz="6" w:space="0" w:color="auto"/>
                    <w:bottom w:val="single" w:sz="6" w:space="0" w:color="auto"/>
                    <w:right w:val="single" w:sz="6" w:space="0" w:color="auto"/>
                  </w:tcBorders>
                  <w:hideMark/>
                </w:tcPr>
                <w:p w14:paraId="4E981BB0" w14:textId="6690AA6C"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Processing information; payment of fees; reporting on fees</w:t>
                  </w:r>
                </w:p>
              </w:tc>
              <w:tc>
                <w:tcPr>
                  <w:tcW w:w="1281" w:type="dxa"/>
                  <w:tcBorders>
                    <w:top w:val="single" w:sz="6" w:space="0" w:color="auto"/>
                    <w:left w:val="single" w:sz="6" w:space="0" w:color="auto"/>
                    <w:bottom w:val="single" w:sz="6" w:space="0" w:color="auto"/>
                    <w:right w:val="single" w:sz="6" w:space="0" w:color="auto"/>
                  </w:tcBorders>
                  <w:hideMark/>
                </w:tcPr>
                <w:p w14:paraId="3C6AFD03"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processing </w:t>
                  </w:r>
                  <w:r w:rsidRPr="006F001C">
                    <w:rPr>
                      <w:rFonts w:eastAsia="Times New Roman"/>
                      <w:noProof/>
                      <w:sz w:val="22"/>
                      <w:lang w:val="en-IE" w:eastAsia="en-IE"/>
                    </w:rPr>
                    <w:t> </w:t>
                  </w:r>
                </w:p>
                <w:p w14:paraId="6F794044"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flow</w:t>
                  </w:r>
                  <w:r w:rsidRPr="006F001C">
                    <w:rPr>
                      <w:rFonts w:eastAsia="Times New Roman"/>
                      <w:noProof/>
                      <w:sz w:val="22"/>
                      <w:lang w:val="en-IE" w:eastAsia="en-IE"/>
                    </w:rPr>
                    <w:t> </w:t>
                  </w:r>
                </w:p>
                <w:p w14:paraId="19A36B4A"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val="en-IE" w:eastAsia="en-IE"/>
                    </w:rPr>
                    <w:t> </w:t>
                  </w:r>
                </w:p>
              </w:tc>
            </w:tr>
            <w:tr w:rsidR="007A5304" w:rsidRPr="006F001C" w14:paraId="01838D12" w14:textId="77777777">
              <w:trPr>
                <w:trHeight w:val="2745"/>
              </w:trPr>
              <w:tc>
                <w:tcPr>
                  <w:tcW w:w="2887" w:type="dxa"/>
                  <w:tcBorders>
                    <w:top w:val="single" w:sz="6" w:space="0" w:color="auto"/>
                    <w:left w:val="single" w:sz="6" w:space="0" w:color="auto"/>
                    <w:bottom w:val="single" w:sz="6" w:space="0" w:color="auto"/>
                    <w:right w:val="single" w:sz="6" w:space="0" w:color="auto"/>
                  </w:tcBorders>
                  <w:hideMark/>
                </w:tcPr>
                <w:p w14:paraId="17FA753C"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Article 48</w:t>
                  </w:r>
                  <w:r w:rsidRPr="006F001C">
                    <w:rPr>
                      <w:rFonts w:eastAsia="Times New Roman"/>
                      <w:noProof/>
                      <w:sz w:val="22"/>
                      <w:lang w:val="en-IE" w:eastAsia="en-IE"/>
                    </w:rPr>
                    <w:t> </w:t>
                  </w:r>
                </w:p>
                <w:p w14:paraId="7E7030EC"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Article 49</w:t>
                  </w:r>
                  <w:r w:rsidRPr="006F001C">
                    <w:rPr>
                      <w:rFonts w:eastAsia="Times New Roman"/>
                      <w:noProof/>
                      <w:sz w:val="22"/>
                      <w:lang w:val="en-IE" w:eastAsia="en-IE"/>
                    </w:rPr>
                    <w:t> </w:t>
                  </w:r>
                </w:p>
                <w:p w14:paraId="3111BB6E"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Budget implications</w:t>
                  </w:r>
                  <w:r w:rsidRPr="006F001C">
                    <w:rPr>
                      <w:rFonts w:eastAsia="Times New Roman"/>
                      <w:noProof/>
                      <w:sz w:val="22"/>
                      <w:lang w:val="en-IE" w:eastAsia="en-IE"/>
                    </w:rPr>
                    <w:t> </w:t>
                  </w:r>
                </w:p>
                <w:p w14:paraId="105041CE"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val="en-IE" w:eastAsia="en-IE"/>
                    </w:rPr>
                    <w:t> </w:t>
                  </w:r>
                </w:p>
              </w:tc>
              <w:tc>
                <w:tcPr>
                  <w:tcW w:w="4332" w:type="dxa"/>
                  <w:tcBorders>
                    <w:top w:val="single" w:sz="6" w:space="0" w:color="auto"/>
                    <w:left w:val="single" w:sz="6" w:space="0" w:color="auto"/>
                    <w:bottom w:val="single" w:sz="6" w:space="0" w:color="auto"/>
                    <w:right w:val="single" w:sz="6" w:space="0" w:color="auto"/>
                  </w:tcBorders>
                  <w:hideMark/>
                </w:tcPr>
                <w:p w14:paraId="71F94351"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Article 48</w:t>
                  </w:r>
                  <w:r w:rsidRPr="006F001C">
                    <w:rPr>
                      <w:rFonts w:eastAsia="Times New Roman"/>
                      <w:noProof/>
                      <w:sz w:val="22"/>
                      <w:lang w:val="en-IE" w:eastAsia="en-IE"/>
                    </w:rPr>
                    <w:t> </w:t>
                  </w:r>
                </w:p>
                <w:p w14:paraId="02985F35"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3.</w:t>
                  </w:r>
                  <w:r w:rsidRPr="006F001C">
                    <w:rPr>
                      <w:rFonts w:ascii="Calibri" w:eastAsia="Times New Roman" w:hAnsi="Calibri" w:cs="Calibri"/>
                      <w:noProof/>
                      <w:sz w:val="22"/>
                      <w:lang w:val="en-IE" w:eastAsia="en-IE"/>
                    </w:rPr>
                    <w:tab/>
                  </w:r>
                  <w:r w:rsidRPr="006F001C">
                    <w:rPr>
                      <w:rFonts w:eastAsia="Times New Roman"/>
                      <w:noProof/>
                      <w:sz w:val="22"/>
                      <w:lang w:eastAsia="en-IE"/>
                    </w:rPr>
                    <w:t>Each year, the Executive Director shall </w:t>
                  </w:r>
                  <w:r w:rsidRPr="006F001C">
                    <w:rPr>
                      <w:rFonts w:eastAsia="Times New Roman"/>
                      <w:b/>
                      <w:bCs/>
                      <w:noProof/>
                      <w:sz w:val="22"/>
                      <w:lang w:eastAsia="en-IE"/>
                    </w:rPr>
                    <w:t>send to the budgetary authority all information </w:t>
                  </w:r>
                  <w:r w:rsidRPr="006F001C">
                    <w:rPr>
                      <w:rFonts w:eastAsia="Times New Roman"/>
                      <w:noProof/>
                      <w:sz w:val="22"/>
                      <w:lang w:eastAsia="en-IE"/>
                    </w:rPr>
                    <w:t>relevant to the findings of evaluation procedures.</w:t>
                  </w:r>
                  <w:r w:rsidRPr="006F001C">
                    <w:rPr>
                      <w:rFonts w:eastAsia="Times New Roman"/>
                      <w:noProof/>
                      <w:sz w:val="22"/>
                      <w:lang w:val="en-IE" w:eastAsia="en-IE"/>
                    </w:rPr>
                    <w:t> </w:t>
                  </w:r>
                </w:p>
                <w:p w14:paraId="2A893392"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Article 49</w:t>
                  </w:r>
                  <w:r w:rsidRPr="006F001C">
                    <w:rPr>
                      <w:rFonts w:eastAsia="Times New Roman"/>
                      <w:noProof/>
                      <w:sz w:val="22"/>
                      <w:lang w:val="en-IE" w:eastAsia="en-IE"/>
                    </w:rPr>
                    <w:t> </w:t>
                  </w:r>
                </w:p>
                <w:p w14:paraId="6C8C2E2C"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1.</w:t>
                  </w:r>
                  <w:r w:rsidRPr="006F001C">
                    <w:rPr>
                      <w:rFonts w:ascii="Calibri" w:eastAsia="Times New Roman" w:hAnsi="Calibri" w:cs="Calibri"/>
                      <w:noProof/>
                      <w:sz w:val="22"/>
                      <w:lang w:val="en-IE" w:eastAsia="en-IE"/>
                    </w:rPr>
                    <w:tab/>
                  </w:r>
                  <w:r w:rsidRPr="006F001C">
                    <w:rPr>
                      <w:rFonts w:eastAsia="Times New Roman"/>
                      <w:noProof/>
                      <w:sz w:val="22"/>
                      <w:lang w:eastAsia="en-IE"/>
                    </w:rPr>
                    <w:t>ENISA’s accounting officer shall </w:t>
                  </w:r>
                  <w:r w:rsidRPr="006F001C">
                    <w:rPr>
                      <w:rFonts w:eastAsia="Times New Roman"/>
                      <w:b/>
                      <w:bCs/>
                      <w:noProof/>
                      <w:sz w:val="22"/>
                      <w:lang w:eastAsia="en-IE"/>
                    </w:rPr>
                    <w:t>send the provisional accounts for the financial year</w:t>
                  </w:r>
                  <w:r w:rsidRPr="006F001C">
                    <w:rPr>
                      <w:rFonts w:eastAsia="Times New Roman"/>
                      <w:noProof/>
                      <w:sz w:val="22"/>
                      <w:lang w:eastAsia="en-IE"/>
                    </w:rPr>
                    <w:t> (year N) to the Commission’s accounting officer and to the Court of Auditors by 1 March of the following financial year (year N + 1).</w:t>
                  </w:r>
                  <w:r w:rsidRPr="006F001C">
                    <w:rPr>
                      <w:rFonts w:eastAsia="Times New Roman"/>
                      <w:noProof/>
                      <w:sz w:val="22"/>
                      <w:lang w:val="en-IE" w:eastAsia="en-IE"/>
                    </w:rPr>
                    <w:t> </w:t>
                  </w:r>
                </w:p>
                <w:p w14:paraId="58D43F6D"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2.</w:t>
                  </w:r>
                  <w:r w:rsidRPr="006F001C">
                    <w:rPr>
                      <w:rFonts w:ascii="Calibri" w:eastAsia="Times New Roman" w:hAnsi="Calibri" w:cs="Calibri"/>
                      <w:noProof/>
                      <w:sz w:val="22"/>
                      <w:lang w:val="en-IE" w:eastAsia="en-IE"/>
                    </w:rPr>
                    <w:tab/>
                  </w:r>
                  <w:r w:rsidRPr="006F001C">
                    <w:rPr>
                      <w:rFonts w:eastAsia="Times New Roman"/>
                      <w:noProof/>
                      <w:sz w:val="22"/>
                      <w:lang w:eastAsia="en-IE"/>
                    </w:rPr>
                    <w:t>ENISA’s accounting officer shall also </w:t>
                  </w:r>
                  <w:r w:rsidRPr="006F001C">
                    <w:rPr>
                      <w:rFonts w:eastAsia="Times New Roman"/>
                      <w:b/>
                      <w:bCs/>
                      <w:noProof/>
                      <w:sz w:val="22"/>
                      <w:lang w:eastAsia="en-IE"/>
                    </w:rPr>
                    <w:t>provide the required accounting information for consolidation purposes to the Commission’s accounting offic</w:t>
                  </w:r>
                  <w:r w:rsidRPr="006F001C">
                    <w:rPr>
                      <w:rFonts w:eastAsia="Times New Roman"/>
                      <w:noProof/>
                      <w:sz w:val="22"/>
                      <w:lang w:eastAsia="en-IE"/>
                    </w:rPr>
                    <w:t>er, in the manner and format required by the latter by 1 March of year N + 1.</w:t>
                  </w:r>
                  <w:r w:rsidRPr="006F001C">
                    <w:rPr>
                      <w:rFonts w:eastAsia="Times New Roman"/>
                      <w:noProof/>
                      <w:sz w:val="22"/>
                      <w:lang w:val="en-IE" w:eastAsia="en-IE"/>
                    </w:rPr>
                    <w:t> </w:t>
                  </w:r>
                </w:p>
                <w:p w14:paraId="619212BC"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3.</w:t>
                  </w:r>
                  <w:r w:rsidRPr="006F001C">
                    <w:rPr>
                      <w:rFonts w:ascii="Calibri" w:eastAsia="Times New Roman" w:hAnsi="Calibri" w:cs="Calibri"/>
                      <w:noProof/>
                      <w:sz w:val="22"/>
                      <w:lang w:val="en-IE" w:eastAsia="en-IE"/>
                    </w:rPr>
                    <w:tab/>
                  </w:r>
                  <w:r w:rsidRPr="006F001C">
                    <w:rPr>
                      <w:rFonts w:eastAsia="Times New Roman"/>
                      <w:b/>
                      <w:bCs/>
                      <w:noProof/>
                      <w:sz w:val="22"/>
                      <w:lang w:eastAsia="en-IE"/>
                    </w:rPr>
                    <w:t>ENISA shall send the report on the budgetary and financial management for year N to the European Parliament, the Council, the Commission</w:t>
                  </w:r>
                  <w:r w:rsidRPr="006F001C">
                    <w:rPr>
                      <w:rFonts w:eastAsia="Times New Roman"/>
                      <w:noProof/>
                      <w:sz w:val="22"/>
                      <w:lang w:eastAsia="en-IE"/>
                    </w:rPr>
                    <w:t> and the Court of Auditors by 31 March of year N + 1.</w:t>
                  </w:r>
                  <w:r w:rsidRPr="006F001C">
                    <w:rPr>
                      <w:rFonts w:eastAsia="Times New Roman"/>
                      <w:noProof/>
                      <w:sz w:val="22"/>
                      <w:lang w:val="en-IE" w:eastAsia="en-IE"/>
                    </w:rPr>
                    <w:t> </w:t>
                  </w:r>
                </w:p>
                <w:p w14:paraId="3BE5A3D8"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4.</w:t>
                  </w:r>
                  <w:r w:rsidRPr="006F001C">
                    <w:rPr>
                      <w:rFonts w:ascii="Calibri" w:eastAsia="Times New Roman" w:hAnsi="Calibri" w:cs="Calibri"/>
                      <w:noProof/>
                      <w:sz w:val="22"/>
                      <w:lang w:val="en-IE" w:eastAsia="en-IE"/>
                    </w:rPr>
                    <w:tab/>
                  </w:r>
                  <w:r w:rsidRPr="006F001C">
                    <w:rPr>
                      <w:rFonts w:eastAsia="Times New Roman"/>
                      <w:b/>
                      <w:bCs/>
                      <w:noProof/>
                      <w:sz w:val="22"/>
                      <w:lang w:eastAsia="en-IE"/>
                    </w:rPr>
                    <w:t>On receipt of the Court of Auditor’s observations on ENISA’s provisional accounts for year N, the</w:t>
                  </w:r>
                  <w:r w:rsidRPr="006F001C">
                    <w:rPr>
                      <w:rFonts w:eastAsia="Times New Roman"/>
                      <w:noProof/>
                      <w:sz w:val="22"/>
                      <w:lang w:val="en-IE" w:eastAsia="en-IE"/>
                    </w:rPr>
                    <w:t> </w:t>
                  </w:r>
                  <w:r>
                    <w:rPr>
                      <w:rFonts w:eastAsia="Times New Roman"/>
                      <w:noProof/>
                      <w:sz w:val="22"/>
                      <w:lang w:val="en-IE" w:eastAsia="en-IE"/>
                    </w:rPr>
                    <w:t>agency accounting officer shall draw up ENISA’s final accounts.</w:t>
                  </w:r>
                </w:p>
                <w:p w14:paraId="73CB5E5F"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5. The </w:t>
                  </w:r>
                  <w:r w:rsidRPr="006F001C">
                    <w:rPr>
                      <w:rFonts w:eastAsia="Times New Roman"/>
                      <w:b/>
                      <w:bCs/>
                      <w:noProof/>
                      <w:sz w:val="22"/>
                      <w:lang w:eastAsia="en-IE"/>
                    </w:rPr>
                    <w:t>Management Board shall deliver an opinion</w:t>
                  </w:r>
                  <w:r w:rsidRPr="006F001C">
                    <w:rPr>
                      <w:rFonts w:eastAsia="Times New Roman"/>
                      <w:noProof/>
                      <w:sz w:val="22"/>
                      <w:lang w:eastAsia="en-IE"/>
                    </w:rPr>
                    <w:t> on ENISA’s final accounts for year N.</w:t>
                  </w:r>
                  <w:r w:rsidRPr="006F001C">
                    <w:rPr>
                      <w:rFonts w:eastAsia="Times New Roman"/>
                      <w:noProof/>
                      <w:sz w:val="22"/>
                      <w:lang w:val="en-IE" w:eastAsia="en-IE"/>
                    </w:rPr>
                    <w:t> </w:t>
                  </w:r>
                </w:p>
                <w:p w14:paraId="5BF05899"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b/>
                      <w:bCs/>
                      <w:noProof/>
                      <w:sz w:val="22"/>
                      <w:lang w:eastAsia="en-IE"/>
                    </w:rPr>
                    <w:t>Agency’s accounting officer shall draw up ENISA’s final accounts under his or her own responsibility. The Executive Director shall submit them to the Management Board for an opinion.</w:t>
                  </w:r>
                  <w:r w:rsidRPr="006F001C">
                    <w:rPr>
                      <w:rFonts w:eastAsia="Times New Roman"/>
                      <w:noProof/>
                      <w:sz w:val="22"/>
                      <w:lang w:val="en-IE" w:eastAsia="en-IE"/>
                    </w:rPr>
                    <w:t> </w:t>
                  </w:r>
                </w:p>
              </w:tc>
              <w:tc>
                <w:tcPr>
                  <w:tcW w:w="3015" w:type="dxa"/>
                  <w:tcBorders>
                    <w:top w:val="single" w:sz="6" w:space="0" w:color="auto"/>
                    <w:left w:val="single" w:sz="6" w:space="0" w:color="auto"/>
                    <w:bottom w:val="single" w:sz="6" w:space="0" w:color="auto"/>
                    <w:right w:val="single" w:sz="6" w:space="0" w:color="auto"/>
                  </w:tcBorders>
                  <w:hideMark/>
                </w:tcPr>
                <w:p w14:paraId="2E83C99D"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ENISA</w:t>
                  </w:r>
                  <w:r w:rsidRPr="006F001C">
                    <w:rPr>
                      <w:rFonts w:eastAsia="Times New Roman"/>
                      <w:noProof/>
                      <w:sz w:val="22"/>
                      <w:lang w:val="en-IE" w:eastAsia="en-IE"/>
                    </w:rPr>
                    <w:t> </w:t>
                  </w:r>
                </w:p>
                <w:p w14:paraId="10DA5252"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Management Board of ENISA</w:t>
                  </w:r>
                  <w:r w:rsidRPr="006F001C">
                    <w:rPr>
                      <w:rFonts w:eastAsia="Times New Roman"/>
                      <w:noProof/>
                      <w:sz w:val="22"/>
                      <w:lang w:val="en-IE" w:eastAsia="en-IE"/>
                    </w:rPr>
                    <w:t> </w:t>
                  </w:r>
                </w:p>
                <w:p w14:paraId="2294D5CE"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EU Commission</w:t>
                  </w:r>
                  <w:r w:rsidRPr="006F001C">
                    <w:rPr>
                      <w:rFonts w:eastAsia="Times New Roman"/>
                      <w:noProof/>
                      <w:sz w:val="22"/>
                      <w:lang w:val="en-IE" w:eastAsia="en-IE"/>
                    </w:rPr>
                    <w:t> </w:t>
                  </w:r>
                </w:p>
                <w:p w14:paraId="42DAF449"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Council</w:t>
                  </w:r>
                  <w:r w:rsidRPr="006F001C">
                    <w:rPr>
                      <w:rFonts w:eastAsia="Times New Roman"/>
                      <w:noProof/>
                      <w:sz w:val="22"/>
                      <w:lang w:val="en-IE" w:eastAsia="en-IE"/>
                    </w:rPr>
                    <w:t> </w:t>
                  </w:r>
                </w:p>
                <w:p w14:paraId="64DA740D"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European Parliament</w:t>
                  </w:r>
                  <w:r w:rsidRPr="006F001C">
                    <w:rPr>
                      <w:rFonts w:eastAsia="Times New Roman"/>
                      <w:noProof/>
                      <w:sz w:val="22"/>
                      <w:lang w:val="en-IE" w:eastAsia="en-IE"/>
                    </w:rPr>
                    <w:t> </w:t>
                  </w:r>
                </w:p>
              </w:tc>
              <w:tc>
                <w:tcPr>
                  <w:tcW w:w="3040" w:type="dxa"/>
                  <w:tcBorders>
                    <w:top w:val="single" w:sz="6" w:space="0" w:color="auto"/>
                    <w:left w:val="single" w:sz="6" w:space="0" w:color="auto"/>
                    <w:bottom w:val="single" w:sz="6" w:space="0" w:color="auto"/>
                    <w:right w:val="single" w:sz="6" w:space="0" w:color="auto"/>
                  </w:tcBorders>
                  <w:hideMark/>
                </w:tcPr>
                <w:p w14:paraId="2BA30744"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Processing and sharing information regarding ENISA budget.</w:t>
                  </w:r>
                  <w:r w:rsidRPr="006F001C">
                    <w:rPr>
                      <w:rFonts w:eastAsia="Times New Roman"/>
                      <w:noProof/>
                      <w:sz w:val="22"/>
                      <w:lang w:val="en-IE" w:eastAsia="en-IE"/>
                    </w:rPr>
                    <w:t> </w:t>
                  </w:r>
                </w:p>
              </w:tc>
              <w:tc>
                <w:tcPr>
                  <w:tcW w:w="1281" w:type="dxa"/>
                  <w:tcBorders>
                    <w:top w:val="single" w:sz="6" w:space="0" w:color="auto"/>
                    <w:left w:val="single" w:sz="6" w:space="0" w:color="auto"/>
                    <w:bottom w:val="single" w:sz="6" w:space="0" w:color="auto"/>
                    <w:right w:val="single" w:sz="6" w:space="0" w:color="auto"/>
                  </w:tcBorders>
                  <w:hideMark/>
                </w:tcPr>
                <w:p w14:paraId="285A8ECD"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processing </w:t>
                  </w:r>
                  <w:r w:rsidRPr="006F001C">
                    <w:rPr>
                      <w:rFonts w:eastAsia="Times New Roman"/>
                      <w:noProof/>
                      <w:sz w:val="22"/>
                      <w:lang w:val="en-IE" w:eastAsia="en-IE"/>
                    </w:rPr>
                    <w:t> </w:t>
                  </w:r>
                </w:p>
                <w:p w14:paraId="352512CF"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flow</w:t>
                  </w:r>
                  <w:r w:rsidRPr="006F001C">
                    <w:rPr>
                      <w:rFonts w:eastAsia="Times New Roman"/>
                      <w:noProof/>
                      <w:sz w:val="22"/>
                      <w:lang w:val="en-IE" w:eastAsia="en-IE"/>
                    </w:rPr>
                    <w:t> </w:t>
                  </w:r>
                </w:p>
                <w:p w14:paraId="6A4F5BD9"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val="en-IE" w:eastAsia="en-IE"/>
                    </w:rPr>
                    <w:t> </w:t>
                  </w:r>
                </w:p>
              </w:tc>
            </w:tr>
            <w:tr w:rsidR="007A5304" w:rsidRPr="006F001C" w14:paraId="0D62B4BC" w14:textId="77777777">
              <w:trPr>
                <w:trHeight w:val="3120"/>
              </w:trPr>
              <w:tc>
                <w:tcPr>
                  <w:tcW w:w="2887" w:type="dxa"/>
                  <w:tcBorders>
                    <w:top w:val="single" w:sz="6" w:space="0" w:color="auto"/>
                    <w:left w:val="single" w:sz="6" w:space="0" w:color="auto"/>
                    <w:bottom w:val="single" w:sz="6" w:space="0" w:color="auto"/>
                    <w:right w:val="single" w:sz="6" w:space="0" w:color="auto"/>
                  </w:tcBorders>
                  <w:hideMark/>
                </w:tcPr>
                <w:p w14:paraId="2EC79AF8"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Article 52</w:t>
                  </w:r>
                  <w:r w:rsidRPr="006F001C">
                    <w:rPr>
                      <w:rFonts w:eastAsia="Times New Roman"/>
                      <w:noProof/>
                      <w:sz w:val="22"/>
                      <w:lang w:val="en-IE" w:eastAsia="en-IE"/>
                    </w:rPr>
                    <w:t> </w:t>
                  </w:r>
                </w:p>
                <w:p w14:paraId="3A90F51C"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Declaration of interests</w:t>
                  </w:r>
                  <w:r w:rsidRPr="006F001C">
                    <w:rPr>
                      <w:rFonts w:eastAsia="Times New Roman"/>
                      <w:noProof/>
                      <w:sz w:val="22"/>
                      <w:lang w:val="en-IE" w:eastAsia="en-IE"/>
                    </w:rPr>
                    <w:t> </w:t>
                  </w:r>
                </w:p>
                <w:p w14:paraId="6618106B"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val="en-IE" w:eastAsia="en-IE"/>
                    </w:rPr>
                    <w:t> </w:t>
                  </w:r>
                </w:p>
              </w:tc>
              <w:tc>
                <w:tcPr>
                  <w:tcW w:w="4332" w:type="dxa"/>
                  <w:tcBorders>
                    <w:top w:val="single" w:sz="6" w:space="0" w:color="auto"/>
                    <w:left w:val="single" w:sz="6" w:space="0" w:color="auto"/>
                    <w:bottom w:val="single" w:sz="6" w:space="0" w:color="auto"/>
                    <w:right w:val="single" w:sz="6" w:space="0" w:color="auto"/>
                  </w:tcBorders>
                  <w:hideMark/>
                </w:tcPr>
                <w:p w14:paraId="443AC7EA"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The parties s</w:t>
                  </w:r>
                  <w:r w:rsidRPr="006F001C">
                    <w:rPr>
                      <w:rFonts w:eastAsia="Times New Roman"/>
                      <w:b/>
                      <w:bCs/>
                      <w:noProof/>
                      <w:sz w:val="22"/>
                      <w:lang w:eastAsia="en-IE"/>
                    </w:rPr>
                    <w:t>hall make a declaration of commitments and a declaration indicating the absence or presence</w:t>
                  </w:r>
                  <w:r w:rsidRPr="006F001C">
                    <w:rPr>
                      <w:rFonts w:eastAsia="Times New Roman"/>
                      <w:noProof/>
                      <w:sz w:val="22"/>
                      <w:lang w:eastAsia="en-IE"/>
                    </w:rPr>
                    <w:t> of any direct or indirect interest which might be considered to be prejudicial to their independence.</w:t>
                  </w:r>
                  <w:r w:rsidRPr="006F001C">
                    <w:rPr>
                      <w:rFonts w:eastAsia="Times New Roman"/>
                      <w:noProof/>
                      <w:sz w:val="22"/>
                      <w:lang w:val="en-IE" w:eastAsia="en-IE"/>
                    </w:rPr>
                    <w:t> </w:t>
                  </w:r>
                </w:p>
              </w:tc>
              <w:tc>
                <w:tcPr>
                  <w:tcW w:w="3015" w:type="dxa"/>
                  <w:tcBorders>
                    <w:top w:val="single" w:sz="6" w:space="0" w:color="auto"/>
                    <w:left w:val="single" w:sz="6" w:space="0" w:color="auto"/>
                    <w:bottom w:val="single" w:sz="6" w:space="0" w:color="auto"/>
                    <w:right w:val="single" w:sz="6" w:space="0" w:color="auto"/>
                  </w:tcBorders>
                  <w:hideMark/>
                </w:tcPr>
                <w:p w14:paraId="1E143D31"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ENISA management (Executive Director, the Deputy Executive Director); </w:t>
                  </w:r>
                  <w:r w:rsidRPr="006F001C">
                    <w:rPr>
                      <w:rFonts w:eastAsia="Times New Roman"/>
                      <w:noProof/>
                      <w:sz w:val="22"/>
                      <w:lang w:val="en-IE" w:eastAsia="en-IE"/>
                    </w:rPr>
                    <w:t> </w:t>
                  </w:r>
                </w:p>
                <w:p w14:paraId="097C4AD5"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Management Board, </w:t>
                  </w:r>
                  <w:r w:rsidRPr="006F001C">
                    <w:rPr>
                      <w:rFonts w:eastAsia="Times New Roman"/>
                      <w:noProof/>
                      <w:sz w:val="22"/>
                      <w:lang w:val="en-IE" w:eastAsia="en-IE"/>
                    </w:rPr>
                    <w:t> </w:t>
                  </w:r>
                </w:p>
                <w:p w14:paraId="004F928B"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Seconded national experts</w:t>
                  </w:r>
                  <w:r w:rsidRPr="006F001C">
                    <w:rPr>
                      <w:rFonts w:eastAsia="Times New Roman"/>
                      <w:noProof/>
                      <w:sz w:val="22"/>
                      <w:lang w:val="en-IE" w:eastAsia="en-IE"/>
                    </w:rPr>
                    <w:t> </w:t>
                  </w:r>
                </w:p>
              </w:tc>
              <w:tc>
                <w:tcPr>
                  <w:tcW w:w="3040" w:type="dxa"/>
                  <w:tcBorders>
                    <w:top w:val="single" w:sz="6" w:space="0" w:color="auto"/>
                    <w:left w:val="single" w:sz="6" w:space="0" w:color="auto"/>
                    <w:bottom w:val="single" w:sz="6" w:space="0" w:color="auto"/>
                    <w:right w:val="single" w:sz="6" w:space="0" w:color="auto"/>
                  </w:tcBorders>
                  <w:hideMark/>
                </w:tcPr>
                <w:p w14:paraId="07B584B7"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Processing and sharing data on declaration of interests </w:t>
                  </w:r>
                  <w:r w:rsidRPr="006F001C">
                    <w:rPr>
                      <w:rFonts w:eastAsia="Times New Roman"/>
                      <w:noProof/>
                      <w:sz w:val="22"/>
                      <w:lang w:val="en-IE" w:eastAsia="en-IE"/>
                    </w:rPr>
                    <w:t> </w:t>
                  </w:r>
                </w:p>
              </w:tc>
              <w:tc>
                <w:tcPr>
                  <w:tcW w:w="1281" w:type="dxa"/>
                  <w:tcBorders>
                    <w:top w:val="single" w:sz="6" w:space="0" w:color="auto"/>
                    <w:left w:val="single" w:sz="6" w:space="0" w:color="auto"/>
                    <w:bottom w:val="single" w:sz="6" w:space="0" w:color="auto"/>
                    <w:right w:val="single" w:sz="6" w:space="0" w:color="auto"/>
                  </w:tcBorders>
                  <w:hideMark/>
                </w:tcPr>
                <w:p w14:paraId="59B10605"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processing</w:t>
                  </w:r>
                  <w:r w:rsidRPr="006F001C">
                    <w:rPr>
                      <w:rFonts w:eastAsia="Times New Roman"/>
                      <w:noProof/>
                      <w:sz w:val="22"/>
                      <w:lang w:val="en-IE" w:eastAsia="en-IE"/>
                    </w:rPr>
                    <w:t> </w:t>
                  </w:r>
                </w:p>
                <w:p w14:paraId="7740D61B"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flow</w:t>
                  </w:r>
                  <w:r w:rsidRPr="006F001C">
                    <w:rPr>
                      <w:rFonts w:eastAsia="Times New Roman"/>
                      <w:noProof/>
                      <w:sz w:val="22"/>
                      <w:lang w:val="en-IE" w:eastAsia="en-IE"/>
                    </w:rPr>
                    <w:t> </w:t>
                  </w:r>
                </w:p>
              </w:tc>
            </w:tr>
            <w:tr w:rsidR="007A5304" w:rsidRPr="006F001C" w14:paraId="6436E52A" w14:textId="77777777">
              <w:trPr>
                <w:trHeight w:val="960"/>
              </w:trPr>
              <w:tc>
                <w:tcPr>
                  <w:tcW w:w="2887" w:type="dxa"/>
                  <w:tcBorders>
                    <w:top w:val="single" w:sz="6" w:space="0" w:color="auto"/>
                    <w:left w:val="single" w:sz="6" w:space="0" w:color="auto"/>
                    <w:bottom w:val="single" w:sz="6" w:space="0" w:color="auto"/>
                    <w:right w:val="single" w:sz="6" w:space="0" w:color="auto"/>
                  </w:tcBorders>
                  <w:hideMark/>
                </w:tcPr>
                <w:p w14:paraId="1EBC4B91"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Article 58</w:t>
                  </w:r>
                  <w:r w:rsidRPr="006F001C">
                    <w:rPr>
                      <w:rFonts w:eastAsia="Times New Roman"/>
                      <w:noProof/>
                      <w:sz w:val="22"/>
                      <w:lang w:val="en-IE" w:eastAsia="en-IE"/>
                    </w:rPr>
                    <w:t> </w:t>
                  </w:r>
                </w:p>
                <w:p w14:paraId="38ABC727"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Liaison officers </w:t>
                  </w:r>
                  <w:r w:rsidRPr="006F001C">
                    <w:rPr>
                      <w:rFonts w:eastAsia="Times New Roman"/>
                      <w:noProof/>
                      <w:sz w:val="22"/>
                      <w:lang w:val="en-IE" w:eastAsia="en-IE"/>
                    </w:rPr>
                    <w:t> </w:t>
                  </w:r>
                </w:p>
              </w:tc>
              <w:tc>
                <w:tcPr>
                  <w:tcW w:w="4332" w:type="dxa"/>
                  <w:tcBorders>
                    <w:top w:val="single" w:sz="6" w:space="0" w:color="auto"/>
                    <w:left w:val="single" w:sz="6" w:space="0" w:color="auto"/>
                    <w:bottom w:val="single" w:sz="6" w:space="0" w:color="auto"/>
                    <w:right w:val="single" w:sz="6" w:space="0" w:color="auto"/>
                  </w:tcBorders>
                  <w:hideMark/>
                </w:tcPr>
                <w:p w14:paraId="3103F5F7"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1. </w:t>
                  </w:r>
                  <w:r w:rsidRPr="006F001C">
                    <w:rPr>
                      <w:rFonts w:eastAsia="Times New Roman"/>
                      <w:b/>
                      <w:bCs/>
                      <w:noProof/>
                      <w:sz w:val="22"/>
                      <w:lang w:eastAsia="en-IE"/>
                    </w:rPr>
                    <w:t>Each Member State shall designate at least two Liaison Officers</w:t>
                  </w:r>
                  <w:r w:rsidRPr="006F001C">
                    <w:rPr>
                      <w:rFonts w:eastAsia="Times New Roman"/>
                      <w:noProof/>
                      <w:sz w:val="22"/>
                      <w:lang w:eastAsia="en-IE"/>
                    </w:rPr>
                    <w:t> [from their national cybersecurity authority] as a seconded national expert to ENISA and to work at its seat or its local office, in accordance with Article 59(2). The Commission may also designate a Liaison Officer.</w:t>
                  </w:r>
                  <w:r w:rsidRPr="006F001C">
                    <w:rPr>
                      <w:rFonts w:eastAsia="Times New Roman"/>
                      <w:noProof/>
                      <w:sz w:val="22"/>
                      <w:lang w:val="en-IE" w:eastAsia="en-IE"/>
                    </w:rPr>
                    <w:t> </w:t>
                  </w:r>
                </w:p>
                <w:p w14:paraId="7FFFD38D"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2. Liaison Officers designated by their Member State shall be entitled to </w:t>
                  </w:r>
                  <w:r w:rsidRPr="006F001C">
                    <w:rPr>
                      <w:rFonts w:eastAsia="Times New Roman"/>
                      <w:b/>
                      <w:bCs/>
                      <w:noProof/>
                      <w:sz w:val="22"/>
                      <w:lang w:eastAsia="en-IE"/>
                    </w:rPr>
                    <w:t>request and receive all relevant information from their Member States</w:t>
                  </w:r>
                  <w:r w:rsidRPr="006F001C">
                    <w:rPr>
                      <w:rFonts w:eastAsia="Times New Roman"/>
                      <w:noProof/>
                      <w:sz w:val="22"/>
                      <w:lang w:eastAsia="en-IE"/>
                    </w:rPr>
                    <w:t>, as provided for by this Regulation, while fully respecting the national law or practice of their Member States, in particular as regards data protection and the rules on confidentiality.</w:t>
                  </w:r>
                  <w:r w:rsidRPr="006F001C">
                    <w:rPr>
                      <w:rFonts w:eastAsia="Times New Roman"/>
                      <w:noProof/>
                      <w:sz w:val="22"/>
                      <w:lang w:val="en-IE" w:eastAsia="en-IE"/>
                    </w:rPr>
                    <w:t> </w:t>
                  </w:r>
                </w:p>
              </w:tc>
              <w:tc>
                <w:tcPr>
                  <w:tcW w:w="3015" w:type="dxa"/>
                  <w:tcBorders>
                    <w:top w:val="single" w:sz="6" w:space="0" w:color="auto"/>
                    <w:left w:val="single" w:sz="6" w:space="0" w:color="auto"/>
                    <w:bottom w:val="single" w:sz="6" w:space="0" w:color="auto"/>
                    <w:right w:val="single" w:sz="6" w:space="0" w:color="auto"/>
                  </w:tcBorders>
                  <w:hideMark/>
                </w:tcPr>
                <w:p w14:paraId="1463CBBA"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ENISA</w:t>
                  </w:r>
                  <w:r w:rsidRPr="006F001C">
                    <w:rPr>
                      <w:rFonts w:eastAsia="Times New Roman"/>
                      <w:noProof/>
                      <w:sz w:val="22"/>
                      <w:lang w:val="en-IE" w:eastAsia="en-IE"/>
                    </w:rPr>
                    <w:t> </w:t>
                  </w:r>
                </w:p>
                <w:p w14:paraId="538B49A7"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Member States </w:t>
                  </w:r>
                  <w:r w:rsidRPr="006F001C">
                    <w:rPr>
                      <w:rFonts w:eastAsia="Times New Roman"/>
                      <w:noProof/>
                      <w:sz w:val="22"/>
                      <w:lang w:val="en-IE" w:eastAsia="en-IE"/>
                    </w:rPr>
                    <w:t> </w:t>
                  </w:r>
                </w:p>
              </w:tc>
              <w:tc>
                <w:tcPr>
                  <w:tcW w:w="3040" w:type="dxa"/>
                  <w:tcBorders>
                    <w:top w:val="single" w:sz="6" w:space="0" w:color="auto"/>
                    <w:left w:val="single" w:sz="6" w:space="0" w:color="auto"/>
                    <w:bottom w:val="single" w:sz="6" w:space="0" w:color="auto"/>
                    <w:right w:val="single" w:sz="6" w:space="0" w:color="auto"/>
                  </w:tcBorders>
                  <w:hideMark/>
                </w:tcPr>
                <w:p w14:paraId="21957685"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Designation of liaison officers and sharing information </w:t>
                  </w:r>
                  <w:r w:rsidRPr="006F001C">
                    <w:rPr>
                      <w:rFonts w:eastAsia="Times New Roman"/>
                      <w:noProof/>
                      <w:sz w:val="22"/>
                      <w:lang w:val="en-IE" w:eastAsia="en-IE"/>
                    </w:rPr>
                    <w:t> </w:t>
                  </w:r>
                </w:p>
              </w:tc>
              <w:tc>
                <w:tcPr>
                  <w:tcW w:w="1281" w:type="dxa"/>
                  <w:tcBorders>
                    <w:top w:val="single" w:sz="6" w:space="0" w:color="auto"/>
                    <w:left w:val="single" w:sz="6" w:space="0" w:color="auto"/>
                    <w:bottom w:val="single" w:sz="6" w:space="0" w:color="auto"/>
                    <w:right w:val="single" w:sz="6" w:space="0" w:color="auto"/>
                  </w:tcBorders>
                  <w:hideMark/>
                </w:tcPr>
                <w:p w14:paraId="7DF0808A"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processing </w:t>
                  </w:r>
                  <w:r w:rsidRPr="006F001C">
                    <w:rPr>
                      <w:rFonts w:eastAsia="Times New Roman"/>
                      <w:noProof/>
                      <w:sz w:val="22"/>
                      <w:lang w:val="en-IE" w:eastAsia="en-IE"/>
                    </w:rPr>
                    <w:t> </w:t>
                  </w:r>
                </w:p>
                <w:p w14:paraId="0E801F21"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flow</w:t>
                  </w:r>
                  <w:r w:rsidRPr="006F001C">
                    <w:rPr>
                      <w:rFonts w:eastAsia="Times New Roman"/>
                      <w:noProof/>
                      <w:sz w:val="22"/>
                      <w:lang w:val="en-IE" w:eastAsia="en-IE"/>
                    </w:rPr>
                    <w:t> </w:t>
                  </w:r>
                </w:p>
              </w:tc>
            </w:tr>
            <w:tr w:rsidR="007A5304" w:rsidRPr="006F001C" w14:paraId="36CCD797" w14:textId="77777777">
              <w:trPr>
                <w:trHeight w:val="2745"/>
              </w:trPr>
              <w:tc>
                <w:tcPr>
                  <w:tcW w:w="2887" w:type="dxa"/>
                  <w:tcBorders>
                    <w:top w:val="single" w:sz="6" w:space="0" w:color="auto"/>
                    <w:left w:val="single" w:sz="6" w:space="0" w:color="auto"/>
                    <w:bottom w:val="single" w:sz="6" w:space="0" w:color="auto"/>
                    <w:right w:val="single" w:sz="6" w:space="0" w:color="auto"/>
                  </w:tcBorders>
                  <w:hideMark/>
                </w:tcPr>
                <w:p w14:paraId="29027498"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 Article 67</w:t>
                  </w:r>
                  <w:r w:rsidRPr="006F001C">
                    <w:rPr>
                      <w:rFonts w:eastAsia="Times New Roman"/>
                      <w:noProof/>
                      <w:sz w:val="22"/>
                      <w:lang w:val="en-IE" w:eastAsia="en-IE"/>
                    </w:rPr>
                    <w:t> </w:t>
                  </w:r>
                </w:p>
                <w:p w14:paraId="5E3FBA1E"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Handling classified information</w:t>
                  </w:r>
                  <w:r w:rsidRPr="006F001C">
                    <w:rPr>
                      <w:rFonts w:eastAsia="Times New Roman"/>
                      <w:noProof/>
                      <w:sz w:val="22"/>
                      <w:lang w:val="en-IE" w:eastAsia="en-IE"/>
                    </w:rPr>
                    <w:t> </w:t>
                  </w:r>
                </w:p>
                <w:p w14:paraId="4DD3F501"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val="en-IE" w:eastAsia="en-IE"/>
                    </w:rPr>
                    <w:t> </w:t>
                  </w:r>
                </w:p>
              </w:tc>
              <w:tc>
                <w:tcPr>
                  <w:tcW w:w="4332" w:type="dxa"/>
                  <w:tcBorders>
                    <w:top w:val="single" w:sz="6" w:space="0" w:color="auto"/>
                    <w:left w:val="single" w:sz="6" w:space="0" w:color="auto"/>
                    <w:bottom w:val="single" w:sz="6" w:space="0" w:color="auto"/>
                    <w:right w:val="single" w:sz="6" w:space="0" w:color="auto"/>
                  </w:tcBorders>
                  <w:hideMark/>
                </w:tcPr>
                <w:p w14:paraId="576AF49D"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After</w:t>
                  </w:r>
                  <w:r w:rsidRPr="006F001C">
                    <w:rPr>
                      <w:rFonts w:eastAsia="Times New Roman"/>
                      <w:b/>
                      <w:bCs/>
                      <w:noProof/>
                      <w:sz w:val="22"/>
                      <w:lang w:eastAsia="en-IE"/>
                    </w:rPr>
                    <w:t> consulting the Commission</w:t>
                  </w:r>
                  <w:r w:rsidRPr="006F001C">
                    <w:rPr>
                      <w:rFonts w:eastAsia="Times New Roman"/>
                      <w:noProof/>
                      <w:sz w:val="22"/>
                      <w:lang w:eastAsia="en-IE"/>
                    </w:rPr>
                    <w:t>, ENISA shall adopt security rules applying the security principles contained in the Commission’s security rules for protecting sensitive non-classified information and EUCI, as set out in Decisions (EU, Euratom) 2015/443 and 2015/444. ENISA’s security rules shall include </w:t>
                  </w:r>
                  <w:r w:rsidRPr="006F001C">
                    <w:rPr>
                      <w:rFonts w:eastAsia="Times New Roman"/>
                      <w:b/>
                      <w:bCs/>
                      <w:noProof/>
                      <w:sz w:val="22"/>
                      <w:lang w:eastAsia="en-IE"/>
                    </w:rPr>
                    <w:t>provisions for the exchange, processing and storage of such information.</w:t>
                  </w:r>
                  <w:r w:rsidRPr="006F001C">
                    <w:rPr>
                      <w:rFonts w:eastAsia="Times New Roman"/>
                      <w:noProof/>
                      <w:sz w:val="22"/>
                      <w:lang w:val="en-IE" w:eastAsia="en-IE"/>
                    </w:rPr>
                    <w:t> </w:t>
                  </w:r>
                </w:p>
              </w:tc>
              <w:tc>
                <w:tcPr>
                  <w:tcW w:w="3015" w:type="dxa"/>
                  <w:tcBorders>
                    <w:top w:val="single" w:sz="6" w:space="0" w:color="auto"/>
                    <w:left w:val="single" w:sz="6" w:space="0" w:color="auto"/>
                    <w:bottom w:val="single" w:sz="6" w:space="0" w:color="auto"/>
                    <w:right w:val="single" w:sz="6" w:space="0" w:color="auto"/>
                  </w:tcBorders>
                  <w:hideMark/>
                </w:tcPr>
                <w:p w14:paraId="3D370F4A"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ENISA</w:t>
                  </w:r>
                  <w:r w:rsidRPr="006F001C">
                    <w:rPr>
                      <w:rFonts w:eastAsia="Times New Roman"/>
                      <w:noProof/>
                      <w:sz w:val="22"/>
                      <w:lang w:val="en-IE" w:eastAsia="en-IE"/>
                    </w:rPr>
                    <w:t> </w:t>
                  </w:r>
                </w:p>
                <w:p w14:paraId="04526513"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Management Board </w:t>
                  </w:r>
                  <w:r w:rsidRPr="006F001C">
                    <w:rPr>
                      <w:rFonts w:eastAsia="Times New Roman"/>
                      <w:noProof/>
                      <w:sz w:val="22"/>
                      <w:lang w:val="en-IE" w:eastAsia="en-IE"/>
                    </w:rPr>
                    <w:t> </w:t>
                  </w:r>
                </w:p>
                <w:p w14:paraId="67FC3F8D"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Commission </w:t>
                  </w:r>
                  <w:r w:rsidRPr="006F001C">
                    <w:rPr>
                      <w:rFonts w:eastAsia="Times New Roman"/>
                      <w:noProof/>
                      <w:sz w:val="22"/>
                      <w:lang w:val="en-IE" w:eastAsia="en-IE"/>
                    </w:rPr>
                    <w:t> </w:t>
                  </w:r>
                </w:p>
              </w:tc>
              <w:tc>
                <w:tcPr>
                  <w:tcW w:w="3040" w:type="dxa"/>
                  <w:tcBorders>
                    <w:top w:val="single" w:sz="6" w:space="0" w:color="auto"/>
                    <w:left w:val="single" w:sz="6" w:space="0" w:color="auto"/>
                    <w:bottom w:val="single" w:sz="6" w:space="0" w:color="auto"/>
                    <w:right w:val="single" w:sz="6" w:space="0" w:color="auto"/>
                  </w:tcBorders>
                  <w:hideMark/>
                </w:tcPr>
                <w:p w14:paraId="531EE029"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Handle classified information</w:t>
                  </w:r>
                  <w:r w:rsidRPr="006F001C">
                    <w:rPr>
                      <w:rFonts w:eastAsia="Times New Roman"/>
                      <w:noProof/>
                      <w:sz w:val="22"/>
                      <w:lang w:val="en-IE" w:eastAsia="en-IE"/>
                    </w:rPr>
                    <w:t> </w:t>
                  </w:r>
                </w:p>
              </w:tc>
              <w:tc>
                <w:tcPr>
                  <w:tcW w:w="1281" w:type="dxa"/>
                  <w:tcBorders>
                    <w:top w:val="single" w:sz="6" w:space="0" w:color="auto"/>
                    <w:left w:val="single" w:sz="6" w:space="0" w:color="auto"/>
                    <w:bottom w:val="single" w:sz="6" w:space="0" w:color="auto"/>
                    <w:right w:val="single" w:sz="6" w:space="0" w:color="auto"/>
                  </w:tcBorders>
                  <w:hideMark/>
                </w:tcPr>
                <w:p w14:paraId="628A59DD"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processing</w:t>
                  </w:r>
                  <w:r w:rsidRPr="006F001C">
                    <w:rPr>
                      <w:rFonts w:eastAsia="Times New Roman"/>
                      <w:noProof/>
                      <w:sz w:val="22"/>
                      <w:lang w:val="en-IE" w:eastAsia="en-IE"/>
                    </w:rPr>
                    <w:t> </w:t>
                  </w:r>
                </w:p>
                <w:p w14:paraId="70A64C5F"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flow</w:t>
                  </w:r>
                  <w:r w:rsidRPr="006F001C">
                    <w:rPr>
                      <w:rFonts w:eastAsia="Times New Roman"/>
                      <w:noProof/>
                      <w:sz w:val="22"/>
                      <w:lang w:val="en-IE" w:eastAsia="en-IE"/>
                    </w:rPr>
                    <w:t> </w:t>
                  </w:r>
                </w:p>
              </w:tc>
            </w:tr>
            <w:tr w:rsidR="007A5304" w:rsidRPr="006F001C" w14:paraId="0D53AE5A" w14:textId="77777777">
              <w:trPr>
                <w:trHeight w:val="2985"/>
              </w:trPr>
              <w:tc>
                <w:tcPr>
                  <w:tcW w:w="2887" w:type="dxa"/>
                  <w:tcBorders>
                    <w:top w:val="single" w:sz="6" w:space="0" w:color="auto"/>
                    <w:left w:val="single" w:sz="6" w:space="0" w:color="auto"/>
                    <w:bottom w:val="single" w:sz="6" w:space="0" w:color="auto"/>
                    <w:right w:val="single" w:sz="6" w:space="0" w:color="auto"/>
                  </w:tcBorders>
                  <w:hideMark/>
                </w:tcPr>
                <w:p w14:paraId="6B779817"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Article 68, 69, 70</w:t>
                  </w:r>
                  <w:r w:rsidRPr="006F001C">
                    <w:rPr>
                      <w:rFonts w:eastAsia="Times New Roman"/>
                      <w:noProof/>
                      <w:sz w:val="22"/>
                      <w:lang w:val="en-IE" w:eastAsia="en-IE"/>
                    </w:rPr>
                    <w:t> </w:t>
                  </w:r>
                </w:p>
                <w:p w14:paraId="66129B32"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Cooperation with Union entities and national authorities</w:t>
                  </w:r>
                  <w:r w:rsidRPr="006F001C">
                    <w:rPr>
                      <w:rFonts w:eastAsia="Times New Roman"/>
                      <w:noProof/>
                      <w:sz w:val="22"/>
                      <w:lang w:val="en-IE" w:eastAsia="en-IE"/>
                    </w:rPr>
                    <w:t> </w:t>
                  </w:r>
                </w:p>
                <w:p w14:paraId="72D8BC48"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Cooperation with stakeholders</w:t>
                  </w:r>
                  <w:r w:rsidRPr="006F001C">
                    <w:rPr>
                      <w:rFonts w:eastAsia="Times New Roman"/>
                      <w:noProof/>
                      <w:sz w:val="22"/>
                      <w:lang w:val="en-IE" w:eastAsia="en-IE"/>
                    </w:rPr>
                    <w:t> </w:t>
                  </w:r>
                </w:p>
                <w:p w14:paraId="7FBBFE4E"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Cooperation with third countries </w:t>
                  </w:r>
                  <w:r w:rsidRPr="006F001C">
                    <w:rPr>
                      <w:rFonts w:eastAsia="Times New Roman"/>
                      <w:noProof/>
                      <w:sz w:val="22"/>
                      <w:lang w:val="en-IE" w:eastAsia="en-IE"/>
                    </w:rPr>
                    <w:t> </w:t>
                  </w:r>
                </w:p>
              </w:tc>
              <w:tc>
                <w:tcPr>
                  <w:tcW w:w="4332" w:type="dxa"/>
                  <w:tcBorders>
                    <w:top w:val="single" w:sz="6" w:space="0" w:color="auto"/>
                    <w:left w:val="single" w:sz="6" w:space="0" w:color="auto"/>
                    <w:bottom w:val="single" w:sz="6" w:space="0" w:color="auto"/>
                    <w:right w:val="single" w:sz="6" w:space="0" w:color="auto"/>
                  </w:tcBorders>
                  <w:hideMark/>
                </w:tcPr>
                <w:p w14:paraId="6A17E2C1"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ENISA shall cooperate and exchange information on matters related to cybersecurity with relevant Union entities, market surveillance and supervisory authorities; relevant stakeholders; competent authorities from third countries or international organisations   </w:t>
                  </w:r>
                  <w:r w:rsidRPr="006F001C">
                    <w:rPr>
                      <w:rFonts w:eastAsia="Times New Roman"/>
                      <w:noProof/>
                      <w:sz w:val="22"/>
                      <w:lang w:val="en-IE" w:eastAsia="en-IE"/>
                    </w:rPr>
                    <w:t> </w:t>
                  </w:r>
                </w:p>
              </w:tc>
              <w:tc>
                <w:tcPr>
                  <w:tcW w:w="3015" w:type="dxa"/>
                  <w:tcBorders>
                    <w:top w:val="single" w:sz="6" w:space="0" w:color="auto"/>
                    <w:left w:val="single" w:sz="6" w:space="0" w:color="auto"/>
                    <w:bottom w:val="single" w:sz="6" w:space="0" w:color="auto"/>
                    <w:right w:val="single" w:sz="6" w:space="0" w:color="auto"/>
                  </w:tcBorders>
                  <w:hideMark/>
                </w:tcPr>
                <w:p w14:paraId="31630006"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ENISA</w:t>
                  </w:r>
                  <w:r w:rsidRPr="006F001C">
                    <w:rPr>
                      <w:rFonts w:eastAsia="Times New Roman"/>
                      <w:noProof/>
                      <w:sz w:val="22"/>
                      <w:lang w:val="en-IE" w:eastAsia="en-IE"/>
                    </w:rPr>
                    <w:t> </w:t>
                  </w:r>
                </w:p>
                <w:p w14:paraId="3E04ADF6"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Europol </w:t>
                  </w:r>
                  <w:r w:rsidRPr="006F001C">
                    <w:rPr>
                      <w:rFonts w:eastAsia="Times New Roman"/>
                      <w:noProof/>
                      <w:sz w:val="22"/>
                      <w:lang w:val="en-IE" w:eastAsia="en-IE"/>
                    </w:rPr>
                    <w:t> </w:t>
                  </w:r>
                </w:p>
                <w:p w14:paraId="549290A8"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ECCC</w:t>
                  </w:r>
                  <w:r w:rsidRPr="006F001C">
                    <w:rPr>
                      <w:rFonts w:eastAsia="Times New Roman"/>
                      <w:noProof/>
                      <w:sz w:val="22"/>
                      <w:lang w:val="en-IE" w:eastAsia="en-IE"/>
                    </w:rPr>
                    <w:t> </w:t>
                  </w:r>
                </w:p>
                <w:p w14:paraId="15C45227"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European Data Protection Board</w:t>
                  </w:r>
                  <w:r w:rsidRPr="006F001C">
                    <w:rPr>
                      <w:rFonts w:eastAsia="Times New Roman"/>
                      <w:noProof/>
                      <w:sz w:val="22"/>
                      <w:lang w:val="en-IE" w:eastAsia="en-IE"/>
                    </w:rPr>
                    <w:t> </w:t>
                  </w:r>
                </w:p>
                <w:p w14:paraId="279062D5"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General public</w:t>
                  </w:r>
                  <w:r w:rsidRPr="006F001C">
                    <w:rPr>
                      <w:rFonts w:eastAsia="Times New Roman"/>
                      <w:noProof/>
                      <w:sz w:val="22"/>
                      <w:lang w:val="en-IE" w:eastAsia="en-IE"/>
                    </w:rPr>
                    <w:t> </w:t>
                  </w:r>
                </w:p>
                <w:p w14:paraId="692C55DA"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Council</w:t>
                  </w:r>
                  <w:r w:rsidRPr="006F001C">
                    <w:rPr>
                      <w:rFonts w:eastAsia="Times New Roman"/>
                      <w:noProof/>
                      <w:sz w:val="22"/>
                      <w:lang w:val="en-IE" w:eastAsia="en-IE"/>
                    </w:rPr>
                    <w:t> </w:t>
                  </w:r>
                </w:p>
              </w:tc>
              <w:tc>
                <w:tcPr>
                  <w:tcW w:w="3040" w:type="dxa"/>
                  <w:tcBorders>
                    <w:top w:val="single" w:sz="6" w:space="0" w:color="auto"/>
                    <w:left w:val="single" w:sz="6" w:space="0" w:color="auto"/>
                    <w:bottom w:val="single" w:sz="6" w:space="0" w:color="auto"/>
                    <w:right w:val="single" w:sz="6" w:space="0" w:color="auto"/>
                  </w:tcBorders>
                  <w:hideMark/>
                </w:tcPr>
                <w:p w14:paraId="64E6692E"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Sharing information</w:t>
                  </w:r>
                  <w:r w:rsidRPr="006F001C">
                    <w:rPr>
                      <w:rFonts w:eastAsia="Times New Roman"/>
                      <w:noProof/>
                      <w:sz w:val="22"/>
                      <w:lang w:val="en-IE" w:eastAsia="en-IE"/>
                    </w:rPr>
                    <w:t> </w:t>
                  </w:r>
                </w:p>
              </w:tc>
              <w:tc>
                <w:tcPr>
                  <w:tcW w:w="1281" w:type="dxa"/>
                  <w:tcBorders>
                    <w:top w:val="single" w:sz="6" w:space="0" w:color="auto"/>
                    <w:left w:val="single" w:sz="6" w:space="0" w:color="auto"/>
                    <w:bottom w:val="single" w:sz="6" w:space="0" w:color="auto"/>
                    <w:right w:val="single" w:sz="6" w:space="0" w:color="auto"/>
                  </w:tcBorders>
                  <w:hideMark/>
                </w:tcPr>
                <w:p w14:paraId="765DF382"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flow</w:t>
                  </w:r>
                  <w:r w:rsidRPr="006F001C">
                    <w:rPr>
                      <w:rFonts w:eastAsia="Times New Roman"/>
                      <w:noProof/>
                      <w:sz w:val="22"/>
                      <w:lang w:val="en-IE" w:eastAsia="en-IE"/>
                    </w:rPr>
                    <w:t> </w:t>
                  </w:r>
                </w:p>
              </w:tc>
            </w:tr>
            <w:tr w:rsidR="007A5304" w:rsidRPr="00903128" w14:paraId="15100D13" w14:textId="77777777">
              <w:trPr>
                <w:trHeight w:val="1935"/>
              </w:trPr>
              <w:tc>
                <w:tcPr>
                  <w:tcW w:w="2887" w:type="dxa"/>
                  <w:tcBorders>
                    <w:top w:val="single" w:sz="6" w:space="0" w:color="auto"/>
                    <w:left w:val="single" w:sz="6" w:space="0" w:color="auto"/>
                    <w:bottom w:val="single" w:sz="6" w:space="0" w:color="auto"/>
                    <w:right w:val="single" w:sz="6" w:space="0" w:color="auto"/>
                  </w:tcBorders>
                  <w:hideMark/>
                </w:tcPr>
                <w:p w14:paraId="5E546A5E"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Article 72 on Public information and consultation on the European cybersecurity certification schemes</w:t>
                  </w:r>
                  <w:r w:rsidRPr="006F001C">
                    <w:rPr>
                      <w:rFonts w:eastAsia="Times New Roman"/>
                      <w:noProof/>
                      <w:sz w:val="22"/>
                      <w:lang w:val="en-IE" w:eastAsia="en-IE"/>
                    </w:rPr>
                    <w:t> </w:t>
                  </w:r>
                </w:p>
              </w:tc>
              <w:tc>
                <w:tcPr>
                  <w:tcW w:w="4332" w:type="dxa"/>
                  <w:tcBorders>
                    <w:top w:val="single" w:sz="6" w:space="0" w:color="auto"/>
                    <w:left w:val="single" w:sz="6" w:space="0" w:color="auto"/>
                    <w:bottom w:val="single" w:sz="6" w:space="0" w:color="auto"/>
                    <w:right w:val="single" w:sz="6" w:space="0" w:color="auto"/>
                  </w:tcBorders>
                  <w:hideMark/>
                </w:tcPr>
                <w:p w14:paraId="67817069" w14:textId="77777777" w:rsidR="007A5304" w:rsidRPr="00291CE2" w:rsidRDefault="007A5304">
                  <w:pPr>
                    <w:spacing w:before="0" w:after="0"/>
                    <w:textAlignment w:val="baseline"/>
                    <w:rPr>
                      <w:rFonts w:eastAsia="Times New Roman"/>
                      <w:noProof/>
                      <w:sz w:val="22"/>
                      <w:lang w:eastAsia="en-IE"/>
                    </w:rPr>
                  </w:pPr>
                  <w:r w:rsidRPr="00291CE2">
                    <w:rPr>
                      <w:rFonts w:eastAsia="Times New Roman"/>
                      <w:noProof/>
                      <w:sz w:val="22"/>
                      <w:lang w:eastAsia="en-IE"/>
                    </w:rPr>
                    <w:t>2.</w:t>
                  </w:r>
                  <w:r>
                    <w:rPr>
                      <w:noProof/>
                    </w:rPr>
                    <w:tab/>
                  </w:r>
                  <w:r w:rsidRPr="00291CE2">
                    <w:rPr>
                      <w:rFonts w:eastAsia="Times New Roman"/>
                      <w:noProof/>
                      <w:sz w:val="22"/>
                      <w:lang w:eastAsia="en-IE"/>
                    </w:rPr>
                    <w:t>The Commission shall maintain and regularly update a dedicated website providing information on the following aspects:</w:t>
                  </w:r>
                </w:p>
                <w:p w14:paraId="6BC26B4C" w14:textId="77777777" w:rsidR="007A5304" w:rsidRPr="00291CE2" w:rsidRDefault="007A5304">
                  <w:pPr>
                    <w:spacing w:before="0" w:after="0"/>
                    <w:textAlignment w:val="baseline"/>
                    <w:rPr>
                      <w:rFonts w:eastAsia="Times New Roman"/>
                      <w:noProof/>
                      <w:sz w:val="22"/>
                      <w:lang w:eastAsia="en-IE"/>
                    </w:rPr>
                  </w:pPr>
                  <w:r w:rsidRPr="00291CE2">
                    <w:rPr>
                      <w:rFonts w:eastAsia="Times New Roman"/>
                      <w:noProof/>
                      <w:sz w:val="22"/>
                      <w:lang w:eastAsia="en-IE"/>
                    </w:rPr>
                    <w:t>(a)</w:t>
                  </w:r>
                  <w:r>
                    <w:rPr>
                      <w:noProof/>
                    </w:rPr>
                    <w:tab/>
                  </w:r>
                  <w:r w:rsidRPr="00291CE2">
                    <w:rPr>
                      <w:rFonts w:eastAsia="Times New Roman"/>
                      <w:noProof/>
                      <w:sz w:val="22"/>
                      <w:lang w:eastAsia="en-IE"/>
                    </w:rPr>
                    <w:t xml:space="preserve">European cybersecurity certification schemes under requested for development; </w:t>
                  </w:r>
                </w:p>
                <w:p w14:paraId="1C9B25D1" w14:textId="77777777" w:rsidR="007A5304" w:rsidRPr="00291CE2" w:rsidRDefault="007A5304">
                  <w:pPr>
                    <w:spacing w:before="0" w:after="0"/>
                    <w:textAlignment w:val="baseline"/>
                    <w:rPr>
                      <w:rFonts w:eastAsia="Times New Roman"/>
                      <w:noProof/>
                      <w:sz w:val="22"/>
                      <w:lang w:eastAsia="en-IE"/>
                    </w:rPr>
                  </w:pPr>
                  <w:r w:rsidRPr="00291CE2">
                    <w:rPr>
                      <w:rFonts w:eastAsia="Times New Roman"/>
                      <w:noProof/>
                      <w:sz w:val="22"/>
                      <w:lang w:eastAsia="en-IE"/>
                    </w:rPr>
                    <w:t>(b)</w:t>
                  </w:r>
                  <w:r w:rsidRPr="00291CE2">
                    <w:rPr>
                      <w:rFonts w:eastAsia="Times New Roman"/>
                      <w:noProof/>
                      <w:sz w:val="22"/>
                      <w:lang w:eastAsia="en-IE"/>
                    </w:rPr>
                    <w:tab/>
                    <w:t>strategic priorities for harmonisation of ICT products, ICT services, ICT processes, managed security services or security requirements of Union legislation, including potential areas for which a European cybersecurity certification scheme might be requested.</w:t>
                  </w:r>
                </w:p>
                <w:p w14:paraId="0706894A" w14:textId="77777777" w:rsidR="007A5304" w:rsidRPr="00291CE2" w:rsidRDefault="007A5304">
                  <w:pPr>
                    <w:spacing w:before="0" w:after="0"/>
                    <w:textAlignment w:val="baseline"/>
                    <w:rPr>
                      <w:rFonts w:ascii="Segoe UI" w:eastAsia="Times New Roman" w:hAnsi="Segoe UI" w:cs="Segoe UI"/>
                      <w:noProof/>
                      <w:sz w:val="18"/>
                      <w:szCs w:val="18"/>
                      <w:lang w:eastAsia="en-IE"/>
                    </w:rPr>
                  </w:pPr>
                  <w:r w:rsidRPr="001F24E5">
                    <w:rPr>
                      <w:rFonts w:eastAsia="Times New Roman"/>
                      <w:noProof/>
                      <w:sz w:val="22"/>
                      <w:lang w:eastAsia="en-IE"/>
                    </w:rPr>
                    <w:t>3</w:t>
                  </w:r>
                  <w:r w:rsidRPr="00291CE2">
                    <w:rPr>
                      <w:rFonts w:eastAsia="Times New Roman"/>
                      <w:noProof/>
                      <w:sz w:val="22"/>
                      <w:lang w:eastAsia="en-IE"/>
                    </w:rPr>
                    <w:t>.</w:t>
                  </w:r>
                  <w:r w:rsidRPr="00291CE2">
                    <w:rPr>
                      <w:rFonts w:eastAsia="Times New Roman"/>
                      <w:noProof/>
                      <w:sz w:val="22"/>
                      <w:lang w:eastAsia="en-IE"/>
                    </w:rPr>
                    <w:tab/>
                    <w:t>The Commission shall make publicly available on the website referred to in paragraph 2 of this Article the information on its request to ENISA to prepare a candidate scheme as referred to in Article 73 and its decision to accept, reject or discontinue a candidate scheme transmitted by ENISA in accordance with Article 74(7).</w:t>
                  </w:r>
                </w:p>
              </w:tc>
              <w:tc>
                <w:tcPr>
                  <w:tcW w:w="3015" w:type="dxa"/>
                  <w:tcBorders>
                    <w:top w:val="single" w:sz="6" w:space="0" w:color="auto"/>
                    <w:left w:val="single" w:sz="6" w:space="0" w:color="auto"/>
                    <w:bottom w:val="single" w:sz="6" w:space="0" w:color="auto"/>
                    <w:right w:val="single" w:sz="6" w:space="0" w:color="auto"/>
                  </w:tcBorders>
                  <w:hideMark/>
                </w:tcPr>
                <w:p w14:paraId="20CD7E80"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EU Commission </w:t>
                  </w:r>
                  <w:r w:rsidRPr="006F001C">
                    <w:rPr>
                      <w:rFonts w:eastAsia="Times New Roman"/>
                      <w:noProof/>
                      <w:sz w:val="22"/>
                      <w:lang w:val="en-IE" w:eastAsia="en-IE"/>
                    </w:rPr>
                    <w:t> </w:t>
                  </w:r>
                </w:p>
                <w:p w14:paraId="067ACB32"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General public</w:t>
                  </w:r>
                  <w:r w:rsidRPr="006F001C">
                    <w:rPr>
                      <w:rFonts w:eastAsia="Times New Roman"/>
                      <w:noProof/>
                      <w:sz w:val="22"/>
                      <w:lang w:val="en-IE" w:eastAsia="en-IE"/>
                    </w:rPr>
                    <w:t> </w:t>
                  </w:r>
                </w:p>
                <w:p w14:paraId="2FD1F6B6"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ENISA</w:t>
                  </w:r>
                  <w:r w:rsidRPr="006F001C">
                    <w:rPr>
                      <w:rFonts w:eastAsia="Times New Roman"/>
                      <w:noProof/>
                      <w:sz w:val="22"/>
                      <w:lang w:val="en-IE" w:eastAsia="en-IE"/>
                    </w:rPr>
                    <w:t> </w:t>
                  </w:r>
                </w:p>
                <w:p w14:paraId="24F26AC7"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val="en-IE" w:eastAsia="en-IE"/>
                    </w:rPr>
                    <w:t> </w:t>
                  </w:r>
                </w:p>
              </w:tc>
              <w:tc>
                <w:tcPr>
                  <w:tcW w:w="3040" w:type="dxa"/>
                  <w:tcBorders>
                    <w:top w:val="single" w:sz="6" w:space="0" w:color="auto"/>
                    <w:left w:val="single" w:sz="6" w:space="0" w:color="auto"/>
                    <w:bottom w:val="single" w:sz="6" w:space="0" w:color="auto"/>
                    <w:right w:val="single" w:sz="6" w:space="0" w:color="auto"/>
                  </w:tcBorders>
                  <w:hideMark/>
                </w:tcPr>
                <w:p w14:paraId="02F712CA"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Maintaining Information Website</w:t>
                  </w:r>
                  <w:r w:rsidRPr="006F001C">
                    <w:rPr>
                      <w:rFonts w:eastAsia="Times New Roman"/>
                      <w:noProof/>
                      <w:sz w:val="22"/>
                      <w:lang w:val="en-IE" w:eastAsia="en-IE"/>
                    </w:rPr>
                    <w:t> </w:t>
                  </w:r>
                </w:p>
                <w:p w14:paraId="5B986F3A"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This mandates the Commission to provide information on a publicly available website and provide related data management activities on ongoing basis.</w:t>
                  </w:r>
                  <w:r w:rsidRPr="006F001C">
                    <w:rPr>
                      <w:rFonts w:eastAsia="Times New Roman"/>
                      <w:noProof/>
                      <w:sz w:val="22"/>
                      <w:lang w:val="en-IE" w:eastAsia="en-IE"/>
                    </w:rPr>
                    <w:t> </w:t>
                  </w:r>
                </w:p>
              </w:tc>
              <w:tc>
                <w:tcPr>
                  <w:tcW w:w="1281" w:type="dxa"/>
                  <w:tcBorders>
                    <w:top w:val="single" w:sz="6" w:space="0" w:color="auto"/>
                    <w:left w:val="single" w:sz="6" w:space="0" w:color="auto"/>
                    <w:bottom w:val="single" w:sz="6" w:space="0" w:color="auto"/>
                    <w:right w:val="single" w:sz="6" w:space="0" w:color="auto"/>
                  </w:tcBorders>
                  <w:hideMark/>
                </w:tcPr>
                <w:p w14:paraId="01EFE57C" w14:textId="77777777" w:rsidR="007A5304" w:rsidRPr="00291CE2" w:rsidRDefault="007A5304">
                  <w:pPr>
                    <w:spacing w:before="0" w:after="0"/>
                    <w:jc w:val="left"/>
                    <w:textAlignment w:val="baseline"/>
                    <w:rPr>
                      <w:rFonts w:ascii="Segoe UI" w:eastAsia="Times New Roman" w:hAnsi="Segoe UI" w:cs="Segoe UI"/>
                      <w:noProof/>
                      <w:sz w:val="18"/>
                      <w:szCs w:val="18"/>
                      <w:lang w:val="fr-BE" w:eastAsia="en-IE"/>
                    </w:rPr>
                  </w:pPr>
                  <w:r w:rsidRPr="00291CE2">
                    <w:rPr>
                      <w:rFonts w:eastAsia="Times New Roman"/>
                      <w:noProof/>
                      <w:sz w:val="22"/>
                      <w:lang w:val="fr-BE" w:eastAsia="en-IE"/>
                    </w:rPr>
                    <w:t>Digital Public Service </w:t>
                  </w:r>
                </w:p>
                <w:p w14:paraId="6B436F41" w14:textId="77777777" w:rsidR="007A5304" w:rsidRPr="00291CE2" w:rsidRDefault="007A5304">
                  <w:pPr>
                    <w:spacing w:before="0" w:after="0"/>
                    <w:jc w:val="left"/>
                    <w:textAlignment w:val="baseline"/>
                    <w:rPr>
                      <w:rFonts w:ascii="Segoe UI" w:eastAsia="Times New Roman" w:hAnsi="Segoe UI" w:cs="Segoe UI"/>
                      <w:noProof/>
                      <w:sz w:val="18"/>
                      <w:szCs w:val="18"/>
                      <w:lang w:val="fr-BE" w:eastAsia="en-IE"/>
                    </w:rPr>
                  </w:pPr>
                  <w:r w:rsidRPr="00291CE2">
                    <w:rPr>
                      <w:rFonts w:eastAsia="Times New Roman"/>
                      <w:noProof/>
                      <w:sz w:val="22"/>
                      <w:lang w:val="fr-BE" w:eastAsia="en-IE"/>
                    </w:rPr>
                    <w:t>Digital solution </w:t>
                  </w:r>
                </w:p>
              </w:tc>
            </w:tr>
            <w:tr w:rsidR="007A5304" w:rsidRPr="006F001C" w14:paraId="0270079D" w14:textId="77777777">
              <w:trPr>
                <w:trHeight w:val="1530"/>
              </w:trPr>
              <w:tc>
                <w:tcPr>
                  <w:tcW w:w="2887" w:type="dxa"/>
                  <w:tcBorders>
                    <w:top w:val="single" w:sz="6" w:space="0" w:color="auto"/>
                    <w:left w:val="single" w:sz="6" w:space="0" w:color="auto"/>
                    <w:bottom w:val="single" w:sz="6" w:space="0" w:color="auto"/>
                    <w:right w:val="single" w:sz="6" w:space="0" w:color="auto"/>
                  </w:tcBorders>
                  <w:hideMark/>
                </w:tcPr>
                <w:p w14:paraId="23D25112"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Article 7</w:t>
                  </w:r>
                  <w:r>
                    <w:rPr>
                      <w:rFonts w:eastAsia="Times New Roman"/>
                      <w:noProof/>
                      <w:sz w:val="22"/>
                      <w:lang w:eastAsia="en-IE"/>
                    </w:rPr>
                    <w:t>2</w:t>
                  </w:r>
                  <w:r w:rsidRPr="006F001C">
                    <w:rPr>
                      <w:rFonts w:eastAsia="Times New Roman"/>
                      <w:noProof/>
                      <w:sz w:val="22"/>
                      <w:lang w:eastAsia="en-IE"/>
                    </w:rPr>
                    <w:t> on Public information and consultation on the European cybersecurity certification schemes</w:t>
                  </w:r>
                  <w:r w:rsidRPr="006F001C">
                    <w:rPr>
                      <w:rFonts w:eastAsia="Times New Roman"/>
                      <w:noProof/>
                      <w:sz w:val="22"/>
                      <w:lang w:val="en-IE" w:eastAsia="en-IE"/>
                    </w:rPr>
                    <w:t> </w:t>
                  </w:r>
                </w:p>
                <w:p w14:paraId="567CD7BC"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val="en-IE" w:eastAsia="en-IE"/>
                    </w:rPr>
                    <w:t> </w:t>
                  </w:r>
                </w:p>
              </w:tc>
              <w:tc>
                <w:tcPr>
                  <w:tcW w:w="4332" w:type="dxa"/>
                  <w:tcBorders>
                    <w:top w:val="single" w:sz="6" w:space="0" w:color="auto"/>
                    <w:left w:val="single" w:sz="6" w:space="0" w:color="auto"/>
                    <w:bottom w:val="single" w:sz="6" w:space="0" w:color="auto"/>
                    <w:right w:val="single" w:sz="6" w:space="0" w:color="auto"/>
                  </w:tcBorders>
                  <w:hideMark/>
                </w:tcPr>
                <w:p w14:paraId="0E6D29FB"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color w:val="000000"/>
                      <w:sz w:val="22"/>
                      <w:lang w:eastAsia="en-IE"/>
                    </w:rPr>
                    <w:t>During the preparation of a candidate scheme by ENISA pursuant to</w:t>
                  </w:r>
                  <w:r>
                    <w:rPr>
                      <w:rFonts w:eastAsia="Times New Roman"/>
                      <w:noProof/>
                      <w:color w:val="000000"/>
                      <w:sz w:val="22"/>
                      <w:lang w:eastAsia="en-IE"/>
                    </w:rPr>
                    <w:t xml:space="preserve"> Article 74</w:t>
                  </w:r>
                  <w:r w:rsidRPr="006F001C">
                    <w:rPr>
                      <w:rFonts w:eastAsia="Times New Roman"/>
                      <w:noProof/>
                      <w:color w:val="000000"/>
                      <w:sz w:val="22"/>
                      <w:lang w:eastAsia="en-IE"/>
                    </w:rPr>
                    <w:t>, the </w:t>
                  </w:r>
                  <w:r w:rsidRPr="006F001C">
                    <w:rPr>
                      <w:rFonts w:eastAsia="Times New Roman"/>
                      <w:b/>
                      <w:bCs/>
                      <w:noProof/>
                      <w:color w:val="000000"/>
                      <w:sz w:val="22"/>
                      <w:lang w:eastAsia="en-IE"/>
                    </w:rPr>
                    <w:t>European Parliament, the Council may request the Commission</w:t>
                  </w:r>
                  <w:r w:rsidRPr="006F001C">
                    <w:rPr>
                      <w:rFonts w:eastAsia="Times New Roman"/>
                      <w:noProof/>
                      <w:color w:val="000000"/>
                      <w:sz w:val="22"/>
                      <w:lang w:eastAsia="en-IE"/>
                    </w:rPr>
                    <w:t xml:space="preserve">, in its capacity as chair of the ECCG, and ENISA to present relevant information on </w:t>
                  </w:r>
                  <w:r>
                    <w:rPr>
                      <w:rFonts w:eastAsia="Times New Roman"/>
                      <w:noProof/>
                      <w:color w:val="000000"/>
                      <w:sz w:val="22"/>
                      <w:lang w:eastAsia="en-IE"/>
                    </w:rPr>
                    <w:t>the</w:t>
                  </w:r>
                  <w:r w:rsidRPr="006F001C">
                    <w:rPr>
                      <w:rFonts w:eastAsia="Times New Roman"/>
                      <w:noProof/>
                      <w:color w:val="000000"/>
                      <w:sz w:val="22"/>
                      <w:lang w:eastAsia="en-IE"/>
                    </w:rPr>
                    <w:t xml:space="preserve"> draft candidate scheme. U</w:t>
                  </w:r>
                  <w:r w:rsidRPr="006F001C">
                    <w:rPr>
                      <w:rFonts w:eastAsia="Times New Roman"/>
                      <w:b/>
                      <w:bCs/>
                      <w:noProof/>
                      <w:color w:val="000000"/>
                      <w:sz w:val="22"/>
                      <w:lang w:eastAsia="en-IE"/>
                    </w:rPr>
                    <w:t>pon the request of the European Parliament or the Council, ENISA, in agreement with the Commission</w:t>
                  </w:r>
                  <w:r w:rsidRPr="006F001C">
                    <w:rPr>
                      <w:rFonts w:eastAsia="Times New Roman"/>
                      <w:noProof/>
                      <w:color w:val="000000"/>
                      <w:sz w:val="22"/>
                      <w:lang w:eastAsia="en-IE"/>
                    </w:rPr>
                    <w:t xml:space="preserve"> and without prejudice to </w:t>
                  </w:r>
                  <w:r>
                    <w:rPr>
                      <w:rFonts w:eastAsia="Times New Roman"/>
                      <w:noProof/>
                      <w:color w:val="000000"/>
                      <w:sz w:val="22"/>
                      <w:lang w:eastAsia="en-IE"/>
                    </w:rPr>
                    <w:t>Article 54</w:t>
                  </w:r>
                  <w:r w:rsidRPr="006F001C">
                    <w:rPr>
                      <w:rFonts w:eastAsia="Times New Roman"/>
                      <w:noProof/>
                      <w:color w:val="000000"/>
                      <w:sz w:val="22"/>
                      <w:lang w:eastAsia="en-IE"/>
                    </w:rPr>
                    <w:t>, may make </w:t>
                  </w:r>
                  <w:r w:rsidRPr="006F001C">
                    <w:rPr>
                      <w:rFonts w:eastAsia="Times New Roman"/>
                      <w:b/>
                      <w:bCs/>
                      <w:noProof/>
                      <w:color w:val="000000"/>
                      <w:sz w:val="22"/>
                      <w:lang w:eastAsia="en-IE"/>
                    </w:rPr>
                    <w:t>available to the European Parliament and to the Council relevant parts of a draft candidate scheme </w:t>
                  </w:r>
                  <w:r w:rsidRPr="006F001C">
                    <w:rPr>
                      <w:rFonts w:eastAsia="Times New Roman"/>
                      <w:noProof/>
                      <w:color w:val="000000"/>
                      <w:sz w:val="22"/>
                      <w:lang w:eastAsia="en-IE"/>
                    </w:rPr>
                    <w:t>in a manner appropriate to the confidentiality level required, and where appropriate in a restricted manner.</w:t>
                  </w:r>
                  <w:r w:rsidRPr="006F001C">
                    <w:rPr>
                      <w:rFonts w:eastAsia="Times New Roman"/>
                      <w:noProof/>
                      <w:color w:val="000000"/>
                      <w:sz w:val="22"/>
                      <w:lang w:val="en-IE" w:eastAsia="en-IE"/>
                    </w:rPr>
                    <w:t> </w:t>
                  </w:r>
                </w:p>
                <w:p w14:paraId="0CF03E21"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291CE2">
                    <w:rPr>
                      <w:rFonts w:eastAsia="Times New Roman"/>
                      <w:b/>
                      <w:bCs/>
                      <w:noProof/>
                      <w:color w:val="000000"/>
                      <w:sz w:val="22"/>
                      <w:lang w:eastAsia="en-IE"/>
                    </w:rPr>
                    <w:t>The </w:t>
                  </w:r>
                  <w:r w:rsidRPr="002E7919">
                    <w:rPr>
                      <w:rFonts w:eastAsia="Times New Roman"/>
                      <w:b/>
                      <w:bCs/>
                      <w:noProof/>
                      <w:color w:val="000000"/>
                      <w:sz w:val="22"/>
                      <w:lang w:eastAsia="en-IE"/>
                    </w:rPr>
                    <w:t>European</w:t>
                  </w:r>
                  <w:r w:rsidRPr="006F001C">
                    <w:rPr>
                      <w:rFonts w:eastAsia="Times New Roman"/>
                      <w:b/>
                      <w:bCs/>
                      <w:noProof/>
                      <w:color w:val="000000"/>
                      <w:sz w:val="22"/>
                      <w:lang w:eastAsia="en-IE"/>
                    </w:rPr>
                    <w:t xml:space="preserve"> Parliament, the Council may invite the Commission and ENISA to discuss</w:t>
                  </w:r>
                  <w:r w:rsidRPr="006F001C">
                    <w:rPr>
                      <w:rFonts w:eastAsia="Times New Roman"/>
                      <w:noProof/>
                      <w:color w:val="000000"/>
                      <w:sz w:val="22"/>
                      <w:lang w:eastAsia="en-IE"/>
                    </w:rPr>
                    <w:t> matters concerning the implementation of European cybersecurity certification schemes for ICT products, ICT services, ICT processes, managed security services or cyber posture of entities.</w:t>
                  </w:r>
                  <w:r w:rsidRPr="006F001C">
                    <w:rPr>
                      <w:rFonts w:eastAsia="Times New Roman"/>
                      <w:noProof/>
                      <w:color w:val="000000"/>
                      <w:sz w:val="22"/>
                      <w:lang w:val="en-IE" w:eastAsia="en-IE"/>
                    </w:rPr>
                    <w:t> </w:t>
                  </w:r>
                </w:p>
              </w:tc>
              <w:tc>
                <w:tcPr>
                  <w:tcW w:w="3015" w:type="dxa"/>
                  <w:tcBorders>
                    <w:top w:val="single" w:sz="6" w:space="0" w:color="auto"/>
                    <w:left w:val="single" w:sz="6" w:space="0" w:color="auto"/>
                    <w:bottom w:val="single" w:sz="6" w:space="0" w:color="auto"/>
                    <w:right w:val="single" w:sz="6" w:space="0" w:color="auto"/>
                  </w:tcBorders>
                  <w:hideMark/>
                </w:tcPr>
                <w:p w14:paraId="778C3773"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ENISA</w:t>
                  </w:r>
                  <w:r w:rsidRPr="006F001C">
                    <w:rPr>
                      <w:rFonts w:eastAsia="Times New Roman"/>
                      <w:noProof/>
                      <w:sz w:val="22"/>
                      <w:lang w:val="en-IE" w:eastAsia="en-IE"/>
                    </w:rPr>
                    <w:t> </w:t>
                  </w:r>
                </w:p>
                <w:p w14:paraId="59383135"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Council of the EU</w:t>
                  </w:r>
                  <w:r w:rsidRPr="006F001C">
                    <w:rPr>
                      <w:rFonts w:eastAsia="Times New Roman"/>
                      <w:noProof/>
                      <w:sz w:val="22"/>
                      <w:lang w:val="en-IE" w:eastAsia="en-IE"/>
                    </w:rPr>
                    <w:t> </w:t>
                  </w:r>
                </w:p>
                <w:p w14:paraId="5BC4B6F6"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European Parliament</w:t>
                  </w:r>
                  <w:r w:rsidRPr="006F001C">
                    <w:rPr>
                      <w:rFonts w:eastAsia="Times New Roman"/>
                      <w:noProof/>
                      <w:sz w:val="22"/>
                      <w:lang w:val="en-IE" w:eastAsia="en-IE"/>
                    </w:rPr>
                    <w:t> </w:t>
                  </w:r>
                </w:p>
              </w:tc>
              <w:tc>
                <w:tcPr>
                  <w:tcW w:w="3040" w:type="dxa"/>
                  <w:tcBorders>
                    <w:top w:val="single" w:sz="6" w:space="0" w:color="auto"/>
                    <w:left w:val="single" w:sz="6" w:space="0" w:color="auto"/>
                    <w:bottom w:val="single" w:sz="6" w:space="0" w:color="auto"/>
                    <w:right w:val="single" w:sz="6" w:space="0" w:color="auto"/>
                  </w:tcBorders>
                  <w:hideMark/>
                </w:tcPr>
                <w:p w14:paraId="24ABED1C"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Requesting and sending information on a draft candidate scheme prepared by ENISA</w:t>
                  </w:r>
                  <w:r w:rsidRPr="006F001C">
                    <w:rPr>
                      <w:rFonts w:eastAsia="Times New Roman"/>
                      <w:noProof/>
                      <w:sz w:val="22"/>
                      <w:lang w:val="en-IE" w:eastAsia="en-IE"/>
                    </w:rPr>
                    <w:t> </w:t>
                  </w:r>
                </w:p>
              </w:tc>
              <w:tc>
                <w:tcPr>
                  <w:tcW w:w="1281" w:type="dxa"/>
                  <w:tcBorders>
                    <w:top w:val="single" w:sz="6" w:space="0" w:color="auto"/>
                    <w:left w:val="single" w:sz="6" w:space="0" w:color="auto"/>
                    <w:bottom w:val="single" w:sz="6" w:space="0" w:color="auto"/>
                    <w:right w:val="single" w:sz="6" w:space="0" w:color="auto"/>
                  </w:tcBorders>
                  <w:hideMark/>
                </w:tcPr>
                <w:p w14:paraId="72B41AAB"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flows</w:t>
                  </w:r>
                  <w:r w:rsidRPr="006F001C">
                    <w:rPr>
                      <w:rFonts w:eastAsia="Times New Roman"/>
                      <w:noProof/>
                      <w:sz w:val="22"/>
                      <w:lang w:val="en-IE" w:eastAsia="en-IE"/>
                    </w:rPr>
                    <w:t> </w:t>
                  </w:r>
                </w:p>
              </w:tc>
            </w:tr>
            <w:tr w:rsidR="007A5304" w:rsidRPr="006F001C" w14:paraId="3A322435" w14:textId="77777777">
              <w:trPr>
                <w:trHeight w:val="585"/>
              </w:trPr>
              <w:tc>
                <w:tcPr>
                  <w:tcW w:w="2887" w:type="dxa"/>
                  <w:tcBorders>
                    <w:top w:val="single" w:sz="6" w:space="0" w:color="auto"/>
                    <w:left w:val="single" w:sz="6" w:space="0" w:color="auto"/>
                    <w:bottom w:val="single" w:sz="6" w:space="0" w:color="auto"/>
                    <w:right w:val="single" w:sz="6" w:space="0" w:color="auto"/>
                  </w:tcBorders>
                  <w:hideMark/>
                </w:tcPr>
                <w:p w14:paraId="1EE0BE52"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Article 73</w:t>
                  </w:r>
                  <w:r w:rsidRPr="006F001C">
                    <w:rPr>
                      <w:rFonts w:eastAsia="Times New Roman"/>
                      <w:noProof/>
                      <w:sz w:val="22"/>
                      <w:lang w:val="en-IE" w:eastAsia="en-IE"/>
                    </w:rPr>
                    <w:t> </w:t>
                  </w:r>
                </w:p>
                <w:p w14:paraId="2EF210AE"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Request for a European cybersecurity certification scheme </w:t>
                  </w:r>
                  <w:r w:rsidRPr="006F001C">
                    <w:rPr>
                      <w:rFonts w:eastAsia="Times New Roman"/>
                      <w:noProof/>
                      <w:sz w:val="22"/>
                      <w:lang w:val="en-IE" w:eastAsia="en-IE"/>
                    </w:rPr>
                    <w:t> </w:t>
                  </w:r>
                </w:p>
                <w:p w14:paraId="1776B93B"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Article 74</w:t>
                  </w:r>
                  <w:r w:rsidRPr="006F001C">
                    <w:rPr>
                      <w:rFonts w:eastAsia="Times New Roman"/>
                      <w:noProof/>
                      <w:sz w:val="22"/>
                      <w:lang w:val="en-IE" w:eastAsia="en-IE"/>
                    </w:rPr>
                    <w:t> </w:t>
                  </w:r>
                </w:p>
                <w:p w14:paraId="40ACD3FE"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Preparation and adoption</w:t>
                  </w:r>
                  <w:r>
                    <w:rPr>
                      <w:rFonts w:eastAsia="Times New Roman"/>
                      <w:noProof/>
                      <w:sz w:val="22"/>
                      <w:lang w:eastAsia="en-IE"/>
                    </w:rPr>
                    <w:t xml:space="preserve"> of European cybersecurity certification schemes</w:t>
                  </w:r>
                  <w:r w:rsidRPr="006F001C">
                    <w:rPr>
                      <w:rFonts w:eastAsia="Times New Roman"/>
                      <w:noProof/>
                      <w:sz w:val="22"/>
                      <w:lang w:val="en-IE" w:eastAsia="en-IE"/>
                    </w:rPr>
                    <w:t> </w:t>
                  </w:r>
                </w:p>
                <w:p w14:paraId="414D7CA8"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b/>
                      <w:bCs/>
                      <w:noProof/>
                      <w:sz w:val="22"/>
                      <w:lang w:eastAsia="en-IE"/>
                    </w:rPr>
                    <w:t>(covered in Article 17)</w:t>
                  </w:r>
                  <w:r w:rsidRPr="006F001C">
                    <w:rPr>
                      <w:rFonts w:eastAsia="Times New Roman"/>
                      <w:noProof/>
                      <w:sz w:val="22"/>
                      <w:lang w:val="en-IE" w:eastAsia="en-IE"/>
                    </w:rPr>
                    <w:t> </w:t>
                  </w:r>
                </w:p>
              </w:tc>
              <w:tc>
                <w:tcPr>
                  <w:tcW w:w="4332" w:type="dxa"/>
                  <w:tcBorders>
                    <w:top w:val="single" w:sz="6" w:space="0" w:color="auto"/>
                    <w:left w:val="single" w:sz="6" w:space="0" w:color="auto"/>
                    <w:bottom w:val="single" w:sz="6" w:space="0" w:color="auto"/>
                    <w:right w:val="single" w:sz="6" w:space="0" w:color="auto"/>
                  </w:tcBorders>
                  <w:hideMark/>
                </w:tcPr>
                <w:p w14:paraId="54B41A83" w14:textId="77777777" w:rsidR="007A5304" w:rsidRDefault="007A5304">
                  <w:pPr>
                    <w:spacing w:before="0" w:after="0"/>
                    <w:textAlignment w:val="baseline"/>
                    <w:rPr>
                      <w:rFonts w:eastAsia="Times New Roman"/>
                      <w:b/>
                      <w:bCs/>
                      <w:noProof/>
                      <w:color w:val="000000"/>
                      <w:sz w:val="22"/>
                      <w:shd w:val="clear" w:color="auto" w:fill="FFFFFF"/>
                      <w:lang w:eastAsia="en-IE"/>
                    </w:rPr>
                  </w:pPr>
                  <w:r>
                    <w:rPr>
                      <w:rFonts w:eastAsia="Times New Roman"/>
                      <w:b/>
                      <w:bCs/>
                      <w:noProof/>
                      <w:color w:val="000000"/>
                      <w:sz w:val="22"/>
                      <w:shd w:val="clear" w:color="auto" w:fill="FFFFFF"/>
                      <w:lang w:eastAsia="en-IE"/>
                    </w:rPr>
                    <w:t>Article 73</w:t>
                  </w:r>
                </w:p>
                <w:p w14:paraId="1C69F97F" w14:textId="77777777" w:rsidR="007A5304" w:rsidRDefault="007A5304">
                  <w:pPr>
                    <w:spacing w:before="0" w:after="0"/>
                    <w:textAlignment w:val="baseline"/>
                    <w:rPr>
                      <w:rFonts w:eastAsia="Times New Roman"/>
                      <w:noProof/>
                      <w:color w:val="000000"/>
                      <w:sz w:val="22"/>
                      <w:lang w:val="en-IE" w:eastAsia="en-IE"/>
                    </w:rPr>
                  </w:pPr>
                  <w:r>
                    <w:rPr>
                      <w:rFonts w:eastAsia="Times New Roman"/>
                      <w:b/>
                      <w:bCs/>
                      <w:noProof/>
                      <w:color w:val="000000"/>
                      <w:sz w:val="22"/>
                      <w:shd w:val="clear" w:color="auto" w:fill="FFFFFF"/>
                      <w:lang w:eastAsia="en-IE"/>
                    </w:rPr>
                    <w:t xml:space="preserve">1. </w:t>
                  </w:r>
                  <w:r w:rsidRPr="006F001C">
                    <w:rPr>
                      <w:rFonts w:eastAsia="Times New Roman"/>
                      <w:b/>
                      <w:bCs/>
                      <w:noProof/>
                      <w:color w:val="000000"/>
                      <w:sz w:val="22"/>
                      <w:shd w:val="clear" w:color="auto" w:fill="FFFFFF"/>
                      <w:lang w:eastAsia="en-IE"/>
                    </w:rPr>
                    <w:t>The Commission may request ENISA to prepare a candidate European cybersecurity certification scheme</w:t>
                  </w:r>
                  <w:r w:rsidRPr="006F001C">
                    <w:rPr>
                      <w:rFonts w:eastAsia="Times New Roman"/>
                      <w:noProof/>
                      <w:color w:val="000000"/>
                      <w:sz w:val="22"/>
                      <w:shd w:val="clear" w:color="auto" w:fill="FFFFFF"/>
                      <w:lang w:eastAsia="en-IE"/>
                    </w:rPr>
                    <w:t> for ICT products, ICT services, ICT processes, managed security services or cyber posture of entities.</w:t>
                  </w:r>
                  <w:r w:rsidRPr="006F001C">
                    <w:rPr>
                      <w:rFonts w:eastAsia="Times New Roman"/>
                      <w:noProof/>
                      <w:color w:val="000000"/>
                      <w:sz w:val="22"/>
                      <w:lang w:val="en-IE" w:eastAsia="en-IE"/>
                    </w:rPr>
                    <w:t> </w:t>
                  </w:r>
                </w:p>
                <w:p w14:paraId="289531D0" w14:textId="77777777" w:rsidR="007A5304" w:rsidRPr="000561DD" w:rsidRDefault="007A5304">
                  <w:pPr>
                    <w:spacing w:before="0" w:after="0"/>
                    <w:textAlignment w:val="baseline"/>
                    <w:rPr>
                      <w:rFonts w:ascii="Segoe UI" w:eastAsia="Times New Roman" w:hAnsi="Segoe UI" w:cs="Segoe UI"/>
                      <w:noProof/>
                      <w:sz w:val="18"/>
                      <w:szCs w:val="18"/>
                      <w:lang w:val="en-IE" w:eastAsia="en-IE"/>
                    </w:rPr>
                  </w:pPr>
                  <w:r>
                    <w:rPr>
                      <w:noProof/>
                      <w:lang w:eastAsia="en-IE"/>
                    </w:rPr>
                    <w:t>In duly justified cases, the ECCG may suggest to the Commission to put forward a request referred to in paragraph 1.</w:t>
                  </w:r>
                </w:p>
                <w:p w14:paraId="7EA4C6A2" w14:textId="77777777" w:rsidR="007A5304" w:rsidRDefault="007A5304">
                  <w:pPr>
                    <w:spacing w:before="0" w:after="0"/>
                    <w:textAlignment w:val="baseline"/>
                    <w:rPr>
                      <w:noProof/>
                      <w:lang w:eastAsia="en-IE"/>
                    </w:rPr>
                  </w:pPr>
                  <w:r>
                    <w:rPr>
                      <w:rFonts w:eastAsia="Times New Roman"/>
                      <w:noProof/>
                      <w:color w:val="000000"/>
                      <w:sz w:val="22"/>
                      <w:lang w:eastAsia="en-IE"/>
                    </w:rPr>
                    <w:t xml:space="preserve">4. </w:t>
                  </w:r>
                  <w:r w:rsidRPr="006F001C">
                    <w:rPr>
                      <w:rFonts w:eastAsia="Times New Roman"/>
                      <w:noProof/>
                      <w:color w:val="000000"/>
                      <w:sz w:val="22"/>
                      <w:lang w:eastAsia="en-IE"/>
                    </w:rPr>
                    <w:t>When preparing the request referred to in paragraph 1, </w:t>
                  </w:r>
                  <w:r w:rsidRPr="006F001C">
                    <w:rPr>
                      <w:rFonts w:eastAsia="Times New Roman"/>
                      <w:b/>
                      <w:bCs/>
                      <w:noProof/>
                      <w:color w:val="000000"/>
                      <w:sz w:val="22"/>
                      <w:lang w:eastAsia="en-IE"/>
                    </w:rPr>
                    <w:t>the Commission</w:t>
                  </w:r>
                  <w:r w:rsidRPr="006F001C">
                    <w:rPr>
                      <w:rFonts w:eastAsia="Times New Roman"/>
                      <w:noProof/>
                      <w:color w:val="000000"/>
                      <w:sz w:val="22"/>
                      <w:lang w:eastAsia="en-IE"/>
                    </w:rPr>
                    <w:t> shall duly consult ENISA and the ECCG as well as take into account the views of all </w:t>
                  </w:r>
                  <w:r w:rsidRPr="006F001C">
                    <w:rPr>
                      <w:rFonts w:eastAsia="Times New Roman"/>
                      <w:b/>
                      <w:bCs/>
                      <w:noProof/>
                      <w:color w:val="000000"/>
                      <w:sz w:val="22"/>
                      <w:lang w:eastAsia="en-IE"/>
                    </w:rPr>
                    <w:t>relevant stakeholders</w:t>
                  </w:r>
                  <w:r w:rsidRPr="006F001C">
                    <w:rPr>
                      <w:rFonts w:eastAsia="Times New Roman"/>
                      <w:noProof/>
                      <w:color w:val="000000"/>
                      <w:sz w:val="22"/>
                      <w:lang w:eastAsia="en-IE"/>
                    </w:rPr>
                    <w:t> and other Union entities</w:t>
                  </w:r>
                  <w:r>
                    <w:rPr>
                      <w:noProof/>
                      <w:lang w:eastAsia="en-IE"/>
                    </w:rPr>
                    <w:t>, including, where applicable, those that are relevant under Union legislation in which a European cybersecurity certification scheme is providing presumption of conformity.</w:t>
                  </w:r>
                </w:p>
                <w:p w14:paraId="12653F66" w14:textId="77777777" w:rsidR="007A5304" w:rsidRDefault="007A5304">
                  <w:pPr>
                    <w:spacing w:before="0" w:after="0"/>
                    <w:textAlignment w:val="baseline"/>
                    <w:rPr>
                      <w:noProof/>
                      <w:szCs w:val="18"/>
                      <w:lang w:eastAsia="en-IE"/>
                    </w:rPr>
                  </w:pPr>
                </w:p>
                <w:p w14:paraId="513DD9FC"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Pr>
                      <w:noProof/>
                      <w:szCs w:val="18"/>
                      <w:lang w:eastAsia="en-IE"/>
                    </w:rPr>
                    <w:t>Article 74</w:t>
                  </w:r>
                </w:p>
                <w:p w14:paraId="4CE07FA6"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291CE2">
                    <w:rPr>
                      <w:rFonts w:eastAsia="Times New Roman"/>
                      <w:noProof/>
                      <w:color w:val="000000"/>
                      <w:sz w:val="22"/>
                      <w:shd w:val="clear" w:color="auto" w:fill="FFFFFF"/>
                      <w:lang w:eastAsia="en-IE"/>
                    </w:rPr>
                    <w:t xml:space="preserve">3. When preparing the candidate scheme, </w:t>
                  </w:r>
                  <w:r w:rsidRPr="008E1BE6">
                    <w:rPr>
                      <w:rFonts w:eastAsia="Times New Roman"/>
                      <w:noProof/>
                      <w:color w:val="000000"/>
                      <w:sz w:val="22"/>
                      <w:lang w:eastAsia="en-IE"/>
                    </w:rPr>
                    <w:t>ENISA</w:t>
                  </w:r>
                  <w:r w:rsidRPr="006F001C">
                    <w:rPr>
                      <w:rFonts w:eastAsia="Times New Roman"/>
                      <w:noProof/>
                      <w:color w:val="000000"/>
                      <w:sz w:val="22"/>
                      <w:lang w:eastAsia="en-IE"/>
                    </w:rPr>
                    <w:t xml:space="preserve"> shall </w:t>
                  </w:r>
                  <w:r w:rsidRPr="006F001C">
                    <w:rPr>
                      <w:rFonts w:eastAsia="Times New Roman"/>
                      <w:b/>
                      <w:bCs/>
                      <w:noProof/>
                      <w:color w:val="000000"/>
                      <w:sz w:val="22"/>
                      <w:lang w:eastAsia="en-IE"/>
                    </w:rPr>
                    <w:t>closely cooperate with the ECCG</w:t>
                  </w:r>
                  <w:r w:rsidRPr="006F001C">
                    <w:rPr>
                      <w:rFonts w:eastAsia="Times New Roman"/>
                      <w:noProof/>
                      <w:color w:val="000000"/>
                      <w:sz w:val="22"/>
                      <w:lang w:eastAsia="en-IE"/>
                    </w:rPr>
                    <w:t>. The </w:t>
                  </w:r>
                  <w:r w:rsidRPr="006F001C">
                    <w:rPr>
                      <w:rFonts w:eastAsia="Times New Roman"/>
                      <w:b/>
                      <w:bCs/>
                      <w:noProof/>
                      <w:color w:val="000000"/>
                      <w:sz w:val="22"/>
                      <w:lang w:eastAsia="en-IE"/>
                    </w:rPr>
                    <w:t>ECCG shall provide ENISA with assistance</w:t>
                  </w:r>
                  <w:r w:rsidRPr="006F001C">
                    <w:rPr>
                      <w:rFonts w:eastAsia="Times New Roman"/>
                      <w:noProof/>
                      <w:color w:val="000000"/>
                      <w:sz w:val="22"/>
                      <w:lang w:eastAsia="en-IE"/>
                    </w:rPr>
                    <w:t> and expert advice in relation to the preparation of the candidate scheme and, where applicable, a supporting technical specification.</w:t>
                  </w:r>
                  <w:r w:rsidRPr="006F001C">
                    <w:rPr>
                      <w:rFonts w:eastAsia="Times New Roman"/>
                      <w:noProof/>
                      <w:color w:val="000000"/>
                      <w:sz w:val="22"/>
                      <w:lang w:val="en-IE" w:eastAsia="en-IE"/>
                    </w:rPr>
                    <w:t> </w:t>
                  </w:r>
                </w:p>
                <w:p w14:paraId="5B8DDABF" w14:textId="77777777" w:rsidR="007A5304" w:rsidRDefault="007A5304">
                  <w:pPr>
                    <w:spacing w:before="0" w:after="0"/>
                    <w:textAlignment w:val="baseline"/>
                    <w:rPr>
                      <w:rFonts w:eastAsia="Times New Roman"/>
                      <w:noProof/>
                      <w:color w:val="000000"/>
                      <w:sz w:val="22"/>
                      <w:lang w:val="en-IE" w:eastAsia="en-IE"/>
                    </w:rPr>
                  </w:pPr>
                  <w:r w:rsidRPr="006F001C">
                    <w:rPr>
                      <w:rFonts w:eastAsia="Times New Roman"/>
                      <w:b/>
                      <w:bCs/>
                      <w:noProof/>
                      <w:color w:val="000000"/>
                      <w:sz w:val="22"/>
                      <w:lang w:eastAsia="en-IE"/>
                    </w:rPr>
                    <w:t>ENISA shall request members of the ECCG to provide a written opinion on the candidate scheme.</w:t>
                  </w:r>
                  <w:r w:rsidRPr="006F001C">
                    <w:rPr>
                      <w:rFonts w:eastAsia="Times New Roman"/>
                      <w:noProof/>
                      <w:color w:val="000000"/>
                      <w:sz w:val="22"/>
                      <w:lang w:val="en-IE" w:eastAsia="en-IE"/>
                    </w:rPr>
                    <w:t> </w:t>
                  </w:r>
                </w:p>
                <w:p w14:paraId="6C0DAA40" w14:textId="77777777" w:rsidR="007A5304" w:rsidRDefault="007A5304">
                  <w:pPr>
                    <w:spacing w:before="0" w:after="0"/>
                    <w:textAlignment w:val="baseline"/>
                    <w:rPr>
                      <w:rFonts w:eastAsia="Times New Roman"/>
                      <w:noProof/>
                      <w:color w:val="000000"/>
                      <w:sz w:val="22"/>
                      <w:shd w:val="clear" w:color="auto" w:fill="FFFFFF"/>
                      <w:lang w:eastAsia="en-IE"/>
                    </w:rPr>
                  </w:pPr>
                  <w:r w:rsidRPr="00291CE2">
                    <w:rPr>
                      <w:rFonts w:eastAsia="Times New Roman"/>
                      <w:noProof/>
                      <w:color w:val="000000"/>
                      <w:sz w:val="22"/>
                      <w:shd w:val="clear" w:color="auto" w:fill="FFFFFF"/>
                      <w:lang w:eastAsia="en-IE"/>
                    </w:rPr>
                    <w:t>4.</w:t>
                  </w:r>
                  <w:r>
                    <w:rPr>
                      <w:rFonts w:eastAsia="Times New Roman"/>
                      <w:b/>
                      <w:bCs/>
                      <w:noProof/>
                      <w:color w:val="000000"/>
                      <w:sz w:val="22"/>
                      <w:shd w:val="clear" w:color="auto" w:fill="FFFFFF"/>
                      <w:lang w:eastAsia="en-IE"/>
                    </w:rPr>
                    <w:t xml:space="preserve"> </w:t>
                  </w:r>
                  <w:r w:rsidRPr="006F001C">
                    <w:rPr>
                      <w:rFonts w:eastAsia="Times New Roman"/>
                      <w:b/>
                      <w:bCs/>
                      <w:noProof/>
                      <w:color w:val="000000"/>
                      <w:sz w:val="22"/>
                      <w:shd w:val="clear" w:color="auto" w:fill="FFFFFF"/>
                      <w:lang w:eastAsia="en-IE"/>
                    </w:rPr>
                    <w:t>ENISA shall consult stakeholders</w:t>
                  </w:r>
                  <w:r w:rsidRPr="006F001C">
                    <w:rPr>
                      <w:rFonts w:eastAsia="Times New Roman"/>
                      <w:noProof/>
                      <w:color w:val="000000"/>
                      <w:sz w:val="22"/>
                      <w:shd w:val="clear" w:color="auto" w:fill="FFFFFF"/>
                      <w:lang w:eastAsia="en-IE"/>
                    </w:rPr>
                    <w:t>, in a timely manner by means of a formal, open, transparent and inclusive consultation process. </w:t>
                  </w:r>
                </w:p>
                <w:p w14:paraId="6349436C"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b/>
                      <w:bCs/>
                      <w:noProof/>
                      <w:color w:val="000000"/>
                      <w:sz w:val="22"/>
                      <w:shd w:val="clear" w:color="auto" w:fill="FFFFFF"/>
                      <w:lang w:eastAsia="en-IE"/>
                    </w:rPr>
                    <w:t xml:space="preserve">ENISA shall also cooperate with </w:t>
                  </w:r>
                  <w:r w:rsidRPr="00470C4E">
                    <w:rPr>
                      <w:rFonts w:eastAsia="Times New Roman"/>
                      <w:b/>
                      <w:bCs/>
                      <w:noProof/>
                      <w:color w:val="000000"/>
                      <w:sz w:val="22"/>
                      <w:shd w:val="clear" w:color="auto" w:fill="FFFFFF"/>
                      <w:lang w:eastAsia="en-IE"/>
                    </w:rPr>
                    <w:t xml:space="preserve">relevant public authorities in the Member States and with relevant Union entities </w:t>
                  </w:r>
                  <w:r w:rsidRPr="006F001C">
                    <w:rPr>
                      <w:rFonts w:eastAsia="Times New Roman"/>
                      <w:b/>
                      <w:bCs/>
                      <w:noProof/>
                      <w:color w:val="000000"/>
                      <w:sz w:val="22"/>
                      <w:shd w:val="clear" w:color="auto" w:fill="FFFFFF"/>
                      <w:lang w:eastAsia="en-IE"/>
                    </w:rPr>
                    <w:t>to gather their expert advice</w:t>
                  </w:r>
                  <w:r w:rsidRPr="006F001C">
                    <w:rPr>
                      <w:rFonts w:eastAsia="Times New Roman"/>
                      <w:noProof/>
                      <w:color w:val="000000"/>
                      <w:sz w:val="22"/>
                      <w:shd w:val="clear" w:color="auto" w:fill="FFFFFF"/>
                      <w:lang w:eastAsia="en-IE"/>
                    </w:rPr>
                    <w:t> in relation to the preparation of the candidate scheme and, where applicable, a supporting technical specification.</w:t>
                  </w:r>
                  <w:r w:rsidRPr="006F001C">
                    <w:rPr>
                      <w:rFonts w:eastAsia="Times New Roman"/>
                      <w:noProof/>
                      <w:color w:val="000000"/>
                      <w:sz w:val="22"/>
                      <w:lang w:val="en-IE" w:eastAsia="en-IE"/>
                    </w:rPr>
                    <w:t> </w:t>
                  </w:r>
                </w:p>
                <w:p w14:paraId="0CAC6EEA"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291CE2">
                    <w:rPr>
                      <w:rFonts w:eastAsia="Times New Roman"/>
                      <w:noProof/>
                      <w:color w:val="000000"/>
                      <w:sz w:val="22"/>
                      <w:lang w:eastAsia="en-IE"/>
                    </w:rPr>
                    <w:t>6.</w:t>
                  </w:r>
                  <w:r>
                    <w:rPr>
                      <w:rFonts w:eastAsia="Times New Roman"/>
                      <w:b/>
                      <w:bCs/>
                      <w:noProof/>
                      <w:color w:val="000000"/>
                      <w:sz w:val="22"/>
                      <w:lang w:eastAsia="en-IE"/>
                    </w:rPr>
                    <w:t xml:space="preserve"> </w:t>
                  </w:r>
                  <w:r w:rsidRPr="006F001C">
                    <w:rPr>
                      <w:rFonts w:eastAsia="Times New Roman"/>
                      <w:b/>
                      <w:bCs/>
                      <w:noProof/>
                      <w:color w:val="000000"/>
                      <w:sz w:val="22"/>
                      <w:lang w:eastAsia="en-IE"/>
                    </w:rPr>
                    <w:t>ENISA shall transmit the candidate scheme</w:t>
                  </w:r>
                  <w:r w:rsidRPr="006F001C">
                    <w:rPr>
                      <w:rFonts w:eastAsia="Times New Roman"/>
                      <w:noProof/>
                      <w:color w:val="000000"/>
                      <w:sz w:val="22"/>
                      <w:lang w:eastAsia="en-IE"/>
                    </w:rPr>
                    <w:t> to the Commission no later than 60 days from the date of the request referred to in paragraph 5.</w:t>
                  </w:r>
                  <w:r w:rsidRPr="006F001C">
                    <w:rPr>
                      <w:rFonts w:eastAsia="Times New Roman"/>
                      <w:noProof/>
                      <w:color w:val="000000"/>
                      <w:sz w:val="22"/>
                      <w:lang w:val="en-IE" w:eastAsia="en-IE"/>
                    </w:rPr>
                    <w:t> </w:t>
                  </w:r>
                </w:p>
                <w:p w14:paraId="4E27B0F8" w14:textId="77777777" w:rsidR="007A5304" w:rsidRPr="009A44CB" w:rsidRDefault="007A5304">
                  <w:pPr>
                    <w:spacing w:before="0" w:after="0"/>
                    <w:textAlignment w:val="baseline"/>
                    <w:rPr>
                      <w:rFonts w:eastAsia="Times New Roman"/>
                      <w:noProof/>
                      <w:color w:val="000000"/>
                      <w:sz w:val="22"/>
                      <w:lang w:eastAsia="en-IE"/>
                    </w:rPr>
                  </w:pPr>
                  <w:r>
                    <w:rPr>
                      <w:rFonts w:eastAsia="Times New Roman"/>
                      <w:noProof/>
                      <w:color w:val="000000"/>
                      <w:sz w:val="22"/>
                      <w:lang w:eastAsia="en-IE"/>
                    </w:rPr>
                    <w:t>7. When receiving</w:t>
                  </w:r>
                  <w:r w:rsidRPr="006F001C">
                    <w:rPr>
                      <w:rFonts w:eastAsia="Times New Roman"/>
                      <w:noProof/>
                      <w:color w:val="000000"/>
                      <w:sz w:val="22"/>
                      <w:lang w:eastAsia="en-IE"/>
                    </w:rPr>
                    <w:t xml:space="preserve"> the candidate </w:t>
                  </w:r>
                  <w:r w:rsidRPr="006F001C">
                    <w:rPr>
                      <w:rFonts w:eastAsia="Times New Roman"/>
                      <w:b/>
                      <w:bCs/>
                      <w:noProof/>
                      <w:color w:val="000000"/>
                      <w:sz w:val="22"/>
                      <w:lang w:eastAsia="en-IE"/>
                    </w:rPr>
                    <w:t>scheme</w:t>
                  </w:r>
                  <w:r w:rsidRPr="006F001C">
                    <w:rPr>
                      <w:rFonts w:eastAsia="Times New Roman"/>
                      <w:noProof/>
                      <w:color w:val="000000"/>
                      <w:sz w:val="22"/>
                      <w:lang w:eastAsia="en-IE"/>
                    </w:rPr>
                    <w:t>, the </w:t>
                  </w:r>
                  <w:r w:rsidRPr="006F001C">
                    <w:rPr>
                      <w:rFonts w:eastAsia="Times New Roman"/>
                      <w:b/>
                      <w:bCs/>
                      <w:noProof/>
                      <w:color w:val="000000"/>
                      <w:sz w:val="22"/>
                      <w:lang w:eastAsia="en-IE"/>
                    </w:rPr>
                    <w:t>Commission shall evaluate </w:t>
                  </w:r>
                  <w:r w:rsidRPr="006F001C">
                    <w:rPr>
                      <w:rFonts w:eastAsia="Times New Roman"/>
                      <w:noProof/>
                      <w:color w:val="000000"/>
                      <w:sz w:val="22"/>
                      <w:lang w:eastAsia="en-IE"/>
                    </w:rPr>
                    <w:t xml:space="preserve">whether the scheme corresponds to the request </w:t>
                  </w:r>
                  <w:r>
                    <w:rPr>
                      <w:rFonts w:eastAsia="Times New Roman"/>
                      <w:noProof/>
                      <w:color w:val="000000"/>
                      <w:sz w:val="22"/>
                      <w:lang w:eastAsia="en-IE"/>
                    </w:rPr>
                    <w:t>made</w:t>
                  </w:r>
                  <w:r w:rsidRPr="006F001C">
                    <w:rPr>
                      <w:rFonts w:eastAsia="Times New Roman"/>
                      <w:noProof/>
                      <w:color w:val="000000"/>
                      <w:sz w:val="22"/>
                      <w:lang w:eastAsia="en-IE"/>
                    </w:rPr>
                    <w:t xml:space="preserve"> in </w:t>
                  </w:r>
                  <w:r w:rsidRPr="009A44CB">
                    <w:rPr>
                      <w:rFonts w:eastAsia="Times New Roman"/>
                      <w:noProof/>
                      <w:color w:val="000000"/>
                      <w:sz w:val="22"/>
                      <w:lang w:eastAsia="en-IE"/>
                    </w:rPr>
                    <w:t>accordance with Article 73. </w:t>
                  </w:r>
                </w:p>
                <w:p w14:paraId="63BCE924" w14:textId="77777777" w:rsidR="007A5304" w:rsidRPr="00291CE2" w:rsidRDefault="007A5304">
                  <w:pPr>
                    <w:spacing w:before="0" w:after="0"/>
                    <w:textAlignment w:val="baseline"/>
                    <w:rPr>
                      <w:rFonts w:eastAsia="Times New Roman"/>
                      <w:noProof/>
                      <w:sz w:val="22"/>
                      <w:lang w:eastAsia="en-IE"/>
                    </w:rPr>
                  </w:pPr>
                  <w:r w:rsidRPr="00291CE2">
                    <w:rPr>
                      <w:rFonts w:eastAsia="Times New Roman"/>
                      <w:noProof/>
                      <w:sz w:val="22"/>
                      <w:lang w:eastAsia="en-IE"/>
                    </w:rPr>
                    <w:t>8.</w:t>
                  </w:r>
                  <w:r w:rsidRPr="00291CE2">
                    <w:rPr>
                      <w:rFonts w:eastAsia="Times New Roman"/>
                      <w:noProof/>
                      <w:sz w:val="22"/>
                      <w:lang w:eastAsia="en-IE"/>
                    </w:rPr>
                    <w:tab/>
                    <w:t>Where the Commission returns a candidate scheme to ENISA for revision in accordance with paragraph 7, point (b)revision, paragraphs 4, 5 and 7 of this Article shall then apply accordingly.</w:t>
                  </w:r>
                </w:p>
                <w:p w14:paraId="6148FC1E"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color w:val="000000"/>
                      <w:sz w:val="22"/>
                      <w:lang w:val="en-IE" w:eastAsia="en-IE"/>
                    </w:rPr>
                    <w:t> </w:t>
                  </w:r>
                </w:p>
              </w:tc>
              <w:tc>
                <w:tcPr>
                  <w:tcW w:w="3015" w:type="dxa"/>
                  <w:tcBorders>
                    <w:top w:val="single" w:sz="6" w:space="0" w:color="auto"/>
                    <w:left w:val="single" w:sz="6" w:space="0" w:color="auto"/>
                    <w:bottom w:val="single" w:sz="6" w:space="0" w:color="auto"/>
                    <w:right w:val="single" w:sz="6" w:space="0" w:color="auto"/>
                  </w:tcBorders>
                  <w:hideMark/>
                </w:tcPr>
                <w:p w14:paraId="47FCF645"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EU Commission </w:t>
                  </w:r>
                  <w:r w:rsidRPr="006F001C">
                    <w:rPr>
                      <w:rFonts w:eastAsia="Times New Roman"/>
                      <w:noProof/>
                      <w:sz w:val="22"/>
                      <w:lang w:val="en-IE" w:eastAsia="en-IE"/>
                    </w:rPr>
                    <w:t> </w:t>
                  </w:r>
                </w:p>
                <w:p w14:paraId="4E809A12"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ENISA</w:t>
                  </w:r>
                  <w:r w:rsidRPr="006F001C">
                    <w:rPr>
                      <w:rFonts w:eastAsia="Times New Roman"/>
                      <w:noProof/>
                      <w:sz w:val="22"/>
                      <w:lang w:val="en-IE" w:eastAsia="en-IE"/>
                    </w:rPr>
                    <w:t> </w:t>
                  </w:r>
                </w:p>
                <w:p w14:paraId="36A378AF"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ECCG</w:t>
                  </w:r>
                  <w:r w:rsidRPr="006F001C">
                    <w:rPr>
                      <w:rFonts w:eastAsia="Times New Roman"/>
                      <w:noProof/>
                      <w:sz w:val="22"/>
                      <w:lang w:val="en-IE" w:eastAsia="en-IE"/>
                    </w:rPr>
                    <w:t> </w:t>
                  </w:r>
                </w:p>
                <w:p w14:paraId="3859AABD"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Expert stakeholders</w:t>
                  </w:r>
                  <w:r w:rsidRPr="006F001C">
                    <w:rPr>
                      <w:rFonts w:eastAsia="Times New Roman"/>
                      <w:noProof/>
                      <w:sz w:val="22"/>
                      <w:lang w:val="en-IE" w:eastAsia="en-IE"/>
                    </w:rPr>
                    <w:t> </w:t>
                  </w:r>
                </w:p>
              </w:tc>
              <w:tc>
                <w:tcPr>
                  <w:tcW w:w="3040" w:type="dxa"/>
                  <w:tcBorders>
                    <w:top w:val="single" w:sz="6" w:space="0" w:color="auto"/>
                    <w:left w:val="single" w:sz="6" w:space="0" w:color="auto"/>
                    <w:bottom w:val="single" w:sz="6" w:space="0" w:color="auto"/>
                    <w:right w:val="single" w:sz="6" w:space="0" w:color="auto"/>
                  </w:tcBorders>
                  <w:hideMark/>
                </w:tcPr>
                <w:p w14:paraId="62F7F457"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Preparation of a request and certification scheme and related consultation of stakeholders</w:t>
                  </w:r>
                  <w:r w:rsidRPr="006F001C">
                    <w:rPr>
                      <w:rFonts w:eastAsia="Times New Roman"/>
                      <w:noProof/>
                      <w:sz w:val="22"/>
                      <w:lang w:val="en-IE" w:eastAsia="en-IE"/>
                    </w:rPr>
                    <w:t> </w:t>
                  </w:r>
                </w:p>
              </w:tc>
              <w:tc>
                <w:tcPr>
                  <w:tcW w:w="1281" w:type="dxa"/>
                  <w:tcBorders>
                    <w:top w:val="single" w:sz="6" w:space="0" w:color="auto"/>
                    <w:left w:val="single" w:sz="6" w:space="0" w:color="auto"/>
                    <w:bottom w:val="single" w:sz="6" w:space="0" w:color="auto"/>
                    <w:right w:val="single" w:sz="6" w:space="0" w:color="auto"/>
                  </w:tcBorders>
                  <w:hideMark/>
                </w:tcPr>
                <w:p w14:paraId="5D65AC15"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processing </w:t>
                  </w:r>
                  <w:r w:rsidRPr="006F001C">
                    <w:rPr>
                      <w:rFonts w:eastAsia="Times New Roman"/>
                      <w:noProof/>
                      <w:sz w:val="22"/>
                      <w:lang w:val="en-IE" w:eastAsia="en-IE"/>
                    </w:rPr>
                    <w:t> </w:t>
                  </w:r>
                </w:p>
                <w:p w14:paraId="208792D9"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flows</w:t>
                  </w:r>
                  <w:r w:rsidRPr="006F001C">
                    <w:rPr>
                      <w:rFonts w:eastAsia="Times New Roman"/>
                      <w:noProof/>
                      <w:sz w:val="22"/>
                      <w:lang w:val="en-IE" w:eastAsia="en-IE"/>
                    </w:rPr>
                    <w:t> </w:t>
                  </w:r>
                </w:p>
                <w:p w14:paraId="0C1953EB"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Digital Public Service </w:t>
                  </w:r>
                  <w:r w:rsidRPr="006F001C">
                    <w:rPr>
                      <w:rFonts w:eastAsia="Times New Roman"/>
                      <w:noProof/>
                      <w:sz w:val="22"/>
                      <w:lang w:val="en-IE" w:eastAsia="en-IE"/>
                    </w:rPr>
                    <w:t> </w:t>
                  </w:r>
                </w:p>
                <w:p w14:paraId="42B523FB"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(covered in Article 17)</w:t>
                  </w:r>
                  <w:r w:rsidRPr="006F001C">
                    <w:rPr>
                      <w:rFonts w:eastAsia="Times New Roman"/>
                      <w:noProof/>
                      <w:sz w:val="22"/>
                      <w:lang w:val="en-IE" w:eastAsia="en-IE"/>
                    </w:rPr>
                    <w:t> </w:t>
                  </w:r>
                </w:p>
              </w:tc>
            </w:tr>
            <w:tr w:rsidR="007A5304" w:rsidRPr="006F001C" w14:paraId="7A811ABC" w14:textId="77777777">
              <w:trPr>
                <w:trHeight w:val="1875"/>
              </w:trPr>
              <w:tc>
                <w:tcPr>
                  <w:tcW w:w="2887" w:type="dxa"/>
                  <w:tcBorders>
                    <w:top w:val="single" w:sz="6" w:space="0" w:color="auto"/>
                    <w:left w:val="single" w:sz="6" w:space="0" w:color="auto"/>
                    <w:bottom w:val="single" w:sz="6" w:space="0" w:color="auto"/>
                    <w:right w:val="single" w:sz="6" w:space="0" w:color="auto"/>
                  </w:tcBorders>
                  <w:hideMark/>
                </w:tcPr>
                <w:p w14:paraId="30A3DECB"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Article 75</w:t>
                  </w:r>
                  <w:r w:rsidRPr="006F001C">
                    <w:rPr>
                      <w:rFonts w:eastAsia="Times New Roman"/>
                      <w:noProof/>
                      <w:sz w:val="22"/>
                      <w:lang w:val="en-IE" w:eastAsia="en-IE"/>
                    </w:rPr>
                    <w:t> </w:t>
                  </w:r>
                </w:p>
                <w:p w14:paraId="19A6EDE9"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Maintenance of a European cybersecurity certification scheme</w:t>
                  </w:r>
                  <w:r w:rsidRPr="006F001C">
                    <w:rPr>
                      <w:rFonts w:eastAsia="Times New Roman"/>
                      <w:noProof/>
                      <w:sz w:val="22"/>
                      <w:lang w:val="en-IE" w:eastAsia="en-IE"/>
                    </w:rPr>
                    <w:t> </w:t>
                  </w:r>
                </w:p>
              </w:tc>
              <w:tc>
                <w:tcPr>
                  <w:tcW w:w="4332" w:type="dxa"/>
                  <w:tcBorders>
                    <w:top w:val="single" w:sz="6" w:space="0" w:color="auto"/>
                    <w:left w:val="single" w:sz="6" w:space="0" w:color="auto"/>
                    <w:bottom w:val="single" w:sz="6" w:space="0" w:color="auto"/>
                    <w:right w:val="single" w:sz="6" w:space="0" w:color="auto"/>
                  </w:tcBorders>
                  <w:hideMark/>
                </w:tcPr>
                <w:p w14:paraId="3401C728"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Pr>
                      <w:rFonts w:eastAsia="Times New Roman"/>
                      <w:noProof/>
                      <w:color w:val="000000"/>
                      <w:sz w:val="22"/>
                      <w:lang w:eastAsia="en-IE"/>
                    </w:rPr>
                    <w:t xml:space="preserve">2. </w:t>
                  </w:r>
                  <w:r w:rsidRPr="006F001C">
                    <w:rPr>
                      <w:rFonts w:eastAsia="Times New Roman"/>
                      <w:noProof/>
                      <w:color w:val="000000"/>
                      <w:sz w:val="22"/>
                      <w:lang w:eastAsia="en-IE"/>
                    </w:rPr>
                    <w:t xml:space="preserve">ENISA, in cooperation with the Commission and </w:t>
                  </w:r>
                  <w:r>
                    <w:rPr>
                      <w:rFonts w:eastAsia="Times New Roman"/>
                      <w:noProof/>
                      <w:color w:val="000000"/>
                      <w:sz w:val="22"/>
                      <w:lang w:eastAsia="en-IE"/>
                    </w:rPr>
                    <w:t>supported by</w:t>
                  </w:r>
                  <w:r w:rsidRPr="006F001C">
                    <w:rPr>
                      <w:rFonts w:eastAsia="Times New Roman"/>
                      <w:noProof/>
                      <w:color w:val="000000"/>
                      <w:sz w:val="22"/>
                      <w:lang w:eastAsia="en-IE"/>
                    </w:rPr>
                    <w:t xml:space="preserve"> the ECCG and its relevant maintenance sub-group, shall ensure the maintenance of European cybersecurity certification schemes, including in view of the possible review of such schemes by the Commission. ENISA shall cooperate and exchange information with relevant Union entities and groups in relation to maintenance activities. </w:t>
                  </w:r>
                  <w:r w:rsidRPr="006F001C">
                    <w:rPr>
                      <w:rFonts w:eastAsia="Times New Roman"/>
                      <w:noProof/>
                      <w:color w:val="000000"/>
                      <w:sz w:val="22"/>
                      <w:lang w:val="en-IE" w:eastAsia="en-IE"/>
                    </w:rPr>
                    <w:t> </w:t>
                  </w:r>
                </w:p>
                <w:p w14:paraId="43421642"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Pr>
                      <w:rFonts w:eastAsia="Times New Roman"/>
                      <w:noProof/>
                      <w:color w:val="000000"/>
                      <w:sz w:val="22"/>
                      <w:lang w:eastAsia="en-IE"/>
                    </w:rPr>
                    <w:t xml:space="preserve">5. </w:t>
                  </w:r>
                  <w:r w:rsidRPr="006F001C">
                    <w:rPr>
                      <w:rFonts w:eastAsia="Times New Roman"/>
                      <w:noProof/>
                      <w:color w:val="000000"/>
                      <w:sz w:val="22"/>
                      <w:lang w:eastAsia="en-IE"/>
                    </w:rPr>
                    <w:t>The ECCG may issue an opinion on the maintenance of </w:t>
                  </w:r>
                  <w:r>
                    <w:rPr>
                      <w:rFonts w:eastAsia="Times New Roman"/>
                      <w:noProof/>
                      <w:color w:val="000000"/>
                      <w:sz w:val="22"/>
                      <w:lang w:eastAsia="en-IE"/>
                    </w:rPr>
                    <w:t>European cybersecurity certification schemes.</w:t>
                  </w:r>
                  <w:r w:rsidRPr="006F001C">
                    <w:rPr>
                      <w:rFonts w:eastAsia="Times New Roman"/>
                      <w:noProof/>
                      <w:color w:val="000000"/>
                      <w:sz w:val="22"/>
                      <w:lang w:val="en-IE" w:eastAsia="en-IE"/>
                    </w:rPr>
                    <w:t> </w:t>
                  </w:r>
                </w:p>
              </w:tc>
              <w:tc>
                <w:tcPr>
                  <w:tcW w:w="3015" w:type="dxa"/>
                  <w:tcBorders>
                    <w:top w:val="single" w:sz="6" w:space="0" w:color="auto"/>
                    <w:left w:val="single" w:sz="6" w:space="0" w:color="auto"/>
                    <w:bottom w:val="single" w:sz="6" w:space="0" w:color="auto"/>
                    <w:right w:val="single" w:sz="6" w:space="0" w:color="auto"/>
                  </w:tcBorders>
                  <w:hideMark/>
                </w:tcPr>
                <w:p w14:paraId="595CBBD0"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EU Commission </w:t>
                  </w:r>
                  <w:r w:rsidRPr="006F001C">
                    <w:rPr>
                      <w:rFonts w:eastAsia="Times New Roman"/>
                      <w:noProof/>
                      <w:sz w:val="22"/>
                      <w:lang w:val="en-IE" w:eastAsia="en-IE"/>
                    </w:rPr>
                    <w:t> </w:t>
                  </w:r>
                </w:p>
                <w:p w14:paraId="559E1299"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ENISA</w:t>
                  </w:r>
                  <w:r w:rsidRPr="006F001C">
                    <w:rPr>
                      <w:rFonts w:eastAsia="Times New Roman"/>
                      <w:noProof/>
                      <w:sz w:val="22"/>
                      <w:lang w:val="en-IE" w:eastAsia="en-IE"/>
                    </w:rPr>
                    <w:t> </w:t>
                  </w:r>
                </w:p>
                <w:p w14:paraId="2C3C50F9"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ECCG</w:t>
                  </w:r>
                  <w:r w:rsidRPr="006F001C">
                    <w:rPr>
                      <w:rFonts w:eastAsia="Times New Roman"/>
                      <w:noProof/>
                      <w:sz w:val="22"/>
                      <w:lang w:val="en-IE" w:eastAsia="en-IE"/>
                    </w:rPr>
                    <w:t> </w:t>
                  </w:r>
                </w:p>
                <w:p w14:paraId="20FB2EAF"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Conformity assessment bodies</w:t>
                  </w:r>
                  <w:r w:rsidRPr="006F001C">
                    <w:rPr>
                      <w:rFonts w:eastAsia="Times New Roman"/>
                      <w:noProof/>
                      <w:sz w:val="22"/>
                      <w:lang w:val="en-IE" w:eastAsia="en-IE"/>
                    </w:rPr>
                    <w:t> </w:t>
                  </w:r>
                </w:p>
                <w:p w14:paraId="5F3ABB53"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val="en-IE" w:eastAsia="en-IE"/>
                    </w:rPr>
                    <w:t> </w:t>
                  </w:r>
                </w:p>
              </w:tc>
              <w:tc>
                <w:tcPr>
                  <w:tcW w:w="3040" w:type="dxa"/>
                  <w:tcBorders>
                    <w:top w:val="single" w:sz="6" w:space="0" w:color="auto"/>
                    <w:left w:val="single" w:sz="6" w:space="0" w:color="auto"/>
                    <w:bottom w:val="single" w:sz="6" w:space="0" w:color="auto"/>
                    <w:right w:val="single" w:sz="6" w:space="0" w:color="auto"/>
                  </w:tcBorders>
                  <w:hideMark/>
                </w:tcPr>
                <w:p w14:paraId="6B31517E" w14:textId="77777777" w:rsidR="007A5304" w:rsidRPr="00291CE2" w:rsidRDefault="007A5304">
                  <w:pPr>
                    <w:spacing w:before="0" w:after="0"/>
                    <w:jc w:val="left"/>
                    <w:textAlignment w:val="baseline"/>
                    <w:rPr>
                      <w:rFonts w:eastAsia="Times New Roman"/>
                      <w:noProof/>
                      <w:color w:val="000000"/>
                      <w:sz w:val="22"/>
                      <w:lang w:val="en-IE" w:eastAsia="en-IE"/>
                    </w:rPr>
                  </w:pPr>
                  <w:r w:rsidRPr="006F001C">
                    <w:rPr>
                      <w:rFonts w:eastAsia="Times New Roman"/>
                      <w:noProof/>
                      <w:color w:val="000000"/>
                      <w:sz w:val="22"/>
                      <w:lang w:eastAsia="en-IE"/>
                    </w:rPr>
                    <w:t>ENISA shall ensure maintenance. This includes periodical hybrid or online meetings, gathering information, analysing and sharing (in relation to a European cybersecurity certification scheme)</w:t>
                  </w:r>
                  <w:r w:rsidRPr="006F001C">
                    <w:rPr>
                      <w:rFonts w:eastAsia="Times New Roman"/>
                      <w:noProof/>
                      <w:color w:val="000000"/>
                      <w:sz w:val="22"/>
                      <w:lang w:val="en-IE" w:eastAsia="en-IE"/>
                    </w:rPr>
                    <w:t> </w:t>
                  </w:r>
                </w:p>
              </w:tc>
              <w:tc>
                <w:tcPr>
                  <w:tcW w:w="1281" w:type="dxa"/>
                  <w:tcBorders>
                    <w:top w:val="single" w:sz="6" w:space="0" w:color="auto"/>
                    <w:left w:val="single" w:sz="6" w:space="0" w:color="auto"/>
                    <w:bottom w:val="single" w:sz="6" w:space="0" w:color="auto"/>
                    <w:right w:val="single" w:sz="6" w:space="0" w:color="auto"/>
                  </w:tcBorders>
                  <w:hideMark/>
                </w:tcPr>
                <w:p w14:paraId="5E102FA7"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processing</w:t>
                  </w:r>
                  <w:r w:rsidRPr="006F001C">
                    <w:rPr>
                      <w:rFonts w:eastAsia="Times New Roman"/>
                      <w:noProof/>
                      <w:sz w:val="22"/>
                      <w:lang w:val="en-IE" w:eastAsia="en-IE"/>
                    </w:rPr>
                    <w:t> </w:t>
                  </w:r>
                </w:p>
                <w:p w14:paraId="2E0114A0"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flow</w:t>
                  </w:r>
                  <w:r w:rsidRPr="006F001C">
                    <w:rPr>
                      <w:rFonts w:eastAsia="Times New Roman"/>
                      <w:noProof/>
                      <w:sz w:val="22"/>
                      <w:lang w:val="en-IE" w:eastAsia="en-IE"/>
                    </w:rPr>
                    <w:t> </w:t>
                  </w:r>
                </w:p>
              </w:tc>
            </w:tr>
            <w:tr w:rsidR="007A5304" w:rsidRPr="006F001C" w14:paraId="45F56C06" w14:textId="77777777">
              <w:trPr>
                <w:trHeight w:val="1875"/>
              </w:trPr>
              <w:tc>
                <w:tcPr>
                  <w:tcW w:w="2887" w:type="dxa"/>
                  <w:tcBorders>
                    <w:top w:val="single" w:sz="6" w:space="0" w:color="auto"/>
                    <w:left w:val="single" w:sz="6" w:space="0" w:color="auto"/>
                    <w:bottom w:val="single" w:sz="6" w:space="0" w:color="auto"/>
                    <w:right w:val="single" w:sz="6" w:space="0" w:color="auto"/>
                  </w:tcBorders>
                  <w:hideMark/>
                </w:tcPr>
                <w:p w14:paraId="45EB8B9E"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Article 76</w:t>
                  </w:r>
                  <w:r w:rsidRPr="006F001C">
                    <w:rPr>
                      <w:rFonts w:eastAsia="Times New Roman"/>
                      <w:noProof/>
                      <w:sz w:val="22"/>
                      <w:lang w:val="en-IE" w:eastAsia="en-IE"/>
                    </w:rPr>
                    <w:t> </w:t>
                  </w:r>
                </w:p>
                <w:p w14:paraId="785806D5"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color w:val="000000"/>
                      <w:sz w:val="22"/>
                      <w:lang w:eastAsia="en-IE"/>
                    </w:rPr>
                    <w:t>Evaluation</w:t>
                  </w:r>
                  <w:r>
                    <w:rPr>
                      <w:rFonts w:eastAsia="Times New Roman"/>
                      <w:noProof/>
                      <w:color w:val="000000"/>
                      <w:sz w:val="22"/>
                      <w:lang w:eastAsia="en-IE"/>
                    </w:rPr>
                    <w:t xml:space="preserve">, </w:t>
                  </w:r>
                  <w:r w:rsidRPr="006F001C">
                    <w:rPr>
                      <w:rFonts w:eastAsia="Times New Roman"/>
                      <w:noProof/>
                      <w:color w:val="000000"/>
                      <w:sz w:val="22"/>
                      <w:lang w:eastAsia="en-IE"/>
                    </w:rPr>
                    <w:t>review </w:t>
                  </w:r>
                  <w:r>
                    <w:rPr>
                      <w:rFonts w:eastAsia="Times New Roman"/>
                      <w:noProof/>
                      <w:color w:val="000000"/>
                      <w:sz w:val="22"/>
                      <w:lang w:eastAsia="en-IE"/>
                    </w:rPr>
                    <w:t xml:space="preserve">and withdrawal </w:t>
                  </w:r>
                  <w:r w:rsidRPr="006F001C">
                    <w:rPr>
                      <w:rFonts w:eastAsia="Times New Roman"/>
                      <w:noProof/>
                      <w:sz w:val="22"/>
                      <w:lang w:eastAsia="en-IE"/>
                    </w:rPr>
                    <w:t>of a European cybersecurity certification scheme</w:t>
                  </w:r>
                  <w:r w:rsidRPr="006F001C">
                    <w:rPr>
                      <w:rFonts w:eastAsia="Times New Roman"/>
                      <w:noProof/>
                      <w:sz w:val="22"/>
                      <w:lang w:val="en-IE" w:eastAsia="en-IE"/>
                    </w:rPr>
                    <w:t> </w:t>
                  </w:r>
                </w:p>
              </w:tc>
              <w:tc>
                <w:tcPr>
                  <w:tcW w:w="4332" w:type="dxa"/>
                  <w:tcBorders>
                    <w:top w:val="single" w:sz="6" w:space="0" w:color="auto"/>
                    <w:left w:val="single" w:sz="6" w:space="0" w:color="auto"/>
                    <w:bottom w:val="single" w:sz="6" w:space="0" w:color="auto"/>
                    <w:right w:val="single" w:sz="6" w:space="0" w:color="auto"/>
                  </w:tcBorders>
                  <w:hideMark/>
                </w:tcPr>
                <w:p w14:paraId="640B22CC"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Pr>
                      <w:rFonts w:eastAsia="Times New Roman"/>
                      <w:noProof/>
                      <w:color w:val="000000"/>
                      <w:sz w:val="22"/>
                      <w:lang w:eastAsia="en-IE"/>
                    </w:rPr>
                    <w:t xml:space="preserve">1. </w:t>
                  </w:r>
                  <w:r w:rsidRPr="006F001C">
                    <w:rPr>
                      <w:rFonts w:eastAsia="Times New Roman"/>
                      <w:noProof/>
                      <w:color w:val="000000"/>
                      <w:sz w:val="22"/>
                      <w:lang w:eastAsia="en-IE"/>
                    </w:rPr>
                    <w:t xml:space="preserve">At least every four years following the </w:t>
                  </w:r>
                  <w:r>
                    <w:rPr>
                      <w:rFonts w:eastAsia="Times New Roman"/>
                      <w:noProof/>
                      <w:color w:val="000000"/>
                      <w:sz w:val="22"/>
                      <w:lang w:eastAsia="en-IE"/>
                    </w:rPr>
                    <w:t xml:space="preserve">entry into </w:t>
                  </w:r>
                  <w:r w:rsidRPr="006F001C">
                    <w:rPr>
                      <w:rFonts w:eastAsia="Times New Roman"/>
                      <w:noProof/>
                      <w:color w:val="000000"/>
                      <w:sz w:val="22"/>
                      <w:lang w:eastAsia="en-IE"/>
                    </w:rPr>
                    <w:t xml:space="preserve">application of a </w:t>
                  </w:r>
                  <w:r>
                    <w:rPr>
                      <w:rFonts w:eastAsia="Times New Roman"/>
                      <w:noProof/>
                      <w:color w:val="000000"/>
                      <w:sz w:val="22"/>
                      <w:lang w:eastAsia="en-IE"/>
                    </w:rPr>
                    <w:t xml:space="preserve">European cybersecurity certification </w:t>
                  </w:r>
                  <w:r w:rsidRPr="006F001C">
                    <w:rPr>
                      <w:rFonts w:eastAsia="Times New Roman"/>
                      <w:noProof/>
                      <w:color w:val="000000"/>
                      <w:sz w:val="22"/>
                      <w:lang w:eastAsia="en-IE"/>
                    </w:rPr>
                    <w:t xml:space="preserve">scheme, ENISA shall evaluate the impact and effectiveness </w:t>
                  </w:r>
                  <w:r>
                    <w:rPr>
                      <w:rFonts w:eastAsia="Times New Roman"/>
                      <w:noProof/>
                      <w:color w:val="000000"/>
                      <w:sz w:val="22"/>
                      <w:lang w:eastAsia="en-IE"/>
                    </w:rPr>
                    <w:t>that</w:t>
                  </w:r>
                  <w:r w:rsidRPr="006F001C">
                    <w:rPr>
                      <w:rFonts w:eastAsia="Times New Roman"/>
                      <w:noProof/>
                      <w:color w:val="000000"/>
                      <w:sz w:val="22"/>
                      <w:lang w:eastAsia="en-IE"/>
                    </w:rPr>
                    <w:t xml:space="preserve"> scheme, in cooperation with the relevant maintenance sub-group of the ECCG, and by taking into account the feedback received from stakeholders. ENISA shall </w:t>
                  </w:r>
                  <w:r>
                    <w:rPr>
                      <w:rFonts w:eastAsia="Times New Roman"/>
                      <w:noProof/>
                      <w:color w:val="000000"/>
                      <w:sz w:val="22"/>
                      <w:lang w:eastAsia="en-IE"/>
                    </w:rPr>
                    <w:t xml:space="preserve">conduct </w:t>
                  </w:r>
                  <w:r w:rsidRPr="006F001C">
                    <w:rPr>
                      <w:rFonts w:eastAsia="Times New Roman"/>
                      <w:noProof/>
                      <w:color w:val="000000"/>
                      <w:sz w:val="22"/>
                      <w:lang w:eastAsia="en-IE"/>
                    </w:rPr>
                    <w:t xml:space="preserve">the evaluation by carrying out </w:t>
                  </w:r>
                  <w:r>
                    <w:rPr>
                      <w:rFonts w:eastAsia="Times New Roman"/>
                      <w:noProof/>
                      <w:color w:val="000000"/>
                      <w:sz w:val="22"/>
                      <w:lang w:eastAsia="en-IE"/>
                    </w:rPr>
                    <w:t xml:space="preserve">the </w:t>
                  </w:r>
                  <w:r w:rsidRPr="006F001C">
                    <w:rPr>
                      <w:rFonts w:eastAsia="Times New Roman"/>
                      <w:noProof/>
                      <w:color w:val="000000"/>
                      <w:sz w:val="22"/>
                      <w:lang w:eastAsia="en-IE"/>
                    </w:rPr>
                    <w:t>necessary market analysis in accordance with Article 8(1).</w:t>
                  </w:r>
                  <w:r w:rsidRPr="006F001C">
                    <w:rPr>
                      <w:rFonts w:eastAsia="Times New Roman"/>
                      <w:noProof/>
                      <w:color w:val="000000"/>
                      <w:sz w:val="22"/>
                      <w:lang w:val="en-IE" w:eastAsia="en-IE"/>
                    </w:rPr>
                    <w:t> </w:t>
                  </w:r>
                </w:p>
                <w:p w14:paraId="1A42CB0C"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Pr>
                      <w:rFonts w:eastAsia="Times New Roman"/>
                      <w:noProof/>
                      <w:color w:val="000000"/>
                      <w:sz w:val="22"/>
                      <w:lang w:eastAsia="en-IE"/>
                    </w:rPr>
                    <w:t xml:space="preserve">3. </w:t>
                  </w:r>
                  <w:r w:rsidRPr="006F001C">
                    <w:rPr>
                      <w:rFonts w:eastAsia="Times New Roman"/>
                      <w:noProof/>
                      <w:color w:val="000000"/>
                      <w:sz w:val="22"/>
                      <w:lang w:eastAsia="en-IE"/>
                    </w:rPr>
                    <w:t>When reviewing or withdrawing European cybersecurity certification scheme</w:t>
                  </w:r>
                  <w:r>
                    <w:rPr>
                      <w:rFonts w:eastAsia="Times New Roman"/>
                      <w:noProof/>
                      <w:color w:val="000000"/>
                      <w:sz w:val="22"/>
                      <w:lang w:eastAsia="en-IE"/>
                    </w:rPr>
                    <w:t>s</w:t>
                  </w:r>
                  <w:r w:rsidRPr="006F001C">
                    <w:rPr>
                      <w:rFonts w:eastAsia="Times New Roman"/>
                      <w:noProof/>
                      <w:color w:val="000000"/>
                      <w:sz w:val="22"/>
                      <w:lang w:eastAsia="en-IE"/>
                    </w:rPr>
                    <w:t>, the Commission shall consult ENISA, the ECCG and its relevant maintenance sub-group, as well as take into account the views of relevant stakeholders and other Union entities. </w:t>
                  </w:r>
                  <w:r w:rsidRPr="006F001C">
                    <w:rPr>
                      <w:rFonts w:eastAsia="Times New Roman"/>
                      <w:noProof/>
                      <w:color w:val="000000"/>
                      <w:sz w:val="22"/>
                      <w:lang w:val="en-IE" w:eastAsia="en-IE"/>
                    </w:rPr>
                    <w:t> </w:t>
                  </w:r>
                </w:p>
                <w:p w14:paraId="0F744429"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Pr>
                      <w:rFonts w:eastAsia="Times New Roman"/>
                      <w:noProof/>
                      <w:color w:val="000000"/>
                      <w:sz w:val="22"/>
                      <w:lang w:val="en-IE" w:eastAsia="en-IE"/>
                    </w:rPr>
                    <w:t xml:space="preserve">4. </w:t>
                  </w:r>
                  <w:r w:rsidRPr="006F001C">
                    <w:rPr>
                      <w:rFonts w:eastAsia="Times New Roman"/>
                      <w:noProof/>
                      <w:color w:val="000000"/>
                      <w:sz w:val="22"/>
                      <w:lang w:eastAsia="en-IE"/>
                    </w:rPr>
                    <w:t xml:space="preserve">The ECCG may issue an opinion on the review </w:t>
                  </w:r>
                  <w:r>
                    <w:rPr>
                      <w:rFonts w:eastAsia="Times New Roman"/>
                      <w:noProof/>
                      <w:color w:val="000000"/>
                      <w:sz w:val="22"/>
                      <w:lang w:eastAsia="en-IE"/>
                    </w:rPr>
                    <w:t xml:space="preserve">or withdrawal </w:t>
                  </w:r>
                  <w:r w:rsidRPr="006F001C">
                    <w:rPr>
                      <w:rFonts w:eastAsia="Times New Roman"/>
                      <w:noProof/>
                      <w:color w:val="000000"/>
                      <w:sz w:val="22"/>
                      <w:lang w:eastAsia="en-IE"/>
                    </w:rPr>
                    <w:t>of a European cybersecurity certification scheme. The Commission shall take due account of it when reviewing </w:t>
                  </w:r>
                  <w:r>
                    <w:rPr>
                      <w:rFonts w:eastAsia="Times New Roman"/>
                      <w:noProof/>
                      <w:color w:val="000000"/>
                      <w:sz w:val="22"/>
                      <w:lang w:eastAsia="en-IE"/>
                    </w:rPr>
                    <w:t>or withdrawing</w:t>
                  </w:r>
                  <w:r w:rsidRPr="006F001C">
                    <w:rPr>
                      <w:rFonts w:eastAsia="Times New Roman"/>
                      <w:noProof/>
                      <w:color w:val="000000"/>
                      <w:sz w:val="22"/>
                      <w:lang w:eastAsia="en-IE"/>
                    </w:rPr>
                    <w:t xml:space="preserve"> the European cybersecurity certification scheme. </w:t>
                  </w:r>
                  <w:r w:rsidRPr="006F001C">
                    <w:rPr>
                      <w:rFonts w:eastAsia="Times New Roman"/>
                      <w:noProof/>
                      <w:color w:val="000000"/>
                      <w:sz w:val="22"/>
                      <w:lang w:val="en-IE" w:eastAsia="en-IE"/>
                    </w:rPr>
                    <w:t> </w:t>
                  </w:r>
                </w:p>
                <w:p w14:paraId="7A67803B"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color w:val="000000"/>
                      <w:sz w:val="22"/>
                      <w:lang w:val="en-IE" w:eastAsia="en-IE"/>
                    </w:rPr>
                    <w:t> </w:t>
                  </w:r>
                </w:p>
              </w:tc>
              <w:tc>
                <w:tcPr>
                  <w:tcW w:w="3015" w:type="dxa"/>
                  <w:tcBorders>
                    <w:top w:val="single" w:sz="6" w:space="0" w:color="auto"/>
                    <w:left w:val="single" w:sz="6" w:space="0" w:color="auto"/>
                    <w:bottom w:val="single" w:sz="6" w:space="0" w:color="auto"/>
                    <w:right w:val="single" w:sz="6" w:space="0" w:color="auto"/>
                  </w:tcBorders>
                  <w:hideMark/>
                </w:tcPr>
                <w:p w14:paraId="6FAF3F22"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EU Commission </w:t>
                  </w:r>
                  <w:r w:rsidRPr="006F001C">
                    <w:rPr>
                      <w:rFonts w:eastAsia="Times New Roman"/>
                      <w:noProof/>
                      <w:sz w:val="22"/>
                      <w:lang w:val="en-IE" w:eastAsia="en-IE"/>
                    </w:rPr>
                    <w:t> </w:t>
                  </w:r>
                </w:p>
                <w:p w14:paraId="3115E42D"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ENISA</w:t>
                  </w:r>
                  <w:r w:rsidRPr="006F001C">
                    <w:rPr>
                      <w:rFonts w:eastAsia="Times New Roman"/>
                      <w:noProof/>
                      <w:sz w:val="22"/>
                      <w:lang w:val="en-IE" w:eastAsia="en-IE"/>
                    </w:rPr>
                    <w:t> </w:t>
                  </w:r>
                </w:p>
                <w:p w14:paraId="2FDF70AF"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ECCG</w:t>
                  </w:r>
                  <w:r w:rsidRPr="006F001C">
                    <w:rPr>
                      <w:rFonts w:eastAsia="Times New Roman"/>
                      <w:noProof/>
                      <w:sz w:val="22"/>
                      <w:lang w:val="en-IE" w:eastAsia="en-IE"/>
                    </w:rPr>
                    <w:t> </w:t>
                  </w:r>
                </w:p>
              </w:tc>
              <w:tc>
                <w:tcPr>
                  <w:tcW w:w="3040" w:type="dxa"/>
                  <w:tcBorders>
                    <w:top w:val="single" w:sz="6" w:space="0" w:color="auto"/>
                    <w:left w:val="single" w:sz="6" w:space="0" w:color="auto"/>
                    <w:bottom w:val="single" w:sz="6" w:space="0" w:color="auto"/>
                    <w:right w:val="single" w:sz="6" w:space="0" w:color="auto"/>
                  </w:tcBorders>
                  <w:hideMark/>
                </w:tcPr>
                <w:p w14:paraId="29F2B75A"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color w:val="000000"/>
                      <w:sz w:val="22"/>
                      <w:lang w:eastAsia="en-IE"/>
                    </w:rPr>
                    <w:t>The Commission shall review schemes whist consulting relevant stakeholders.</w:t>
                  </w:r>
                  <w:r w:rsidRPr="006F001C">
                    <w:rPr>
                      <w:rFonts w:eastAsia="Times New Roman"/>
                      <w:noProof/>
                      <w:color w:val="000000"/>
                      <w:sz w:val="22"/>
                      <w:lang w:val="en-IE" w:eastAsia="en-IE"/>
                    </w:rPr>
                    <w:t> </w:t>
                  </w:r>
                </w:p>
              </w:tc>
              <w:tc>
                <w:tcPr>
                  <w:tcW w:w="1281" w:type="dxa"/>
                  <w:tcBorders>
                    <w:top w:val="single" w:sz="6" w:space="0" w:color="auto"/>
                    <w:left w:val="single" w:sz="6" w:space="0" w:color="auto"/>
                    <w:bottom w:val="single" w:sz="6" w:space="0" w:color="auto"/>
                    <w:right w:val="single" w:sz="6" w:space="0" w:color="auto"/>
                  </w:tcBorders>
                  <w:hideMark/>
                </w:tcPr>
                <w:p w14:paraId="5F70C000"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processing</w:t>
                  </w:r>
                  <w:r w:rsidRPr="006F001C">
                    <w:rPr>
                      <w:rFonts w:eastAsia="Times New Roman"/>
                      <w:noProof/>
                      <w:sz w:val="22"/>
                      <w:lang w:val="en-IE" w:eastAsia="en-IE"/>
                    </w:rPr>
                    <w:t> </w:t>
                  </w:r>
                </w:p>
                <w:p w14:paraId="0382A4B5"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flow</w:t>
                  </w:r>
                  <w:r w:rsidRPr="006F001C">
                    <w:rPr>
                      <w:rFonts w:eastAsia="Times New Roman"/>
                      <w:noProof/>
                      <w:sz w:val="22"/>
                      <w:lang w:val="en-IE" w:eastAsia="en-IE"/>
                    </w:rPr>
                    <w:t> </w:t>
                  </w:r>
                </w:p>
              </w:tc>
            </w:tr>
            <w:tr w:rsidR="007A5304" w:rsidRPr="006F001C" w14:paraId="495EA13C" w14:textId="77777777">
              <w:trPr>
                <w:trHeight w:val="1875"/>
              </w:trPr>
              <w:tc>
                <w:tcPr>
                  <w:tcW w:w="2887" w:type="dxa"/>
                  <w:tcBorders>
                    <w:top w:val="single" w:sz="6" w:space="0" w:color="auto"/>
                    <w:left w:val="single" w:sz="6" w:space="0" w:color="auto"/>
                    <w:bottom w:val="single" w:sz="6" w:space="0" w:color="auto"/>
                    <w:right w:val="single" w:sz="6" w:space="0" w:color="auto"/>
                  </w:tcBorders>
                  <w:hideMark/>
                </w:tcPr>
                <w:p w14:paraId="733E0BD3"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Article 77 </w:t>
                  </w:r>
                  <w:r w:rsidRPr="006F001C">
                    <w:rPr>
                      <w:rFonts w:eastAsia="Times New Roman"/>
                      <w:noProof/>
                      <w:sz w:val="22"/>
                      <w:lang w:val="en-IE" w:eastAsia="en-IE"/>
                    </w:rPr>
                    <w:t> </w:t>
                  </w:r>
                </w:p>
                <w:p w14:paraId="2E58A234"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Technical specifications in European cybersecurity certification schemes</w:t>
                  </w:r>
                  <w:r w:rsidRPr="006F001C">
                    <w:rPr>
                      <w:rFonts w:eastAsia="Times New Roman"/>
                      <w:noProof/>
                      <w:sz w:val="22"/>
                      <w:lang w:val="en-IE" w:eastAsia="en-IE"/>
                    </w:rPr>
                    <w:t> </w:t>
                  </w:r>
                </w:p>
              </w:tc>
              <w:tc>
                <w:tcPr>
                  <w:tcW w:w="4332" w:type="dxa"/>
                  <w:tcBorders>
                    <w:top w:val="single" w:sz="6" w:space="0" w:color="auto"/>
                    <w:left w:val="single" w:sz="6" w:space="0" w:color="auto"/>
                    <w:bottom w:val="single" w:sz="6" w:space="0" w:color="auto"/>
                    <w:right w:val="single" w:sz="6" w:space="0" w:color="auto"/>
                  </w:tcBorders>
                  <w:hideMark/>
                </w:tcPr>
                <w:p w14:paraId="23B85996" w14:textId="0956DA81" w:rsidR="007858F9" w:rsidRDefault="007A5304" w:rsidP="3795BF97">
                  <w:pPr>
                    <w:spacing w:before="0" w:after="0"/>
                    <w:textAlignment w:val="baseline"/>
                    <w:rPr>
                      <w:rFonts w:eastAsia="Times New Roman"/>
                      <w:noProof/>
                      <w:color w:val="000000" w:themeColor="text1"/>
                      <w:sz w:val="22"/>
                      <w:lang w:eastAsia="en-IE"/>
                    </w:rPr>
                  </w:pPr>
                  <w:r w:rsidRPr="3795BF97">
                    <w:rPr>
                      <w:rFonts w:eastAsia="Times New Roman"/>
                      <w:noProof/>
                      <w:color w:val="000000" w:themeColor="text1"/>
                      <w:sz w:val="22"/>
                      <w:lang w:eastAsia="en-IE"/>
                    </w:rPr>
                    <w:t>3.</w:t>
                  </w:r>
                  <w:r>
                    <w:rPr>
                      <w:noProof/>
                    </w:rPr>
                    <w:tab/>
                  </w:r>
                  <w:r w:rsidRPr="3795BF97">
                    <w:rPr>
                      <w:rFonts w:eastAsia="Times New Roman"/>
                      <w:noProof/>
                      <w:color w:val="000000" w:themeColor="text1"/>
                      <w:sz w:val="22"/>
                      <w:lang w:eastAsia="en-IE"/>
                    </w:rPr>
                    <w:t xml:space="preserve">Where technical specifications are referenced in a European cybersecurity certification scheme as referred to in Article 74(10), they shall be made available on the website referred to in Article 79. </w:t>
                  </w:r>
                </w:p>
                <w:p w14:paraId="195364CF" w14:textId="42ED67DD" w:rsidR="007A5304" w:rsidRPr="00174C37" w:rsidRDefault="007858F9">
                  <w:pPr>
                    <w:spacing w:before="0" w:after="0"/>
                    <w:textAlignment w:val="baseline"/>
                    <w:rPr>
                      <w:rFonts w:eastAsia="Times New Roman"/>
                      <w:noProof/>
                      <w:color w:val="000000"/>
                      <w:sz w:val="22"/>
                      <w:lang w:eastAsia="en-IE"/>
                    </w:rPr>
                  </w:pPr>
                  <w:r w:rsidRPr="3795BF97">
                    <w:rPr>
                      <w:rFonts w:eastAsia="Times New Roman"/>
                      <w:noProof/>
                      <w:color w:val="000000" w:themeColor="text1"/>
                      <w:sz w:val="22"/>
                      <w:lang w:eastAsia="en-IE"/>
                    </w:rPr>
                    <w:t xml:space="preserve">4. </w:t>
                  </w:r>
                  <w:r w:rsidR="007A5304" w:rsidRPr="3795BF97">
                    <w:rPr>
                      <w:rFonts w:eastAsia="Times New Roman"/>
                      <w:noProof/>
                      <w:color w:val="000000" w:themeColor="text1"/>
                      <w:sz w:val="22"/>
                      <w:lang w:eastAsia="en-IE"/>
                    </w:rPr>
                    <w:t>In duly justified cases, in particular where the technical specifications contain information could compromise the security of certified ICT products, ICT services, ICT processes, managed security services or cyber posture of entities, they shall be distributed only to those stakeholders concerned by the requirements of the scheme.</w:t>
                  </w:r>
                  <w:r w:rsidRPr="3795BF97">
                    <w:rPr>
                      <w:rFonts w:eastAsia="Times New Roman"/>
                      <w:noProof/>
                      <w:color w:val="000000" w:themeColor="text1"/>
                      <w:sz w:val="22"/>
                      <w:lang w:eastAsia="en-IE"/>
                    </w:rPr>
                    <w:t xml:space="preserve"> Such scheme shall not be reference</w:t>
                  </w:r>
                  <w:r w:rsidR="00950C72">
                    <w:rPr>
                      <w:rFonts w:eastAsia="Times New Roman"/>
                      <w:noProof/>
                      <w:color w:val="000000" w:themeColor="text1"/>
                      <w:sz w:val="22"/>
                      <w:lang w:eastAsia="en-IE"/>
                    </w:rPr>
                    <w:t>d</w:t>
                  </w:r>
                  <w:r w:rsidRPr="3795BF97">
                    <w:rPr>
                      <w:rFonts w:eastAsia="Times New Roman"/>
                      <w:noProof/>
                      <w:color w:val="000000" w:themeColor="text1"/>
                      <w:sz w:val="22"/>
                      <w:lang w:eastAsia="en-IE"/>
                    </w:rPr>
                    <w:t xml:space="preserve"> in a European cybersecurity certification scheme as referred to in Article 74(10).</w:t>
                  </w:r>
                </w:p>
              </w:tc>
              <w:tc>
                <w:tcPr>
                  <w:tcW w:w="3015" w:type="dxa"/>
                  <w:tcBorders>
                    <w:top w:val="single" w:sz="6" w:space="0" w:color="auto"/>
                    <w:left w:val="single" w:sz="6" w:space="0" w:color="auto"/>
                    <w:bottom w:val="single" w:sz="6" w:space="0" w:color="auto"/>
                    <w:right w:val="single" w:sz="6" w:space="0" w:color="auto"/>
                  </w:tcBorders>
                  <w:hideMark/>
                </w:tcPr>
                <w:p w14:paraId="2F4F0A5B" w14:textId="77777777" w:rsidR="007A5304" w:rsidRDefault="007A5304">
                  <w:pPr>
                    <w:spacing w:before="0" w:after="0"/>
                    <w:jc w:val="left"/>
                    <w:textAlignment w:val="baseline"/>
                    <w:rPr>
                      <w:rFonts w:eastAsia="Times New Roman"/>
                      <w:noProof/>
                      <w:sz w:val="22"/>
                      <w:lang w:eastAsia="en-IE"/>
                    </w:rPr>
                  </w:pPr>
                  <w:r w:rsidRPr="006F001C">
                    <w:rPr>
                      <w:rFonts w:eastAsia="Times New Roman"/>
                      <w:noProof/>
                      <w:sz w:val="22"/>
                      <w:lang w:eastAsia="en-IE"/>
                    </w:rPr>
                    <w:t>ENISA</w:t>
                  </w:r>
                </w:p>
                <w:p w14:paraId="064CFE88"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Member States</w:t>
                  </w:r>
                  <w:r w:rsidRPr="006F001C">
                    <w:rPr>
                      <w:rFonts w:eastAsia="Times New Roman"/>
                      <w:noProof/>
                      <w:sz w:val="22"/>
                      <w:lang w:val="en-IE" w:eastAsia="en-IE"/>
                    </w:rPr>
                    <w:t> </w:t>
                  </w:r>
                </w:p>
                <w:p w14:paraId="52CD6718"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Conformity assessment bodies</w:t>
                  </w:r>
                  <w:r w:rsidRPr="006F001C">
                    <w:rPr>
                      <w:rFonts w:eastAsia="Times New Roman"/>
                      <w:noProof/>
                      <w:sz w:val="22"/>
                      <w:lang w:val="en-IE" w:eastAsia="en-IE"/>
                    </w:rPr>
                    <w:t>  </w:t>
                  </w:r>
                </w:p>
                <w:p w14:paraId="2CF8ECB2"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val="en-IE" w:eastAsia="en-IE"/>
                    </w:rPr>
                    <w:t> </w:t>
                  </w:r>
                </w:p>
              </w:tc>
              <w:tc>
                <w:tcPr>
                  <w:tcW w:w="3040" w:type="dxa"/>
                  <w:tcBorders>
                    <w:top w:val="single" w:sz="6" w:space="0" w:color="auto"/>
                    <w:left w:val="single" w:sz="6" w:space="0" w:color="auto"/>
                    <w:bottom w:val="single" w:sz="6" w:space="0" w:color="auto"/>
                    <w:right w:val="single" w:sz="6" w:space="0" w:color="auto"/>
                  </w:tcBorders>
                  <w:hideMark/>
                </w:tcPr>
                <w:p w14:paraId="649D2E7F"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Making information available at ENISA certification website</w:t>
                  </w:r>
                  <w:r w:rsidRPr="006F001C">
                    <w:rPr>
                      <w:rFonts w:eastAsia="Times New Roman"/>
                      <w:noProof/>
                      <w:sz w:val="22"/>
                      <w:lang w:val="en-IE" w:eastAsia="en-IE"/>
                    </w:rPr>
                    <w:t> </w:t>
                  </w:r>
                </w:p>
              </w:tc>
              <w:tc>
                <w:tcPr>
                  <w:tcW w:w="1281" w:type="dxa"/>
                  <w:tcBorders>
                    <w:top w:val="single" w:sz="6" w:space="0" w:color="auto"/>
                    <w:left w:val="single" w:sz="6" w:space="0" w:color="auto"/>
                    <w:bottom w:val="single" w:sz="6" w:space="0" w:color="auto"/>
                    <w:right w:val="single" w:sz="6" w:space="0" w:color="auto"/>
                  </w:tcBorders>
                  <w:hideMark/>
                </w:tcPr>
                <w:p w14:paraId="7D0DA310"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flow</w:t>
                  </w:r>
                  <w:r w:rsidRPr="006F001C">
                    <w:rPr>
                      <w:rFonts w:eastAsia="Times New Roman"/>
                      <w:noProof/>
                      <w:sz w:val="22"/>
                      <w:lang w:val="en-IE" w:eastAsia="en-IE"/>
                    </w:rPr>
                    <w:t> </w:t>
                  </w:r>
                </w:p>
                <w:p w14:paraId="0F35905B"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Digital Public Service</w:t>
                  </w:r>
                  <w:r w:rsidRPr="006F001C">
                    <w:rPr>
                      <w:rFonts w:eastAsia="Times New Roman"/>
                      <w:noProof/>
                      <w:sz w:val="22"/>
                      <w:lang w:val="en-IE" w:eastAsia="en-IE"/>
                    </w:rPr>
                    <w:t> </w:t>
                  </w:r>
                </w:p>
                <w:p w14:paraId="14EFAA22"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val="en-IE" w:eastAsia="en-IE"/>
                    </w:rPr>
                    <w:t> </w:t>
                  </w:r>
                </w:p>
              </w:tc>
            </w:tr>
            <w:tr w:rsidR="007A5304" w:rsidRPr="006F001C" w14:paraId="5CBEE028" w14:textId="77777777">
              <w:trPr>
                <w:trHeight w:val="285"/>
              </w:trPr>
              <w:tc>
                <w:tcPr>
                  <w:tcW w:w="2887" w:type="dxa"/>
                  <w:tcBorders>
                    <w:top w:val="single" w:sz="6" w:space="0" w:color="auto"/>
                    <w:left w:val="single" w:sz="6" w:space="0" w:color="auto"/>
                    <w:bottom w:val="single" w:sz="6" w:space="0" w:color="auto"/>
                    <w:right w:val="single" w:sz="6" w:space="0" w:color="auto"/>
                  </w:tcBorders>
                  <w:hideMark/>
                </w:tcPr>
                <w:p w14:paraId="4E5C4E31"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Article 79 </w:t>
                  </w:r>
                  <w:r w:rsidRPr="006F001C">
                    <w:rPr>
                      <w:rFonts w:eastAsia="Times New Roman"/>
                      <w:noProof/>
                      <w:sz w:val="22"/>
                      <w:lang w:val="en-IE" w:eastAsia="en-IE"/>
                    </w:rPr>
                    <w:t> </w:t>
                  </w:r>
                </w:p>
                <w:p w14:paraId="46308E02"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Website on European cybersecurity certification schemes</w:t>
                  </w:r>
                  <w:r w:rsidRPr="006F001C">
                    <w:rPr>
                      <w:rFonts w:eastAsia="Times New Roman"/>
                      <w:noProof/>
                      <w:sz w:val="22"/>
                      <w:lang w:val="en-IE" w:eastAsia="en-IE"/>
                    </w:rPr>
                    <w:t> </w:t>
                  </w:r>
                </w:p>
              </w:tc>
              <w:tc>
                <w:tcPr>
                  <w:tcW w:w="4332" w:type="dxa"/>
                  <w:tcBorders>
                    <w:top w:val="single" w:sz="6" w:space="0" w:color="auto"/>
                    <w:left w:val="single" w:sz="6" w:space="0" w:color="auto"/>
                    <w:bottom w:val="single" w:sz="6" w:space="0" w:color="auto"/>
                    <w:right w:val="single" w:sz="6" w:space="0" w:color="auto"/>
                  </w:tcBorders>
                  <w:hideMark/>
                </w:tcPr>
                <w:p w14:paraId="4FC4C542" w14:textId="77777777" w:rsidR="007A5304" w:rsidRDefault="007A5304">
                  <w:pPr>
                    <w:spacing w:before="0" w:after="0"/>
                    <w:textAlignment w:val="baseline"/>
                    <w:rPr>
                      <w:rFonts w:eastAsia="Times New Roman"/>
                      <w:noProof/>
                      <w:sz w:val="22"/>
                      <w:lang w:eastAsia="en-IE"/>
                    </w:rPr>
                  </w:pPr>
                  <w:r>
                    <w:rPr>
                      <w:rFonts w:eastAsia="Times New Roman"/>
                      <w:noProof/>
                      <w:sz w:val="22"/>
                      <w:lang w:eastAsia="en-IE"/>
                    </w:rPr>
                    <w:t>1. ENISA shall organise activities to promote the uptake of adopted European cybersecurity certification schemes, including by maintaining the website referred to in paragraph 2 of this Article.</w:t>
                  </w:r>
                </w:p>
                <w:p w14:paraId="4AD04958" w14:textId="77777777" w:rsidR="007A5304" w:rsidRPr="00982804" w:rsidRDefault="007A5304">
                  <w:pPr>
                    <w:spacing w:before="0" w:after="0"/>
                    <w:textAlignment w:val="baseline"/>
                    <w:rPr>
                      <w:rFonts w:eastAsia="Times New Roman"/>
                      <w:noProof/>
                      <w:sz w:val="22"/>
                      <w:lang w:eastAsia="en-IE"/>
                    </w:rPr>
                  </w:pPr>
                  <w:r>
                    <w:rPr>
                      <w:rFonts w:eastAsia="Times New Roman"/>
                      <w:noProof/>
                      <w:sz w:val="22"/>
                      <w:lang w:eastAsia="en-IE"/>
                    </w:rPr>
                    <w:t>2</w:t>
                  </w:r>
                  <w:r w:rsidRPr="00982804">
                    <w:rPr>
                      <w:rFonts w:eastAsia="Times New Roman"/>
                      <w:noProof/>
                      <w:sz w:val="22"/>
                      <w:lang w:eastAsia="en-IE"/>
                    </w:rPr>
                    <w:t>.</w:t>
                  </w:r>
                  <w:r>
                    <w:rPr>
                      <w:rFonts w:eastAsia="Times New Roman"/>
                      <w:noProof/>
                      <w:sz w:val="22"/>
                      <w:lang w:eastAsia="en-IE"/>
                    </w:rPr>
                    <w:t xml:space="preserve"> </w:t>
                  </w:r>
                  <w:r w:rsidRPr="00982804">
                    <w:rPr>
                      <w:rFonts w:eastAsia="Times New Roman"/>
                      <w:noProof/>
                      <w:sz w:val="22"/>
                      <w:lang w:eastAsia="en-IE"/>
                    </w:rPr>
                    <w:t>ENISA shall maintain and regularly update a dedicated website providing public information on the following:</w:t>
                  </w:r>
                </w:p>
                <w:p w14:paraId="339AA30A" w14:textId="77777777" w:rsidR="007A5304" w:rsidRDefault="007A5304">
                  <w:pPr>
                    <w:spacing w:before="0" w:after="0"/>
                    <w:textAlignment w:val="baseline"/>
                    <w:rPr>
                      <w:rFonts w:eastAsia="Times New Roman"/>
                      <w:noProof/>
                      <w:sz w:val="22"/>
                      <w:lang w:eastAsia="en-IE"/>
                    </w:rPr>
                  </w:pPr>
                  <w:r w:rsidRPr="00982804">
                    <w:rPr>
                      <w:rFonts w:eastAsia="Times New Roman"/>
                      <w:noProof/>
                      <w:sz w:val="22"/>
                      <w:lang w:eastAsia="en-IE"/>
                    </w:rPr>
                    <w:t>(a)</w:t>
                  </w:r>
                  <w:r w:rsidRPr="00982804">
                    <w:rPr>
                      <w:rFonts w:eastAsia="Times New Roman"/>
                      <w:noProof/>
                      <w:sz w:val="22"/>
                      <w:lang w:eastAsia="en-IE"/>
                    </w:rPr>
                    <w:tab/>
                    <w:t>European cybersecurity certification schemes;</w:t>
                  </w:r>
                </w:p>
                <w:p w14:paraId="26BEB71C" w14:textId="514FBEB5" w:rsidR="00035549" w:rsidRPr="00982804" w:rsidRDefault="007A5304" w:rsidP="00035549">
                  <w:pPr>
                    <w:spacing w:before="0" w:after="0"/>
                    <w:textAlignment w:val="baseline"/>
                    <w:rPr>
                      <w:rFonts w:eastAsia="Times New Roman"/>
                      <w:noProof/>
                      <w:sz w:val="22"/>
                      <w:lang w:eastAsia="en-IE"/>
                    </w:rPr>
                  </w:pPr>
                  <w:r w:rsidRPr="00982804">
                    <w:rPr>
                      <w:rFonts w:eastAsia="Times New Roman"/>
                      <w:noProof/>
                      <w:sz w:val="22"/>
                      <w:lang w:eastAsia="en-IE"/>
                    </w:rPr>
                    <w:t>(b)</w:t>
                  </w:r>
                  <w:r w:rsidRPr="00982804">
                    <w:rPr>
                      <w:rFonts w:eastAsia="Times New Roman"/>
                      <w:noProof/>
                      <w:sz w:val="22"/>
                      <w:lang w:eastAsia="en-IE"/>
                    </w:rPr>
                    <w:tab/>
                  </w:r>
                  <w:r w:rsidR="00035549" w:rsidRPr="00890C37">
                    <w:rPr>
                      <w:rFonts w:eastAsia="Times New Roman"/>
                      <w:noProof/>
                      <w:sz w:val="22"/>
                      <w:lang w:eastAsia="en-IE"/>
                    </w:rPr>
                    <w:t xml:space="preserve">the fees associated with the maintenance of each European cybersecurity certification scheme; </w:t>
                  </w:r>
                </w:p>
                <w:p w14:paraId="4E6D89F4" w14:textId="035E7C3F" w:rsidR="007A5304" w:rsidRPr="00982804" w:rsidRDefault="00035549">
                  <w:pPr>
                    <w:spacing w:before="0" w:after="0"/>
                    <w:textAlignment w:val="baseline"/>
                    <w:rPr>
                      <w:rFonts w:eastAsia="Times New Roman"/>
                      <w:noProof/>
                      <w:sz w:val="22"/>
                      <w:lang w:eastAsia="en-IE"/>
                    </w:rPr>
                  </w:pPr>
                  <w:r>
                    <w:rPr>
                      <w:rFonts w:eastAsia="Times New Roman"/>
                      <w:noProof/>
                      <w:sz w:val="22"/>
                      <w:lang w:eastAsia="en-IE"/>
                    </w:rPr>
                    <w:t xml:space="preserve">(c) </w:t>
                  </w:r>
                  <w:r w:rsidR="007A5304" w:rsidRPr="00982804">
                    <w:rPr>
                      <w:rFonts w:eastAsia="Times New Roman"/>
                      <w:noProof/>
                      <w:sz w:val="22"/>
                      <w:lang w:eastAsia="en-IE"/>
                    </w:rPr>
                    <w:t>relevant ENISA technical specifications;</w:t>
                  </w:r>
                </w:p>
                <w:p w14:paraId="5B522EE1" w14:textId="6002C194" w:rsidR="007A5304" w:rsidRPr="00982804" w:rsidRDefault="007A5304">
                  <w:pPr>
                    <w:spacing w:before="0" w:after="0"/>
                    <w:textAlignment w:val="baseline"/>
                    <w:rPr>
                      <w:rFonts w:eastAsia="Times New Roman"/>
                      <w:noProof/>
                      <w:sz w:val="22"/>
                      <w:lang w:eastAsia="en-IE"/>
                    </w:rPr>
                  </w:pPr>
                  <w:r w:rsidRPr="00982804">
                    <w:rPr>
                      <w:rFonts w:eastAsia="Times New Roman"/>
                      <w:noProof/>
                      <w:sz w:val="22"/>
                      <w:lang w:eastAsia="en-IE"/>
                    </w:rPr>
                    <w:t>(</w:t>
                  </w:r>
                  <w:r w:rsidR="00035549">
                    <w:rPr>
                      <w:rFonts w:eastAsia="Times New Roman"/>
                      <w:noProof/>
                      <w:sz w:val="22"/>
                      <w:lang w:eastAsia="en-IE"/>
                    </w:rPr>
                    <w:t>d</w:t>
                  </w:r>
                  <w:r w:rsidRPr="00982804">
                    <w:rPr>
                      <w:rFonts w:eastAsia="Times New Roman"/>
                      <w:noProof/>
                      <w:sz w:val="22"/>
                      <w:lang w:eastAsia="en-IE"/>
                    </w:rPr>
                    <w:t>)</w:t>
                  </w:r>
                  <w:r w:rsidRPr="00982804">
                    <w:rPr>
                      <w:rFonts w:eastAsia="Times New Roman"/>
                      <w:noProof/>
                      <w:sz w:val="22"/>
                      <w:lang w:eastAsia="en-IE"/>
                    </w:rPr>
                    <w:tab/>
                    <w:t>European cybersecurity certificates and EU statements of conformity, including information with regard to such certificates and statements which are no longer valid, or which  are suspended, withdrawn or expired;</w:t>
                  </w:r>
                </w:p>
                <w:p w14:paraId="7ADD5463" w14:textId="6712B5D5" w:rsidR="007A5304" w:rsidRPr="00982804" w:rsidRDefault="007A5304">
                  <w:pPr>
                    <w:spacing w:before="0" w:after="0"/>
                    <w:textAlignment w:val="baseline"/>
                    <w:rPr>
                      <w:rFonts w:eastAsia="Times New Roman"/>
                      <w:noProof/>
                      <w:sz w:val="22"/>
                      <w:lang w:eastAsia="en-IE"/>
                    </w:rPr>
                  </w:pPr>
                  <w:r w:rsidRPr="00982804">
                    <w:rPr>
                      <w:rFonts w:eastAsia="Times New Roman"/>
                      <w:noProof/>
                      <w:sz w:val="22"/>
                      <w:lang w:eastAsia="en-IE"/>
                    </w:rPr>
                    <w:t>(</w:t>
                  </w:r>
                  <w:r w:rsidR="00035549">
                    <w:rPr>
                      <w:rFonts w:eastAsia="Times New Roman"/>
                      <w:noProof/>
                      <w:sz w:val="22"/>
                      <w:lang w:eastAsia="en-IE"/>
                    </w:rPr>
                    <w:t>e</w:t>
                  </w:r>
                  <w:r w:rsidRPr="00982804">
                    <w:rPr>
                      <w:rFonts w:eastAsia="Times New Roman"/>
                      <w:noProof/>
                      <w:sz w:val="22"/>
                      <w:lang w:eastAsia="en-IE"/>
                    </w:rPr>
                    <w:t>)</w:t>
                  </w:r>
                  <w:r>
                    <w:rPr>
                      <w:noProof/>
                    </w:rPr>
                    <w:tab/>
                  </w:r>
                  <w:r w:rsidRPr="00982804">
                    <w:rPr>
                      <w:rFonts w:eastAsia="Times New Roman"/>
                      <w:noProof/>
                      <w:sz w:val="22"/>
                      <w:lang w:eastAsia="en-IE"/>
                    </w:rPr>
                    <w:t>relevant supplementary cybersecurity information provided in accordance with Article 84(2)</w:t>
                  </w:r>
                  <w:r>
                    <w:rPr>
                      <w:rFonts w:eastAsia="Times New Roman"/>
                      <w:noProof/>
                      <w:sz w:val="22"/>
                      <w:lang w:eastAsia="en-IE"/>
                    </w:rPr>
                    <w:t>;</w:t>
                  </w:r>
                </w:p>
                <w:p w14:paraId="17FB5453" w14:textId="3D1CBD6E" w:rsidR="007A5304" w:rsidRPr="00495570" w:rsidRDefault="007A5304">
                  <w:pPr>
                    <w:spacing w:before="0" w:after="0"/>
                    <w:textAlignment w:val="baseline"/>
                    <w:rPr>
                      <w:rFonts w:eastAsia="Times New Roman"/>
                      <w:noProof/>
                      <w:sz w:val="22"/>
                      <w:lang w:eastAsia="en-IE"/>
                    </w:rPr>
                  </w:pPr>
                  <w:r w:rsidRPr="00495570">
                    <w:rPr>
                      <w:rFonts w:eastAsia="Times New Roman"/>
                      <w:noProof/>
                      <w:sz w:val="22"/>
                      <w:lang w:eastAsia="en-IE"/>
                    </w:rPr>
                    <w:t>(</w:t>
                  </w:r>
                  <w:r w:rsidR="00035549">
                    <w:rPr>
                      <w:rFonts w:eastAsia="Times New Roman"/>
                      <w:noProof/>
                      <w:sz w:val="22"/>
                      <w:lang w:eastAsia="en-IE"/>
                    </w:rPr>
                    <w:t>f</w:t>
                  </w:r>
                  <w:r w:rsidRPr="00495570">
                    <w:rPr>
                      <w:rFonts w:eastAsia="Times New Roman"/>
                      <w:noProof/>
                      <w:sz w:val="22"/>
                      <w:lang w:eastAsia="en-IE"/>
                    </w:rPr>
                    <w:t>)</w:t>
                  </w:r>
                  <w:r>
                    <w:rPr>
                      <w:noProof/>
                    </w:rPr>
                    <w:tab/>
                  </w:r>
                  <w:r w:rsidRPr="00495570">
                    <w:rPr>
                      <w:rFonts w:eastAsia="Times New Roman"/>
                      <w:noProof/>
                      <w:sz w:val="22"/>
                      <w:lang w:eastAsia="en-IE"/>
                    </w:rPr>
                    <w:t>summaries of peer reviews pursuant to Article 89</w:t>
                  </w:r>
                  <w:r w:rsidR="008B4D12">
                    <w:rPr>
                      <w:rFonts w:eastAsia="Times New Roman"/>
                      <w:noProof/>
                      <w:sz w:val="22"/>
                      <w:lang w:eastAsia="en-IE"/>
                    </w:rPr>
                    <w:t>(</w:t>
                  </w:r>
                  <w:r w:rsidRPr="00495570">
                    <w:rPr>
                      <w:rFonts w:eastAsia="Times New Roman"/>
                      <w:noProof/>
                      <w:sz w:val="22"/>
                      <w:lang w:eastAsia="en-IE"/>
                    </w:rPr>
                    <w:t>7</w:t>
                  </w:r>
                  <w:r w:rsidR="008B4D12">
                    <w:rPr>
                      <w:rFonts w:eastAsia="Times New Roman"/>
                      <w:noProof/>
                      <w:sz w:val="22"/>
                      <w:lang w:eastAsia="en-IE"/>
                    </w:rPr>
                    <w:t>)</w:t>
                  </w:r>
                  <w:r w:rsidRPr="00495570">
                    <w:rPr>
                      <w:rFonts w:eastAsia="Times New Roman"/>
                      <w:noProof/>
                      <w:sz w:val="22"/>
                      <w:lang w:eastAsia="en-IE"/>
                    </w:rPr>
                    <w:t xml:space="preserve">; </w:t>
                  </w:r>
                </w:p>
                <w:p w14:paraId="1FDEBF75" w14:textId="31CEDA12" w:rsidR="007A5304" w:rsidRPr="00982804" w:rsidRDefault="007A5304">
                  <w:pPr>
                    <w:spacing w:before="0" w:after="0"/>
                    <w:textAlignment w:val="baseline"/>
                    <w:rPr>
                      <w:rFonts w:eastAsia="Times New Roman"/>
                      <w:noProof/>
                      <w:sz w:val="22"/>
                      <w:lang w:eastAsia="en-IE"/>
                    </w:rPr>
                  </w:pPr>
                  <w:r w:rsidRPr="00495570">
                    <w:rPr>
                      <w:rFonts w:eastAsia="Times New Roman"/>
                      <w:noProof/>
                      <w:sz w:val="22"/>
                      <w:lang w:eastAsia="en-IE"/>
                    </w:rPr>
                    <w:t>(</w:t>
                  </w:r>
                  <w:r w:rsidR="00035549">
                    <w:rPr>
                      <w:rFonts w:eastAsia="Times New Roman"/>
                      <w:noProof/>
                      <w:sz w:val="22"/>
                      <w:lang w:eastAsia="en-IE"/>
                    </w:rPr>
                    <w:t>g</w:t>
                  </w:r>
                  <w:r w:rsidRPr="00495570">
                    <w:rPr>
                      <w:rFonts w:eastAsia="Times New Roman"/>
                      <w:noProof/>
                      <w:sz w:val="22"/>
                      <w:lang w:eastAsia="en-IE"/>
                    </w:rPr>
                    <w:t>)</w:t>
                  </w:r>
                  <w:r w:rsidRPr="00495570">
                    <w:rPr>
                      <w:rFonts w:eastAsia="Times New Roman"/>
                      <w:noProof/>
                      <w:sz w:val="22"/>
                      <w:lang w:eastAsia="en-IE"/>
                    </w:rPr>
                    <w:tab/>
                    <w:t>technical specifications referenced in a European cybersecurity certification scheme pursuant to Article 74(10).</w:t>
                  </w:r>
                </w:p>
                <w:p w14:paraId="6EFE9083" w14:textId="2CB4ED4E" w:rsidR="007A5304" w:rsidRPr="006F001C" w:rsidRDefault="007A5304" w:rsidP="008B4D12">
                  <w:pPr>
                    <w:spacing w:before="0" w:after="0"/>
                    <w:textAlignment w:val="baseline"/>
                    <w:rPr>
                      <w:rFonts w:ascii="Segoe UI" w:eastAsia="Times New Roman" w:hAnsi="Segoe UI" w:cs="Segoe UI"/>
                      <w:noProof/>
                      <w:sz w:val="18"/>
                      <w:szCs w:val="18"/>
                      <w:lang w:val="en-IE" w:eastAsia="en-IE"/>
                    </w:rPr>
                  </w:pPr>
                  <w:r>
                    <w:rPr>
                      <w:rFonts w:eastAsia="Times New Roman"/>
                      <w:noProof/>
                      <w:sz w:val="18"/>
                      <w:szCs w:val="18"/>
                      <w:lang w:eastAsia="en-IE"/>
                    </w:rPr>
                    <w:t xml:space="preserve">3. </w:t>
                  </w:r>
                  <w:r w:rsidRPr="006F001C">
                    <w:rPr>
                      <w:rFonts w:eastAsia="Times New Roman"/>
                      <w:noProof/>
                      <w:sz w:val="22"/>
                      <w:lang w:eastAsia="en-IE"/>
                    </w:rPr>
                    <w:t>Where applicable, the </w:t>
                  </w:r>
                  <w:r w:rsidRPr="006F001C">
                    <w:rPr>
                      <w:rFonts w:eastAsia="Times New Roman"/>
                      <w:b/>
                      <w:bCs/>
                      <w:noProof/>
                      <w:sz w:val="22"/>
                      <w:lang w:eastAsia="en-IE"/>
                    </w:rPr>
                    <w:t>website</w:t>
                  </w:r>
                  <w:r>
                    <w:rPr>
                      <w:rFonts w:eastAsia="Times New Roman"/>
                      <w:b/>
                      <w:bCs/>
                      <w:noProof/>
                      <w:sz w:val="22"/>
                      <w:lang w:eastAsia="en-IE"/>
                    </w:rPr>
                    <w:t xml:space="preserve"> referred to in paragraph 2</w:t>
                  </w:r>
                  <w:r w:rsidRPr="006F001C">
                    <w:rPr>
                      <w:rFonts w:eastAsia="Times New Roman"/>
                      <w:b/>
                      <w:bCs/>
                      <w:noProof/>
                      <w:sz w:val="22"/>
                      <w:lang w:eastAsia="en-IE"/>
                    </w:rPr>
                    <w:t xml:space="preserve"> shall also indicate</w:t>
                  </w:r>
                  <w:r w:rsidRPr="006F001C">
                    <w:rPr>
                      <w:rFonts w:eastAsia="Times New Roman"/>
                      <w:noProof/>
                      <w:sz w:val="22"/>
                      <w:lang w:eastAsia="en-IE"/>
                    </w:rPr>
                    <w:t> the national cybersecurity certification schemes that have been replaced by a European cybersecurity certification scheme. </w:t>
                  </w:r>
                  <w:r w:rsidRPr="006F001C">
                    <w:rPr>
                      <w:rFonts w:eastAsia="Times New Roman"/>
                      <w:noProof/>
                      <w:sz w:val="22"/>
                      <w:lang w:val="en-IE" w:eastAsia="en-IE"/>
                    </w:rPr>
                    <w:t> </w:t>
                  </w:r>
                </w:p>
              </w:tc>
              <w:tc>
                <w:tcPr>
                  <w:tcW w:w="3015" w:type="dxa"/>
                  <w:tcBorders>
                    <w:top w:val="single" w:sz="6" w:space="0" w:color="auto"/>
                    <w:left w:val="single" w:sz="6" w:space="0" w:color="auto"/>
                    <w:bottom w:val="single" w:sz="6" w:space="0" w:color="auto"/>
                    <w:right w:val="single" w:sz="6" w:space="0" w:color="auto"/>
                  </w:tcBorders>
                  <w:hideMark/>
                </w:tcPr>
                <w:p w14:paraId="36FAEA3A"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ENISA</w:t>
                  </w:r>
                  <w:r w:rsidRPr="006F001C">
                    <w:rPr>
                      <w:rFonts w:eastAsia="Times New Roman"/>
                      <w:noProof/>
                      <w:sz w:val="22"/>
                      <w:lang w:val="en-IE" w:eastAsia="en-IE"/>
                    </w:rPr>
                    <w:t> </w:t>
                  </w:r>
                </w:p>
                <w:p w14:paraId="52F877A1"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Member States</w:t>
                  </w:r>
                  <w:r w:rsidRPr="006F001C">
                    <w:rPr>
                      <w:rFonts w:eastAsia="Times New Roman"/>
                      <w:noProof/>
                      <w:sz w:val="22"/>
                      <w:lang w:val="en-IE" w:eastAsia="en-IE"/>
                    </w:rPr>
                    <w:t> </w:t>
                  </w:r>
                </w:p>
                <w:p w14:paraId="21123D0C"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Conformity assessment bodies</w:t>
                  </w:r>
                  <w:r w:rsidRPr="006F001C">
                    <w:rPr>
                      <w:rFonts w:eastAsia="Times New Roman"/>
                      <w:noProof/>
                      <w:sz w:val="22"/>
                      <w:lang w:val="en-IE" w:eastAsia="en-IE"/>
                    </w:rPr>
                    <w:t> </w:t>
                  </w:r>
                </w:p>
              </w:tc>
              <w:tc>
                <w:tcPr>
                  <w:tcW w:w="3040" w:type="dxa"/>
                  <w:tcBorders>
                    <w:top w:val="single" w:sz="6" w:space="0" w:color="auto"/>
                    <w:left w:val="single" w:sz="6" w:space="0" w:color="auto"/>
                    <w:bottom w:val="single" w:sz="6" w:space="0" w:color="auto"/>
                    <w:right w:val="single" w:sz="6" w:space="0" w:color="auto"/>
                  </w:tcBorders>
                  <w:hideMark/>
                </w:tcPr>
                <w:p w14:paraId="53BCBBDE"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Maintaining Information Website mandates ENISA to collect, process, and maintain comprehensive databases of certification information, requiring ongoing data management activities.</w:t>
                  </w:r>
                  <w:r w:rsidRPr="006F001C">
                    <w:rPr>
                      <w:rFonts w:eastAsia="Times New Roman"/>
                      <w:noProof/>
                      <w:sz w:val="22"/>
                      <w:lang w:val="en-IE" w:eastAsia="en-IE"/>
                    </w:rPr>
                    <w:t> </w:t>
                  </w:r>
                </w:p>
              </w:tc>
              <w:tc>
                <w:tcPr>
                  <w:tcW w:w="1281" w:type="dxa"/>
                  <w:tcBorders>
                    <w:top w:val="single" w:sz="6" w:space="0" w:color="auto"/>
                    <w:left w:val="single" w:sz="6" w:space="0" w:color="auto"/>
                    <w:bottom w:val="single" w:sz="6" w:space="0" w:color="auto"/>
                    <w:right w:val="single" w:sz="6" w:space="0" w:color="auto"/>
                  </w:tcBorders>
                  <w:hideMark/>
                </w:tcPr>
                <w:p w14:paraId="0A800A92"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Digital Public Service</w:t>
                  </w:r>
                  <w:r w:rsidRPr="006F001C">
                    <w:rPr>
                      <w:rFonts w:eastAsia="Times New Roman"/>
                      <w:noProof/>
                      <w:sz w:val="22"/>
                      <w:lang w:val="en-IE" w:eastAsia="en-IE"/>
                    </w:rPr>
                    <w:t> </w:t>
                  </w:r>
                </w:p>
                <w:p w14:paraId="6D222B20"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Digital solution</w:t>
                  </w:r>
                  <w:r w:rsidRPr="006F001C">
                    <w:rPr>
                      <w:rFonts w:eastAsia="Times New Roman"/>
                      <w:noProof/>
                      <w:sz w:val="22"/>
                      <w:lang w:val="en-IE" w:eastAsia="en-IE"/>
                    </w:rPr>
                    <w:t> </w:t>
                  </w:r>
                </w:p>
                <w:p w14:paraId="52DD4B48"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processing</w:t>
                  </w:r>
                  <w:r w:rsidRPr="006F001C">
                    <w:rPr>
                      <w:rFonts w:eastAsia="Times New Roman"/>
                      <w:noProof/>
                      <w:sz w:val="22"/>
                      <w:lang w:val="en-IE" w:eastAsia="en-IE"/>
                    </w:rPr>
                    <w:t> </w:t>
                  </w:r>
                </w:p>
                <w:p w14:paraId="0E9DEF49"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flow</w:t>
                  </w:r>
                  <w:r w:rsidRPr="006F001C">
                    <w:rPr>
                      <w:rFonts w:eastAsia="Times New Roman"/>
                      <w:noProof/>
                      <w:sz w:val="22"/>
                      <w:lang w:val="en-IE" w:eastAsia="en-IE"/>
                    </w:rPr>
                    <w:t> </w:t>
                  </w:r>
                </w:p>
                <w:p w14:paraId="5BF18D19"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val="en-IE" w:eastAsia="en-IE"/>
                    </w:rPr>
                    <w:t> </w:t>
                  </w:r>
                </w:p>
              </w:tc>
            </w:tr>
            <w:tr w:rsidR="007A5304" w:rsidRPr="006F001C" w14:paraId="0E0EC8BF" w14:textId="77777777">
              <w:trPr>
                <w:trHeight w:val="285"/>
              </w:trPr>
              <w:tc>
                <w:tcPr>
                  <w:tcW w:w="2887" w:type="dxa"/>
                  <w:tcBorders>
                    <w:top w:val="single" w:sz="6" w:space="0" w:color="auto"/>
                    <w:left w:val="single" w:sz="6" w:space="0" w:color="auto"/>
                    <w:bottom w:val="single" w:sz="6" w:space="0" w:color="auto"/>
                    <w:right w:val="single" w:sz="6" w:space="0" w:color="auto"/>
                  </w:tcBorders>
                  <w:hideMark/>
                </w:tcPr>
                <w:p w14:paraId="21AA43D6"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Article 81</w:t>
                  </w:r>
                  <w:r w:rsidRPr="006F001C">
                    <w:rPr>
                      <w:rFonts w:eastAsia="Times New Roman"/>
                      <w:noProof/>
                      <w:sz w:val="22"/>
                      <w:lang w:val="en-IE" w:eastAsia="en-IE"/>
                    </w:rPr>
                    <w:t> </w:t>
                  </w:r>
                </w:p>
                <w:p w14:paraId="1BF93266"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Elements of European cybersecurity certification scheme</w:t>
                  </w:r>
                  <w:r w:rsidRPr="006F001C">
                    <w:rPr>
                      <w:rFonts w:eastAsia="Times New Roman"/>
                      <w:noProof/>
                      <w:sz w:val="22"/>
                      <w:lang w:val="en-IE" w:eastAsia="en-IE"/>
                    </w:rPr>
                    <w:t> </w:t>
                  </w:r>
                </w:p>
              </w:tc>
              <w:tc>
                <w:tcPr>
                  <w:tcW w:w="4332" w:type="dxa"/>
                  <w:tcBorders>
                    <w:top w:val="single" w:sz="6" w:space="0" w:color="auto"/>
                    <w:left w:val="single" w:sz="6" w:space="0" w:color="auto"/>
                    <w:bottom w:val="single" w:sz="6" w:space="0" w:color="auto"/>
                    <w:right w:val="single" w:sz="6" w:space="0" w:color="auto"/>
                  </w:tcBorders>
                  <w:hideMark/>
                </w:tcPr>
                <w:p w14:paraId="420F3BBC" w14:textId="77777777" w:rsidR="007A5304" w:rsidRPr="00291CE2" w:rsidRDefault="007A5304">
                  <w:pPr>
                    <w:pStyle w:val="NumPar1"/>
                    <w:numPr>
                      <w:ilvl w:val="0"/>
                      <w:numId w:val="0"/>
                    </w:numPr>
                    <w:rPr>
                      <w:i/>
                      <w:noProof/>
                      <w:sz w:val="22"/>
                      <w:lang w:eastAsia="en-IE"/>
                    </w:rPr>
                  </w:pPr>
                  <w:r w:rsidRPr="001B3745">
                    <w:rPr>
                      <w:rFonts w:eastAsia="Times New Roman"/>
                      <w:noProof/>
                      <w:sz w:val="22"/>
                      <w:lang w:eastAsia="en-IE"/>
                    </w:rPr>
                    <w:t>5. </w:t>
                  </w:r>
                  <w:r w:rsidRPr="00291CE2">
                    <w:rPr>
                      <w:noProof/>
                      <w:sz w:val="22"/>
                      <w:lang w:eastAsia="en-IE"/>
                    </w:rPr>
                    <w:t xml:space="preserve">The Commission is empowered to adopt implementing acts laying down common principles and model provisions for elements set out in paragraphs 1, 2 and 3 across European cybersecurity certification schemes. Where appropriate and available, a European cybersecurity certification scheme may include references to those principles and model provisions. </w:t>
                  </w:r>
                </w:p>
                <w:p w14:paraId="5D737C7A" w14:textId="28B6696B" w:rsidR="007A5304" w:rsidRPr="00291CE2" w:rsidRDefault="007A5304">
                  <w:pPr>
                    <w:pStyle w:val="NumPar1"/>
                    <w:numPr>
                      <w:ilvl w:val="0"/>
                      <w:numId w:val="0"/>
                    </w:numPr>
                    <w:rPr>
                      <w:i/>
                      <w:noProof/>
                      <w:sz w:val="22"/>
                      <w:lang w:eastAsia="en-IE"/>
                    </w:rPr>
                  </w:pPr>
                  <w:r w:rsidRPr="00291CE2">
                    <w:rPr>
                      <w:noProof/>
                      <w:sz w:val="22"/>
                      <w:lang w:eastAsia="en-IE"/>
                    </w:rPr>
                    <w:t xml:space="preserve">The implementing acts referred to in </w:t>
                  </w:r>
                  <w:r w:rsidR="00343BCC">
                    <w:rPr>
                      <w:noProof/>
                      <w:sz w:val="22"/>
                      <w:lang w:eastAsia="en-IE"/>
                    </w:rPr>
                    <w:t>paragraph 5</w:t>
                  </w:r>
                  <w:r w:rsidRPr="00291CE2">
                    <w:rPr>
                      <w:noProof/>
                      <w:sz w:val="22"/>
                      <w:lang w:eastAsia="en-IE"/>
                    </w:rPr>
                    <w:t xml:space="preserve"> shall be adopted in accordance with the examination procedure referred to in Article 1</w:t>
                  </w:r>
                  <w:r w:rsidR="00704681">
                    <w:rPr>
                      <w:noProof/>
                      <w:sz w:val="22"/>
                      <w:lang w:eastAsia="en-IE"/>
                    </w:rPr>
                    <w:t>1</w:t>
                  </w:r>
                  <w:r w:rsidR="006B0AC3">
                    <w:rPr>
                      <w:noProof/>
                      <w:sz w:val="22"/>
                      <w:lang w:eastAsia="en-IE"/>
                    </w:rPr>
                    <w:t>8</w:t>
                  </w:r>
                  <w:r w:rsidRPr="00291CE2">
                    <w:rPr>
                      <w:noProof/>
                      <w:sz w:val="22"/>
                      <w:lang w:eastAsia="en-IE"/>
                    </w:rPr>
                    <w:t xml:space="preserve">(2). </w:t>
                  </w:r>
                  <w:r w:rsidRPr="00291CE2">
                    <w:rPr>
                      <w:b/>
                      <w:bCs/>
                      <w:noProof/>
                      <w:color w:val="000000" w:themeColor="text1"/>
                      <w:sz w:val="22"/>
                      <w:lang w:eastAsia="en-IE"/>
                    </w:rPr>
                    <w:t xml:space="preserve">When developing or </w:t>
                  </w:r>
                  <w:r w:rsidRPr="00291CE2">
                    <w:rPr>
                      <w:b/>
                      <w:bCs/>
                      <w:noProof/>
                      <w:sz w:val="22"/>
                      <w:lang w:eastAsia="en-IE"/>
                    </w:rPr>
                    <w:t>revising the common principles and model provisions for the elements of European cybersecurity certification schemes</w:t>
                  </w:r>
                  <w:r w:rsidRPr="00291CE2">
                    <w:rPr>
                      <w:b/>
                      <w:bCs/>
                      <w:noProof/>
                      <w:color w:val="000000" w:themeColor="text1"/>
                      <w:sz w:val="22"/>
                      <w:lang w:eastAsia="en-IE"/>
                    </w:rPr>
                    <w:t>, the Commission shall</w:t>
                  </w:r>
                  <w:r w:rsidRPr="00291CE2">
                    <w:rPr>
                      <w:b/>
                      <w:bCs/>
                      <w:noProof/>
                      <w:sz w:val="22"/>
                      <w:lang w:eastAsia="en-IE"/>
                    </w:rPr>
                    <w:t xml:space="preserve"> consult ENISA and</w:t>
                  </w:r>
                  <w:r w:rsidRPr="00291CE2">
                    <w:rPr>
                      <w:b/>
                      <w:bCs/>
                      <w:noProof/>
                      <w:color w:val="000000" w:themeColor="text1"/>
                      <w:sz w:val="22"/>
                      <w:lang w:eastAsia="en-IE"/>
                    </w:rPr>
                    <w:t xml:space="preserve"> take into account, as appropriate, views expressed by the ECCG, relevant stakeholders and other relevant bodies.</w:t>
                  </w:r>
                </w:p>
              </w:tc>
              <w:tc>
                <w:tcPr>
                  <w:tcW w:w="3015" w:type="dxa"/>
                  <w:tcBorders>
                    <w:top w:val="single" w:sz="6" w:space="0" w:color="auto"/>
                    <w:left w:val="single" w:sz="6" w:space="0" w:color="auto"/>
                    <w:bottom w:val="single" w:sz="6" w:space="0" w:color="auto"/>
                    <w:right w:val="single" w:sz="6" w:space="0" w:color="auto"/>
                  </w:tcBorders>
                  <w:hideMark/>
                </w:tcPr>
                <w:p w14:paraId="327B44B7"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ENISA</w:t>
                  </w:r>
                  <w:r w:rsidRPr="006F001C">
                    <w:rPr>
                      <w:rFonts w:eastAsia="Times New Roman"/>
                      <w:noProof/>
                      <w:sz w:val="22"/>
                      <w:lang w:val="en-IE" w:eastAsia="en-IE"/>
                    </w:rPr>
                    <w:t> </w:t>
                  </w:r>
                </w:p>
                <w:p w14:paraId="3E07E5A4"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General public</w:t>
                  </w:r>
                  <w:r w:rsidRPr="006F001C">
                    <w:rPr>
                      <w:rFonts w:eastAsia="Times New Roman"/>
                      <w:noProof/>
                      <w:sz w:val="22"/>
                      <w:lang w:val="en-IE" w:eastAsia="en-IE"/>
                    </w:rPr>
                    <w:t> </w:t>
                  </w:r>
                </w:p>
                <w:p w14:paraId="50019127"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Member States authorities </w:t>
                  </w:r>
                  <w:r w:rsidRPr="006F001C">
                    <w:rPr>
                      <w:rFonts w:eastAsia="Times New Roman"/>
                      <w:noProof/>
                      <w:sz w:val="22"/>
                      <w:lang w:val="en-IE" w:eastAsia="en-IE"/>
                    </w:rPr>
                    <w:t> </w:t>
                  </w:r>
                </w:p>
              </w:tc>
              <w:tc>
                <w:tcPr>
                  <w:tcW w:w="3040" w:type="dxa"/>
                  <w:tcBorders>
                    <w:top w:val="single" w:sz="6" w:space="0" w:color="auto"/>
                    <w:left w:val="single" w:sz="6" w:space="0" w:color="auto"/>
                    <w:bottom w:val="single" w:sz="6" w:space="0" w:color="auto"/>
                    <w:right w:val="single" w:sz="6" w:space="0" w:color="auto"/>
                  </w:tcBorders>
                  <w:hideMark/>
                </w:tcPr>
                <w:p w14:paraId="672A776E"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Consultation of relevant stakeholders requiring data flows and processing</w:t>
                  </w:r>
                  <w:r w:rsidRPr="006F001C">
                    <w:rPr>
                      <w:rFonts w:eastAsia="Times New Roman"/>
                      <w:noProof/>
                      <w:sz w:val="22"/>
                      <w:lang w:val="en-IE" w:eastAsia="en-IE"/>
                    </w:rPr>
                    <w:t> </w:t>
                  </w:r>
                </w:p>
              </w:tc>
              <w:tc>
                <w:tcPr>
                  <w:tcW w:w="1281" w:type="dxa"/>
                  <w:tcBorders>
                    <w:top w:val="single" w:sz="6" w:space="0" w:color="auto"/>
                    <w:left w:val="single" w:sz="6" w:space="0" w:color="auto"/>
                    <w:bottom w:val="single" w:sz="6" w:space="0" w:color="auto"/>
                    <w:right w:val="single" w:sz="6" w:space="0" w:color="auto"/>
                  </w:tcBorders>
                  <w:hideMark/>
                </w:tcPr>
                <w:p w14:paraId="6334B73D"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flow</w:t>
                  </w:r>
                  <w:r w:rsidRPr="006F001C">
                    <w:rPr>
                      <w:rFonts w:eastAsia="Times New Roman"/>
                      <w:noProof/>
                      <w:sz w:val="22"/>
                      <w:lang w:val="en-IE" w:eastAsia="en-IE"/>
                    </w:rPr>
                    <w:t> </w:t>
                  </w:r>
                </w:p>
                <w:p w14:paraId="786677CC"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processing</w:t>
                  </w:r>
                  <w:r w:rsidRPr="006F001C">
                    <w:rPr>
                      <w:rFonts w:eastAsia="Times New Roman"/>
                      <w:noProof/>
                      <w:sz w:val="22"/>
                      <w:lang w:val="en-IE" w:eastAsia="en-IE"/>
                    </w:rPr>
                    <w:t> </w:t>
                  </w:r>
                </w:p>
              </w:tc>
            </w:tr>
            <w:tr w:rsidR="007A5304" w:rsidRPr="006F001C" w14:paraId="0314A957" w14:textId="77777777">
              <w:trPr>
                <w:trHeight w:val="285"/>
              </w:trPr>
              <w:tc>
                <w:tcPr>
                  <w:tcW w:w="2887" w:type="dxa"/>
                  <w:tcBorders>
                    <w:top w:val="single" w:sz="6" w:space="0" w:color="auto"/>
                    <w:left w:val="single" w:sz="6" w:space="0" w:color="auto"/>
                    <w:bottom w:val="single" w:sz="6" w:space="0" w:color="auto"/>
                    <w:right w:val="single" w:sz="6" w:space="0" w:color="auto"/>
                  </w:tcBorders>
                  <w:hideMark/>
                </w:tcPr>
                <w:p w14:paraId="6837EFC5"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Article 83</w:t>
                  </w:r>
                  <w:r w:rsidRPr="006F001C">
                    <w:rPr>
                      <w:rFonts w:eastAsia="Times New Roman"/>
                      <w:noProof/>
                      <w:sz w:val="22"/>
                      <w:lang w:val="en-IE" w:eastAsia="en-IE"/>
                    </w:rPr>
                    <w:t> </w:t>
                  </w:r>
                </w:p>
                <w:p w14:paraId="44F65519"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Conformity self-assessment</w:t>
                  </w:r>
                  <w:r w:rsidRPr="006F001C">
                    <w:rPr>
                      <w:rFonts w:eastAsia="Times New Roman"/>
                      <w:noProof/>
                      <w:sz w:val="22"/>
                      <w:lang w:val="en-IE" w:eastAsia="en-IE"/>
                    </w:rPr>
                    <w:t> </w:t>
                  </w:r>
                </w:p>
              </w:tc>
              <w:tc>
                <w:tcPr>
                  <w:tcW w:w="4332" w:type="dxa"/>
                  <w:tcBorders>
                    <w:top w:val="single" w:sz="6" w:space="0" w:color="auto"/>
                    <w:left w:val="single" w:sz="6" w:space="0" w:color="auto"/>
                    <w:bottom w:val="single" w:sz="6" w:space="0" w:color="auto"/>
                    <w:right w:val="single" w:sz="6" w:space="0" w:color="auto"/>
                  </w:tcBorders>
                  <w:hideMark/>
                </w:tcPr>
                <w:p w14:paraId="392B7593" w14:textId="77777777" w:rsidR="007A5304" w:rsidRPr="00291CE2" w:rsidRDefault="007A5304">
                  <w:pPr>
                    <w:pStyle w:val="NumPar1"/>
                    <w:numPr>
                      <w:ilvl w:val="0"/>
                      <w:numId w:val="0"/>
                    </w:numPr>
                    <w:rPr>
                      <w:noProof/>
                      <w:sz w:val="22"/>
                      <w:szCs w:val="20"/>
                      <w:lang w:eastAsia="en-IE"/>
                    </w:rPr>
                  </w:pPr>
                  <w:r w:rsidRPr="00291CE2">
                    <w:rPr>
                      <w:noProof/>
                      <w:sz w:val="22"/>
                      <w:szCs w:val="20"/>
                      <w:lang w:eastAsia="en-IE"/>
                    </w:rPr>
                    <w:t xml:space="preserve">3. The manufacturer or provider of ICT products, ICT services, ICT processes, managed security services or the entity the cyber posture of which is subject to certification shall make the EU statement of conformity, technical documentation, and all other relevant information relating to the conformity of the ICT products, ICT services, ICT processes, managed security services or cyber posture with the European cybersecurity certification scheme available to the national cybersecurity certification authority designated pursuant to Article 89 for the period provided for in that scheme. </w:t>
                  </w:r>
                  <w:r w:rsidRPr="00291CE2">
                    <w:rPr>
                      <w:b/>
                      <w:bCs/>
                      <w:noProof/>
                      <w:sz w:val="22"/>
                      <w:szCs w:val="20"/>
                      <w:lang w:eastAsia="en-IE"/>
                    </w:rPr>
                    <w:t>A copy of the EU statement of conformity shall be submitted without undue delay to the national cybersecurity certification authority and to ENISA.</w:t>
                  </w:r>
                </w:p>
                <w:p w14:paraId="534A6BE8" w14:textId="77777777" w:rsidR="007A5304" w:rsidRPr="00291CE2" w:rsidRDefault="007A5304">
                  <w:pPr>
                    <w:spacing w:before="0" w:after="0"/>
                    <w:textAlignment w:val="baseline"/>
                    <w:rPr>
                      <w:rFonts w:ascii="Segoe UI" w:eastAsia="Times New Roman" w:hAnsi="Segoe UI" w:cs="Segoe UI"/>
                      <w:noProof/>
                      <w:sz w:val="18"/>
                      <w:szCs w:val="18"/>
                      <w:lang w:eastAsia="en-IE"/>
                    </w:rPr>
                  </w:pPr>
                </w:p>
              </w:tc>
              <w:tc>
                <w:tcPr>
                  <w:tcW w:w="3015" w:type="dxa"/>
                  <w:tcBorders>
                    <w:top w:val="single" w:sz="6" w:space="0" w:color="auto"/>
                    <w:left w:val="single" w:sz="6" w:space="0" w:color="auto"/>
                    <w:bottom w:val="single" w:sz="6" w:space="0" w:color="auto"/>
                    <w:right w:val="single" w:sz="6" w:space="0" w:color="auto"/>
                  </w:tcBorders>
                  <w:hideMark/>
                </w:tcPr>
                <w:p w14:paraId="691A8583"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ENISA</w:t>
                  </w:r>
                  <w:r w:rsidRPr="006F001C">
                    <w:rPr>
                      <w:rFonts w:eastAsia="Times New Roman"/>
                      <w:noProof/>
                      <w:sz w:val="22"/>
                      <w:lang w:val="en-IE" w:eastAsia="en-IE"/>
                    </w:rPr>
                    <w:t> </w:t>
                  </w:r>
                </w:p>
                <w:p w14:paraId="3980D173"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General public</w:t>
                  </w:r>
                  <w:r w:rsidRPr="006F001C">
                    <w:rPr>
                      <w:rFonts w:eastAsia="Times New Roman"/>
                      <w:noProof/>
                      <w:sz w:val="22"/>
                      <w:lang w:val="en-IE" w:eastAsia="en-IE"/>
                    </w:rPr>
                    <w:t> </w:t>
                  </w:r>
                </w:p>
                <w:p w14:paraId="1DF000F8"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Member States authorities </w:t>
                  </w:r>
                  <w:r w:rsidRPr="006F001C">
                    <w:rPr>
                      <w:rFonts w:eastAsia="Times New Roman"/>
                      <w:noProof/>
                      <w:sz w:val="22"/>
                      <w:lang w:val="en-IE" w:eastAsia="en-IE"/>
                    </w:rPr>
                    <w:t> </w:t>
                  </w:r>
                </w:p>
              </w:tc>
              <w:tc>
                <w:tcPr>
                  <w:tcW w:w="3040" w:type="dxa"/>
                  <w:tcBorders>
                    <w:top w:val="single" w:sz="6" w:space="0" w:color="auto"/>
                    <w:left w:val="single" w:sz="6" w:space="0" w:color="auto"/>
                    <w:bottom w:val="single" w:sz="6" w:space="0" w:color="auto"/>
                    <w:right w:val="single" w:sz="6" w:space="0" w:color="auto"/>
                  </w:tcBorders>
                  <w:hideMark/>
                </w:tcPr>
                <w:p w14:paraId="1B61FBEB"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Information being available; data sharing </w:t>
                  </w:r>
                  <w:r w:rsidRPr="006F001C">
                    <w:rPr>
                      <w:rFonts w:eastAsia="Times New Roman"/>
                      <w:noProof/>
                      <w:sz w:val="22"/>
                      <w:lang w:val="en-IE" w:eastAsia="en-IE"/>
                    </w:rPr>
                    <w:t> </w:t>
                  </w:r>
                </w:p>
                <w:p w14:paraId="190A2756"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Shared data requires processing by ENISA and Member States authorities</w:t>
                  </w:r>
                  <w:r w:rsidRPr="006F001C">
                    <w:rPr>
                      <w:rFonts w:eastAsia="Times New Roman"/>
                      <w:noProof/>
                      <w:sz w:val="22"/>
                      <w:lang w:val="en-IE" w:eastAsia="en-IE"/>
                    </w:rPr>
                    <w:t> </w:t>
                  </w:r>
                </w:p>
              </w:tc>
              <w:tc>
                <w:tcPr>
                  <w:tcW w:w="1281" w:type="dxa"/>
                  <w:tcBorders>
                    <w:top w:val="single" w:sz="6" w:space="0" w:color="auto"/>
                    <w:left w:val="single" w:sz="6" w:space="0" w:color="auto"/>
                    <w:bottom w:val="single" w:sz="6" w:space="0" w:color="auto"/>
                    <w:right w:val="single" w:sz="6" w:space="0" w:color="auto"/>
                  </w:tcBorders>
                  <w:hideMark/>
                </w:tcPr>
                <w:p w14:paraId="3593D43A"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flow</w:t>
                  </w:r>
                  <w:r w:rsidRPr="006F001C">
                    <w:rPr>
                      <w:rFonts w:eastAsia="Times New Roman"/>
                      <w:noProof/>
                      <w:sz w:val="22"/>
                      <w:lang w:val="en-IE" w:eastAsia="en-IE"/>
                    </w:rPr>
                    <w:t> </w:t>
                  </w:r>
                </w:p>
                <w:p w14:paraId="03418193"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processing</w:t>
                  </w:r>
                  <w:r w:rsidRPr="006F001C">
                    <w:rPr>
                      <w:rFonts w:eastAsia="Times New Roman"/>
                      <w:noProof/>
                      <w:sz w:val="22"/>
                      <w:lang w:val="en-IE" w:eastAsia="en-IE"/>
                    </w:rPr>
                    <w:t> </w:t>
                  </w:r>
                </w:p>
              </w:tc>
            </w:tr>
            <w:tr w:rsidR="007A5304" w:rsidRPr="006F001C" w14:paraId="64DF709B" w14:textId="77777777">
              <w:trPr>
                <w:trHeight w:val="285"/>
              </w:trPr>
              <w:tc>
                <w:tcPr>
                  <w:tcW w:w="2887" w:type="dxa"/>
                  <w:tcBorders>
                    <w:top w:val="single" w:sz="6" w:space="0" w:color="auto"/>
                    <w:left w:val="single" w:sz="6" w:space="0" w:color="auto"/>
                    <w:bottom w:val="single" w:sz="6" w:space="0" w:color="auto"/>
                    <w:right w:val="single" w:sz="6" w:space="0" w:color="auto"/>
                  </w:tcBorders>
                  <w:hideMark/>
                </w:tcPr>
                <w:p w14:paraId="4AB12647"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Article 84</w:t>
                  </w:r>
                  <w:r w:rsidRPr="006F001C">
                    <w:rPr>
                      <w:rFonts w:eastAsia="Times New Roman"/>
                      <w:noProof/>
                      <w:sz w:val="22"/>
                      <w:lang w:val="en-IE" w:eastAsia="en-IE"/>
                    </w:rPr>
                    <w:t> </w:t>
                  </w:r>
                </w:p>
                <w:p w14:paraId="0916610F"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Supplementary cybersecurity information for certified ICT products, ICT services and ICT processes</w:t>
                  </w:r>
                  <w:r w:rsidRPr="006F001C">
                    <w:rPr>
                      <w:rFonts w:eastAsia="Times New Roman"/>
                      <w:noProof/>
                      <w:sz w:val="22"/>
                      <w:lang w:val="en-IE" w:eastAsia="en-IE"/>
                    </w:rPr>
                    <w:t> </w:t>
                  </w:r>
                </w:p>
              </w:tc>
              <w:tc>
                <w:tcPr>
                  <w:tcW w:w="4332" w:type="dxa"/>
                  <w:tcBorders>
                    <w:top w:val="single" w:sz="6" w:space="0" w:color="auto"/>
                    <w:left w:val="single" w:sz="6" w:space="0" w:color="auto"/>
                    <w:bottom w:val="single" w:sz="6" w:space="0" w:color="auto"/>
                    <w:right w:val="single" w:sz="6" w:space="0" w:color="auto"/>
                  </w:tcBorders>
                  <w:hideMark/>
                </w:tcPr>
                <w:p w14:paraId="3A964488"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1. The manufacturer or provider of ICT products, ICT services or ICT processes for which an EU statement of conformity or European cybersecurity certificate has been issued </w:t>
                  </w:r>
                  <w:r w:rsidRPr="006F001C">
                    <w:rPr>
                      <w:rFonts w:eastAsia="Times New Roman"/>
                      <w:b/>
                      <w:bCs/>
                      <w:noProof/>
                      <w:sz w:val="22"/>
                      <w:lang w:eastAsia="en-IE"/>
                    </w:rPr>
                    <w:t>shall make publicly available the following supplementary cybersecurity information</w:t>
                  </w:r>
                  <w:r w:rsidRPr="006F001C">
                    <w:rPr>
                      <w:rFonts w:eastAsia="Times New Roman"/>
                      <w:noProof/>
                      <w:sz w:val="22"/>
                      <w:lang w:eastAsia="en-IE"/>
                    </w:rPr>
                    <w:t>.</w:t>
                  </w:r>
                  <w:r w:rsidRPr="006F001C">
                    <w:rPr>
                      <w:rFonts w:eastAsia="Times New Roman"/>
                      <w:noProof/>
                      <w:sz w:val="22"/>
                      <w:lang w:val="en-IE" w:eastAsia="en-IE"/>
                    </w:rPr>
                    <w:t> </w:t>
                  </w:r>
                </w:p>
              </w:tc>
              <w:tc>
                <w:tcPr>
                  <w:tcW w:w="3015" w:type="dxa"/>
                  <w:tcBorders>
                    <w:top w:val="single" w:sz="6" w:space="0" w:color="auto"/>
                    <w:left w:val="single" w:sz="6" w:space="0" w:color="auto"/>
                    <w:bottom w:val="single" w:sz="6" w:space="0" w:color="auto"/>
                    <w:right w:val="single" w:sz="6" w:space="0" w:color="auto"/>
                  </w:tcBorders>
                  <w:hideMark/>
                </w:tcPr>
                <w:p w14:paraId="31CFE535"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Manufacturer or provider of ICT products, ICT services or ICT processes</w:t>
                  </w:r>
                  <w:r w:rsidRPr="006F001C">
                    <w:rPr>
                      <w:rFonts w:eastAsia="Times New Roman"/>
                      <w:noProof/>
                      <w:sz w:val="22"/>
                      <w:lang w:val="en-IE" w:eastAsia="en-IE"/>
                    </w:rPr>
                    <w:t> </w:t>
                  </w:r>
                </w:p>
                <w:p w14:paraId="0F98E6E4"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General public</w:t>
                  </w:r>
                  <w:r w:rsidRPr="006F001C">
                    <w:rPr>
                      <w:rFonts w:eastAsia="Times New Roman"/>
                      <w:noProof/>
                      <w:sz w:val="22"/>
                      <w:lang w:val="en-IE" w:eastAsia="en-IE"/>
                    </w:rPr>
                    <w:t> </w:t>
                  </w:r>
                </w:p>
                <w:p w14:paraId="77DE7AFD"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Conformity assessment bodies</w:t>
                  </w:r>
                  <w:r w:rsidRPr="006F001C">
                    <w:rPr>
                      <w:rFonts w:eastAsia="Times New Roman"/>
                      <w:noProof/>
                      <w:sz w:val="22"/>
                      <w:lang w:val="en-IE" w:eastAsia="en-IE"/>
                    </w:rPr>
                    <w:t> </w:t>
                  </w:r>
                </w:p>
              </w:tc>
              <w:tc>
                <w:tcPr>
                  <w:tcW w:w="3040" w:type="dxa"/>
                  <w:tcBorders>
                    <w:top w:val="single" w:sz="6" w:space="0" w:color="auto"/>
                    <w:left w:val="single" w:sz="6" w:space="0" w:color="auto"/>
                    <w:bottom w:val="single" w:sz="6" w:space="0" w:color="auto"/>
                    <w:right w:val="single" w:sz="6" w:space="0" w:color="auto"/>
                  </w:tcBorders>
                  <w:hideMark/>
                </w:tcPr>
                <w:p w14:paraId="2D2124A9"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Making information publicly available at electronic form.  </w:t>
                  </w:r>
                  <w:r w:rsidRPr="006F001C">
                    <w:rPr>
                      <w:rFonts w:eastAsia="Times New Roman"/>
                      <w:noProof/>
                      <w:sz w:val="22"/>
                      <w:lang w:val="en-IE" w:eastAsia="en-IE"/>
                    </w:rPr>
                    <w:t> </w:t>
                  </w:r>
                </w:p>
              </w:tc>
              <w:tc>
                <w:tcPr>
                  <w:tcW w:w="1281" w:type="dxa"/>
                  <w:tcBorders>
                    <w:top w:val="single" w:sz="6" w:space="0" w:color="auto"/>
                    <w:left w:val="single" w:sz="6" w:space="0" w:color="auto"/>
                    <w:bottom w:val="single" w:sz="6" w:space="0" w:color="auto"/>
                    <w:right w:val="single" w:sz="6" w:space="0" w:color="auto"/>
                  </w:tcBorders>
                  <w:hideMark/>
                </w:tcPr>
                <w:p w14:paraId="6B883ED5"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flow</w:t>
                  </w:r>
                  <w:r w:rsidRPr="006F001C">
                    <w:rPr>
                      <w:rFonts w:eastAsia="Times New Roman"/>
                      <w:noProof/>
                      <w:sz w:val="22"/>
                      <w:lang w:val="en-IE" w:eastAsia="en-IE"/>
                    </w:rPr>
                    <w:t> </w:t>
                  </w:r>
                </w:p>
              </w:tc>
            </w:tr>
            <w:tr w:rsidR="007A5304" w:rsidRPr="006F001C" w14:paraId="4BA4A49C" w14:textId="77777777">
              <w:trPr>
                <w:trHeight w:val="285"/>
              </w:trPr>
              <w:tc>
                <w:tcPr>
                  <w:tcW w:w="2887" w:type="dxa"/>
                  <w:tcBorders>
                    <w:top w:val="single" w:sz="6" w:space="0" w:color="auto"/>
                    <w:left w:val="single" w:sz="6" w:space="0" w:color="auto"/>
                    <w:bottom w:val="single" w:sz="6" w:space="0" w:color="auto"/>
                    <w:right w:val="single" w:sz="6" w:space="0" w:color="auto"/>
                  </w:tcBorders>
                  <w:hideMark/>
                </w:tcPr>
                <w:p w14:paraId="6AEFD4A1"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Article 85</w:t>
                  </w:r>
                  <w:r w:rsidRPr="006F001C">
                    <w:rPr>
                      <w:rFonts w:eastAsia="Times New Roman"/>
                      <w:noProof/>
                      <w:sz w:val="22"/>
                      <w:lang w:val="en-IE" w:eastAsia="en-IE"/>
                    </w:rPr>
                    <w:t> </w:t>
                  </w:r>
                </w:p>
                <w:p w14:paraId="0DBD1B07"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Issuance of European Cybersecurity certificates</w:t>
                  </w:r>
                  <w:r w:rsidRPr="006F001C">
                    <w:rPr>
                      <w:rFonts w:eastAsia="Times New Roman"/>
                      <w:noProof/>
                      <w:sz w:val="22"/>
                      <w:lang w:val="en-IE" w:eastAsia="en-IE"/>
                    </w:rPr>
                    <w:t> </w:t>
                  </w:r>
                </w:p>
              </w:tc>
              <w:tc>
                <w:tcPr>
                  <w:tcW w:w="4332" w:type="dxa"/>
                  <w:tcBorders>
                    <w:top w:val="single" w:sz="6" w:space="0" w:color="auto"/>
                    <w:left w:val="single" w:sz="6" w:space="0" w:color="auto"/>
                    <w:bottom w:val="single" w:sz="6" w:space="0" w:color="auto"/>
                    <w:right w:val="single" w:sz="6" w:space="0" w:color="auto"/>
                  </w:tcBorders>
                  <w:hideMark/>
                </w:tcPr>
                <w:p w14:paraId="2AC29CCF"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2. The conformity assessment bodies referred to in</w:t>
                  </w:r>
                  <w:r>
                    <w:rPr>
                      <w:rFonts w:eastAsia="Times New Roman"/>
                      <w:noProof/>
                      <w:sz w:val="22"/>
                      <w:lang w:eastAsia="en-IE"/>
                    </w:rPr>
                    <w:t xml:space="preserve"> Article 91</w:t>
                  </w:r>
                  <w:r w:rsidRPr="006F001C">
                    <w:rPr>
                      <w:rFonts w:eastAsia="Times New Roman"/>
                      <w:noProof/>
                      <w:sz w:val="22"/>
                      <w:lang w:eastAsia="en-IE"/>
                    </w:rPr>
                    <w:t xml:space="preserve"> shall issue European cybersecurity certificates on the basis of criteria included in the European cybersecurity certification scheme adopted pursuant to </w:t>
                  </w:r>
                  <w:r>
                    <w:rPr>
                      <w:rFonts w:eastAsia="Times New Roman"/>
                      <w:noProof/>
                      <w:sz w:val="22"/>
                      <w:lang w:eastAsia="en-IE"/>
                    </w:rPr>
                    <w:t>Article 74</w:t>
                  </w:r>
                  <w:r w:rsidRPr="006F001C">
                    <w:rPr>
                      <w:rFonts w:eastAsia="Times New Roman"/>
                      <w:noProof/>
                      <w:sz w:val="22"/>
                      <w:lang w:eastAsia="en-IE"/>
                    </w:rPr>
                    <w:t>.</w:t>
                  </w:r>
                  <w:r w:rsidRPr="006F001C">
                    <w:rPr>
                      <w:rFonts w:eastAsia="Times New Roman"/>
                      <w:noProof/>
                      <w:sz w:val="22"/>
                      <w:lang w:val="en-IE" w:eastAsia="en-IE"/>
                    </w:rPr>
                    <w:t> </w:t>
                  </w:r>
                </w:p>
                <w:p w14:paraId="07066CB2"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6. The natural or legal person who submits ICT products, ICT services, ICT processes or managed security services for certification or the entity which applies for certification of its cyber posture </w:t>
                  </w:r>
                  <w:r w:rsidRPr="006F001C">
                    <w:rPr>
                      <w:rFonts w:eastAsia="Times New Roman"/>
                      <w:b/>
                      <w:bCs/>
                      <w:noProof/>
                      <w:sz w:val="22"/>
                      <w:lang w:eastAsia="en-IE"/>
                    </w:rPr>
                    <w:t xml:space="preserve">shall make </w:t>
                  </w:r>
                  <w:r w:rsidRPr="00F02C77">
                    <w:rPr>
                      <w:rFonts w:eastAsia="Times New Roman"/>
                      <w:b/>
                      <w:bCs/>
                      <w:noProof/>
                      <w:sz w:val="22"/>
                      <w:lang w:eastAsia="en-IE"/>
                    </w:rPr>
                    <w:t>available all information necessary to conduct the certification to the national cybersecurity</w:t>
                  </w:r>
                  <w:r w:rsidRPr="006F001C">
                    <w:rPr>
                      <w:rFonts w:eastAsia="Times New Roman"/>
                      <w:b/>
                      <w:bCs/>
                      <w:noProof/>
                      <w:sz w:val="22"/>
                      <w:lang w:eastAsia="en-IE"/>
                    </w:rPr>
                    <w:t xml:space="preserve"> certification authority </w:t>
                  </w:r>
                  <w:r w:rsidRPr="006F001C">
                    <w:rPr>
                      <w:rFonts w:eastAsia="Times New Roman"/>
                      <w:noProof/>
                      <w:sz w:val="22"/>
                      <w:lang w:eastAsia="en-IE"/>
                    </w:rPr>
                    <w:t>designated pursuant to Article 89, where that authority is the body issuing the European cybersecurity certificate, or to the conformity assessment body referred to in Article 9</w:t>
                  </w:r>
                  <w:r>
                    <w:rPr>
                      <w:rFonts w:eastAsia="Times New Roman"/>
                      <w:noProof/>
                      <w:sz w:val="22"/>
                      <w:lang w:eastAsia="en-IE"/>
                    </w:rPr>
                    <w:t>1.</w:t>
                  </w:r>
                  <w:r w:rsidRPr="006F001C">
                    <w:rPr>
                      <w:rFonts w:eastAsia="Times New Roman"/>
                      <w:noProof/>
                      <w:sz w:val="22"/>
                      <w:lang w:val="en-IE" w:eastAsia="en-IE"/>
                    </w:rPr>
                    <w:t> </w:t>
                  </w:r>
                </w:p>
                <w:p w14:paraId="1C84A4AF"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7. Conformity assessment bodies and, where applicable, national cybersecurity certification </w:t>
                  </w:r>
                  <w:r w:rsidRPr="006F001C">
                    <w:rPr>
                      <w:rFonts w:eastAsia="Times New Roman"/>
                      <w:b/>
                      <w:bCs/>
                      <w:noProof/>
                      <w:sz w:val="22"/>
                      <w:lang w:eastAsia="en-IE"/>
                    </w:rPr>
                    <w:t>authorities shall inform ENISA </w:t>
                  </w:r>
                  <w:r w:rsidRPr="006F001C">
                    <w:rPr>
                      <w:rFonts w:eastAsia="Times New Roman"/>
                      <w:noProof/>
                      <w:sz w:val="22"/>
                      <w:lang w:eastAsia="en-IE"/>
                    </w:rPr>
                    <w:t xml:space="preserve">without undue delay about their decisions </w:t>
                  </w:r>
                  <w:r>
                    <w:rPr>
                      <w:rFonts w:eastAsia="Times New Roman"/>
                      <w:noProof/>
                      <w:sz w:val="22"/>
                      <w:lang w:eastAsia="en-IE"/>
                    </w:rPr>
                    <w:t>that</w:t>
                  </w:r>
                  <w:r w:rsidRPr="006F001C">
                    <w:rPr>
                      <w:rFonts w:eastAsia="Times New Roman"/>
                      <w:noProof/>
                      <w:sz w:val="22"/>
                      <w:lang w:eastAsia="en-IE"/>
                    </w:rPr>
                    <w:t xml:space="preserve"> affect the status of European cybersecurity certificates and EU statements of conformity</w:t>
                  </w:r>
                  <w:r>
                    <w:rPr>
                      <w:rFonts w:eastAsia="Times New Roman"/>
                      <w:noProof/>
                      <w:sz w:val="22"/>
                      <w:lang w:eastAsia="en-IE"/>
                    </w:rPr>
                    <w:t xml:space="preserve"> in accordance with Article 94</w:t>
                  </w:r>
                  <w:r w:rsidRPr="006F001C">
                    <w:rPr>
                      <w:rFonts w:eastAsia="Times New Roman"/>
                      <w:noProof/>
                      <w:sz w:val="22"/>
                      <w:lang w:eastAsia="en-IE"/>
                    </w:rPr>
                    <w:t>.</w:t>
                  </w:r>
                  <w:r w:rsidRPr="006F001C">
                    <w:rPr>
                      <w:rFonts w:eastAsia="Times New Roman"/>
                      <w:noProof/>
                      <w:sz w:val="22"/>
                      <w:lang w:val="en-IE" w:eastAsia="en-IE"/>
                    </w:rPr>
                    <w:t> </w:t>
                  </w:r>
                </w:p>
                <w:p w14:paraId="27AE9402" w14:textId="77777777" w:rsidR="007A5304" w:rsidRPr="00291CE2" w:rsidRDefault="007A5304">
                  <w:pPr>
                    <w:spacing w:before="0" w:after="0"/>
                    <w:textAlignment w:val="baseline"/>
                    <w:rPr>
                      <w:rFonts w:eastAsia="Times New Roman"/>
                      <w:noProof/>
                      <w:sz w:val="22"/>
                      <w:lang w:val="en-IE" w:eastAsia="en-IE"/>
                    </w:rPr>
                  </w:pPr>
                  <w:r w:rsidRPr="000E35E1">
                    <w:rPr>
                      <w:rFonts w:eastAsia="Times New Roman"/>
                      <w:noProof/>
                      <w:sz w:val="22"/>
                      <w:lang w:eastAsia="en-IE"/>
                    </w:rPr>
                    <w:t>8. </w:t>
                  </w:r>
                  <w:r w:rsidRPr="00291CE2">
                    <w:rPr>
                      <w:b/>
                      <w:bCs/>
                      <w:noProof/>
                      <w:sz w:val="22"/>
                      <w:lang w:eastAsia="en-IE"/>
                    </w:rPr>
                    <w:t>The holder of a European cybersecurity certificate shall inform the conformity assessment body</w:t>
                  </w:r>
                  <w:r w:rsidRPr="00291CE2">
                    <w:rPr>
                      <w:noProof/>
                      <w:sz w:val="22"/>
                      <w:lang w:eastAsia="en-IE"/>
                    </w:rPr>
                    <w:t xml:space="preserve"> and, where applicable, national cybersecurity certification authority, referred to in paragraph 7, of any subsequently detected vulnerabilities or nonconformities concerning </w:t>
                  </w:r>
                  <w:r w:rsidRPr="00291CE2" w:rsidDel="00B17831">
                    <w:rPr>
                      <w:noProof/>
                      <w:sz w:val="22"/>
                      <w:lang w:eastAsia="en-IE"/>
                    </w:rPr>
                    <w:t xml:space="preserve">the </w:t>
                  </w:r>
                  <w:r w:rsidRPr="00291CE2">
                    <w:rPr>
                      <w:noProof/>
                      <w:sz w:val="22"/>
                      <w:lang w:eastAsia="en-IE"/>
                    </w:rPr>
                    <w:t xml:space="preserve">certified ICT product, ICT service, ICT process, managed security service or cyber posture of entity that have a likely impact on its conformity with the certificate. </w:t>
                  </w:r>
                  <w:r w:rsidRPr="00291CE2">
                    <w:rPr>
                      <w:b/>
                      <w:bCs/>
                      <w:noProof/>
                      <w:sz w:val="22"/>
                      <w:lang w:eastAsia="en-IE"/>
                    </w:rPr>
                    <w:t>That body shall forward that information without undue delay</w:t>
                  </w:r>
                  <w:r w:rsidRPr="00291CE2">
                    <w:rPr>
                      <w:noProof/>
                      <w:sz w:val="22"/>
                      <w:lang w:eastAsia="en-IE"/>
                    </w:rPr>
                    <w:t xml:space="preserve"> to the national cybersecurity certification authority concerned and assess the impact on the certificate in line with the </w:t>
                  </w:r>
                  <w:r w:rsidRPr="00291CE2">
                    <w:rPr>
                      <w:rFonts w:eastAsia="Times New Roman"/>
                      <w:noProof/>
                      <w:color w:val="000000" w:themeColor="text1"/>
                      <w:sz w:val="22"/>
                      <w:lang w:eastAsia="en-IE"/>
                    </w:rPr>
                    <w:t xml:space="preserve">scheme’s conditions </w:t>
                  </w:r>
                  <w:r w:rsidRPr="00291CE2">
                    <w:rPr>
                      <w:noProof/>
                      <w:sz w:val="22"/>
                      <w:lang w:eastAsia="en-IE"/>
                    </w:rPr>
                    <w:t>as referred to in Article 81, point (</w:t>
                  </w:r>
                  <w:r>
                    <w:rPr>
                      <w:noProof/>
                      <w:sz w:val="22"/>
                      <w:lang w:eastAsia="en-IE"/>
                    </w:rPr>
                    <w:t>f</w:t>
                  </w:r>
                  <w:r w:rsidRPr="00291CE2">
                    <w:rPr>
                      <w:noProof/>
                      <w:sz w:val="22"/>
                      <w:lang w:eastAsia="en-IE"/>
                    </w:rPr>
                    <w:t>).</w:t>
                  </w:r>
                </w:p>
                <w:p w14:paraId="6F70E0AC" w14:textId="77777777" w:rsidR="007A5304" w:rsidRPr="00291CE2" w:rsidRDefault="007A5304">
                  <w:pPr>
                    <w:spacing w:before="0" w:after="0"/>
                    <w:textAlignment w:val="baseline"/>
                    <w:rPr>
                      <w:rFonts w:ascii="Segoe UI" w:eastAsia="Times New Roman" w:hAnsi="Segoe UI" w:cs="Segoe UI"/>
                      <w:noProof/>
                      <w:sz w:val="18"/>
                      <w:szCs w:val="18"/>
                      <w:lang w:eastAsia="en-IE"/>
                    </w:rPr>
                  </w:pPr>
                </w:p>
              </w:tc>
              <w:tc>
                <w:tcPr>
                  <w:tcW w:w="3015" w:type="dxa"/>
                  <w:tcBorders>
                    <w:top w:val="single" w:sz="6" w:space="0" w:color="auto"/>
                    <w:left w:val="single" w:sz="6" w:space="0" w:color="auto"/>
                    <w:bottom w:val="single" w:sz="6" w:space="0" w:color="auto"/>
                    <w:right w:val="single" w:sz="6" w:space="0" w:color="auto"/>
                  </w:tcBorders>
                  <w:hideMark/>
                </w:tcPr>
                <w:p w14:paraId="58681F6B"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ENISA</w:t>
                  </w:r>
                  <w:r w:rsidRPr="006F001C">
                    <w:rPr>
                      <w:rFonts w:eastAsia="Times New Roman"/>
                      <w:noProof/>
                      <w:sz w:val="22"/>
                      <w:lang w:val="en-IE" w:eastAsia="en-IE"/>
                    </w:rPr>
                    <w:t> </w:t>
                  </w:r>
                </w:p>
                <w:p w14:paraId="2D8A2C4E"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General public</w:t>
                  </w:r>
                  <w:r w:rsidRPr="006F001C">
                    <w:rPr>
                      <w:rFonts w:eastAsia="Times New Roman"/>
                      <w:noProof/>
                      <w:sz w:val="22"/>
                      <w:lang w:val="en-IE" w:eastAsia="en-IE"/>
                    </w:rPr>
                    <w:t> </w:t>
                  </w:r>
                </w:p>
                <w:p w14:paraId="28D27D69"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Member States authorities</w:t>
                  </w:r>
                  <w:r w:rsidRPr="006F001C">
                    <w:rPr>
                      <w:rFonts w:eastAsia="Times New Roman"/>
                      <w:noProof/>
                      <w:sz w:val="22"/>
                      <w:lang w:val="en-IE" w:eastAsia="en-IE"/>
                    </w:rPr>
                    <w:t> </w:t>
                  </w:r>
                </w:p>
                <w:p w14:paraId="2E21ED27"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Conformity assessment bodies</w:t>
                  </w:r>
                  <w:r w:rsidRPr="006F001C">
                    <w:rPr>
                      <w:rFonts w:eastAsia="Times New Roman"/>
                      <w:noProof/>
                      <w:sz w:val="22"/>
                      <w:lang w:val="en-IE" w:eastAsia="en-IE"/>
                    </w:rPr>
                    <w:t> </w:t>
                  </w:r>
                </w:p>
              </w:tc>
              <w:tc>
                <w:tcPr>
                  <w:tcW w:w="3040" w:type="dxa"/>
                  <w:tcBorders>
                    <w:top w:val="single" w:sz="6" w:space="0" w:color="auto"/>
                    <w:left w:val="single" w:sz="6" w:space="0" w:color="auto"/>
                    <w:bottom w:val="single" w:sz="6" w:space="0" w:color="auto"/>
                    <w:right w:val="single" w:sz="6" w:space="0" w:color="auto"/>
                  </w:tcBorders>
                  <w:hideMark/>
                </w:tcPr>
                <w:p w14:paraId="6693B9FF"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Sharing information relevant to certification processes</w:t>
                  </w:r>
                  <w:r w:rsidRPr="006F001C">
                    <w:rPr>
                      <w:rFonts w:eastAsia="Times New Roman"/>
                      <w:noProof/>
                      <w:sz w:val="22"/>
                      <w:lang w:val="en-IE" w:eastAsia="en-IE"/>
                    </w:rPr>
                    <w:t> </w:t>
                  </w:r>
                </w:p>
              </w:tc>
              <w:tc>
                <w:tcPr>
                  <w:tcW w:w="1281" w:type="dxa"/>
                  <w:tcBorders>
                    <w:top w:val="single" w:sz="6" w:space="0" w:color="auto"/>
                    <w:left w:val="single" w:sz="6" w:space="0" w:color="auto"/>
                    <w:bottom w:val="single" w:sz="6" w:space="0" w:color="auto"/>
                    <w:right w:val="single" w:sz="6" w:space="0" w:color="auto"/>
                  </w:tcBorders>
                  <w:hideMark/>
                </w:tcPr>
                <w:p w14:paraId="4C535AC1"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flow</w:t>
                  </w:r>
                  <w:r w:rsidRPr="006F001C">
                    <w:rPr>
                      <w:rFonts w:eastAsia="Times New Roman"/>
                      <w:noProof/>
                      <w:sz w:val="22"/>
                      <w:lang w:val="en-IE" w:eastAsia="en-IE"/>
                    </w:rPr>
                    <w:t> </w:t>
                  </w:r>
                </w:p>
                <w:p w14:paraId="34CD8644"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processing</w:t>
                  </w:r>
                  <w:r w:rsidRPr="006F001C">
                    <w:rPr>
                      <w:rFonts w:eastAsia="Times New Roman"/>
                      <w:noProof/>
                      <w:sz w:val="22"/>
                      <w:lang w:val="en-IE" w:eastAsia="en-IE"/>
                    </w:rPr>
                    <w:t> </w:t>
                  </w:r>
                </w:p>
              </w:tc>
            </w:tr>
            <w:tr w:rsidR="007A5304" w:rsidRPr="006F001C" w14:paraId="71F58229" w14:textId="77777777">
              <w:trPr>
                <w:trHeight w:val="285"/>
              </w:trPr>
              <w:tc>
                <w:tcPr>
                  <w:tcW w:w="2887" w:type="dxa"/>
                  <w:tcBorders>
                    <w:top w:val="single" w:sz="6" w:space="0" w:color="auto"/>
                    <w:left w:val="single" w:sz="6" w:space="0" w:color="auto"/>
                    <w:bottom w:val="single" w:sz="6" w:space="0" w:color="auto"/>
                    <w:right w:val="single" w:sz="6" w:space="0" w:color="auto"/>
                  </w:tcBorders>
                  <w:hideMark/>
                </w:tcPr>
                <w:p w14:paraId="064BE093"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Article 86</w:t>
                  </w:r>
                  <w:r w:rsidRPr="006F001C">
                    <w:rPr>
                      <w:rFonts w:eastAsia="Times New Roman"/>
                      <w:noProof/>
                      <w:sz w:val="22"/>
                      <w:lang w:val="en-IE" w:eastAsia="en-IE"/>
                    </w:rPr>
                    <w:t> </w:t>
                  </w:r>
                </w:p>
                <w:p w14:paraId="27F30A19"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National cybersecurity certification schemes</w:t>
                  </w:r>
                  <w:r w:rsidRPr="006F001C">
                    <w:rPr>
                      <w:rFonts w:eastAsia="Times New Roman"/>
                      <w:noProof/>
                      <w:sz w:val="22"/>
                      <w:lang w:val="en-IE" w:eastAsia="en-IE"/>
                    </w:rPr>
                    <w:t> </w:t>
                  </w:r>
                </w:p>
              </w:tc>
              <w:tc>
                <w:tcPr>
                  <w:tcW w:w="4332" w:type="dxa"/>
                  <w:tcBorders>
                    <w:top w:val="single" w:sz="6" w:space="0" w:color="auto"/>
                    <w:left w:val="single" w:sz="6" w:space="0" w:color="auto"/>
                    <w:bottom w:val="single" w:sz="6" w:space="0" w:color="auto"/>
                    <w:right w:val="single" w:sz="6" w:space="0" w:color="auto"/>
                  </w:tcBorders>
                  <w:hideMark/>
                </w:tcPr>
                <w:p w14:paraId="31D71861"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4. </w:t>
                  </w:r>
                  <w:r w:rsidRPr="006F001C">
                    <w:rPr>
                      <w:rFonts w:eastAsia="Times New Roman"/>
                      <w:b/>
                      <w:bCs/>
                      <w:noProof/>
                      <w:color w:val="000000"/>
                      <w:sz w:val="22"/>
                      <w:lang w:eastAsia="en-IE"/>
                    </w:rPr>
                    <w:t>Member States shall inform the Commission and the ECCG before adopting new national cybersecurity certification schemes</w:t>
                  </w:r>
                  <w:r w:rsidRPr="006F001C">
                    <w:rPr>
                      <w:rFonts w:eastAsia="Times New Roman"/>
                      <w:noProof/>
                      <w:color w:val="000000"/>
                      <w:sz w:val="22"/>
                      <w:lang w:eastAsia="en-IE"/>
                    </w:rPr>
                    <w:t> for ICT products, ICT services, ICT processes, managed security services and cyber posture of entities.</w:t>
                  </w:r>
                  <w:r w:rsidRPr="006F001C">
                    <w:rPr>
                      <w:rFonts w:eastAsia="Times New Roman"/>
                      <w:noProof/>
                      <w:color w:val="000000"/>
                      <w:sz w:val="22"/>
                      <w:lang w:val="en-IE" w:eastAsia="en-IE"/>
                    </w:rPr>
                    <w:t> </w:t>
                  </w:r>
                </w:p>
              </w:tc>
              <w:tc>
                <w:tcPr>
                  <w:tcW w:w="3015" w:type="dxa"/>
                  <w:tcBorders>
                    <w:top w:val="single" w:sz="6" w:space="0" w:color="auto"/>
                    <w:left w:val="single" w:sz="6" w:space="0" w:color="auto"/>
                    <w:bottom w:val="single" w:sz="6" w:space="0" w:color="auto"/>
                    <w:right w:val="single" w:sz="6" w:space="0" w:color="auto"/>
                  </w:tcBorders>
                  <w:hideMark/>
                </w:tcPr>
                <w:p w14:paraId="23CF1D07" w14:textId="77777777" w:rsidR="007A5304" w:rsidRPr="006F001C" w:rsidRDefault="007A5304">
                  <w:pPr>
                    <w:spacing w:before="0" w:after="0"/>
                    <w:jc w:val="left"/>
                    <w:textAlignment w:val="baseline"/>
                    <w:rPr>
                      <w:rFonts w:ascii="Segoe UI" w:eastAsia="Times New Roman" w:hAnsi="Segoe UI" w:cs="Segoe UI"/>
                      <w:noProof/>
                      <w:sz w:val="18"/>
                      <w:szCs w:val="18"/>
                      <w:lang w:val="fr-FR" w:eastAsia="en-IE"/>
                    </w:rPr>
                  </w:pPr>
                  <w:r w:rsidRPr="006F001C">
                    <w:rPr>
                      <w:rFonts w:eastAsia="Times New Roman"/>
                      <w:noProof/>
                      <w:sz w:val="22"/>
                      <w:lang w:val="fr-BE" w:eastAsia="en-IE"/>
                    </w:rPr>
                    <w:t>ENISA</w:t>
                  </w:r>
                  <w:r w:rsidRPr="006F001C">
                    <w:rPr>
                      <w:rFonts w:eastAsia="Times New Roman"/>
                      <w:noProof/>
                      <w:sz w:val="22"/>
                      <w:lang w:val="fr-FR" w:eastAsia="en-IE"/>
                    </w:rPr>
                    <w:t> </w:t>
                  </w:r>
                </w:p>
                <w:p w14:paraId="5B995C93" w14:textId="77777777" w:rsidR="007A5304" w:rsidRPr="006F001C" w:rsidRDefault="007A5304">
                  <w:pPr>
                    <w:spacing w:before="0" w:after="0"/>
                    <w:jc w:val="left"/>
                    <w:textAlignment w:val="baseline"/>
                    <w:rPr>
                      <w:rFonts w:ascii="Segoe UI" w:eastAsia="Times New Roman" w:hAnsi="Segoe UI" w:cs="Segoe UI"/>
                      <w:noProof/>
                      <w:sz w:val="18"/>
                      <w:szCs w:val="18"/>
                      <w:lang w:val="fr-FR" w:eastAsia="en-IE"/>
                    </w:rPr>
                  </w:pPr>
                  <w:r w:rsidRPr="006F001C">
                    <w:rPr>
                      <w:rFonts w:eastAsia="Times New Roman"/>
                      <w:noProof/>
                      <w:sz w:val="22"/>
                      <w:lang w:val="fr-BE" w:eastAsia="en-IE"/>
                    </w:rPr>
                    <w:t>Member States</w:t>
                  </w:r>
                  <w:r w:rsidRPr="006F001C">
                    <w:rPr>
                      <w:rFonts w:eastAsia="Times New Roman"/>
                      <w:noProof/>
                      <w:sz w:val="22"/>
                      <w:lang w:val="fr-FR" w:eastAsia="en-IE"/>
                    </w:rPr>
                    <w:t> </w:t>
                  </w:r>
                </w:p>
                <w:p w14:paraId="258154BC" w14:textId="77777777" w:rsidR="007A5304" w:rsidRPr="006F001C" w:rsidRDefault="007A5304">
                  <w:pPr>
                    <w:spacing w:before="0" w:after="0"/>
                    <w:jc w:val="left"/>
                    <w:textAlignment w:val="baseline"/>
                    <w:rPr>
                      <w:rFonts w:ascii="Segoe UI" w:eastAsia="Times New Roman" w:hAnsi="Segoe UI" w:cs="Segoe UI"/>
                      <w:noProof/>
                      <w:sz w:val="18"/>
                      <w:szCs w:val="18"/>
                      <w:lang w:val="fr-FR" w:eastAsia="en-IE"/>
                    </w:rPr>
                  </w:pPr>
                  <w:r w:rsidRPr="006F001C">
                    <w:rPr>
                      <w:rFonts w:eastAsia="Times New Roman"/>
                      <w:noProof/>
                      <w:sz w:val="22"/>
                      <w:lang w:val="fr-BE" w:eastAsia="en-IE"/>
                    </w:rPr>
                    <w:t>EU Commission</w:t>
                  </w:r>
                  <w:r w:rsidRPr="006F001C">
                    <w:rPr>
                      <w:rFonts w:eastAsia="Times New Roman"/>
                      <w:noProof/>
                      <w:sz w:val="22"/>
                      <w:lang w:val="fr-FR" w:eastAsia="en-IE"/>
                    </w:rPr>
                    <w:t> </w:t>
                  </w:r>
                </w:p>
              </w:tc>
              <w:tc>
                <w:tcPr>
                  <w:tcW w:w="3040" w:type="dxa"/>
                  <w:tcBorders>
                    <w:top w:val="single" w:sz="6" w:space="0" w:color="auto"/>
                    <w:left w:val="single" w:sz="6" w:space="0" w:color="auto"/>
                    <w:bottom w:val="single" w:sz="6" w:space="0" w:color="auto"/>
                    <w:right w:val="single" w:sz="6" w:space="0" w:color="auto"/>
                  </w:tcBorders>
                  <w:hideMark/>
                </w:tcPr>
                <w:p w14:paraId="6D9C8843"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Information sharing</w:t>
                  </w:r>
                  <w:r w:rsidRPr="006F001C">
                    <w:rPr>
                      <w:rFonts w:eastAsia="Times New Roman"/>
                      <w:noProof/>
                      <w:sz w:val="22"/>
                      <w:lang w:val="en-IE" w:eastAsia="en-IE"/>
                    </w:rPr>
                    <w:t> </w:t>
                  </w:r>
                </w:p>
              </w:tc>
              <w:tc>
                <w:tcPr>
                  <w:tcW w:w="1281" w:type="dxa"/>
                  <w:tcBorders>
                    <w:top w:val="single" w:sz="6" w:space="0" w:color="auto"/>
                    <w:left w:val="single" w:sz="6" w:space="0" w:color="auto"/>
                    <w:bottom w:val="single" w:sz="6" w:space="0" w:color="auto"/>
                    <w:right w:val="single" w:sz="6" w:space="0" w:color="auto"/>
                  </w:tcBorders>
                  <w:hideMark/>
                </w:tcPr>
                <w:p w14:paraId="2924559F"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flow</w:t>
                  </w:r>
                  <w:r w:rsidRPr="006F001C">
                    <w:rPr>
                      <w:rFonts w:eastAsia="Times New Roman"/>
                      <w:noProof/>
                      <w:sz w:val="22"/>
                      <w:lang w:val="en-IE" w:eastAsia="en-IE"/>
                    </w:rPr>
                    <w:t> </w:t>
                  </w:r>
                </w:p>
              </w:tc>
            </w:tr>
            <w:tr w:rsidR="007A5304" w:rsidRPr="006F001C" w14:paraId="5347168A" w14:textId="77777777">
              <w:trPr>
                <w:trHeight w:val="330"/>
              </w:trPr>
              <w:tc>
                <w:tcPr>
                  <w:tcW w:w="2887" w:type="dxa"/>
                  <w:tcBorders>
                    <w:top w:val="single" w:sz="6" w:space="0" w:color="auto"/>
                    <w:left w:val="single" w:sz="6" w:space="0" w:color="auto"/>
                    <w:bottom w:val="single" w:sz="6" w:space="0" w:color="auto"/>
                    <w:right w:val="single" w:sz="6" w:space="0" w:color="auto"/>
                  </w:tcBorders>
                  <w:hideMark/>
                </w:tcPr>
                <w:p w14:paraId="728F5115"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Article 88</w:t>
                  </w:r>
                  <w:r w:rsidRPr="006F001C">
                    <w:rPr>
                      <w:rFonts w:eastAsia="Times New Roman"/>
                      <w:noProof/>
                      <w:sz w:val="22"/>
                      <w:lang w:val="en-IE" w:eastAsia="en-IE"/>
                    </w:rPr>
                    <w:t> </w:t>
                  </w:r>
                </w:p>
                <w:p w14:paraId="7F268BEF"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National cybersecurity certification authorities </w:t>
                  </w:r>
                  <w:r w:rsidRPr="006F001C">
                    <w:rPr>
                      <w:rFonts w:eastAsia="Times New Roman"/>
                      <w:noProof/>
                      <w:sz w:val="22"/>
                      <w:lang w:val="en-IE" w:eastAsia="en-IE"/>
                    </w:rPr>
                    <w:t> </w:t>
                  </w:r>
                </w:p>
              </w:tc>
              <w:tc>
                <w:tcPr>
                  <w:tcW w:w="4332" w:type="dxa"/>
                  <w:tcBorders>
                    <w:top w:val="single" w:sz="6" w:space="0" w:color="auto"/>
                    <w:left w:val="single" w:sz="6" w:space="0" w:color="auto"/>
                    <w:bottom w:val="single" w:sz="6" w:space="0" w:color="auto"/>
                    <w:right w:val="single" w:sz="6" w:space="0" w:color="auto"/>
                  </w:tcBorders>
                  <w:hideMark/>
                </w:tcPr>
                <w:p w14:paraId="04D35307"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color w:val="000000"/>
                      <w:sz w:val="22"/>
                      <w:lang w:eastAsia="en-IE"/>
                    </w:rPr>
                    <w:t>2. Each Member State shall </w:t>
                  </w:r>
                  <w:r w:rsidRPr="006F001C">
                    <w:rPr>
                      <w:rFonts w:eastAsia="Times New Roman"/>
                      <w:b/>
                      <w:bCs/>
                      <w:noProof/>
                      <w:color w:val="000000"/>
                      <w:sz w:val="22"/>
                      <w:lang w:eastAsia="en-IE"/>
                    </w:rPr>
                    <w:t>inform the Commission of the identity of the designated national cybersecurity certification authorities</w:t>
                  </w:r>
                  <w:r w:rsidRPr="006F001C">
                    <w:rPr>
                      <w:rFonts w:eastAsia="Times New Roman"/>
                      <w:noProof/>
                      <w:color w:val="000000"/>
                      <w:sz w:val="22"/>
                      <w:lang w:eastAsia="en-IE"/>
                    </w:rPr>
                    <w:t>. Where a Member State designates more than one authority, it shall also inform the Commission about the tasks assigned to each of those authorities.</w:t>
                  </w:r>
                  <w:r w:rsidRPr="006F001C">
                    <w:rPr>
                      <w:rFonts w:eastAsia="Times New Roman"/>
                      <w:noProof/>
                      <w:color w:val="000000"/>
                      <w:sz w:val="22"/>
                      <w:lang w:val="en-IE" w:eastAsia="en-IE"/>
                    </w:rPr>
                    <w:t> </w:t>
                  </w:r>
                </w:p>
                <w:p w14:paraId="3A24E91E"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Pr>
                      <w:rFonts w:eastAsia="Times New Roman"/>
                      <w:noProof/>
                      <w:color w:val="000000" w:themeColor="text1"/>
                      <w:sz w:val="22"/>
                      <w:lang w:eastAsia="en-IE"/>
                    </w:rPr>
                    <w:t>6</w:t>
                  </w:r>
                  <w:r w:rsidRPr="683510C5">
                    <w:rPr>
                      <w:rFonts w:eastAsia="Times New Roman"/>
                      <w:noProof/>
                      <w:color w:val="000000" w:themeColor="text1"/>
                      <w:sz w:val="22"/>
                      <w:lang w:eastAsia="en-IE"/>
                    </w:rPr>
                    <w:t>. National cybersecurity certification authorities shall:</w:t>
                  </w:r>
                  <w:r w:rsidRPr="683510C5">
                    <w:rPr>
                      <w:rFonts w:eastAsia="Times New Roman"/>
                      <w:noProof/>
                      <w:color w:val="000000" w:themeColor="text1"/>
                      <w:sz w:val="22"/>
                      <w:lang w:val="en-IE" w:eastAsia="en-IE"/>
                    </w:rPr>
                    <w:t> </w:t>
                  </w:r>
                </w:p>
                <w:p w14:paraId="350FF8DE" w14:textId="77777777" w:rsidR="007A5304" w:rsidRPr="00291CE2" w:rsidRDefault="007A5304">
                  <w:pPr>
                    <w:spacing w:before="0" w:after="0"/>
                    <w:textAlignment w:val="baseline"/>
                    <w:rPr>
                      <w:rFonts w:eastAsia="Times New Roman"/>
                      <w:noProof/>
                      <w:color w:val="000000" w:themeColor="text1"/>
                      <w:sz w:val="22"/>
                      <w:lang w:eastAsia="en-IE"/>
                    </w:rPr>
                  </w:pPr>
                  <w:r w:rsidRPr="683510C5">
                    <w:rPr>
                      <w:rFonts w:eastAsia="Times New Roman"/>
                      <w:noProof/>
                      <w:color w:val="000000" w:themeColor="text1"/>
                      <w:sz w:val="22"/>
                      <w:lang w:eastAsia="en-IE"/>
                    </w:rPr>
                    <w:t>(</w:t>
                  </w:r>
                  <w:r>
                    <w:rPr>
                      <w:rFonts w:eastAsia="Times New Roman"/>
                      <w:noProof/>
                      <w:color w:val="000000" w:themeColor="text1"/>
                      <w:sz w:val="22"/>
                      <w:lang w:eastAsia="en-IE"/>
                    </w:rPr>
                    <w:t>c</w:t>
                  </w:r>
                  <w:r w:rsidRPr="683510C5">
                    <w:rPr>
                      <w:rFonts w:eastAsia="Times New Roman"/>
                      <w:noProof/>
                      <w:color w:val="000000" w:themeColor="text1"/>
                      <w:sz w:val="22"/>
                      <w:lang w:eastAsia="en-IE"/>
                    </w:rPr>
                    <w:t xml:space="preserve">) </w:t>
                  </w:r>
                  <w:r w:rsidRPr="00291CE2">
                    <w:rPr>
                      <w:rFonts w:eastAsia="Times New Roman"/>
                      <w:b/>
                      <w:noProof/>
                      <w:color w:val="000000" w:themeColor="text1"/>
                      <w:sz w:val="22"/>
                      <w:lang w:eastAsia="en-IE"/>
                    </w:rPr>
                    <w:t>monitor, in cooperation with relevant market surveillance authorities, compliance with and enforce the obligations of the manufacturers or providers</w:t>
                  </w:r>
                  <w:r w:rsidRPr="00291CE2">
                    <w:rPr>
                      <w:rFonts w:eastAsia="Times New Roman"/>
                      <w:noProof/>
                      <w:color w:val="000000" w:themeColor="text1"/>
                      <w:sz w:val="22"/>
                      <w:lang w:eastAsia="en-IE"/>
                    </w:rPr>
                    <w:t xml:space="preserve"> of ICT products, ICT services, ICT processes, managed security services or entities the cyber posture of which is certified set out in this Regulation that are established in their respective territories and that carry out conformity self-assessment and in the corresponding European cybersecurity</w:t>
                  </w:r>
                </w:p>
                <w:p w14:paraId="40CB35BD" w14:textId="77777777" w:rsidR="007A5304" w:rsidRPr="00291CE2" w:rsidRDefault="007A5304">
                  <w:pPr>
                    <w:spacing w:before="0" w:after="0"/>
                    <w:textAlignment w:val="baseline"/>
                    <w:rPr>
                      <w:rFonts w:eastAsia="Times New Roman"/>
                      <w:noProof/>
                      <w:color w:val="000000" w:themeColor="text1"/>
                      <w:sz w:val="22"/>
                      <w:lang w:eastAsia="en-IE"/>
                    </w:rPr>
                  </w:pPr>
                  <w:r w:rsidRPr="00291CE2">
                    <w:rPr>
                      <w:rFonts w:eastAsia="Times New Roman"/>
                      <w:noProof/>
                      <w:color w:val="000000" w:themeColor="text1"/>
                      <w:sz w:val="22"/>
                      <w:lang w:eastAsia="en-IE"/>
                    </w:rPr>
                    <w:t>certification scheme;</w:t>
                  </w:r>
                </w:p>
                <w:p w14:paraId="4ED96C60" w14:textId="77777777" w:rsidR="007A5304" w:rsidRDefault="007A5304">
                  <w:pPr>
                    <w:spacing w:before="0" w:after="0"/>
                    <w:textAlignment w:val="baseline"/>
                    <w:rPr>
                      <w:rFonts w:eastAsia="Times New Roman"/>
                      <w:noProof/>
                      <w:color w:val="000000"/>
                      <w:sz w:val="22"/>
                      <w:lang w:val="en-IE" w:eastAsia="en-IE"/>
                    </w:rPr>
                  </w:pPr>
                  <w:r w:rsidRPr="08147E2A">
                    <w:rPr>
                      <w:rFonts w:eastAsia="Times New Roman"/>
                      <w:noProof/>
                      <w:color w:val="000000" w:themeColor="text1"/>
                      <w:sz w:val="22"/>
                      <w:lang w:eastAsia="en-IE"/>
                    </w:rPr>
                    <w:t>(d)</w:t>
                  </w:r>
                  <w:r>
                    <w:rPr>
                      <w:noProof/>
                    </w:rPr>
                    <w:tab/>
                  </w:r>
                  <w:r w:rsidRPr="08147E2A">
                    <w:rPr>
                      <w:rFonts w:eastAsia="Times New Roman"/>
                      <w:noProof/>
                      <w:color w:val="000000" w:themeColor="text1"/>
                      <w:sz w:val="22"/>
                      <w:lang w:eastAsia="en-IE"/>
                    </w:rPr>
                    <w:t>without prejudice to Article 91(3), </w:t>
                  </w:r>
                  <w:r w:rsidRPr="08147E2A">
                    <w:rPr>
                      <w:rFonts w:eastAsia="Times New Roman"/>
                      <w:b/>
                      <w:noProof/>
                      <w:color w:val="000000" w:themeColor="text1"/>
                      <w:sz w:val="22"/>
                      <w:lang w:eastAsia="en-IE"/>
                    </w:rPr>
                    <w:t>actively assist and support the national accreditation bodies or other relevant authorities in the monitoring and supervision</w:t>
                  </w:r>
                  <w:r w:rsidRPr="08147E2A">
                    <w:rPr>
                      <w:rFonts w:eastAsia="Times New Roman"/>
                      <w:noProof/>
                      <w:color w:val="000000" w:themeColor="text1"/>
                      <w:sz w:val="22"/>
                      <w:lang w:eastAsia="en-IE"/>
                    </w:rPr>
                    <w:t> of the activities of conformity assessment bodies, for the purposes of this Regulation;</w:t>
                  </w:r>
                  <w:r w:rsidRPr="08147E2A">
                    <w:rPr>
                      <w:rFonts w:eastAsia="Times New Roman"/>
                      <w:noProof/>
                      <w:color w:val="000000" w:themeColor="text1"/>
                      <w:sz w:val="22"/>
                      <w:lang w:val="en-IE" w:eastAsia="en-IE"/>
                    </w:rPr>
                    <w:t> </w:t>
                  </w:r>
                </w:p>
                <w:p w14:paraId="061F7B1E"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8147E2A">
                    <w:rPr>
                      <w:rFonts w:ascii="Segoe UI" w:eastAsia="Times New Roman" w:hAnsi="Segoe UI" w:cs="Segoe UI"/>
                      <w:noProof/>
                      <w:sz w:val="18"/>
                      <w:szCs w:val="18"/>
                      <w:lang w:val="en-IE" w:eastAsia="en-IE"/>
                    </w:rPr>
                    <w:t>(</w:t>
                  </w:r>
                  <w:r w:rsidRPr="00291CE2">
                    <w:rPr>
                      <w:rFonts w:eastAsia="Times New Roman"/>
                      <w:noProof/>
                      <w:color w:val="000000" w:themeColor="text1"/>
                      <w:sz w:val="22"/>
                      <w:lang w:eastAsia="en-IE"/>
                    </w:rPr>
                    <w:t>e)</w:t>
                  </w:r>
                  <w:r>
                    <w:rPr>
                      <w:noProof/>
                    </w:rPr>
                    <w:tab/>
                  </w:r>
                  <w:r w:rsidRPr="00291CE2">
                    <w:rPr>
                      <w:rFonts w:eastAsia="Times New Roman"/>
                      <w:noProof/>
                      <w:color w:val="000000" w:themeColor="text1"/>
                      <w:sz w:val="22"/>
                      <w:lang w:eastAsia="en-IE"/>
                    </w:rPr>
                    <w:t>cooperate with the European Commission where the competence of a conformity assessment body is challenged pursuant to Article 94;</w:t>
                  </w:r>
                  <w:r w:rsidRPr="08147E2A">
                    <w:rPr>
                      <w:rFonts w:ascii="Segoe UI" w:eastAsia="Times New Roman" w:hAnsi="Segoe UI" w:cs="Segoe UI"/>
                      <w:noProof/>
                      <w:sz w:val="18"/>
                      <w:szCs w:val="18"/>
                      <w:lang w:val="en-IE" w:eastAsia="en-IE"/>
                    </w:rPr>
                    <w:t xml:space="preserve"> </w:t>
                  </w:r>
                </w:p>
                <w:p w14:paraId="00C2D205"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color w:val="000000"/>
                      <w:sz w:val="22"/>
                      <w:lang w:eastAsia="en-IE"/>
                    </w:rPr>
                    <w:t>(</w:t>
                  </w:r>
                  <w:r>
                    <w:rPr>
                      <w:rFonts w:eastAsia="Times New Roman"/>
                      <w:noProof/>
                      <w:color w:val="000000"/>
                      <w:sz w:val="22"/>
                      <w:lang w:eastAsia="en-IE"/>
                    </w:rPr>
                    <w:t>f</w:t>
                  </w:r>
                  <w:r w:rsidRPr="006F001C">
                    <w:rPr>
                      <w:rFonts w:eastAsia="Times New Roman"/>
                      <w:noProof/>
                      <w:color w:val="000000"/>
                      <w:sz w:val="22"/>
                      <w:lang w:eastAsia="en-IE"/>
                    </w:rPr>
                    <w:t>)</w:t>
                  </w:r>
                  <w:r w:rsidRPr="006F001C">
                    <w:rPr>
                      <w:rFonts w:ascii="Calibri" w:eastAsia="Times New Roman" w:hAnsi="Calibri" w:cs="Calibri"/>
                      <w:noProof/>
                      <w:color w:val="000000"/>
                      <w:sz w:val="22"/>
                      <w:lang w:val="en-IE" w:eastAsia="en-IE"/>
                    </w:rPr>
                    <w:tab/>
                  </w:r>
                  <w:r w:rsidRPr="006F001C">
                    <w:rPr>
                      <w:rFonts w:eastAsia="Times New Roman"/>
                      <w:b/>
                      <w:bCs/>
                      <w:noProof/>
                      <w:color w:val="000000"/>
                      <w:sz w:val="22"/>
                      <w:lang w:eastAsia="en-IE"/>
                    </w:rPr>
                    <w:t>monitor and supervise the activities</w:t>
                  </w:r>
                  <w:r w:rsidRPr="006F001C">
                    <w:rPr>
                      <w:rFonts w:eastAsia="Times New Roman"/>
                      <w:noProof/>
                      <w:color w:val="000000"/>
                      <w:sz w:val="22"/>
                      <w:lang w:eastAsia="en-IE"/>
                    </w:rPr>
                    <w:t> of the public bodies referred to in Article 85(3);</w:t>
                  </w:r>
                  <w:r w:rsidRPr="006F001C">
                    <w:rPr>
                      <w:rFonts w:eastAsia="Times New Roman"/>
                      <w:noProof/>
                      <w:color w:val="000000"/>
                      <w:sz w:val="22"/>
                      <w:lang w:val="en-IE" w:eastAsia="en-IE"/>
                    </w:rPr>
                    <w:t> </w:t>
                  </w:r>
                </w:p>
                <w:p w14:paraId="4CFFAC0F"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color w:val="000000"/>
                      <w:sz w:val="22"/>
                      <w:lang w:eastAsia="en-IE"/>
                    </w:rPr>
                    <w:t>(</w:t>
                  </w:r>
                  <w:r>
                    <w:rPr>
                      <w:rFonts w:eastAsia="Times New Roman"/>
                      <w:noProof/>
                      <w:color w:val="000000"/>
                      <w:sz w:val="22"/>
                      <w:lang w:eastAsia="en-IE"/>
                    </w:rPr>
                    <w:t>g</w:t>
                  </w:r>
                  <w:r w:rsidRPr="006F001C">
                    <w:rPr>
                      <w:rFonts w:eastAsia="Times New Roman"/>
                      <w:noProof/>
                      <w:color w:val="000000"/>
                      <w:sz w:val="22"/>
                      <w:lang w:eastAsia="en-IE"/>
                    </w:rPr>
                    <w:t>)</w:t>
                  </w:r>
                  <w:r w:rsidRPr="006F001C">
                    <w:rPr>
                      <w:rFonts w:ascii="Calibri" w:eastAsia="Times New Roman" w:hAnsi="Calibri" w:cs="Calibri"/>
                      <w:noProof/>
                      <w:color w:val="000000"/>
                      <w:sz w:val="22"/>
                      <w:lang w:val="en-IE" w:eastAsia="en-IE"/>
                    </w:rPr>
                    <w:tab/>
                  </w:r>
                  <w:r w:rsidRPr="006F001C">
                    <w:rPr>
                      <w:rFonts w:eastAsia="Times New Roman"/>
                      <w:noProof/>
                      <w:color w:val="000000"/>
                      <w:sz w:val="22"/>
                      <w:lang w:eastAsia="en-IE"/>
                    </w:rPr>
                    <w:t>where applicable, authorise conformity assessment bodies in accordance with Article 93, monitor compliance with and enforce the obligations of conformity assessment bodies with the specific or additional requirements set out in European cybersecurity certification schemes pursuant to Article 81(3),</w:t>
                  </w:r>
                  <w:r>
                    <w:rPr>
                      <w:rFonts w:eastAsia="Times New Roman"/>
                      <w:noProof/>
                      <w:color w:val="000000"/>
                      <w:sz w:val="22"/>
                      <w:lang w:eastAsia="en-IE"/>
                    </w:rPr>
                    <w:t xml:space="preserve"> point (f),</w:t>
                  </w:r>
                  <w:r w:rsidRPr="006F001C">
                    <w:rPr>
                      <w:rFonts w:eastAsia="Times New Roman"/>
                      <w:noProof/>
                      <w:color w:val="000000"/>
                      <w:sz w:val="22"/>
                      <w:lang w:eastAsia="en-IE"/>
                    </w:rPr>
                    <w:t xml:space="preserve"> and restrict, suspend or withdraw existing authorisation where conformity assessment bodies </w:t>
                  </w:r>
                  <w:r>
                    <w:rPr>
                      <w:rFonts w:eastAsia="Times New Roman"/>
                      <w:noProof/>
                      <w:color w:val="000000"/>
                      <w:sz w:val="22"/>
                      <w:lang w:eastAsia="en-IE"/>
                    </w:rPr>
                    <w:t>do not meet</w:t>
                  </w:r>
                  <w:r w:rsidRPr="006F001C">
                    <w:rPr>
                      <w:rFonts w:eastAsia="Times New Roman"/>
                      <w:noProof/>
                      <w:color w:val="000000"/>
                      <w:sz w:val="22"/>
                      <w:lang w:eastAsia="en-IE"/>
                    </w:rPr>
                    <w:t xml:space="preserve"> the requirements of this Regulation;</w:t>
                  </w:r>
                  <w:r w:rsidRPr="006F001C">
                    <w:rPr>
                      <w:rFonts w:eastAsia="Times New Roman"/>
                      <w:noProof/>
                      <w:color w:val="000000"/>
                      <w:sz w:val="22"/>
                      <w:lang w:val="en-IE" w:eastAsia="en-IE"/>
                    </w:rPr>
                    <w:t> </w:t>
                  </w:r>
                </w:p>
                <w:p w14:paraId="077895AB"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color w:val="000000"/>
                      <w:sz w:val="22"/>
                      <w:lang w:eastAsia="en-IE"/>
                    </w:rPr>
                    <w:t>(</w:t>
                  </w:r>
                  <w:r>
                    <w:rPr>
                      <w:rFonts w:eastAsia="Times New Roman"/>
                      <w:noProof/>
                      <w:color w:val="000000"/>
                      <w:sz w:val="22"/>
                      <w:lang w:eastAsia="en-IE"/>
                    </w:rPr>
                    <w:t>h</w:t>
                  </w:r>
                  <w:r w:rsidRPr="006F001C">
                    <w:rPr>
                      <w:rFonts w:eastAsia="Times New Roman"/>
                      <w:noProof/>
                      <w:color w:val="000000"/>
                      <w:sz w:val="22"/>
                      <w:lang w:eastAsia="en-IE"/>
                    </w:rPr>
                    <w:t>)</w:t>
                  </w:r>
                  <w:r w:rsidRPr="006F001C">
                    <w:rPr>
                      <w:rFonts w:ascii="Calibri" w:eastAsia="Times New Roman" w:hAnsi="Calibri" w:cs="Calibri"/>
                      <w:noProof/>
                      <w:color w:val="000000"/>
                      <w:sz w:val="22"/>
                      <w:lang w:val="en-IE" w:eastAsia="en-IE"/>
                    </w:rPr>
                    <w:tab/>
                  </w:r>
                  <w:r w:rsidRPr="006F001C">
                    <w:rPr>
                      <w:rFonts w:eastAsia="Times New Roman"/>
                      <w:b/>
                      <w:bCs/>
                      <w:noProof/>
                      <w:color w:val="000000"/>
                      <w:sz w:val="22"/>
                      <w:lang w:eastAsia="en-IE"/>
                    </w:rPr>
                    <w:t>handle complaints</w:t>
                  </w:r>
                  <w:r w:rsidRPr="006F001C">
                    <w:rPr>
                      <w:rFonts w:eastAsia="Times New Roman"/>
                      <w:noProof/>
                      <w:color w:val="000000"/>
                      <w:sz w:val="22"/>
                      <w:lang w:eastAsia="en-IE"/>
                    </w:rPr>
                    <w:t> by natural or legal persons in relation to European cybersecurity certificates issued by national cybersecurity certification authorities or to European cybersecurity certificates issued by conformity assessment bodies in accordance with [Article 85(4)] or in relation to EU statements of conformity issued under Article 83, investigate the subject matter of such complaints to the extent appropriate, and inform the complainant of the progress and the outcome of the investigation within a reasonable period;</w:t>
                  </w:r>
                  <w:r w:rsidRPr="006F001C">
                    <w:rPr>
                      <w:rFonts w:eastAsia="Times New Roman"/>
                      <w:noProof/>
                      <w:color w:val="000000"/>
                      <w:sz w:val="22"/>
                      <w:lang w:val="en-IE" w:eastAsia="en-IE"/>
                    </w:rPr>
                    <w:t> </w:t>
                  </w:r>
                </w:p>
                <w:p w14:paraId="3812745F"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color w:val="000000"/>
                      <w:sz w:val="22"/>
                      <w:lang w:eastAsia="en-IE"/>
                    </w:rPr>
                    <w:t>(</w:t>
                  </w:r>
                  <w:r>
                    <w:rPr>
                      <w:rFonts w:eastAsia="Times New Roman"/>
                      <w:noProof/>
                      <w:color w:val="000000"/>
                      <w:sz w:val="22"/>
                      <w:lang w:eastAsia="en-IE"/>
                    </w:rPr>
                    <w:t>i</w:t>
                  </w:r>
                  <w:r w:rsidRPr="006F001C">
                    <w:rPr>
                      <w:rFonts w:eastAsia="Times New Roman"/>
                      <w:noProof/>
                      <w:color w:val="000000"/>
                      <w:sz w:val="22"/>
                      <w:lang w:eastAsia="en-IE"/>
                    </w:rPr>
                    <w:t>)</w:t>
                  </w:r>
                  <w:r w:rsidRPr="006F001C">
                    <w:rPr>
                      <w:rFonts w:ascii="Calibri" w:eastAsia="Times New Roman" w:hAnsi="Calibri" w:cs="Calibri"/>
                      <w:noProof/>
                      <w:color w:val="000000"/>
                      <w:sz w:val="22"/>
                      <w:lang w:val="en-IE" w:eastAsia="en-IE"/>
                    </w:rPr>
                    <w:tab/>
                  </w:r>
                  <w:r w:rsidRPr="00291CE2">
                    <w:rPr>
                      <w:rFonts w:eastAsia="Times New Roman"/>
                      <w:noProof/>
                      <w:color w:val="000000"/>
                      <w:sz w:val="22"/>
                      <w:lang w:eastAsia="en-IE"/>
                    </w:rPr>
                    <w:t xml:space="preserve">provide an annual report on its main activities to the Commission, ENISA and the ECCG by 31 March [year of entry into force + 12 months] each year, and make these reports available to the peer review team where the national cybersecurity certification authority is subject to peer review in accordance with Article 89;  </w:t>
                  </w:r>
                </w:p>
                <w:p w14:paraId="370743A5"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color w:val="000000"/>
                      <w:sz w:val="22"/>
                      <w:lang w:eastAsia="en-IE"/>
                    </w:rPr>
                    <w:t>(</w:t>
                  </w:r>
                  <w:r>
                    <w:rPr>
                      <w:rFonts w:eastAsia="Times New Roman"/>
                      <w:noProof/>
                      <w:color w:val="000000"/>
                      <w:sz w:val="22"/>
                      <w:lang w:eastAsia="en-IE"/>
                    </w:rPr>
                    <w:t>j</w:t>
                  </w:r>
                  <w:r w:rsidRPr="006F001C">
                    <w:rPr>
                      <w:rFonts w:eastAsia="Times New Roman"/>
                      <w:noProof/>
                      <w:color w:val="000000"/>
                      <w:sz w:val="22"/>
                      <w:lang w:eastAsia="en-IE"/>
                    </w:rPr>
                    <w:t>)</w:t>
                  </w:r>
                  <w:r w:rsidRPr="006F001C">
                    <w:rPr>
                      <w:rFonts w:ascii="Calibri" w:eastAsia="Times New Roman" w:hAnsi="Calibri" w:cs="Calibri"/>
                      <w:noProof/>
                      <w:color w:val="000000"/>
                      <w:sz w:val="22"/>
                      <w:lang w:val="en-IE" w:eastAsia="en-IE"/>
                    </w:rPr>
                    <w:tab/>
                  </w:r>
                  <w:r w:rsidRPr="006F001C">
                    <w:rPr>
                      <w:rFonts w:eastAsia="Times New Roman"/>
                      <w:b/>
                      <w:bCs/>
                      <w:noProof/>
                      <w:color w:val="000000"/>
                      <w:sz w:val="22"/>
                      <w:lang w:eastAsia="en-IE"/>
                    </w:rPr>
                    <w:t>cooperate with other national cybersecurity certification authorities</w:t>
                  </w:r>
                  <w:r w:rsidRPr="006F001C">
                    <w:rPr>
                      <w:rFonts w:eastAsia="Times New Roman"/>
                      <w:noProof/>
                      <w:color w:val="000000"/>
                      <w:sz w:val="22"/>
                      <w:lang w:eastAsia="en-IE"/>
                    </w:rPr>
                    <w:t>, market surveillance authorities or other public authorities, including by sharing information on the possible non-compliance of ICT products, ICT services, ICT processes, managed security services and cyber posture of entities with the requirements of this Regulation or with the requirements of specific European cybersecurity certification schemes;</w:t>
                  </w:r>
                </w:p>
                <w:p w14:paraId="2CBAD055"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color w:val="000000"/>
                      <w:sz w:val="22"/>
                      <w:lang w:eastAsia="en-IE"/>
                    </w:rPr>
                    <w:t>(</w:t>
                  </w:r>
                  <w:r>
                    <w:rPr>
                      <w:rFonts w:eastAsia="Times New Roman"/>
                      <w:noProof/>
                      <w:color w:val="000000"/>
                      <w:sz w:val="22"/>
                      <w:lang w:eastAsia="en-IE"/>
                    </w:rPr>
                    <w:t>k</w:t>
                  </w:r>
                  <w:r w:rsidRPr="006F001C">
                    <w:rPr>
                      <w:rFonts w:eastAsia="Times New Roman"/>
                      <w:noProof/>
                      <w:color w:val="000000"/>
                      <w:sz w:val="22"/>
                      <w:lang w:eastAsia="en-IE"/>
                    </w:rPr>
                    <w:t>)</w:t>
                  </w:r>
                  <w:r w:rsidRPr="006F001C">
                    <w:rPr>
                      <w:rFonts w:ascii="Calibri" w:eastAsia="Times New Roman" w:hAnsi="Calibri" w:cs="Calibri"/>
                      <w:noProof/>
                      <w:color w:val="000000"/>
                      <w:sz w:val="22"/>
                      <w:lang w:val="en-IE" w:eastAsia="en-IE"/>
                    </w:rPr>
                    <w:tab/>
                  </w:r>
                  <w:r w:rsidRPr="006F001C">
                    <w:rPr>
                      <w:rFonts w:eastAsia="Times New Roman"/>
                      <w:b/>
                      <w:bCs/>
                      <w:noProof/>
                      <w:color w:val="000000"/>
                      <w:sz w:val="22"/>
                      <w:lang w:eastAsia="en-IE"/>
                    </w:rPr>
                    <w:t>monitor relevant developments in the field of cybersecurity certification</w:t>
                  </w:r>
                  <w:r w:rsidRPr="006F001C">
                    <w:rPr>
                      <w:rFonts w:eastAsia="Times New Roman"/>
                      <w:noProof/>
                      <w:color w:val="000000"/>
                      <w:sz w:val="22"/>
                      <w:lang w:eastAsia="en-IE"/>
                    </w:rPr>
                    <w:t>.</w:t>
                  </w:r>
                  <w:r w:rsidRPr="006F001C">
                    <w:rPr>
                      <w:rFonts w:eastAsia="Times New Roman"/>
                      <w:noProof/>
                      <w:color w:val="000000"/>
                      <w:sz w:val="22"/>
                      <w:lang w:val="en-IE" w:eastAsia="en-IE"/>
                    </w:rPr>
                    <w:t> </w:t>
                  </w:r>
                </w:p>
                <w:p w14:paraId="15D719FC"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4454EEB">
                    <w:rPr>
                      <w:rFonts w:eastAsia="Times New Roman"/>
                      <w:noProof/>
                      <w:color w:val="000000" w:themeColor="text1"/>
                      <w:sz w:val="22"/>
                      <w:lang w:val="en-IE" w:eastAsia="en-IE"/>
                    </w:rPr>
                    <w:t> </w:t>
                  </w:r>
                </w:p>
                <w:p w14:paraId="780C887F" w14:textId="77777777" w:rsidR="007A5304" w:rsidRDefault="007A5304">
                  <w:pPr>
                    <w:spacing w:before="0" w:after="0"/>
                    <w:textAlignment w:val="baseline"/>
                    <w:rPr>
                      <w:rFonts w:eastAsia="Times New Roman"/>
                      <w:noProof/>
                      <w:color w:val="000000"/>
                      <w:sz w:val="22"/>
                      <w:lang w:val="en-IE" w:eastAsia="en-IE"/>
                    </w:rPr>
                  </w:pPr>
                  <w:r w:rsidRPr="04454EEB">
                    <w:rPr>
                      <w:rFonts w:eastAsia="Times New Roman"/>
                      <w:noProof/>
                      <w:color w:val="000000" w:themeColor="text1"/>
                      <w:sz w:val="22"/>
                      <w:lang w:eastAsia="en-IE"/>
                    </w:rPr>
                    <w:t>8. National cybersecurity certification authorities shall cooperate with each other and with the Commission, in particular, by </w:t>
                  </w:r>
                  <w:r w:rsidRPr="4F53AEA9">
                    <w:rPr>
                      <w:rFonts w:eastAsia="Times New Roman"/>
                      <w:b/>
                      <w:noProof/>
                      <w:color w:val="000000" w:themeColor="text1"/>
                      <w:sz w:val="22"/>
                      <w:lang w:eastAsia="en-IE"/>
                    </w:rPr>
                    <w:t>exchanging information, experience and good practices</w:t>
                  </w:r>
                  <w:r w:rsidRPr="04454EEB">
                    <w:rPr>
                      <w:rFonts w:eastAsia="Times New Roman"/>
                      <w:noProof/>
                      <w:color w:val="000000" w:themeColor="text1"/>
                      <w:sz w:val="22"/>
                      <w:lang w:eastAsia="en-IE"/>
                    </w:rPr>
                    <w:t> as regards cybersecurity certification and technical issues concerning the cybersecurity of ICT products, ICT services, ICT processes, managed security services and the cyber posture of entities.</w:t>
                  </w:r>
                  <w:r w:rsidRPr="04454EEB">
                    <w:rPr>
                      <w:rFonts w:eastAsia="Times New Roman"/>
                      <w:noProof/>
                      <w:color w:val="000000" w:themeColor="text1"/>
                      <w:sz w:val="22"/>
                      <w:lang w:val="en-IE" w:eastAsia="en-IE"/>
                    </w:rPr>
                    <w:t> </w:t>
                  </w:r>
                </w:p>
                <w:p w14:paraId="13DD79EF" w14:textId="77777777" w:rsidR="007A5304" w:rsidRDefault="007A5304">
                  <w:pPr>
                    <w:spacing w:before="0" w:after="0"/>
                    <w:textAlignment w:val="baseline"/>
                    <w:rPr>
                      <w:rFonts w:eastAsia="Times New Roman"/>
                      <w:noProof/>
                      <w:color w:val="000000"/>
                      <w:sz w:val="22"/>
                      <w:lang w:val="en-IE" w:eastAsia="en-IE"/>
                    </w:rPr>
                  </w:pPr>
                </w:p>
                <w:p w14:paraId="329B7ACD"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291CE2">
                    <w:rPr>
                      <w:rFonts w:eastAsia="Times New Roman"/>
                      <w:noProof/>
                      <w:color w:val="000000"/>
                      <w:sz w:val="22"/>
                      <w:lang w:eastAsia="en-IE"/>
                    </w:rPr>
                    <w:t>9.</w:t>
                  </w:r>
                  <w:r w:rsidRPr="00291CE2">
                    <w:rPr>
                      <w:rFonts w:eastAsia="Times New Roman"/>
                      <w:noProof/>
                      <w:color w:val="000000"/>
                      <w:sz w:val="22"/>
                      <w:lang w:eastAsia="en-IE"/>
                    </w:rPr>
                    <w:tab/>
                    <w:t>By [entry into force + 6 months], ENISA shall develop a template for the report referred to in paragraph 6 point (i) of this Article, in cooperation with the Commission and the ECCG.</w:t>
                  </w:r>
                </w:p>
              </w:tc>
              <w:tc>
                <w:tcPr>
                  <w:tcW w:w="3015" w:type="dxa"/>
                  <w:tcBorders>
                    <w:top w:val="single" w:sz="6" w:space="0" w:color="auto"/>
                    <w:left w:val="single" w:sz="6" w:space="0" w:color="auto"/>
                    <w:bottom w:val="single" w:sz="6" w:space="0" w:color="auto"/>
                    <w:right w:val="single" w:sz="6" w:space="0" w:color="auto"/>
                  </w:tcBorders>
                  <w:hideMark/>
                </w:tcPr>
                <w:p w14:paraId="11C2CE10"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ENISA</w:t>
                  </w:r>
                  <w:r w:rsidRPr="006F001C">
                    <w:rPr>
                      <w:rFonts w:eastAsia="Times New Roman"/>
                      <w:noProof/>
                      <w:sz w:val="22"/>
                      <w:lang w:val="en-IE" w:eastAsia="en-IE"/>
                    </w:rPr>
                    <w:t> </w:t>
                  </w:r>
                </w:p>
                <w:p w14:paraId="7967E924"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Member States authorities</w:t>
                  </w:r>
                  <w:r w:rsidRPr="006F001C">
                    <w:rPr>
                      <w:rFonts w:eastAsia="Times New Roman"/>
                      <w:noProof/>
                      <w:sz w:val="22"/>
                      <w:lang w:val="en-IE" w:eastAsia="en-IE"/>
                    </w:rPr>
                    <w:t> </w:t>
                  </w:r>
                </w:p>
                <w:p w14:paraId="22680629"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EU Commission</w:t>
                  </w:r>
                  <w:r w:rsidRPr="006F001C">
                    <w:rPr>
                      <w:rFonts w:eastAsia="Times New Roman"/>
                      <w:noProof/>
                      <w:sz w:val="22"/>
                      <w:lang w:val="en-IE" w:eastAsia="en-IE"/>
                    </w:rPr>
                    <w:t> </w:t>
                  </w:r>
                </w:p>
                <w:p w14:paraId="0BC124F2"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General public</w:t>
                  </w:r>
                  <w:r w:rsidRPr="006F001C">
                    <w:rPr>
                      <w:rFonts w:eastAsia="Times New Roman"/>
                      <w:noProof/>
                      <w:sz w:val="22"/>
                      <w:lang w:val="en-IE" w:eastAsia="en-IE"/>
                    </w:rPr>
                    <w:t> </w:t>
                  </w:r>
                </w:p>
                <w:p w14:paraId="0BB3076C"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Conformity assessment bodies</w:t>
                  </w:r>
                  <w:r w:rsidRPr="006F001C">
                    <w:rPr>
                      <w:rFonts w:eastAsia="Times New Roman"/>
                      <w:noProof/>
                      <w:sz w:val="22"/>
                      <w:lang w:val="en-IE" w:eastAsia="en-IE"/>
                    </w:rPr>
                    <w:t> </w:t>
                  </w:r>
                </w:p>
              </w:tc>
              <w:tc>
                <w:tcPr>
                  <w:tcW w:w="3040" w:type="dxa"/>
                  <w:tcBorders>
                    <w:top w:val="single" w:sz="6" w:space="0" w:color="auto"/>
                    <w:left w:val="single" w:sz="6" w:space="0" w:color="auto"/>
                    <w:bottom w:val="single" w:sz="6" w:space="0" w:color="auto"/>
                    <w:right w:val="single" w:sz="6" w:space="0" w:color="auto"/>
                  </w:tcBorders>
                  <w:hideMark/>
                </w:tcPr>
                <w:p w14:paraId="6E3073DA"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color w:val="000000"/>
                      <w:sz w:val="22"/>
                      <w:lang w:eastAsia="en-IE"/>
                    </w:rPr>
                    <w:t>Member State shall inform the Commission of the designated NCCAs</w:t>
                  </w:r>
                  <w:r w:rsidRPr="006F001C">
                    <w:rPr>
                      <w:rFonts w:eastAsia="Times New Roman"/>
                      <w:noProof/>
                      <w:color w:val="000000"/>
                      <w:sz w:val="22"/>
                      <w:lang w:val="en-IE" w:eastAsia="en-IE"/>
                    </w:rPr>
                    <w:t> </w:t>
                  </w:r>
                </w:p>
                <w:p w14:paraId="53D9662F"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color w:val="000000"/>
                      <w:sz w:val="22"/>
                      <w:lang w:eastAsia="en-IE"/>
                    </w:rPr>
                    <w:t>Member states authorities shall conduct various tasks of monitoring, supervision and cooperation that require data flows and date processing</w:t>
                  </w:r>
                  <w:r w:rsidRPr="006F001C">
                    <w:rPr>
                      <w:rFonts w:eastAsia="Times New Roman"/>
                      <w:noProof/>
                      <w:color w:val="000000"/>
                      <w:sz w:val="22"/>
                      <w:lang w:val="en-IE" w:eastAsia="en-IE"/>
                    </w:rPr>
                    <w:t> </w:t>
                  </w:r>
                </w:p>
              </w:tc>
              <w:tc>
                <w:tcPr>
                  <w:tcW w:w="1281" w:type="dxa"/>
                  <w:tcBorders>
                    <w:top w:val="single" w:sz="6" w:space="0" w:color="auto"/>
                    <w:left w:val="single" w:sz="6" w:space="0" w:color="auto"/>
                    <w:bottom w:val="single" w:sz="6" w:space="0" w:color="auto"/>
                    <w:right w:val="single" w:sz="6" w:space="0" w:color="auto"/>
                  </w:tcBorders>
                  <w:hideMark/>
                </w:tcPr>
                <w:p w14:paraId="5631F9CE"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flow</w:t>
                  </w:r>
                  <w:r w:rsidRPr="006F001C">
                    <w:rPr>
                      <w:rFonts w:eastAsia="Times New Roman"/>
                      <w:noProof/>
                      <w:sz w:val="22"/>
                      <w:lang w:val="en-IE" w:eastAsia="en-IE"/>
                    </w:rPr>
                    <w:t> </w:t>
                  </w:r>
                </w:p>
                <w:p w14:paraId="564940C8"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processing</w:t>
                  </w:r>
                  <w:r w:rsidRPr="006F001C">
                    <w:rPr>
                      <w:rFonts w:eastAsia="Times New Roman"/>
                      <w:noProof/>
                      <w:sz w:val="22"/>
                      <w:lang w:val="en-IE" w:eastAsia="en-IE"/>
                    </w:rPr>
                    <w:t> </w:t>
                  </w:r>
                </w:p>
              </w:tc>
            </w:tr>
            <w:tr w:rsidR="007A5304" w:rsidRPr="006F001C" w14:paraId="5F543D1B" w14:textId="77777777">
              <w:trPr>
                <w:trHeight w:val="285"/>
              </w:trPr>
              <w:tc>
                <w:tcPr>
                  <w:tcW w:w="2887" w:type="dxa"/>
                  <w:tcBorders>
                    <w:top w:val="single" w:sz="6" w:space="0" w:color="auto"/>
                    <w:left w:val="single" w:sz="6" w:space="0" w:color="auto"/>
                    <w:bottom w:val="single" w:sz="6" w:space="0" w:color="auto"/>
                    <w:right w:val="single" w:sz="6" w:space="0" w:color="auto"/>
                  </w:tcBorders>
                  <w:hideMark/>
                </w:tcPr>
                <w:p w14:paraId="69389CD3"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Article 89</w:t>
                  </w:r>
                  <w:r w:rsidRPr="006F001C">
                    <w:rPr>
                      <w:rFonts w:eastAsia="Times New Roman"/>
                      <w:noProof/>
                      <w:sz w:val="22"/>
                      <w:lang w:val="en-IE" w:eastAsia="en-IE"/>
                    </w:rPr>
                    <w:t> </w:t>
                  </w:r>
                </w:p>
                <w:p w14:paraId="3BE52BAF"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Peer review</w:t>
                  </w:r>
                  <w:r w:rsidRPr="006F001C">
                    <w:rPr>
                      <w:rFonts w:eastAsia="Times New Roman"/>
                      <w:noProof/>
                      <w:sz w:val="22"/>
                      <w:lang w:val="en-IE" w:eastAsia="en-IE"/>
                    </w:rPr>
                    <w:t> </w:t>
                  </w:r>
                </w:p>
              </w:tc>
              <w:tc>
                <w:tcPr>
                  <w:tcW w:w="4332" w:type="dxa"/>
                  <w:tcBorders>
                    <w:top w:val="single" w:sz="6" w:space="0" w:color="auto"/>
                    <w:left w:val="single" w:sz="6" w:space="0" w:color="auto"/>
                    <w:bottom w:val="single" w:sz="6" w:space="0" w:color="auto"/>
                    <w:right w:val="single" w:sz="6" w:space="0" w:color="auto"/>
                  </w:tcBorders>
                  <w:hideMark/>
                </w:tcPr>
                <w:p w14:paraId="61C9BB07" w14:textId="77777777" w:rsidR="007A5304" w:rsidRPr="00291CE2" w:rsidRDefault="007A5304">
                  <w:pPr>
                    <w:spacing w:before="0" w:after="0"/>
                    <w:textAlignment w:val="baseline"/>
                    <w:rPr>
                      <w:rFonts w:eastAsia="Times New Roman"/>
                      <w:noProof/>
                      <w:color w:val="000000"/>
                      <w:sz w:val="22"/>
                      <w:lang w:val="en-IE" w:eastAsia="en-IE"/>
                    </w:rPr>
                  </w:pPr>
                  <w:r w:rsidRPr="00291CE2">
                    <w:rPr>
                      <w:noProof/>
                      <w:sz w:val="22"/>
                      <w:lang w:eastAsia="en-IE"/>
                    </w:rPr>
                    <w:t>5.</w:t>
                  </w:r>
                  <w:r w:rsidRPr="00291CE2">
                    <w:rPr>
                      <w:b/>
                      <w:bCs/>
                      <w:noProof/>
                      <w:sz w:val="22"/>
                      <w:lang w:eastAsia="en-IE"/>
                    </w:rPr>
                    <w:t xml:space="preserve"> ENISA shall support</w:t>
                  </w:r>
                  <w:r w:rsidRPr="00291CE2">
                    <w:rPr>
                      <w:noProof/>
                      <w:sz w:val="22"/>
                      <w:lang w:eastAsia="en-IE"/>
                    </w:rPr>
                    <w:t xml:space="preserve"> the organisation of the peer review mechanism and the peer reviews, including </w:t>
                  </w:r>
                  <w:r w:rsidRPr="00291CE2">
                    <w:rPr>
                      <w:b/>
                      <w:bCs/>
                      <w:noProof/>
                      <w:sz w:val="22"/>
                      <w:lang w:eastAsia="en-IE"/>
                    </w:rPr>
                    <w:t>by developing relevant guidance documents and templates</w:t>
                  </w:r>
                  <w:r w:rsidRPr="00291CE2">
                    <w:rPr>
                      <w:noProof/>
                      <w:sz w:val="22"/>
                      <w:lang w:eastAsia="en-IE"/>
                    </w:rPr>
                    <w:t>,</w:t>
                  </w:r>
                  <w:r w:rsidRPr="00291CE2">
                    <w:rPr>
                      <w:noProof/>
                      <w:sz w:val="22"/>
                    </w:rPr>
                    <w:t xml:space="preserve"> </w:t>
                  </w:r>
                  <w:r w:rsidRPr="00291CE2">
                    <w:rPr>
                      <w:noProof/>
                      <w:sz w:val="22"/>
                      <w:lang w:eastAsia="en-IE"/>
                    </w:rPr>
                    <w:t xml:space="preserve">in cooperation with the Commission and the ECCG.   </w:t>
                  </w:r>
                </w:p>
                <w:p w14:paraId="1318EF4F"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7. The</w:t>
                  </w:r>
                  <w:r w:rsidRPr="006F001C">
                    <w:rPr>
                      <w:rFonts w:eastAsia="Times New Roman"/>
                      <w:b/>
                      <w:bCs/>
                      <w:noProof/>
                      <w:sz w:val="22"/>
                      <w:lang w:eastAsia="en-IE"/>
                    </w:rPr>
                    <w:t> </w:t>
                  </w:r>
                  <w:r>
                    <w:rPr>
                      <w:rFonts w:eastAsia="Times New Roman"/>
                      <w:b/>
                      <w:bCs/>
                      <w:noProof/>
                      <w:sz w:val="22"/>
                      <w:lang w:eastAsia="en-IE"/>
                    </w:rPr>
                    <w:t>final report including possible</w:t>
                  </w:r>
                  <w:r w:rsidRPr="006F001C">
                    <w:rPr>
                      <w:rFonts w:eastAsia="Times New Roman"/>
                      <w:noProof/>
                      <w:sz w:val="22"/>
                      <w:lang w:eastAsia="en-IE"/>
                    </w:rPr>
                    <w:t xml:space="preserve"> guidelines or recommendations</w:t>
                  </w:r>
                  <w:r>
                    <w:rPr>
                      <w:rFonts w:eastAsia="Times New Roman"/>
                      <w:noProof/>
                      <w:sz w:val="22"/>
                      <w:lang w:eastAsia="en-IE"/>
                    </w:rPr>
                    <w:t xml:space="preserve">, the summary of the peer review shall be examined by the ECCG, which shall endorse the summary for publication on the </w:t>
                  </w:r>
                  <w:r w:rsidRPr="006F001C">
                    <w:rPr>
                      <w:rFonts w:eastAsia="Times New Roman"/>
                      <w:noProof/>
                      <w:sz w:val="22"/>
                      <w:lang w:eastAsia="en-IE"/>
                    </w:rPr>
                    <w:t>referred to in Article</w:t>
                  </w:r>
                  <w:r>
                    <w:rPr>
                      <w:rFonts w:eastAsia="Times New Roman"/>
                      <w:noProof/>
                      <w:sz w:val="22"/>
                      <w:lang w:eastAsia="en-IE"/>
                    </w:rPr>
                    <w:t xml:space="preserve"> 79(2)</w:t>
                  </w:r>
                  <w:r w:rsidRPr="006F001C">
                    <w:rPr>
                      <w:rFonts w:eastAsia="Times New Roman"/>
                      <w:noProof/>
                      <w:sz w:val="22"/>
                      <w:lang w:eastAsia="en-IE"/>
                    </w:rPr>
                    <w:t>.</w:t>
                  </w:r>
                  <w:r w:rsidRPr="006F001C">
                    <w:rPr>
                      <w:rFonts w:eastAsia="Times New Roman"/>
                      <w:noProof/>
                      <w:sz w:val="22"/>
                      <w:lang w:val="en-IE" w:eastAsia="en-IE"/>
                    </w:rPr>
                    <w:t> </w:t>
                  </w:r>
                </w:p>
              </w:tc>
              <w:tc>
                <w:tcPr>
                  <w:tcW w:w="3015" w:type="dxa"/>
                  <w:tcBorders>
                    <w:top w:val="single" w:sz="6" w:space="0" w:color="auto"/>
                    <w:left w:val="single" w:sz="6" w:space="0" w:color="auto"/>
                    <w:bottom w:val="single" w:sz="6" w:space="0" w:color="auto"/>
                    <w:right w:val="single" w:sz="6" w:space="0" w:color="auto"/>
                  </w:tcBorders>
                  <w:hideMark/>
                </w:tcPr>
                <w:p w14:paraId="3EA17587"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Cs w:val="24"/>
                      <w:lang w:eastAsia="en-IE"/>
                    </w:rPr>
                    <w:t>EU</w:t>
                  </w:r>
                  <w:r w:rsidRPr="006F001C">
                    <w:rPr>
                      <w:rFonts w:eastAsia="Times New Roman"/>
                      <w:noProof/>
                      <w:szCs w:val="24"/>
                      <w:lang w:val="en-IE" w:eastAsia="en-IE"/>
                    </w:rPr>
                    <w:t> </w:t>
                  </w:r>
                </w:p>
                <w:p w14:paraId="53268EFD"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ENISA</w:t>
                  </w:r>
                  <w:r w:rsidRPr="006F001C">
                    <w:rPr>
                      <w:rFonts w:eastAsia="Times New Roman"/>
                      <w:noProof/>
                      <w:sz w:val="22"/>
                      <w:lang w:val="en-IE" w:eastAsia="en-IE"/>
                    </w:rPr>
                    <w:t> </w:t>
                  </w:r>
                </w:p>
                <w:p w14:paraId="09485CAD"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ECCG</w:t>
                  </w:r>
                  <w:r w:rsidRPr="006F001C">
                    <w:rPr>
                      <w:rFonts w:eastAsia="Times New Roman"/>
                      <w:noProof/>
                      <w:sz w:val="22"/>
                      <w:lang w:val="en-IE" w:eastAsia="en-IE"/>
                    </w:rPr>
                    <w:t> </w:t>
                  </w:r>
                </w:p>
              </w:tc>
              <w:tc>
                <w:tcPr>
                  <w:tcW w:w="3040" w:type="dxa"/>
                  <w:tcBorders>
                    <w:top w:val="single" w:sz="6" w:space="0" w:color="auto"/>
                    <w:left w:val="single" w:sz="6" w:space="0" w:color="auto"/>
                    <w:bottom w:val="single" w:sz="6" w:space="0" w:color="auto"/>
                    <w:right w:val="single" w:sz="6" w:space="0" w:color="auto"/>
                  </w:tcBorders>
                  <w:hideMark/>
                </w:tcPr>
                <w:p w14:paraId="38180761"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Making data available online</w:t>
                  </w:r>
                  <w:r w:rsidRPr="006F001C">
                    <w:rPr>
                      <w:rFonts w:eastAsia="Times New Roman"/>
                      <w:noProof/>
                      <w:sz w:val="22"/>
                      <w:lang w:val="en-IE" w:eastAsia="en-IE"/>
                    </w:rPr>
                    <w:t> </w:t>
                  </w:r>
                </w:p>
              </w:tc>
              <w:tc>
                <w:tcPr>
                  <w:tcW w:w="1281" w:type="dxa"/>
                  <w:tcBorders>
                    <w:top w:val="single" w:sz="6" w:space="0" w:color="auto"/>
                    <w:left w:val="single" w:sz="6" w:space="0" w:color="auto"/>
                    <w:bottom w:val="single" w:sz="6" w:space="0" w:color="auto"/>
                    <w:right w:val="single" w:sz="6" w:space="0" w:color="auto"/>
                  </w:tcBorders>
                  <w:hideMark/>
                </w:tcPr>
                <w:p w14:paraId="0CDFE65D"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flow</w:t>
                  </w:r>
                  <w:r w:rsidRPr="006F001C">
                    <w:rPr>
                      <w:rFonts w:eastAsia="Times New Roman"/>
                      <w:noProof/>
                      <w:sz w:val="22"/>
                      <w:lang w:val="en-IE" w:eastAsia="en-IE"/>
                    </w:rPr>
                    <w:t> </w:t>
                  </w:r>
                </w:p>
                <w:p w14:paraId="04953443"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processing</w:t>
                  </w:r>
                  <w:r w:rsidRPr="006F001C">
                    <w:rPr>
                      <w:rFonts w:eastAsia="Times New Roman"/>
                      <w:noProof/>
                      <w:sz w:val="22"/>
                      <w:lang w:val="en-IE" w:eastAsia="en-IE"/>
                    </w:rPr>
                    <w:t> </w:t>
                  </w:r>
                </w:p>
                <w:p w14:paraId="6B02A3D6"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val="en-IE" w:eastAsia="en-IE"/>
                    </w:rPr>
                    <w:t> </w:t>
                  </w:r>
                </w:p>
              </w:tc>
            </w:tr>
            <w:tr w:rsidR="007A5304" w:rsidRPr="006F001C" w14:paraId="1C4C30A8" w14:textId="77777777">
              <w:trPr>
                <w:trHeight w:val="1965"/>
              </w:trPr>
              <w:tc>
                <w:tcPr>
                  <w:tcW w:w="2887" w:type="dxa"/>
                  <w:tcBorders>
                    <w:top w:val="single" w:sz="6" w:space="0" w:color="auto"/>
                    <w:left w:val="single" w:sz="6" w:space="0" w:color="auto"/>
                    <w:bottom w:val="single" w:sz="6" w:space="0" w:color="auto"/>
                    <w:right w:val="single" w:sz="6" w:space="0" w:color="auto"/>
                  </w:tcBorders>
                  <w:hideMark/>
                </w:tcPr>
                <w:p w14:paraId="3DB91218"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Article </w:t>
                  </w:r>
                  <w:r w:rsidRPr="006F001C">
                    <w:rPr>
                      <w:rFonts w:eastAsia="Times New Roman"/>
                      <w:noProof/>
                      <w:szCs w:val="24"/>
                      <w:lang w:eastAsia="en-IE"/>
                    </w:rPr>
                    <w:t>90</w:t>
                  </w:r>
                  <w:r w:rsidRPr="006F001C">
                    <w:rPr>
                      <w:rFonts w:eastAsia="Times New Roman"/>
                      <w:noProof/>
                      <w:szCs w:val="24"/>
                      <w:lang w:val="en-IE" w:eastAsia="en-IE"/>
                    </w:rPr>
                    <w:t> </w:t>
                  </w:r>
                </w:p>
                <w:p w14:paraId="7FF80206"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European cybersecurity certification group (ECCG)</w:t>
                  </w:r>
                  <w:r w:rsidRPr="006F001C">
                    <w:rPr>
                      <w:rFonts w:eastAsia="Times New Roman"/>
                      <w:noProof/>
                      <w:sz w:val="22"/>
                      <w:lang w:val="en-IE" w:eastAsia="en-IE"/>
                    </w:rPr>
                    <w:t> </w:t>
                  </w:r>
                </w:p>
              </w:tc>
              <w:tc>
                <w:tcPr>
                  <w:tcW w:w="4332" w:type="dxa"/>
                  <w:tcBorders>
                    <w:top w:val="single" w:sz="6" w:space="0" w:color="auto"/>
                    <w:left w:val="single" w:sz="6" w:space="0" w:color="auto"/>
                    <w:bottom w:val="single" w:sz="6" w:space="0" w:color="auto"/>
                    <w:right w:val="single" w:sz="6" w:space="0" w:color="auto"/>
                  </w:tcBorders>
                  <w:hideMark/>
                </w:tcPr>
                <w:p w14:paraId="6872A22E"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3. The ECCG shall have the following tasks:</w:t>
                  </w:r>
                  <w:r w:rsidRPr="006F001C">
                    <w:rPr>
                      <w:rFonts w:eastAsia="Times New Roman"/>
                      <w:noProof/>
                      <w:sz w:val="22"/>
                      <w:lang w:val="en-IE" w:eastAsia="en-IE"/>
                    </w:rPr>
                    <w:t> </w:t>
                  </w:r>
                </w:p>
                <w:p w14:paraId="10C49E3F"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[reference to other articles]</w:t>
                  </w:r>
                  <w:r w:rsidRPr="006F001C">
                    <w:rPr>
                      <w:rFonts w:eastAsia="Times New Roman"/>
                      <w:noProof/>
                      <w:sz w:val="22"/>
                      <w:lang w:val="en-IE" w:eastAsia="en-IE"/>
                    </w:rPr>
                    <w:t> </w:t>
                  </w:r>
                </w:p>
                <w:p w14:paraId="61F7A110"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w:t>
                  </w:r>
                  <w:r>
                    <w:rPr>
                      <w:rFonts w:eastAsia="Times New Roman"/>
                      <w:noProof/>
                      <w:sz w:val="22"/>
                      <w:lang w:eastAsia="en-IE"/>
                    </w:rPr>
                    <w:t>h</w:t>
                  </w:r>
                  <w:r w:rsidRPr="006F001C">
                    <w:rPr>
                      <w:rFonts w:eastAsia="Times New Roman"/>
                      <w:noProof/>
                      <w:sz w:val="22"/>
                      <w:lang w:eastAsia="en-IE"/>
                    </w:rPr>
                    <w:t>)</w:t>
                  </w:r>
                  <w:r w:rsidRPr="006F001C">
                    <w:rPr>
                      <w:rFonts w:ascii="Calibri" w:eastAsia="Times New Roman" w:hAnsi="Calibri" w:cs="Calibri"/>
                      <w:noProof/>
                      <w:sz w:val="22"/>
                      <w:lang w:val="en-IE" w:eastAsia="en-IE"/>
                    </w:rPr>
                    <w:tab/>
                  </w:r>
                  <w:r w:rsidRPr="006F001C">
                    <w:rPr>
                      <w:rFonts w:eastAsia="Times New Roman"/>
                      <w:noProof/>
                      <w:sz w:val="22"/>
                      <w:lang w:eastAsia="en-IE"/>
                    </w:rPr>
                    <w:t>to examine relevant developments in the field of cybersecurity certification</w:t>
                  </w:r>
                  <w:r w:rsidRPr="007C367E">
                    <w:rPr>
                      <w:rFonts w:eastAsia="Times New Roman"/>
                      <w:noProof/>
                      <w:sz w:val="22"/>
                      <w:lang w:eastAsia="en-IE"/>
                    </w:rPr>
                    <w:t>, including at national level pursuant to Article 86,</w:t>
                  </w:r>
                  <w:r w:rsidRPr="006F001C">
                    <w:rPr>
                      <w:rFonts w:eastAsia="Times New Roman"/>
                      <w:noProof/>
                      <w:sz w:val="22"/>
                      <w:lang w:eastAsia="en-IE"/>
                    </w:rPr>
                    <w:t xml:space="preserve"> and to exchange information and good practices on cybersecurity certification schemes;</w:t>
                  </w:r>
                  <w:r w:rsidRPr="006F001C">
                    <w:rPr>
                      <w:rFonts w:eastAsia="Times New Roman"/>
                      <w:noProof/>
                      <w:sz w:val="22"/>
                      <w:lang w:val="en-IE" w:eastAsia="en-IE"/>
                    </w:rPr>
                    <w:t> </w:t>
                  </w:r>
                </w:p>
                <w:p w14:paraId="73EADC45" w14:textId="77777777" w:rsidR="007A5304" w:rsidRPr="00291CE2" w:rsidRDefault="007A5304">
                  <w:pPr>
                    <w:pStyle w:val="Point0letter"/>
                    <w:numPr>
                      <w:ilvl w:val="1"/>
                      <w:numId w:val="0"/>
                    </w:numPr>
                    <w:spacing w:before="0" w:after="0"/>
                    <w:rPr>
                      <w:noProof/>
                    </w:rPr>
                  </w:pPr>
                  <w:r w:rsidRPr="006F001C">
                    <w:rPr>
                      <w:rFonts w:eastAsia="Times New Roman"/>
                      <w:noProof/>
                      <w:sz w:val="22"/>
                      <w:lang w:eastAsia="en-IE"/>
                    </w:rPr>
                    <w:t>(</w:t>
                  </w:r>
                  <w:r>
                    <w:rPr>
                      <w:rFonts w:eastAsia="Times New Roman"/>
                      <w:noProof/>
                      <w:sz w:val="22"/>
                      <w:lang w:eastAsia="en-IE"/>
                    </w:rPr>
                    <w:t>i</w:t>
                  </w:r>
                  <w:r w:rsidRPr="006F001C">
                    <w:rPr>
                      <w:rFonts w:eastAsia="Times New Roman"/>
                      <w:noProof/>
                      <w:sz w:val="22"/>
                      <w:lang w:eastAsia="en-IE"/>
                    </w:rPr>
                    <w:t>)</w:t>
                  </w:r>
                  <w:r w:rsidRPr="006F001C">
                    <w:rPr>
                      <w:rFonts w:ascii="Calibri" w:eastAsia="Times New Roman" w:hAnsi="Calibri" w:cs="Calibri"/>
                      <w:noProof/>
                      <w:sz w:val="22"/>
                      <w:lang w:val="en-IE" w:eastAsia="en-IE"/>
                    </w:rPr>
                    <w:tab/>
                  </w:r>
                  <w:r w:rsidRPr="00C06733">
                    <w:rPr>
                      <w:noProof/>
                    </w:rPr>
                    <w:t xml:space="preserve">to facilitate the cooperation between national cybersecurity certification authorities under </w:t>
                  </w:r>
                  <w:r>
                    <w:rPr>
                      <w:noProof/>
                    </w:rPr>
                    <w:t xml:space="preserve">the rules set out in </w:t>
                  </w:r>
                  <w:r w:rsidRPr="00C06733">
                    <w:rPr>
                      <w:noProof/>
                    </w:rPr>
                    <w:t>this Title through capacity-building and exchange of information, in particular relating to issues concerning cybersecurity certification;</w:t>
                  </w:r>
                </w:p>
                <w:p w14:paraId="14112DC4"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[reference to other articles]</w:t>
                  </w:r>
                  <w:r w:rsidRPr="006F001C">
                    <w:rPr>
                      <w:rFonts w:eastAsia="Times New Roman"/>
                      <w:noProof/>
                      <w:sz w:val="22"/>
                      <w:lang w:val="en-IE" w:eastAsia="en-IE"/>
                    </w:rPr>
                    <w:t> </w:t>
                  </w:r>
                </w:p>
                <w:p w14:paraId="721584DA"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w:t>
                  </w:r>
                  <w:r>
                    <w:rPr>
                      <w:rFonts w:eastAsia="Times New Roman"/>
                      <w:noProof/>
                      <w:sz w:val="22"/>
                      <w:lang w:eastAsia="en-IE"/>
                    </w:rPr>
                    <w:t>k</w:t>
                  </w:r>
                  <w:r w:rsidRPr="006F001C">
                    <w:rPr>
                      <w:rFonts w:eastAsia="Times New Roman"/>
                      <w:noProof/>
                      <w:sz w:val="22"/>
                      <w:lang w:eastAsia="en-IE"/>
                    </w:rPr>
                    <w:t>)</w:t>
                  </w:r>
                  <w:r w:rsidRPr="006F001C">
                    <w:rPr>
                      <w:rFonts w:ascii="Calibri" w:eastAsia="Times New Roman" w:hAnsi="Calibri" w:cs="Calibri"/>
                      <w:noProof/>
                      <w:sz w:val="22"/>
                      <w:lang w:val="en-IE" w:eastAsia="en-IE"/>
                    </w:rPr>
                    <w:tab/>
                  </w:r>
                  <w:r w:rsidRPr="006F001C">
                    <w:rPr>
                      <w:rFonts w:eastAsia="Times New Roman"/>
                      <w:noProof/>
                      <w:sz w:val="22"/>
                      <w:lang w:eastAsia="en-IE"/>
                    </w:rPr>
                    <w:t xml:space="preserve">to facilitate the alignment of European cybersecurity certification schemes with internationally recognised standards, including </w:t>
                  </w:r>
                  <w:r>
                    <w:rPr>
                      <w:rFonts w:eastAsia="Times New Roman"/>
                      <w:noProof/>
                      <w:sz w:val="22"/>
                      <w:lang w:eastAsia="en-IE"/>
                    </w:rPr>
                    <w:t>as part</w:t>
                  </w:r>
                  <w:r w:rsidRPr="006F001C">
                    <w:rPr>
                      <w:rFonts w:eastAsia="Times New Roman"/>
                      <w:noProof/>
                      <w:sz w:val="22"/>
                      <w:lang w:eastAsia="en-IE"/>
                    </w:rPr>
                    <w:t xml:space="preserve"> of the maintenance of existing European cybersecurity certification schemes and, where appropriate, </w:t>
                  </w:r>
                  <w:r>
                    <w:rPr>
                      <w:rFonts w:eastAsia="Times New Roman"/>
                      <w:noProof/>
                      <w:sz w:val="22"/>
                      <w:lang w:eastAsia="en-IE"/>
                    </w:rPr>
                    <w:t>to make</w:t>
                  </w:r>
                  <w:r w:rsidRPr="006F001C">
                    <w:rPr>
                      <w:rFonts w:eastAsia="Times New Roman"/>
                      <w:noProof/>
                      <w:sz w:val="22"/>
                      <w:lang w:eastAsia="en-IE"/>
                    </w:rPr>
                    <w:t xml:space="preserve"> recommendations to ENISA to engage with relevant </w:t>
                  </w:r>
                  <w:r>
                    <w:rPr>
                      <w:rFonts w:eastAsia="Times New Roman"/>
                      <w:noProof/>
                      <w:sz w:val="22"/>
                      <w:lang w:eastAsia="en-IE"/>
                    </w:rPr>
                    <w:t xml:space="preserve">European or </w:t>
                  </w:r>
                  <w:r w:rsidRPr="006F001C">
                    <w:rPr>
                      <w:rFonts w:eastAsia="Times New Roman"/>
                      <w:noProof/>
                      <w:sz w:val="22"/>
                      <w:lang w:eastAsia="en-IE"/>
                    </w:rPr>
                    <w:t xml:space="preserve">international standardisation organisations to address insufficiencies or gaps in available </w:t>
                  </w:r>
                  <w:r>
                    <w:rPr>
                      <w:rFonts w:eastAsia="Times New Roman"/>
                      <w:noProof/>
                      <w:sz w:val="22"/>
                      <w:lang w:eastAsia="en-IE"/>
                    </w:rPr>
                    <w:t>European or</w:t>
                  </w:r>
                  <w:r w:rsidRPr="006F001C">
                    <w:rPr>
                      <w:rFonts w:eastAsia="Times New Roman"/>
                      <w:noProof/>
                      <w:sz w:val="22"/>
                      <w:lang w:eastAsia="en-IE"/>
                    </w:rPr>
                    <w:t xml:space="preserve"> internationally recognised standards.</w:t>
                  </w:r>
                  <w:r w:rsidRPr="006F001C">
                    <w:rPr>
                      <w:rFonts w:eastAsia="Times New Roman"/>
                      <w:noProof/>
                      <w:sz w:val="22"/>
                      <w:lang w:val="en-IE" w:eastAsia="en-IE"/>
                    </w:rPr>
                    <w:t> </w:t>
                  </w:r>
                </w:p>
              </w:tc>
              <w:tc>
                <w:tcPr>
                  <w:tcW w:w="3015" w:type="dxa"/>
                  <w:tcBorders>
                    <w:top w:val="single" w:sz="6" w:space="0" w:color="auto"/>
                    <w:left w:val="single" w:sz="6" w:space="0" w:color="auto"/>
                    <w:bottom w:val="single" w:sz="6" w:space="0" w:color="auto"/>
                    <w:right w:val="single" w:sz="6" w:space="0" w:color="auto"/>
                  </w:tcBorders>
                  <w:hideMark/>
                </w:tcPr>
                <w:p w14:paraId="3E96986E" w14:textId="77777777" w:rsidR="007A5304" w:rsidRPr="006F001C" w:rsidRDefault="007A5304">
                  <w:pPr>
                    <w:spacing w:before="0" w:after="0"/>
                    <w:jc w:val="left"/>
                    <w:textAlignment w:val="baseline"/>
                    <w:rPr>
                      <w:rFonts w:ascii="Segoe UI" w:eastAsia="Times New Roman" w:hAnsi="Segoe UI" w:cs="Segoe UI"/>
                      <w:noProof/>
                      <w:sz w:val="18"/>
                      <w:szCs w:val="18"/>
                      <w:lang w:val="fr-FR" w:eastAsia="en-IE"/>
                    </w:rPr>
                  </w:pPr>
                  <w:r w:rsidRPr="006F001C">
                    <w:rPr>
                      <w:rFonts w:eastAsia="Times New Roman"/>
                      <w:noProof/>
                      <w:sz w:val="22"/>
                      <w:lang w:val="fr-BE" w:eastAsia="en-IE"/>
                    </w:rPr>
                    <w:t>Member States</w:t>
                  </w:r>
                  <w:r w:rsidRPr="006F001C">
                    <w:rPr>
                      <w:rFonts w:eastAsia="Times New Roman"/>
                      <w:noProof/>
                      <w:sz w:val="22"/>
                      <w:lang w:val="fr-FR" w:eastAsia="en-IE"/>
                    </w:rPr>
                    <w:t> </w:t>
                  </w:r>
                </w:p>
                <w:p w14:paraId="326289E8" w14:textId="77777777" w:rsidR="007A5304" w:rsidRPr="006F001C" w:rsidRDefault="007A5304">
                  <w:pPr>
                    <w:spacing w:before="0" w:after="0"/>
                    <w:jc w:val="left"/>
                    <w:textAlignment w:val="baseline"/>
                    <w:rPr>
                      <w:rFonts w:ascii="Segoe UI" w:eastAsia="Times New Roman" w:hAnsi="Segoe UI" w:cs="Segoe UI"/>
                      <w:noProof/>
                      <w:sz w:val="18"/>
                      <w:szCs w:val="18"/>
                      <w:lang w:val="fr-FR" w:eastAsia="en-IE"/>
                    </w:rPr>
                  </w:pPr>
                  <w:r w:rsidRPr="006F001C">
                    <w:rPr>
                      <w:rFonts w:eastAsia="Times New Roman"/>
                      <w:noProof/>
                      <w:sz w:val="22"/>
                      <w:lang w:val="fr-BE" w:eastAsia="en-IE"/>
                    </w:rPr>
                    <w:t>ENISA</w:t>
                  </w:r>
                  <w:r w:rsidRPr="006F001C">
                    <w:rPr>
                      <w:rFonts w:eastAsia="Times New Roman"/>
                      <w:noProof/>
                      <w:sz w:val="22"/>
                      <w:lang w:val="fr-FR" w:eastAsia="en-IE"/>
                    </w:rPr>
                    <w:t> </w:t>
                  </w:r>
                </w:p>
                <w:p w14:paraId="095149E0" w14:textId="77777777" w:rsidR="007A5304" w:rsidRPr="006F001C" w:rsidRDefault="007A5304">
                  <w:pPr>
                    <w:spacing w:before="0" w:after="0"/>
                    <w:jc w:val="left"/>
                    <w:textAlignment w:val="baseline"/>
                    <w:rPr>
                      <w:rFonts w:ascii="Segoe UI" w:eastAsia="Times New Roman" w:hAnsi="Segoe UI" w:cs="Segoe UI"/>
                      <w:noProof/>
                      <w:sz w:val="18"/>
                      <w:szCs w:val="18"/>
                      <w:lang w:val="fr-FR" w:eastAsia="en-IE"/>
                    </w:rPr>
                  </w:pPr>
                  <w:r w:rsidRPr="006F001C">
                    <w:rPr>
                      <w:rFonts w:eastAsia="Times New Roman"/>
                      <w:noProof/>
                      <w:sz w:val="22"/>
                      <w:lang w:val="fr-BE" w:eastAsia="en-IE"/>
                    </w:rPr>
                    <w:t>EU Commission </w:t>
                  </w:r>
                  <w:r w:rsidRPr="006F001C">
                    <w:rPr>
                      <w:rFonts w:eastAsia="Times New Roman"/>
                      <w:noProof/>
                      <w:sz w:val="22"/>
                      <w:lang w:val="fr-FR" w:eastAsia="en-IE"/>
                    </w:rPr>
                    <w:t> </w:t>
                  </w:r>
                </w:p>
              </w:tc>
              <w:tc>
                <w:tcPr>
                  <w:tcW w:w="3040" w:type="dxa"/>
                  <w:tcBorders>
                    <w:top w:val="single" w:sz="6" w:space="0" w:color="auto"/>
                    <w:left w:val="single" w:sz="6" w:space="0" w:color="auto"/>
                    <w:bottom w:val="single" w:sz="6" w:space="0" w:color="auto"/>
                    <w:right w:val="single" w:sz="6" w:space="0" w:color="auto"/>
                  </w:tcBorders>
                  <w:hideMark/>
                </w:tcPr>
                <w:p w14:paraId="0E8BB985"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Analysis, sharing information and cooperation between Member States authorities and international organisations in relation to European cybersecurity certification</w:t>
                  </w:r>
                  <w:r w:rsidRPr="006F001C">
                    <w:rPr>
                      <w:rFonts w:eastAsia="Times New Roman"/>
                      <w:noProof/>
                      <w:sz w:val="22"/>
                      <w:lang w:val="en-IE" w:eastAsia="en-IE"/>
                    </w:rPr>
                    <w:t> </w:t>
                  </w:r>
                </w:p>
              </w:tc>
              <w:tc>
                <w:tcPr>
                  <w:tcW w:w="1281" w:type="dxa"/>
                  <w:tcBorders>
                    <w:top w:val="single" w:sz="6" w:space="0" w:color="auto"/>
                    <w:left w:val="single" w:sz="6" w:space="0" w:color="auto"/>
                    <w:bottom w:val="single" w:sz="6" w:space="0" w:color="auto"/>
                    <w:right w:val="single" w:sz="6" w:space="0" w:color="auto"/>
                  </w:tcBorders>
                  <w:hideMark/>
                </w:tcPr>
                <w:p w14:paraId="2158DE10"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processing</w:t>
                  </w:r>
                  <w:r w:rsidRPr="006F001C">
                    <w:rPr>
                      <w:rFonts w:eastAsia="Times New Roman"/>
                      <w:noProof/>
                      <w:sz w:val="22"/>
                      <w:lang w:val="en-IE" w:eastAsia="en-IE"/>
                    </w:rPr>
                    <w:t> </w:t>
                  </w:r>
                </w:p>
                <w:p w14:paraId="694BCEDF"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flow</w:t>
                  </w:r>
                  <w:r w:rsidRPr="006F001C">
                    <w:rPr>
                      <w:rFonts w:eastAsia="Times New Roman"/>
                      <w:noProof/>
                      <w:sz w:val="22"/>
                      <w:lang w:val="en-IE" w:eastAsia="en-IE"/>
                    </w:rPr>
                    <w:t> </w:t>
                  </w:r>
                </w:p>
              </w:tc>
            </w:tr>
            <w:tr w:rsidR="007A5304" w:rsidRPr="006F001C" w14:paraId="1CF1EEDA" w14:textId="77777777">
              <w:trPr>
                <w:trHeight w:val="1965"/>
              </w:trPr>
              <w:tc>
                <w:tcPr>
                  <w:tcW w:w="2887" w:type="dxa"/>
                  <w:tcBorders>
                    <w:top w:val="single" w:sz="6" w:space="0" w:color="auto"/>
                    <w:left w:val="single" w:sz="6" w:space="0" w:color="auto"/>
                    <w:bottom w:val="single" w:sz="6" w:space="0" w:color="auto"/>
                    <w:right w:val="single" w:sz="6" w:space="0" w:color="auto"/>
                  </w:tcBorders>
                  <w:hideMark/>
                </w:tcPr>
                <w:p w14:paraId="31F3693C"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Article </w:t>
                  </w:r>
                  <w:r w:rsidRPr="006F001C">
                    <w:rPr>
                      <w:rFonts w:eastAsia="Times New Roman"/>
                      <w:noProof/>
                      <w:szCs w:val="24"/>
                      <w:lang w:eastAsia="en-IE"/>
                    </w:rPr>
                    <w:t>92</w:t>
                  </w:r>
                  <w:r w:rsidRPr="006F001C">
                    <w:rPr>
                      <w:rFonts w:eastAsia="Times New Roman"/>
                      <w:noProof/>
                      <w:szCs w:val="24"/>
                      <w:lang w:val="en-IE" w:eastAsia="en-IE"/>
                    </w:rPr>
                    <w:t> </w:t>
                  </w:r>
                </w:p>
                <w:p w14:paraId="6218F238"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291CE2">
                    <w:rPr>
                      <w:rFonts w:eastAsia="Times New Roman"/>
                      <w:noProof/>
                      <w:color w:val="000000"/>
                      <w:sz w:val="22"/>
                      <w:lang w:eastAsia="en-IE"/>
                    </w:rPr>
                    <w:t>Additional harmonisation of the competence of </w:t>
                  </w:r>
                  <w:r w:rsidRPr="002E438D">
                    <w:rPr>
                      <w:rFonts w:eastAsia="Times New Roman"/>
                      <w:noProof/>
                      <w:sz w:val="22"/>
                      <w:lang w:eastAsia="en-IE"/>
                    </w:rPr>
                    <w:t>conformity</w:t>
                  </w:r>
                  <w:r w:rsidRPr="006F001C">
                    <w:rPr>
                      <w:rFonts w:eastAsia="Times New Roman"/>
                      <w:noProof/>
                      <w:sz w:val="22"/>
                      <w:lang w:eastAsia="en-IE"/>
                    </w:rPr>
                    <w:t> assessment bodies</w:t>
                  </w:r>
                  <w:r w:rsidRPr="006F001C">
                    <w:rPr>
                      <w:rFonts w:eastAsia="Times New Roman"/>
                      <w:noProof/>
                      <w:sz w:val="22"/>
                      <w:lang w:val="en-IE" w:eastAsia="en-IE"/>
                    </w:rPr>
                    <w:t> </w:t>
                  </w:r>
                </w:p>
              </w:tc>
              <w:tc>
                <w:tcPr>
                  <w:tcW w:w="4332" w:type="dxa"/>
                  <w:tcBorders>
                    <w:top w:val="single" w:sz="6" w:space="0" w:color="auto"/>
                    <w:left w:val="single" w:sz="6" w:space="0" w:color="auto"/>
                    <w:bottom w:val="single" w:sz="6" w:space="0" w:color="auto"/>
                    <w:right w:val="single" w:sz="6" w:space="0" w:color="auto"/>
                  </w:tcBorders>
                  <w:hideMark/>
                </w:tcPr>
                <w:p w14:paraId="72113CDC" w14:textId="77777777" w:rsidR="007A5304" w:rsidRPr="00291CE2" w:rsidRDefault="007A5304">
                  <w:pPr>
                    <w:spacing w:before="0" w:after="0"/>
                    <w:textAlignment w:val="baseline"/>
                    <w:rPr>
                      <w:rFonts w:eastAsia="Times New Roman"/>
                      <w:noProof/>
                      <w:sz w:val="22"/>
                      <w:lang w:val="en-IE" w:eastAsia="en-IE"/>
                    </w:rPr>
                  </w:pPr>
                  <w:r w:rsidRPr="006F001C">
                    <w:rPr>
                      <w:rFonts w:eastAsia="Times New Roman"/>
                      <w:noProof/>
                      <w:sz w:val="22"/>
                      <w:lang w:eastAsia="en-IE"/>
                    </w:rPr>
                    <w:t xml:space="preserve">4. </w:t>
                  </w:r>
                  <w:r w:rsidRPr="00291CE2">
                    <w:rPr>
                      <w:noProof/>
                      <w:sz w:val="22"/>
                      <w:lang w:eastAsia="en-IE"/>
                    </w:rPr>
                    <w:t xml:space="preserve">Where a national cybersecurity certification authority receives a request pursuant to paragraph 3 it shall </w:t>
                  </w:r>
                  <w:r w:rsidRPr="00291CE2">
                    <w:rPr>
                      <w:b/>
                      <w:bCs/>
                      <w:noProof/>
                      <w:sz w:val="22"/>
                      <w:lang w:eastAsia="en-IE"/>
                    </w:rPr>
                    <w:t>inform the national cybersecurity certification authority of the Member State in which the requesting conformity assessment body is established</w:t>
                  </w:r>
                  <w:r w:rsidRPr="00291CE2">
                    <w:rPr>
                      <w:noProof/>
                      <w:sz w:val="22"/>
                      <w:lang w:eastAsia="en-IE"/>
                    </w:rPr>
                    <w:t>. In such cases, the national cybersecurity certification authority of that Member State may participate in the authorisation as an observer.</w:t>
                  </w:r>
                </w:p>
                <w:p w14:paraId="1A58C10E" w14:textId="77777777" w:rsidR="007A5304" w:rsidRPr="00291CE2" w:rsidRDefault="007A5304">
                  <w:pPr>
                    <w:spacing w:before="0" w:after="0"/>
                    <w:textAlignment w:val="baseline"/>
                    <w:rPr>
                      <w:rFonts w:ascii="Segoe UI" w:eastAsia="Times New Roman" w:hAnsi="Segoe UI" w:cs="Segoe UI"/>
                      <w:noProof/>
                      <w:sz w:val="18"/>
                      <w:szCs w:val="18"/>
                      <w:lang w:eastAsia="en-IE"/>
                    </w:rPr>
                  </w:pPr>
                </w:p>
              </w:tc>
              <w:tc>
                <w:tcPr>
                  <w:tcW w:w="3015" w:type="dxa"/>
                  <w:tcBorders>
                    <w:top w:val="single" w:sz="6" w:space="0" w:color="auto"/>
                    <w:left w:val="single" w:sz="6" w:space="0" w:color="auto"/>
                    <w:bottom w:val="single" w:sz="6" w:space="0" w:color="auto"/>
                    <w:right w:val="single" w:sz="6" w:space="0" w:color="auto"/>
                  </w:tcBorders>
                  <w:hideMark/>
                </w:tcPr>
                <w:p w14:paraId="59F2F6BF"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Member States authorities</w:t>
                  </w:r>
                  <w:r w:rsidRPr="006F001C">
                    <w:rPr>
                      <w:rFonts w:eastAsia="Times New Roman"/>
                      <w:noProof/>
                      <w:sz w:val="22"/>
                      <w:lang w:val="en-IE" w:eastAsia="en-IE"/>
                    </w:rPr>
                    <w:t> </w:t>
                  </w:r>
                </w:p>
                <w:p w14:paraId="58F0F439"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Conformity assessment bodies</w:t>
                  </w:r>
                  <w:r w:rsidRPr="006F001C">
                    <w:rPr>
                      <w:rFonts w:eastAsia="Times New Roman"/>
                      <w:noProof/>
                      <w:sz w:val="22"/>
                      <w:lang w:val="en-IE" w:eastAsia="en-IE"/>
                    </w:rPr>
                    <w:t> </w:t>
                  </w:r>
                </w:p>
              </w:tc>
              <w:tc>
                <w:tcPr>
                  <w:tcW w:w="3040" w:type="dxa"/>
                  <w:tcBorders>
                    <w:top w:val="single" w:sz="6" w:space="0" w:color="auto"/>
                    <w:left w:val="single" w:sz="6" w:space="0" w:color="auto"/>
                    <w:bottom w:val="single" w:sz="6" w:space="0" w:color="auto"/>
                    <w:right w:val="single" w:sz="6" w:space="0" w:color="auto"/>
                  </w:tcBorders>
                  <w:hideMark/>
                </w:tcPr>
                <w:p w14:paraId="2ED60BB2"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Information sharing and retention</w:t>
                  </w:r>
                  <w:r w:rsidRPr="006F001C">
                    <w:rPr>
                      <w:rFonts w:eastAsia="Times New Roman"/>
                      <w:noProof/>
                      <w:sz w:val="22"/>
                      <w:lang w:val="en-IE" w:eastAsia="en-IE"/>
                    </w:rPr>
                    <w:t> </w:t>
                  </w:r>
                </w:p>
              </w:tc>
              <w:tc>
                <w:tcPr>
                  <w:tcW w:w="1281" w:type="dxa"/>
                  <w:tcBorders>
                    <w:top w:val="single" w:sz="6" w:space="0" w:color="auto"/>
                    <w:left w:val="single" w:sz="6" w:space="0" w:color="auto"/>
                    <w:bottom w:val="single" w:sz="6" w:space="0" w:color="auto"/>
                    <w:right w:val="single" w:sz="6" w:space="0" w:color="auto"/>
                  </w:tcBorders>
                  <w:hideMark/>
                </w:tcPr>
                <w:p w14:paraId="648B6F19"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flow</w:t>
                  </w:r>
                  <w:r w:rsidRPr="006F001C">
                    <w:rPr>
                      <w:rFonts w:eastAsia="Times New Roman"/>
                      <w:noProof/>
                      <w:sz w:val="22"/>
                      <w:lang w:val="en-IE" w:eastAsia="en-IE"/>
                    </w:rPr>
                    <w:t> </w:t>
                  </w:r>
                </w:p>
                <w:p w14:paraId="5431FE34"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processing</w:t>
                  </w:r>
                  <w:r w:rsidRPr="006F001C">
                    <w:rPr>
                      <w:rFonts w:eastAsia="Times New Roman"/>
                      <w:noProof/>
                      <w:sz w:val="22"/>
                      <w:lang w:val="en-IE" w:eastAsia="en-IE"/>
                    </w:rPr>
                    <w:t> </w:t>
                  </w:r>
                </w:p>
              </w:tc>
            </w:tr>
            <w:tr w:rsidR="007A5304" w:rsidRPr="006F001C" w14:paraId="1B498CDA" w14:textId="77777777">
              <w:trPr>
                <w:trHeight w:val="285"/>
              </w:trPr>
              <w:tc>
                <w:tcPr>
                  <w:tcW w:w="2887" w:type="dxa"/>
                  <w:tcBorders>
                    <w:top w:val="single" w:sz="6" w:space="0" w:color="auto"/>
                    <w:left w:val="single" w:sz="6" w:space="0" w:color="auto"/>
                    <w:bottom w:val="single" w:sz="6" w:space="0" w:color="auto"/>
                    <w:right w:val="single" w:sz="6" w:space="0" w:color="auto"/>
                  </w:tcBorders>
                  <w:hideMark/>
                </w:tcPr>
                <w:p w14:paraId="0864F27F"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Article 93</w:t>
                  </w:r>
                  <w:r w:rsidRPr="006F001C">
                    <w:rPr>
                      <w:rFonts w:eastAsia="Times New Roman"/>
                      <w:noProof/>
                      <w:sz w:val="22"/>
                      <w:lang w:val="en-IE" w:eastAsia="en-IE"/>
                    </w:rPr>
                    <w:t> </w:t>
                  </w:r>
                </w:p>
                <w:p w14:paraId="23B7A8B0"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Notifications of conformity assessments bodies</w:t>
                  </w:r>
                  <w:r w:rsidRPr="006F001C">
                    <w:rPr>
                      <w:rFonts w:eastAsia="Times New Roman"/>
                      <w:noProof/>
                      <w:sz w:val="22"/>
                      <w:lang w:val="en-IE" w:eastAsia="en-IE"/>
                    </w:rPr>
                    <w:t> </w:t>
                  </w:r>
                </w:p>
              </w:tc>
              <w:tc>
                <w:tcPr>
                  <w:tcW w:w="4332" w:type="dxa"/>
                  <w:tcBorders>
                    <w:top w:val="single" w:sz="6" w:space="0" w:color="auto"/>
                    <w:left w:val="single" w:sz="6" w:space="0" w:color="auto"/>
                    <w:bottom w:val="single" w:sz="6" w:space="0" w:color="auto"/>
                    <w:right w:val="single" w:sz="6" w:space="0" w:color="auto"/>
                  </w:tcBorders>
                  <w:hideMark/>
                </w:tcPr>
                <w:p w14:paraId="57CF2467"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1. For each European cybersecurity certification scheme, the national cybersecurity certification </w:t>
                  </w:r>
                  <w:r w:rsidRPr="006F001C">
                    <w:rPr>
                      <w:rFonts w:eastAsia="Times New Roman"/>
                      <w:b/>
                      <w:bCs/>
                      <w:noProof/>
                      <w:sz w:val="22"/>
                      <w:lang w:eastAsia="en-IE"/>
                    </w:rPr>
                    <w:t>authorities</w:t>
                  </w:r>
                  <w:r>
                    <w:rPr>
                      <w:rFonts w:eastAsia="Times New Roman"/>
                      <w:b/>
                      <w:bCs/>
                      <w:noProof/>
                      <w:sz w:val="22"/>
                      <w:lang w:eastAsia="en-IE"/>
                    </w:rPr>
                    <w:t xml:space="preserve"> of a Member State</w:t>
                  </w:r>
                  <w:r w:rsidRPr="006F001C">
                    <w:rPr>
                      <w:rFonts w:eastAsia="Times New Roman"/>
                      <w:b/>
                      <w:bCs/>
                      <w:noProof/>
                      <w:sz w:val="22"/>
                      <w:lang w:eastAsia="en-IE"/>
                    </w:rPr>
                    <w:t xml:space="preserve"> shall notify the Commission and the other Member States </w:t>
                  </w:r>
                  <w:r w:rsidRPr="006F001C">
                    <w:rPr>
                      <w:rFonts w:eastAsia="Times New Roman"/>
                      <w:noProof/>
                      <w:sz w:val="22"/>
                      <w:lang w:eastAsia="en-IE"/>
                    </w:rPr>
                    <w:t>of the conformity assessment bodies that have been accredited and, where applicable, authorised pursuant to</w:t>
                  </w:r>
                  <w:r>
                    <w:rPr>
                      <w:rFonts w:eastAsia="Times New Roman"/>
                      <w:noProof/>
                      <w:sz w:val="22"/>
                      <w:lang w:eastAsia="en-IE"/>
                    </w:rPr>
                    <w:t xml:space="preserve"> Article 92.</w:t>
                  </w:r>
                  <w:r w:rsidRPr="006F001C">
                    <w:rPr>
                      <w:rFonts w:eastAsia="Times New Roman"/>
                      <w:noProof/>
                      <w:sz w:val="22"/>
                      <w:lang w:val="en-IE" w:eastAsia="en-IE"/>
                    </w:rPr>
                    <w:t> </w:t>
                  </w:r>
                </w:p>
                <w:p w14:paraId="40B473A9"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2. </w:t>
                  </w:r>
                  <w:r w:rsidRPr="006F001C">
                    <w:rPr>
                      <w:rFonts w:eastAsia="Times New Roman"/>
                      <w:b/>
                      <w:bCs/>
                      <w:noProof/>
                      <w:sz w:val="22"/>
                      <w:lang w:eastAsia="en-IE"/>
                    </w:rPr>
                    <w:t xml:space="preserve">The national cybersecurity certification authorities shall </w:t>
                  </w:r>
                  <w:r>
                    <w:rPr>
                      <w:rFonts w:eastAsia="Times New Roman"/>
                      <w:b/>
                      <w:bCs/>
                      <w:noProof/>
                      <w:sz w:val="22"/>
                      <w:lang w:eastAsia="en-IE"/>
                    </w:rPr>
                    <w:t>carry out the notification as referred to in paragraph 1</w:t>
                  </w:r>
                  <w:r w:rsidRPr="006F001C">
                    <w:rPr>
                      <w:rFonts w:eastAsia="Times New Roman"/>
                      <w:noProof/>
                      <w:sz w:val="22"/>
                      <w:lang w:eastAsia="en-IE"/>
                    </w:rPr>
                    <w:t> using the electronic notification tool developed and managed by the Commission.</w:t>
                  </w:r>
                  <w:r w:rsidRPr="006F001C">
                    <w:rPr>
                      <w:rFonts w:eastAsia="Times New Roman"/>
                      <w:noProof/>
                      <w:sz w:val="22"/>
                      <w:lang w:val="en-IE" w:eastAsia="en-IE"/>
                    </w:rPr>
                    <w:t> </w:t>
                  </w:r>
                </w:p>
                <w:p w14:paraId="65C5F7FA"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p>
              </w:tc>
              <w:tc>
                <w:tcPr>
                  <w:tcW w:w="3015" w:type="dxa"/>
                  <w:tcBorders>
                    <w:top w:val="single" w:sz="6" w:space="0" w:color="auto"/>
                    <w:left w:val="single" w:sz="6" w:space="0" w:color="auto"/>
                    <w:bottom w:val="single" w:sz="6" w:space="0" w:color="auto"/>
                    <w:right w:val="single" w:sz="6" w:space="0" w:color="auto"/>
                  </w:tcBorders>
                  <w:hideMark/>
                </w:tcPr>
                <w:p w14:paraId="76C72D00"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ENISA</w:t>
                  </w:r>
                  <w:r w:rsidRPr="006F001C">
                    <w:rPr>
                      <w:rFonts w:eastAsia="Times New Roman"/>
                      <w:noProof/>
                      <w:sz w:val="22"/>
                      <w:lang w:val="en-IE" w:eastAsia="en-IE"/>
                    </w:rPr>
                    <w:t> </w:t>
                  </w:r>
                </w:p>
                <w:p w14:paraId="52164A84"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Member States</w:t>
                  </w:r>
                  <w:r w:rsidRPr="006F001C">
                    <w:rPr>
                      <w:rFonts w:eastAsia="Times New Roman"/>
                      <w:noProof/>
                      <w:sz w:val="22"/>
                      <w:lang w:val="en-IE" w:eastAsia="en-IE"/>
                    </w:rPr>
                    <w:t> </w:t>
                  </w:r>
                </w:p>
                <w:p w14:paraId="3C358AFC"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EU Commission</w:t>
                  </w:r>
                  <w:r w:rsidRPr="006F001C">
                    <w:rPr>
                      <w:rFonts w:eastAsia="Times New Roman"/>
                      <w:noProof/>
                      <w:sz w:val="22"/>
                      <w:lang w:val="en-IE" w:eastAsia="en-IE"/>
                    </w:rPr>
                    <w:t> </w:t>
                  </w:r>
                </w:p>
                <w:p w14:paraId="6D21C800"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Conformity assessment bodies</w:t>
                  </w:r>
                  <w:r w:rsidRPr="006F001C">
                    <w:rPr>
                      <w:rFonts w:eastAsia="Times New Roman"/>
                      <w:noProof/>
                      <w:sz w:val="22"/>
                      <w:lang w:val="en-IE" w:eastAsia="en-IE"/>
                    </w:rPr>
                    <w:t> </w:t>
                  </w:r>
                </w:p>
              </w:tc>
              <w:tc>
                <w:tcPr>
                  <w:tcW w:w="3040" w:type="dxa"/>
                  <w:tcBorders>
                    <w:top w:val="single" w:sz="6" w:space="0" w:color="auto"/>
                    <w:left w:val="single" w:sz="6" w:space="0" w:color="auto"/>
                    <w:bottom w:val="single" w:sz="6" w:space="0" w:color="auto"/>
                    <w:right w:val="single" w:sz="6" w:space="0" w:color="auto"/>
                  </w:tcBorders>
                  <w:hideMark/>
                </w:tcPr>
                <w:p w14:paraId="44029BC4"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Notifications of accredited and authorised conformity assessment bodies</w:t>
                  </w:r>
                  <w:r w:rsidRPr="006F001C">
                    <w:rPr>
                      <w:rFonts w:eastAsia="Times New Roman"/>
                      <w:noProof/>
                      <w:sz w:val="22"/>
                      <w:lang w:val="en-IE" w:eastAsia="en-IE"/>
                    </w:rPr>
                    <w:t> </w:t>
                  </w:r>
                </w:p>
              </w:tc>
              <w:tc>
                <w:tcPr>
                  <w:tcW w:w="1281" w:type="dxa"/>
                  <w:tcBorders>
                    <w:top w:val="single" w:sz="6" w:space="0" w:color="auto"/>
                    <w:left w:val="single" w:sz="6" w:space="0" w:color="auto"/>
                    <w:bottom w:val="single" w:sz="6" w:space="0" w:color="auto"/>
                    <w:right w:val="single" w:sz="6" w:space="0" w:color="auto"/>
                  </w:tcBorders>
                  <w:hideMark/>
                </w:tcPr>
                <w:p w14:paraId="331E7A1B"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flows</w:t>
                  </w:r>
                  <w:r w:rsidRPr="006F001C">
                    <w:rPr>
                      <w:rFonts w:eastAsia="Times New Roman"/>
                      <w:noProof/>
                      <w:sz w:val="22"/>
                      <w:lang w:val="en-IE" w:eastAsia="en-IE"/>
                    </w:rPr>
                    <w:t> </w:t>
                  </w:r>
                </w:p>
                <w:p w14:paraId="333F37B9"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processing</w:t>
                  </w:r>
                  <w:r w:rsidRPr="006F001C">
                    <w:rPr>
                      <w:rFonts w:eastAsia="Times New Roman"/>
                      <w:noProof/>
                      <w:sz w:val="22"/>
                      <w:lang w:val="en-IE" w:eastAsia="en-IE"/>
                    </w:rPr>
                    <w:t> </w:t>
                  </w:r>
                </w:p>
              </w:tc>
            </w:tr>
            <w:tr w:rsidR="007A5304" w:rsidRPr="006F001C" w14:paraId="1953953A" w14:textId="77777777">
              <w:trPr>
                <w:trHeight w:val="285"/>
              </w:trPr>
              <w:tc>
                <w:tcPr>
                  <w:tcW w:w="2887" w:type="dxa"/>
                  <w:tcBorders>
                    <w:top w:val="single" w:sz="6" w:space="0" w:color="auto"/>
                    <w:left w:val="single" w:sz="6" w:space="0" w:color="auto"/>
                    <w:bottom w:val="single" w:sz="6" w:space="0" w:color="auto"/>
                    <w:right w:val="single" w:sz="6" w:space="0" w:color="auto"/>
                  </w:tcBorders>
                  <w:hideMark/>
                </w:tcPr>
                <w:p w14:paraId="6FAD3619"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Article 94</w:t>
                  </w:r>
                  <w:r w:rsidRPr="006F001C">
                    <w:rPr>
                      <w:rFonts w:eastAsia="Times New Roman"/>
                      <w:noProof/>
                      <w:sz w:val="22"/>
                      <w:lang w:val="en-IE" w:eastAsia="en-IE"/>
                    </w:rPr>
                    <w:t> </w:t>
                  </w:r>
                </w:p>
                <w:p w14:paraId="6301520B"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Challenge of the competence of conformity assessment bodies</w:t>
                  </w:r>
                  <w:r w:rsidRPr="006F001C">
                    <w:rPr>
                      <w:rFonts w:eastAsia="Times New Roman"/>
                      <w:noProof/>
                      <w:sz w:val="22"/>
                      <w:lang w:val="en-IE" w:eastAsia="en-IE"/>
                    </w:rPr>
                    <w:t> </w:t>
                  </w:r>
                </w:p>
              </w:tc>
              <w:tc>
                <w:tcPr>
                  <w:tcW w:w="4332" w:type="dxa"/>
                  <w:tcBorders>
                    <w:top w:val="single" w:sz="6" w:space="0" w:color="auto"/>
                    <w:left w:val="single" w:sz="6" w:space="0" w:color="auto"/>
                    <w:bottom w:val="single" w:sz="6" w:space="0" w:color="auto"/>
                    <w:right w:val="single" w:sz="6" w:space="0" w:color="auto"/>
                  </w:tcBorders>
                  <w:hideMark/>
                </w:tcPr>
                <w:p w14:paraId="44B55EAA" w14:textId="77777777" w:rsidR="007A5304" w:rsidRPr="00291CE2" w:rsidRDefault="007A5304">
                  <w:pPr>
                    <w:pStyle w:val="ListNumber"/>
                    <w:tabs>
                      <w:tab w:val="clear" w:pos="360"/>
                    </w:tabs>
                    <w:spacing w:before="0" w:after="0"/>
                    <w:ind w:left="0" w:firstLine="0"/>
                    <w:rPr>
                      <w:noProof/>
                      <w:sz w:val="22"/>
                    </w:rPr>
                  </w:pPr>
                  <w:r w:rsidRPr="00BC246B">
                    <w:rPr>
                      <w:noProof/>
                      <w:sz w:val="22"/>
                      <w:lang w:eastAsia="en-IE"/>
                    </w:rPr>
                    <w:t xml:space="preserve">1. </w:t>
                  </w:r>
                  <w:r w:rsidRPr="00291CE2">
                    <w:rPr>
                      <w:b/>
                      <w:bCs/>
                      <w:noProof/>
                      <w:sz w:val="22"/>
                    </w:rPr>
                    <w:t>The Commission shall investigate</w:t>
                  </w:r>
                  <w:r w:rsidRPr="00291CE2">
                    <w:rPr>
                      <w:noProof/>
                      <w:sz w:val="22"/>
                    </w:rPr>
                    <w:t xml:space="preserve"> any cases in which it has doubts, or is made aware of doubts about the competence of a conformity assessment body to meet, or the continued fulfilment by a conformity assessment body of, the requirements and responsibilities to which it is subject.</w:t>
                  </w:r>
                </w:p>
                <w:p w14:paraId="7CFD8475" w14:textId="77777777" w:rsidR="007A5304" w:rsidRPr="00291CE2" w:rsidRDefault="007A5304">
                  <w:pPr>
                    <w:spacing w:before="0" w:after="0"/>
                    <w:textAlignment w:val="baseline"/>
                    <w:rPr>
                      <w:rFonts w:ascii="Segoe UI" w:eastAsia="Times New Roman" w:hAnsi="Segoe UI" w:cs="Segoe UI"/>
                      <w:noProof/>
                      <w:sz w:val="22"/>
                      <w:lang w:val="en-IE" w:eastAsia="en-IE"/>
                    </w:rPr>
                  </w:pPr>
                  <w:r w:rsidRPr="00BC246B">
                    <w:rPr>
                      <w:rFonts w:eastAsia="Times New Roman"/>
                      <w:noProof/>
                      <w:sz w:val="22"/>
                      <w:lang w:eastAsia="en-IE"/>
                    </w:rPr>
                    <w:t>2. </w:t>
                  </w:r>
                  <w:r w:rsidRPr="00BC246B">
                    <w:rPr>
                      <w:rFonts w:eastAsia="Times New Roman"/>
                      <w:b/>
                      <w:bCs/>
                      <w:noProof/>
                      <w:sz w:val="22"/>
                      <w:lang w:eastAsia="en-IE"/>
                    </w:rPr>
                    <w:t>The national cybersecurity certification authority shall provide the Commission, </w:t>
                  </w:r>
                  <w:r w:rsidRPr="00BC246B">
                    <w:rPr>
                      <w:rFonts w:eastAsia="Times New Roman"/>
                      <w:noProof/>
                      <w:sz w:val="22"/>
                      <w:lang w:eastAsia="en-IE"/>
                    </w:rPr>
                    <w:t>on request, with all information relating to the basis for the notification or the maintenance of the competence of the conformity assessment body concerned.</w:t>
                  </w:r>
                  <w:r w:rsidRPr="00BC246B">
                    <w:rPr>
                      <w:rFonts w:eastAsia="Times New Roman"/>
                      <w:noProof/>
                      <w:sz w:val="22"/>
                      <w:lang w:val="en-IE" w:eastAsia="en-IE"/>
                    </w:rPr>
                    <w:t> </w:t>
                  </w:r>
                </w:p>
                <w:p w14:paraId="24CF8181" w14:textId="77777777" w:rsidR="007A5304" w:rsidRPr="00291CE2" w:rsidRDefault="007A5304">
                  <w:pPr>
                    <w:spacing w:before="0" w:after="0"/>
                    <w:textAlignment w:val="baseline"/>
                    <w:rPr>
                      <w:rFonts w:ascii="Segoe UI" w:eastAsia="Times New Roman" w:hAnsi="Segoe UI" w:cs="Segoe UI"/>
                      <w:noProof/>
                      <w:sz w:val="22"/>
                      <w:lang w:val="en-IE" w:eastAsia="en-IE"/>
                    </w:rPr>
                  </w:pPr>
                  <w:r w:rsidRPr="00BC246B">
                    <w:rPr>
                      <w:rFonts w:eastAsia="Times New Roman"/>
                      <w:noProof/>
                      <w:sz w:val="22"/>
                      <w:lang w:eastAsia="en-IE"/>
                    </w:rPr>
                    <w:t>3. </w:t>
                  </w:r>
                  <w:r w:rsidRPr="00BC246B">
                    <w:rPr>
                      <w:rFonts w:eastAsia="Times New Roman"/>
                      <w:b/>
                      <w:bCs/>
                      <w:noProof/>
                      <w:sz w:val="22"/>
                      <w:lang w:eastAsia="en-IE"/>
                    </w:rPr>
                    <w:t>The Commission shall ensure that all sensitive information obtained in the course of its investigations is treated confidentially.</w:t>
                  </w:r>
                  <w:r w:rsidRPr="00BC246B">
                    <w:rPr>
                      <w:rFonts w:eastAsia="Times New Roman"/>
                      <w:noProof/>
                      <w:sz w:val="22"/>
                      <w:lang w:val="en-IE" w:eastAsia="en-IE"/>
                    </w:rPr>
                    <w:t> </w:t>
                  </w:r>
                </w:p>
                <w:p w14:paraId="47A7F539" w14:textId="77777777" w:rsidR="007A5304" w:rsidRPr="00291CE2" w:rsidRDefault="007A5304">
                  <w:pPr>
                    <w:spacing w:before="0" w:after="0"/>
                    <w:textAlignment w:val="baseline"/>
                    <w:rPr>
                      <w:rFonts w:ascii="Segoe UI" w:eastAsia="Times New Roman" w:hAnsi="Segoe UI" w:cs="Segoe UI"/>
                      <w:noProof/>
                      <w:sz w:val="22"/>
                      <w:lang w:val="en-IE" w:eastAsia="en-IE"/>
                    </w:rPr>
                  </w:pPr>
                  <w:r w:rsidRPr="00BC246B">
                    <w:rPr>
                      <w:rFonts w:eastAsia="Times New Roman"/>
                      <w:noProof/>
                      <w:sz w:val="22"/>
                      <w:lang w:eastAsia="en-IE"/>
                    </w:rPr>
                    <w:t>4. Where the Commission ascertains that a conformity assessment body does not meet or no longer meets the requirements for its notification, it </w:t>
                  </w:r>
                  <w:r w:rsidRPr="00BC246B">
                    <w:rPr>
                      <w:rFonts w:eastAsia="Times New Roman"/>
                      <w:b/>
                      <w:bCs/>
                      <w:noProof/>
                      <w:sz w:val="22"/>
                      <w:lang w:eastAsia="en-IE"/>
                    </w:rPr>
                    <w:t>shall inform the national cybersecurity certification authority accordingly</w:t>
                  </w:r>
                  <w:r w:rsidRPr="00BC246B">
                    <w:rPr>
                      <w:rFonts w:eastAsia="Times New Roman"/>
                      <w:noProof/>
                      <w:sz w:val="22"/>
                      <w:lang w:eastAsia="en-IE"/>
                    </w:rPr>
                    <w:t> and request it to take the necessary corrective measures, including de-notification if necessary.</w:t>
                  </w:r>
                  <w:r w:rsidRPr="00BC246B">
                    <w:rPr>
                      <w:rFonts w:eastAsia="Times New Roman"/>
                      <w:noProof/>
                      <w:sz w:val="22"/>
                      <w:lang w:val="en-IE" w:eastAsia="en-IE"/>
                    </w:rPr>
                    <w:t> </w:t>
                  </w:r>
                </w:p>
              </w:tc>
              <w:tc>
                <w:tcPr>
                  <w:tcW w:w="3015" w:type="dxa"/>
                  <w:tcBorders>
                    <w:top w:val="single" w:sz="6" w:space="0" w:color="auto"/>
                    <w:left w:val="single" w:sz="6" w:space="0" w:color="auto"/>
                    <w:bottom w:val="single" w:sz="6" w:space="0" w:color="auto"/>
                    <w:right w:val="single" w:sz="6" w:space="0" w:color="auto"/>
                  </w:tcBorders>
                  <w:hideMark/>
                </w:tcPr>
                <w:p w14:paraId="117770DD"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Commission</w:t>
                  </w:r>
                  <w:r w:rsidRPr="006F001C">
                    <w:rPr>
                      <w:rFonts w:eastAsia="Times New Roman"/>
                      <w:noProof/>
                      <w:sz w:val="22"/>
                      <w:lang w:val="en-IE" w:eastAsia="en-IE"/>
                    </w:rPr>
                    <w:t> </w:t>
                  </w:r>
                </w:p>
                <w:p w14:paraId="2E318A01"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Member States</w:t>
                  </w:r>
                  <w:r w:rsidRPr="006F001C">
                    <w:rPr>
                      <w:rFonts w:eastAsia="Times New Roman"/>
                      <w:noProof/>
                      <w:sz w:val="22"/>
                      <w:lang w:val="en-IE" w:eastAsia="en-IE"/>
                    </w:rPr>
                    <w:t> </w:t>
                  </w:r>
                </w:p>
                <w:p w14:paraId="3D881949"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ENISA</w:t>
                  </w:r>
                  <w:r w:rsidRPr="006F001C">
                    <w:rPr>
                      <w:rFonts w:eastAsia="Times New Roman"/>
                      <w:noProof/>
                      <w:sz w:val="22"/>
                      <w:lang w:val="en-IE" w:eastAsia="en-IE"/>
                    </w:rPr>
                    <w:t> </w:t>
                  </w:r>
                </w:p>
              </w:tc>
              <w:tc>
                <w:tcPr>
                  <w:tcW w:w="3040" w:type="dxa"/>
                  <w:tcBorders>
                    <w:top w:val="single" w:sz="6" w:space="0" w:color="auto"/>
                    <w:left w:val="single" w:sz="6" w:space="0" w:color="auto"/>
                    <w:bottom w:val="single" w:sz="6" w:space="0" w:color="auto"/>
                    <w:right w:val="single" w:sz="6" w:space="0" w:color="auto"/>
                  </w:tcBorders>
                  <w:hideMark/>
                </w:tcPr>
                <w:p w14:paraId="293EE5F4"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Challenge of the competence of conformity assessment bodies</w:t>
                  </w:r>
                  <w:r w:rsidRPr="006F001C">
                    <w:rPr>
                      <w:rFonts w:eastAsia="Times New Roman"/>
                      <w:noProof/>
                      <w:sz w:val="22"/>
                      <w:lang w:val="en-IE" w:eastAsia="en-IE"/>
                    </w:rPr>
                    <w:t> </w:t>
                  </w:r>
                </w:p>
              </w:tc>
              <w:tc>
                <w:tcPr>
                  <w:tcW w:w="1281" w:type="dxa"/>
                  <w:tcBorders>
                    <w:top w:val="single" w:sz="6" w:space="0" w:color="auto"/>
                    <w:left w:val="single" w:sz="6" w:space="0" w:color="auto"/>
                    <w:bottom w:val="single" w:sz="6" w:space="0" w:color="auto"/>
                    <w:right w:val="single" w:sz="6" w:space="0" w:color="auto"/>
                  </w:tcBorders>
                  <w:hideMark/>
                </w:tcPr>
                <w:p w14:paraId="6D0892B6"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flow</w:t>
                  </w:r>
                  <w:r w:rsidRPr="006F001C">
                    <w:rPr>
                      <w:rFonts w:eastAsia="Times New Roman"/>
                      <w:noProof/>
                      <w:sz w:val="22"/>
                      <w:lang w:val="en-IE" w:eastAsia="en-IE"/>
                    </w:rPr>
                    <w:t> </w:t>
                  </w:r>
                </w:p>
                <w:p w14:paraId="7CF13E7C"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process</w:t>
                  </w:r>
                  <w:r w:rsidRPr="006F001C">
                    <w:rPr>
                      <w:rFonts w:eastAsia="Times New Roman"/>
                      <w:noProof/>
                      <w:sz w:val="22"/>
                      <w:lang w:val="en-IE" w:eastAsia="en-IE"/>
                    </w:rPr>
                    <w:t> </w:t>
                  </w:r>
                </w:p>
                <w:p w14:paraId="4DF70A51"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Digital public service </w:t>
                  </w:r>
                  <w:r w:rsidRPr="006F001C">
                    <w:rPr>
                      <w:rFonts w:eastAsia="Times New Roman"/>
                      <w:noProof/>
                      <w:sz w:val="22"/>
                      <w:lang w:val="en-IE" w:eastAsia="en-IE"/>
                    </w:rPr>
                    <w:t> </w:t>
                  </w:r>
                </w:p>
              </w:tc>
            </w:tr>
            <w:tr w:rsidR="007A5304" w:rsidRPr="006F001C" w14:paraId="662F9EE7" w14:textId="77777777">
              <w:trPr>
                <w:trHeight w:val="285"/>
              </w:trPr>
              <w:tc>
                <w:tcPr>
                  <w:tcW w:w="2887" w:type="dxa"/>
                  <w:tcBorders>
                    <w:top w:val="single" w:sz="6" w:space="0" w:color="auto"/>
                    <w:left w:val="single" w:sz="6" w:space="0" w:color="auto"/>
                    <w:bottom w:val="single" w:sz="6" w:space="0" w:color="auto"/>
                    <w:right w:val="single" w:sz="6" w:space="0" w:color="auto"/>
                  </w:tcBorders>
                  <w:hideMark/>
                </w:tcPr>
                <w:p w14:paraId="369096B5"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Article 95</w:t>
                  </w:r>
                  <w:r w:rsidRPr="006F001C">
                    <w:rPr>
                      <w:rFonts w:eastAsia="Times New Roman"/>
                      <w:noProof/>
                      <w:sz w:val="22"/>
                      <w:lang w:val="en-IE" w:eastAsia="en-IE"/>
                    </w:rPr>
                    <w:t> </w:t>
                  </w:r>
                </w:p>
                <w:p w14:paraId="63F25FEA"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Information and retention obligation on conformity assessment bodies</w:t>
                  </w:r>
                  <w:r w:rsidRPr="006F001C">
                    <w:rPr>
                      <w:rFonts w:eastAsia="Times New Roman"/>
                      <w:noProof/>
                      <w:sz w:val="22"/>
                      <w:lang w:val="en-IE" w:eastAsia="en-IE"/>
                    </w:rPr>
                    <w:t> </w:t>
                  </w:r>
                </w:p>
              </w:tc>
              <w:tc>
                <w:tcPr>
                  <w:tcW w:w="4332" w:type="dxa"/>
                  <w:tcBorders>
                    <w:top w:val="single" w:sz="6" w:space="0" w:color="auto"/>
                    <w:left w:val="single" w:sz="6" w:space="0" w:color="auto"/>
                    <w:bottom w:val="single" w:sz="6" w:space="0" w:color="auto"/>
                    <w:right w:val="single" w:sz="6" w:space="0" w:color="auto"/>
                  </w:tcBorders>
                  <w:hideMark/>
                </w:tcPr>
                <w:p w14:paraId="64567CC1"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1. Conformity assessment bodies </w:t>
                  </w:r>
                  <w:r w:rsidRPr="006F001C">
                    <w:rPr>
                      <w:rFonts w:eastAsia="Times New Roman"/>
                      <w:b/>
                      <w:bCs/>
                      <w:noProof/>
                      <w:sz w:val="22"/>
                      <w:lang w:eastAsia="en-IE"/>
                    </w:rPr>
                    <w:t>shall inform the national cybersecurity certification authority</w:t>
                  </w:r>
                  <w:r w:rsidRPr="006F001C">
                    <w:rPr>
                      <w:rFonts w:eastAsia="Times New Roman"/>
                      <w:noProof/>
                      <w:sz w:val="22"/>
                      <w:lang w:eastAsia="en-IE"/>
                    </w:rPr>
                    <w:t> of the following:</w:t>
                  </w:r>
                  <w:r w:rsidRPr="006F001C">
                    <w:rPr>
                      <w:rFonts w:eastAsia="Times New Roman"/>
                      <w:noProof/>
                      <w:sz w:val="22"/>
                      <w:lang w:val="en-IE" w:eastAsia="en-IE"/>
                    </w:rPr>
                    <w:t> </w:t>
                  </w:r>
                </w:p>
                <w:p w14:paraId="64FCF5C4"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w:t>
                  </w:r>
                  <w:r w:rsidRPr="006F001C">
                    <w:rPr>
                      <w:rFonts w:ascii="Calibri" w:eastAsia="Times New Roman" w:hAnsi="Calibri" w:cs="Calibri"/>
                      <w:noProof/>
                      <w:sz w:val="22"/>
                      <w:lang w:val="en-IE" w:eastAsia="en-IE"/>
                    </w:rPr>
                    <w:tab/>
                  </w:r>
                  <w:r w:rsidRPr="006F001C">
                    <w:rPr>
                      <w:rFonts w:eastAsia="Times New Roman"/>
                      <w:noProof/>
                      <w:sz w:val="22"/>
                      <w:lang w:eastAsia="en-IE"/>
                    </w:rPr>
                    <w:t>any refusal, restriction, suspension or withdrawal of a certificate;</w:t>
                  </w:r>
                  <w:r w:rsidRPr="006F001C">
                    <w:rPr>
                      <w:rFonts w:eastAsia="Times New Roman"/>
                      <w:noProof/>
                      <w:sz w:val="22"/>
                      <w:lang w:val="en-IE" w:eastAsia="en-IE"/>
                    </w:rPr>
                    <w:t> </w:t>
                  </w:r>
                </w:p>
                <w:p w14:paraId="576D517E"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(b)</w:t>
                  </w:r>
                  <w:r w:rsidRPr="006F001C">
                    <w:rPr>
                      <w:rFonts w:ascii="Calibri" w:eastAsia="Times New Roman" w:hAnsi="Calibri" w:cs="Calibri"/>
                      <w:noProof/>
                      <w:sz w:val="22"/>
                      <w:lang w:val="en-IE" w:eastAsia="en-IE"/>
                    </w:rPr>
                    <w:tab/>
                  </w:r>
                  <w:r w:rsidRPr="006F001C">
                    <w:rPr>
                      <w:rFonts w:eastAsia="Times New Roman"/>
                      <w:noProof/>
                      <w:sz w:val="22"/>
                      <w:lang w:eastAsia="en-IE"/>
                    </w:rPr>
                    <w:t xml:space="preserve">any circumstances affecting the scope of and conditions for </w:t>
                  </w:r>
                  <w:r>
                    <w:rPr>
                      <w:rFonts w:eastAsia="Times New Roman"/>
                      <w:noProof/>
                      <w:sz w:val="22"/>
                      <w:lang w:eastAsia="en-IE"/>
                    </w:rPr>
                    <w:t xml:space="preserve">the </w:t>
                  </w:r>
                  <w:r w:rsidRPr="006F001C">
                    <w:rPr>
                      <w:rFonts w:eastAsia="Times New Roman"/>
                      <w:noProof/>
                      <w:sz w:val="22"/>
                      <w:lang w:eastAsia="en-IE"/>
                    </w:rPr>
                    <w:t xml:space="preserve">notification referred to in Article </w:t>
                  </w:r>
                  <w:r>
                    <w:rPr>
                      <w:rFonts w:eastAsia="Times New Roman"/>
                      <w:noProof/>
                      <w:sz w:val="22"/>
                      <w:lang w:eastAsia="en-IE"/>
                    </w:rPr>
                    <w:t>93</w:t>
                  </w:r>
                  <w:r w:rsidRPr="006F001C">
                    <w:rPr>
                      <w:rFonts w:eastAsia="Times New Roman"/>
                      <w:noProof/>
                      <w:sz w:val="22"/>
                      <w:lang w:eastAsia="en-IE"/>
                    </w:rPr>
                    <w:t>(1);    </w:t>
                  </w:r>
                  <w:r w:rsidRPr="006F001C">
                    <w:rPr>
                      <w:rFonts w:eastAsia="Times New Roman"/>
                      <w:noProof/>
                      <w:sz w:val="22"/>
                      <w:lang w:val="en-IE" w:eastAsia="en-IE"/>
                    </w:rPr>
                    <w:t> </w:t>
                  </w:r>
                </w:p>
                <w:p w14:paraId="17DC4131"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(c)</w:t>
                  </w:r>
                  <w:r w:rsidRPr="006F001C">
                    <w:rPr>
                      <w:rFonts w:ascii="Calibri" w:eastAsia="Times New Roman" w:hAnsi="Calibri" w:cs="Calibri"/>
                      <w:noProof/>
                      <w:sz w:val="22"/>
                      <w:lang w:val="en-IE" w:eastAsia="en-IE"/>
                    </w:rPr>
                    <w:tab/>
                  </w:r>
                  <w:r w:rsidRPr="006F001C">
                    <w:rPr>
                      <w:rFonts w:eastAsia="Times New Roman"/>
                      <w:noProof/>
                      <w:sz w:val="22"/>
                      <w:lang w:eastAsia="en-IE"/>
                    </w:rPr>
                    <w:t xml:space="preserve">any request for information </w:t>
                  </w:r>
                  <w:r>
                    <w:rPr>
                      <w:rFonts w:eastAsia="Times New Roman"/>
                      <w:noProof/>
                      <w:sz w:val="22"/>
                      <w:lang w:eastAsia="en-IE"/>
                    </w:rPr>
                    <w:t>that</w:t>
                  </w:r>
                  <w:r w:rsidRPr="006F001C">
                    <w:rPr>
                      <w:rFonts w:eastAsia="Times New Roman"/>
                      <w:noProof/>
                      <w:sz w:val="22"/>
                      <w:lang w:eastAsia="en-IE"/>
                    </w:rPr>
                    <w:t xml:space="preserve"> they have received from market surveillance authorities regarding conformity assessment activities;</w:t>
                  </w:r>
                  <w:r w:rsidRPr="006F001C">
                    <w:rPr>
                      <w:rFonts w:eastAsia="Times New Roman"/>
                      <w:noProof/>
                      <w:sz w:val="22"/>
                      <w:lang w:val="en-IE" w:eastAsia="en-IE"/>
                    </w:rPr>
                    <w:t> </w:t>
                  </w:r>
                </w:p>
                <w:p w14:paraId="77BDB649"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w:t>
                  </w:r>
                  <w:r w:rsidRPr="006F001C">
                    <w:rPr>
                      <w:rFonts w:ascii="Calibri" w:eastAsia="Times New Roman" w:hAnsi="Calibri" w:cs="Calibri"/>
                      <w:noProof/>
                      <w:sz w:val="22"/>
                      <w:lang w:val="en-IE" w:eastAsia="en-IE"/>
                    </w:rPr>
                    <w:tab/>
                  </w:r>
                  <w:r w:rsidRPr="006F001C">
                    <w:rPr>
                      <w:rFonts w:eastAsia="Times New Roman"/>
                      <w:noProof/>
                      <w:sz w:val="22"/>
                      <w:lang w:eastAsia="en-IE"/>
                    </w:rPr>
                    <w:t xml:space="preserve">on request, </w:t>
                  </w:r>
                  <w:r>
                    <w:rPr>
                      <w:rFonts w:eastAsia="Times New Roman"/>
                      <w:noProof/>
                      <w:sz w:val="22"/>
                      <w:lang w:eastAsia="en-IE"/>
                    </w:rPr>
                    <w:t xml:space="preserve">any </w:t>
                  </w:r>
                  <w:r w:rsidRPr="006F001C">
                    <w:rPr>
                      <w:rFonts w:eastAsia="Times New Roman"/>
                      <w:noProof/>
                      <w:sz w:val="22"/>
                      <w:lang w:eastAsia="en-IE"/>
                    </w:rPr>
                    <w:t>conformity assessment activities performed within the scope of their notification and any other activity performed, including cross-border activities and subcontracting.</w:t>
                  </w:r>
                  <w:r w:rsidRPr="006F001C">
                    <w:rPr>
                      <w:rFonts w:eastAsia="Times New Roman"/>
                      <w:noProof/>
                      <w:sz w:val="22"/>
                      <w:lang w:val="en-IE" w:eastAsia="en-IE"/>
                    </w:rPr>
                    <w:t> </w:t>
                  </w:r>
                </w:p>
                <w:p w14:paraId="44070548" w14:textId="77777777" w:rsidR="007A5304" w:rsidRDefault="007A5304">
                  <w:pPr>
                    <w:pStyle w:val="NumPar1"/>
                    <w:numPr>
                      <w:ilvl w:val="0"/>
                      <w:numId w:val="0"/>
                    </w:numPr>
                    <w:rPr>
                      <w:noProof/>
                      <w:lang w:eastAsia="en-IE"/>
                    </w:rPr>
                  </w:pPr>
                  <w:r>
                    <w:rPr>
                      <w:noProof/>
                      <w:lang w:eastAsia="en-IE"/>
                    </w:rPr>
                    <w:t xml:space="preserve">2. </w:t>
                  </w:r>
                  <w:r w:rsidRPr="00291CE2">
                    <w:rPr>
                      <w:b/>
                      <w:bCs/>
                      <w:noProof/>
                      <w:lang w:eastAsia="en-IE"/>
                    </w:rPr>
                    <w:t>Conformity assessment bodies shall also provide ENISA with the information</w:t>
                  </w:r>
                  <w:r>
                    <w:rPr>
                      <w:noProof/>
                      <w:lang w:eastAsia="en-IE"/>
                    </w:rPr>
                    <w:t xml:space="preserve"> referred to in paragraph 1 point (a) </w:t>
                  </w:r>
                  <w:r w:rsidRPr="00B9076E">
                    <w:rPr>
                      <w:noProof/>
                      <w:lang w:eastAsia="en-IE"/>
                    </w:rPr>
                    <w:t>in view of facilitating the performance of its task under Article </w:t>
                  </w:r>
                  <w:r>
                    <w:rPr>
                      <w:noProof/>
                      <w:lang w:eastAsia="en-IE"/>
                    </w:rPr>
                    <w:t>79</w:t>
                  </w:r>
                  <w:r w:rsidRPr="00B9076E">
                    <w:rPr>
                      <w:noProof/>
                      <w:lang w:eastAsia="en-IE"/>
                    </w:rPr>
                    <w:t xml:space="preserve">. </w:t>
                  </w:r>
                </w:p>
                <w:p w14:paraId="5C62713F" w14:textId="77777777" w:rsidR="007A5304" w:rsidRPr="00C135CB" w:rsidRDefault="007A5304">
                  <w:pPr>
                    <w:pStyle w:val="NumPar1"/>
                    <w:numPr>
                      <w:ilvl w:val="0"/>
                      <w:numId w:val="0"/>
                    </w:numPr>
                    <w:rPr>
                      <w:noProof/>
                      <w:lang w:eastAsia="en-IE"/>
                    </w:rPr>
                  </w:pPr>
                  <w:r>
                    <w:rPr>
                      <w:noProof/>
                      <w:lang w:eastAsia="en-IE"/>
                    </w:rPr>
                    <w:t xml:space="preserve">3. </w:t>
                  </w:r>
                  <w:r w:rsidRPr="00291CE2">
                    <w:rPr>
                      <w:b/>
                      <w:bCs/>
                      <w:noProof/>
                      <w:lang w:eastAsia="en-IE"/>
                    </w:rPr>
                    <w:t>Conformity assessment bodies shall provide the other conformity assessment bodies</w:t>
                  </w:r>
                  <w:r w:rsidRPr="00C135CB">
                    <w:rPr>
                      <w:noProof/>
                      <w:lang w:eastAsia="en-IE"/>
                    </w:rPr>
                    <w:t xml:space="preserve"> under this Regulation carrying out similar conformity assessment activities covering the same ICT products, ICT services</w:t>
                  </w:r>
                  <w:r>
                    <w:rPr>
                      <w:noProof/>
                      <w:lang w:eastAsia="en-IE"/>
                    </w:rPr>
                    <w:t>,</w:t>
                  </w:r>
                  <w:r w:rsidRPr="00C135CB">
                    <w:rPr>
                      <w:noProof/>
                      <w:lang w:eastAsia="en-IE"/>
                    </w:rPr>
                    <w:t xml:space="preserve"> ICT processes</w:t>
                  </w:r>
                  <w:r>
                    <w:rPr>
                      <w:noProof/>
                      <w:lang w:eastAsia="en-IE"/>
                    </w:rPr>
                    <w:t>, managed security services or entities the cyber posture of which is certified without undue delay</w:t>
                  </w:r>
                  <w:r w:rsidRPr="00C135CB">
                    <w:rPr>
                      <w:noProof/>
                      <w:lang w:eastAsia="en-IE"/>
                    </w:rPr>
                    <w:t xml:space="preserve"> </w:t>
                  </w:r>
                  <w:r w:rsidRPr="00291CE2">
                    <w:rPr>
                      <w:b/>
                      <w:bCs/>
                      <w:noProof/>
                      <w:lang w:eastAsia="en-IE"/>
                    </w:rPr>
                    <w:t>with relevant information</w:t>
                  </w:r>
                  <w:r w:rsidRPr="00C135CB">
                    <w:rPr>
                      <w:noProof/>
                      <w:lang w:eastAsia="en-IE"/>
                    </w:rPr>
                    <w:t xml:space="preserve"> on </w:t>
                  </w:r>
                  <w:r w:rsidRPr="00C135CB" w:rsidDel="00353006">
                    <w:rPr>
                      <w:noProof/>
                      <w:lang w:eastAsia="en-IE"/>
                    </w:rPr>
                    <w:t xml:space="preserve">issues relating to </w:t>
                  </w:r>
                  <w:r w:rsidRPr="00C135CB">
                    <w:rPr>
                      <w:noProof/>
                      <w:lang w:eastAsia="en-IE"/>
                    </w:rPr>
                    <w:t>negative and, upon request, positive conformity assessment results.</w:t>
                  </w:r>
                </w:p>
                <w:p w14:paraId="479F72C6" w14:textId="77777777" w:rsidR="007A5304" w:rsidRDefault="007A5304">
                  <w:pPr>
                    <w:pStyle w:val="NumPar1"/>
                    <w:numPr>
                      <w:ilvl w:val="0"/>
                      <w:numId w:val="0"/>
                    </w:numPr>
                    <w:rPr>
                      <w:noProof/>
                      <w:lang w:eastAsia="en-IE"/>
                    </w:rPr>
                  </w:pPr>
                  <w:r>
                    <w:rPr>
                      <w:noProof/>
                      <w:lang w:eastAsia="en-IE"/>
                    </w:rPr>
                    <w:t xml:space="preserve">4. </w:t>
                  </w:r>
                  <w:r w:rsidRPr="00291CE2">
                    <w:rPr>
                      <w:b/>
                      <w:bCs/>
                      <w:noProof/>
                      <w:lang w:eastAsia="en-IE"/>
                    </w:rPr>
                    <w:t>Conformity assessment bodies shall maintain a record system</w:t>
                  </w:r>
                  <w:r w:rsidRPr="00C135CB">
                    <w:rPr>
                      <w:noProof/>
                      <w:lang w:eastAsia="en-IE"/>
                    </w:rPr>
                    <w:t>, contain</w:t>
                  </w:r>
                  <w:r>
                    <w:rPr>
                      <w:noProof/>
                      <w:lang w:eastAsia="en-IE"/>
                    </w:rPr>
                    <w:t>ing</w:t>
                  </w:r>
                  <w:r w:rsidRPr="00C135CB">
                    <w:rPr>
                      <w:noProof/>
                      <w:lang w:eastAsia="en-IE"/>
                    </w:rPr>
                    <w:t xml:space="preserve"> all the documents and evidence produced or received in connection with each evaluation and certification that they perform.</w:t>
                  </w:r>
                  <w:r>
                    <w:rPr>
                      <w:noProof/>
                      <w:lang w:eastAsia="en-IE"/>
                    </w:rPr>
                    <w:t xml:space="preserve"> The record shall be stored </w:t>
                  </w:r>
                  <w:r w:rsidRPr="00C135CB">
                    <w:rPr>
                      <w:noProof/>
                      <w:lang w:eastAsia="en-IE"/>
                    </w:rPr>
                    <w:t xml:space="preserve">in a secure and accessible manner for the period necessary for the purposes of certification and for at least </w:t>
                  </w:r>
                  <w:r>
                    <w:rPr>
                      <w:noProof/>
                      <w:lang w:eastAsia="en-IE"/>
                    </w:rPr>
                    <w:t>five</w:t>
                  </w:r>
                  <w:r w:rsidRPr="00C135CB">
                    <w:rPr>
                      <w:noProof/>
                      <w:lang w:eastAsia="en-IE"/>
                    </w:rPr>
                    <w:t xml:space="preserve"> years after the expiry or withdrawal of a relevant European cybersecurity certificate. </w:t>
                  </w:r>
                </w:p>
                <w:p w14:paraId="4B02FD8E"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p>
              </w:tc>
              <w:tc>
                <w:tcPr>
                  <w:tcW w:w="3015" w:type="dxa"/>
                  <w:tcBorders>
                    <w:top w:val="single" w:sz="6" w:space="0" w:color="auto"/>
                    <w:left w:val="single" w:sz="6" w:space="0" w:color="auto"/>
                    <w:bottom w:val="single" w:sz="6" w:space="0" w:color="auto"/>
                    <w:right w:val="single" w:sz="6" w:space="0" w:color="auto"/>
                  </w:tcBorders>
                  <w:hideMark/>
                </w:tcPr>
                <w:p w14:paraId="4CC61271"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Member States authorities</w:t>
                  </w:r>
                  <w:r w:rsidRPr="006F001C">
                    <w:rPr>
                      <w:rFonts w:eastAsia="Times New Roman"/>
                      <w:noProof/>
                      <w:sz w:val="22"/>
                      <w:lang w:val="en-IE" w:eastAsia="en-IE"/>
                    </w:rPr>
                    <w:t> </w:t>
                  </w:r>
                </w:p>
                <w:p w14:paraId="65BE5B6E"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Conformity assessment bodies</w:t>
                  </w:r>
                  <w:r w:rsidRPr="006F001C">
                    <w:rPr>
                      <w:rFonts w:eastAsia="Times New Roman"/>
                      <w:noProof/>
                      <w:sz w:val="22"/>
                      <w:lang w:val="en-IE" w:eastAsia="en-IE"/>
                    </w:rPr>
                    <w:t> </w:t>
                  </w:r>
                </w:p>
              </w:tc>
              <w:tc>
                <w:tcPr>
                  <w:tcW w:w="3040" w:type="dxa"/>
                  <w:tcBorders>
                    <w:top w:val="single" w:sz="6" w:space="0" w:color="auto"/>
                    <w:left w:val="single" w:sz="6" w:space="0" w:color="auto"/>
                    <w:bottom w:val="single" w:sz="6" w:space="0" w:color="auto"/>
                    <w:right w:val="single" w:sz="6" w:space="0" w:color="auto"/>
                  </w:tcBorders>
                  <w:hideMark/>
                </w:tcPr>
                <w:p w14:paraId="52C677C2"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Information exchange from the conformity assessment bodies</w:t>
                  </w:r>
                  <w:r w:rsidRPr="006F001C">
                    <w:rPr>
                      <w:rFonts w:eastAsia="Times New Roman"/>
                      <w:noProof/>
                      <w:sz w:val="22"/>
                      <w:lang w:val="en-IE" w:eastAsia="en-IE"/>
                    </w:rPr>
                    <w:t> </w:t>
                  </w:r>
                </w:p>
              </w:tc>
              <w:tc>
                <w:tcPr>
                  <w:tcW w:w="1281" w:type="dxa"/>
                  <w:tcBorders>
                    <w:top w:val="single" w:sz="6" w:space="0" w:color="auto"/>
                    <w:left w:val="single" w:sz="6" w:space="0" w:color="auto"/>
                    <w:bottom w:val="single" w:sz="6" w:space="0" w:color="auto"/>
                    <w:right w:val="single" w:sz="6" w:space="0" w:color="auto"/>
                  </w:tcBorders>
                  <w:hideMark/>
                </w:tcPr>
                <w:p w14:paraId="22ED1D6D"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flow</w:t>
                  </w:r>
                  <w:r w:rsidRPr="006F001C">
                    <w:rPr>
                      <w:rFonts w:eastAsia="Times New Roman"/>
                      <w:noProof/>
                      <w:sz w:val="22"/>
                      <w:lang w:val="en-IE" w:eastAsia="en-IE"/>
                    </w:rPr>
                    <w:t> </w:t>
                  </w:r>
                </w:p>
                <w:p w14:paraId="7D8EB12A"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processing</w:t>
                  </w:r>
                  <w:r w:rsidRPr="006F001C">
                    <w:rPr>
                      <w:rFonts w:eastAsia="Times New Roman"/>
                      <w:noProof/>
                      <w:sz w:val="22"/>
                      <w:lang w:val="en-IE" w:eastAsia="en-IE"/>
                    </w:rPr>
                    <w:t> </w:t>
                  </w:r>
                </w:p>
              </w:tc>
            </w:tr>
            <w:tr w:rsidR="007A5304" w:rsidRPr="006F001C" w14:paraId="04B980FB" w14:textId="77777777">
              <w:trPr>
                <w:trHeight w:val="285"/>
              </w:trPr>
              <w:tc>
                <w:tcPr>
                  <w:tcW w:w="2887" w:type="dxa"/>
                  <w:tcBorders>
                    <w:top w:val="single" w:sz="6" w:space="0" w:color="auto"/>
                    <w:left w:val="single" w:sz="6" w:space="0" w:color="auto"/>
                    <w:bottom w:val="single" w:sz="6" w:space="0" w:color="auto"/>
                    <w:right w:val="single" w:sz="6" w:space="0" w:color="auto"/>
                  </w:tcBorders>
                  <w:hideMark/>
                </w:tcPr>
                <w:p w14:paraId="4BEFED7E" w14:textId="77777777" w:rsidR="007A5304" w:rsidRPr="00291CE2" w:rsidRDefault="007A5304">
                  <w:pPr>
                    <w:spacing w:before="0" w:after="0"/>
                    <w:jc w:val="left"/>
                    <w:textAlignment w:val="baseline"/>
                    <w:rPr>
                      <w:rFonts w:ascii="Segoe UI" w:eastAsia="Times New Roman" w:hAnsi="Segoe UI" w:cs="Segoe UI"/>
                      <w:noProof/>
                      <w:sz w:val="22"/>
                      <w:lang w:val="en-IE" w:eastAsia="en-IE"/>
                    </w:rPr>
                  </w:pPr>
                  <w:r w:rsidRPr="00E923F2">
                    <w:rPr>
                      <w:rFonts w:eastAsia="Times New Roman"/>
                      <w:noProof/>
                      <w:sz w:val="22"/>
                      <w:lang w:eastAsia="en-IE"/>
                    </w:rPr>
                    <w:t>Article 96</w:t>
                  </w:r>
                  <w:r w:rsidRPr="00E923F2">
                    <w:rPr>
                      <w:rFonts w:eastAsia="Times New Roman"/>
                      <w:noProof/>
                      <w:sz w:val="22"/>
                      <w:lang w:val="en-IE" w:eastAsia="en-IE"/>
                    </w:rPr>
                    <w:t> </w:t>
                  </w:r>
                </w:p>
                <w:p w14:paraId="4E76D1FD"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291CE2">
                    <w:rPr>
                      <w:noProof/>
                      <w:sz w:val="22"/>
                      <w:lang w:eastAsia="en-IE"/>
                    </w:rPr>
                    <w:t>Rights to lodge a complaint and right to an effective judicial remedy</w:t>
                  </w:r>
                  <w:r w:rsidRPr="00066EBF">
                    <w:rPr>
                      <w:noProof/>
                      <w:lang w:eastAsia="en-IE"/>
                    </w:rPr>
                    <w:t xml:space="preserve">  </w:t>
                  </w:r>
                </w:p>
              </w:tc>
              <w:tc>
                <w:tcPr>
                  <w:tcW w:w="4332" w:type="dxa"/>
                  <w:tcBorders>
                    <w:top w:val="single" w:sz="6" w:space="0" w:color="auto"/>
                    <w:left w:val="single" w:sz="6" w:space="0" w:color="auto"/>
                    <w:bottom w:val="single" w:sz="6" w:space="0" w:color="auto"/>
                    <w:right w:val="single" w:sz="6" w:space="0" w:color="auto"/>
                  </w:tcBorders>
                  <w:hideMark/>
                </w:tcPr>
                <w:p w14:paraId="3F62C13C"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2. The authority or body with which the complaint has been lodged </w:t>
                  </w:r>
                  <w:r w:rsidRPr="006F001C">
                    <w:rPr>
                      <w:rFonts w:eastAsia="Times New Roman"/>
                      <w:b/>
                      <w:bCs/>
                      <w:noProof/>
                      <w:sz w:val="22"/>
                      <w:lang w:eastAsia="en-IE"/>
                    </w:rPr>
                    <w:t>shall inform the complainant of the progress </w:t>
                  </w:r>
                  <w:r w:rsidRPr="006F001C">
                    <w:rPr>
                      <w:rFonts w:eastAsia="Times New Roman"/>
                      <w:noProof/>
                      <w:sz w:val="22"/>
                      <w:lang w:eastAsia="en-IE"/>
                    </w:rPr>
                    <w:t>of the proceedings</w:t>
                  </w:r>
                  <w:r>
                    <w:rPr>
                      <w:rFonts w:eastAsia="Times New Roman"/>
                      <w:noProof/>
                      <w:sz w:val="22"/>
                      <w:lang w:eastAsia="en-IE"/>
                    </w:rPr>
                    <w:t xml:space="preserve">, </w:t>
                  </w:r>
                  <w:r w:rsidRPr="006F001C">
                    <w:rPr>
                      <w:rFonts w:eastAsia="Times New Roman"/>
                      <w:noProof/>
                      <w:sz w:val="22"/>
                      <w:lang w:eastAsia="en-IE"/>
                    </w:rPr>
                    <w:t>of the decision tak</w:t>
                  </w:r>
                  <w:r w:rsidRPr="009C0C74">
                    <w:rPr>
                      <w:rFonts w:eastAsia="Times New Roman"/>
                      <w:noProof/>
                      <w:sz w:val="22"/>
                      <w:lang w:eastAsia="en-IE"/>
                    </w:rPr>
                    <w:t>en, and </w:t>
                  </w:r>
                  <w:r w:rsidRPr="00291CE2">
                    <w:rPr>
                      <w:rFonts w:eastAsia="Times New Roman"/>
                      <w:noProof/>
                      <w:sz w:val="22"/>
                      <w:lang w:eastAsia="en-IE"/>
                    </w:rPr>
                    <w:t>of the right</w:t>
                  </w:r>
                  <w:r w:rsidRPr="009C0C74">
                    <w:rPr>
                      <w:rFonts w:eastAsia="Times New Roman"/>
                      <w:noProof/>
                      <w:sz w:val="22"/>
                      <w:lang w:eastAsia="en-IE"/>
                    </w:rPr>
                    <w:t> to an effective judicial remedy</w:t>
                  </w:r>
                  <w:r w:rsidRPr="006F001C">
                    <w:rPr>
                      <w:rFonts w:eastAsia="Times New Roman"/>
                      <w:noProof/>
                      <w:sz w:val="22"/>
                      <w:lang w:eastAsia="en-IE"/>
                    </w:rPr>
                    <w:t xml:space="preserve"> referred to in </w:t>
                  </w:r>
                  <w:r>
                    <w:rPr>
                      <w:rFonts w:eastAsia="Times New Roman"/>
                      <w:noProof/>
                      <w:sz w:val="22"/>
                      <w:lang w:eastAsia="en-IE"/>
                    </w:rPr>
                    <w:t>paragraphs 3 and 4.</w:t>
                  </w:r>
                </w:p>
                <w:p w14:paraId="4A9BEAF8"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4. Proceedings pursuant to this Article shall be brought before the courts of the Member State in which the authority or body against which the judicial remedy is sought is located.</w:t>
                  </w:r>
                  <w:r w:rsidRPr="006F001C">
                    <w:rPr>
                      <w:rFonts w:eastAsia="Times New Roman"/>
                      <w:noProof/>
                      <w:sz w:val="22"/>
                      <w:lang w:val="en-IE" w:eastAsia="en-IE"/>
                    </w:rPr>
                    <w:t> </w:t>
                  </w:r>
                </w:p>
                <w:p w14:paraId="5A921392"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p>
              </w:tc>
              <w:tc>
                <w:tcPr>
                  <w:tcW w:w="3015" w:type="dxa"/>
                  <w:tcBorders>
                    <w:top w:val="single" w:sz="6" w:space="0" w:color="auto"/>
                    <w:left w:val="single" w:sz="6" w:space="0" w:color="auto"/>
                    <w:bottom w:val="single" w:sz="6" w:space="0" w:color="auto"/>
                    <w:right w:val="single" w:sz="6" w:space="0" w:color="auto"/>
                  </w:tcBorders>
                  <w:hideMark/>
                </w:tcPr>
                <w:p w14:paraId="31059BF6"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Member States authorities</w:t>
                  </w:r>
                  <w:r w:rsidRPr="006F001C">
                    <w:rPr>
                      <w:rFonts w:eastAsia="Times New Roman"/>
                      <w:noProof/>
                      <w:sz w:val="22"/>
                      <w:lang w:val="en-IE" w:eastAsia="en-IE"/>
                    </w:rPr>
                    <w:t> </w:t>
                  </w:r>
                </w:p>
                <w:p w14:paraId="3F3CF0A1"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EU Commission</w:t>
                  </w:r>
                  <w:r w:rsidRPr="006F001C">
                    <w:rPr>
                      <w:rFonts w:eastAsia="Times New Roman"/>
                      <w:noProof/>
                      <w:sz w:val="22"/>
                      <w:lang w:val="en-IE" w:eastAsia="en-IE"/>
                    </w:rPr>
                    <w:t> </w:t>
                  </w:r>
                </w:p>
                <w:p w14:paraId="1FE8162D"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General public</w:t>
                  </w:r>
                  <w:r w:rsidRPr="006F001C">
                    <w:rPr>
                      <w:rFonts w:eastAsia="Times New Roman"/>
                      <w:noProof/>
                      <w:sz w:val="22"/>
                      <w:lang w:val="en-IE" w:eastAsia="en-IE"/>
                    </w:rPr>
                    <w:t> </w:t>
                  </w:r>
                </w:p>
                <w:p w14:paraId="25A76CFA"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Certificate holders</w:t>
                  </w:r>
                  <w:r w:rsidRPr="006F001C">
                    <w:rPr>
                      <w:rFonts w:eastAsia="Times New Roman"/>
                      <w:noProof/>
                      <w:sz w:val="22"/>
                      <w:lang w:val="en-IE" w:eastAsia="en-IE"/>
                    </w:rPr>
                    <w:t> </w:t>
                  </w:r>
                </w:p>
              </w:tc>
              <w:tc>
                <w:tcPr>
                  <w:tcW w:w="3040" w:type="dxa"/>
                  <w:tcBorders>
                    <w:top w:val="single" w:sz="6" w:space="0" w:color="auto"/>
                    <w:left w:val="single" w:sz="6" w:space="0" w:color="auto"/>
                    <w:bottom w:val="single" w:sz="6" w:space="0" w:color="auto"/>
                    <w:right w:val="single" w:sz="6" w:space="0" w:color="auto"/>
                  </w:tcBorders>
                  <w:hideMark/>
                </w:tcPr>
                <w:p w14:paraId="230C883E"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Information flow between authorities and general public regarding complaints </w:t>
                  </w:r>
                  <w:r w:rsidRPr="006F001C">
                    <w:rPr>
                      <w:rFonts w:eastAsia="Times New Roman"/>
                      <w:noProof/>
                      <w:sz w:val="22"/>
                      <w:lang w:val="en-IE" w:eastAsia="en-IE"/>
                    </w:rPr>
                    <w:t> </w:t>
                  </w:r>
                </w:p>
                <w:p w14:paraId="32D368B3"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Proceedings before the courts of the Member State</w:t>
                  </w:r>
                  <w:r w:rsidRPr="006F001C">
                    <w:rPr>
                      <w:rFonts w:eastAsia="Times New Roman"/>
                      <w:noProof/>
                      <w:sz w:val="22"/>
                      <w:lang w:val="en-IE" w:eastAsia="en-IE"/>
                    </w:rPr>
                    <w:t> </w:t>
                  </w:r>
                </w:p>
                <w:p w14:paraId="73645B03"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p>
              </w:tc>
              <w:tc>
                <w:tcPr>
                  <w:tcW w:w="1281" w:type="dxa"/>
                  <w:tcBorders>
                    <w:top w:val="single" w:sz="6" w:space="0" w:color="auto"/>
                    <w:left w:val="single" w:sz="6" w:space="0" w:color="auto"/>
                    <w:bottom w:val="single" w:sz="6" w:space="0" w:color="auto"/>
                    <w:right w:val="single" w:sz="6" w:space="0" w:color="auto"/>
                  </w:tcBorders>
                  <w:hideMark/>
                </w:tcPr>
                <w:p w14:paraId="6C0486EF"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flow</w:t>
                  </w:r>
                  <w:r w:rsidRPr="006F001C">
                    <w:rPr>
                      <w:rFonts w:eastAsia="Times New Roman"/>
                      <w:noProof/>
                      <w:sz w:val="22"/>
                      <w:lang w:val="en-IE" w:eastAsia="en-IE"/>
                    </w:rPr>
                    <w:t> </w:t>
                  </w:r>
                </w:p>
              </w:tc>
            </w:tr>
            <w:tr w:rsidR="007A5304" w:rsidRPr="006F001C" w14:paraId="30CF937F" w14:textId="77777777">
              <w:trPr>
                <w:trHeight w:val="285"/>
              </w:trPr>
              <w:tc>
                <w:tcPr>
                  <w:tcW w:w="2887" w:type="dxa"/>
                  <w:tcBorders>
                    <w:top w:val="single" w:sz="6" w:space="0" w:color="auto"/>
                    <w:left w:val="single" w:sz="6" w:space="0" w:color="auto"/>
                    <w:bottom w:val="single" w:sz="6" w:space="0" w:color="auto"/>
                    <w:right w:val="single" w:sz="6" w:space="0" w:color="auto"/>
                  </w:tcBorders>
                </w:tcPr>
                <w:p w14:paraId="5B95BDED" w14:textId="77777777" w:rsidR="007A5304" w:rsidRPr="00FC2BB2" w:rsidRDefault="007A5304">
                  <w:pPr>
                    <w:spacing w:before="0" w:after="0"/>
                    <w:jc w:val="left"/>
                    <w:textAlignment w:val="baseline"/>
                    <w:rPr>
                      <w:rFonts w:ascii="Segoe UI" w:eastAsia="Times New Roman" w:hAnsi="Segoe UI" w:cs="Segoe UI"/>
                      <w:noProof/>
                      <w:sz w:val="22"/>
                      <w:lang w:val="en-IE" w:eastAsia="en-IE"/>
                    </w:rPr>
                  </w:pPr>
                  <w:r w:rsidRPr="00E923F2">
                    <w:rPr>
                      <w:rFonts w:eastAsia="Times New Roman"/>
                      <w:noProof/>
                      <w:sz w:val="22"/>
                      <w:lang w:eastAsia="en-IE"/>
                    </w:rPr>
                    <w:t>Article 9</w:t>
                  </w:r>
                  <w:r>
                    <w:rPr>
                      <w:rFonts w:eastAsia="Times New Roman"/>
                      <w:noProof/>
                      <w:sz w:val="22"/>
                      <w:lang w:eastAsia="en-IE"/>
                    </w:rPr>
                    <w:t>7</w:t>
                  </w:r>
                </w:p>
                <w:p w14:paraId="1AA41567" w14:textId="77777777" w:rsidR="007A5304" w:rsidRPr="00E923F2" w:rsidRDefault="007A5304">
                  <w:pPr>
                    <w:spacing w:before="0" w:after="0"/>
                    <w:jc w:val="left"/>
                    <w:textAlignment w:val="baseline"/>
                    <w:rPr>
                      <w:rFonts w:eastAsia="Times New Roman"/>
                      <w:noProof/>
                      <w:sz w:val="22"/>
                      <w:lang w:eastAsia="en-IE"/>
                    </w:rPr>
                  </w:pPr>
                  <w:r>
                    <w:rPr>
                      <w:noProof/>
                      <w:sz w:val="22"/>
                      <w:lang w:eastAsia="en-IE"/>
                    </w:rPr>
                    <w:t>Penalties</w:t>
                  </w:r>
                  <w:r w:rsidRPr="00066EBF">
                    <w:rPr>
                      <w:noProof/>
                      <w:lang w:eastAsia="en-IE"/>
                    </w:rPr>
                    <w:t xml:space="preserve">  </w:t>
                  </w:r>
                </w:p>
              </w:tc>
              <w:tc>
                <w:tcPr>
                  <w:tcW w:w="4332" w:type="dxa"/>
                  <w:tcBorders>
                    <w:top w:val="single" w:sz="6" w:space="0" w:color="auto"/>
                    <w:left w:val="single" w:sz="6" w:space="0" w:color="auto"/>
                    <w:bottom w:val="single" w:sz="6" w:space="0" w:color="auto"/>
                    <w:right w:val="single" w:sz="6" w:space="0" w:color="auto"/>
                  </w:tcBorders>
                </w:tcPr>
                <w:p w14:paraId="23D5BDE7" w14:textId="77777777" w:rsidR="007A5304" w:rsidRPr="006F001C" w:rsidRDefault="007A5304">
                  <w:pPr>
                    <w:spacing w:before="0" w:after="0"/>
                    <w:textAlignment w:val="baseline"/>
                    <w:rPr>
                      <w:rFonts w:eastAsia="Times New Roman"/>
                      <w:noProof/>
                      <w:sz w:val="22"/>
                      <w:lang w:eastAsia="en-IE"/>
                    </w:rPr>
                  </w:pPr>
                  <w:r w:rsidRPr="006F001C">
                    <w:rPr>
                      <w:rFonts w:eastAsia="Times New Roman"/>
                      <w:b/>
                      <w:bCs/>
                      <w:noProof/>
                      <w:sz w:val="22"/>
                      <w:lang w:eastAsia="en-IE"/>
                    </w:rPr>
                    <w:t>Member States shall without delay notify the Commission</w:t>
                  </w:r>
                  <w:r w:rsidRPr="006F001C">
                    <w:rPr>
                      <w:rFonts w:eastAsia="Times New Roman"/>
                      <w:noProof/>
                      <w:sz w:val="22"/>
                      <w:lang w:eastAsia="en-IE"/>
                    </w:rPr>
                    <w:t> of those rules and of those measures and shall notify it of any subsequent amendment affecting them.</w:t>
                  </w:r>
                  <w:r w:rsidRPr="006F001C">
                    <w:rPr>
                      <w:rFonts w:eastAsia="Times New Roman"/>
                      <w:noProof/>
                      <w:sz w:val="22"/>
                      <w:lang w:val="en-IE" w:eastAsia="en-IE"/>
                    </w:rPr>
                    <w:t> </w:t>
                  </w:r>
                </w:p>
              </w:tc>
              <w:tc>
                <w:tcPr>
                  <w:tcW w:w="3015" w:type="dxa"/>
                  <w:tcBorders>
                    <w:top w:val="single" w:sz="6" w:space="0" w:color="auto"/>
                    <w:left w:val="single" w:sz="6" w:space="0" w:color="auto"/>
                    <w:bottom w:val="single" w:sz="6" w:space="0" w:color="auto"/>
                    <w:right w:val="single" w:sz="6" w:space="0" w:color="auto"/>
                  </w:tcBorders>
                </w:tcPr>
                <w:p w14:paraId="59E30435"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Member States authorities</w:t>
                  </w:r>
                  <w:r w:rsidRPr="006F001C">
                    <w:rPr>
                      <w:rFonts w:eastAsia="Times New Roman"/>
                      <w:noProof/>
                      <w:sz w:val="22"/>
                      <w:lang w:val="en-IE" w:eastAsia="en-IE"/>
                    </w:rPr>
                    <w:t> </w:t>
                  </w:r>
                </w:p>
                <w:p w14:paraId="7525556B" w14:textId="77777777" w:rsidR="007A5304" w:rsidRPr="00291CE2"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EU Commission</w:t>
                  </w:r>
                  <w:r w:rsidRPr="006F001C">
                    <w:rPr>
                      <w:rFonts w:eastAsia="Times New Roman"/>
                      <w:noProof/>
                      <w:sz w:val="22"/>
                      <w:lang w:val="en-IE" w:eastAsia="en-IE"/>
                    </w:rPr>
                    <w:t> </w:t>
                  </w:r>
                </w:p>
              </w:tc>
              <w:tc>
                <w:tcPr>
                  <w:tcW w:w="3040" w:type="dxa"/>
                  <w:tcBorders>
                    <w:top w:val="single" w:sz="6" w:space="0" w:color="auto"/>
                    <w:left w:val="single" w:sz="6" w:space="0" w:color="auto"/>
                    <w:bottom w:val="single" w:sz="6" w:space="0" w:color="auto"/>
                    <w:right w:val="single" w:sz="6" w:space="0" w:color="auto"/>
                  </w:tcBorders>
                </w:tcPr>
                <w:p w14:paraId="344AE6DA" w14:textId="77777777" w:rsidR="007A5304" w:rsidRPr="006F001C" w:rsidRDefault="007A5304">
                  <w:pPr>
                    <w:spacing w:before="0" w:after="0"/>
                    <w:jc w:val="left"/>
                    <w:textAlignment w:val="baseline"/>
                    <w:rPr>
                      <w:rFonts w:eastAsia="Times New Roman"/>
                      <w:noProof/>
                      <w:sz w:val="22"/>
                      <w:lang w:eastAsia="en-IE"/>
                    </w:rPr>
                  </w:pPr>
                  <w:r w:rsidRPr="006F001C">
                    <w:rPr>
                      <w:rFonts w:eastAsia="Times New Roman"/>
                      <w:noProof/>
                      <w:sz w:val="22"/>
                      <w:lang w:eastAsia="en-IE"/>
                    </w:rPr>
                    <w:t>Information flow related to notification from Member States to the Commission regarding penalties.</w:t>
                  </w:r>
                  <w:r w:rsidRPr="006F001C">
                    <w:rPr>
                      <w:rFonts w:eastAsia="Times New Roman"/>
                      <w:noProof/>
                      <w:sz w:val="22"/>
                      <w:lang w:val="en-IE" w:eastAsia="en-IE"/>
                    </w:rPr>
                    <w:t> </w:t>
                  </w:r>
                </w:p>
              </w:tc>
              <w:tc>
                <w:tcPr>
                  <w:tcW w:w="1281" w:type="dxa"/>
                  <w:tcBorders>
                    <w:top w:val="single" w:sz="6" w:space="0" w:color="auto"/>
                    <w:left w:val="single" w:sz="6" w:space="0" w:color="auto"/>
                    <w:bottom w:val="single" w:sz="6" w:space="0" w:color="auto"/>
                    <w:right w:val="single" w:sz="6" w:space="0" w:color="auto"/>
                  </w:tcBorders>
                </w:tcPr>
                <w:p w14:paraId="38871223" w14:textId="77777777" w:rsidR="007A5304" w:rsidRPr="006F001C" w:rsidRDefault="007A5304">
                  <w:pPr>
                    <w:spacing w:before="0" w:after="0"/>
                    <w:jc w:val="left"/>
                    <w:textAlignment w:val="baseline"/>
                    <w:rPr>
                      <w:rFonts w:eastAsia="Times New Roman"/>
                      <w:noProof/>
                      <w:sz w:val="22"/>
                      <w:lang w:eastAsia="en-IE"/>
                    </w:rPr>
                  </w:pPr>
                  <w:r w:rsidRPr="006F001C">
                    <w:rPr>
                      <w:rFonts w:eastAsia="Times New Roman"/>
                      <w:noProof/>
                      <w:sz w:val="22"/>
                      <w:lang w:eastAsia="en-IE"/>
                    </w:rPr>
                    <w:t>Data flow</w:t>
                  </w:r>
                  <w:r w:rsidRPr="006F001C">
                    <w:rPr>
                      <w:rFonts w:eastAsia="Times New Roman"/>
                      <w:noProof/>
                      <w:sz w:val="22"/>
                      <w:lang w:val="en-IE" w:eastAsia="en-IE"/>
                    </w:rPr>
                    <w:t> </w:t>
                  </w:r>
                </w:p>
              </w:tc>
            </w:tr>
            <w:tr w:rsidR="00EE499D" w:rsidRPr="006F001C" w14:paraId="00E7F0AE" w14:textId="77777777">
              <w:trPr>
                <w:trHeight w:val="2160"/>
              </w:trPr>
              <w:tc>
                <w:tcPr>
                  <w:tcW w:w="2887" w:type="dxa"/>
                  <w:tcBorders>
                    <w:top w:val="single" w:sz="6" w:space="0" w:color="auto"/>
                    <w:left w:val="single" w:sz="6" w:space="0" w:color="auto"/>
                    <w:bottom w:val="single" w:sz="6" w:space="0" w:color="auto"/>
                    <w:right w:val="single" w:sz="6" w:space="0" w:color="auto"/>
                  </w:tcBorders>
                  <w:vAlign w:val="center"/>
                </w:tcPr>
                <w:p w14:paraId="6E92A33D" w14:textId="77777777" w:rsidR="00EE499D" w:rsidRDefault="00EE499D" w:rsidP="00EE499D">
                  <w:pPr>
                    <w:rPr>
                      <w:noProof/>
                    </w:rPr>
                  </w:pPr>
                  <w:r>
                    <w:rPr>
                      <w:noProof/>
                    </w:rPr>
                    <w:t>Article 99</w:t>
                  </w:r>
                </w:p>
                <w:p w14:paraId="17506DF3" w14:textId="0A8D596B" w:rsidR="00EE499D" w:rsidRPr="006F001C" w:rsidRDefault="00EE499D" w:rsidP="00EE499D">
                  <w:pPr>
                    <w:spacing w:before="0" w:after="0"/>
                    <w:jc w:val="left"/>
                    <w:textAlignment w:val="baseline"/>
                    <w:rPr>
                      <w:rFonts w:eastAsia="Times New Roman"/>
                      <w:noProof/>
                      <w:sz w:val="22"/>
                      <w:lang w:eastAsia="en-IE"/>
                    </w:rPr>
                  </w:pPr>
                  <w:r>
                    <w:rPr>
                      <w:noProof/>
                    </w:rPr>
                    <w:t>Security risk assessments</w:t>
                  </w:r>
                </w:p>
              </w:tc>
              <w:tc>
                <w:tcPr>
                  <w:tcW w:w="4332" w:type="dxa"/>
                  <w:tcBorders>
                    <w:top w:val="single" w:sz="6" w:space="0" w:color="auto"/>
                    <w:left w:val="single" w:sz="6" w:space="0" w:color="auto"/>
                    <w:bottom w:val="single" w:sz="6" w:space="0" w:color="auto"/>
                    <w:right w:val="single" w:sz="6" w:space="0" w:color="auto"/>
                  </w:tcBorders>
                  <w:vAlign w:val="center"/>
                </w:tcPr>
                <w:p w14:paraId="6BAC13E4" w14:textId="77777777" w:rsidR="00EE499D" w:rsidRDefault="00EE499D" w:rsidP="00EE499D">
                  <w:pPr>
                    <w:rPr>
                      <w:rFonts w:eastAsia="Calibri"/>
                      <w:noProof/>
                      <w:lang w:val="en-US"/>
                    </w:rPr>
                  </w:pPr>
                  <w:r>
                    <w:rPr>
                      <w:rFonts w:eastAsia="Calibri"/>
                      <w:noProof/>
                      <w:lang w:val="en-US"/>
                    </w:rPr>
                    <w:t xml:space="preserve">The Commission or at least three Member States may request NIS CG to conduct coordinated risk assessments within 6 months. The Commission may request shorter deadlines. The risk assessments shall develop risk scenarios and presume data analysis. </w:t>
                  </w:r>
                </w:p>
                <w:p w14:paraId="4384109B" w14:textId="77777777" w:rsidR="00EE499D" w:rsidRDefault="00EE499D" w:rsidP="00EE499D">
                  <w:pPr>
                    <w:rPr>
                      <w:rFonts w:eastAsia="Calibri"/>
                      <w:noProof/>
                      <w:lang w:val="en-US"/>
                    </w:rPr>
                  </w:pPr>
                  <w:r>
                    <w:rPr>
                      <w:rFonts w:eastAsia="Calibri"/>
                      <w:noProof/>
                      <w:lang w:val="en-US"/>
                    </w:rPr>
                    <w:t xml:space="preserve">The preparation of the coordinated security risk assessments </w:t>
                  </w:r>
                </w:p>
                <w:p w14:paraId="3C7DF109" w14:textId="77777777" w:rsidR="00EE499D" w:rsidRDefault="00EE499D" w:rsidP="00EE499D">
                  <w:pPr>
                    <w:rPr>
                      <w:rFonts w:eastAsia="Calibri"/>
                      <w:noProof/>
                      <w:lang w:val="en-US"/>
                    </w:rPr>
                  </w:pPr>
                  <w:r>
                    <w:rPr>
                      <w:rFonts w:eastAsia="Calibri"/>
                      <w:noProof/>
                      <w:lang w:val="en-US"/>
                    </w:rPr>
                    <w:t>In cases that justify an immediate intervention, the Commission shall without delay consult the Member States and conduct a risk assessment.</w:t>
                  </w:r>
                </w:p>
                <w:p w14:paraId="0396BC87" w14:textId="4694C13B" w:rsidR="00EE499D" w:rsidRPr="3AF1F4E2" w:rsidRDefault="00EE499D" w:rsidP="00EE499D">
                  <w:pPr>
                    <w:spacing w:before="0" w:after="0"/>
                    <w:textAlignment w:val="baseline"/>
                    <w:rPr>
                      <w:rFonts w:eastAsia="Times New Roman"/>
                      <w:noProof/>
                      <w:szCs w:val="24"/>
                    </w:rPr>
                  </w:pPr>
                  <w:r>
                    <w:rPr>
                      <w:rFonts w:eastAsia="Calibri"/>
                      <w:noProof/>
                      <w:lang w:val="en-US"/>
                    </w:rPr>
                    <w:t>Decisions for undergoing risk assessments (data processing/analysis).</w:t>
                  </w:r>
                </w:p>
              </w:tc>
              <w:tc>
                <w:tcPr>
                  <w:tcW w:w="3015" w:type="dxa"/>
                  <w:tcBorders>
                    <w:top w:val="single" w:sz="6" w:space="0" w:color="auto"/>
                    <w:left w:val="single" w:sz="6" w:space="0" w:color="auto"/>
                    <w:bottom w:val="single" w:sz="6" w:space="0" w:color="auto"/>
                    <w:right w:val="single" w:sz="6" w:space="0" w:color="auto"/>
                  </w:tcBorders>
                  <w:vAlign w:val="center"/>
                </w:tcPr>
                <w:p w14:paraId="53C5E1E7" w14:textId="77777777" w:rsidR="00EE499D" w:rsidRDefault="00EE499D" w:rsidP="00EE499D">
                  <w:pPr>
                    <w:rPr>
                      <w:noProof/>
                    </w:rPr>
                  </w:pPr>
                  <w:r>
                    <w:rPr>
                      <w:noProof/>
                    </w:rPr>
                    <w:t>EU Commission</w:t>
                  </w:r>
                </w:p>
                <w:p w14:paraId="69784337" w14:textId="77777777" w:rsidR="00EE499D" w:rsidRDefault="00EE499D" w:rsidP="00EE499D">
                  <w:pPr>
                    <w:rPr>
                      <w:noProof/>
                    </w:rPr>
                  </w:pPr>
                  <w:r>
                    <w:rPr>
                      <w:noProof/>
                    </w:rPr>
                    <w:t>EU Member States</w:t>
                  </w:r>
                </w:p>
                <w:p w14:paraId="45B78F30" w14:textId="77777777" w:rsidR="00EE499D" w:rsidRDefault="00EE499D" w:rsidP="00EE499D">
                  <w:pPr>
                    <w:rPr>
                      <w:noProof/>
                    </w:rPr>
                  </w:pPr>
                  <w:r>
                    <w:rPr>
                      <w:noProof/>
                    </w:rPr>
                    <w:t>NIS Cooperation Group</w:t>
                  </w:r>
                </w:p>
                <w:p w14:paraId="48CB31D4" w14:textId="2DFD0818" w:rsidR="00EE499D" w:rsidRPr="006F001C" w:rsidRDefault="00EE499D" w:rsidP="00EE499D">
                  <w:pPr>
                    <w:spacing w:before="0" w:after="0"/>
                    <w:jc w:val="left"/>
                    <w:textAlignment w:val="baseline"/>
                    <w:rPr>
                      <w:rFonts w:eastAsia="Times New Roman"/>
                      <w:noProof/>
                      <w:sz w:val="22"/>
                      <w:lang w:eastAsia="en-IE"/>
                    </w:rPr>
                  </w:pPr>
                  <w:r>
                    <w:rPr>
                      <w:noProof/>
                    </w:rPr>
                    <w:t>ENISA</w:t>
                  </w:r>
                </w:p>
              </w:tc>
              <w:tc>
                <w:tcPr>
                  <w:tcW w:w="3040" w:type="dxa"/>
                  <w:tcBorders>
                    <w:top w:val="single" w:sz="6" w:space="0" w:color="auto"/>
                    <w:left w:val="single" w:sz="6" w:space="0" w:color="auto"/>
                    <w:bottom w:val="single" w:sz="6" w:space="0" w:color="auto"/>
                    <w:right w:val="single" w:sz="6" w:space="0" w:color="auto"/>
                  </w:tcBorders>
                  <w:vAlign w:val="center"/>
                </w:tcPr>
                <w:p w14:paraId="5F2C4A86" w14:textId="77777777" w:rsidR="00EE499D" w:rsidRDefault="00EE499D" w:rsidP="00EE499D">
                  <w:pPr>
                    <w:spacing w:before="0" w:after="0"/>
                    <w:jc w:val="left"/>
                    <w:textAlignment w:val="baseline"/>
                    <w:rPr>
                      <w:noProof/>
                    </w:rPr>
                  </w:pPr>
                  <w:r>
                    <w:rPr>
                      <w:noProof/>
                    </w:rPr>
                    <w:t xml:space="preserve">Requesting and receiving information; data analysis for the purposes of coordinated risk assessments </w:t>
                  </w:r>
                </w:p>
                <w:p w14:paraId="364360FE" w14:textId="4133CD4C" w:rsidR="00EE499D" w:rsidRPr="006F001C" w:rsidRDefault="00EE499D" w:rsidP="00EE499D">
                  <w:pPr>
                    <w:spacing w:before="0" w:after="0"/>
                    <w:jc w:val="left"/>
                    <w:textAlignment w:val="baseline"/>
                    <w:rPr>
                      <w:rFonts w:eastAsia="Times New Roman"/>
                      <w:noProof/>
                      <w:sz w:val="22"/>
                      <w:lang w:eastAsia="en-IE"/>
                    </w:rPr>
                  </w:pPr>
                  <w:r>
                    <w:rPr>
                      <w:noProof/>
                    </w:rPr>
                    <w:t>Consultation with the Member States and conduct a risk assessment</w:t>
                  </w:r>
                </w:p>
              </w:tc>
              <w:tc>
                <w:tcPr>
                  <w:tcW w:w="1281" w:type="dxa"/>
                  <w:tcBorders>
                    <w:top w:val="single" w:sz="6" w:space="0" w:color="auto"/>
                    <w:left w:val="single" w:sz="6" w:space="0" w:color="auto"/>
                    <w:bottom w:val="single" w:sz="6" w:space="0" w:color="auto"/>
                    <w:right w:val="single" w:sz="6" w:space="0" w:color="auto"/>
                  </w:tcBorders>
                  <w:vAlign w:val="center"/>
                </w:tcPr>
                <w:p w14:paraId="7B57B58C" w14:textId="77777777" w:rsidR="00EE499D" w:rsidRDefault="00EE499D" w:rsidP="00EE499D">
                  <w:pPr>
                    <w:rPr>
                      <w:noProof/>
                    </w:rPr>
                  </w:pPr>
                  <w:r>
                    <w:rPr>
                      <w:noProof/>
                    </w:rPr>
                    <w:t>Data processing</w:t>
                  </w:r>
                </w:p>
                <w:p w14:paraId="51ECB4FB" w14:textId="6EDCAD00" w:rsidR="00EE499D" w:rsidRPr="006F001C" w:rsidRDefault="00EE499D" w:rsidP="00EE499D">
                  <w:pPr>
                    <w:spacing w:before="0" w:after="0"/>
                    <w:jc w:val="left"/>
                    <w:textAlignment w:val="baseline"/>
                    <w:rPr>
                      <w:rFonts w:eastAsia="Times New Roman"/>
                      <w:noProof/>
                      <w:sz w:val="22"/>
                      <w:lang w:eastAsia="en-IE"/>
                    </w:rPr>
                  </w:pPr>
                  <w:r>
                    <w:rPr>
                      <w:noProof/>
                    </w:rPr>
                    <w:t>Data flow</w:t>
                  </w:r>
                </w:p>
              </w:tc>
            </w:tr>
            <w:tr w:rsidR="00EE499D" w:rsidRPr="006F001C" w14:paraId="518E69E6" w14:textId="77777777">
              <w:trPr>
                <w:trHeight w:val="2160"/>
              </w:trPr>
              <w:tc>
                <w:tcPr>
                  <w:tcW w:w="2887" w:type="dxa"/>
                  <w:tcBorders>
                    <w:top w:val="single" w:sz="6" w:space="0" w:color="auto"/>
                    <w:left w:val="single" w:sz="6" w:space="0" w:color="auto"/>
                    <w:bottom w:val="single" w:sz="6" w:space="0" w:color="auto"/>
                    <w:right w:val="single" w:sz="6" w:space="0" w:color="auto"/>
                  </w:tcBorders>
                  <w:vAlign w:val="center"/>
                </w:tcPr>
                <w:p w14:paraId="7A22E418" w14:textId="22E5BDA1" w:rsidR="00EE499D" w:rsidRPr="006F001C" w:rsidRDefault="00EE499D" w:rsidP="00EE499D">
                  <w:pPr>
                    <w:spacing w:before="0" w:after="0"/>
                    <w:jc w:val="left"/>
                    <w:textAlignment w:val="baseline"/>
                    <w:rPr>
                      <w:rFonts w:eastAsia="Times New Roman"/>
                      <w:noProof/>
                      <w:sz w:val="22"/>
                      <w:lang w:eastAsia="en-IE"/>
                    </w:rPr>
                  </w:pPr>
                  <w:r>
                    <w:rPr>
                      <w:noProof/>
                    </w:rPr>
                    <w:t>Article 100 (1) and (2) Designation of third countries posing cybersecurity concerns</w:t>
                  </w:r>
                </w:p>
              </w:tc>
              <w:tc>
                <w:tcPr>
                  <w:tcW w:w="4332" w:type="dxa"/>
                  <w:tcBorders>
                    <w:top w:val="single" w:sz="6" w:space="0" w:color="auto"/>
                    <w:left w:val="single" w:sz="6" w:space="0" w:color="auto"/>
                    <w:bottom w:val="single" w:sz="6" w:space="0" w:color="auto"/>
                    <w:right w:val="single" w:sz="6" w:space="0" w:color="auto"/>
                  </w:tcBorders>
                  <w:vAlign w:val="center"/>
                </w:tcPr>
                <w:p w14:paraId="62A8A13A" w14:textId="77777777" w:rsidR="00EE499D" w:rsidRDefault="00EE499D" w:rsidP="00EE499D">
                  <w:pPr>
                    <w:rPr>
                      <w:noProof/>
                      <w:szCs w:val="24"/>
                    </w:rPr>
                  </w:pPr>
                  <w:r>
                    <w:rPr>
                      <w:noProof/>
                    </w:rPr>
                    <w:t>1. Where, as a result of the security risk assessment referred to in Article 99, or based on other sources, such as a public statement on behalf of the Union or a Member State, it appears that a third country poses serious and structural non-technical risks to ICT supply chains, the Commission shall verify the threat posed by that country, taking into account a series of elements, leading to data processing/analysing.</w:t>
                  </w:r>
                </w:p>
                <w:p w14:paraId="7A3E22CE" w14:textId="78F7096E" w:rsidR="00EE499D" w:rsidRDefault="00EE499D" w:rsidP="00EE499D">
                  <w:pPr>
                    <w:rPr>
                      <w:noProof/>
                      <w:szCs w:val="24"/>
                    </w:rPr>
                  </w:pPr>
                  <w:r w:rsidRPr="57C27D30">
                    <w:rPr>
                      <w:noProof/>
                      <w:szCs w:val="24"/>
                    </w:rPr>
                    <w:t>2. When the Commission, following the verification referred to in paragraph 1, concludes that a third country poses serious and structural non-technical risks to ICT supply chains, it may decide, by means of an implementing act, to designate that third country as a country posing cybersecurity concerns to ICT supply chains, leading to data processing analysing and data flows.</w:t>
                  </w:r>
                </w:p>
                <w:p w14:paraId="279552FF" w14:textId="77777777" w:rsidR="00EE499D" w:rsidRPr="3AF1F4E2" w:rsidRDefault="00EE499D" w:rsidP="00EE499D">
                  <w:pPr>
                    <w:spacing w:before="0" w:after="0"/>
                    <w:textAlignment w:val="baseline"/>
                    <w:rPr>
                      <w:rFonts w:eastAsia="Times New Roman"/>
                      <w:noProof/>
                      <w:szCs w:val="24"/>
                    </w:rPr>
                  </w:pPr>
                </w:p>
              </w:tc>
              <w:tc>
                <w:tcPr>
                  <w:tcW w:w="3015" w:type="dxa"/>
                  <w:tcBorders>
                    <w:top w:val="single" w:sz="6" w:space="0" w:color="auto"/>
                    <w:left w:val="single" w:sz="6" w:space="0" w:color="auto"/>
                    <w:bottom w:val="single" w:sz="6" w:space="0" w:color="auto"/>
                    <w:right w:val="single" w:sz="6" w:space="0" w:color="auto"/>
                  </w:tcBorders>
                  <w:vAlign w:val="center"/>
                </w:tcPr>
                <w:p w14:paraId="3CCA38E4" w14:textId="77777777" w:rsidR="00EE499D" w:rsidRDefault="00EE499D" w:rsidP="00EE499D">
                  <w:pPr>
                    <w:rPr>
                      <w:noProof/>
                    </w:rPr>
                  </w:pPr>
                  <w:r>
                    <w:rPr>
                      <w:noProof/>
                    </w:rPr>
                    <w:t>EU Member States</w:t>
                  </w:r>
                </w:p>
                <w:p w14:paraId="34F546A4" w14:textId="77777777" w:rsidR="00EE499D" w:rsidRDefault="00EE499D" w:rsidP="00EE499D">
                  <w:pPr>
                    <w:rPr>
                      <w:noProof/>
                    </w:rPr>
                  </w:pPr>
                  <w:r>
                    <w:rPr>
                      <w:noProof/>
                    </w:rPr>
                    <w:t>EU Commission</w:t>
                  </w:r>
                </w:p>
                <w:p w14:paraId="269DD83B" w14:textId="77777777" w:rsidR="00EE499D" w:rsidRPr="006F001C" w:rsidRDefault="00EE499D" w:rsidP="006879B9">
                  <w:pPr>
                    <w:rPr>
                      <w:rFonts w:eastAsia="Times New Roman"/>
                      <w:noProof/>
                      <w:sz w:val="22"/>
                      <w:lang w:eastAsia="en-IE"/>
                    </w:rPr>
                  </w:pPr>
                </w:p>
              </w:tc>
              <w:tc>
                <w:tcPr>
                  <w:tcW w:w="3040" w:type="dxa"/>
                  <w:tcBorders>
                    <w:top w:val="single" w:sz="6" w:space="0" w:color="auto"/>
                    <w:left w:val="single" w:sz="6" w:space="0" w:color="auto"/>
                    <w:bottom w:val="single" w:sz="6" w:space="0" w:color="auto"/>
                    <w:right w:val="single" w:sz="6" w:space="0" w:color="auto"/>
                  </w:tcBorders>
                  <w:vAlign w:val="center"/>
                </w:tcPr>
                <w:p w14:paraId="659BF247" w14:textId="77777777" w:rsidR="00EE499D" w:rsidRDefault="00EE499D" w:rsidP="00EE499D">
                  <w:pPr>
                    <w:rPr>
                      <w:noProof/>
                    </w:rPr>
                  </w:pPr>
                  <w:r>
                    <w:rPr>
                      <w:noProof/>
                    </w:rPr>
                    <w:t>Receiving information, analysing information, exchange of information.</w:t>
                  </w:r>
                </w:p>
                <w:p w14:paraId="107D0FE0" w14:textId="77777777" w:rsidR="00EE499D" w:rsidRPr="006F001C" w:rsidRDefault="00EE499D" w:rsidP="00EE499D">
                  <w:pPr>
                    <w:spacing w:before="0" w:after="0"/>
                    <w:jc w:val="left"/>
                    <w:textAlignment w:val="baseline"/>
                    <w:rPr>
                      <w:rFonts w:eastAsia="Times New Roman"/>
                      <w:noProof/>
                      <w:sz w:val="22"/>
                      <w:lang w:eastAsia="en-IE"/>
                    </w:rPr>
                  </w:pPr>
                </w:p>
              </w:tc>
              <w:tc>
                <w:tcPr>
                  <w:tcW w:w="1281" w:type="dxa"/>
                  <w:tcBorders>
                    <w:top w:val="single" w:sz="6" w:space="0" w:color="auto"/>
                    <w:left w:val="single" w:sz="6" w:space="0" w:color="auto"/>
                    <w:bottom w:val="single" w:sz="6" w:space="0" w:color="auto"/>
                    <w:right w:val="single" w:sz="6" w:space="0" w:color="auto"/>
                  </w:tcBorders>
                  <w:vAlign w:val="center"/>
                </w:tcPr>
                <w:p w14:paraId="2AAA8754" w14:textId="77777777" w:rsidR="00EE499D" w:rsidRDefault="00EE499D" w:rsidP="00EE499D">
                  <w:pPr>
                    <w:rPr>
                      <w:noProof/>
                    </w:rPr>
                  </w:pPr>
                  <w:r>
                    <w:rPr>
                      <w:noProof/>
                    </w:rPr>
                    <w:t>Data flows</w:t>
                  </w:r>
                </w:p>
                <w:p w14:paraId="6B166CD1" w14:textId="77777777" w:rsidR="00EE499D" w:rsidRDefault="00EE499D" w:rsidP="00EE499D">
                  <w:pPr>
                    <w:rPr>
                      <w:noProof/>
                    </w:rPr>
                  </w:pPr>
                  <w:r>
                    <w:rPr>
                      <w:noProof/>
                    </w:rPr>
                    <w:t>Data processing</w:t>
                  </w:r>
                </w:p>
                <w:p w14:paraId="28D6BFF2" w14:textId="77777777" w:rsidR="00EE499D" w:rsidRPr="006F001C" w:rsidRDefault="00EE499D" w:rsidP="00EE499D">
                  <w:pPr>
                    <w:spacing w:before="0" w:after="0"/>
                    <w:jc w:val="left"/>
                    <w:textAlignment w:val="baseline"/>
                    <w:rPr>
                      <w:rFonts w:eastAsia="Times New Roman"/>
                      <w:noProof/>
                      <w:sz w:val="22"/>
                      <w:lang w:eastAsia="en-IE"/>
                    </w:rPr>
                  </w:pPr>
                </w:p>
              </w:tc>
            </w:tr>
            <w:tr w:rsidR="00EE499D" w:rsidRPr="006F001C" w14:paraId="71EF1BDD" w14:textId="77777777">
              <w:trPr>
                <w:trHeight w:val="2160"/>
              </w:trPr>
              <w:tc>
                <w:tcPr>
                  <w:tcW w:w="2887" w:type="dxa"/>
                  <w:tcBorders>
                    <w:top w:val="single" w:sz="6" w:space="0" w:color="auto"/>
                    <w:left w:val="single" w:sz="6" w:space="0" w:color="auto"/>
                    <w:bottom w:val="single" w:sz="6" w:space="0" w:color="auto"/>
                    <w:right w:val="single" w:sz="6" w:space="0" w:color="auto"/>
                  </w:tcBorders>
                  <w:vAlign w:val="center"/>
                </w:tcPr>
                <w:p w14:paraId="56597CD2" w14:textId="77777777" w:rsidR="00EE499D" w:rsidRDefault="00EE499D" w:rsidP="00EE499D">
                  <w:pPr>
                    <w:rPr>
                      <w:noProof/>
                    </w:rPr>
                  </w:pPr>
                  <w:r>
                    <w:rPr>
                      <w:noProof/>
                    </w:rPr>
                    <w:t>Article 101</w:t>
                  </w:r>
                </w:p>
                <w:p w14:paraId="42165789" w14:textId="77777777" w:rsidR="00EE499D" w:rsidRDefault="00EE499D" w:rsidP="00EE499D">
                  <w:pPr>
                    <w:rPr>
                      <w:noProof/>
                    </w:rPr>
                  </w:pPr>
                  <w:r>
                    <w:rPr>
                      <w:noProof/>
                    </w:rPr>
                    <w:t>General ICT supply chain mechanism</w:t>
                  </w:r>
                </w:p>
                <w:p w14:paraId="6E28F50A" w14:textId="77777777" w:rsidR="00EE499D" w:rsidRDefault="00EE499D" w:rsidP="00EE499D">
                  <w:pPr>
                    <w:rPr>
                      <w:noProof/>
                    </w:rPr>
                  </w:pPr>
                </w:p>
                <w:p w14:paraId="344D6B68" w14:textId="77777777" w:rsidR="00EE499D" w:rsidRDefault="00EE499D" w:rsidP="00EE499D">
                  <w:pPr>
                    <w:rPr>
                      <w:noProof/>
                    </w:rPr>
                  </w:pPr>
                </w:p>
                <w:p w14:paraId="191E487B" w14:textId="77777777" w:rsidR="00EE499D" w:rsidRDefault="00EE499D" w:rsidP="00EE499D">
                  <w:pPr>
                    <w:rPr>
                      <w:noProof/>
                    </w:rPr>
                  </w:pPr>
                </w:p>
                <w:p w14:paraId="39CF460A" w14:textId="77777777" w:rsidR="00EE499D" w:rsidRDefault="00EE499D" w:rsidP="00EE499D">
                  <w:pPr>
                    <w:rPr>
                      <w:noProof/>
                    </w:rPr>
                  </w:pPr>
                </w:p>
                <w:p w14:paraId="5FBEBFAD" w14:textId="77777777" w:rsidR="00EE499D" w:rsidRDefault="00EE499D" w:rsidP="00EE499D">
                  <w:pPr>
                    <w:rPr>
                      <w:noProof/>
                    </w:rPr>
                  </w:pPr>
                </w:p>
                <w:p w14:paraId="33CC4C14" w14:textId="77777777" w:rsidR="00EE499D" w:rsidRDefault="00EE499D" w:rsidP="00EE499D">
                  <w:pPr>
                    <w:rPr>
                      <w:noProof/>
                    </w:rPr>
                  </w:pPr>
                </w:p>
                <w:p w14:paraId="3F8F7B40" w14:textId="77777777" w:rsidR="00EE499D" w:rsidRDefault="00EE499D" w:rsidP="00EE499D">
                  <w:pPr>
                    <w:rPr>
                      <w:noProof/>
                    </w:rPr>
                  </w:pPr>
                </w:p>
                <w:p w14:paraId="7E7813DF" w14:textId="77777777" w:rsidR="00EE499D" w:rsidRDefault="00EE499D" w:rsidP="00EE499D">
                  <w:pPr>
                    <w:rPr>
                      <w:noProof/>
                    </w:rPr>
                  </w:pPr>
                  <w:r>
                    <w:rPr>
                      <w:noProof/>
                    </w:rPr>
                    <w:t>Article 102</w:t>
                  </w:r>
                </w:p>
                <w:p w14:paraId="5F9F591B" w14:textId="77777777" w:rsidR="00EE499D" w:rsidRDefault="00EE499D" w:rsidP="00EE499D">
                  <w:pPr>
                    <w:rPr>
                      <w:noProof/>
                    </w:rPr>
                  </w:pPr>
                  <w:r>
                    <w:rPr>
                      <w:noProof/>
                    </w:rPr>
                    <w:t xml:space="preserve">Identification of key ICT assets and </w:t>
                  </w:r>
                </w:p>
                <w:p w14:paraId="7F2A4DD3" w14:textId="77777777" w:rsidR="00EE499D" w:rsidRDefault="00EE499D" w:rsidP="00EE499D">
                  <w:pPr>
                    <w:rPr>
                      <w:noProof/>
                    </w:rPr>
                  </w:pPr>
                  <w:r>
                    <w:rPr>
                      <w:noProof/>
                    </w:rPr>
                    <w:t>Article 103</w:t>
                  </w:r>
                </w:p>
                <w:p w14:paraId="347561EB" w14:textId="14F8A2DF" w:rsidR="00EE499D" w:rsidRPr="006F001C" w:rsidRDefault="00EE499D" w:rsidP="00EE499D">
                  <w:pPr>
                    <w:spacing w:before="0" w:after="0"/>
                    <w:jc w:val="left"/>
                    <w:textAlignment w:val="baseline"/>
                    <w:rPr>
                      <w:rFonts w:eastAsia="Times New Roman"/>
                      <w:noProof/>
                      <w:sz w:val="22"/>
                      <w:lang w:eastAsia="en-IE"/>
                    </w:rPr>
                  </w:pPr>
                  <w:r>
                    <w:rPr>
                      <w:noProof/>
                    </w:rPr>
                    <w:t>Mitigation measures in the ICT supply chains</w:t>
                  </w:r>
                </w:p>
              </w:tc>
              <w:tc>
                <w:tcPr>
                  <w:tcW w:w="4332" w:type="dxa"/>
                  <w:tcBorders>
                    <w:top w:val="single" w:sz="6" w:space="0" w:color="auto"/>
                    <w:left w:val="single" w:sz="6" w:space="0" w:color="auto"/>
                    <w:bottom w:val="single" w:sz="6" w:space="0" w:color="auto"/>
                    <w:right w:val="single" w:sz="6" w:space="0" w:color="auto"/>
                  </w:tcBorders>
                  <w:vAlign w:val="center"/>
                </w:tcPr>
                <w:p w14:paraId="218D0B5F" w14:textId="77777777" w:rsidR="00EE499D" w:rsidRDefault="00EE499D" w:rsidP="00EE499D">
                  <w:pPr>
                    <w:tabs>
                      <w:tab w:val="left" w:pos="0"/>
                      <w:tab w:val="left" w:pos="360"/>
                      <w:tab w:val="left" w:pos="0"/>
                    </w:tabs>
                    <w:spacing w:before="0" w:after="0"/>
                    <w:rPr>
                      <w:noProof/>
                    </w:rPr>
                  </w:pPr>
                  <w:r>
                    <w:rPr>
                      <w:noProof/>
                    </w:rPr>
                    <w:t>1. Where the NIS Cooperation Group has conducted a Union level coordinated security risk assessment pursuant to Article 99(1) and (2) of this Regulation, or after the completion of the procedure in case of significant cyber threat pursuant to Article 99(3), the Commission may take measures provided for in Articles 102 and 103.</w:t>
                  </w:r>
                </w:p>
                <w:p w14:paraId="3AFA047E" w14:textId="77777777" w:rsidR="00EE499D" w:rsidRDefault="00EE499D" w:rsidP="00EE499D">
                  <w:pPr>
                    <w:tabs>
                      <w:tab w:val="left" w:pos="0"/>
                      <w:tab w:val="left" w:pos="360"/>
                      <w:tab w:val="left" w:pos="0"/>
                    </w:tabs>
                    <w:spacing w:before="0" w:after="0"/>
                    <w:rPr>
                      <w:noProof/>
                    </w:rPr>
                  </w:pPr>
                </w:p>
                <w:p w14:paraId="248B2C78" w14:textId="77777777" w:rsidR="00EE499D" w:rsidRDefault="00EE499D" w:rsidP="00EE499D">
                  <w:pPr>
                    <w:rPr>
                      <w:noProof/>
                    </w:rPr>
                  </w:pPr>
                  <w:r>
                    <w:rPr>
                      <w:noProof/>
                    </w:rPr>
                    <w:t xml:space="preserve">Commission is empowered to adopt implementing acts, which will define key ICT assets and mitigation measures, including restrictions and prohibitions of ICT supply chains (detailed in section 4.5 below). In preparation for this process, the Commission shall take into account and in consideration several aspects, which evoke </w:t>
                  </w:r>
                  <w:r w:rsidRPr="48F96484">
                    <w:rPr>
                      <w:b/>
                      <w:bCs/>
                      <w:noProof/>
                    </w:rPr>
                    <w:t>data processing/analysing and in some cases data flow</w:t>
                  </w:r>
                  <w:r>
                    <w:rPr>
                      <w:noProof/>
                    </w:rPr>
                    <w:t>:</w:t>
                  </w:r>
                </w:p>
                <w:p w14:paraId="0A35B124" w14:textId="77777777" w:rsidR="00EE499D" w:rsidRPr="005C095E" w:rsidRDefault="00EE499D" w:rsidP="00EE499D">
                  <w:pPr>
                    <w:rPr>
                      <w:noProof/>
                      <w:lang w:val="fr-FR"/>
                    </w:rPr>
                  </w:pPr>
                  <w:r w:rsidRPr="0774A9CC" w:rsidDel="00897423">
                    <w:rPr>
                      <w:noProof/>
                      <w:lang w:val="fr-FR"/>
                    </w:rPr>
                    <w:t xml:space="preserve">Article </w:t>
                  </w:r>
                  <w:r w:rsidRPr="6927EB2C">
                    <w:rPr>
                      <w:noProof/>
                      <w:lang w:val="fr-FR"/>
                    </w:rPr>
                    <w:t>102</w:t>
                  </w:r>
                  <w:r w:rsidRPr="0774A9CC" w:rsidDel="6933D4D5">
                    <w:rPr>
                      <w:noProof/>
                      <w:lang w:val="fr-FR"/>
                    </w:rPr>
                    <w:t xml:space="preserve"> </w:t>
                  </w:r>
                  <w:r w:rsidRPr="6927EB2C">
                    <w:rPr>
                      <w:noProof/>
                      <w:lang w:val="fr-FR"/>
                    </w:rPr>
                    <w:t>(</w:t>
                  </w:r>
                  <w:r w:rsidRPr="0774A9CC" w:rsidDel="00897423">
                    <w:rPr>
                      <w:noProof/>
                      <w:lang w:val="fr-FR"/>
                    </w:rPr>
                    <w:t>a</w:t>
                  </w:r>
                  <w:r w:rsidRPr="0774A9CC" w:rsidDel="002D610D">
                    <w:rPr>
                      <w:noProof/>
                      <w:lang w:val="fr-FR"/>
                    </w:rPr>
                    <w:t>)</w:t>
                  </w:r>
                  <w:r w:rsidRPr="6927EB2C">
                    <w:rPr>
                      <w:noProof/>
                      <w:lang w:val="fr-FR"/>
                    </w:rPr>
                    <w:t xml:space="preserve">-(f) </w:t>
                  </w:r>
                </w:p>
                <w:p w14:paraId="48D978BC" w14:textId="77777777" w:rsidR="00EE499D" w:rsidRDefault="00EE499D" w:rsidP="00EE499D">
                  <w:pPr>
                    <w:rPr>
                      <w:noProof/>
                      <w:lang w:val="fr-FR"/>
                    </w:rPr>
                  </w:pPr>
                  <w:r w:rsidRPr="5C69ADFE">
                    <w:rPr>
                      <w:noProof/>
                      <w:lang w:val="fr-FR"/>
                    </w:rPr>
                    <w:t>Article 103 (4) (a)-(d)</w:t>
                  </w:r>
                </w:p>
                <w:p w14:paraId="163A51E2" w14:textId="59F9A926" w:rsidR="00EE499D" w:rsidRPr="3AF1F4E2" w:rsidRDefault="00EE499D" w:rsidP="00EE499D">
                  <w:pPr>
                    <w:spacing w:before="0" w:after="0"/>
                    <w:textAlignment w:val="baseline"/>
                    <w:rPr>
                      <w:rFonts w:eastAsia="Times New Roman"/>
                      <w:noProof/>
                      <w:szCs w:val="24"/>
                    </w:rPr>
                  </w:pPr>
                  <w:r w:rsidRPr="00195947">
                    <w:rPr>
                      <w:noProof/>
                      <w:lang w:val="fr-FR"/>
                    </w:rPr>
                    <w:t>Article 103(6)</w:t>
                  </w:r>
                </w:p>
              </w:tc>
              <w:tc>
                <w:tcPr>
                  <w:tcW w:w="3015" w:type="dxa"/>
                  <w:tcBorders>
                    <w:top w:val="single" w:sz="6" w:space="0" w:color="auto"/>
                    <w:left w:val="single" w:sz="6" w:space="0" w:color="auto"/>
                    <w:bottom w:val="single" w:sz="6" w:space="0" w:color="auto"/>
                    <w:right w:val="single" w:sz="6" w:space="0" w:color="auto"/>
                  </w:tcBorders>
                  <w:vAlign w:val="center"/>
                </w:tcPr>
                <w:p w14:paraId="59DB0360" w14:textId="77777777" w:rsidR="00EE499D" w:rsidRDefault="00EE499D" w:rsidP="00EE499D">
                  <w:pPr>
                    <w:rPr>
                      <w:noProof/>
                    </w:rPr>
                  </w:pPr>
                  <w:r>
                    <w:rPr>
                      <w:noProof/>
                    </w:rPr>
                    <w:t xml:space="preserve">EU Commission </w:t>
                  </w:r>
                </w:p>
                <w:p w14:paraId="421D5B48" w14:textId="77777777" w:rsidR="00EE499D" w:rsidRDefault="00EE499D" w:rsidP="00EE499D">
                  <w:pPr>
                    <w:rPr>
                      <w:noProof/>
                    </w:rPr>
                  </w:pPr>
                  <w:r>
                    <w:rPr>
                      <w:noProof/>
                    </w:rPr>
                    <w:t>NIS Cooperation Group</w:t>
                  </w:r>
                </w:p>
                <w:p w14:paraId="566418F3" w14:textId="7B43B816" w:rsidR="00EE499D" w:rsidRPr="006F001C" w:rsidRDefault="00EE499D" w:rsidP="00EE499D">
                  <w:pPr>
                    <w:spacing w:before="0" w:after="0"/>
                    <w:jc w:val="left"/>
                    <w:textAlignment w:val="baseline"/>
                    <w:rPr>
                      <w:rFonts w:eastAsia="Times New Roman"/>
                      <w:noProof/>
                      <w:sz w:val="22"/>
                      <w:lang w:eastAsia="en-IE"/>
                    </w:rPr>
                  </w:pPr>
                  <w:r>
                    <w:rPr>
                      <w:noProof/>
                    </w:rPr>
                    <w:t xml:space="preserve">Relevant stakeholders </w:t>
                  </w:r>
                </w:p>
              </w:tc>
              <w:tc>
                <w:tcPr>
                  <w:tcW w:w="3040" w:type="dxa"/>
                  <w:tcBorders>
                    <w:top w:val="single" w:sz="6" w:space="0" w:color="auto"/>
                    <w:left w:val="single" w:sz="6" w:space="0" w:color="auto"/>
                    <w:bottom w:val="single" w:sz="6" w:space="0" w:color="auto"/>
                    <w:right w:val="single" w:sz="6" w:space="0" w:color="auto"/>
                  </w:tcBorders>
                  <w:vAlign w:val="center"/>
                </w:tcPr>
                <w:p w14:paraId="591E17EA" w14:textId="6FFA2983" w:rsidR="00EE499D" w:rsidRPr="006F001C" w:rsidRDefault="00EE499D" w:rsidP="00EE499D">
                  <w:pPr>
                    <w:spacing w:before="0" w:after="0"/>
                    <w:jc w:val="left"/>
                    <w:textAlignment w:val="baseline"/>
                    <w:rPr>
                      <w:rFonts w:eastAsia="Times New Roman"/>
                      <w:noProof/>
                      <w:sz w:val="22"/>
                      <w:lang w:eastAsia="en-IE"/>
                    </w:rPr>
                  </w:pPr>
                  <w:r>
                    <w:rPr>
                      <w:noProof/>
                    </w:rPr>
                    <w:t>Analysis of data/data processing; consultation with relevant stakeholders</w:t>
                  </w:r>
                </w:p>
              </w:tc>
              <w:tc>
                <w:tcPr>
                  <w:tcW w:w="1281" w:type="dxa"/>
                  <w:tcBorders>
                    <w:top w:val="single" w:sz="6" w:space="0" w:color="auto"/>
                    <w:left w:val="single" w:sz="6" w:space="0" w:color="auto"/>
                    <w:bottom w:val="single" w:sz="6" w:space="0" w:color="auto"/>
                    <w:right w:val="single" w:sz="6" w:space="0" w:color="auto"/>
                  </w:tcBorders>
                  <w:vAlign w:val="center"/>
                </w:tcPr>
                <w:p w14:paraId="6B177ACD" w14:textId="77777777" w:rsidR="00EE499D" w:rsidRDefault="00EE499D" w:rsidP="00EE499D">
                  <w:pPr>
                    <w:rPr>
                      <w:noProof/>
                    </w:rPr>
                  </w:pPr>
                  <w:r>
                    <w:rPr>
                      <w:noProof/>
                    </w:rPr>
                    <w:t>Data processing</w:t>
                  </w:r>
                </w:p>
                <w:p w14:paraId="72884C96" w14:textId="7ECF002E" w:rsidR="00EE499D" w:rsidRPr="006F001C" w:rsidRDefault="00EE499D" w:rsidP="00EE499D">
                  <w:pPr>
                    <w:spacing w:before="0" w:after="0"/>
                    <w:jc w:val="left"/>
                    <w:textAlignment w:val="baseline"/>
                    <w:rPr>
                      <w:rFonts w:eastAsia="Times New Roman"/>
                      <w:noProof/>
                      <w:sz w:val="22"/>
                      <w:lang w:eastAsia="en-IE"/>
                    </w:rPr>
                  </w:pPr>
                  <w:r>
                    <w:rPr>
                      <w:noProof/>
                    </w:rPr>
                    <w:t>Data flow</w:t>
                  </w:r>
                </w:p>
              </w:tc>
            </w:tr>
            <w:tr w:rsidR="00EE499D" w:rsidRPr="006F001C" w14:paraId="46694AAB" w14:textId="77777777">
              <w:trPr>
                <w:trHeight w:val="2160"/>
              </w:trPr>
              <w:tc>
                <w:tcPr>
                  <w:tcW w:w="2887" w:type="dxa"/>
                  <w:tcBorders>
                    <w:top w:val="single" w:sz="6" w:space="0" w:color="auto"/>
                    <w:left w:val="single" w:sz="6" w:space="0" w:color="auto"/>
                    <w:bottom w:val="single" w:sz="6" w:space="0" w:color="auto"/>
                    <w:right w:val="single" w:sz="6" w:space="0" w:color="auto"/>
                  </w:tcBorders>
                </w:tcPr>
                <w:p w14:paraId="6646F2B3" w14:textId="77777777" w:rsidR="00EE499D" w:rsidRDefault="00EE499D" w:rsidP="00EE499D">
                  <w:pPr>
                    <w:rPr>
                      <w:noProof/>
                    </w:rPr>
                  </w:pPr>
                  <w:r>
                    <w:rPr>
                      <w:noProof/>
                    </w:rPr>
                    <w:t>Article 104</w:t>
                  </w:r>
                </w:p>
                <w:p w14:paraId="4091F3EC" w14:textId="4AD99EF5" w:rsidR="00EE499D" w:rsidRPr="006F001C" w:rsidRDefault="00EE499D" w:rsidP="00EE499D">
                  <w:pPr>
                    <w:spacing w:before="0" w:after="0"/>
                    <w:jc w:val="left"/>
                    <w:textAlignment w:val="baseline"/>
                    <w:rPr>
                      <w:rFonts w:eastAsia="Times New Roman"/>
                      <w:noProof/>
                      <w:sz w:val="22"/>
                      <w:lang w:eastAsia="en-IE"/>
                    </w:rPr>
                  </w:pPr>
                  <w:r>
                    <w:rPr>
                      <w:noProof/>
                    </w:rPr>
                    <w:t>Identification of high-risk suppliers</w:t>
                  </w:r>
                </w:p>
              </w:tc>
              <w:tc>
                <w:tcPr>
                  <w:tcW w:w="4332" w:type="dxa"/>
                  <w:tcBorders>
                    <w:top w:val="single" w:sz="6" w:space="0" w:color="auto"/>
                    <w:left w:val="single" w:sz="6" w:space="0" w:color="auto"/>
                    <w:bottom w:val="single" w:sz="6" w:space="0" w:color="auto"/>
                    <w:right w:val="single" w:sz="6" w:space="0" w:color="auto"/>
                  </w:tcBorders>
                </w:tcPr>
                <w:p w14:paraId="19B4065B" w14:textId="77777777" w:rsidR="00EE499D" w:rsidRDefault="00EE499D" w:rsidP="00EE499D">
                  <w:pPr>
                    <w:rPr>
                      <w:noProof/>
                    </w:rPr>
                  </w:pPr>
                  <w:r w:rsidRPr="0038638F">
                    <w:rPr>
                      <w:noProof/>
                    </w:rPr>
                    <w:t>By way of implementing acts, the Commission shall establish lists of high-risk suppliers relevant for the prohibitions laid down in the implementing acts adopted in accordance with Article 103(1) or the prohibition referred to in Article 11</w:t>
                  </w:r>
                  <w:r>
                    <w:rPr>
                      <w:noProof/>
                    </w:rPr>
                    <w:t>1</w:t>
                  </w:r>
                  <w:r w:rsidRPr="0038638F">
                    <w:rPr>
                      <w:noProof/>
                    </w:rPr>
                    <w:t xml:space="preserve">(1).   </w:t>
                  </w:r>
                </w:p>
                <w:p w14:paraId="2A64935F" w14:textId="77777777" w:rsidR="00EE499D" w:rsidRDefault="00EE499D" w:rsidP="00EE499D">
                  <w:pPr>
                    <w:rPr>
                      <w:noProof/>
                    </w:rPr>
                  </w:pPr>
                  <w:r>
                    <w:rPr>
                      <w:noProof/>
                    </w:rPr>
                    <w:t xml:space="preserve">The Commission shall map the suppliers providing ICT components and components that include ICT components and do an initial assessment, which suppliers are potentially established in or controlled from third countries designated in accordance with Article 100. The Commission shall assess the place of establishment as well as the ownership and control structure. </w:t>
                  </w:r>
                </w:p>
                <w:p w14:paraId="6F7673D5" w14:textId="77777777" w:rsidR="00EE499D" w:rsidRDefault="00EE499D" w:rsidP="00EE499D">
                  <w:pPr>
                    <w:rPr>
                      <w:noProof/>
                    </w:rPr>
                  </w:pPr>
                  <w:r>
                    <w:rPr>
                      <w:noProof/>
                    </w:rPr>
                    <w:t>The Commission shall be entitled to request the necessary information from the suppliers and shall share preliminary findings concerning the establishment, ownership and control assessment to the concerned supplier and grant them an opportunity to be heard.</w:t>
                  </w:r>
                </w:p>
                <w:p w14:paraId="2E46A7CB" w14:textId="77777777" w:rsidR="00EE499D" w:rsidRDefault="00EE499D" w:rsidP="00EE499D">
                  <w:pPr>
                    <w:rPr>
                      <w:noProof/>
                    </w:rPr>
                  </w:pPr>
                  <w:r>
                    <w:rPr>
                      <w:noProof/>
                    </w:rPr>
                    <w:t xml:space="preserve">The Commission may ask a competent authority to carry out the initial establishment, ownership and control assessment of a supplier, where justified in view of the characteristics of the operation of this supplier. A competent authority may offer to carry out such initial assessment. The Commission shall verify these initial findings in view of deciding whether the supplier should be included in the list of high-risk suppliers.  </w:t>
                  </w:r>
                </w:p>
                <w:p w14:paraId="679FE27F" w14:textId="77777777" w:rsidR="00EE499D" w:rsidRDefault="00EE499D" w:rsidP="00EE499D">
                  <w:pPr>
                    <w:rPr>
                      <w:noProof/>
                    </w:rPr>
                  </w:pPr>
                </w:p>
                <w:p w14:paraId="3A47689F" w14:textId="7BC11479" w:rsidR="00EE499D" w:rsidRPr="3AF1F4E2" w:rsidRDefault="00EE499D" w:rsidP="00EE499D">
                  <w:pPr>
                    <w:spacing w:before="0" w:after="0"/>
                    <w:textAlignment w:val="baseline"/>
                    <w:rPr>
                      <w:rFonts w:eastAsia="Times New Roman"/>
                      <w:noProof/>
                      <w:szCs w:val="24"/>
                    </w:rPr>
                  </w:pPr>
                  <w:r>
                    <w:rPr>
                      <w:noProof/>
                    </w:rPr>
                    <w:t>The Commission shall regularly update the lists of high-risk suppliers in view of removing or adding high-risk suppliers. High-risk suppliers included in the list may request the Commission to re-assess their establishment, control and ownership structure upon provision of evidence that there have been relevant changes.</w:t>
                  </w:r>
                </w:p>
              </w:tc>
              <w:tc>
                <w:tcPr>
                  <w:tcW w:w="3015" w:type="dxa"/>
                  <w:tcBorders>
                    <w:top w:val="single" w:sz="6" w:space="0" w:color="auto"/>
                    <w:left w:val="single" w:sz="6" w:space="0" w:color="auto"/>
                    <w:bottom w:val="single" w:sz="6" w:space="0" w:color="auto"/>
                    <w:right w:val="single" w:sz="6" w:space="0" w:color="auto"/>
                  </w:tcBorders>
                </w:tcPr>
                <w:p w14:paraId="393B6D34" w14:textId="77777777" w:rsidR="00EE499D" w:rsidRDefault="00EE499D" w:rsidP="00EE499D">
                  <w:pPr>
                    <w:rPr>
                      <w:noProof/>
                      <w:lang w:val="en-IE"/>
                    </w:rPr>
                  </w:pPr>
                  <w:r>
                    <w:rPr>
                      <w:noProof/>
                      <w:lang w:val="en-IE"/>
                    </w:rPr>
                    <w:t xml:space="preserve"> EU Commission</w:t>
                  </w:r>
                </w:p>
                <w:p w14:paraId="37D9387C" w14:textId="77777777" w:rsidR="00EE499D" w:rsidRDefault="00EE499D" w:rsidP="00EE499D">
                  <w:pPr>
                    <w:rPr>
                      <w:noProof/>
                      <w:lang w:val="en-IE"/>
                    </w:rPr>
                  </w:pPr>
                  <w:r>
                    <w:rPr>
                      <w:noProof/>
                      <w:lang w:val="en-IE"/>
                    </w:rPr>
                    <w:t>Competent authorities</w:t>
                  </w:r>
                </w:p>
                <w:p w14:paraId="608564F7" w14:textId="2358C9A9" w:rsidR="00EE499D" w:rsidRPr="006F001C" w:rsidRDefault="00EE499D" w:rsidP="00EE499D">
                  <w:pPr>
                    <w:spacing w:before="0" w:after="0"/>
                    <w:jc w:val="left"/>
                    <w:textAlignment w:val="baseline"/>
                    <w:rPr>
                      <w:rFonts w:eastAsia="Times New Roman"/>
                      <w:noProof/>
                      <w:sz w:val="22"/>
                      <w:lang w:eastAsia="en-IE"/>
                    </w:rPr>
                  </w:pPr>
                  <w:r>
                    <w:rPr>
                      <w:noProof/>
                      <w:lang w:val="en-IE"/>
                    </w:rPr>
                    <w:t>Suppliers</w:t>
                  </w:r>
                </w:p>
              </w:tc>
              <w:tc>
                <w:tcPr>
                  <w:tcW w:w="3040" w:type="dxa"/>
                  <w:tcBorders>
                    <w:top w:val="single" w:sz="6" w:space="0" w:color="auto"/>
                    <w:left w:val="single" w:sz="6" w:space="0" w:color="auto"/>
                    <w:bottom w:val="single" w:sz="6" w:space="0" w:color="auto"/>
                    <w:right w:val="single" w:sz="6" w:space="0" w:color="auto"/>
                  </w:tcBorders>
                </w:tcPr>
                <w:p w14:paraId="787F4353" w14:textId="203D1F5B" w:rsidR="00EE499D" w:rsidRPr="006F001C" w:rsidRDefault="00EE499D" w:rsidP="00EE499D">
                  <w:pPr>
                    <w:spacing w:before="0" w:after="0"/>
                    <w:jc w:val="left"/>
                    <w:textAlignment w:val="baseline"/>
                    <w:rPr>
                      <w:rFonts w:eastAsia="Times New Roman"/>
                      <w:noProof/>
                      <w:sz w:val="22"/>
                      <w:lang w:eastAsia="en-IE"/>
                    </w:rPr>
                  </w:pPr>
                  <w:r>
                    <w:rPr>
                      <w:noProof/>
                    </w:rPr>
                    <w:t>Analysis of data/data processing; consultation with competent authorities, consultation with suppliers</w:t>
                  </w:r>
                </w:p>
              </w:tc>
              <w:tc>
                <w:tcPr>
                  <w:tcW w:w="1281" w:type="dxa"/>
                  <w:tcBorders>
                    <w:top w:val="single" w:sz="6" w:space="0" w:color="auto"/>
                    <w:left w:val="single" w:sz="6" w:space="0" w:color="auto"/>
                    <w:bottom w:val="single" w:sz="6" w:space="0" w:color="auto"/>
                    <w:right w:val="single" w:sz="6" w:space="0" w:color="auto"/>
                  </w:tcBorders>
                </w:tcPr>
                <w:p w14:paraId="63E89A0F" w14:textId="77777777" w:rsidR="00EE499D" w:rsidRDefault="00EE499D" w:rsidP="00EE499D">
                  <w:pPr>
                    <w:rPr>
                      <w:noProof/>
                    </w:rPr>
                  </w:pPr>
                  <w:r>
                    <w:rPr>
                      <w:noProof/>
                    </w:rPr>
                    <w:t xml:space="preserve">Data processing </w:t>
                  </w:r>
                </w:p>
                <w:p w14:paraId="4546C110" w14:textId="6D6B0D89" w:rsidR="00EE499D" w:rsidRPr="006F001C" w:rsidRDefault="00EE499D" w:rsidP="00EE499D">
                  <w:pPr>
                    <w:spacing w:before="0" w:after="0"/>
                    <w:jc w:val="left"/>
                    <w:textAlignment w:val="baseline"/>
                    <w:rPr>
                      <w:rFonts w:eastAsia="Times New Roman"/>
                      <w:noProof/>
                      <w:sz w:val="22"/>
                      <w:lang w:eastAsia="en-IE"/>
                    </w:rPr>
                  </w:pPr>
                  <w:r>
                    <w:rPr>
                      <w:noProof/>
                    </w:rPr>
                    <w:t>Data flow</w:t>
                  </w:r>
                </w:p>
              </w:tc>
            </w:tr>
            <w:tr w:rsidR="00EE499D" w:rsidRPr="006F001C" w14:paraId="5533E1A2" w14:textId="77777777">
              <w:trPr>
                <w:trHeight w:val="2160"/>
              </w:trPr>
              <w:tc>
                <w:tcPr>
                  <w:tcW w:w="2887" w:type="dxa"/>
                  <w:tcBorders>
                    <w:top w:val="single" w:sz="6" w:space="0" w:color="auto"/>
                    <w:left w:val="single" w:sz="6" w:space="0" w:color="auto"/>
                    <w:bottom w:val="single" w:sz="6" w:space="0" w:color="auto"/>
                    <w:right w:val="single" w:sz="6" w:space="0" w:color="auto"/>
                  </w:tcBorders>
                </w:tcPr>
                <w:p w14:paraId="3EF323AD" w14:textId="77777777" w:rsidR="00EE499D" w:rsidRDefault="00EE499D" w:rsidP="00EE499D">
                  <w:pPr>
                    <w:rPr>
                      <w:noProof/>
                    </w:rPr>
                  </w:pPr>
                  <w:r>
                    <w:rPr>
                      <w:noProof/>
                    </w:rPr>
                    <w:t>Article 105</w:t>
                  </w:r>
                </w:p>
                <w:p w14:paraId="10AC74B3" w14:textId="77777777" w:rsidR="00EE499D" w:rsidRDefault="00EE499D" w:rsidP="00EE499D">
                  <w:pPr>
                    <w:rPr>
                      <w:noProof/>
                    </w:rPr>
                  </w:pPr>
                  <w:r w:rsidRPr="005D52F4">
                    <w:rPr>
                      <w:noProof/>
                    </w:rPr>
                    <w:t xml:space="preserve">Exemption of entities </w:t>
                  </w:r>
                  <w:r>
                    <w:rPr>
                      <w:noProof/>
                    </w:rPr>
                    <w:t>established in</w:t>
                  </w:r>
                  <w:r w:rsidRPr="005D52F4">
                    <w:rPr>
                      <w:noProof/>
                    </w:rPr>
                    <w:t xml:space="preserve"> or controlled </w:t>
                  </w:r>
                  <w:r>
                    <w:rPr>
                      <w:noProof/>
                    </w:rPr>
                    <w:t xml:space="preserve">by entities </w:t>
                  </w:r>
                  <w:r w:rsidRPr="005D52F4">
                    <w:rPr>
                      <w:noProof/>
                    </w:rPr>
                    <w:t>from a third country posing cybersecurity concerns</w:t>
                  </w:r>
                </w:p>
                <w:p w14:paraId="4305AA21" w14:textId="77777777" w:rsidR="00EE499D" w:rsidRDefault="00EE499D" w:rsidP="00EE499D">
                  <w:pPr>
                    <w:rPr>
                      <w:noProof/>
                    </w:rPr>
                  </w:pPr>
                  <w:r>
                    <w:rPr>
                      <w:noProof/>
                    </w:rPr>
                    <w:t>Article 108</w:t>
                  </w:r>
                </w:p>
                <w:p w14:paraId="4E917E80" w14:textId="4B5C892E" w:rsidR="00EE499D" w:rsidRPr="006F001C" w:rsidRDefault="00EE499D" w:rsidP="00EE499D">
                  <w:pPr>
                    <w:spacing w:before="0" w:after="0"/>
                    <w:jc w:val="left"/>
                    <w:textAlignment w:val="baseline"/>
                    <w:rPr>
                      <w:rFonts w:eastAsia="Times New Roman"/>
                      <w:noProof/>
                      <w:sz w:val="22"/>
                      <w:lang w:eastAsia="en-IE"/>
                    </w:rPr>
                  </w:pPr>
                  <w:r>
                    <w:rPr>
                      <w:noProof/>
                    </w:rPr>
                    <w:t xml:space="preserve">Confidentiality </w:t>
                  </w:r>
                </w:p>
              </w:tc>
              <w:tc>
                <w:tcPr>
                  <w:tcW w:w="4332" w:type="dxa"/>
                  <w:tcBorders>
                    <w:top w:val="single" w:sz="6" w:space="0" w:color="auto"/>
                    <w:left w:val="single" w:sz="6" w:space="0" w:color="auto"/>
                    <w:bottom w:val="single" w:sz="6" w:space="0" w:color="auto"/>
                    <w:right w:val="single" w:sz="6" w:space="0" w:color="auto"/>
                  </w:tcBorders>
                </w:tcPr>
                <w:p w14:paraId="380797B5" w14:textId="77777777" w:rsidR="00EE499D" w:rsidRDefault="00EE499D" w:rsidP="00EE499D">
                  <w:pPr>
                    <w:rPr>
                      <w:noProof/>
                    </w:rPr>
                  </w:pPr>
                  <w:r>
                    <w:rPr>
                      <w:noProof/>
                    </w:rPr>
                    <w:t xml:space="preserve">(1)  </w:t>
                  </w:r>
                  <w:r w:rsidRPr="00382D22">
                    <w:rPr>
                      <w:noProof/>
                    </w:rPr>
                    <w:t xml:space="preserve">An entity </w:t>
                  </w:r>
                  <w:r>
                    <w:rPr>
                      <w:noProof/>
                    </w:rPr>
                    <w:t>established in</w:t>
                  </w:r>
                  <w:r w:rsidRPr="00382D22">
                    <w:rPr>
                      <w:noProof/>
                    </w:rPr>
                    <w:t xml:space="preserve"> or controlled from a designated third country posing cybersecurity concerns </w:t>
                  </w:r>
                  <w:r w:rsidRPr="00BA58F9">
                    <w:rPr>
                      <w:b/>
                      <w:bCs/>
                      <w:noProof/>
                    </w:rPr>
                    <w:t>may make a reasoned request</w:t>
                  </w:r>
                  <w:r w:rsidRPr="00382D22">
                    <w:rPr>
                      <w:noProof/>
                    </w:rPr>
                    <w:t xml:space="preserve"> to the Commission</w:t>
                  </w:r>
                  <w:r>
                    <w:rPr>
                      <w:noProof/>
                    </w:rPr>
                    <w:t xml:space="preserve">. </w:t>
                  </w:r>
                </w:p>
                <w:p w14:paraId="1653C71C" w14:textId="77777777" w:rsidR="00EE499D" w:rsidRDefault="00EE499D" w:rsidP="00EE499D">
                  <w:pPr>
                    <w:rPr>
                      <w:noProof/>
                    </w:rPr>
                  </w:pPr>
                  <w:r>
                    <w:rPr>
                      <w:noProof/>
                    </w:rPr>
                    <w:t xml:space="preserve">(3) The Commission shall assess and adopt a decision </w:t>
                  </w:r>
                  <w:r w:rsidRPr="48F96484">
                    <w:rPr>
                      <w:b/>
                      <w:bCs/>
                      <w:noProof/>
                    </w:rPr>
                    <w:t>taking account of several aspects</w:t>
                  </w:r>
                  <w:r>
                    <w:rPr>
                      <w:noProof/>
                    </w:rPr>
                    <w:t xml:space="preserve"> leading to data analysis. (Article 105 (3 and 4))</w:t>
                  </w:r>
                </w:p>
                <w:p w14:paraId="3EAED742" w14:textId="270A342C" w:rsidR="00EE499D" w:rsidRPr="3AF1F4E2" w:rsidRDefault="00EE499D" w:rsidP="00EE499D">
                  <w:pPr>
                    <w:spacing w:before="0" w:after="0"/>
                    <w:textAlignment w:val="baseline"/>
                    <w:rPr>
                      <w:rFonts w:eastAsia="Times New Roman"/>
                      <w:noProof/>
                      <w:szCs w:val="24"/>
                    </w:rPr>
                  </w:pPr>
                  <w:r w:rsidRPr="00074893">
                    <w:rPr>
                      <w:noProof/>
                    </w:rPr>
                    <w:t>Information received by the Commission shall be used only for the purpose for which it was acquired.</w:t>
                  </w:r>
                </w:p>
              </w:tc>
              <w:tc>
                <w:tcPr>
                  <w:tcW w:w="3015" w:type="dxa"/>
                  <w:tcBorders>
                    <w:top w:val="single" w:sz="6" w:space="0" w:color="auto"/>
                    <w:left w:val="single" w:sz="6" w:space="0" w:color="auto"/>
                    <w:bottom w:val="single" w:sz="6" w:space="0" w:color="auto"/>
                    <w:right w:val="single" w:sz="6" w:space="0" w:color="auto"/>
                  </w:tcBorders>
                </w:tcPr>
                <w:p w14:paraId="4D803BE6" w14:textId="77777777" w:rsidR="00EE499D" w:rsidRPr="005C095E" w:rsidRDefault="00EE499D" w:rsidP="00EE499D">
                  <w:pPr>
                    <w:rPr>
                      <w:noProof/>
                      <w:lang w:val="en-IE"/>
                    </w:rPr>
                  </w:pPr>
                  <w:r w:rsidRPr="005C095E">
                    <w:rPr>
                      <w:noProof/>
                      <w:lang w:val="en-IE"/>
                    </w:rPr>
                    <w:t>EU Commission</w:t>
                  </w:r>
                </w:p>
                <w:p w14:paraId="5484C1E3" w14:textId="4B86BE12" w:rsidR="00EE499D" w:rsidRPr="006F001C" w:rsidRDefault="00EE499D" w:rsidP="00EE499D">
                  <w:pPr>
                    <w:spacing w:before="0" w:after="0"/>
                    <w:jc w:val="left"/>
                    <w:textAlignment w:val="baseline"/>
                    <w:rPr>
                      <w:rFonts w:eastAsia="Times New Roman"/>
                      <w:noProof/>
                      <w:sz w:val="22"/>
                      <w:lang w:eastAsia="en-IE"/>
                    </w:rPr>
                  </w:pPr>
                  <w:r w:rsidRPr="00062112">
                    <w:rPr>
                      <w:noProof/>
                      <w:lang w:val="en-IE"/>
                    </w:rPr>
                    <w:t>Entities established</w:t>
                  </w:r>
                  <w:r>
                    <w:rPr>
                      <w:noProof/>
                      <w:lang w:val="en-IE"/>
                    </w:rPr>
                    <w:t xml:space="preserve"> in</w:t>
                  </w:r>
                  <w:r w:rsidRPr="00062112">
                    <w:rPr>
                      <w:noProof/>
                      <w:lang w:val="en-IE"/>
                    </w:rPr>
                    <w:t xml:space="preserve"> or controlled </w:t>
                  </w:r>
                  <w:r w:rsidRPr="67268D42">
                    <w:rPr>
                      <w:noProof/>
                      <w:lang w:val="en-IE"/>
                    </w:rPr>
                    <w:t xml:space="preserve">by </w:t>
                  </w:r>
                  <w:r w:rsidRPr="53746896">
                    <w:rPr>
                      <w:noProof/>
                      <w:lang w:val="en-IE"/>
                    </w:rPr>
                    <w:t>entities from</w:t>
                  </w:r>
                  <w:r>
                    <w:rPr>
                      <w:noProof/>
                      <w:lang w:val="en-IE"/>
                    </w:rPr>
                    <w:t xml:space="preserve"> a designated third country posing cybersecurity concerns</w:t>
                  </w:r>
                </w:p>
              </w:tc>
              <w:tc>
                <w:tcPr>
                  <w:tcW w:w="3040" w:type="dxa"/>
                  <w:tcBorders>
                    <w:top w:val="single" w:sz="6" w:space="0" w:color="auto"/>
                    <w:left w:val="single" w:sz="6" w:space="0" w:color="auto"/>
                    <w:bottom w:val="single" w:sz="6" w:space="0" w:color="auto"/>
                    <w:right w:val="single" w:sz="6" w:space="0" w:color="auto"/>
                  </w:tcBorders>
                </w:tcPr>
                <w:p w14:paraId="040F032D" w14:textId="0B369860" w:rsidR="00EE499D" w:rsidRPr="006F001C" w:rsidRDefault="00EE499D" w:rsidP="00EE499D">
                  <w:pPr>
                    <w:spacing w:before="0" w:after="0"/>
                    <w:jc w:val="left"/>
                    <w:textAlignment w:val="baseline"/>
                    <w:rPr>
                      <w:rFonts w:eastAsia="Times New Roman"/>
                      <w:noProof/>
                      <w:sz w:val="22"/>
                      <w:lang w:eastAsia="en-IE"/>
                    </w:rPr>
                  </w:pPr>
                  <w:r>
                    <w:rPr>
                      <w:noProof/>
                    </w:rPr>
                    <w:t>Commission receiving request; analysing data.</w:t>
                  </w:r>
                </w:p>
              </w:tc>
              <w:tc>
                <w:tcPr>
                  <w:tcW w:w="1281" w:type="dxa"/>
                  <w:tcBorders>
                    <w:top w:val="single" w:sz="6" w:space="0" w:color="auto"/>
                    <w:left w:val="single" w:sz="6" w:space="0" w:color="auto"/>
                    <w:bottom w:val="single" w:sz="6" w:space="0" w:color="auto"/>
                    <w:right w:val="single" w:sz="6" w:space="0" w:color="auto"/>
                  </w:tcBorders>
                </w:tcPr>
                <w:p w14:paraId="48805A90" w14:textId="77777777" w:rsidR="00EE499D" w:rsidRDefault="00EE499D" w:rsidP="00EE499D">
                  <w:pPr>
                    <w:rPr>
                      <w:noProof/>
                    </w:rPr>
                  </w:pPr>
                  <w:r>
                    <w:rPr>
                      <w:noProof/>
                    </w:rPr>
                    <w:t>Data flow</w:t>
                  </w:r>
                </w:p>
                <w:p w14:paraId="4EF9836E" w14:textId="7F1F2F49" w:rsidR="00EE499D" w:rsidRPr="006F001C" w:rsidRDefault="00EE499D" w:rsidP="00EE499D">
                  <w:pPr>
                    <w:spacing w:before="0" w:after="0"/>
                    <w:jc w:val="left"/>
                    <w:textAlignment w:val="baseline"/>
                    <w:rPr>
                      <w:rFonts w:eastAsia="Times New Roman"/>
                      <w:noProof/>
                      <w:sz w:val="22"/>
                      <w:lang w:eastAsia="en-IE"/>
                    </w:rPr>
                  </w:pPr>
                  <w:r>
                    <w:rPr>
                      <w:noProof/>
                    </w:rPr>
                    <w:t>Data processing</w:t>
                  </w:r>
                </w:p>
              </w:tc>
            </w:tr>
            <w:tr w:rsidR="00EE499D" w:rsidRPr="006F001C" w14:paraId="73C028D2" w14:textId="77777777">
              <w:trPr>
                <w:trHeight w:val="2160"/>
              </w:trPr>
              <w:tc>
                <w:tcPr>
                  <w:tcW w:w="2887" w:type="dxa"/>
                  <w:tcBorders>
                    <w:top w:val="single" w:sz="6" w:space="0" w:color="auto"/>
                    <w:left w:val="single" w:sz="6" w:space="0" w:color="auto"/>
                    <w:bottom w:val="single" w:sz="6" w:space="0" w:color="auto"/>
                    <w:right w:val="single" w:sz="6" w:space="0" w:color="auto"/>
                  </w:tcBorders>
                </w:tcPr>
                <w:p w14:paraId="6A65EFB7" w14:textId="77777777" w:rsidR="00EE499D" w:rsidRDefault="00EE499D" w:rsidP="00EE499D">
                  <w:pPr>
                    <w:rPr>
                      <w:noProof/>
                    </w:rPr>
                  </w:pPr>
                  <w:r>
                    <w:rPr>
                      <w:noProof/>
                    </w:rPr>
                    <w:t>Article 107</w:t>
                  </w:r>
                </w:p>
                <w:p w14:paraId="00A1370B" w14:textId="67987C55" w:rsidR="00EE499D" w:rsidRPr="006F001C" w:rsidRDefault="00EE499D" w:rsidP="00EE499D">
                  <w:pPr>
                    <w:spacing w:before="0" w:after="0"/>
                    <w:jc w:val="left"/>
                    <w:textAlignment w:val="baseline"/>
                    <w:rPr>
                      <w:rFonts w:eastAsia="Times New Roman"/>
                      <w:noProof/>
                      <w:sz w:val="22"/>
                      <w:lang w:eastAsia="en-IE"/>
                    </w:rPr>
                  </w:pPr>
                  <w:r>
                    <w:rPr>
                      <w:noProof/>
                    </w:rPr>
                    <w:t>Regist</w:t>
                  </w:r>
                  <w:r w:rsidR="004D66B6">
                    <w:rPr>
                      <w:noProof/>
                    </w:rPr>
                    <w:t>er</w:t>
                  </w:r>
                </w:p>
              </w:tc>
              <w:tc>
                <w:tcPr>
                  <w:tcW w:w="4332" w:type="dxa"/>
                  <w:tcBorders>
                    <w:top w:val="single" w:sz="6" w:space="0" w:color="auto"/>
                    <w:left w:val="single" w:sz="6" w:space="0" w:color="auto"/>
                    <w:bottom w:val="single" w:sz="6" w:space="0" w:color="auto"/>
                    <w:right w:val="single" w:sz="6" w:space="0" w:color="auto"/>
                  </w:tcBorders>
                </w:tcPr>
                <w:p w14:paraId="43C948B5" w14:textId="5FE6A6B0" w:rsidR="00EE499D" w:rsidRPr="3AF1F4E2" w:rsidRDefault="00EE499D" w:rsidP="00EE499D">
                  <w:pPr>
                    <w:spacing w:before="0" w:after="0"/>
                    <w:textAlignment w:val="baseline"/>
                    <w:rPr>
                      <w:rFonts w:eastAsia="Times New Roman"/>
                      <w:noProof/>
                      <w:szCs w:val="24"/>
                    </w:rPr>
                  </w:pPr>
                  <w:r>
                    <w:rPr>
                      <w:noProof/>
                    </w:rPr>
                    <w:t>The Commission shall maintain a publicly accessible register of its decisions referred to in Article 105. The regist</w:t>
                  </w:r>
                  <w:r w:rsidR="001D6F1A">
                    <w:rPr>
                      <w:noProof/>
                    </w:rPr>
                    <w:t>er</w:t>
                  </w:r>
                  <w:r>
                    <w:rPr>
                      <w:noProof/>
                    </w:rPr>
                    <w:t xml:space="preserve"> shall state the names of the entities that have been subject to the decisions.</w:t>
                  </w:r>
                </w:p>
              </w:tc>
              <w:tc>
                <w:tcPr>
                  <w:tcW w:w="3015" w:type="dxa"/>
                  <w:tcBorders>
                    <w:top w:val="single" w:sz="6" w:space="0" w:color="auto"/>
                    <w:left w:val="single" w:sz="6" w:space="0" w:color="auto"/>
                    <w:bottom w:val="single" w:sz="6" w:space="0" w:color="auto"/>
                    <w:right w:val="single" w:sz="6" w:space="0" w:color="auto"/>
                  </w:tcBorders>
                </w:tcPr>
                <w:p w14:paraId="69F73013" w14:textId="77777777" w:rsidR="00EE499D" w:rsidRDefault="00EE499D" w:rsidP="00EE499D">
                  <w:pPr>
                    <w:rPr>
                      <w:noProof/>
                    </w:rPr>
                  </w:pPr>
                  <w:r w:rsidRPr="00382D22">
                    <w:rPr>
                      <w:noProof/>
                    </w:rPr>
                    <w:t>EU Commission</w:t>
                  </w:r>
                </w:p>
                <w:p w14:paraId="1BF72BF0" w14:textId="4AFC2836" w:rsidR="00EE499D" w:rsidRPr="006F001C" w:rsidRDefault="00EE499D" w:rsidP="00EE499D">
                  <w:pPr>
                    <w:spacing w:before="0" w:after="0"/>
                    <w:jc w:val="left"/>
                    <w:textAlignment w:val="baseline"/>
                    <w:rPr>
                      <w:rFonts w:eastAsia="Times New Roman"/>
                      <w:noProof/>
                      <w:sz w:val="22"/>
                      <w:lang w:eastAsia="en-IE"/>
                    </w:rPr>
                  </w:pPr>
                  <w:r w:rsidRPr="006650C7">
                    <w:rPr>
                      <w:noProof/>
                      <w:lang w:val="en-IE"/>
                    </w:rPr>
                    <w:t>Entities established</w:t>
                  </w:r>
                  <w:r>
                    <w:rPr>
                      <w:noProof/>
                      <w:lang w:val="en-IE"/>
                    </w:rPr>
                    <w:t xml:space="preserve"> in</w:t>
                  </w:r>
                  <w:r w:rsidRPr="006650C7">
                    <w:rPr>
                      <w:noProof/>
                      <w:lang w:val="en-IE"/>
                    </w:rPr>
                    <w:t xml:space="preserve"> or controlled f</w:t>
                  </w:r>
                  <w:r>
                    <w:rPr>
                      <w:noProof/>
                      <w:lang w:val="en-IE"/>
                    </w:rPr>
                    <w:t>rom a designated third country posing cybersecurity concerns</w:t>
                  </w:r>
                </w:p>
              </w:tc>
              <w:tc>
                <w:tcPr>
                  <w:tcW w:w="3040" w:type="dxa"/>
                  <w:tcBorders>
                    <w:top w:val="single" w:sz="6" w:space="0" w:color="auto"/>
                    <w:left w:val="single" w:sz="6" w:space="0" w:color="auto"/>
                    <w:bottom w:val="single" w:sz="6" w:space="0" w:color="auto"/>
                    <w:right w:val="single" w:sz="6" w:space="0" w:color="auto"/>
                  </w:tcBorders>
                </w:tcPr>
                <w:p w14:paraId="745D4F81" w14:textId="2E9597AA" w:rsidR="00EE499D" w:rsidRPr="006F001C" w:rsidRDefault="00EE499D" w:rsidP="00EE499D">
                  <w:pPr>
                    <w:spacing w:before="0" w:after="0"/>
                    <w:jc w:val="left"/>
                    <w:textAlignment w:val="baseline"/>
                    <w:rPr>
                      <w:rFonts w:eastAsia="Times New Roman"/>
                      <w:noProof/>
                      <w:sz w:val="22"/>
                      <w:lang w:eastAsia="en-IE"/>
                    </w:rPr>
                  </w:pPr>
                  <w:r>
                    <w:rPr>
                      <w:noProof/>
                    </w:rPr>
                    <w:t>Commission maintaining publicly accessible regist</w:t>
                  </w:r>
                  <w:r w:rsidR="001D6F1A">
                    <w:rPr>
                      <w:noProof/>
                    </w:rPr>
                    <w:t>er</w:t>
                  </w:r>
                  <w:r>
                    <w:rPr>
                      <w:noProof/>
                    </w:rPr>
                    <w:t>.</w:t>
                  </w:r>
                </w:p>
              </w:tc>
              <w:tc>
                <w:tcPr>
                  <w:tcW w:w="1281" w:type="dxa"/>
                  <w:tcBorders>
                    <w:top w:val="single" w:sz="6" w:space="0" w:color="auto"/>
                    <w:left w:val="single" w:sz="6" w:space="0" w:color="auto"/>
                    <w:bottom w:val="single" w:sz="6" w:space="0" w:color="auto"/>
                    <w:right w:val="single" w:sz="6" w:space="0" w:color="auto"/>
                  </w:tcBorders>
                </w:tcPr>
                <w:p w14:paraId="3AC00658" w14:textId="6F484C12" w:rsidR="00EE499D" w:rsidRPr="006F001C" w:rsidRDefault="00EE499D" w:rsidP="00EE499D">
                  <w:pPr>
                    <w:spacing w:before="0" w:after="0"/>
                    <w:jc w:val="left"/>
                    <w:textAlignment w:val="baseline"/>
                    <w:rPr>
                      <w:rFonts w:eastAsia="Times New Roman"/>
                      <w:noProof/>
                      <w:sz w:val="22"/>
                      <w:lang w:eastAsia="en-IE"/>
                    </w:rPr>
                  </w:pPr>
                  <w:r>
                    <w:rPr>
                      <w:noProof/>
                    </w:rPr>
                    <w:t>Digital solution</w:t>
                  </w:r>
                </w:p>
              </w:tc>
            </w:tr>
            <w:tr w:rsidR="00EE499D" w:rsidRPr="006F001C" w14:paraId="08B62561" w14:textId="77777777">
              <w:trPr>
                <w:trHeight w:val="2160"/>
              </w:trPr>
              <w:tc>
                <w:tcPr>
                  <w:tcW w:w="2887" w:type="dxa"/>
                  <w:tcBorders>
                    <w:top w:val="single" w:sz="6" w:space="0" w:color="auto"/>
                    <w:left w:val="single" w:sz="6" w:space="0" w:color="auto"/>
                    <w:bottom w:val="single" w:sz="6" w:space="0" w:color="auto"/>
                    <w:right w:val="single" w:sz="6" w:space="0" w:color="auto"/>
                  </w:tcBorders>
                </w:tcPr>
                <w:p w14:paraId="439B381D" w14:textId="77777777" w:rsidR="00EE499D" w:rsidRDefault="00EE499D" w:rsidP="00EE499D">
                  <w:pPr>
                    <w:rPr>
                      <w:noProof/>
                    </w:rPr>
                  </w:pPr>
                  <w:r>
                    <w:rPr>
                      <w:noProof/>
                    </w:rPr>
                    <w:t>Article 111</w:t>
                  </w:r>
                </w:p>
                <w:p w14:paraId="2D69B5A5" w14:textId="3BE8138C" w:rsidR="00EE499D" w:rsidRPr="006F001C" w:rsidRDefault="00EE499D" w:rsidP="00EE499D">
                  <w:pPr>
                    <w:spacing w:before="0" w:after="0"/>
                    <w:jc w:val="left"/>
                    <w:textAlignment w:val="baseline"/>
                    <w:rPr>
                      <w:rFonts w:eastAsia="Times New Roman"/>
                      <w:noProof/>
                      <w:sz w:val="22"/>
                      <w:lang w:eastAsia="en-IE"/>
                    </w:rPr>
                  </w:pPr>
                  <w:r w:rsidRPr="00795730">
                    <w:rPr>
                      <w:noProof/>
                    </w:rPr>
                    <w:t>Prohibitions for mobile</w:t>
                  </w:r>
                  <w:r w:rsidR="00EC69A3">
                    <w:rPr>
                      <w:noProof/>
                    </w:rPr>
                    <w:t xml:space="preserve">, </w:t>
                  </w:r>
                  <w:r w:rsidRPr="00795730">
                    <w:rPr>
                      <w:noProof/>
                    </w:rPr>
                    <w:t xml:space="preserve"> fixed </w:t>
                  </w:r>
                  <w:r w:rsidR="00EC69A3">
                    <w:rPr>
                      <w:noProof/>
                    </w:rPr>
                    <w:t>and salttelite</w:t>
                  </w:r>
                  <w:r w:rsidRPr="00795730">
                    <w:rPr>
                      <w:noProof/>
                    </w:rPr>
                    <w:t xml:space="preserve"> electronic communication networks</w:t>
                  </w:r>
                </w:p>
              </w:tc>
              <w:tc>
                <w:tcPr>
                  <w:tcW w:w="4332" w:type="dxa"/>
                  <w:tcBorders>
                    <w:top w:val="single" w:sz="6" w:space="0" w:color="auto"/>
                    <w:left w:val="single" w:sz="6" w:space="0" w:color="auto"/>
                    <w:bottom w:val="single" w:sz="6" w:space="0" w:color="auto"/>
                    <w:right w:val="single" w:sz="6" w:space="0" w:color="auto"/>
                  </w:tcBorders>
                </w:tcPr>
                <w:p w14:paraId="4B6A3D1A" w14:textId="5EC25DB7" w:rsidR="00EE499D" w:rsidRPr="3AF1F4E2" w:rsidRDefault="005C76E3" w:rsidP="00EE499D">
                  <w:pPr>
                    <w:spacing w:before="0" w:after="0"/>
                    <w:textAlignment w:val="baseline"/>
                    <w:rPr>
                      <w:rFonts w:eastAsia="Times New Roman"/>
                      <w:noProof/>
                      <w:szCs w:val="24"/>
                    </w:rPr>
                  </w:pPr>
                  <w:r>
                    <w:rPr>
                      <w:noProof/>
                      <w:lang w:val="en-IE"/>
                    </w:rPr>
                    <w:t>T</w:t>
                  </w:r>
                  <w:r w:rsidRPr="00285D19">
                    <w:rPr>
                      <w:noProof/>
                      <w:lang w:val="en-IE"/>
                    </w:rPr>
                    <w:t xml:space="preserve">he competent authority designated under this Regulation </w:t>
                  </w:r>
                  <w:r w:rsidRPr="006879B9">
                    <w:rPr>
                      <w:b/>
                      <w:bCs/>
                      <w:noProof/>
                      <w:lang w:val="en-IE"/>
                    </w:rPr>
                    <w:t>shall inform</w:t>
                  </w:r>
                  <w:r w:rsidRPr="00285D19">
                    <w:rPr>
                      <w:noProof/>
                      <w:lang w:val="en-IE"/>
                    </w:rPr>
                    <w:t xml:space="preserve"> without delay the competent authority pursuant to Regulation (EU) XX/XXXX [DNA proposal] about the measures imposed on providers of mobile</w:t>
                  </w:r>
                  <w:r w:rsidR="002F5B41">
                    <w:rPr>
                      <w:noProof/>
                      <w:lang w:val="en-IE"/>
                    </w:rPr>
                    <w:t xml:space="preserve">, </w:t>
                  </w:r>
                  <w:r w:rsidRPr="00285D19">
                    <w:rPr>
                      <w:noProof/>
                      <w:lang w:val="en-IE"/>
                    </w:rPr>
                    <w:t xml:space="preserve">fixed </w:t>
                  </w:r>
                  <w:r w:rsidR="002F5B41">
                    <w:rPr>
                      <w:noProof/>
                      <w:lang w:val="en-IE"/>
                    </w:rPr>
                    <w:t>and satellite</w:t>
                  </w:r>
                  <w:r w:rsidRPr="00285D19">
                    <w:rPr>
                      <w:noProof/>
                      <w:lang w:val="en-IE"/>
                    </w:rPr>
                    <w:t xml:space="preserve"> electronic communications networks</w:t>
                  </w:r>
                  <w:r>
                    <w:rPr>
                      <w:noProof/>
                      <w:lang w:val="en-IE"/>
                    </w:rPr>
                    <w:t>.</w:t>
                  </w:r>
                </w:p>
              </w:tc>
              <w:tc>
                <w:tcPr>
                  <w:tcW w:w="3015" w:type="dxa"/>
                  <w:tcBorders>
                    <w:top w:val="single" w:sz="6" w:space="0" w:color="auto"/>
                    <w:left w:val="single" w:sz="6" w:space="0" w:color="auto"/>
                    <w:bottom w:val="single" w:sz="6" w:space="0" w:color="auto"/>
                    <w:right w:val="single" w:sz="6" w:space="0" w:color="auto"/>
                  </w:tcBorders>
                </w:tcPr>
                <w:p w14:paraId="569401F7" w14:textId="77777777" w:rsidR="00EE499D" w:rsidRDefault="00EE499D" w:rsidP="00EE499D">
                  <w:pPr>
                    <w:spacing w:before="0" w:after="0"/>
                    <w:jc w:val="left"/>
                    <w:textAlignment w:val="baseline"/>
                    <w:rPr>
                      <w:noProof/>
                    </w:rPr>
                  </w:pPr>
                  <w:r>
                    <w:rPr>
                      <w:noProof/>
                    </w:rPr>
                    <w:t>Competent authority in the sense of Article 9 or 20 of Regulation (EU) XX/XXXX [DNA Proposal]</w:t>
                  </w:r>
                </w:p>
                <w:p w14:paraId="45B6F732" w14:textId="61921DA1" w:rsidR="00EE499D" w:rsidRPr="006F001C" w:rsidRDefault="00EE499D" w:rsidP="00EE499D">
                  <w:pPr>
                    <w:spacing w:before="0" w:after="0"/>
                    <w:jc w:val="left"/>
                    <w:textAlignment w:val="baseline"/>
                    <w:rPr>
                      <w:rFonts w:eastAsia="Times New Roman"/>
                      <w:noProof/>
                      <w:sz w:val="22"/>
                      <w:lang w:eastAsia="en-IE"/>
                    </w:rPr>
                  </w:pPr>
                  <w:r>
                    <w:rPr>
                      <w:noProof/>
                    </w:rPr>
                    <w:t>Providers of mobile</w:t>
                  </w:r>
                  <w:r w:rsidR="00D202DE">
                    <w:rPr>
                      <w:noProof/>
                    </w:rPr>
                    <w:t xml:space="preserve">, </w:t>
                  </w:r>
                  <w:r>
                    <w:rPr>
                      <w:noProof/>
                    </w:rPr>
                    <w:t xml:space="preserve">fixed </w:t>
                  </w:r>
                  <w:r w:rsidR="00D202DE">
                    <w:rPr>
                      <w:noProof/>
                    </w:rPr>
                    <w:t>and satellite</w:t>
                  </w:r>
                  <w:r>
                    <w:rPr>
                      <w:noProof/>
                    </w:rPr>
                    <w:t xml:space="preserve"> electronic communications networks</w:t>
                  </w:r>
                </w:p>
              </w:tc>
              <w:tc>
                <w:tcPr>
                  <w:tcW w:w="3040" w:type="dxa"/>
                  <w:tcBorders>
                    <w:top w:val="single" w:sz="6" w:space="0" w:color="auto"/>
                    <w:left w:val="single" w:sz="6" w:space="0" w:color="auto"/>
                    <w:bottom w:val="single" w:sz="6" w:space="0" w:color="auto"/>
                    <w:right w:val="single" w:sz="6" w:space="0" w:color="auto"/>
                  </w:tcBorders>
                </w:tcPr>
                <w:p w14:paraId="17361075" w14:textId="631C2C65" w:rsidR="00EE499D" w:rsidRPr="006F001C" w:rsidRDefault="00EE499D" w:rsidP="00EE499D">
                  <w:pPr>
                    <w:spacing w:before="0" w:after="0"/>
                    <w:jc w:val="left"/>
                    <w:textAlignment w:val="baseline"/>
                    <w:rPr>
                      <w:rFonts w:eastAsia="Times New Roman"/>
                      <w:noProof/>
                      <w:sz w:val="22"/>
                      <w:lang w:eastAsia="en-IE"/>
                    </w:rPr>
                  </w:pPr>
                  <w:r>
                    <w:rPr>
                      <w:noProof/>
                    </w:rPr>
                    <w:t xml:space="preserve">Information flow from competent authority to entities in relation to authorisations. </w:t>
                  </w:r>
                </w:p>
              </w:tc>
              <w:tc>
                <w:tcPr>
                  <w:tcW w:w="1281" w:type="dxa"/>
                  <w:tcBorders>
                    <w:top w:val="single" w:sz="6" w:space="0" w:color="auto"/>
                    <w:left w:val="single" w:sz="6" w:space="0" w:color="auto"/>
                    <w:bottom w:val="single" w:sz="6" w:space="0" w:color="auto"/>
                    <w:right w:val="single" w:sz="6" w:space="0" w:color="auto"/>
                  </w:tcBorders>
                </w:tcPr>
                <w:p w14:paraId="1022236F" w14:textId="4AE016F3" w:rsidR="00EE499D" w:rsidRPr="006F001C" w:rsidRDefault="00EE499D" w:rsidP="00EE499D">
                  <w:pPr>
                    <w:spacing w:before="0" w:after="0"/>
                    <w:jc w:val="left"/>
                    <w:textAlignment w:val="baseline"/>
                    <w:rPr>
                      <w:rFonts w:eastAsia="Times New Roman"/>
                      <w:noProof/>
                      <w:sz w:val="22"/>
                      <w:lang w:eastAsia="en-IE"/>
                    </w:rPr>
                  </w:pPr>
                  <w:r>
                    <w:rPr>
                      <w:noProof/>
                    </w:rPr>
                    <w:t>Data flow</w:t>
                  </w:r>
                </w:p>
              </w:tc>
            </w:tr>
            <w:tr w:rsidR="00EE499D" w:rsidRPr="006F001C" w14:paraId="57A9D4EA" w14:textId="77777777">
              <w:trPr>
                <w:trHeight w:val="2160"/>
              </w:trPr>
              <w:tc>
                <w:tcPr>
                  <w:tcW w:w="2887" w:type="dxa"/>
                  <w:tcBorders>
                    <w:top w:val="single" w:sz="6" w:space="0" w:color="auto"/>
                    <w:left w:val="single" w:sz="6" w:space="0" w:color="auto"/>
                    <w:bottom w:val="single" w:sz="6" w:space="0" w:color="auto"/>
                    <w:right w:val="single" w:sz="6" w:space="0" w:color="auto"/>
                  </w:tcBorders>
                </w:tcPr>
                <w:p w14:paraId="11DD5693" w14:textId="77777777" w:rsidR="00EE499D" w:rsidRDefault="00EE499D" w:rsidP="00EE499D">
                  <w:pPr>
                    <w:rPr>
                      <w:noProof/>
                    </w:rPr>
                  </w:pPr>
                  <w:r>
                    <w:rPr>
                      <w:noProof/>
                    </w:rPr>
                    <w:t>Article 112 (1), (4)</w:t>
                  </w:r>
                </w:p>
                <w:p w14:paraId="21C523E5" w14:textId="734F0743" w:rsidR="00EE499D" w:rsidRPr="006F001C" w:rsidRDefault="00EE499D" w:rsidP="00EE499D">
                  <w:pPr>
                    <w:spacing w:before="0" w:after="0"/>
                    <w:jc w:val="left"/>
                    <w:textAlignment w:val="baseline"/>
                    <w:rPr>
                      <w:rFonts w:eastAsia="Times New Roman"/>
                      <w:noProof/>
                      <w:sz w:val="22"/>
                      <w:lang w:eastAsia="en-IE"/>
                    </w:rPr>
                  </w:pPr>
                  <w:r>
                    <w:rPr>
                      <w:noProof/>
                    </w:rPr>
                    <w:t xml:space="preserve">Competent authorities </w:t>
                  </w:r>
                </w:p>
              </w:tc>
              <w:tc>
                <w:tcPr>
                  <w:tcW w:w="4332" w:type="dxa"/>
                  <w:tcBorders>
                    <w:top w:val="single" w:sz="6" w:space="0" w:color="auto"/>
                    <w:left w:val="single" w:sz="6" w:space="0" w:color="auto"/>
                    <w:bottom w:val="single" w:sz="6" w:space="0" w:color="auto"/>
                    <w:right w:val="single" w:sz="6" w:space="0" w:color="auto"/>
                  </w:tcBorders>
                </w:tcPr>
                <w:p w14:paraId="39D68895" w14:textId="77777777" w:rsidR="00EE499D" w:rsidRDefault="00EE499D" w:rsidP="00EE499D">
                  <w:pPr>
                    <w:rPr>
                      <w:noProof/>
                    </w:rPr>
                  </w:pPr>
                  <w:r>
                    <w:rPr>
                      <w:noProof/>
                    </w:rPr>
                    <w:t>(</w:t>
                  </w:r>
                  <w:r w:rsidRPr="00795730">
                    <w:rPr>
                      <w:noProof/>
                    </w:rPr>
                    <w:t>1</w:t>
                  </w:r>
                  <w:r>
                    <w:rPr>
                      <w:noProof/>
                    </w:rPr>
                    <w:t xml:space="preserve">) </w:t>
                  </w:r>
                  <w:r w:rsidRPr="00795730">
                    <w:rPr>
                      <w:b/>
                      <w:bCs/>
                      <w:noProof/>
                    </w:rPr>
                    <w:t>Each Member State shall designate</w:t>
                  </w:r>
                  <w:r w:rsidRPr="00795730">
                    <w:rPr>
                      <w:noProof/>
                    </w:rPr>
                    <w:t xml:space="preserve"> one or more competent authorities responsible for the supervisory and enforcement tasks referred to in Article </w:t>
                  </w:r>
                  <w:r>
                    <w:rPr>
                      <w:noProof/>
                    </w:rPr>
                    <w:t>114</w:t>
                  </w:r>
                  <w:r w:rsidRPr="00795730">
                    <w:rPr>
                      <w:noProof/>
                    </w:rPr>
                    <w:t xml:space="preserve">.  </w:t>
                  </w:r>
                </w:p>
                <w:p w14:paraId="76427DB0" w14:textId="77777777" w:rsidR="00EE499D" w:rsidRDefault="00EE499D" w:rsidP="00EE499D">
                  <w:pPr>
                    <w:rPr>
                      <w:noProof/>
                    </w:rPr>
                  </w:pPr>
                  <w:r>
                    <w:rPr>
                      <w:noProof/>
                    </w:rPr>
                    <w:t xml:space="preserve">(4) </w:t>
                  </w:r>
                  <w:r w:rsidRPr="00795730">
                    <w:rPr>
                      <w:noProof/>
                    </w:rPr>
                    <w:t xml:space="preserve"> </w:t>
                  </w:r>
                  <w:r>
                    <w:rPr>
                      <w:noProof/>
                    </w:rPr>
                    <w:t>Each Member State shall without undue delay notify the Commission of the names of the competent authorities designated in accordance with paragraph 1, of the respective tasks of those authorities and of any subsequent changes thereto. Each Member State shall also make public the names of the competent authorities designated in accordance with paragraph 1.</w:t>
                  </w:r>
                </w:p>
                <w:p w14:paraId="22FEC6C2" w14:textId="6FDCC6AA" w:rsidR="00EE499D" w:rsidRPr="3AF1F4E2" w:rsidRDefault="00EE499D" w:rsidP="00EE499D">
                  <w:pPr>
                    <w:spacing w:before="0" w:after="0"/>
                    <w:textAlignment w:val="baseline"/>
                    <w:rPr>
                      <w:rFonts w:eastAsia="Times New Roman"/>
                      <w:noProof/>
                      <w:szCs w:val="24"/>
                    </w:rPr>
                  </w:pPr>
                  <w:r>
                    <w:rPr>
                      <w:noProof/>
                    </w:rPr>
                    <w:t xml:space="preserve">   </w:t>
                  </w:r>
                </w:p>
              </w:tc>
              <w:tc>
                <w:tcPr>
                  <w:tcW w:w="3015" w:type="dxa"/>
                  <w:tcBorders>
                    <w:top w:val="single" w:sz="6" w:space="0" w:color="auto"/>
                    <w:left w:val="single" w:sz="6" w:space="0" w:color="auto"/>
                    <w:bottom w:val="single" w:sz="6" w:space="0" w:color="auto"/>
                    <w:right w:val="single" w:sz="6" w:space="0" w:color="auto"/>
                  </w:tcBorders>
                </w:tcPr>
                <w:p w14:paraId="03BE602C" w14:textId="77777777" w:rsidR="00EE499D" w:rsidRPr="006F273B" w:rsidRDefault="00EE499D" w:rsidP="00EE499D">
                  <w:pPr>
                    <w:rPr>
                      <w:noProof/>
                      <w:lang w:val="fr-FR"/>
                    </w:rPr>
                  </w:pPr>
                  <w:r w:rsidRPr="006F273B">
                    <w:rPr>
                      <w:noProof/>
                      <w:lang w:val="fr-FR"/>
                    </w:rPr>
                    <w:t>EU Member States</w:t>
                  </w:r>
                </w:p>
                <w:p w14:paraId="397C2791" w14:textId="77777777" w:rsidR="00EE499D" w:rsidRPr="006F273B" w:rsidRDefault="00EE499D" w:rsidP="00EE499D">
                  <w:pPr>
                    <w:rPr>
                      <w:noProof/>
                      <w:lang w:val="fr-FR"/>
                    </w:rPr>
                  </w:pPr>
                  <w:r w:rsidRPr="006F273B">
                    <w:rPr>
                      <w:noProof/>
                      <w:lang w:val="fr-FR"/>
                    </w:rPr>
                    <w:t>EU Commission</w:t>
                  </w:r>
                </w:p>
                <w:p w14:paraId="231BCDA8" w14:textId="3D8795C3" w:rsidR="00EE499D" w:rsidRPr="00EE499D" w:rsidRDefault="00EE499D" w:rsidP="00EE499D">
                  <w:pPr>
                    <w:spacing w:before="0" w:after="0"/>
                    <w:jc w:val="left"/>
                    <w:textAlignment w:val="baseline"/>
                    <w:rPr>
                      <w:rFonts w:eastAsia="Times New Roman"/>
                      <w:noProof/>
                      <w:sz w:val="22"/>
                      <w:lang w:val="fr-FR" w:eastAsia="en-IE"/>
                    </w:rPr>
                  </w:pPr>
                  <w:r w:rsidRPr="006F273B">
                    <w:rPr>
                      <w:noProof/>
                      <w:lang w:val="fr-FR"/>
                    </w:rPr>
                    <w:t xml:space="preserve">General </w:t>
                  </w:r>
                  <w:r w:rsidR="004D66B6">
                    <w:rPr>
                      <w:noProof/>
                      <w:lang w:val="fr-FR"/>
                    </w:rPr>
                    <w:t>p</w:t>
                  </w:r>
                  <w:r w:rsidRPr="006F273B">
                    <w:rPr>
                      <w:noProof/>
                      <w:lang w:val="fr-FR"/>
                    </w:rPr>
                    <w:t xml:space="preserve">ublic </w:t>
                  </w:r>
                </w:p>
              </w:tc>
              <w:tc>
                <w:tcPr>
                  <w:tcW w:w="3040" w:type="dxa"/>
                  <w:tcBorders>
                    <w:top w:val="single" w:sz="6" w:space="0" w:color="auto"/>
                    <w:left w:val="single" w:sz="6" w:space="0" w:color="auto"/>
                    <w:bottom w:val="single" w:sz="6" w:space="0" w:color="auto"/>
                    <w:right w:val="single" w:sz="6" w:space="0" w:color="auto"/>
                  </w:tcBorders>
                </w:tcPr>
                <w:p w14:paraId="7CAD5CF3" w14:textId="79254834" w:rsidR="00EE499D" w:rsidRPr="006F001C" w:rsidRDefault="00EE499D" w:rsidP="00EE499D">
                  <w:pPr>
                    <w:spacing w:before="0" w:after="0"/>
                    <w:jc w:val="left"/>
                    <w:textAlignment w:val="baseline"/>
                    <w:rPr>
                      <w:rFonts w:eastAsia="Times New Roman"/>
                      <w:noProof/>
                      <w:sz w:val="22"/>
                      <w:lang w:eastAsia="en-IE"/>
                    </w:rPr>
                  </w:pPr>
                  <w:r>
                    <w:rPr>
                      <w:noProof/>
                    </w:rPr>
                    <w:t xml:space="preserve">Member States designating competent authorities and notifying the Commission. </w:t>
                  </w:r>
                </w:p>
              </w:tc>
              <w:tc>
                <w:tcPr>
                  <w:tcW w:w="1281" w:type="dxa"/>
                  <w:tcBorders>
                    <w:top w:val="single" w:sz="6" w:space="0" w:color="auto"/>
                    <w:left w:val="single" w:sz="6" w:space="0" w:color="auto"/>
                    <w:bottom w:val="single" w:sz="6" w:space="0" w:color="auto"/>
                    <w:right w:val="single" w:sz="6" w:space="0" w:color="auto"/>
                  </w:tcBorders>
                </w:tcPr>
                <w:p w14:paraId="21D3DBF4" w14:textId="264FFA70" w:rsidR="00EE499D" w:rsidRPr="006F001C" w:rsidRDefault="00EE499D" w:rsidP="00EE499D">
                  <w:pPr>
                    <w:spacing w:before="0" w:after="0"/>
                    <w:jc w:val="left"/>
                    <w:textAlignment w:val="baseline"/>
                    <w:rPr>
                      <w:rFonts w:eastAsia="Times New Roman"/>
                      <w:noProof/>
                      <w:sz w:val="22"/>
                      <w:lang w:eastAsia="en-IE"/>
                    </w:rPr>
                  </w:pPr>
                  <w:r>
                    <w:rPr>
                      <w:noProof/>
                    </w:rPr>
                    <w:t>Data flow</w:t>
                  </w:r>
                </w:p>
              </w:tc>
            </w:tr>
            <w:tr w:rsidR="00EE499D" w:rsidRPr="006F001C" w14:paraId="0514D8BD" w14:textId="77777777">
              <w:trPr>
                <w:trHeight w:val="2160"/>
              </w:trPr>
              <w:tc>
                <w:tcPr>
                  <w:tcW w:w="2887" w:type="dxa"/>
                  <w:tcBorders>
                    <w:top w:val="single" w:sz="6" w:space="0" w:color="auto"/>
                    <w:left w:val="single" w:sz="6" w:space="0" w:color="auto"/>
                    <w:bottom w:val="single" w:sz="6" w:space="0" w:color="auto"/>
                    <w:right w:val="single" w:sz="6" w:space="0" w:color="auto"/>
                  </w:tcBorders>
                </w:tcPr>
                <w:p w14:paraId="654764CA" w14:textId="77777777" w:rsidR="00EE499D" w:rsidRDefault="00EE499D" w:rsidP="00EE499D">
                  <w:pPr>
                    <w:rPr>
                      <w:noProof/>
                    </w:rPr>
                  </w:pPr>
                  <w:r>
                    <w:rPr>
                      <w:noProof/>
                    </w:rPr>
                    <w:t>Article 113</w:t>
                  </w:r>
                </w:p>
                <w:p w14:paraId="4EE91CEB" w14:textId="7EF28BDF" w:rsidR="00EE499D" w:rsidRPr="006F001C" w:rsidRDefault="00EE499D" w:rsidP="00EE499D">
                  <w:pPr>
                    <w:spacing w:before="0" w:after="0"/>
                    <w:jc w:val="left"/>
                    <w:textAlignment w:val="baseline"/>
                    <w:rPr>
                      <w:rFonts w:eastAsia="Times New Roman"/>
                      <w:noProof/>
                      <w:sz w:val="22"/>
                      <w:lang w:eastAsia="en-IE"/>
                    </w:rPr>
                  </w:pPr>
                  <w:r>
                    <w:rPr>
                      <w:noProof/>
                    </w:rPr>
                    <w:t>Network for cooperation and support services of the Commission</w:t>
                  </w:r>
                </w:p>
              </w:tc>
              <w:tc>
                <w:tcPr>
                  <w:tcW w:w="4332" w:type="dxa"/>
                  <w:tcBorders>
                    <w:top w:val="single" w:sz="6" w:space="0" w:color="auto"/>
                    <w:left w:val="single" w:sz="6" w:space="0" w:color="auto"/>
                    <w:bottom w:val="single" w:sz="6" w:space="0" w:color="auto"/>
                    <w:right w:val="single" w:sz="6" w:space="0" w:color="auto"/>
                  </w:tcBorders>
                </w:tcPr>
                <w:p w14:paraId="39ECD8D5" w14:textId="15891F60" w:rsidR="00EE499D" w:rsidRDefault="00EE499D" w:rsidP="00EE499D">
                  <w:pPr>
                    <w:rPr>
                      <w:noProof/>
                      <w:szCs w:val="24"/>
                    </w:rPr>
                  </w:pPr>
                  <w:r>
                    <w:rPr>
                      <w:noProof/>
                    </w:rPr>
                    <w:t xml:space="preserve">1. </w:t>
                  </w:r>
                  <w:r w:rsidR="001B661E">
                    <w:rPr>
                      <w:noProof/>
                    </w:rPr>
                    <w:t>T</w:t>
                  </w:r>
                  <w:r>
                    <w:rPr>
                      <w:noProof/>
                    </w:rPr>
                    <w:t xml:space="preserve">he Commission shall set up a network for cooperation of competent authorities of Member State and the Commission to serve as a platform for cooperation and exchange of information. The Commission shall provide the administrative support to the network. </w:t>
                  </w:r>
                </w:p>
                <w:p w14:paraId="4E472FBB" w14:textId="77777777" w:rsidR="00EE499D" w:rsidRDefault="00EE499D" w:rsidP="00EE499D">
                  <w:pPr>
                    <w:rPr>
                      <w:noProof/>
                    </w:rPr>
                  </w:pPr>
                  <w:r>
                    <w:rPr>
                      <w:noProof/>
                    </w:rPr>
                    <w:t xml:space="preserve">2. To support Member States in their supervisory tasks, the Commission shall assess whether suppliers that may be affected by specific prohibitions are established in or controlled from third countries posing cybersecurity concerns, designated pursuant to Article 100. For that purpose, the competent authority shall share relevant information with the Commission. </w:t>
                  </w:r>
                </w:p>
                <w:p w14:paraId="1BFEF64C" w14:textId="77777777" w:rsidR="00EE499D" w:rsidRDefault="00EE499D" w:rsidP="00EE499D">
                  <w:pPr>
                    <w:rPr>
                      <w:noProof/>
                    </w:rPr>
                  </w:pPr>
                  <w:r>
                    <w:rPr>
                      <w:noProof/>
                    </w:rPr>
                    <w:t>3. For the purpose of the assessment, the Commission shall be entitled to request the necessary information from the suppliers that may be affected by specific prohibitions that are established in or controlled from third countries designated pursuant to Article 100.</w:t>
                  </w:r>
                </w:p>
                <w:p w14:paraId="1F3B8187" w14:textId="77777777" w:rsidR="00EE499D" w:rsidRDefault="00EE499D" w:rsidP="00EE499D">
                  <w:pPr>
                    <w:rPr>
                      <w:noProof/>
                    </w:rPr>
                  </w:pPr>
                  <w:r>
                    <w:rPr>
                      <w:noProof/>
                    </w:rPr>
                    <w:t>4. When an assessment is completed, the Commission shall share the findings with the competent authorities within the network established pursuant to paragraph 1. The competent authorities shall in due time inform the concerned entities of the type referred to in Annexes I and II to Directive (EU) 2022/2555 of the findings.</w:t>
                  </w:r>
                </w:p>
                <w:p w14:paraId="48E4C932" w14:textId="77777777" w:rsidR="00EE499D" w:rsidRDefault="00EE499D" w:rsidP="00EE499D">
                  <w:pPr>
                    <w:rPr>
                      <w:noProof/>
                    </w:rPr>
                  </w:pPr>
                  <w:r>
                    <w:rPr>
                      <w:noProof/>
                    </w:rPr>
                    <w:t>5. Where a competent authority becomes aware of a supplier which may be affected by specific prohibitions is established in or controlled from third countries posing cybersecurity concerns, and which has not undergone an assessment, it shall inform without undue delay the Commission.</w:t>
                  </w:r>
                </w:p>
                <w:p w14:paraId="600733D8" w14:textId="77777777" w:rsidR="00EE499D" w:rsidRPr="3AF1F4E2" w:rsidRDefault="00EE499D" w:rsidP="00EE499D">
                  <w:pPr>
                    <w:spacing w:before="0" w:after="0"/>
                    <w:textAlignment w:val="baseline"/>
                    <w:rPr>
                      <w:rFonts w:eastAsia="Times New Roman"/>
                      <w:noProof/>
                      <w:szCs w:val="24"/>
                    </w:rPr>
                  </w:pPr>
                </w:p>
              </w:tc>
              <w:tc>
                <w:tcPr>
                  <w:tcW w:w="3015" w:type="dxa"/>
                  <w:tcBorders>
                    <w:top w:val="single" w:sz="6" w:space="0" w:color="auto"/>
                    <w:left w:val="single" w:sz="6" w:space="0" w:color="auto"/>
                    <w:bottom w:val="single" w:sz="6" w:space="0" w:color="auto"/>
                    <w:right w:val="single" w:sz="6" w:space="0" w:color="auto"/>
                  </w:tcBorders>
                </w:tcPr>
                <w:p w14:paraId="0C076300" w14:textId="77777777" w:rsidR="00EE499D" w:rsidRDefault="00EE499D" w:rsidP="00EE499D">
                  <w:pPr>
                    <w:rPr>
                      <w:noProof/>
                    </w:rPr>
                  </w:pPr>
                  <w:r>
                    <w:rPr>
                      <w:noProof/>
                    </w:rPr>
                    <w:t>Commission</w:t>
                  </w:r>
                </w:p>
                <w:p w14:paraId="126DB6B1" w14:textId="77777777" w:rsidR="00EE499D" w:rsidRDefault="00EE499D" w:rsidP="00EE499D">
                  <w:pPr>
                    <w:rPr>
                      <w:noProof/>
                    </w:rPr>
                  </w:pPr>
                  <w:r>
                    <w:rPr>
                      <w:noProof/>
                    </w:rPr>
                    <w:t>Competent authorities</w:t>
                  </w:r>
                </w:p>
                <w:p w14:paraId="0F5CC275" w14:textId="48856EEE" w:rsidR="00EE499D" w:rsidRPr="006F001C" w:rsidRDefault="001B661E" w:rsidP="00EE499D">
                  <w:pPr>
                    <w:spacing w:before="0" w:after="0"/>
                    <w:jc w:val="left"/>
                    <w:textAlignment w:val="baseline"/>
                    <w:rPr>
                      <w:rFonts w:eastAsia="Times New Roman"/>
                      <w:noProof/>
                      <w:sz w:val="22"/>
                      <w:lang w:eastAsia="en-IE"/>
                    </w:rPr>
                  </w:pPr>
                  <w:r>
                    <w:rPr>
                      <w:noProof/>
                    </w:rPr>
                    <w:t>E</w:t>
                  </w:r>
                  <w:r w:rsidR="00EE499D">
                    <w:rPr>
                      <w:noProof/>
                    </w:rPr>
                    <w:t>ntities of the type referred to in Annexes I and II to Directive (EU) 2022/2555</w:t>
                  </w:r>
                </w:p>
              </w:tc>
              <w:tc>
                <w:tcPr>
                  <w:tcW w:w="3040" w:type="dxa"/>
                  <w:tcBorders>
                    <w:top w:val="single" w:sz="6" w:space="0" w:color="auto"/>
                    <w:left w:val="single" w:sz="6" w:space="0" w:color="auto"/>
                    <w:bottom w:val="single" w:sz="6" w:space="0" w:color="auto"/>
                    <w:right w:val="single" w:sz="6" w:space="0" w:color="auto"/>
                  </w:tcBorders>
                </w:tcPr>
                <w:p w14:paraId="0EA6E4D8" w14:textId="77777777" w:rsidR="00EE499D" w:rsidRDefault="00EE499D" w:rsidP="00EE499D">
                  <w:pPr>
                    <w:rPr>
                      <w:noProof/>
                    </w:rPr>
                  </w:pPr>
                  <w:r>
                    <w:rPr>
                      <w:noProof/>
                    </w:rPr>
                    <w:t>Commission assessing suppliers and sharing with competent authorities that share with entities of the type referred to in Annexes I and II to Directive (EU) 2022/2555</w:t>
                  </w:r>
                </w:p>
                <w:p w14:paraId="33A5F109" w14:textId="77777777" w:rsidR="00EE499D" w:rsidRDefault="00EE499D" w:rsidP="00EE499D">
                  <w:pPr>
                    <w:rPr>
                      <w:noProof/>
                    </w:rPr>
                  </w:pPr>
                  <w:r>
                    <w:rPr>
                      <w:noProof/>
                    </w:rPr>
                    <w:t>Commission requesting information from suppliers</w:t>
                  </w:r>
                </w:p>
                <w:p w14:paraId="749CC5F0" w14:textId="001CB373" w:rsidR="00EE499D" w:rsidRPr="006F001C" w:rsidRDefault="00EE499D" w:rsidP="00EE499D">
                  <w:pPr>
                    <w:spacing w:before="0" w:after="0"/>
                    <w:jc w:val="left"/>
                    <w:textAlignment w:val="baseline"/>
                    <w:rPr>
                      <w:rFonts w:eastAsia="Times New Roman"/>
                      <w:noProof/>
                      <w:sz w:val="22"/>
                      <w:lang w:eastAsia="en-IE"/>
                    </w:rPr>
                  </w:pPr>
                  <w:r>
                    <w:rPr>
                      <w:noProof/>
                    </w:rPr>
                    <w:t>Competent authorities informing the Commission</w:t>
                  </w:r>
                </w:p>
              </w:tc>
              <w:tc>
                <w:tcPr>
                  <w:tcW w:w="1281" w:type="dxa"/>
                  <w:tcBorders>
                    <w:top w:val="single" w:sz="6" w:space="0" w:color="auto"/>
                    <w:left w:val="single" w:sz="6" w:space="0" w:color="auto"/>
                    <w:bottom w:val="single" w:sz="6" w:space="0" w:color="auto"/>
                    <w:right w:val="single" w:sz="6" w:space="0" w:color="auto"/>
                  </w:tcBorders>
                </w:tcPr>
                <w:p w14:paraId="681CF9B3" w14:textId="77777777" w:rsidR="00EE499D" w:rsidRDefault="00EE499D" w:rsidP="00EE499D">
                  <w:pPr>
                    <w:rPr>
                      <w:noProof/>
                    </w:rPr>
                  </w:pPr>
                  <w:r>
                    <w:rPr>
                      <w:noProof/>
                    </w:rPr>
                    <w:t>Data processsing</w:t>
                  </w:r>
                </w:p>
                <w:p w14:paraId="3D62744F" w14:textId="3AA42757" w:rsidR="00EE499D" w:rsidRPr="006F001C" w:rsidRDefault="00EE499D" w:rsidP="00EE499D">
                  <w:pPr>
                    <w:spacing w:before="0" w:after="0"/>
                    <w:jc w:val="left"/>
                    <w:textAlignment w:val="baseline"/>
                    <w:rPr>
                      <w:rFonts w:eastAsia="Times New Roman"/>
                      <w:noProof/>
                      <w:sz w:val="22"/>
                      <w:lang w:eastAsia="en-IE"/>
                    </w:rPr>
                  </w:pPr>
                  <w:r>
                    <w:rPr>
                      <w:noProof/>
                    </w:rPr>
                    <w:t>Data flows</w:t>
                  </w:r>
                </w:p>
              </w:tc>
            </w:tr>
            <w:tr w:rsidR="00EE499D" w:rsidRPr="006F001C" w14:paraId="341608CF" w14:textId="77777777">
              <w:trPr>
                <w:trHeight w:val="2160"/>
              </w:trPr>
              <w:tc>
                <w:tcPr>
                  <w:tcW w:w="2887" w:type="dxa"/>
                  <w:tcBorders>
                    <w:top w:val="single" w:sz="6" w:space="0" w:color="auto"/>
                    <w:left w:val="single" w:sz="6" w:space="0" w:color="auto"/>
                    <w:bottom w:val="single" w:sz="6" w:space="0" w:color="auto"/>
                    <w:right w:val="single" w:sz="6" w:space="0" w:color="auto"/>
                  </w:tcBorders>
                </w:tcPr>
                <w:p w14:paraId="4685F844" w14:textId="77777777" w:rsidR="00EE499D" w:rsidRDefault="00EE499D" w:rsidP="00EE499D">
                  <w:pPr>
                    <w:rPr>
                      <w:noProof/>
                    </w:rPr>
                  </w:pPr>
                  <w:r>
                    <w:rPr>
                      <w:noProof/>
                    </w:rPr>
                    <w:t>Article 114</w:t>
                  </w:r>
                </w:p>
                <w:p w14:paraId="097836C8" w14:textId="1C92235E" w:rsidR="00EE499D" w:rsidRPr="006F001C" w:rsidRDefault="00EE499D" w:rsidP="00EE499D">
                  <w:pPr>
                    <w:spacing w:before="0" w:after="0"/>
                    <w:jc w:val="left"/>
                    <w:textAlignment w:val="baseline"/>
                    <w:rPr>
                      <w:rFonts w:eastAsia="Times New Roman"/>
                      <w:noProof/>
                      <w:sz w:val="22"/>
                      <w:lang w:eastAsia="en-IE"/>
                    </w:rPr>
                  </w:pPr>
                  <w:r>
                    <w:rPr>
                      <w:noProof/>
                    </w:rPr>
                    <w:t>Supervisory and enforcement measures</w:t>
                  </w:r>
                </w:p>
              </w:tc>
              <w:tc>
                <w:tcPr>
                  <w:tcW w:w="4332" w:type="dxa"/>
                  <w:tcBorders>
                    <w:top w:val="single" w:sz="6" w:space="0" w:color="auto"/>
                    <w:left w:val="single" w:sz="6" w:space="0" w:color="auto"/>
                    <w:bottom w:val="single" w:sz="6" w:space="0" w:color="auto"/>
                    <w:right w:val="single" w:sz="6" w:space="0" w:color="auto"/>
                  </w:tcBorders>
                </w:tcPr>
                <w:p w14:paraId="2D639EBF" w14:textId="77777777" w:rsidR="00EE499D" w:rsidRDefault="00EE499D" w:rsidP="00EE499D">
                  <w:pPr>
                    <w:rPr>
                      <w:noProof/>
                    </w:rPr>
                  </w:pPr>
                  <w:r>
                    <w:rPr>
                      <w:noProof/>
                    </w:rPr>
                    <w:t>Requirements to Member States that will ensure flow of information with the</w:t>
                  </w:r>
                  <w:r w:rsidRPr="00916279">
                    <w:rPr>
                      <w:noProof/>
                    </w:rPr>
                    <w:t xml:space="preserve"> entities referred to in Annex I and II of Directive (EU) 2022/2555</w:t>
                  </w:r>
                  <w:r>
                    <w:rPr>
                      <w:noProof/>
                    </w:rPr>
                    <w:t>. competent authorities.</w:t>
                  </w:r>
                </w:p>
                <w:p w14:paraId="61CDD7CE" w14:textId="77777777" w:rsidR="00EE499D" w:rsidRDefault="00EE499D" w:rsidP="00EE499D">
                  <w:pPr>
                    <w:rPr>
                      <w:noProof/>
                    </w:rPr>
                  </w:pPr>
                  <w:r>
                    <w:rPr>
                      <w:noProof/>
                    </w:rPr>
                    <w:t xml:space="preserve">Before adopting measures, the competent authorities shall notify the entities concerned of their preliminary findings. </w:t>
                  </w:r>
                </w:p>
                <w:p w14:paraId="63DA4F13" w14:textId="30DCF28C" w:rsidR="00EE499D" w:rsidRPr="3AF1F4E2" w:rsidRDefault="00EE499D" w:rsidP="00EE499D">
                  <w:pPr>
                    <w:spacing w:before="0" w:after="0"/>
                    <w:textAlignment w:val="baseline"/>
                    <w:rPr>
                      <w:rFonts w:eastAsia="Times New Roman"/>
                      <w:noProof/>
                      <w:szCs w:val="24"/>
                    </w:rPr>
                  </w:pPr>
                  <w:r>
                    <w:rPr>
                      <w:noProof/>
                    </w:rPr>
                    <w:t xml:space="preserve">The competent authorities shall cooperate with each other and with the Commission. </w:t>
                  </w:r>
                </w:p>
              </w:tc>
              <w:tc>
                <w:tcPr>
                  <w:tcW w:w="3015" w:type="dxa"/>
                  <w:tcBorders>
                    <w:top w:val="single" w:sz="6" w:space="0" w:color="auto"/>
                    <w:left w:val="single" w:sz="6" w:space="0" w:color="auto"/>
                    <w:bottom w:val="single" w:sz="6" w:space="0" w:color="auto"/>
                    <w:right w:val="single" w:sz="6" w:space="0" w:color="auto"/>
                  </w:tcBorders>
                </w:tcPr>
                <w:p w14:paraId="2751B03D" w14:textId="77777777" w:rsidR="00EE499D" w:rsidRDefault="00EE499D" w:rsidP="00EE499D">
                  <w:pPr>
                    <w:rPr>
                      <w:noProof/>
                    </w:rPr>
                  </w:pPr>
                  <w:r>
                    <w:rPr>
                      <w:noProof/>
                    </w:rPr>
                    <w:t>EU Member States</w:t>
                  </w:r>
                </w:p>
                <w:p w14:paraId="03E2E3AA" w14:textId="77777777" w:rsidR="00EE499D" w:rsidRDefault="00EE499D" w:rsidP="00EE499D">
                  <w:pPr>
                    <w:rPr>
                      <w:noProof/>
                    </w:rPr>
                  </w:pPr>
                  <w:r>
                    <w:rPr>
                      <w:noProof/>
                    </w:rPr>
                    <w:t>EU Commission</w:t>
                  </w:r>
                </w:p>
                <w:p w14:paraId="32449985" w14:textId="77777777" w:rsidR="00EE499D" w:rsidRDefault="00EE499D" w:rsidP="00EE499D">
                  <w:pPr>
                    <w:rPr>
                      <w:noProof/>
                    </w:rPr>
                  </w:pPr>
                  <w:r>
                    <w:rPr>
                      <w:noProof/>
                    </w:rPr>
                    <w:t xml:space="preserve">Entities within the context of </w:t>
                  </w:r>
                  <w:r w:rsidRPr="00916279">
                    <w:rPr>
                      <w:noProof/>
                    </w:rPr>
                    <w:t>Annex I and II of Directive (EU) 2022/2555</w:t>
                  </w:r>
                </w:p>
                <w:p w14:paraId="4918837D" w14:textId="77777777" w:rsidR="00EE499D" w:rsidRPr="006F001C" w:rsidRDefault="00EE499D" w:rsidP="00EE499D">
                  <w:pPr>
                    <w:spacing w:before="0" w:after="0"/>
                    <w:jc w:val="left"/>
                    <w:textAlignment w:val="baseline"/>
                    <w:rPr>
                      <w:rFonts w:eastAsia="Times New Roman"/>
                      <w:noProof/>
                      <w:sz w:val="22"/>
                      <w:lang w:eastAsia="en-IE"/>
                    </w:rPr>
                  </w:pPr>
                </w:p>
              </w:tc>
              <w:tc>
                <w:tcPr>
                  <w:tcW w:w="3040" w:type="dxa"/>
                  <w:tcBorders>
                    <w:top w:val="single" w:sz="6" w:space="0" w:color="auto"/>
                    <w:left w:val="single" w:sz="6" w:space="0" w:color="auto"/>
                    <w:bottom w:val="single" w:sz="6" w:space="0" w:color="auto"/>
                    <w:right w:val="single" w:sz="6" w:space="0" w:color="auto"/>
                  </w:tcBorders>
                </w:tcPr>
                <w:p w14:paraId="4C79285A" w14:textId="0CC255F7" w:rsidR="00EE499D" w:rsidRPr="006F001C" w:rsidRDefault="00EE499D" w:rsidP="00EE499D">
                  <w:pPr>
                    <w:spacing w:before="0" w:after="0"/>
                    <w:jc w:val="left"/>
                    <w:textAlignment w:val="baseline"/>
                    <w:rPr>
                      <w:rFonts w:eastAsia="Times New Roman"/>
                      <w:noProof/>
                      <w:sz w:val="22"/>
                      <w:lang w:eastAsia="en-IE"/>
                    </w:rPr>
                  </w:pPr>
                  <w:r>
                    <w:rPr>
                      <w:noProof/>
                    </w:rPr>
                    <w:t xml:space="preserve">Requirements that ensure flow of information; </w:t>
                  </w:r>
                </w:p>
              </w:tc>
              <w:tc>
                <w:tcPr>
                  <w:tcW w:w="1281" w:type="dxa"/>
                  <w:tcBorders>
                    <w:top w:val="single" w:sz="6" w:space="0" w:color="auto"/>
                    <w:left w:val="single" w:sz="6" w:space="0" w:color="auto"/>
                    <w:bottom w:val="single" w:sz="6" w:space="0" w:color="auto"/>
                    <w:right w:val="single" w:sz="6" w:space="0" w:color="auto"/>
                  </w:tcBorders>
                </w:tcPr>
                <w:p w14:paraId="1668A59F" w14:textId="77777777" w:rsidR="00EE499D" w:rsidRDefault="00EE499D" w:rsidP="00EE499D">
                  <w:pPr>
                    <w:rPr>
                      <w:noProof/>
                    </w:rPr>
                  </w:pPr>
                  <w:r>
                    <w:rPr>
                      <w:noProof/>
                    </w:rPr>
                    <w:t>Data flow</w:t>
                  </w:r>
                </w:p>
                <w:p w14:paraId="5F0DEBA5" w14:textId="47A683C7" w:rsidR="00EE499D" w:rsidRPr="006F001C" w:rsidRDefault="00EE499D" w:rsidP="00EE499D">
                  <w:pPr>
                    <w:spacing w:before="0" w:after="0"/>
                    <w:jc w:val="left"/>
                    <w:textAlignment w:val="baseline"/>
                    <w:rPr>
                      <w:rFonts w:eastAsia="Times New Roman"/>
                      <w:noProof/>
                      <w:sz w:val="22"/>
                      <w:lang w:eastAsia="en-IE"/>
                    </w:rPr>
                  </w:pPr>
                  <w:r>
                    <w:rPr>
                      <w:noProof/>
                    </w:rPr>
                    <w:t xml:space="preserve">Data processing </w:t>
                  </w:r>
                </w:p>
              </w:tc>
            </w:tr>
            <w:tr w:rsidR="00EE499D" w:rsidRPr="006F001C" w14:paraId="67C44205" w14:textId="77777777">
              <w:trPr>
                <w:trHeight w:val="2160"/>
              </w:trPr>
              <w:tc>
                <w:tcPr>
                  <w:tcW w:w="2887" w:type="dxa"/>
                  <w:tcBorders>
                    <w:top w:val="single" w:sz="6" w:space="0" w:color="auto"/>
                    <w:left w:val="single" w:sz="6" w:space="0" w:color="auto"/>
                    <w:bottom w:val="single" w:sz="6" w:space="0" w:color="auto"/>
                    <w:right w:val="single" w:sz="6" w:space="0" w:color="auto"/>
                  </w:tcBorders>
                </w:tcPr>
                <w:p w14:paraId="5A1A39EA" w14:textId="77777777" w:rsidR="00EE499D" w:rsidRDefault="00EE499D" w:rsidP="00EE499D">
                  <w:pPr>
                    <w:rPr>
                      <w:noProof/>
                    </w:rPr>
                  </w:pPr>
                  <w:r>
                    <w:rPr>
                      <w:noProof/>
                    </w:rPr>
                    <w:t>Article 115</w:t>
                  </w:r>
                </w:p>
                <w:p w14:paraId="21FD9D1B" w14:textId="3B2CB0EE" w:rsidR="00EE499D" w:rsidRPr="006F001C" w:rsidRDefault="00EE499D" w:rsidP="00EE499D">
                  <w:pPr>
                    <w:spacing w:before="0" w:after="0"/>
                    <w:jc w:val="left"/>
                    <w:textAlignment w:val="baseline"/>
                    <w:rPr>
                      <w:rFonts w:eastAsia="Times New Roman"/>
                      <w:noProof/>
                      <w:sz w:val="22"/>
                      <w:lang w:eastAsia="en-IE"/>
                    </w:rPr>
                  </w:pPr>
                  <w:r>
                    <w:rPr>
                      <w:noProof/>
                    </w:rPr>
                    <w:t>Penalties</w:t>
                  </w:r>
                </w:p>
              </w:tc>
              <w:tc>
                <w:tcPr>
                  <w:tcW w:w="4332" w:type="dxa"/>
                  <w:tcBorders>
                    <w:top w:val="single" w:sz="6" w:space="0" w:color="auto"/>
                    <w:left w:val="single" w:sz="6" w:space="0" w:color="auto"/>
                    <w:bottom w:val="single" w:sz="6" w:space="0" w:color="auto"/>
                    <w:right w:val="single" w:sz="6" w:space="0" w:color="auto"/>
                  </w:tcBorders>
                </w:tcPr>
                <w:p w14:paraId="1980CA16" w14:textId="3C8C7C05" w:rsidR="00EE499D" w:rsidRPr="3AF1F4E2" w:rsidRDefault="00EE499D" w:rsidP="00EE499D">
                  <w:pPr>
                    <w:spacing w:before="0" w:after="0"/>
                    <w:textAlignment w:val="baseline"/>
                    <w:rPr>
                      <w:rFonts w:eastAsia="Times New Roman"/>
                      <w:noProof/>
                      <w:szCs w:val="24"/>
                    </w:rPr>
                  </w:pPr>
                  <w:r>
                    <w:rPr>
                      <w:noProof/>
                    </w:rPr>
                    <w:t>Member States shall notify the Commission of those rules and of those measures and shall notify it, without delay, of any subsequent amendments affecting them.</w:t>
                  </w:r>
                </w:p>
              </w:tc>
              <w:tc>
                <w:tcPr>
                  <w:tcW w:w="3015" w:type="dxa"/>
                  <w:tcBorders>
                    <w:top w:val="single" w:sz="6" w:space="0" w:color="auto"/>
                    <w:left w:val="single" w:sz="6" w:space="0" w:color="auto"/>
                    <w:bottom w:val="single" w:sz="6" w:space="0" w:color="auto"/>
                    <w:right w:val="single" w:sz="6" w:space="0" w:color="auto"/>
                  </w:tcBorders>
                </w:tcPr>
                <w:p w14:paraId="747E9252" w14:textId="77777777" w:rsidR="00EE499D" w:rsidRPr="006F273B" w:rsidRDefault="00EE499D" w:rsidP="00EE499D">
                  <w:pPr>
                    <w:rPr>
                      <w:noProof/>
                      <w:lang w:val="fr-FR"/>
                    </w:rPr>
                  </w:pPr>
                  <w:r w:rsidRPr="006F273B">
                    <w:rPr>
                      <w:noProof/>
                      <w:lang w:val="fr-FR"/>
                    </w:rPr>
                    <w:t>EU Commission</w:t>
                  </w:r>
                </w:p>
                <w:p w14:paraId="7CD56716" w14:textId="36C05112" w:rsidR="00EE499D" w:rsidRPr="00EE499D" w:rsidRDefault="00EE499D" w:rsidP="00EE499D">
                  <w:pPr>
                    <w:spacing w:before="0" w:after="0"/>
                    <w:jc w:val="left"/>
                    <w:textAlignment w:val="baseline"/>
                    <w:rPr>
                      <w:rFonts w:eastAsia="Times New Roman"/>
                      <w:noProof/>
                      <w:sz w:val="22"/>
                      <w:lang w:val="fr-FR" w:eastAsia="en-IE"/>
                    </w:rPr>
                  </w:pPr>
                  <w:r w:rsidRPr="006F273B">
                    <w:rPr>
                      <w:noProof/>
                      <w:lang w:val="fr-FR"/>
                    </w:rPr>
                    <w:t>EU Member States</w:t>
                  </w:r>
                </w:p>
              </w:tc>
              <w:tc>
                <w:tcPr>
                  <w:tcW w:w="3040" w:type="dxa"/>
                  <w:tcBorders>
                    <w:top w:val="single" w:sz="6" w:space="0" w:color="auto"/>
                    <w:left w:val="single" w:sz="6" w:space="0" w:color="auto"/>
                    <w:bottom w:val="single" w:sz="6" w:space="0" w:color="auto"/>
                    <w:right w:val="single" w:sz="6" w:space="0" w:color="auto"/>
                  </w:tcBorders>
                </w:tcPr>
                <w:p w14:paraId="21E0A091" w14:textId="0AF2EDFE" w:rsidR="00EE499D" w:rsidRPr="006F001C" w:rsidRDefault="00EE499D" w:rsidP="00EE499D">
                  <w:pPr>
                    <w:spacing w:before="0" w:after="0"/>
                    <w:jc w:val="left"/>
                    <w:textAlignment w:val="baseline"/>
                    <w:rPr>
                      <w:rFonts w:eastAsia="Times New Roman"/>
                      <w:noProof/>
                      <w:sz w:val="22"/>
                      <w:lang w:eastAsia="en-IE"/>
                    </w:rPr>
                  </w:pPr>
                  <w:r>
                    <w:rPr>
                      <w:noProof/>
                    </w:rPr>
                    <w:t>Member States notifying the Commission</w:t>
                  </w:r>
                </w:p>
              </w:tc>
              <w:tc>
                <w:tcPr>
                  <w:tcW w:w="1281" w:type="dxa"/>
                  <w:tcBorders>
                    <w:top w:val="single" w:sz="6" w:space="0" w:color="auto"/>
                    <w:left w:val="single" w:sz="6" w:space="0" w:color="auto"/>
                    <w:bottom w:val="single" w:sz="6" w:space="0" w:color="auto"/>
                    <w:right w:val="single" w:sz="6" w:space="0" w:color="auto"/>
                  </w:tcBorders>
                </w:tcPr>
                <w:p w14:paraId="417CB1F8" w14:textId="24A0E392" w:rsidR="00EE499D" w:rsidRPr="006F001C" w:rsidRDefault="00EE499D" w:rsidP="00EE499D">
                  <w:pPr>
                    <w:spacing w:before="0" w:after="0"/>
                    <w:jc w:val="left"/>
                    <w:textAlignment w:val="baseline"/>
                    <w:rPr>
                      <w:rFonts w:eastAsia="Times New Roman"/>
                      <w:noProof/>
                      <w:sz w:val="22"/>
                      <w:lang w:eastAsia="en-IE"/>
                    </w:rPr>
                  </w:pPr>
                  <w:r>
                    <w:rPr>
                      <w:noProof/>
                    </w:rPr>
                    <w:t>Data flow</w:t>
                  </w:r>
                </w:p>
              </w:tc>
            </w:tr>
            <w:tr w:rsidR="00EE499D" w:rsidRPr="006F001C" w14:paraId="1B7092B4" w14:textId="77777777">
              <w:trPr>
                <w:trHeight w:val="2160"/>
              </w:trPr>
              <w:tc>
                <w:tcPr>
                  <w:tcW w:w="2887" w:type="dxa"/>
                  <w:tcBorders>
                    <w:top w:val="single" w:sz="6" w:space="0" w:color="auto"/>
                    <w:left w:val="single" w:sz="6" w:space="0" w:color="auto"/>
                    <w:bottom w:val="single" w:sz="6" w:space="0" w:color="auto"/>
                    <w:right w:val="single" w:sz="6" w:space="0" w:color="auto"/>
                  </w:tcBorders>
                </w:tcPr>
                <w:p w14:paraId="4B4717A7" w14:textId="77777777" w:rsidR="00EE499D" w:rsidRDefault="00EE499D" w:rsidP="00EE499D">
                  <w:pPr>
                    <w:rPr>
                      <w:noProof/>
                    </w:rPr>
                  </w:pPr>
                  <w:r>
                    <w:rPr>
                      <w:noProof/>
                    </w:rPr>
                    <w:t xml:space="preserve">Article 116 </w:t>
                  </w:r>
                </w:p>
                <w:p w14:paraId="69C884D8" w14:textId="016343AE" w:rsidR="00EE499D" w:rsidRPr="006F001C" w:rsidRDefault="00EE499D" w:rsidP="00EE499D">
                  <w:pPr>
                    <w:spacing w:before="0" w:after="0"/>
                    <w:jc w:val="left"/>
                    <w:textAlignment w:val="baseline"/>
                    <w:rPr>
                      <w:rFonts w:eastAsia="Times New Roman"/>
                      <w:noProof/>
                      <w:sz w:val="22"/>
                      <w:lang w:eastAsia="en-IE"/>
                    </w:rPr>
                  </w:pPr>
                  <w:r>
                    <w:rPr>
                      <w:noProof/>
                    </w:rPr>
                    <w:t>Mutual assistance</w:t>
                  </w:r>
                </w:p>
              </w:tc>
              <w:tc>
                <w:tcPr>
                  <w:tcW w:w="4332" w:type="dxa"/>
                  <w:tcBorders>
                    <w:top w:val="single" w:sz="6" w:space="0" w:color="auto"/>
                    <w:left w:val="single" w:sz="6" w:space="0" w:color="auto"/>
                    <w:bottom w:val="single" w:sz="6" w:space="0" w:color="auto"/>
                    <w:right w:val="single" w:sz="6" w:space="0" w:color="auto"/>
                  </w:tcBorders>
                </w:tcPr>
                <w:p w14:paraId="58280DCD" w14:textId="77777777" w:rsidR="00EE499D" w:rsidRDefault="00EE499D" w:rsidP="00EE499D">
                  <w:pPr>
                    <w:rPr>
                      <w:noProof/>
                    </w:rPr>
                  </w:pPr>
                  <w:r w:rsidRPr="00310BA6">
                    <w:rPr>
                      <w:noProof/>
                    </w:rPr>
                    <w:t xml:space="preserve">Where an entity referred to Annex I or II of Directive (EU) 2022/2555 provides services in more than one Member State or provides services in one or more Member States and its key assets are located in one or more other Member States, </w:t>
                  </w:r>
                  <w:r w:rsidRPr="00310BA6">
                    <w:rPr>
                      <w:b/>
                      <w:bCs/>
                      <w:noProof/>
                    </w:rPr>
                    <w:t>the competent authorities of the Member States concerned shall cooperate with and assist each other as necessary</w:t>
                  </w:r>
                  <w:r w:rsidRPr="00310BA6">
                    <w:rPr>
                      <w:noProof/>
                    </w:rPr>
                    <w:t>.</w:t>
                  </w:r>
                </w:p>
                <w:p w14:paraId="13A65608" w14:textId="77777777" w:rsidR="00EE499D" w:rsidRDefault="00EE499D" w:rsidP="00EE499D">
                  <w:pPr>
                    <w:rPr>
                      <w:noProof/>
                    </w:rPr>
                  </w:pPr>
                  <w:r>
                    <w:rPr>
                      <w:noProof/>
                    </w:rPr>
                    <w:t>The mutual assistance referred to in the first subparagraph, point (c), may cover information requests and supervisory measures, including requests to carry out on-site inspections or off-site supervision or targeted security audits. A competent authority to which a request for assistance is addressed shall not refuse that request unless it is established that it does not have the competence to provide the requested assistance, the requested assistance is not proportionate to the supervisory tasks of the competent authority, or the request concerns information or entails activities which, if disclosed or carried out, would be contrary to the essential interests of the Member State’s national security, public security or defence. Before refusing such a request, the competent authority shall consult the other competent authorities concerned as well as, upon the request of one of the Member States concerned, the Commission.</w:t>
                  </w:r>
                </w:p>
                <w:p w14:paraId="6F3F26B4" w14:textId="77777777" w:rsidR="00EE499D" w:rsidRDefault="00EE499D" w:rsidP="00EE499D">
                  <w:pPr>
                    <w:rPr>
                      <w:noProof/>
                    </w:rPr>
                  </w:pPr>
                  <w:r>
                    <w:rPr>
                      <w:noProof/>
                    </w:rPr>
                    <w:t>Where appropriate and with common agreement, the competent authorities of various Member States may carry out joint supervisory actions.</w:t>
                  </w:r>
                </w:p>
                <w:p w14:paraId="4C9D452F" w14:textId="77777777" w:rsidR="00EE499D" w:rsidRPr="3AF1F4E2" w:rsidRDefault="00EE499D" w:rsidP="00EE499D">
                  <w:pPr>
                    <w:spacing w:before="0" w:after="0"/>
                    <w:textAlignment w:val="baseline"/>
                    <w:rPr>
                      <w:rFonts w:eastAsia="Times New Roman"/>
                      <w:noProof/>
                      <w:szCs w:val="24"/>
                    </w:rPr>
                  </w:pPr>
                </w:p>
              </w:tc>
              <w:tc>
                <w:tcPr>
                  <w:tcW w:w="3015" w:type="dxa"/>
                  <w:tcBorders>
                    <w:top w:val="single" w:sz="6" w:space="0" w:color="auto"/>
                    <w:left w:val="single" w:sz="6" w:space="0" w:color="auto"/>
                    <w:bottom w:val="single" w:sz="6" w:space="0" w:color="auto"/>
                    <w:right w:val="single" w:sz="6" w:space="0" w:color="auto"/>
                  </w:tcBorders>
                </w:tcPr>
                <w:p w14:paraId="64BCB143" w14:textId="77777777" w:rsidR="00EE499D" w:rsidRDefault="00EE499D" w:rsidP="00EE499D">
                  <w:pPr>
                    <w:rPr>
                      <w:noProof/>
                    </w:rPr>
                  </w:pPr>
                  <w:r>
                    <w:rPr>
                      <w:noProof/>
                    </w:rPr>
                    <w:t xml:space="preserve">EU Member States </w:t>
                  </w:r>
                </w:p>
                <w:p w14:paraId="4873F96F" w14:textId="77777777" w:rsidR="00EE499D" w:rsidRPr="006F001C" w:rsidRDefault="00EE499D" w:rsidP="00EE499D">
                  <w:pPr>
                    <w:spacing w:before="0" w:after="0"/>
                    <w:jc w:val="left"/>
                    <w:textAlignment w:val="baseline"/>
                    <w:rPr>
                      <w:rFonts w:eastAsia="Times New Roman"/>
                      <w:noProof/>
                      <w:sz w:val="22"/>
                      <w:lang w:eastAsia="en-IE"/>
                    </w:rPr>
                  </w:pPr>
                </w:p>
              </w:tc>
              <w:tc>
                <w:tcPr>
                  <w:tcW w:w="3040" w:type="dxa"/>
                  <w:tcBorders>
                    <w:top w:val="single" w:sz="6" w:space="0" w:color="auto"/>
                    <w:left w:val="single" w:sz="6" w:space="0" w:color="auto"/>
                    <w:bottom w:val="single" w:sz="6" w:space="0" w:color="auto"/>
                    <w:right w:val="single" w:sz="6" w:space="0" w:color="auto"/>
                  </w:tcBorders>
                </w:tcPr>
                <w:p w14:paraId="2434FD9A" w14:textId="35E94A81" w:rsidR="00EE499D" w:rsidRPr="006F001C" w:rsidRDefault="00EE499D" w:rsidP="00EE499D">
                  <w:pPr>
                    <w:spacing w:before="0" w:after="0"/>
                    <w:jc w:val="left"/>
                    <w:textAlignment w:val="baseline"/>
                    <w:rPr>
                      <w:rFonts w:eastAsia="Times New Roman"/>
                      <w:noProof/>
                      <w:sz w:val="22"/>
                      <w:lang w:eastAsia="en-IE"/>
                    </w:rPr>
                  </w:pPr>
                  <w:r>
                    <w:rPr>
                      <w:noProof/>
                    </w:rPr>
                    <w:t>Mutual assistance in supervision actions.</w:t>
                  </w:r>
                </w:p>
              </w:tc>
              <w:tc>
                <w:tcPr>
                  <w:tcW w:w="1281" w:type="dxa"/>
                  <w:tcBorders>
                    <w:top w:val="single" w:sz="6" w:space="0" w:color="auto"/>
                    <w:left w:val="single" w:sz="6" w:space="0" w:color="auto"/>
                    <w:bottom w:val="single" w:sz="6" w:space="0" w:color="auto"/>
                    <w:right w:val="single" w:sz="6" w:space="0" w:color="auto"/>
                  </w:tcBorders>
                </w:tcPr>
                <w:p w14:paraId="51DC17AB" w14:textId="77777777" w:rsidR="00EE499D" w:rsidRDefault="00EE499D" w:rsidP="00EE499D">
                  <w:pPr>
                    <w:rPr>
                      <w:noProof/>
                    </w:rPr>
                  </w:pPr>
                  <w:r>
                    <w:rPr>
                      <w:noProof/>
                    </w:rPr>
                    <w:t>Data flow</w:t>
                  </w:r>
                </w:p>
                <w:p w14:paraId="0384EF0A" w14:textId="77777777" w:rsidR="00EE499D" w:rsidRDefault="00EE499D" w:rsidP="00EE499D">
                  <w:pPr>
                    <w:rPr>
                      <w:noProof/>
                    </w:rPr>
                  </w:pPr>
                  <w:r>
                    <w:rPr>
                      <w:noProof/>
                    </w:rPr>
                    <w:t>Data processing</w:t>
                  </w:r>
                </w:p>
                <w:p w14:paraId="1FF1D477" w14:textId="77777777" w:rsidR="00EE499D" w:rsidRPr="006F001C" w:rsidRDefault="00EE499D" w:rsidP="00EE499D">
                  <w:pPr>
                    <w:spacing w:before="0" w:after="0"/>
                    <w:jc w:val="left"/>
                    <w:textAlignment w:val="baseline"/>
                    <w:rPr>
                      <w:rFonts w:eastAsia="Times New Roman"/>
                      <w:noProof/>
                      <w:sz w:val="22"/>
                      <w:lang w:eastAsia="en-IE"/>
                    </w:rPr>
                  </w:pPr>
                </w:p>
              </w:tc>
            </w:tr>
            <w:tr w:rsidR="007A5304" w:rsidRPr="006F001C" w14:paraId="2FE6DF8C" w14:textId="77777777">
              <w:trPr>
                <w:trHeight w:val="2160"/>
              </w:trPr>
              <w:tc>
                <w:tcPr>
                  <w:tcW w:w="2887" w:type="dxa"/>
                  <w:tcBorders>
                    <w:top w:val="single" w:sz="6" w:space="0" w:color="auto"/>
                    <w:left w:val="single" w:sz="6" w:space="0" w:color="auto"/>
                    <w:bottom w:val="single" w:sz="6" w:space="0" w:color="auto"/>
                    <w:right w:val="single" w:sz="6" w:space="0" w:color="auto"/>
                  </w:tcBorders>
                  <w:hideMark/>
                </w:tcPr>
                <w:p w14:paraId="265A2D41"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 xml:space="preserve">Article 1, point </w:t>
                  </w:r>
                  <w:r w:rsidRPr="3AF1F4E2">
                    <w:rPr>
                      <w:rFonts w:eastAsia="Times New Roman"/>
                      <w:noProof/>
                      <w:sz w:val="22"/>
                      <w:lang w:eastAsia="en-IE"/>
                    </w:rPr>
                    <w:t>8, Directive</w:t>
                  </w:r>
                  <w:r w:rsidRPr="006F001C">
                    <w:rPr>
                      <w:rFonts w:eastAsia="Times New Roman"/>
                      <w:noProof/>
                      <w:sz w:val="22"/>
                      <w:lang w:val="en-IE" w:eastAsia="en-IE"/>
                    </w:rPr>
                    <w:t> </w:t>
                  </w:r>
                </w:p>
                <w:p w14:paraId="6C86E057"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Reporting of ransomware attacks</w:t>
                  </w:r>
                  <w:r w:rsidRPr="006F001C">
                    <w:rPr>
                      <w:rFonts w:eastAsia="Times New Roman"/>
                      <w:noProof/>
                      <w:sz w:val="22"/>
                      <w:lang w:val="en-IE" w:eastAsia="en-IE"/>
                    </w:rPr>
                    <w:t> </w:t>
                  </w:r>
                </w:p>
                <w:p w14:paraId="0D595F9F"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(Article 27.13 NIS2)  </w:t>
                  </w:r>
                  <w:r w:rsidRPr="006F001C">
                    <w:rPr>
                      <w:rFonts w:eastAsia="Times New Roman"/>
                      <w:noProof/>
                      <w:sz w:val="22"/>
                      <w:lang w:val="en-IE" w:eastAsia="en-IE"/>
                    </w:rPr>
                    <w:t> </w:t>
                  </w:r>
                </w:p>
              </w:tc>
              <w:tc>
                <w:tcPr>
                  <w:tcW w:w="4332" w:type="dxa"/>
                  <w:tcBorders>
                    <w:top w:val="single" w:sz="6" w:space="0" w:color="auto"/>
                    <w:left w:val="single" w:sz="6" w:space="0" w:color="auto"/>
                    <w:bottom w:val="single" w:sz="6" w:space="0" w:color="auto"/>
                    <w:right w:val="single" w:sz="6" w:space="0" w:color="auto"/>
                  </w:tcBorders>
                  <w:hideMark/>
                </w:tcPr>
                <w:p w14:paraId="38B60D89"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3AF1F4E2">
                    <w:rPr>
                      <w:rFonts w:eastAsia="Times New Roman"/>
                      <w:noProof/>
                      <w:szCs w:val="24"/>
                    </w:rPr>
                    <w:t>in Article 23 the following paragraphs 12 and 13 are added</w:t>
                  </w:r>
                  <w:r w:rsidRPr="006F001C">
                    <w:rPr>
                      <w:rFonts w:eastAsia="Times New Roman"/>
                      <w:noProof/>
                      <w:sz w:val="22"/>
                      <w:lang w:eastAsia="en-IE"/>
                    </w:rPr>
                    <w:t>: </w:t>
                  </w:r>
                </w:p>
                <w:p w14:paraId="3B321224"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3AF1F4E2">
                    <w:rPr>
                      <w:rFonts w:eastAsia="Times New Roman"/>
                      <w:noProof/>
                      <w:sz w:val="22"/>
                      <w:lang w:eastAsia="en-IE"/>
                    </w:rPr>
                    <w:t>'13. Member States shall ensure that in case of a significant incident caused by a ransomware attack, the entities concerned inform, upon request of the CSIRT or, where applicable, the competent authority via a communication channel provided by the CSIRT or, where applicable, the competent authority:</w:t>
                  </w:r>
                </w:p>
                <w:p w14:paraId="0AEED2F6" w14:textId="77777777" w:rsidR="007A5304" w:rsidRPr="006F001C" w:rsidRDefault="007A5304">
                  <w:pPr>
                    <w:spacing w:before="0" w:after="0"/>
                    <w:textAlignment w:val="baseline"/>
                    <w:rPr>
                      <w:noProof/>
                    </w:rPr>
                  </w:pPr>
                  <w:r w:rsidRPr="3AF1F4E2">
                    <w:rPr>
                      <w:rFonts w:eastAsia="Times New Roman"/>
                      <w:noProof/>
                      <w:sz w:val="22"/>
                      <w:lang w:eastAsia="en-IE"/>
                    </w:rPr>
                    <w:t>if the entity has received a ransom demand and, where applicable, by whom;</w:t>
                  </w:r>
                </w:p>
                <w:p w14:paraId="071FDFB8"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3AF1F4E2">
                    <w:rPr>
                      <w:rFonts w:eastAsia="Times New Roman"/>
                      <w:noProof/>
                      <w:sz w:val="22"/>
                      <w:lang w:eastAsia="en-IE"/>
                    </w:rPr>
                    <w:t>if a ransom was paid and if yes, what amount in what means of payment and to which recipient or receiving end, including the crypto-asset and crypto-asset service provider, where applicable.’</w:t>
                  </w:r>
                  <w:r w:rsidRPr="006F001C">
                    <w:rPr>
                      <w:rFonts w:eastAsia="Times New Roman"/>
                      <w:noProof/>
                      <w:sz w:val="22"/>
                      <w:lang w:val="en-IE" w:eastAsia="en-IE"/>
                    </w:rPr>
                    <w:t> </w:t>
                  </w:r>
                </w:p>
              </w:tc>
              <w:tc>
                <w:tcPr>
                  <w:tcW w:w="3015" w:type="dxa"/>
                  <w:tcBorders>
                    <w:top w:val="single" w:sz="6" w:space="0" w:color="auto"/>
                    <w:left w:val="single" w:sz="6" w:space="0" w:color="auto"/>
                    <w:bottom w:val="single" w:sz="6" w:space="0" w:color="auto"/>
                    <w:right w:val="single" w:sz="6" w:space="0" w:color="auto"/>
                  </w:tcBorders>
                  <w:hideMark/>
                </w:tcPr>
                <w:p w14:paraId="6CD639BB"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EU Member States</w:t>
                  </w:r>
                  <w:r w:rsidRPr="006F001C">
                    <w:rPr>
                      <w:rFonts w:eastAsia="Times New Roman"/>
                      <w:noProof/>
                      <w:sz w:val="22"/>
                      <w:lang w:val="en-IE" w:eastAsia="en-IE"/>
                    </w:rPr>
                    <w:t> </w:t>
                  </w:r>
                </w:p>
                <w:p w14:paraId="7171BB5C"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Essential and important entities</w:t>
                  </w:r>
                  <w:r w:rsidRPr="006F001C">
                    <w:rPr>
                      <w:rFonts w:eastAsia="Times New Roman"/>
                      <w:noProof/>
                      <w:sz w:val="22"/>
                      <w:lang w:val="en-IE" w:eastAsia="en-IE"/>
                    </w:rPr>
                    <w:t> </w:t>
                  </w:r>
                </w:p>
              </w:tc>
              <w:tc>
                <w:tcPr>
                  <w:tcW w:w="3040" w:type="dxa"/>
                  <w:tcBorders>
                    <w:top w:val="single" w:sz="6" w:space="0" w:color="auto"/>
                    <w:left w:val="single" w:sz="6" w:space="0" w:color="auto"/>
                    <w:bottom w:val="single" w:sz="6" w:space="0" w:color="auto"/>
                    <w:right w:val="single" w:sz="6" w:space="0" w:color="auto"/>
                  </w:tcBorders>
                  <w:hideMark/>
                </w:tcPr>
                <w:p w14:paraId="332D9F26"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Reporting</w:t>
                  </w:r>
                  <w:r w:rsidRPr="006F001C">
                    <w:rPr>
                      <w:rFonts w:eastAsia="Times New Roman"/>
                      <w:noProof/>
                      <w:sz w:val="22"/>
                      <w:lang w:val="en-IE" w:eastAsia="en-IE"/>
                    </w:rPr>
                    <w:t> </w:t>
                  </w:r>
                </w:p>
              </w:tc>
              <w:tc>
                <w:tcPr>
                  <w:tcW w:w="1281" w:type="dxa"/>
                  <w:tcBorders>
                    <w:top w:val="single" w:sz="6" w:space="0" w:color="auto"/>
                    <w:left w:val="single" w:sz="6" w:space="0" w:color="auto"/>
                    <w:bottom w:val="single" w:sz="6" w:space="0" w:color="auto"/>
                    <w:right w:val="single" w:sz="6" w:space="0" w:color="auto"/>
                  </w:tcBorders>
                  <w:hideMark/>
                </w:tcPr>
                <w:p w14:paraId="783F4FD7"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flow</w:t>
                  </w:r>
                  <w:r w:rsidRPr="006F001C">
                    <w:rPr>
                      <w:rFonts w:eastAsia="Times New Roman"/>
                      <w:noProof/>
                      <w:sz w:val="22"/>
                      <w:lang w:val="en-IE" w:eastAsia="en-IE"/>
                    </w:rPr>
                    <w:t> </w:t>
                  </w:r>
                </w:p>
              </w:tc>
            </w:tr>
            <w:tr w:rsidR="007A5304" w:rsidRPr="006F001C" w14:paraId="1F5104B6" w14:textId="77777777">
              <w:trPr>
                <w:trHeight w:val="2160"/>
              </w:trPr>
              <w:tc>
                <w:tcPr>
                  <w:tcW w:w="2887" w:type="dxa"/>
                  <w:tcBorders>
                    <w:top w:val="single" w:sz="6" w:space="0" w:color="auto"/>
                    <w:left w:val="single" w:sz="6" w:space="0" w:color="auto"/>
                    <w:bottom w:val="single" w:sz="6" w:space="0" w:color="auto"/>
                    <w:right w:val="single" w:sz="6" w:space="0" w:color="auto"/>
                  </w:tcBorders>
                  <w:hideMark/>
                </w:tcPr>
                <w:p w14:paraId="471ABBD3" w14:textId="77777777" w:rsidR="007A5304" w:rsidRPr="00291CE2"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Article 1, point 10</w:t>
                  </w:r>
                  <w:r w:rsidRPr="2C66EC19">
                    <w:rPr>
                      <w:rFonts w:eastAsia="Times New Roman"/>
                      <w:noProof/>
                      <w:sz w:val="22"/>
                      <w:lang w:eastAsia="en-IE"/>
                    </w:rPr>
                    <w:t>,</w:t>
                  </w:r>
                  <w:r w:rsidRPr="2C66EC19">
                    <w:rPr>
                      <w:rFonts w:eastAsia="Times New Roman"/>
                      <w:noProof/>
                      <w:sz w:val="22"/>
                      <w:lang w:val="en-IE" w:eastAsia="en-IE"/>
                    </w:rPr>
                    <w:t> </w:t>
                  </w:r>
                  <w:r w:rsidRPr="00291CE2">
                    <w:rPr>
                      <w:rFonts w:eastAsia="Times New Roman"/>
                      <w:noProof/>
                      <w:sz w:val="22"/>
                      <w:lang w:val="en-IE" w:eastAsia="en-IE"/>
                    </w:rPr>
                    <w:t>Directive </w:t>
                  </w:r>
                </w:p>
                <w:p w14:paraId="67A46FCE"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List of entities and registry</w:t>
                  </w:r>
                  <w:r w:rsidRPr="006F001C">
                    <w:rPr>
                      <w:rFonts w:eastAsia="Times New Roman"/>
                      <w:noProof/>
                      <w:sz w:val="22"/>
                      <w:lang w:val="en-IE" w:eastAsia="en-IE"/>
                    </w:rPr>
                    <w:t> </w:t>
                  </w:r>
                </w:p>
                <w:p w14:paraId="2A623017"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(Article 27.1 NIS2)  </w:t>
                  </w:r>
                  <w:r w:rsidRPr="006F001C">
                    <w:rPr>
                      <w:rFonts w:eastAsia="Times New Roman"/>
                      <w:noProof/>
                      <w:sz w:val="22"/>
                      <w:lang w:val="en-IE" w:eastAsia="en-IE"/>
                    </w:rPr>
                    <w:t> </w:t>
                  </w:r>
                </w:p>
              </w:tc>
              <w:tc>
                <w:tcPr>
                  <w:tcW w:w="4332" w:type="dxa"/>
                  <w:tcBorders>
                    <w:top w:val="single" w:sz="6" w:space="0" w:color="auto"/>
                    <w:left w:val="single" w:sz="6" w:space="0" w:color="auto"/>
                    <w:bottom w:val="single" w:sz="6" w:space="0" w:color="auto"/>
                    <w:right w:val="single" w:sz="6" w:space="0" w:color="auto"/>
                  </w:tcBorders>
                  <w:hideMark/>
                </w:tcPr>
                <w:p w14:paraId="13DBBEAC"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b/>
                      <w:bCs/>
                      <w:noProof/>
                      <w:sz w:val="22"/>
                      <w:lang w:eastAsia="en-IE"/>
                    </w:rPr>
                    <w:t>ENISA shall create and maintain a registry of essential and important entities</w:t>
                  </w:r>
                  <w:r w:rsidRPr="006F001C">
                    <w:rPr>
                      <w:rFonts w:eastAsia="Times New Roman"/>
                      <w:noProof/>
                      <w:sz w:val="22"/>
                      <w:lang w:eastAsia="en-IE"/>
                    </w:rPr>
                    <w:t> </w:t>
                  </w:r>
                  <w:r w:rsidRPr="006F001C">
                    <w:rPr>
                      <w:rFonts w:eastAsia="Times New Roman"/>
                      <w:b/>
                      <w:bCs/>
                      <w:noProof/>
                      <w:sz w:val="22"/>
                      <w:lang w:eastAsia="en-IE"/>
                    </w:rPr>
                    <w:t>as well as entities providing domain name registration services, on the basis of the information received from the single points of contact in accordance with paragraph 2</w:t>
                  </w:r>
                  <w:r w:rsidRPr="006F001C">
                    <w:rPr>
                      <w:rFonts w:eastAsia="Times New Roman"/>
                      <w:noProof/>
                      <w:sz w:val="22"/>
                      <w:lang w:eastAsia="en-IE"/>
                    </w:rPr>
                    <w:t>.</w:t>
                  </w:r>
                  <w:r w:rsidRPr="006F001C">
                    <w:rPr>
                      <w:rFonts w:eastAsia="Times New Roman"/>
                      <w:b/>
                      <w:bCs/>
                      <w:noProof/>
                      <w:sz w:val="22"/>
                      <w:lang w:eastAsia="en-IE"/>
                    </w:rPr>
                    <w:t> </w:t>
                  </w:r>
                  <w:r w:rsidRPr="006F001C">
                    <w:rPr>
                      <w:rFonts w:eastAsia="Times New Roman"/>
                      <w:noProof/>
                      <w:sz w:val="22"/>
                      <w:lang w:val="en-IE" w:eastAsia="en-IE"/>
                    </w:rPr>
                    <w:t> </w:t>
                  </w:r>
                </w:p>
              </w:tc>
              <w:tc>
                <w:tcPr>
                  <w:tcW w:w="3015" w:type="dxa"/>
                  <w:tcBorders>
                    <w:top w:val="single" w:sz="6" w:space="0" w:color="auto"/>
                    <w:left w:val="single" w:sz="6" w:space="0" w:color="auto"/>
                    <w:bottom w:val="single" w:sz="6" w:space="0" w:color="auto"/>
                    <w:right w:val="single" w:sz="6" w:space="0" w:color="auto"/>
                  </w:tcBorders>
                  <w:hideMark/>
                </w:tcPr>
                <w:p w14:paraId="702E7791"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ENISA</w:t>
                  </w:r>
                  <w:r w:rsidRPr="006F001C">
                    <w:rPr>
                      <w:rFonts w:eastAsia="Times New Roman"/>
                      <w:noProof/>
                      <w:sz w:val="22"/>
                      <w:lang w:val="en-IE" w:eastAsia="en-IE"/>
                    </w:rPr>
                    <w:t> </w:t>
                  </w:r>
                </w:p>
                <w:p w14:paraId="41ADE086"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EU Member States (essential and important entities under NIS2, entities providing domain name registration services)</w:t>
                  </w:r>
                  <w:r w:rsidRPr="006F001C">
                    <w:rPr>
                      <w:rFonts w:eastAsia="Times New Roman"/>
                      <w:noProof/>
                      <w:sz w:val="22"/>
                      <w:lang w:val="en-IE" w:eastAsia="en-IE"/>
                    </w:rPr>
                    <w:t> </w:t>
                  </w:r>
                </w:p>
              </w:tc>
              <w:tc>
                <w:tcPr>
                  <w:tcW w:w="3040" w:type="dxa"/>
                  <w:tcBorders>
                    <w:top w:val="single" w:sz="6" w:space="0" w:color="auto"/>
                    <w:left w:val="single" w:sz="6" w:space="0" w:color="auto"/>
                    <w:bottom w:val="single" w:sz="6" w:space="0" w:color="auto"/>
                    <w:right w:val="single" w:sz="6" w:space="0" w:color="auto"/>
                  </w:tcBorders>
                  <w:hideMark/>
                </w:tcPr>
                <w:p w14:paraId="468B4F6B"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ENISA shall create and maintain a registry</w:t>
                  </w:r>
                  <w:r w:rsidRPr="006F001C">
                    <w:rPr>
                      <w:rFonts w:eastAsia="Times New Roman"/>
                      <w:noProof/>
                      <w:sz w:val="22"/>
                      <w:lang w:val="en-IE" w:eastAsia="en-IE"/>
                    </w:rPr>
                    <w:t> </w:t>
                  </w:r>
                </w:p>
              </w:tc>
              <w:tc>
                <w:tcPr>
                  <w:tcW w:w="1281" w:type="dxa"/>
                  <w:tcBorders>
                    <w:top w:val="single" w:sz="6" w:space="0" w:color="auto"/>
                    <w:left w:val="single" w:sz="6" w:space="0" w:color="auto"/>
                    <w:bottom w:val="single" w:sz="6" w:space="0" w:color="auto"/>
                    <w:right w:val="single" w:sz="6" w:space="0" w:color="auto"/>
                  </w:tcBorders>
                  <w:hideMark/>
                </w:tcPr>
                <w:p w14:paraId="6972946F"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Digital Solution</w:t>
                  </w:r>
                  <w:r w:rsidRPr="006F001C">
                    <w:rPr>
                      <w:rFonts w:eastAsia="Times New Roman"/>
                      <w:noProof/>
                      <w:sz w:val="22"/>
                      <w:lang w:val="en-IE" w:eastAsia="en-IE"/>
                    </w:rPr>
                    <w:t> </w:t>
                  </w:r>
                </w:p>
                <w:p w14:paraId="6BB55AFC"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Digital public service</w:t>
                  </w:r>
                  <w:r w:rsidRPr="006F001C">
                    <w:rPr>
                      <w:rFonts w:eastAsia="Times New Roman"/>
                      <w:noProof/>
                      <w:sz w:val="22"/>
                      <w:lang w:val="en-IE" w:eastAsia="en-IE"/>
                    </w:rPr>
                    <w:t> </w:t>
                  </w:r>
                </w:p>
                <w:p w14:paraId="27706EA2"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val="en-IE" w:eastAsia="en-IE"/>
                    </w:rPr>
                    <w:t> </w:t>
                  </w:r>
                </w:p>
              </w:tc>
            </w:tr>
            <w:tr w:rsidR="007A5304" w:rsidRPr="006F001C" w14:paraId="3A1D0B48" w14:textId="77777777">
              <w:trPr>
                <w:trHeight w:val="1845"/>
              </w:trPr>
              <w:tc>
                <w:tcPr>
                  <w:tcW w:w="2887" w:type="dxa"/>
                  <w:tcBorders>
                    <w:top w:val="single" w:sz="6" w:space="0" w:color="auto"/>
                    <w:left w:val="single" w:sz="6" w:space="0" w:color="auto"/>
                    <w:bottom w:val="single" w:sz="6" w:space="0" w:color="auto"/>
                    <w:right w:val="single" w:sz="6" w:space="0" w:color="auto"/>
                  </w:tcBorders>
                  <w:hideMark/>
                </w:tcPr>
                <w:p w14:paraId="022E7504" w14:textId="77777777" w:rsidR="007A5304" w:rsidRPr="00291CE2"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 xml:space="preserve">Article 1, point </w:t>
                  </w:r>
                  <w:r w:rsidRPr="7D771F20">
                    <w:rPr>
                      <w:rFonts w:eastAsia="Times New Roman"/>
                      <w:noProof/>
                      <w:sz w:val="22"/>
                      <w:lang w:eastAsia="en-IE"/>
                    </w:rPr>
                    <w:t>11, </w:t>
                  </w:r>
                  <w:r w:rsidRPr="00291CE2">
                    <w:rPr>
                      <w:rFonts w:eastAsia="Times New Roman"/>
                      <w:noProof/>
                      <w:sz w:val="22"/>
                      <w:lang w:val="en-IE" w:eastAsia="en-IE"/>
                    </w:rPr>
                    <w:t>Directive </w:t>
                  </w:r>
                </w:p>
                <w:p w14:paraId="4B4BC516"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List of entities and registry</w:t>
                  </w:r>
                  <w:r w:rsidRPr="006F001C">
                    <w:rPr>
                      <w:rFonts w:eastAsia="Times New Roman"/>
                      <w:noProof/>
                      <w:sz w:val="22"/>
                      <w:lang w:val="en-IE" w:eastAsia="en-IE"/>
                    </w:rPr>
                    <w:t> </w:t>
                  </w:r>
                </w:p>
                <w:p w14:paraId="34D4C466"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(Article 27.4 NIS2)</w:t>
                  </w:r>
                  <w:r w:rsidRPr="006F001C">
                    <w:rPr>
                      <w:rFonts w:eastAsia="Times New Roman"/>
                      <w:noProof/>
                      <w:sz w:val="22"/>
                      <w:lang w:val="en-IE" w:eastAsia="en-IE"/>
                    </w:rPr>
                    <w:t> </w:t>
                  </w:r>
                </w:p>
              </w:tc>
              <w:tc>
                <w:tcPr>
                  <w:tcW w:w="4332" w:type="dxa"/>
                  <w:tcBorders>
                    <w:top w:val="single" w:sz="6" w:space="0" w:color="auto"/>
                    <w:left w:val="single" w:sz="6" w:space="0" w:color="auto"/>
                    <w:bottom w:val="single" w:sz="6" w:space="0" w:color="auto"/>
                    <w:right w:val="single" w:sz="6" w:space="0" w:color="auto"/>
                  </w:tcBorders>
                  <w:hideMark/>
                </w:tcPr>
                <w:p w14:paraId="617F3AA5"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1D6BFB80">
                    <w:rPr>
                      <w:rFonts w:eastAsia="Times New Roman"/>
                      <w:b/>
                      <w:bCs/>
                      <w:noProof/>
                      <w:sz w:val="22"/>
                      <w:lang w:eastAsia="en-IE"/>
                    </w:rPr>
                    <w:t>‘4.</w:t>
                  </w:r>
                  <w:r w:rsidRPr="006F001C">
                    <w:rPr>
                      <w:rFonts w:eastAsia="Times New Roman"/>
                      <w:b/>
                      <w:bCs/>
                      <w:noProof/>
                      <w:sz w:val="22"/>
                      <w:lang w:eastAsia="en-IE"/>
                    </w:rPr>
                    <w:t xml:space="preserve"> Upon receipt of the information referred to in Article 3 (4), the single point of contact of the Member State concerned shall, without undue delay, forward it to ENISA.’</w:t>
                  </w:r>
                  <w:r w:rsidRPr="006F001C">
                    <w:rPr>
                      <w:rFonts w:eastAsia="Times New Roman"/>
                      <w:noProof/>
                      <w:sz w:val="22"/>
                      <w:lang w:val="en-IE" w:eastAsia="en-IE"/>
                    </w:rPr>
                    <w:t> </w:t>
                  </w:r>
                </w:p>
              </w:tc>
              <w:tc>
                <w:tcPr>
                  <w:tcW w:w="3015" w:type="dxa"/>
                  <w:tcBorders>
                    <w:top w:val="single" w:sz="6" w:space="0" w:color="auto"/>
                    <w:left w:val="single" w:sz="6" w:space="0" w:color="auto"/>
                    <w:bottom w:val="single" w:sz="6" w:space="0" w:color="auto"/>
                    <w:right w:val="single" w:sz="6" w:space="0" w:color="auto"/>
                  </w:tcBorders>
                  <w:hideMark/>
                </w:tcPr>
                <w:p w14:paraId="68F9B19E"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ENISA</w:t>
                  </w:r>
                  <w:r w:rsidRPr="006F001C">
                    <w:rPr>
                      <w:rFonts w:eastAsia="Times New Roman"/>
                      <w:noProof/>
                      <w:sz w:val="22"/>
                      <w:lang w:val="en-IE" w:eastAsia="en-IE"/>
                    </w:rPr>
                    <w:t> </w:t>
                  </w:r>
                </w:p>
                <w:p w14:paraId="4E1FE6E5"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EU Member States</w:t>
                  </w:r>
                  <w:r w:rsidRPr="006F001C">
                    <w:rPr>
                      <w:rFonts w:eastAsia="Times New Roman"/>
                      <w:noProof/>
                      <w:sz w:val="22"/>
                      <w:lang w:val="en-IE" w:eastAsia="en-IE"/>
                    </w:rPr>
                    <w:t> </w:t>
                  </w:r>
                </w:p>
              </w:tc>
              <w:tc>
                <w:tcPr>
                  <w:tcW w:w="3040" w:type="dxa"/>
                  <w:tcBorders>
                    <w:top w:val="single" w:sz="6" w:space="0" w:color="auto"/>
                    <w:left w:val="single" w:sz="6" w:space="0" w:color="auto"/>
                    <w:bottom w:val="single" w:sz="6" w:space="0" w:color="auto"/>
                    <w:right w:val="single" w:sz="6" w:space="0" w:color="auto"/>
                  </w:tcBorders>
                  <w:hideMark/>
                </w:tcPr>
                <w:p w14:paraId="38E9B9A1"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Member States sharing information with ENISA</w:t>
                  </w:r>
                  <w:r w:rsidRPr="006F001C">
                    <w:rPr>
                      <w:rFonts w:eastAsia="Times New Roman"/>
                      <w:noProof/>
                      <w:sz w:val="22"/>
                      <w:lang w:val="en-IE" w:eastAsia="en-IE"/>
                    </w:rPr>
                    <w:t> </w:t>
                  </w:r>
                </w:p>
              </w:tc>
              <w:tc>
                <w:tcPr>
                  <w:tcW w:w="1281" w:type="dxa"/>
                  <w:tcBorders>
                    <w:top w:val="single" w:sz="6" w:space="0" w:color="auto"/>
                    <w:left w:val="single" w:sz="6" w:space="0" w:color="auto"/>
                    <w:bottom w:val="single" w:sz="6" w:space="0" w:color="auto"/>
                    <w:right w:val="single" w:sz="6" w:space="0" w:color="auto"/>
                  </w:tcBorders>
                  <w:hideMark/>
                </w:tcPr>
                <w:p w14:paraId="7983388A"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flow</w:t>
                  </w:r>
                  <w:r w:rsidRPr="006F001C">
                    <w:rPr>
                      <w:rFonts w:eastAsia="Times New Roman"/>
                      <w:noProof/>
                      <w:sz w:val="22"/>
                      <w:lang w:val="en-IE" w:eastAsia="en-IE"/>
                    </w:rPr>
                    <w:t> </w:t>
                  </w:r>
                </w:p>
              </w:tc>
            </w:tr>
            <w:tr w:rsidR="007A5304" w:rsidRPr="006F001C" w14:paraId="1314B930" w14:textId="77777777">
              <w:trPr>
                <w:trHeight w:val="465"/>
              </w:trPr>
              <w:tc>
                <w:tcPr>
                  <w:tcW w:w="2887" w:type="dxa"/>
                  <w:tcBorders>
                    <w:top w:val="single" w:sz="6" w:space="0" w:color="auto"/>
                    <w:left w:val="single" w:sz="6" w:space="0" w:color="auto"/>
                    <w:bottom w:val="single" w:sz="6" w:space="0" w:color="auto"/>
                    <w:right w:val="single" w:sz="6" w:space="0" w:color="auto"/>
                  </w:tcBorders>
                  <w:hideMark/>
                </w:tcPr>
                <w:p w14:paraId="07469A75" w14:textId="77777777" w:rsidR="007A5304" w:rsidRPr="006F001C" w:rsidRDefault="007A5304">
                  <w:pPr>
                    <w:spacing w:before="0" w:after="0"/>
                    <w:jc w:val="left"/>
                    <w:textAlignment w:val="baseline"/>
                    <w:rPr>
                      <w:rFonts w:ascii="Segoe UI" w:eastAsia="Times New Roman" w:hAnsi="Segoe UI" w:cs="Segoe UI"/>
                      <w:noProof/>
                      <w:sz w:val="18"/>
                      <w:szCs w:val="18"/>
                      <w:lang w:val="fr-FR" w:eastAsia="en-IE"/>
                    </w:rPr>
                  </w:pPr>
                  <w:r w:rsidRPr="006F001C">
                    <w:rPr>
                      <w:rFonts w:eastAsia="Times New Roman"/>
                      <w:noProof/>
                      <w:sz w:val="22"/>
                      <w:lang w:val="fr-FR" w:eastAsia="en-IE"/>
                    </w:rPr>
                    <w:t xml:space="preserve">Article 1, point </w:t>
                  </w:r>
                  <w:r w:rsidRPr="1D6BFB80">
                    <w:rPr>
                      <w:rFonts w:eastAsia="Times New Roman"/>
                      <w:noProof/>
                      <w:sz w:val="22"/>
                      <w:lang w:val="fr-FR" w:eastAsia="en-IE"/>
                    </w:rPr>
                    <w:t>12, Directive</w:t>
                  </w:r>
                  <w:r w:rsidRPr="006F001C">
                    <w:rPr>
                      <w:rFonts w:eastAsia="Times New Roman"/>
                      <w:noProof/>
                      <w:sz w:val="22"/>
                      <w:lang w:val="fr-FR" w:eastAsia="en-IE"/>
                    </w:rPr>
                    <w:t> </w:t>
                  </w:r>
                </w:p>
                <w:p w14:paraId="3AA0310D" w14:textId="77777777" w:rsidR="007A5304" w:rsidRPr="006F001C" w:rsidRDefault="007A5304">
                  <w:pPr>
                    <w:spacing w:before="0" w:after="0"/>
                    <w:jc w:val="left"/>
                    <w:textAlignment w:val="baseline"/>
                    <w:rPr>
                      <w:rFonts w:ascii="Segoe UI" w:eastAsia="Times New Roman" w:hAnsi="Segoe UI" w:cs="Segoe UI"/>
                      <w:noProof/>
                      <w:sz w:val="18"/>
                      <w:szCs w:val="18"/>
                      <w:lang w:val="fr-FR" w:eastAsia="en-IE"/>
                    </w:rPr>
                  </w:pPr>
                  <w:r w:rsidRPr="006F001C">
                    <w:rPr>
                      <w:rFonts w:eastAsia="Times New Roman"/>
                      <w:noProof/>
                      <w:sz w:val="22"/>
                      <w:lang w:val="fr-FR" w:eastAsia="en-IE"/>
                    </w:rPr>
                    <w:t>Mutual assistance </w:t>
                  </w:r>
                </w:p>
                <w:p w14:paraId="2E86A28E" w14:textId="77777777" w:rsidR="007A5304" w:rsidRPr="006F001C" w:rsidRDefault="007A5304">
                  <w:pPr>
                    <w:spacing w:before="0" w:after="0"/>
                    <w:jc w:val="left"/>
                    <w:textAlignment w:val="baseline"/>
                    <w:rPr>
                      <w:rFonts w:ascii="Segoe UI" w:eastAsia="Times New Roman" w:hAnsi="Segoe UI" w:cs="Segoe UI"/>
                      <w:noProof/>
                      <w:sz w:val="18"/>
                      <w:szCs w:val="18"/>
                      <w:lang w:val="fr-FR" w:eastAsia="en-IE"/>
                    </w:rPr>
                  </w:pPr>
                  <w:r w:rsidRPr="006F001C">
                    <w:rPr>
                      <w:rFonts w:eastAsia="Times New Roman"/>
                      <w:noProof/>
                      <w:sz w:val="22"/>
                      <w:lang w:val="fr-FR" w:eastAsia="en-IE"/>
                    </w:rPr>
                    <w:t>(Article 37a NIS2 (1), (2), (3)) </w:t>
                  </w:r>
                </w:p>
              </w:tc>
              <w:tc>
                <w:tcPr>
                  <w:tcW w:w="4332" w:type="dxa"/>
                  <w:tcBorders>
                    <w:top w:val="single" w:sz="6" w:space="0" w:color="auto"/>
                    <w:left w:val="single" w:sz="6" w:space="0" w:color="auto"/>
                    <w:bottom w:val="single" w:sz="6" w:space="0" w:color="auto"/>
                    <w:right w:val="single" w:sz="6" w:space="0" w:color="auto"/>
                  </w:tcBorders>
                  <w:hideMark/>
                </w:tcPr>
                <w:p w14:paraId="7E16EB76"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b/>
                      <w:bCs/>
                      <w:noProof/>
                      <w:sz w:val="22"/>
                      <w:lang w:eastAsia="en-IE"/>
                    </w:rPr>
                    <w:t>1</w:t>
                  </w:r>
                  <w:r w:rsidRPr="1D6BFB80">
                    <w:rPr>
                      <w:rFonts w:eastAsia="Times New Roman"/>
                      <w:b/>
                      <w:bCs/>
                      <w:noProof/>
                      <w:sz w:val="22"/>
                      <w:lang w:eastAsia="en-IE"/>
                    </w:rPr>
                    <w:t>.</w:t>
                  </w:r>
                  <w:r w:rsidRPr="006F001C">
                    <w:rPr>
                      <w:rFonts w:eastAsia="Times New Roman"/>
                      <w:b/>
                      <w:bCs/>
                      <w:noProof/>
                      <w:sz w:val="22"/>
                      <w:lang w:eastAsia="en-IE"/>
                    </w:rPr>
                    <w:t xml:space="preserve"> ENISA shall assist Member States </w:t>
                  </w:r>
                  <w:r w:rsidRPr="006F001C">
                    <w:rPr>
                      <w:rFonts w:eastAsia="Times New Roman"/>
                      <w:noProof/>
                      <w:sz w:val="22"/>
                      <w:lang w:eastAsia="en-IE"/>
                    </w:rPr>
                    <w:t>in carrying out mutual assistance within the meaning of Article 37 and </w:t>
                  </w:r>
                  <w:r w:rsidRPr="006F001C">
                    <w:rPr>
                      <w:rFonts w:eastAsia="Times New Roman"/>
                      <w:b/>
                      <w:bCs/>
                      <w:noProof/>
                      <w:sz w:val="22"/>
                      <w:lang w:eastAsia="en-IE"/>
                    </w:rPr>
                    <w:t>help facilitate such cooperation processes</w:t>
                  </w:r>
                  <w:r w:rsidRPr="006F001C">
                    <w:rPr>
                      <w:rFonts w:eastAsia="Times New Roman"/>
                      <w:noProof/>
                      <w:sz w:val="22"/>
                      <w:lang w:eastAsia="en-IE"/>
                    </w:rPr>
                    <w:t> for essential and important entities (…).</w:t>
                  </w:r>
                  <w:r w:rsidRPr="006F001C">
                    <w:rPr>
                      <w:rFonts w:eastAsia="Times New Roman"/>
                      <w:noProof/>
                      <w:sz w:val="22"/>
                      <w:lang w:val="en-IE" w:eastAsia="en-IE"/>
                    </w:rPr>
                    <w:t> </w:t>
                  </w:r>
                </w:p>
                <w:p w14:paraId="505411D1"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7D771F20">
                    <w:rPr>
                      <w:rFonts w:eastAsia="Times New Roman"/>
                      <w:noProof/>
                      <w:sz w:val="22"/>
                      <w:lang w:eastAsia="en-IE"/>
                    </w:rPr>
                    <w:t>2.</w:t>
                  </w:r>
                  <w:r w:rsidRPr="006F001C">
                    <w:rPr>
                      <w:rFonts w:eastAsia="Times New Roman"/>
                      <w:noProof/>
                      <w:sz w:val="22"/>
                      <w:lang w:eastAsia="en-IE"/>
                    </w:rPr>
                    <w:t xml:space="preserve"> ENISA shall c</w:t>
                  </w:r>
                  <w:r w:rsidRPr="006F001C">
                    <w:rPr>
                      <w:rFonts w:eastAsia="Times New Roman"/>
                      <w:b/>
                      <w:bCs/>
                      <w:noProof/>
                      <w:sz w:val="22"/>
                      <w:lang w:eastAsia="en-IE"/>
                    </w:rPr>
                    <w:t>onduct a comprehensive analysis</w:t>
                  </w:r>
                  <w:r w:rsidRPr="006F001C">
                    <w:rPr>
                      <w:rFonts w:eastAsia="Times New Roman"/>
                      <w:noProof/>
                      <w:sz w:val="22"/>
                      <w:lang w:eastAsia="en-IE"/>
                    </w:rPr>
                    <w:t> (…) </w:t>
                  </w:r>
                  <w:r w:rsidRPr="006F001C">
                    <w:rPr>
                      <w:rFonts w:eastAsia="Times New Roman"/>
                      <w:b/>
                      <w:bCs/>
                      <w:noProof/>
                      <w:sz w:val="22"/>
                      <w:lang w:eastAsia="en-IE"/>
                    </w:rPr>
                    <w:t>ENISA shall, in cooperation with </w:t>
                  </w:r>
                  <w:r w:rsidRPr="006F001C">
                    <w:rPr>
                      <w:rFonts w:eastAsia="Times New Roman"/>
                      <w:noProof/>
                      <w:sz w:val="22"/>
                      <w:lang w:eastAsia="en-IE"/>
                    </w:rPr>
                    <w:t>the Commission and the Cooperation Group, develop a methodology. The report shall be updated yearly.</w:t>
                  </w:r>
                  <w:r w:rsidRPr="006F001C">
                    <w:rPr>
                      <w:rFonts w:eastAsia="Times New Roman"/>
                      <w:noProof/>
                      <w:sz w:val="22"/>
                      <w:lang w:val="en-IE" w:eastAsia="en-IE"/>
                    </w:rPr>
                    <w:t> </w:t>
                  </w:r>
                </w:p>
                <w:p w14:paraId="443C53D2"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(3</w:t>
                  </w:r>
                  <w:r w:rsidRPr="7D771F20">
                    <w:rPr>
                      <w:rFonts w:eastAsia="Times New Roman"/>
                      <w:noProof/>
                      <w:sz w:val="22"/>
                      <w:lang w:eastAsia="en-IE"/>
                    </w:rPr>
                    <w:t>.)</w:t>
                  </w:r>
                  <w:r w:rsidRPr="006F001C">
                    <w:rPr>
                      <w:rFonts w:eastAsia="Times New Roman"/>
                      <w:b/>
                      <w:bCs/>
                      <w:noProof/>
                      <w:sz w:val="22"/>
                      <w:lang w:eastAsia="en-IE"/>
                    </w:rPr>
                    <w:t> </w:t>
                  </w:r>
                  <w:r w:rsidRPr="006F001C">
                    <w:rPr>
                      <w:rFonts w:eastAsia="Times New Roman"/>
                      <w:noProof/>
                      <w:sz w:val="22"/>
                      <w:lang w:eastAsia="en-IE"/>
                    </w:rPr>
                    <w:t>ENISA shall, where appropriate, recommend; develop guidelines; assist (…)</w:t>
                  </w:r>
                  <w:r w:rsidRPr="006F001C">
                    <w:rPr>
                      <w:rFonts w:eastAsia="Times New Roman"/>
                      <w:b/>
                      <w:bCs/>
                      <w:noProof/>
                      <w:sz w:val="22"/>
                      <w:lang w:eastAsia="en-IE"/>
                    </w:rPr>
                    <w:t> </w:t>
                  </w:r>
                  <w:r w:rsidRPr="006F001C">
                    <w:rPr>
                      <w:rFonts w:eastAsia="Times New Roman"/>
                      <w:noProof/>
                      <w:sz w:val="22"/>
                      <w:lang w:val="en-IE" w:eastAsia="en-IE"/>
                    </w:rPr>
                    <w:t> </w:t>
                  </w:r>
                </w:p>
              </w:tc>
              <w:tc>
                <w:tcPr>
                  <w:tcW w:w="3015" w:type="dxa"/>
                  <w:tcBorders>
                    <w:top w:val="single" w:sz="6" w:space="0" w:color="auto"/>
                    <w:left w:val="single" w:sz="6" w:space="0" w:color="auto"/>
                    <w:bottom w:val="single" w:sz="6" w:space="0" w:color="auto"/>
                    <w:right w:val="single" w:sz="6" w:space="0" w:color="auto"/>
                  </w:tcBorders>
                  <w:hideMark/>
                </w:tcPr>
                <w:p w14:paraId="59687169"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ENISA</w:t>
                  </w:r>
                  <w:r w:rsidRPr="006F001C">
                    <w:rPr>
                      <w:rFonts w:eastAsia="Times New Roman"/>
                      <w:noProof/>
                      <w:sz w:val="22"/>
                      <w:lang w:val="en-IE" w:eastAsia="en-IE"/>
                    </w:rPr>
                    <w:t> </w:t>
                  </w:r>
                </w:p>
                <w:p w14:paraId="16D3A5FC"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EU Member States</w:t>
                  </w:r>
                  <w:r w:rsidRPr="006F001C">
                    <w:rPr>
                      <w:rFonts w:eastAsia="Times New Roman"/>
                      <w:noProof/>
                      <w:sz w:val="22"/>
                      <w:lang w:val="en-IE" w:eastAsia="en-IE"/>
                    </w:rPr>
                    <w:t> </w:t>
                  </w:r>
                </w:p>
                <w:p w14:paraId="50936A0C"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Important and essential entities in the sense of Directive NIS2</w:t>
                  </w:r>
                  <w:r w:rsidRPr="006F001C">
                    <w:rPr>
                      <w:rFonts w:eastAsia="Times New Roman"/>
                      <w:noProof/>
                      <w:sz w:val="22"/>
                      <w:lang w:val="en-IE" w:eastAsia="en-IE"/>
                    </w:rPr>
                    <w:t> </w:t>
                  </w:r>
                </w:p>
                <w:p w14:paraId="42581C5C"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EU Commission</w:t>
                  </w:r>
                  <w:r w:rsidRPr="006F001C">
                    <w:rPr>
                      <w:rFonts w:eastAsia="Times New Roman"/>
                      <w:noProof/>
                      <w:sz w:val="22"/>
                      <w:lang w:val="en-IE" w:eastAsia="en-IE"/>
                    </w:rPr>
                    <w:t> </w:t>
                  </w:r>
                </w:p>
              </w:tc>
              <w:tc>
                <w:tcPr>
                  <w:tcW w:w="3040" w:type="dxa"/>
                  <w:tcBorders>
                    <w:top w:val="single" w:sz="6" w:space="0" w:color="auto"/>
                    <w:left w:val="single" w:sz="6" w:space="0" w:color="auto"/>
                    <w:bottom w:val="single" w:sz="6" w:space="0" w:color="auto"/>
                    <w:right w:val="single" w:sz="6" w:space="0" w:color="auto"/>
                  </w:tcBorders>
                  <w:hideMark/>
                </w:tcPr>
                <w:p w14:paraId="4944D2A2"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ENISA shall assist Member States and help facilitate cooperation process. Conducting analysis, guidelines, methodology, reports.</w:t>
                  </w:r>
                  <w:r w:rsidRPr="006F001C">
                    <w:rPr>
                      <w:rFonts w:eastAsia="Times New Roman"/>
                      <w:noProof/>
                      <w:sz w:val="22"/>
                      <w:lang w:val="en-IE" w:eastAsia="en-IE"/>
                    </w:rPr>
                    <w:t> </w:t>
                  </w:r>
                </w:p>
              </w:tc>
              <w:tc>
                <w:tcPr>
                  <w:tcW w:w="1281" w:type="dxa"/>
                  <w:tcBorders>
                    <w:top w:val="single" w:sz="6" w:space="0" w:color="auto"/>
                    <w:left w:val="single" w:sz="6" w:space="0" w:color="auto"/>
                    <w:bottom w:val="single" w:sz="6" w:space="0" w:color="auto"/>
                    <w:right w:val="single" w:sz="6" w:space="0" w:color="auto"/>
                  </w:tcBorders>
                  <w:hideMark/>
                </w:tcPr>
                <w:p w14:paraId="70516930"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processing</w:t>
                  </w:r>
                  <w:r w:rsidRPr="006F001C">
                    <w:rPr>
                      <w:rFonts w:eastAsia="Times New Roman"/>
                      <w:noProof/>
                      <w:sz w:val="22"/>
                      <w:lang w:val="en-IE" w:eastAsia="en-IE"/>
                    </w:rPr>
                    <w:t> </w:t>
                  </w:r>
                </w:p>
                <w:p w14:paraId="7E3D5C8E"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flow</w:t>
                  </w:r>
                  <w:r w:rsidRPr="006F001C">
                    <w:rPr>
                      <w:rFonts w:eastAsia="Times New Roman"/>
                      <w:noProof/>
                      <w:sz w:val="22"/>
                      <w:lang w:val="en-IE" w:eastAsia="en-IE"/>
                    </w:rPr>
                    <w:t> </w:t>
                  </w:r>
                </w:p>
              </w:tc>
            </w:tr>
            <w:tr w:rsidR="007A5304" w:rsidRPr="006F001C" w14:paraId="438C7C64" w14:textId="77777777">
              <w:trPr>
                <w:trHeight w:val="285"/>
              </w:trPr>
              <w:tc>
                <w:tcPr>
                  <w:tcW w:w="2887" w:type="dxa"/>
                  <w:tcBorders>
                    <w:top w:val="single" w:sz="6" w:space="0" w:color="auto"/>
                    <w:left w:val="single" w:sz="6" w:space="0" w:color="auto"/>
                    <w:bottom w:val="single" w:sz="6" w:space="0" w:color="auto"/>
                    <w:right w:val="single" w:sz="6" w:space="0" w:color="auto"/>
                  </w:tcBorders>
                  <w:hideMark/>
                </w:tcPr>
                <w:p w14:paraId="1D1114D2" w14:textId="77777777" w:rsidR="007A5304" w:rsidRPr="006F001C" w:rsidRDefault="007A5304">
                  <w:pPr>
                    <w:spacing w:before="0" w:after="0"/>
                    <w:jc w:val="left"/>
                    <w:textAlignment w:val="baseline"/>
                    <w:rPr>
                      <w:rFonts w:ascii="Segoe UI" w:eastAsia="Times New Roman" w:hAnsi="Segoe UI" w:cs="Segoe UI"/>
                      <w:noProof/>
                      <w:sz w:val="18"/>
                      <w:szCs w:val="18"/>
                      <w:lang w:val="fr-FR" w:eastAsia="en-IE"/>
                    </w:rPr>
                  </w:pPr>
                  <w:r w:rsidRPr="006F001C">
                    <w:rPr>
                      <w:rFonts w:eastAsia="Times New Roman"/>
                      <w:noProof/>
                      <w:sz w:val="22"/>
                      <w:lang w:val="fr-FR" w:eastAsia="en-IE"/>
                    </w:rPr>
                    <w:t xml:space="preserve">Article 1, point </w:t>
                  </w:r>
                  <w:r w:rsidRPr="1D6BFB80">
                    <w:rPr>
                      <w:rFonts w:eastAsia="Times New Roman"/>
                      <w:noProof/>
                      <w:sz w:val="22"/>
                      <w:lang w:val="fr-FR" w:eastAsia="en-IE"/>
                    </w:rPr>
                    <w:t>12, Directive</w:t>
                  </w:r>
                  <w:r w:rsidRPr="006F001C">
                    <w:rPr>
                      <w:rFonts w:eastAsia="Times New Roman"/>
                      <w:noProof/>
                      <w:sz w:val="22"/>
                      <w:lang w:val="fr-FR" w:eastAsia="en-IE"/>
                    </w:rPr>
                    <w:t> </w:t>
                  </w:r>
                </w:p>
                <w:p w14:paraId="3358807A" w14:textId="77777777" w:rsidR="007A5304" w:rsidRPr="006F001C" w:rsidRDefault="007A5304">
                  <w:pPr>
                    <w:spacing w:before="0" w:after="0"/>
                    <w:jc w:val="left"/>
                    <w:textAlignment w:val="baseline"/>
                    <w:rPr>
                      <w:rFonts w:ascii="Segoe UI" w:eastAsia="Times New Roman" w:hAnsi="Segoe UI" w:cs="Segoe UI"/>
                      <w:noProof/>
                      <w:sz w:val="18"/>
                      <w:szCs w:val="18"/>
                      <w:lang w:val="fr-FR" w:eastAsia="en-IE"/>
                    </w:rPr>
                  </w:pPr>
                  <w:r w:rsidRPr="006F001C">
                    <w:rPr>
                      <w:rFonts w:eastAsia="Times New Roman"/>
                      <w:noProof/>
                      <w:sz w:val="22"/>
                      <w:lang w:val="fr-FR" w:eastAsia="en-IE"/>
                    </w:rPr>
                    <w:t>Mutual assistance </w:t>
                  </w:r>
                </w:p>
                <w:p w14:paraId="65458709" w14:textId="77777777" w:rsidR="007A5304" w:rsidRPr="006F001C" w:rsidRDefault="007A5304">
                  <w:pPr>
                    <w:spacing w:before="0" w:after="0"/>
                    <w:jc w:val="left"/>
                    <w:textAlignment w:val="baseline"/>
                    <w:rPr>
                      <w:rFonts w:ascii="Segoe UI" w:eastAsia="Times New Roman" w:hAnsi="Segoe UI" w:cs="Segoe UI"/>
                      <w:noProof/>
                      <w:sz w:val="18"/>
                      <w:szCs w:val="18"/>
                      <w:lang w:val="fr-FR" w:eastAsia="en-IE"/>
                    </w:rPr>
                  </w:pPr>
                  <w:r w:rsidRPr="006F001C">
                    <w:rPr>
                      <w:rFonts w:eastAsia="Times New Roman"/>
                      <w:noProof/>
                      <w:sz w:val="22"/>
                      <w:lang w:val="fr-FR" w:eastAsia="en-IE"/>
                    </w:rPr>
                    <w:t>(Article 37a NIS2 (4)) </w:t>
                  </w:r>
                </w:p>
              </w:tc>
              <w:tc>
                <w:tcPr>
                  <w:tcW w:w="4332" w:type="dxa"/>
                  <w:tcBorders>
                    <w:top w:val="single" w:sz="6" w:space="0" w:color="auto"/>
                    <w:left w:val="single" w:sz="6" w:space="0" w:color="auto"/>
                    <w:bottom w:val="single" w:sz="6" w:space="0" w:color="auto"/>
                    <w:right w:val="single" w:sz="6" w:space="0" w:color="auto"/>
                  </w:tcBorders>
                  <w:hideMark/>
                </w:tcPr>
                <w:p w14:paraId="375A3F62"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4</w:t>
                  </w:r>
                  <w:r w:rsidRPr="3AF1F4E2">
                    <w:rPr>
                      <w:rFonts w:eastAsia="Times New Roman"/>
                      <w:noProof/>
                      <w:sz w:val="22"/>
                      <w:lang w:eastAsia="en-IE"/>
                    </w:rPr>
                    <w:t>.</w:t>
                  </w:r>
                  <w:r w:rsidRPr="006F001C">
                    <w:rPr>
                      <w:rFonts w:eastAsia="Times New Roman"/>
                      <w:noProof/>
                      <w:sz w:val="22"/>
                      <w:lang w:eastAsia="en-IE"/>
                    </w:rPr>
                    <w:t xml:space="preserve"> For the purpose of paragraph (4) point (e) of this Article, the competent authorities of the </w:t>
                  </w:r>
                  <w:r w:rsidRPr="006F001C">
                    <w:rPr>
                      <w:rFonts w:eastAsia="Times New Roman"/>
                      <w:b/>
                      <w:bCs/>
                      <w:noProof/>
                      <w:sz w:val="22"/>
                      <w:lang w:eastAsia="en-IE"/>
                    </w:rPr>
                    <w:t>Member States concerned shall, where available, provide the following to ENISA</w:t>
                  </w:r>
                  <w:r w:rsidRPr="006F001C">
                    <w:rPr>
                      <w:rFonts w:ascii="Segoe UI Emoji" w:eastAsia="Times New Roman" w:hAnsi="Segoe UI Emoji" w:cs="Segoe UI"/>
                      <w:noProof/>
                      <w:sz w:val="22"/>
                      <w:lang w:eastAsia="en-IE"/>
                    </w:rPr>
                    <w:t> (….).</w:t>
                  </w:r>
                  <w:r w:rsidRPr="006F001C">
                    <w:rPr>
                      <w:rFonts w:eastAsia="Times New Roman"/>
                      <w:noProof/>
                      <w:sz w:val="22"/>
                      <w:lang w:eastAsia="en-IE"/>
                    </w:rPr>
                    <w:t> </w:t>
                  </w:r>
                  <w:r w:rsidRPr="006F001C">
                    <w:rPr>
                      <w:rFonts w:eastAsia="Times New Roman"/>
                      <w:noProof/>
                      <w:sz w:val="22"/>
                      <w:lang w:val="en-IE" w:eastAsia="en-IE"/>
                    </w:rPr>
                    <w:t> </w:t>
                  </w:r>
                </w:p>
                <w:p w14:paraId="1C3E67A6"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5</w:t>
                  </w:r>
                  <w:r w:rsidRPr="3AF1F4E2">
                    <w:rPr>
                      <w:rFonts w:eastAsia="Times New Roman"/>
                      <w:noProof/>
                      <w:sz w:val="22"/>
                      <w:lang w:eastAsia="en-IE"/>
                    </w:rPr>
                    <w:t>.</w:t>
                  </w:r>
                  <w:r w:rsidRPr="006F001C">
                    <w:rPr>
                      <w:rFonts w:eastAsia="Times New Roman"/>
                      <w:noProof/>
                      <w:sz w:val="22"/>
                      <w:lang w:eastAsia="en-IE"/>
                    </w:rPr>
                    <w:t xml:space="preserve"> Where a Member State receives mutual assistance as referred to in Article 37(1), first subparagraph, point (c), </w:t>
                  </w:r>
                  <w:r w:rsidRPr="006F001C">
                    <w:rPr>
                      <w:rFonts w:eastAsia="Times New Roman"/>
                      <w:b/>
                      <w:bCs/>
                      <w:noProof/>
                      <w:sz w:val="22"/>
                      <w:lang w:eastAsia="en-IE"/>
                    </w:rPr>
                    <w:t>the single point of contact shall inform ENISA</w:t>
                  </w:r>
                  <w:r w:rsidRPr="006F001C">
                    <w:rPr>
                      <w:rFonts w:eastAsia="Times New Roman"/>
                      <w:noProof/>
                      <w:sz w:val="22"/>
                      <w:lang w:eastAsia="en-IE"/>
                    </w:rPr>
                    <w:t> that mutual assistance took place. </w:t>
                  </w:r>
                  <w:r w:rsidRPr="006F001C">
                    <w:rPr>
                      <w:rFonts w:eastAsia="Times New Roman"/>
                      <w:noProof/>
                      <w:sz w:val="22"/>
                      <w:lang w:val="en-IE" w:eastAsia="en-IE"/>
                    </w:rPr>
                    <w:t> </w:t>
                  </w:r>
                </w:p>
              </w:tc>
              <w:tc>
                <w:tcPr>
                  <w:tcW w:w="3015" w:type="dxa"/>
                  <w:tcBorders>
                    <w:top w:val="single" w:sz="6" w:space="0" w:color="auto"/>
                    <w:left w:val="single" w:sz="6" w:space="0" w:color="auto"/>
                    <w:bottom w:val="single" w:sz="6" w:space="0" w:color="auto"/>
                    <w:right w:val="single" w:sz="6" w:space="0" w:color="auto"/>
                  </w:tcBorders>
                  <w:hideMark/>
                </w:tcPr>
                <w:p w14:paraId="211B0500"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ENISA</w:t>
                  </w:r>
                  <w:r w:rsidRPr="006F001C">
                    <w:rPr>
                      <w:rFonts w:eastAsia="Times New Roman"/>
                      <w:noProof/>
                      <w:sz w:val="22"/>
                      <w:lang w:val="en-IE" w:eastAsia="en-IE"/>
                    </w:rPr>
                    <w:t> </w:t>
                  </w:r>
                </w:p>
                <w:p w14:paraId="249BA599"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EU Member States</w:t>
                  </w:r>
                  <w:r w:rsidRPr="006F001C">
                    <w:rPr>
                      <w:rFonts w:eastAsia="Times New Roman"/>
                      <w:noProof/>
                      <w:sz w:val="22"/>
                      <w:lang w:val="en-IE" w:eastAsia="en-IE"/>
                    </w:rPr>
                    <w:t> </w:t>
                  </w:r>
                </w:p>
                <w:p w14:paraId="022C94D6"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val="en-IE" w:eastAsia="en-IE"/>
                    </w:rPr>
                    <w:t> </w:t>
                  </w:r>
                </w:p>
              </w:tc>
              <w:tc>
                <w:tcPr>
                  <w:tcW w:w="3040" w:type="dxa"/>
                  <w:tcBorders>
                    <w:top w:val="single" w:sz="6" w:space="0" w:color="auto"/>
                    <w:left w:val="single" w:sz="6" w:space="0" w:color="auto"/>
                    <w:bottom w:val="single" w:sz="6" w:space="0" w:color="auto"/>
                    <w:right w:val="single" w:sz="6" w:space="0" w:color="auto"/>
                  </w:tcBorders>
                  <w:hideMark/>
                </w:tcPr>
                <w:p w14:paraId="03567657"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Information exchange</w:t>
                  </w:r>
                  <w:r w:rsidRPr="006F001C">
                    <w:rPr>
                      <w:rFonts w:eastAsia="Times New Roman"/>
                      <w:noProof/>
                      <w:sz w:val="22"/>
                      <w:lang w:val="en-IE" w:eastAsia="en-IE"/>
                    </w:rPr>
                    <w:t> </w:t>
                  </w:r>
                </w:p>
              </w:tc>
              <w:tc>
                <w:tcPr>
                  <w:tcW w:w="1281" w:type="dxa"/>
                  <w:tcBorders>
                    <w:top w:val="single" w:sz="6" w:space="0" w:color="auto"/>
                    <w:left w:val="single" w:sz="6" w:space="0" w:color="auto"/>
                    <w:bottom w:val="single" w:sz="6" w:space="0" w:color="auto"/>
                    <w:right w:val="single" w:sz="6" w:space="0" w:color="auto"/>
                  </w:tcBorders>
                  <w:hideMark/>
                </w:tcPr>
                <w:p w14:paraId="27069B9C"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flow</w:t>
                  </w:r>
                  <w:r w:rsidRPr="006F001C">
                    <w:rPr>
                      <w:rFonts w:eastAsia="Times New Roman"/>
                      <w:noProof/>
                      <w:sz w:val="22"/>
                      <w:lang w:val="en-IE" w:eastAsia="en-IE"/>
                    </w:rPr>
                    <w:t> </w:t>
                  </w:r>
                </w:p>
              </w:tc>
            </w:tr>
            <w:tr w:rsidR="007A5304" w:rsidRPr="006F001C" w14:paraId="170EA705" w14:textId="77777777">
              <w:trPr>
                <w:trHeight w:val="285"/>
              </w:trPr>
              <w:tc>
                <w:tcPr>
                  <w:tcW w:w="2887" w:type="dxa"/>
                  <w:tcBorders>
                    <w:top w:val="single" w:sz="6" w:space="0" w:color="auto"/>
                    <w:left w:val="single" w:sz="6" w:space="0" w:color="auto"/>
                    <w:bottom w:val="single" w:sz="6" w:space="0" w:color="auto"/>
                    <w:right w:val="single" w:sz="6" w:space="0" w:color="auto"/>
                  </w:tcBorders>
                  <w:hideMark/>
                </w:tcPr>
                <w:p w14:paraId="7F8CD2EA" w14:textId="36FA3F24"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 xml:space="preserve">Article </w:t>
                  </w:r>
                  <w:r>
                    <w:rPr>
                      <w:rFonts w:eastAsia="Times New Roman"/>
                      <w:noProof/>
                      <w:sz w:val="22"/>
                      <w:lang w:eastAsia="en-IE"/>
                    </w:rPr>
                    <w:t>1</w:t>
                  </w:r>
                  <w:r w:rsidR="00947B27">
                    <w:rPr>
                      <w:rFonts w:eastAsia="Times New Roman"/>
                      <w:noProof/>
                      <w:sz w:val="22"/>
                      <w:lang w:eastAsia="en-IE"/>
                    </w:rPr>
                    <w:t>19</w:t>
                  </w:r>
                </w:p>
                <w:p w14:paraId="58846792"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Exercise of the delegation</w:t>
                  </w:r>
                  <w:r w:rsidRPr="006F001C">
                    <w:rPr>
                      <w:rFonts w:eastAsia="Times New Roman"/>
                      <w:noProof/>
                      <w:sz w:val="22"/>
                      <w:lang w:val="en-IE" w:eastAsia="en-IE"/>
                    </w:rPr>
                    <w:t> </w:t>
                  </w:r>
                </w:p>
              </w:tc>
              <w:tc>
                <w:tcPr>
                  <w:tcW w:w="4332" w:type="dxa"/>
                  <w:tcBorders>
                    <w:top w:val="single" w:sz="6" w:space="0" w:color="auto"/>
                    <w:left w:val="single" w:sz="6" w:space="0" w:color="auto"/>
                    <w:bottom w:val="single" w:sz="6" w:space="0" w:color="auto"/>
                    <w:right w:val="single" w:sz="6" w:space="0" w:color="auto"/>
                  </w:tcBorders>
                  <w:hideMark/>
                </w:tcPr>
                <w:p w14:paraId="6A8642F3"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3.</w:t>
                  </w:r>
                  <w:r w:rsidRPr="006F001C">
                    <w:rPr>
                      <w:rFonts w:ascii="Calibri" w:eastAsia="Times New Roman" w:hAnsi="Calibri" w:cs="Calibri"/>
                      <w:noProof/>
                      <w:sz w:val="22"/>
                      <w:lang w:val="en-IE" w:eastAsia="en-IE"/>
                    </w:rPr>
                    <w:tab/>
                  </w:r>
                  <w:r w:rsidRPr="006F001C">
                    <w:rPr>
                      <w:rFonts w:eastAsia="Times New Roman"/>
                      <w:noProof/>
                      <w:sz w:val="22"/>
                      <w:lang w:eastAsia="en-IE"/>
                    </w:rPr>
                    <w:t>As soon as it adopts a delegated act, the Commission shall </w:t>
                  </w:r>
                  <w:r w:rsidRPr="006F001C">
                    <w:rPr>
                      <w:rFonts w:eastAsia="Times New Roman"/>
                      <w:b/>
                      <w:bCs/>
                      <w:noProof/>
                      <w:sz w:val="22"/>
                      <w:lang w:eastAsia="en-IE"/>
                    </w:rPr>
                    <w:t>notify it simultaneously</w:t>
                  </w:r>
                  <w:r w:rsidRPr="006F001C">
                    <w:rPr>
                      <w:rFonts w:eastAsia="Times New Roman"/>
                      <w:noProof/>
                      <w:sz w:val="22"/>
                      <w:lang w:eastAsia="en-IE"/>
                    </w:rPr>
                    <w:t> to the European Parliament and to the Council.</w:t>
                  </w:r>
                  <w:r w:rsidRPr="006F001C">
                    <w:rPr>
                      <w:rFonts w:eastAsia="Times New Roman"/>
                      <w:noProof/>
                      <w:sz w:val="22"/>
                      <w:lang w:val="en-IE" w:eastAsia="en-IE"/>
                    </w:rPr>
                    <w:t> </w:t>
                  </w:r>
                </w:p>
              </w:tc>
              <w:tc>
                <w:tcPr>
                  <w:tcW w:w="3015" w:type="dxa"/>
                  <w:tcBorders>
                    <w:top w:val="single" w:sz="6" w:space="0" w:color="auto"/>
                    <w:left w:val="single" w:sz="6" w:space="0" w:color="auto"/>
                    <w:bottom w:val="single" w:sz="6" w:space="0" w:color="auto"/>
                    <w:right w:val="single" w:sz="6" w:space="0" w:color="auto"/>
                  </w:tcBorders>
                  <w:hideMark/>
                </w:tcPr>
                <w:p w14:paraId="3BC3483B"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EU Commission</w:t>
                  </w:r>
                  <w:r w:rsidRPr="006F001C">
                    <w:rPr>
                      <w:rFonts w:eastAsia="Times New Roman"/>
                      <w:noProof/>
                      <w:sz w:val="22"/>
                      <w:lang w:val="en-IE" w:eastAsia="en-IE"/>
                    </w:rPr>
                    <w:t> </w:t>
                  </w:r>
                </w:p>
                <w:p w14:paraId="4DB6E51C"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European Parliament </w:t>
                  </w:r>
                  <w:r w:rsidRPr="006F001C">
                    <w:rPr>
                      <w:rFonts w:eastAsia="Times New Roman"/>
                      <w:noProof/>
                      <w:sz w:val="22"/>
                      <w:lang w:val="en-IE" w:eastAsia="en-IE"/>
                    </w:rPr>
                    <w:t> </w:t>
                  </w:r>
                </w:p>
                <w:p w14:paraId="7C804FAA"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Council </w:t>
                  </w:r>
                  <w:r w:rsidRPr="006F001C">
                    <w:rPr>
                      <w:rFonts w:eastAsia="Times New Roman"/>
                      <w:noProof/>
                      <w:sz w:val="22"/>
                      <w:lang w:val="en-IE" w:eastAsia="en-IE"/>
                    </w:rPr>
                    <w:t> </w:t>
                  </w:r>
                </w:p>
              </w:tc>
              <w:tc>
                <w:tcPr>
                  <w:tcW w:w="3040" w:type="dxa"/>
                  <w:tcBorders>
                    <w:top w:val="single" w:sz="6" w:space="0" w:color="auto"/>
                    <w:left w:val="single" w:sz="6" w:space="0" w:color="auto"/>
                    <w:bottom w:val="single" w:sz="6" w:space="0" w:color="auto"/>
                    <w:right w:val="single" w:sz="6" w:space="0" w:color="auto"/>
                  </w:tcBorders>
                  <w:hideMark/>
                </w:tcPr>
                <w:p w14:paraId="617D2D8F"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Information sent to EP and Council </w:t>
                  </w:r>
                  <w:r w:rsidRPr="006F001C">
                    <w:rPr>
                      <w:rFonts w:eastAsia="Times New Roman"/>
                      <w:noProof/>
                      <w:sz w:val="22"/>
                      <w:lang w:val="en-IE" w:eastAsia="en-IE"/>
                    </w:rPr>
                    <w:t> </w:t>
                  </w:r>
                </w:p>
              </w:tc>
              <w:tc>
                <w:tcPr>
                  <w:tcW w:w="1281" w:type="dxa"/>
                  <w:tcBorders>
                    <w:top w:val="single" w:sz="6" w:space="0" w:color="auto"/>
                    <w:left w:val="single" w:sz="6" w:space="0" w:color="auto"/>
                    <w:bottom w:val="single" w:sz="6" w:space="0" w:color="auto"/>
                    <w:right w:val="single" w:sz="6" w:space="0" w:color="auto"/>
                  </w:tcBorders>
                  <w:hideMark/>
                </w:tcPr>
                <w:p w14:paraId="1A49AA15"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flow</w:t>
                  </w:r>
                  <w:r w:rsidRPr="006F001C">
                    <w:rPr>
                      <w:rFonts w:eastAsia="Times New Roman"/>
                      <w:noProof/>
                      <w:sz w:val="22"/>
                      <w:lang w:val="en-IE" w:eastAsia="en-IE"/>
                    </w:rPr>
                    <w:t> </w:t>
                  </w:r>
                </w:p>
              </w:tc>
            </w:tr>
            <w:tr w:rsidR="007A5304" w:rsidRPr="006F001C" w14:paraId="13DB7DA0" w14:textId="77777777">
              <w:trPr>
                <w:trHeight w:val="285"/>
              </w:trPr>
              <w:tc>
                <w:tcPr>
                  <w:tcW w:w="2887" w:type="dxa"/>
                  <w:tcBorders>
                    <w:top w:val="single" w:sz="6" w:space="0" w:color="auto"/>
                    <w:left w:val="single" w:sz="6" w:space="0" w:color="auto"/>
                    <w:bottom w:val="single" w:sz="6" w:space="0" w:color="auto"/>
                    <w:right w:val="single" w:sz="6" w:space="0" w:color="auto"/>
                  </w:tcBorders>
                  <w:hideMark/>
                </w:tcPr>
                <w:p w14:paraId="282A37EB" w14:textId="0977358F"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 xml:space="preserve">Article </w:t>
                  </w:r>
                  <w:r>
                    <w:rPr>
                      <w:rFonts w:eastAsia="Times New Roman"/>
                      <w:noProof/>
                      <w:sz w:val="22"/>
                      <w:lang w:eastAsia="en-IE"/>
                    </w:rPr>
                    <w:t>12</w:t>
                  </w:r>
                  <w:r w:rsidR="00947B27">
                    <w:rPr>
                      <w:rFonts w:eastAsia="Times New Roman"/>
                      <w:noProof/>
                      <w:sz w:val="22"/>
                      <w:lang w:eastAsia="en-IE"/>
                    </w:rPr>
                    <w:t>0</w:t>
                  </w:r>
                </w:p>
                <w:p w14:paraId="76B008AF"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Evaluation and review </w:t>
                  </w:r>
                  <w:r w:rsidRPr="006F001C">
                    <w:rPr>
                      <w:rFonts w:eastAsia="Times New Roman"/>
                      <w:noProof/>
                      <w:sz w:val="22"/>
                      <w:lang w:val="en-IE" w:eastAsia="en-IE"/>
                    </w:rPr>
                    <w:t> </w:t>
                  </w:r>
                </w:p>
              </w:tc>
              <w:tc>
                <w:tcPr>
                  <w:tcW w:w="4332" w:type="dxa"/>
                  <w:tcBorders>
                    <w:top w:val="single" w:sz="6" w:space="0" w:color="auto"/>
                    <w:left w:val="single" w:sz="6" w:space="0" w:color="auto"/>
                    <w:bottom w:val="single" w:sz="6" w:space="0" w:color="auto"/>
                    <w:right w:val="single" w:sz="6" w:space="0" w:color="auto"/>
                  </w:tcBorders>
                  <w:hideMark/>
                </w:tcPr>
                <w:p w14:paraId="5A4A2B5E"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1.</w:t>
                  </w:r>
                  <w:r w:rsidRPr="006F001C">
                    <w:rPr>
                      <w:rFonts w:ascii="Calibri" w:eastAsia="Times New Roman" w:hAnsi="Calibri" w:cs="Calibri"/>
                      <w:noProof/>
                      <w:sz w:val="22"/>
                      <w:lang w:val="en-IE" w:eastAsia="en-IE"/>
                    </w:rPr>
                    <w:tab/>
                  </w:r>
                  <w:r w:rsidRPr="006F001C">
                    <w:rPr>
                      <w:rFonts w:eastAsia="Times New Roman"/>
                      <w:noProof/>
                      <w:sz w:val="22"/>
                      <w:lang w:eastAsia="en-IE"/>
                    </w:rPr>
                    <w:t>By [DD MM YYYY], and every five years thereafter, the Commission shall commission an evaluation of ENISA’s performance in relation to its objectives, mandate, mission, tasks, governance and location in accordance with Commission’s guidelines.</w:t>
                  </w:r>
                  <w:r w:rsidRPr="006F001C">
                    <w:rPr>
                      <w:rFonts w:eastAsia="Times New Roman"/>
                      <w:noProof/>
                      <w:sz w:val="22"/>
                      <w:lang w:val="en-IE" w:eastAsia="en-IE"/>
                    </w:rPr>
                    <w:t> </w:t>
                  </w:r>
                </w:p>
                <w:p w14:paraId="6A6E907C" w14:textId="77777777" w:rsidR="007A5304" w:rsidRPr="006F001C" w:rsidRDefault="007A5304">
                  <w:pPr>
                    <w:spacing w:before="0" w:after="0"/>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5.</w:t>
                  </w:r>
                  <w:r w:rsidRPr="006F001C">
                    <w:rPr>
                      <w:rFonts w:ascii="Calibri" w:eastAsia="Times New Roman" w:hAnsi="Calibri" w:cs="Calibri"/>
                      <w:noProof/>
                      <w:sz w:val="22"/>
                      <w:lang w:val="en-IE" w:eastAsia="en-IE"/>
                    </w:rPr>
                    <w:tab/>
                  </w:r>
                  <w:r w:rsidRPr="006F001C">
                    <w:rPr>
                      <w:rFonts w:eastAsia="Times New Roman"/>
                      <w:noProof/>
                      <w:sz w:val="22"/>
                      <w:lang w:eastAsia="en-IE"/>
                    </w:rPr>
                    <w:t>The Commission shall report to the European Parliament, the Council and the Management Board on the evaluation findings. The findings of the evaluation shall be made public.</w:t>
                  </w:r>
                  <w:r w:rsidRPr="006F001C">
                    <w:rPr>
                      <w:rFonts w:eastAsia="Times New Roman"/>
                      <w:noProof/>
                      <w:sz w:val="22"/>
                      <w:lang w:val="en-IE" w:eastAsia="en-IE"/>
                    </w:rPr>
                    <w:t> </w:t>
                  </w:r>
                </w:p>
              </w:tc>
              <w:tc>
                <w:tcPr>
                  <w:tcW w:w="3015" w:type="dxa"/>
                  <w:tcBorders>
                    <w:top w:val="single" w:sz="6" w:space="0" w:color="auto"/>
                    <w:left w:val="single" w:sz="6" w:space="0" w:color="auto"/>
                    <w:bottom w:val="single" w:sz="6" w:space="0" w:color="auto"/>
                    <w:right w:val="single" w:sz="6" w:space="0" w:color="auto"/>
                  </w:tcBorders>
                  <w:hideMark/>
                </w:tcPr>
                <w:p w14:paraId="2EA9CEFF"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ENISA</w:t>
                  </w:r>
                  <w:r w:rsidRPr="006F001C">
                    <w:rPr>
                      <w:rFonts w:eastAsia="Times New Roman"/>
                      <w:noProof/>
                      <w:sz w:val="22"/>
                      <w:lang w:val="en-IE" w:eastAsia="en-IE"/>
                    </w:rPr>
                    <w:t> </w:t>
                  </w:r>
                </w:p>
                <w:p w14:paraId="4376E055"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Commission</w:t>
                  </w:r>
                  <w:r w:rsidRPr="006F001C">
                    <w:rPr>
                      <w:rFonts w:eastAsia="Times New Roman"/>
                      <w:noProof/>
                      <w:sz w:val="22"/>
                      <w:lang w:val="en-IE" w:eastAsia="en-IE"/>
                    </w:rPr>
                    <w:t> </w:t>
                  </w:r>
                </w:p>
                <w:p w14:paraId="4288F299"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General public</w:t>
                  </w:r>
                  <w:r w:rsidRPr="006F001C">
                    <w:rPr>
                      <w:rFonts w:eastAsia="Times New Roman"/>
                      <w:noProof/>
                      <w:sz w:val="22"/>
                      <w:lang w:val="en-IE" w:eastAsia="en-IE"/>
                    </w:rPr>
                    <w:t> </w:t>
                  </w:r>
                </w:p>
              </w:tc>
              <w:tc>
                <w:tcPr>
                  <w:tcW w:w="3040" w:type="dxa"/>
                  <w:tcBorders>
                    <w:top w:val="single" w:sz="6" w:space="0" w:color="auto"/>
                    <w:left w:val="single" w:sz="6" w:space="0" w:color="auto"/>
                    <w:bottom w:val="single" w:sz="6" w:space="0" w:color="auto"/>
                    <w:right w:val="single" w:sz="6" w:space="0" w:color="auto"/>
                  </w:tcBorders>
                  <w:hideMark/>
                </w:tcPr>
                <w:p w14:paraId="1ACFA9A2"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Gathering and analysis of data; making information publicly available</w:t>
                  </w:r>
                  <w:r w:rsidRPr="006F001C">
                    <w:rPr>
                      <w:rFonts w:eastAsia="Times New Roman"/>
                      <w:noProof/>
                      <w:sz w:val="22"/>
                      <w:lang w:val="en-IE" w:eastAsia="en-IE"/>
                    </w:rPr>
                    <w:t> </w:t>
                  </w:r>
                </w:p>
              </w:tc>
              <w:tc>
                <w:tcPr>
                  <w:tcW w:w="1281" w:type="dxa"/>
                  <w:tcBorders>
                    <w:top w:val="single" w:sz="6" w:space="0" w:color="auto"/>
                    <w:left w:val="single" w:sz="6" w:space="0" w:color="auto"/>
                    <w:bottom w:val="single" w:sz="6" w:space="0" w:color="auto"/>
                    <w:right w:val="single" w:sz="6" w:space="0" w:color="auto"/>
                  </w:tcBorders>
                  <w:hideMark/>
                </w:tcPr>
                <w:p w14:paraId="2BAB5B5C"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processing</w:t>
                  </w:r>
                  <w:r w:rsidRPr="006F001C">
                    <w:rPr>
                      <w:rFonts w:eastAsia="Times New Roman"/>
                      <w:noProof/>
                      <w:sz w:val="22"/>
                      <w:lang w:val="en-IE" w:eastAsia="en-IE"/>
                    </w:rPr>
                    <w:t> </w:t>
                  </w:r>
                </w:p>
                <w:p w14:paraId="67DC920A" w14:textId="77777777" w:rsidR="007A5304" w:rsidRPr="006F001C" w:rsidRDefault="007A5304">
                  <w:pPr>
                    <w:spacing w:before="0" w:after="0"/>
                    <w:jc w:val="left"/>
                    <w:textAlignment w:val="baseline"/>
                    <w:rPr>
                      <w:rFonts w:ascii="Segoe UI" w:eastAsia="Times New Roman" w:hAnsi="Segoe UI" w:cs="Segoe UI"/>
                      <w:noProof/>
                      <w:sz w:val="18"/>
                      <w:szCs w:val="18"/>
                      <w:lang w:val="en-IE" w:eastAsia="en-IE"/>
                    </w:rPr>
                  </w:pPr>
                  <w:r w:rsidRPr="006F001C">
                    <w:rPr>
                      <w:rFonts w:eastAsia="Times New Roman"/>
                      <w:noProof/>
                      <w:sz w:val="22"/>
                      <w:lang w:eastAsia="en-IE"/>
                    </w:rPr>
                    <w:t>Data flow</w:t>
                  </w:r>
                  <w:r w:rsidRPr="006F001C">
                    <w:rPr>
                      <w:rFonts w:eastAsia="Times New Roman"/>
                      <w:noProof/>
                      <w:sz w:val="22"/>
                      <w:lang w:val="en-IE" w:eastAsia="en-IE"/>
                    </w:rPr>
                    <w:t> </w:t>
                  </w:r>
                </w:p>
              </w:tc>
            </w:tr>
          </w:tbl>
          <w:p w14:paraId="666F1D7E" w14:textId="77777777" w:rsidR="007A5304" w:rsidRDefault="007A5304">
            <w:pPr>
              <w:rPr>
                <w:noProof/>
                <w:szCs w:val="22"/>
                <w:lang w:eastAsia="en-GB"/>
              </w:rPr>
            </w:pPr>
          </w:p>
          <w:p w14:paraId="4FCB57B8" w14:textId="77777777" w:rsidR="007A5304" w:rsidRDefault="007A5304">
            <w:pPr>
              <w:rPr>
                <w:noProof/>
                <w:szCs w:val="22"/>
                <w:lang w:eastAsia="en-GB"/>
              </w:rPr>
            </w:pPr>
          </w:p>
          <w:p w14:paraId="46F10BBB" w14:textId="77777777" w:rsidR="007A5304" w:rsidRPr="00922145" w:rsidRDefault="007A5304">
            <w:pPr>
              <w:rPr>
                <w:noProof/>
                <w:szCs w:val="22"/>
                <w:lang w:eastAsia="en-GB"/>
              </w:rPr>
            </w:pPr>
          </w:p>
        </w:tc>
      </w:tr>
    </w:tbl>
    <w:p w14:paraId="652B1E5F" w14:textId="77777777" w:rsidR="007476E9" w:rsidRDefault="007476E9" w:rsidP="007476E9">
      <w:pPr>
        <w:pStyle w:val="ManualHeading2"/>
        <w:rPr>
          <w:noProof/>
        </w:rPr>
      </w:pPr>
      <w:bookmarkStart w:id="194" w:name="_Toc167220303"/>
      <w:bookmarkStart w:id="195" w:name="_Toc177549038"/>
      <w:r>
        <w:rPr>
          <w:noProof/>
        </w:rPr>
        <w:t>4.2.</w:t>
      </w:r>
      <w:r>
        <w:rPr>
          <w:noProof/>
        </w:rPr>
        <w:tab/>
        <w:t>Data</w:t>
      </w:r>
      <w:bookmarkEnd w:id="194"/>
      <w:bookmarkEnd w:id="195"/>
    </w:p>
    <w:p w14:paraId="423904F8" w14:textId="77777777" w:rsidR="007476E9" w:rsidRDefault="007476E9" w:rsidP="007476E9">
      <w:pPr>
        <w:pStyle w:val="Text1"/>
        <w:ind w:left="0"/>
        <w:rPr>
          <w:noProof/>
        </w:rPr>
      </w:pPr>
      <w:r w:rsidRPr="00B36316">
        <w:rPr>
          <w:i/>
          <w:iCs/>
          <w:noProof/>
        </w:rPr>
        <w:t>High-level description of the data in scope and any related standards/specifications</w:t>
      </w:r>
      <w:r w:rsidRPr="00B36316">
        <w:rPr>
          <w:noProof/>
        </w:rPr>
        <w:t> </w:t>
      </w:r>
    </w:p>
    <w:p w14:paraId="20806B7F" w14:textId="77777777" w:rsidR="007476E9" w:rsidRDefault="007476E9" w:rsidP="007476E9">
      <w:pPr>
        <w:pStyle w:val="Text1"/>
        <w:ind w:left="0"/>
        <w:rPr>
          <w:noProof/>
        </w:rPr>
      </w:pPr>
    </w:p>
    <w:tbl>
      <w:tblPr>
        <w:tblW w:w="11758" w:type="dxa"/>
        <w:tblInd w:w="1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01"/>
        <w:gridCol w:w="2482"/>
        <w:gridCol w:w="6375"/>
      </w:tblGrid>
      <w:tr w:rsidR="007476E9" w:rsidRPr="00B36316" w14:paraId="42737B25" w14:textId="77777777">
        <w:trPr>
          <w:trHeight w:val="1005"/>
        </w:trPr>
        <w:tc>
          <w:tcPr>
            <w:tcW w:w="2901" w:type="dxa"/>
            <w:tcBorders>
              <w:top w:val="single" w:sz="6" w:space="0" w:color="auto"/>
              <w:left w:val="single" w:sz="6" w:space="0" w:color="auto"/>
              <w:bottom w:val="single" w:sz="6" w:space="0" w:color="auto"/>
              <w:right w:val="single" w:sz="6" w:space="0" w:color="auto"/>
            </w:tcBorders>
            <w:vAlign w:val="center"/>
            <w:hideMark/>
          </w:tcPr>
          <w:p w14:paraId="79A8B2F6" w14:textId="77777777" w:rsidR="007476E9" w:rsidRPr="00B36316" w:rsidRDefault="007476E9">
            <w:pPr>
              <w:spacing w:before="0" w:after="0"/>
              <w:jc w:val="left"/>
              <w:textAlignment w:val="baseline"/>
              <w:rPr>
                <w:rFonts w:ascii="Segoe UI" w:eastAsia="Times New Roman" w:hAnsi="Segoe UI" w:cs="Segoe UI"/>
                <w:noProof/>
                <w:sz w:val="18"/>
                <w:szCs w:val="18"/>
                <w:lang w:val="en-IE" w:eastAsia="en-IE"/>
              </w:rPr>
            </w:pPr>
            <w:r w:rsidRPr="00B36316">
              <w:rPr>
                <w:rFonts w:eastAsia="Times New Roman"/>
                <w:b/>
                <w:bCs/>
                <w:noProof/>
                <w:szCs w:val="24"/>
                <w:lang w:eastAsia="en-IE"/>
              </w:rPr>
              <w:t>Type of data</w:t>
            </w:r>
            <w:r w:rsidRPr="00B36316">
              <w:rPr>
                <w:rFonts w:eastAsia="Times New Roman"/>
                <w:noProof/>
                <w:szCs w:val="24"/>
                <w:lang w:val="en-IE" w:eastAsia="en-IE"/>
              </w:rPr>
              <w:t> </w:t>
            </w:r>
          </w:p>
        </w:tc>
        <w:tc>
          <w:tcPr>
            <w:tcW w:w="2482" w:type="dxa"/>
            <w:tcBorders>
              <w:top w:val="single" w:sz="6" w:space="0" w:color="auto"/>
              <w:left w:val="single" w:sz="6" w:space="0" w:color="auto"/>
              <w:bottom w:val="single" w:sz="6" w:space="0" w:color="auto"/>
              <w:right w:val="single" w:sz="6" w:space="0" w:color="auto"/>
            </w:tcBorders>
            <w:vAlign w:val="center"/>
            <w:hideMark/>
          </w:tcPr>
          <w:p w14:paraId="57E680AD" w14:textId="77777777" w:rsidR="007476E9" w:rsidRPr="00B36316" w:rsidRDefault="007476E9">
            <w:pPr>
              <w:spacing w:before="0" w:after="0"/>
              <w:jc w:val="left"/>
              <w:textAlignment w:val="baseline"/>
              <w:rPr>
                <w:rFonts w:ascii="Segoe UI" w:eastAsia="Times New Roman" w:hAnsi="Segoe UI" w:cs="Segoe UI"/>
                <w:noProof/>
                <w:sz w:val="18"/>
                <w:szCs w:val="18"/>
                <w:lang w:val="en-IE" w:eastAsia="en-IE"/>
              </w:rPr>
            </w:pPr>
            <w:r w:rsidRPr="00B36316">
              <w:rPr>
                <w:rFonts w:eastAsia="Times New Roman"/>
                <w:noProof/>
                <w:szCs w:val="24"/>
                <w:lang w:val="en-IE" w:eastAsia="en-IE"/>
              </w:rPr>
              <w:t> </w:t>
            </w:r>
          </w:p>
          <w:p w14:paraId="40E349AF" w14:textId="77777777" w:rsidR="007476E9" w:rsidRPr="00B36316" w:rsidRDefault="007476E9">
            <w:pPr>
              <w:spacing w:before="0" w:after="0"/>
              <w:jc w:val="left"/>
              <w:textAlignment w:val="baseline"/>
              <w:rPr>
                <w:rFonts w:ascii="Segoe UI" w:eastAsia="Times New Roman" w:hAnsi="Segoe UI" w:cs="Segoe UI"/>
                <w:noProof/>
                <w:sz w:val="18"/>
                <w:szCs w:val="18"/>
                <w:lang w:val="en-IE" w:eastAsia="en-IE"/>
              </w:rPr>
            </w:pPr>
            <w:r w:rsidRPr="00B36316">
              <w:rPr>
                <w:rFonts w:eastAsia="Times New Roman"/>
                <w:b/>
                <w:bCs/>
                <w:noProof/>
                <w:szCs w:val="24"/>
                <w:lang w:eastAsia="en-IE"/>
              </w:rPr>
              <w:t>Reference(s) to the requirement</w:t>
            </w:r>
            <w:r w:rsidRPr="00B36316">
              <w:rPr>
                <w:rFonts w:eastAsia="Times New Roman"/>
                <w:noProof/>
                <w:szCs w:val="24"/>
                <w:lang w:val="en-IE" w:eastAsia="en-IE"/>
              </w:rPr>
              <w:t> </w:t>
            </w:r>
          </w:p>
          <w:p w14:paraId="6A8E9A6F" w14:textId="77777777" w:rsidR="007476E9" w:rsidRPr="00B36316" w:rsidRDefault="007476E9">
            <w:pPr>
              <w:spacing w:before="0" w:after="0"/>
              <w:jc w:val="left"/>
              <w:textAlignment w:val="baseline"/>
              <w:rPr>
                <w:rFonts w:ascii="Segoe UI" w:eastAsia="Times New Roman" w:hAnsi="Segoe UI" w:cs="Segoe UI"/>
                <w:noProof/>
                <w:sz w:val="18"/>
                <w:szCs w:val="18"/>
                <w:lang w:val="en-IE" w:eastAsia="en-IE"/>
              </w:rPr>
            </w:pPr>
            <w:r w:rsidRPr="00B36316">
              <w:rPr>
                <w:rFonts w:eastAsia="Times New Roman"/>
                <w:noProof/>
                <w:szCs w:val="24"/>
                <w:lang w:val="en-IE" w:eastAsia="en-IE"/>
              </w:rPr>
              <w:t> </w:t>
            </w:r>
          </w:p>
        </w:tc>
        <w:tc>
          <w:tcPr>
            <w:tcW w:w="6375" w:type="dxa"/>
            <w:tcBorders>
              <w:top w:val="single" w:sz="6" w:space="0" w:color="auto"/>
              <w:left w:val="single" w:sz="6" w:space="0" w:color="auto"/>
              <w:bottom w:val="single" w:sz="6" w:space="0" w:color="auto"/>
              <w:right w:val="single" w:sz="6" w:space="0" w:color="auto"/>
            </w:tcBorders>
            <w:vAlign w:val="center"/>
            <w:hideMark/>
          </w:tcPr>
          <w:p w14:paraId="7BC788AF" w14:textId="77777777" w:rsidR="007476E9" w:rsidRPr="00B36316" w:rsidRDefault="007476E9">
            <w:pPr>
              <w:spacing w:before="0" w:after="0"/>
              <w:ind w:left="900" w:right="-540" w:hanging="1935"/>
              <w:jc w:val="left"/>
              <w:textAlignment w:val="baseline"/>
              <w:rPr>
                <w:rFonts w:ascii="Segoe UI" w:eastAsia="Times New Roman" w:hAnsi="Segoe UI" w:cs="Segoe UI"/>
                <w:noProof/>
                <w:sz w:val="18"/>
                <w:szCs w:val="18"/>
                <w:lang w:val="en-IE" w:eastAsia="en-IE"/>
              </w:rPr>
            </w:pPr>
            <w:r w:rsidRPr="00B36316">
              <w:rPr>
                <w:rFonts w:eastAsia="Times New Roman"/>
                <w:b/>
                <w:bCs/>
                <w:noProof/>
                <w:szCs w:val="24"/>
                <w:lang w:eastAsia="en-IE"/>
              </w:rPr>
              <w:t>                 Standard and/or specification </w:t>
            </w:r>
            <w:r w:rsidRPr="00B36316">
              <w:rPr>
                <w:rFonts w:eastAsia="Times New Roman"/>
                <w:noProof/>
                <w:szCs w:val="24"/>
                <w:lang w:val="en-IE" w:eastAsia="en-IE"/>
              </w:rPr>
              <w:t> </w:t>
            </w:r>
          </w:p>
          <w:p w14:paraId="30D3A526" w14:textId="77777777" w:rsidR="007476E9" w:rsidRPr="00B36316" w:rsidRDefault="007476E9">
            <w:pPr>
              <w:spacing w:before="0" w:after="0"/>
              <w:ind w:left="900" w:right="-540" w:hanging="1935"/>
              <w:jc w:val="left"/>
              <w:textAlignment w:val="baseline"/>
              <w:rPr>
                <w:rFonts w:ascii="Segoe UI" w:eastAsia="Times New Roman" w:hAnsi="Segoe UI" w:cs="Segoe UI"/>
                <w:noProof/>
                <w:sz w:val="18"/>
                <w:szCs w:val="18"/>
                <w:lang w:val="en-IE" w:eastAsia="en-IE"/>
              </w:rPr>
            </w:pPr>
            <w:r w:rsidRPr="00B36316">
              <w:rPr>
                <w:rFonts w:eastAsia="Times New Roman"/>
                <w:b/>
                <w:bCs/>
                <w:noProof/>
                <w:szCs w:val="24"/>
                <w:lang w:eastAsia="en-IE"/>
              </w:rPr>
              <w:t>                 (if applicable)</w:t>
            </w:r>
            <w:r w:rsidRPr="00B36316">
              <w:rPr>
                <w:rFonts w:eastAsia="Times New Roman"/>
                <w:noProof/>
                <w:szCs w:val="24"/>
                <w:lang w:val="en-IE" w:eastAsia="en-IE"/>
              </w:rPr>
              <w:t> </w:t>
            </w:r>
          </w:p>
        </w:tc>
      </w:tr>
      <w:tr w:rsidR="007476E9" w:rsidRPr="00B36316" w14:paraId="190EE426" w14:textId="77777777">
        <w:trPr>
          <w:trHeight w:val="285"/>
        </w:trPr>
        <w:tc>
          <w:tcPr>
            <w:tcW w:w="2901" w:type="dxa"/>
            <w:tcBorders>
              <w:top w:val="single" w:sz="6" w:space="0" w:color="auto"/>
              <w:left w:val="single" w:sz="6" w:space="0" w:color="auto"/>
              <w:bottom w:val="single" w:sz="6" w:space="0" w:color="auto"/>
              <w:right w:val="single" w:sz="6" w:space="0" w:color="auto"/>
            </w:tcBorders>
            <w:vAlign w:val="center"/>
            <w:hideMark/>
          </w:tcPr>
          <w:p w14:paraId="63481A33" w14:textId="77777777" w:rsidR="007476E9" w:rsidRPr="00B36316" w:rsidRDefault="007476E9">
            <w:pPr>
              <w:spacing w:before="0" w:after="0"/>
              <w:jc w:val="left"/>
              <w:textAlignment w:val="baseline"/>
              <w:rPr>
                <w:rFonts w:ascii="Segoe UI" w:eastAsia="Times New Roman" w:hAnsi="Segoe UI" w:cs="Segoe UI"/>
                <w:noProof/>
                <w:sz w:val="18"/>
                <w:szCs w:val="18"/>
                <w:lang w:val="en-IE" w:eastAsia="en-IE"/>
              </w:rPr>
            </w:pPr>
            <w:r w:rsidRPr="00B36316">
              <w:rPr>
                <w:rFonts w:eastAsia="Times New Roman"/>
                <w:b/>
                <w:bCs/>
                <w:noProof/>
                <w:szCs w:val="24"/>
                <w:lang w:eastAsia="en-IE"/>
              </w:rPr>
              <w:t>Data connected to analysis/reports of relevance to the cybersecurity resilience and society </w:t>
            </w:r>
            <w:r w:rsidRPr="00B36316">
              <w:rPr>
                <w:rFonts w:eastAsia="Times New Roman"/>
                <w:noProof/>
                <w:szCs w:val="24"/>
                <w:lang w:val="en-IE" w:eastAsia="en-IE"/>
              </w:rPr>
              <w:t> </w:t>
            </w:r>
          </w:p>
        </w:tc>
        <w:tc>
          <w:tcPr>
            <w:tcW w:w="2482" w:type="dxa"/>
            <w:tcBorders>
              <w:top w:val="single" w:sz="6" w:space="0" w:color="auto"/>
              <w:left w:val="single" w:sz="6" w:space="0" w:color="auto"/>
              <w:bottom w:val="single" w:sz="6" w:space="0" w:color="auto"/>
              <w:right w:val="single" w:sz="6" w:space="0" w:color="auto"/>
            </w:tcBorders>
            <w:vAlign w:val="center"/>
            <w:hideMark/>
          </w:tcPr>
          <w:p w14:paraId="6021F59C" w14:textId="77777777" w:rsidR="007476E9" w:rsidRPr="00130FBD" w:rsidRDefault="007476E9">
            <w:pPr>
              <w:spacing w:before="0" w:after="0"/>
              <w:jc w:val="left"/>
              <w:textAlignment w:val="baseline"/>
              <w:rPr>
                <w:rFonts w:ascii="Segoe UI" w:eastAsia="Times New Roman" w:hAnsi="Segoe UI" w:cs="Segoe UI"/>
                <w:noProof/>
                <w:sz w:val="18"/>
                <w:szCs w:val="18"/>
                <w:lang w:val="pt-PT" w:eastAsia="en-IE"/>
              </w:rPr>
            </w:pPr>
            <w:r w:rsidRPr="00130FBD">
              <w:rPr>
                <w:rFonts w:eastAsia="Times New Roman"/>
                <w:b/>
                <w:bCs/>
                <w:noProof/>
                <w:szCs w:val="24"/>
                <w:lang w:val="pt-PT" w:eastAsia="en-IE"/>
              </w:rPr>
              <w:t>Article 5(1)(a), (b), (c), (e), (f), (h)</w:t>
            </w:r>
            <w:r w:rsidRPr="00130FBD">
              <w:rPr>
                <w:rFonts w:eastAsia="Times New Roman"/>
                <w:noProof/>
                <w:szCs w:val="24"/>
                <w:lang w:val="pt-PT" w:eastAsia="en-IE"/>
              </w:rPr>
              <w:t> </w:t>
            </w:r>
          </w:p>
          <w:p w14:paraId="11D84EC5" w14:textId="77777777" w:rsidR="007476E9" w:rsidRPr="00B36316" w:rsidRDefault="007476E9">
            <w:pPr>
              <w:spacing w:before="0" w:after="0"/>
              <w:jc w:val="left"/>
              <w:textAlignment w:val="baseline"/>
              <w:rPr>
                <w:rFonts w:ascii="Segoe UI" w:eastAsia="Times New Roman" w:hAnsi="Segoe UI" w:cs="Segoe UI"/>
                <w:noProof/>
                <w:sz w:val="18"/>
                <w:szCs w:val="18"/>
                <w:lang w:val="fr-FR" w:eastAsia="en-IE"/>
              </w:rPr>
            </w:pPr>
            <w:r w:rsidRPr="00B36316">
              <w:rPr>
                <w:rFonts w:eastAsia="Times New Roman"/>
                <w:b/>
                <w:bCs/>
                <w:noProof/>
                <w:szCs w:val="24"/>
                <w:lang w:val="fr-BE" w:eastAsia="en-IE"/>
              </w:rPr>
              <w:t>Article 5(2), (3) and (4)</w:t>
            </w:r>
            <w:r w:rsidRPr="00B36316">
              <w:rPr>
                <w:rFonts w:eastAsia="Times New Roman"/>
                <w:noProof/>
                <w:szCs w:val="24"/>
                <w:lang w:val="fr-FR" w:eastAsia="en-IE"/>
              </w:rPr>
              <w:t> </w:t>
            </w:r>
          </w:p>
          <w:p w14:paraId="3252A107" w14:textId="77777777" w:rsidR="007476E9" w:rsidRPr="00B36316" w:rsidRDefault="007476E9">
            <w:pPr>
              <w:spacing w:before="0" w:after="0"/>
              <w:jc w:val="left"/>
              <w:textAlignment w:val="baseline"/>
              <w:rPr>
                <w:rFonts w:ascii="Segoe UI" w:eastAsia="Times New Roman" w:hAnsi="Segoe UI" w:cs="Segoe UI"/>
                <w:noProof/>
                <w:sz w:val="18"/>
                <w:szCs w:val="18"/>
                <w:lang w:val="fr-FR" w:eastAsia="en-IE"/>
              </w:rPr>
            </w:pPr>
            <w:r w:rsidRPr="00B36316">
              <w:rPr>
                <w:rFonts w:eastAsia="Times New Roman"/>
                <w:b/>
                <w:bCs/>
                <w:noProof/>
                <w:szCs w:val="24"/>
                <w:lang w:val="fr-BE" w:eastAsia="en-IE"/>
              </w:rPr>
              <w:t>Article 6</w:t>
            </w:r>
            <w:r w:rsidRPr="00B36316">
              <w:rPr>
                <w:rFonts w:eastAsia="Times New Roman"/>
                <w:noProof/>
                <w:szCs w:val="24"/>
                <w:lang w:val="fr-FR" w:eastAsia="en-IE"/>
              </w:rPr>
              <w:t> </w:t>
            </w:r>
          </w:p>
          <w:p w14:paraId="26F84BA2" w14:textId="77777777" w:rsidR="007476E9" w:rsidRPr="00B36316" w:rsidRDefault="007476E9">
            <w:pPr>
              <w:spacing w:before="0" w:after="0"/>
              <w:jc w:val="left"/>
              <w:textAlignment w:val="baseline"/>
              <w:rPr>
                <w:rFonts w:ascii="Segoe UI" w:eastAsia="Times New Roman" w:hAnsi="Segoe UI" w:cs="Segoe UI"/>
                <w:noProof/>
                <w:sz w:val="18"/>
                <w:szCs w:val="18"/>
                <w:lang w:val="fr-FR" w:eastAsia="en-IE"/>
              </w:rPr>
            </w:pPr>
            <w:r w:rsidRPr="00B36316">
              <w:rPr>
                <w:rFonts w:eastAsia="Times New Roman"/>
                <w:b/>
                <w:bCs/>
                <w:noProof/>
                <w:szCs w:val="24"/>
                <w:lang w:val="fr-BE" w:eastAsia="en-IE"/>
              </w:rPr>
              <w:t>Article 7</w:t>
            </w:r>
            <w:r w:rsidRPr="00B36316">
              <w:rPr>
                <w:rFonts w:eastAsia="Times New Roman"/>
                <w:noProof/>
                <w:szCs w:val="24"/>
                <w:lang w:val="fr-FR" w:eastAsia="en-IE"/>
              </w:rPr>
              <w:t> </w:t>
            </w:r>
          </w:p>
          <w:p w14:paraId="1E7A4146" w14:textId="77777777" w:rsidR="007476E9" w:rsidRPr="00B36316" w:rsidRDefault="007476E9">
            <w:pPr>
              <w:spacing w:before="0" w:after="0"/>
              <w:jc w:val="left"/>
              <w:textAlignment w:val="baseline"/>
              <w:rPr>
                <w:rFonts w:ascii="Segoe UI" w:eastAsia="Times New Roman" w:hAnsi="Segoe UI" w:cs="Segoe UI"/>
                <w:noProof/>
                <w:sz w:val="18"/>
                <w:szCs w:val="18"/>
                <w:lang w:val="fr-FR" w:eastAsia="en-IE"/>
              </w:rPr>
            </w:pPr>
            <w:r w:rsidRPr="00B36316">
              <w:rPr>
                <w:rFonts w:eastAsia="Times New Roman"/>
                <w:b/>
                <w:bCs/>
                <w:noProof/>
                <w:szCs w:val="24"/>
                <w:lang w:val="fr-BE" w:eastAsia="en-IE"/>
              </w:rPr>
              <w:t>Article 8</w:t>
            </w:r>
            <w:r w:rsidRPr="00B36316">
              <w:rPr>
                <w:rFonts w:eastAsia="Times New Roman"/>
                <w:noProof/>
                <w:szCs w:val="24"/>
                <w:lang w:val="fr-FR" w:eastAsia="en-IE"/>
              </w:rPr>
              <w:t> </w:t>
            </w:r>
          </w:p>
          <w:p w14:paraId="5326CF7A" w14:textId="77777777" w:rsidR="007476E9" w:rsidRPr="00B36316" w:rsidRDefault="007476E9">
            <w:pPr>
              <w:spacing w:before="0" w:after="0"/>
              <w:jc w:val="left"/>
              <w:textAlignment w:val="baseline"/>
              <w:rPr>
                <w:rFonts w:ascii="Segoe UI" w:eastAsia="Times New Roman" w:hAnsi="Segoe UI" w:cs="Segoe UI"/>
                <w:noProof/>
                <w:sz w:val="18"/>
                <w:szCs w:val="18"/>
                <w:lang w:val="fr-FR" w:eastAsia="en-IE"/>
              </w:rPr>
            </w:pPr>
            <w:r w:rsidRPr="00B36316">
              <w:rPr>
                <w:rFonts w:eastAsia="Times New Roman"/>
                <w:b/>
                <w:bCs/>
                <w:noProof/>
                <w:szCs w:val="24"/>
                <w:lang w:val="fr-BE" w:eastAsia="en-IE"/>
              </w:rPr>
              <w:t>Article 9</w:t>
            </w:r>
            <w:r w:rsidRPr="00B36316">
              <w:rPr>
                <w:rFonts w:eastAsia="Times New Roman"/>
                <w:noProof/>
                <w:szCs w:val="24"/>
                <w:lang w:val="fr-FR" w:eastAsia="en-IE"/>
              </w:rPr>
              <w:t> </w:t>
            </w:r>
          </w:p>
          <w:p w14:paraId="12F26C3E" w14:textId="77777777" w:rsidR="007476E9" w:rsidRPr="00B36316" w:rsidRDefault="007476E9">
            <w:pPr>
              <w:spacing w:before="0" w:after="0"/>
              <w:jc w:val="left"/>
              <w:textAlignment w:val="baseline"/>
              <w:rPr>
                <w:rFonts w:ascii="Segoe UI" w:eastAsia="Times New Roman" w:hAnsi="Segoe UI" w:cs="Segoe UI"/>
                <w:noProof/>
                <w:sz w:val="18"/>
                <w:szCs w:val="18"/>
                <w:lang w:val="fr-FR" w:eastAsia="en-IE"/>
              </w:rPr>
            </w:pPr>
            <w:r w:rsidRPr="00B36316">
              <w:rPr>
                <w:rFonts w:eastAsia="Times New Roman"/>
                <w:b/>
                <w:bCs/>
                <w:noProof/>
                <w:szCs w:val="24"/>
                <w:lang w:val="fr-BE" w:eastAsia="en-IE"/>
              </w:rPr>
              <w:t>Article 10</w:t>
            </w:r>
            <w:r w:rsidRPr="00B36316">
              <w:rPr>
                <w:rFonts w:eastAsia="Times New Roman"/>
                <w:noProof/>
                <w:szCs w:val="24"/>
                <w:lang w:val="fr-FR" w:eastAsia="en-IE"/>
              </w:rPr>
              <w:t> </w:t>
            </w:r>
          </w:p>
          <w:p w14:paraId="792F2FBB" w14:textId="77777777" w:rsidR="007476E9" w:rsidRPr="00B36316" w:rsidRDefault="007476E9">
            <w:pPr>
              <w:spacing w:before="0" w:after="0"/>
              <w:jc w:val="left"/>
              <w:textAlignment w:val="baseline"/>
              <w:rPr>
                <w:rFonts w:ascii="Segoe UI" w:eastAsia="Times New Roman" w:hAnsi="Segoe UI" w:cs="Segoe UI"/>
                <w:noProof/>
                <w:sz w:val="18"/>
                <w:szCs w:val="18"/>
                <w:lang w:val="fr-FR" w:eastAsia="en-IE"/>
              </w:rPr>
            </w:pPr>
            <w:r w:rsidRPr="00B36316">
              <w:rPr>
                <w:rFonts w:eastAsia="Times New Roman"/>
                <w:b/>
                <w:bCs/>
                <w:noProof/>
                <w:szCs w:val="24"/>
                <w:lang w:val="fr-BE" w:eastAsia="en-IE"/>
              </w:rPr>
              <w:t>Article 11 (2)(b), (c)</w:t>
            </w:r>
            <w:r w:rsidRPr="00B36316">
              <w:rPr>
                <w:rFonts w:eastAsia="Times New Roman"/>
                <w:noProof/>
                <w:szCs w:val="24"/>
                <w:lang w:val="fr-FR" w:eastAsia="en-IE"/>
              </w:rPr>
              <w:t> </w:t>
            </w:r>
          </w:p>
          <w:p w14:paraId="22471564" w14:textId="77777777" w:rsidR="007476E9" w:rsidRPr="008F0AA6" w:rsidRDefault="007476E9">
            <w:pPr>
              <w:spacing w:before="0" w:after="0"/>
              <w:jc w:val="left"/>
              <w:textAlignment w:val="baseline"/>
              <w:rPr>
                <w:rFonts w:ascii="Segoe UI" w:eastAsia="Times New Roman" w:hAnsi="Segoe UI" w:cs="Segoe UI"/>
                <w:noProof/>
                <w:sz w:val="18"/>
                <w:szCs w:val="18"/>
                <w:lang w:val="fr-BE" w:eastAsia="en-IE"/>
              </w:rPr>
            </w:pPr>
            <w:r w:rsidRPr="008F0AA6">
              <w:rPr>
                <w:rFonts w:eastAsia="Times New Roman"/>
                <w:b/>
                <w:noProof/>
                <w:szCs w:val="24"/>
                <w:lang w:val="fr-BE" w:eastAsia="en-IE"/>
              </w:rPr>
              <w:t>Article 12 (4)</w:t>
            </w:r>
            <w:r w:rsidRPr="008F0AA6">
              <w:rPr>
                <w:rFonts w:eastAsia="Times New Roman"/>
                <w:noProof/>
                <w:szCs w:val="24"/>
                <w:lang w:val="fr-BE" w:eastAsia="en-IE"/>
              </w:rPr>
              <w:t> </w:t>
            </w:r>
          </w:p>
          <w:p w14:paraId="1C0C6BEE" w14:textId="77777777" w:rsidR="007476E9" w:rsidRPr="008F0AA6" w:rsidRDefault="007476E9">
            <w:pPr>
              <w:spacing w:before="0" w:after="0"/>
              <w:jc w:val="left"/>
              <w:textAlignment w:val="baseline"/>
              <w:rPr>
                <w:rFonts w:ascii="Segoe UI" w:eastAsia="Times New Roman" w:hAnsi="Segoe UI" w:cs="Segoe UI"/>
                <w:noProof/>
                <w:sz w:val="18"/>
                <w:szCs w:val="18"/>
                <w:lang w:val="fr-BE" w:eastAsia="en-IE"/>
              </w:rPr>
            </w:pPr>
            <w:r w:rsidRPr="008F0AA6">
              <w:rPr>
                <w:rFonts w:eastAsia="Times New Roman"/>
                <w:b/>
                <w:noProof/>
                <w:szCs w:val="24"/>
                <w:lang w:val="fr-BE" w:eastAsia="en-IE"/>
              </w:rPr>
              <w:t>Article 15</w:t>
            </w:r>
            <w:r w:rsidRPr="008F0AA6">
              <w:rPr>
                <w:rFonts w:eastAsia="Times New Roman"/>
                <w:noProof/>
                <w:szCs w:val="24"/>
                <w:lang w:val="fr-BE" w:eastAsia="en-IE"/>
              </w:rPr>
              <w:t> </w:t>
            </w:r>
          </w:p>
          <w:p w14:paraId="239551B2" w14:textId="77777777" w:rsidR="007476E9" w:rsidRPr="008F0AA6" w:rsidRDefault="007476E9">
            <w:pPr>
              <w:spacing w:before="0" w:after="0"/>
              <w:jc w:val="left"/>
              <w:textAlignment w:val="baseline"/>
              <w:rPr>
                <w:rFonts w:ascii="Segoe UI" w:eastAsia="Times New Roman" w:hAnsi="Segoe UI" w:cs="Segoe UI"/>
                <w:noProof/>
                <w:sz w:val="18"/>
                <w:szCs w:val="18"/>
                <w:lang w:val="fr-BE" w:eastAsia="en-IE"/>
              </w:rPr>
            </w:pPr>
            <w:r w:rsidRPr="008F0AA6">
              <w:rPr>
                <w:rFonts w:eastAsia="Times New Roman"/>
                <w:b/>
                <w:noProof/>
                <w:szCs w:val="24"/>
                <w:lang w:val="fr-BE" w:eastAsia="en-IE"/>
              </w:rPr>
              <w:t>Article 1, point 7</w:t>
            </w:r>
            <w:r w:rsidRPr="008F0AA6">
              <w:rPr>
                <w:rFonts w:eastAsia="Times New Roman"/>
                <w:b/>
                <w:bCs/>
                <w:noProof/>
                <w:szCs w:val="24"/>
                <w:lang w:val="fr-BE" w:eastAsia="en-IE"/>
              </w:rPr>
              <w:t>, Directive</w:t>
            </w:r>
            <w:r w:rsidRPr="008F0AA6">
              <w:rPr>
                <w:rFonts w:eastAsia="Times New Roman"/>
                <w:noProof/>
                <w:szCs w:val="24"/>
                <w:lang w:val="fr-BE" w:eastAsia="en-IE"/>
              </w:rPr>
              <w:t> </w:t>
            </w:r>
          </w:p>
        </w:tc>
        <w:tc>
          <w:tcPr>
            <w:tcW w:w="6375" w:type="dxa"/>
            <w:tcBorders>
              <w:top w:val="single" w:sz="6" w:space="0" w:color="auto"/>
              <w:left w:val="single" w:sz="6" w:space="0" w:color="auto"/>
              <w:bottom w:val="single" w:sz="6" w:space="0" w:color="auto"/>
              <w:right w:val="single" w:sz="6" w:space="0" w:color="auto"/>
            </w:tcBorders>
            <w:vAlign w:val="center"/>
            <w:hideMark/>
          </w:tcPr>
          <w:p w14:paraId="326BD10A" w14:textId="77777777" w:rsidR="007476E9" w:rsidRPr="00B36316" w:rsidRDefault="007476E9">
            <w:pPr>
              <w:spacing w:before="0" w:after="0"/>
              <w:jc w:val="left"/>
              <w:textAlignment w:val="baseline"/>
              <w:rPr>
                <w:rFonts w:ascii="Segoe UI" w:eastAsia="Times New Roman" w:hAnsi="Segoe UI" w:cs="Segoe UI"/>
                <w:noProof/>
                <w:sz w:val="18"/>
                <w:szCs w:val="18"/>
                <w:lang w:val="en-IE" w:eastAsia="en-IE"/>
              </w:rPr>
            </w:pPr>
            <w:r w:rsidRPr="00B36316">
              <w:rPr>
                <w:rFonts w:eastAsia="Times New Roman"/>
                <w:noProof/>
                <w:szCs w:val="24"/>
                <w:lang w:eastAsia="en-IE"/>
              </w:rPr>
              <w:t xml:space="preserve">In carrying out the activities </w:t>
            </w:r>
            <w:r>
              <w:rPr>
                <w:rFonts w:eastAsia="Times New Roman"/>
                <w:noProof/>
                <w:szCs w:val="24"/>
                <w:lang w:eastAsia="en-IE"/>
              </w:rPr>
              <w:t xml:space="preserve">listed </w:t>
            </w:r>
            <w:r w:rsidRPr="00B36316">
              <w:rPr>
                <w:rFonts w:eastAsia="Times New Roman"/>
                <w:noProof/>
                <w:szCs w:val="24"/>
                <w:lang w:eastAsia="en-IE"/>
              </w:rPr>
              <w:t>in Article 11 paragraph 1</w:t>
            </w:r>
            <w:r>
              <w:rPr>
                <w:rFonts w:eastAsia="Times New Roman"/>
                <w:noProof/>
                <w:szCs w:val="24"/>
                <w:lang w:eastAsia="en-IE"/>
              </w:rPr>
              <w:t>, points (a) to (e),</w:t>
            </w:r>
            <w:r w:rsidRPr="00B36316">
              <w:rPr>
                <w:rFonts w:eastAsia="Times New Roman"/>
                <w:noProof/>
                <w:szCs w:val="24"/>
                <w:lang w:eastAsia="en-IE"/>
              </w:rPr>
              <w:t xml:space="preserve"> and </w:t>
            </w:r>
            <w:r>
              <w:rPr>
                <w:rFonts w:eastAsia="Times New Roman"/>
                <w:noProof/>
                <w:szCs w:val="24"/>
                <w:lang w:eastAsia="en-IE"/>
              </w:rPr>
              <w:t>paragraph</w:t>
            </w:r>
            <w:r w:rsidRPr="00B36316">
              <w:rPr>
                <w:rFonts w:eastAsia="Times New Roman"/>
                <w:noProof/>
                <w:szCs w:val="24"/>
                <w:lang w:eastAsia="en-IE"/>
              </w:rPr>
              <w:t xml:space="preserve"> 2, ENISA shall use its own analyses and, as appropriate, the information received in carrying out its tasks, including: </w:t>
            </w:r>
            <w:r w:rsidRPr="00B36316">
              <w:rPr>
                <w:rFonts w:eastAsia="Times New Roman"/>
                <w:noProof/>
                <w:szCs w:val="24"/>
                <w:lang w:val="en-IE" w:eastAsia="en-IE"/>
              </w:rPr>
              <w:t> </w:t>
            </w:r>
          </w:p>
          <w:p w14:paraId="6D3F2906" w14:textId="77777777" w:rsidR="007476E9" w:rsidRPr="00B36316" w:rsidRDefault="007476E9">
            <w:pPr>
              <w:spacing w:before="0" w:after="0"/>
              <w:jc w:val="left"/>
              <w:textAlignment w:val="baseline"/>
              <w:rPr>
                <w:rFonts w:ascii="Segoe UI" w:eastAsia="Times New Roman" w:hAnsi="Segoe UI" w:cs="Segoe UI"/>
                <w:noProof/>
                <w:sz w:val="18"/>
                <w:szCs w:val="18"/>
                <w:lang w:val="en-IE" w:eastAsia="en-IE"/>
              </w:rPr>
            </w:pPr>
            <w:r>
              <w:rPr>
                <w:rFonts w:eastAsia="Times New Roman"/>
                <w:noProof/>
                <w:szCs w:val="24"/>
                <w:lang w:eastAsia="en-IE"/>
              </w:rPr>
              <w:t xml:space="preserve">(a) information </w:t>
            </w:r>
            <w:r w:rsidRPr="00B36316">
              <w:rPr>
                <w:rFonts w:eastAsia="Times New Roman"/>
                <w:noProof/>
                <w:szCs w:val="24"/>
                <w:lang w:eastAsia="en-IE"/>
              </w:rPr>
              <w:t xml:space="preserve">provided in publicly available sources, including publicly known vulnerabilities in ICT products or ICT services available in the European </w:t>
            </w:r>
            <w:r>
              <w:rPr>
                <w:rFonts w:eastAsia="Times New Roman"/>
                <w:noProof/>
                <w:szCs w:val="24"/>
                <w:lang w:eastAsia="en-IE"/>
              </w:rPr>
              <w:t>v</w:t>
            </w:r>
            <w:r w:rsidRPr="00B36316">
              <w:rPr>
                <w:rFonts w:eastAsia="Times New Roman"/>
                <w:noProof/>
                <w:szCs w:val="24"/>
                <w:lang w:eastAsia="en-IE"/>
              </w:rPr>
              <w:t xml:space="preserve">ulnerability </w:t>
            </w:r>
            <w:r>
              <w:rPr>
                <w:rFonts w:eastAsia="Times New Roman"/>
                <w:noProof/>
                <w:szCs w:val="24"/>
                <w:lang w:eastAsia="en-IE"/>
              </w:rPr>
              <w:t>d</w:t>
            </w:r>
            <w:r w:rsidRPr="00B36316">
              <w:rPr>
                <w:rFonts w:eastAsia="Times New Roman"/>
                <w:noProof/>
                <w:szCs w:val="24"/>
                <w:lang w:eastAsia="en-IE"/>
              </w:rPr>
              <w:t>atabase established pursuant to Article 12(2) of Directive (EU) 2022/2555;</w:t>
            </w:r>
            <w:r w:rsidRPr="00B36316">
              <w:rPr>
                <w:rFonts w:eastAsia="Times New Roman"/>
                <w:noProof/>
                <w:szCs w:val="24"/>
                <w:lang w:val="en-IE" w:eastAsia="en-IE"/>
              </w:rPr>
              <w:t> </w:t>
            </w:r>
          </w:p>
          <w:p w14:paraId="2B15B475" w14:textId="77777777" w:rsidR="007476E9" w:rsidRPr="00B36316" w:rsidRDefault="007476E9">
            <w:pPr>
              <w:spacing w:before="0" w:after="0"/>
              <w:jc w:val="left"/>
              <w:textAlignment w:val="baseline"/>
              <w:rPr>
                <w:rFonts w:ascii="Segoe UI" w:eastAsia="Times New Roman" w:hAnsi="Segoe UI" w:cs="Segoe UI"/>
                <w:noProof/>
                <w:sz w:val="18"/>
                <w:szCs w:val="18"/>
                <w:lang w:val="en-IE" w:eastAsia="en-IE"/>
              </w:rPr>
            </w:pPr>
            <w:r>
              <w:rPr>
                <w:rFonts w:eastAsia="Times New Roman"/>
                <w:noProof/>
                <w:szCs w:val="24"/>
                <w:lang w:eastAsia="en-IE"/>
              </w:rPr>
              <w:t xml:space="preserve">(b) information </w:t>
            </w:r>
            <w:r w:rsidRPr="00B36316">
              <w:rPr>
                <w:rFonts w:eastAsia="Times New Roman"/>
                <w:noProof/>
                <w:szCs w:val="24"/>
                <w:lang w:eastAsia="en-IE"/>
              </w:rPr>
              <w:t>shared by Member States, Union entities, CERT-EU, private sector or non-governmental partners and third country and international organisations</w:t>
            </w:r>
            <w:r>
              <w:rPr>
                <w:rFonts w:eastAsia="Times New Roman"/>
                <w:noProof/>
                <w:szCs w:val="24"/>
                <w:lang w:eastAsia="en-IE"/>
              </w:rPr>
              <w:t>, subject to any limitations by means of a visible marking on further distribution of that information</w:t>
            </w:r>
            <w:r w:rsidRPr="00B36316">
              <w:rPr>
                <w:rFonts w:eastAsia="Times New Roman"/>
                <w:noProof/>
                <w:szCs w:val="24"/>
                <w:lang w:eastAsia="en-IE"/>
              </w:rPr>
              <w:t>.</w:t>
            </w:r>
            <w:r w:rsidRPr="00B36316">
              <w:rPr>
                <w:rFonts w:eastAsia="Times New Roman"/>
                <w:noProof/>
                <w:szCs w:val="24"/>
                <w:lang w:val="en-IE" w:eastAsia="en-IE"/>
              </w:rPr>
              <w:t> </w:t>
            </w:r>
          </w:p>
          <w:p w14:paraId="7AB8A7EB" w14:textId="77777777" w:rsidR="007476E9" w:rsidRPr="00B36316" w:rsidRDefault="007476E9">
            <w:pPr>
              <w:spacing w:before="0" w:after="0"/>
              <w:jc w:val="left"/>
              <w:textAlignment w:val="baseline"/>
              <w:rPr>
                <w:rFonts w:ascii="Segoe UI" w:eastAsia="Times New Roman" w:hAnsi="Segoe UI" w:cs="Segoe UI"/>
                <w:noProof/>
                <w:sz w:val="18"/>
                <w:szCs w:val="18"/>
                <w:lang w:val="en-IE" w:eastAsia="en-IE"/>
              </w:rPr>
            </w:pPr>
            <w:r w:rsidRPr="00B36316">
              <w:rPr>
                <w:rFonts w:eastAsia="Times New Roman"/>
                <w:noProof/>
                <w:szCs w:val="24"/>
                <w:lang w:eastAsia="en-IE"/>
              </w:rPr>
              <w:t>ENISA shall issue guidelines regarding the interoperability of network information systems used for information-sharing, including with regard to Cross-Border Cyber Hubs as referred to in Article 6(3) of Regulation (EU) 2025/38.</w:t>
            </w:r>
            <w:r w:rsidRPr="00B36316">
              <w:rPr>
                <w:rFonts w:eastAsia="Times New Roman"/>
                <w:noProof/>
                <w:szCs w:val="24"/>
                <w:lang w:val="en-IE" w:eastAsia="en-IE"/>
              </w:rPr>
              <w:t> </w:t>
            </w:r>
          </w:p>
        </w:tc>
      </w:tr>
      <w:tr w:rsidR="007476E9" w:rsidRPr="00B36316" w14:paraId="0878DA8F" w14:textId="77777777">
        <w:trPr>
          <w:trHeight w:val="1005"/>
        </w:trPr>
        <w:tc>
          <w:tcPr>
            <w:tcW w:w="2901" w:type="dxa"/>
            <w:tcBorders>
              <w:top w:val="single" w:sz="6" w:space="0" w:color="auto"/>
              <w:left w:val="single" w:sz="6" w:space="0" w:color="auto"/>
              <w:bottom w:val="single" w:sz="6" w:space="0" w:color="auto"/>
              <w:right w:val="single" w:sz="6" w:space="0" w:color="auto"/>
            </w:tcBorders>
            <w:vAlign w:val="center"/>
            <w:hideMark/>
          </w:tcPr>
          <w:p w14:paraId="6B53505B" w14:textId="77777777" w:rsidR="007476E9" w:rsidRPr="00B36316" w:rsidRDefault="007476E9">
            <w:pPr>
              <w:spacing w:before="0" w:after="0"/>
              <w:jc w:val="left"/>
              <w:textAlignment w:val="baseline"/>
              <w:rPr>
                <w:rFonts w:ascii="Segoe UI" w:eastAsia="Times New Roman" w:hAnsi="Segoe UI" w:cs="Segoe UI"/>
                <w:noProof/>
                <w:sz w:val="18"/>
                <w:szCs w:val="18"/>
                <w:lang w:val="en-IE" w:eastAsia="en-IE"/>
              </w:rPr>
            </w:pPr>
            <w:r w:rsidRPr="00B36316">
              <w:rPr>
                <w:rFonts w:eastAsia="Times New Roman"/>
                <w:b/>
                <w:bCs/>
                <w:noProof/>
                <w:szCs w:val="24"/>
                <w:lang w:eastAsia="en-IE"/>
              </w:rPr>
              <w:t>Data of relevance to the operational cooperation and situational awareness </w:t>
            </w:r>
            <w:r w:rsidRPr="00B36316">
              <w:rPr>
                <w:rFonts w:eastAsia="Times New Roman"/>
                <w:noProof/>
                <w:szCs w:val="24"/>
                <w:lang w:val="en-IE" w:eastAsia="en-IE"/>
              </w:rPr>
              <w:t> </w:t>
            </w:r>
          </w:p>
        </w:tc>
        <w:tc>
          <w:tcPr>
            <w:tcW w:w="2482" w:type="dxa"/>
            <w:tcBorders>
              <w:top w:val="single" w:sz="6" w:space="0" w:color="auto"/>
              <w:left w:val="single" w:sz="6" w:space="0" w:color="auto"/>
              <w:bottom w:val="single" w:sz="6" w:space="0" w:color="auto"/>
              <w:right w:val="single" w:sz="6" w:space="0" w:color="auto"/>
            </w:tcBorders>
            <w:vAlign w:val="center"/>
            <w:hideMark/>
          </w:tcPr>
          <w:p w14:paraId="763EA8FE" w14:textId="77777777" w:rsidR="007476E9" w:rsidRPr="00B36316" w:rsidRDefault="007476E9">
            <w:pPr>
              <w:spacing w:before="0" w:after="0"/>
              <w:jc w:val="left"/>
              <w:textAlignment w:val="baseline"/>
              <w:rPr>
                <w:rFonts w:ascii="Segoe UI" w:eastAsia="Times New Roman" w:hAnsi="Segoe UI" w:cs="Segoe UI"/>
                <w:noProof/>
                <w:sz w:val="18"/>
                <w:szCs w:val="18"/>
                <w:lang w:val="fr-FR" w:eastAsia="en-IE"/>
              </w:rPr>
            </w:pPr>
            <w:r w:rsidRPr="00B36316">
              <w:rPr>
                <w:rFonts w:eastAsia="Times New Roman"/>
                <w:b/>
                <w:bCs/>
                <w:noProof/>
                <w:szCs w:val="24"/>
                <w:lang w:val="fr-BE" w:eastAsia="en-IE"/>
              </w:rPr>
              <w:t>Article 10(4)(a) – (g)</w:t>
            </w:r>
            <w:r w:rsidRPr="00B36316">
              <w:rPr>
                <w:rFonts w:eastAsia="Times New Roman"/>
                <w:noProof/>
                <w:szCs w:val="24"/>
                <w:lang w:val="fr-FR" w:eastAsia="en-IE"/>
              </w:rPr>
              <w:t> </w:t>
            </w:r>
          </w:p>
          <w:p w14:paraId="5CE614E1" w14:textId="77777777" w:rsidR="007476E9" w:rsidRPr="00B36316" w:rsidRDefault="007476E9">
            <w:pPr>
              <w:spacing w:before="0" w:after="0"/>
              <w:jc w:val="left"/>
              <w:textAlignment w:val="baseline"/>
              <w:rPr>
                <w:rFonts w:ascii="Segoe UI" w:eastAsia="Times New Roman" w:hAnsi="Segoe UI" w:cs="Segoe UI"/>
                <w:noProof/>
                <w:sz w:val="18"/>
                <w:szCs w:val="18"/>
                <w:lang w:val="fr-FR" w:eastAsia="en-IE"/>
              </w:rPr>
            </w:pPr>
            <w:r w:rsidRPr="00B36316">
              <w:rPr>
                <w:rFonts w:eastAsia="Times New Roman"/>
                <w:b/>
                <w:bCs/>
                <w:noProof/>
                <w:szCs w:val="24"/>
                <w:lang w:val="fr-BE" w:eastAsia="en-IE"/>
              </w:rPr>
              <w:t>Article 10(</w:t>
            </w:r>
            <w:r w:rsidR="008E040A">
              <w:rPr>
                <w:rFonts w:eastAsia="Times New Roman"/>
                <w:b/>
                <w:bCs/>
                <w:noProof/>
                <w:szCs w:val="24"/>
                <w:lang w:val="fr-BE" w:eastAsia="en-IE"/>
              </w:rPr>
              <w:t>6</w:t>
            </w:r>
            <w:r w:rsidRPr="00B36316">
              <w:rPr>
                <w:rFonts w:eastAsia="Times New Roman"/>
                <w:b/>
                <w:bCs/>
                <w:noProof/>
                <w:szCs w:val="24"/>
                <w:lang w:val="fr-BE" w:eastAsia="en-IE"/>
              </w:rPr>
              <w:t>)</w:t>
            </w:r>
            <w:r w:rsidRPr="00B36316">
              <w:rPr>
                <w:rFonts w:eastAsia="Times New Roman"/>
                <w:noProof/>
                <w:szCs w:val="24"/>
                <w:lang w:val="fr-FR" w:eastAsia="en-IE"/>
              </w:rPr>
              <w:t> </w:t>
            </w:r>
          </w:p>
          <w:p w14:paraId="01BBD847" w14:textId="77777777" w:rsidR="007476E9" w:rsidRPr="00B36316" w:rsidRDefault="007476E9">
            <w:pPr>
              <w:spacing w:before="0" w:after="0"/>
              <w:jc w:val="left"/>
              <w:textAlignment w:val="baseline"/>
              <w:rPr>
                <w:rFonts w:ascii="Segoe UI" w:eastAsia="Times New Roman" w:hAnsi="Segoe UI" w:cs="Segoe UI"/>
                <w:noProof/>
                <w:sz w:val="18"/>
                <w:szCs w:val="18"/>
                <w:lang w:val="fr-FR" w:eastAsia="en-IE"/>
              </w:rPr>
            </w:pPr>
            <w:r w:rsidRPr="00B36316">
              <w:rPr>
                <w:rFonts w:eastAsia="Times New Roman"/>
                <w:b/>
                <w:bCs/>
                <w:noProof/>
                <w:szCs w:val="24"/>
                <w:lang w:val="fr-BE" w:eastAsia="en-IE"/>
              </w:rPr>
              <w:t>Article 11(1)(a) – (g)</w:t>
            </w:r>
            <w:r w:rsidRPr="00B36316">
              <w:rPr>
                <w:rFonts w:eastAsia="Times New Roman"/>
                <w:noProof/>
                <w:szCs w:val="24"/>
                <w:lang w:val="fr-FR" w:eastAsia="en-IE"/>
              </w:rPr>
              <w:t> </w:t>
            </w:r>
          </w:p>
          <w:p w14:paraId="1E64DBC9" w14:textId="77777777" w:rsidR="007476E9" w:rsidRPr="00B36316" w:rsidRDefault="007476E9">
            <w:pPr>
              <w:spacing w:before="0" w:after="0"/>
              <w:jc w:val="left"/>
              <w:textAlignment w:val="baseline"/>
              <w:rPr>
                <w:rFonts w:ascii="Segoe UI" w:eastAsia="Times New Roman" w:hAnsi="Segoe UI" w:cs="Segoe UI"/>
                <w:noProof/>
                <w:sz w:val="18"/>
                <w:szCs w:val="18"/>
                <w:lang w:val="fr-FR" w:eastAsia="en-IE"/>
              </w:rPr>
            </w:pPr>
            <w:r w:rsidRPr="00B36316">
              <w:rPr>
                <w:rFonts w:eastAsia="Times New Roman"/>
                <w:b/>
                <w:bCs/>
                <w:noProof/>
                <w:szCs w:val="24"/>
                <w:lang w:val="fr-BE" w:eastAsia="en-IE"/>
              </w:rPr>
              <w:t>Article 11(2)(a), (b), (c)</w:t>
            </w:r>
            <w:r w:rsidRPr="00B36316">
              <w:rPr>
                <w:rFonts w:eastAsia="Times New Roman"/>
                <w:noProof/>
                <w:szCs w:val="24"/>
                <w:lang w:val="fr-FR" w:eastAsia="en-IE"/>
              </w:rPr>
              <w:t> </w:t>
            </w:r>
          </w:p>
          <w:p w14:paraId="1E506625" w14:textId="77777777" w:rsidR="007476E9" w:rsidRPr="00B36316" w:rsidRDefault="007476E9">
            <w:pPr>
              <w:spacing w:before="0" w:after="0"/>
              <w:jc w:val="left"/>
              <w:textAlignment w:val="baseline"/>
              <w:rPr>
                <w:rFonts w:ascii="Segoe UI" w:eastAsia="Times New Roman" w:hAnsi="Segoe UI" w:cs="Segoe UI"/>
                <w:noProof/>
                <w:sz w:val="18"/>
                <w:szCs w:val="18"/>
                <w:lang w:val="fr-FR" w:eastAsia="en-IE"/>
              </w:rPr>
            </w:pPr>
            <w:r w:rsidRPr="00B36316">
              <w:rPr>
                <w:rFonts w:eastAsia="Times New Roman"/>
                <w:b/>
                <w:bCs/>
                <w:noProof/>
                <w:szCs w:val="24"/>
                <w:lang w:val="fr-BE" w:eastAsia="en-IE"/>
              </w:rPr>
              <w:t>Article 11(3)</w:t>
            </w:r>
            <w:r w:rsidRPr="00B36316">
              <w:rPr>
                <w:rFonts w:eastAsia="Times New Roman"/>
                <w:noProof/>
                <w:szCs w:val="24"/>
                <w:lang w:val="fr-FR" w:eastAsia="en-IE"/>
              </w:rPr>
              <w:t> </w:t>
            </w:r>
          </w:p>
          <w:p w14:paraId="0D6B65CC" w14:textId="77777777" w:rsidR="007476E9" w:rsidRPr="00B36316" w:rsidRDefault="007476E9">
            <w:pPr>
              <w:spacing w:before="0" w:after="0"/>
              <w:jc w:val="left"/>
              <w:textAlignment w:val="baseline"/>
              <w:rPr>
                <w:rFonts w:ascii="Segoe UI" w:eastAsia="Times New Roman" w:hAnsi="Segoe UI" w:cs="Segoe UI"/>
                <w:noProof/>
                <w:sz w:val="18"/>
                <w:szCs w:val="18"/>
                <w:lang w:val="fr-FR" w:eastAsia="en-IE"/>
              </w:rPr>
            </w:pPr>
            <w:r w:rsidRPr="00B36316">
              <w:rPr>
                <w:rFonts w:eastAsia="Times New Roman"/>
                <w:b/>
                <w:bCs/>
                <w:noProof/>
                <w:szCs w:val="24"/>
                <w:lang w:val="fr-BE" w:eastAsia="en-IE"/>
              </w:rPr>
              <w:t>Article 11(4)</w:t>
            </w:r>
            <w:r w:rsidRPr="00B36316">
              <w:rPr>
                <w:rFonts w:eastAsia="Times New Roman"/>
                <w:noProof/>
                <w:szCs w:val="24"/>
                <w:lang w:val="fr-FR" w:eastAsia="en-IE"/>
              </w:rPr>
              <w:t> </w:t>
            </w:r>
          </w:p>
          <w:p w14:paraId="6C2CFA1B" w14:textId="77777777" w:rsidR="007476E9" w:rsidRPr="00B36316" w:rsidRDefault="007476E9">
            <w:pPr>
              <w:spacing w:before="0" w:after="0"/>
              <w:jc w:val="left"/>
              <w:textAlignment w:val="baseline"/>
              <w:rPr>
                <w:rFonts w:ascii="Segoe UI" w:eastAsia="Times New Roman" w:hAnsi="Segoe UI" w:cs="Segoe UI"/>
                <w:noProof/>
                <w:sz w:val="18"/>
                <w:szCs w:val="18"/>
                <w:lang w:val="fr-FR" w:eastAsia="en-IE"/>
              </w:rPr>
            </w:pPr>
            <w:r w:rsidRPr="00B36316">
              <w:rPr>
                <w:rFonts w:eastAsia="Times New Roman"/>
                <w:b/>
                <w:bCs/>
                <w:noProof/>
                <w:szCs w:val="24"/>
                <w:lang w:val="fr-BE" w:eastAsia="en-IE"/>
              </w:rPr>
              <w:t>Article 13(2)</w:t>
            </w:r>
            <w:r w:rsidRPr="00B36316">
              <w:rPr>
                <w:rFonts w:eastAsia="Times New Roman"/>
                <w:noProof/>
                <w:szCs w:val="24"/>
                <w:lang w:val="fr-FR" w:eastAsia="en-IE"/>
              </w:rPr>
              <w:t> </w:t>
            </w:r>
          </w:p>
          <w:p w14:paraId="1483C417" w14:textId="77777777" w:rsidR="007476E9" w:rsidRPr="00B36316" w:rsidRDefault="007476E9">
            <w:pPr>
              <w:spacing w:before="0" w:after="0"/>
              <w:jc w:val="left"/>
              <w:textAlignment w:val="baseline"/>
              <w:rPr>
                <w:rFonts w:ascii="Segoe UI" w:eastAsia="Times New Roman" w:hAnsi="Segoe UI" w:cs="Segoe UI"/>
                <w:noProof/>
                <w:sz w:val="18"/>
                <w:szCs w:val="18"/>
                <w:lang w:val="fr-FR" w:eastAsia="en-IE"/>
              </w:rPr>
            </w:pPr>
            <w:r w:rsidRPr="00B36316">
              <w:rPr>
                <w:rFonts w:eastAsia="Times New Roman"/>
                <w:b/>
                <w:bCs/>
                <w:noProof/>
                <w:szCs w:val="24"/>
                <w:lang w:val="fr-BE" w:eastAsia="en-IE"/>
              </w:rPr>
              <w:t>Article 15</w:t>
            </w:r>
            <w:r w:rsidRPr="00B36316">
              <w:rPr>
                <w:rFonts w:eastAsia="Times New Roman"/>
                <w:noProof/>
                <w:szCs w:val="24"/>
                <w:lang w:val="fr-FR" w:eastAsia="en-IE"/>
              </w:rPr>
              <w:t> </w:t>
            </w:r>
          </w:p>
          <w:p w14:paraId="1E065796" w14:textId="77777777" w:rsidR="007476E9" w:rsidRPr="00B36316" w:rsidRDefault="007476E9">
            <w:pPr>
              <w:spacing w:before="0" w:after="0"/>
              <w:jc w:val="left"/>
              <w:textAlignment w:val="baseline"/>
              <w:rPr>
                <w:rFonts w:ascii="Segoe UI" w:eastAsia="Times New Roman" w:hAnsi="Segoe UI" w:cs="Segoe UI"/>
                <w:noProof/>
                <w:sz w:val="18"/>
                <w:szCs w:val="18"/>
                <w:lang w:val="fr-FR" w:eastAsia="en-IE"/>
              </w:rPr>
            </w:pPr>
            <w:r w:rsidRPr="00B36316">
              <w:rPr>
                <w:rFonts w:eastAsia="Times New Roman"/>
                <w:b/>
                <w:bCs/>
                <w:noProof/>
                <w:szCs w:val="24"/>
                <w:lang w:val="fr-BE" w:eastAsia="en-IE"/>
              </w:rPr>
              <w:t>Article 16(2)(e)</w:t>
            </w:r>
            <w:r w:rsidRPr="00B36316">
              <w:rPr>
                <w:rFonts w:eastAsia="Times New Roman"/>
                <w:noProof/>
                <w:szCs w:val="24"/>
                <w:lang w:val="fr-FR" w:eastAsia="en-IE"/>
              </w:rPr>
              <w:t> </w:t>
            </w:r>
          </w:p>
        </w:tc>
        <w:tc>
          <w:tcPr>
            <w:tcW w:w="6375" w:type="dxa"/>
            <w:tcBorders>
              <w:top w:val="single" w:sz="6" w:space="0" w:color="auto"/>
              <w:left w:val="single" w:sz="6" w:space="0" w:color="auto"/>
              <w:bottom w:val="single" w:sz="6" w:space="0" w:color="auto"/>
              <w:right w:val="single" w:sz="6" w:space="0" w:color="auto"/>
            </w:tcBorders>
            <w:vAlign w:val="center"/>
            <w:hideMark/>
          </w:tcPr>
          <w:p w14:paraId="745AD5ED" w14:textId="77777777" w:rsidR="007476E9" w:rsidRPr="00B36316" w:rsidRDefault="007476E9">
            <w:pPr>
              <w:spacing w:before="0" w:after="0"/>
              <w:ind w:left="30"/>
              <w:jc w:val="left"/>
              <w:textAlignment w:val="baseline"/>
              <w:rPr>
                <w:rFonts w:ascii="Segoe UI" w:eastAsia="Times New Roman" w:hAnsi="Segoe UI" w:cs="Segoe UI"/>
                <w:noProof/>
                <w:sz w:val="18"/>
                <w:szCs w:val="18"/>
                <w:lang w:val="en-IE" w:eastAsia="en-IE"/>
              </w:rPr>
            </w:pPr>
            <w:r w:rsidRPr="00B36316">
              <w:rPr>
                <w:rFonts w:eastAsia="Times New Roman"/>
                <w:b/>
                <w:bCs/>
                <w:noProof/>
                <w:szCs w:val="24"/>
                <w:lang w:eastAsia="en-IE"/>
              </w:rPr>
              <w:t>Standards for confidentiality and handling sensitive information</w:t>
            </w:r>
            <w:r w:rsidRPr="00B36316">
              <w:rPr>
                <w:rFonts w:eastAsia="Times New Roman"/>
                <w:noProof/>
                <w:szCs w:val="24"/>
                <w:lang w:val="en-IE" w:eastAsia="en-IE"/>
              </w:rPr>
              <w:t> </w:t>
            </w:r>
          </w:p>
          <w:p w14:paraId="5BCDED64" w14:textId="77777777" w:rsidR="007476E9" w:rsidRDefault="007476E9">
            <w:pPr>
              <w:spacing w:before="0" w:after="0"/>
              <w:ind w:left="30"/>
              <w:jc w:val="left"/>
              <w:textAlignment w:val="baseline"/>
              <w:rPr>
                <w:rFonts w:eastAsia="Times New Roman"/>
                <w:noProof/>
                <w:szCs w:val="24"/>
                <w:lang w:val="en-IE" w:eastAsia="en-IE"/>
              </w:rPr>
            </w:pPr>
          </w:p>
          <w:p w14:paraId="0618FEC2" w14:textId="77777777" w:rsidR="007476E9" w:rsidRPr="00B36316" w:rsidRDefault="007476E9">
            <w:pPr>
              <w:spacing w:before="0" w:after="0"/>
              <w:jc w:val="left"/>
              <w:textAlignment w:val="baseline"/>
              <w:rPr>
                <w:rFonts w:ascii="Segoe UI" w:eastAsia="Times New Roman" w:hAnsi="Segoe UI" w:cs="Segoe UI"/>
                <w:noProof/>
                <w:sz w:val="18"/>
                <w:szCs w:val="18"/>
                <w:lang w:val="en-IE" w:eastAsia="en-IE"/>
              </w:rPr>
            </w:pPr>
            <w:r w:rsidRPr="00B36316">
              <w:rPr>
                <w:rFonts w:eastAsia="Times New Roman"/>
                <w:noProof/>
                <w:szCs w:val="24"/>
                <w:lang w:eastAsia="en-IE"/>
              </w:rPr>
              <w:t xml:space="preserve">In carrying out the activities </w:t>
            </w:r>
            <w:r>
              <w:rPr>
                <w:rFonts w:eastAsia="Times New Roman"/>
                <w:noProof/>
                <w:szCs w:val="24"/>
                <w:lang w:eastAsia="en-IE"/>
              </w:rPr>
              <w:t xml:space="preserve">listed </w:t>
            </w:r>
            <w:r w:rsidRPr="00B36316">
              <w:rPr>
                <w:rFonts w:eastAsia="Times New Roman"/>
                <w:noProof/>
                <w:szCs w:val="24"/>
                <w:lang w:eastAsia="en-IE"/>
              </w:rPr>
              <w:t>in Article 11 paragraph 1</w:t>
            </w:r>
            <w:r>
              <w:rPr>
                <w:rFonts w:eastAsia="Times New Roman"/>
                <w:noProof/>
                <w:szCs w:val="24"/>
                <w:lang w:eastAsia="en-IE"/>
              </w:rPr>
              <w:t>, points (a) to (e),</w:t>
            </w:r>
            <w:r w:rsidRPr="00B36316">
              <w:rPr>
                <w:rFonts w:eastAsia="Times New Roman"/>
                <w:noProof/>
                <w:szCs w:val="24"/>
                <w:lang w:eastAsia="en-IE"/>
              </w:rPr>
              <w:t xml:space="preserve"> and </w:t>
            </w:r>
            <w:r>
              <w:rPr>
                <w:rFonts w:eastAsia="Times New Roman"/>
                <w:noProof/>
                <w:szCs w:val="24"/>
                <w:lang w:eastAsia="en-IE"/>
              </w:rPr>
              <w:t xml:space="preserve">paragraph </w:t>
            </w:r>
            <w:r w:rsidRPr="00B36316">
              <w:rPr>
                <w:rFonts w:eastAsia="Times New Roman"/>
                <w:noProof/>
                <w:szCs w:val="24"/>
                <w:lang w:eastAsia="en-IE"/>
              </w:rPr>
              <w:t>2, ENISA shall use its own analyses and, as appropriate, the information received in carrying out its tasks, including: </w:t>
            </w:r>
            <w:r w:rsidRPr="00B36316">
              <w:rPr>
                <w:rFonts w:eastAsia="Times New Roman"/>
                <w:noProof/>
                <w:szCs w:val="24"/>
                <w:lang w:val="en-IE" w:eastAsia="en-IE"/>
              </w:rPr>
              <w:t> </w:t>
            </w:r>
          </w:p>
          <w:p w14:paraId="07F1FB66" w14:textId="77777777" w:rsidR="007476E9" w:rsidRPr="00B36316" w:rsidRDefault="007476E9">
            <w:pPr>
              <w:spacing w:before="0" w:after="0"/>
              <w:jc w:val="left"/>
              <w:textAlignment w:val="baseline"/>
              <w:rPr>
                <w:rFonts w:ascii="Segoe UI" w:eastAsia="Times New Roman" w:hAnsi="Segoe UI" w:cs="Segoe UI"/>
                <w:noProof/>
                <w:sz w:val="18"/>
                <w:szCs w:val="18"/>
                <w:lang w:val="en-IE" w:eastAsia="en-IE"/>
              </w:rPr>
            </w:pPr>
            <w:r>
              <w:rPr>
                <w:rFonts w:eastAsia="Times New Roman"/>
                <w:noProof/>
                <w:szCs w:val="24"/>
                <w:lang w:eastAsia="en-IE"/>
              </w:rPr>
              <w:t xml:space="preserve">(a) information </w:t>
            </w:r>
            <w:r w:rsidRPr="00B36316">
              <w:rPr>
                <w:rFonts w:eastAsia="Times New Roman"/>
                <w:noProof/>
                <w:szCs w:val="24"/>
                <w:lang w:eastAsia="en-IE"/>
              </w:rPr>
              <w:t xml:space="preserve">provided in publicly available sources, including publicly known vulnerabilities in ICT products or ICT services available in the European </w:t>
            </w:r>
            <w:r>
              <w:rPr>
                <w:rFonts w:eastAsia="Times New Roman"/>
                <w:noProof/>
                <w:szCs w:val="24"/>
                <w:lang w:eastAsia="en-IE"/>
              </w:rPr>
              <w:t>v</w:t>
            </w:r>
            <w:r w:rsidRPr="00B36316">
              <w:rPr>
                <w:rFonts w:eastAsia="Times New Roman"/>
                <w:noProof/>
                <w:szCs w:val="24"/>
                <w:lang w:eastAsia="en-IE"/>
              </w:rPr>
              <w:t xml:space="preserve">ulnerability </w:t>
            </w:r>
            <w:r>
              <w:rPr>
                <w:rFonts w:eastAsia="Times New Roman"/>
                <w:noProof/>
                <w:szCs w:val="24"/>
                <w:lang w:eastAsia="en-IE"/>
              </w:rPr>
              <w:t>d</w:t>
            </w:r>
            <w:r w:rsidRPr="00B36316">
              <w:rPr>
                <w:rFonts w:eastAsia="Times New Roman"/>
                <w:noProof/>
                <w:szCs w:val="24"/>
                <w:lang w:eastAsia="en-IE"/>
              </w:rPr>
              <w:t>atabase established pursuant to Article 12(2) of Directive (EU) 2022/2555;</w:t>
            </w:r>
            <w:r w:rsidRPr="00B36316">
              <w:rPr>
                <w:rFonts w:eastAsia="Times New Roman"/>
                <w:noProof/>
                <w:szCs w:val="24"/>
                <w:lang w:val="en-IE" w:eastAsia="en-IE"/>
              </w:rPr>
              <w:t> </w:t>
            </w:r>
          </w:p>
          <w:p w14:paraId="69461DE4" w14:textId="77777777" w:rsidR="007476E9" w:rsidRPr="00B36316" w:rsidRDefault="007476E9">
            <w:pPr>
              <w:spacing w:before="0" w:after="0"/>
              <w:jc w:val="left"/>
              <w:textAlignment w:val="baseline"/>
              <w:rPr>
                <w:rFonts w:ascii="Segoe UI" w:eastAsia="Times New Roman" w:hAnsi="Segoe UI" w:cs="Segoe UI"/>
                <w:noProof/>
                <w:sz w:val="18"/>
                <w:szCs w:val="18"/>
                <w:lang w:val="en-IE" w:eastAsia="en-IE"/>
              </w:rPr>
            </w:pPr>
            <w:r>
              <w:rPr>
                <w:rFonts w:eastAsia="Times New Roman"/>
                <w:noProof/>
                <w:szCs w:val="24"/>
                <w:lang w:eastAsia="en-IE"/>
              </w:rPr>
              <w:t xml:space="preserve">(b) information </w:t>
            </w:r>
            <w:r w:rsidRPr="00B36316">
              <w:rPr>
                <w:rFonts w:eastAsia="Times New Roman"/>
                <w:noProof/>
                <w:szCs w:val="24"/>
                <w:lang w:eastAsia="en-IE"/>
              </w:rPr>
              <w:t>shared by Member States, Union entities, CERT-EU, private sector or non-governmental partners and third country and international organisations</w:t>
            </w:r>
            <w:r>
              <w:rPr>
                <w:rFonts w:eastAsia="Times New Roman"/>
                <w:noProof/>
                <w:szCs w:val="24"/>
                <w:lang w:eastAsia="en-IE"/>
              </w:rPr>
              <w:t>, subject to any limitations by means of a visible marking on further distribution of that information</w:t>
            </w:r>
            <w:r w:rsidRPr="00B36316">
              <w:rPr>
                <w:rFonts w:eastAsia="Times New Roman"/>
                <w:noProof/>
                <w:szCs w:val="24"/>
                <w:lang w:eastAsia="en-IE"/>
              </w:rPr>
              <w:t>.</w:t>
            </w:r>
            <w:r w:rsidRPr="00B36316">
              <w:rPr>
                <w:rFonts w:eastAsia="Times New Roman"/>
                <w:noProof/>
                <w:szCs w:val="24"/>
                <w:lang w:val="en-IE" w:eastAsia="en-IE"/>
              </w:rPr>
              <w:t> </w:t>
            </w:r>
          </w:p>
          <w:p w14:paraId="41F5A99E" w14:textId="77777777" w:rsidR="007476E9" w:rsidRPr="00B36316" w:rsidRDefault="007476E9">
            <w:pPr>
              <w:spacing w:before="0" w:after="0"/>
              <w:ind w:left="30"/>
              <w:jc w:val="left"/>
              <w:textAlignment w:val="baseline"/>
              <w:rPr>
                <w:rFonts w:ascii="Segoe UI" w:eastAsia="Times New Roman" w:hAnsi="Segoe UI" w:cs="Segoe UI"/>
                <w:noProof/>
                <w:sz w:val="18"/>
                <w:szCs w:val="18"/>
                <w:lang w:val="en-IE" w:eastAsia="en-IE"/>
              </w:rPr>
            </w:pPr>
          </w:p>
        </w:tc>
      </w:tr>
      <w:tr w:rsidR="007476E9" w:rsidRPr="00B36316" w14:paraId="2565F7F6" w14:textId="77777777">
        <w:trPr>
          <w:trHeight w:val="1005"/>
        </w:trPr>
        <w:tc>
          <w:tcPr>
            <w:tcW w:w="2901" w:type="dxa"/>
            <w:tcBorders>
              <w:top w:val="single" w:sz="6" w:space="0" w:color="auto"/>
              <w:left w:val="single" w:sz="6" w:space="0" w:color="auto"/>
              <w:bottom w:val="single" w:sz="6" w:space="0" w:color="auto"/>
              <w:right w:val="single" w:sz="6" w:space="0" w:color="auto"/>
            </w:tcBorders>
            <w:vAlign w:val="center"/>
            <w:hideMark/>
          </w:tcPr>
          <w:p w14:paraId="1F65505B" w14:textId="77777777" w:rsidR="007476E9" w:rsidRPr="00B36316" w:rsidRDefault="007476E9">
            <w:pPr>
              <w:spacing w:before="0" w:after="0"/>
              <w:jc w:val="left"/>
              <w:textAlignment w:val="baseline"/>
              <w:rPr>
                <w:rFonts w:ascii="Segoe UI" w:eastAsia="Times New Roman" w:hAnsi="Segoe UI" w:cs="Segoe UI"/>
                <w:noProof/>
                <w:sz w:val="18"/>
                <w:szCs w:val="18"/>
                <w:lang w:val="en-IE" w:eastAsia="en-IE"/>
              </w:rPr>
            </w:pPr>
            <w:r w:rsidRPr="00B36316">
              <w:rPr>
                <w:rFonts w:eastAsia="Times New Roman"/>
                <w:b/>
                <w:bCs/>
                <w:noProof/>
                <w:szCs w:val="24"/>
                <w:lang w:eastAsia="en-IE"/>
              </w:rPr>
              <w:t>Data with relevance to the European individual cybersecurity skills attestation schemes and authorisation of providers</w:t>
            </w:r>
            <w:r w:rsidRPr="00B36316">
              <w:rPr>
                <w:rFonts w:eastAsia="Times New Roman"/>
                <w:noProof/>
                <w:szCs w:val="24"/>
                <w:lang w:val="en-IE" w:eastAsia="en-IE"/>
              </w:rPr>
              <w:t> </w:t>
            </w:r>
          </w:p>
          <w:p w14:paraId="0CC87393" w14:textId="77777777" w:rsidR="007476E9" w:rsidRPr="00B36316" w:rsidRDefault="007476E9">
            <w:pPr>
              <w:spacing w:before="0" w:after="0"/>
              <w:jc w:val="left"/>
              <w:textAlignment w:val="baseline"/>
              <w:rPr>
                <w:rFonts w:ascii="Segoe UI" w:eastAsia="Times New Roman" w:hAnsi="Segoe UI" w:cs="Segoe UI"/>
                <w:noProof/>
                <w:sz w:val="18"/>
                <w:szCs w:val="18"/>
                <w:lang w:val="en-IE" w:eastAsia="en-IE"/>
              </w:rPr>
            </w:pPr>
            <w:r w:rsidRPr="00B36316">
              <w:rPr>
                <w:rFonts w:eastAsia="Times New Roman"/>
                <w:b/>
                <w:bCs/>
                <w:noProof/>
                <w:szCs w:val="24"/>
                <w:lang w:eastAsia="en-IE"/>
              </w:rPr>
              <w:t>Data with relevance to the objectives, purpose and content of European cybersecurity certification schemes</w:t>
            </w:r>
            <w:r w:rsidRPr="00B36316">
              <w:rPr>
                <w:rFonts w:eastAsia="Times New Roman"/>
                <w:noProof/>
                <w:szCs w:val="24"/>
                <w:lang w:val="en-IE" w:eastAsia="en-IE"/>
              </w:rPr>
              <w:t> </w:t>
            </w:r>
          </w:p>
        </w:tc>
        <w:tc>
          <w:tcPr>
            <w:tcW w:w="2482" w:type="dxa"/>
            <w:tcBorders>
              <w:top w:val="single" w:sz="6" w:space="0" w:color="auto"/>
              <w:left w:val="single" w:sz="6" w:space="0" w:color="auto"/>
              <w:bottom w:val="single" w:sz="6" w:space="0" w:color="auto"/>
              <w:right w:val="single" w:sz="6" w:space="0" w:color="auto"/>
            </w:tcBorders>
            <w:vAlign w:val="center"/>
            <w:hideMark/>
          </w:tcPr>
          <w:p w14:paraId="010690F1" w14:textId="77777777" w:rsidR="007476E9" w:rsidRPr="00B36316" w:rsidRDefault="007476E9">
            <w:pPr>
              <w:spacing w:before="0" w:after="0"/>
              <w:jc w:val="left"/>
              <w:textAlignment w:val="baseline"/>
              <w:rPr>
                <w:rFonts w:ascii="Segoe UI" w:eastAsia="Times New Roman" w:hAnsi="Segoe UI" w:cs="Segoe UI"/>
                <w:noProof/>
                <w:sz w:val="18"/>
                <w:szCs w:val="18"/>
                <w:lang w:val="en-IE" w:eastAsia="en-IE"/>
              </w:rPr>
            </w:pPr>
            <w:r w:rsidRPr="00B36316">
              <w:rPr>
                <w:rFonts w:eastAsia="Times New Roman"/>
                <w:b/>
                <w:bCs/>
                <w:noProof/>
                <w:szCs w:val="24"/>
                <w:lang w:eastAsia="en-IE"/>
              </w:rPr>
              <w:t>Article 17</w:t>
            </w:r>
            <w:r w:rsidRPr="00B36316">
              <w:rPr>
                <w:rFonts w:eastAsia="Times New Roman"/>
                <w:noProof/>
                <w:szCs w:val="24"/>
                <w:lang w:val="en-IE" w:eastAsia="en-IE"/>
              </w:rPr>
              <w:t> </w:t>
            </w:r>
          </w:p>
          <w:p w14:paraId="73F32C6A" w14:textId="77777777" w:rsidR="007476E9" w:rsidRPr="00B36316" w:rsidRDefault="007476E9">
            <w:pPr>
              <w:spacing w:before="0" w:after="0"/>
              <w:jc w:val="left"/>
              <w:textAlignment w:val="baseline"/>
              <w:rPr>
                <w:rFonts w:ascii="Segoe UI" w:eastAsia="Times New Roman" w:hAnsi="Segoe UI" w:cs="Segoe UI"/>
                <w:noProof/>
                <w:sz w:val="18"/>
                <w:szCs w:val="18"/>
                <w:lang w:val="en-IE" w:eastAsia="en-IE"/>
              </w:rPr>
            </w:pPr>
            <w:r w:rsidRPr="00B36316">
              <w:rPr>
                <w:rFonts w:eastAsia="Times New Roman"/>
                <w:b/>
                <w:bCs/>
                <w:noProof/>
                <w:szCs w:val="24"/>
                <w:lang w:eastAsia="en-IE"/>
              </w:rPr>
              <w:t>Article 18</w:t>
            </w:r>
            <w:r w:rsidRPr="00B36316">
              <w:rPr>
                <w:rFonts w:eastAsia="Times New Roman"/>
                <w:noProof/>
                <w:szCs w:val="24"/>
                <w:lang w:val="en-IE" w:eastAsia="en-IE"/>
              </w:rPr>
              <w:t> </w:t>
            </w:r>
          </w:p>
          <w:p w14:paraId="52FBC78F" w14:textId="77777777" w:rsidR="007476E9" w:rsidRPr="00B36316" w:rsidRDefault="007476E9">
            <w:pPr>
              <w:spacing w:before="0" w:after="0"/>
              <w:jc w:val="left"/>
              <w:textAlignment w:val="baseline"/>
              <w:rPr>
                <w:rFonts w:ascii="Segoe UI" w:eastAsia="Times New Roman" w:hAnsi="Segoe UI" w:cs="Segoe UI"/>
                <w:noProof/>
                <w:sz w:val="18"/>
                <w:szCs w:val="18"/>
                <w:lang w:val="en-IE" w:eastAsia="en-IE"/>
              </w:rPr>
            </w:pPr>
            <w:r w:rsidRPr="00B36316">
              <w:rPr>
                <w:rFonts w:eastAsia="Times New Roman"/>
                <w:b/>
                <w:bCs/>
                <w:noProof/>
                <w:szCs w:val="24"/>
                <w:lang w:eastAsia="en-IE"/>
              </w:rPr>
              <w:t>Articles 19-23</w:t>
            </w:r>
            <w:r w:rsidRPr="00B36316">
              <w:rPr>
                <w:rFonts w:eastAsia="Times New Roman"/>
                <w:noProof/>
                <w:szCs w:val="24"/>
                <w:lang w:val="en-IE" w:eastAsia="en-IE"/>
              </w:rPr>
              <w:t> </w:t>
            </w:r>
          </w:p>
          <w:p w14:paraId="2023914B" w14:textId="77777777" w:rsidR="007476E9" w:rsidRPr="00B36316" w:rsidRDefault="007476E9">
            <w:pPr>
              <w:spacing w:before="0" w:after="0"/>
              <w:jc w:val="left"/>
              <w:textAlignment w:val="baseline"/>
              <w:rPr>
                <w:rFonts w:ascii="Segoe UI" w:eastAsia="Times New Roman" w:hAnsi="Segoe UI" w:cs="Segoe UI"/>
                <w:noProof/>
                <w:sz w:val="18"/>
                <w:szCs w:val="18"/>
                <w:lang w:val="en-IE" w:eastAsia="en-IE"/>
              </w:rPr>
            </w:pPr>
            <w:r w:rsidRPr="00B36316">
              <w:rPr>
                <w:rFonts w:eastAsia="Times New Roman"/>
                <w:b/>
                <w:bCs/>
                <w:noProof/>
                <w:szCs w:val="24"/>
                <w:lang w:eastAsia="en-IE"/>
              </w:rPr>
              <w:t xml:space="preserve">Articles 72, 73, 74, 75, 76, 77, </w:t>
            </w:r>
            <w:r>
              <w:rPr>
                <w:rFonts w:eastAsia="Times New Roman"/>
                <w:b/>
                <w:bCs/>
                <w:noProof/>
                <w:szCs w:val="24"/>
                <w:lang w:eastAsia="en-IE"/>
              </w:rPr>
              <w:t xml:space="preserve">79, </w:t>
            </w:r>
            <w:r w:rsidRPr="00B36316">
              <w:rPr>
                <w:rFonts w:eastAsia="Times New Roman"/>
                <w:b/>
                <w:bCs/>
                <w:noProof/>
                <w:szCs w:val="24"/>
                <w:lang w:eastAsia="en-IE"/>
              </w:rPr>
              <w:t>81, 83, 84</w:t>
            </w:r>
          </w:p>
        </w:tc>
        <w:tc>
          <w:tcPr>
            <w:tcW w:w="6375" w:type="dxa"/>
            <w:tcBorders>
              <w:top w:val="single" w:sz="6" w:space="0" w:color="auto"/>
              <w:left w:val="single" w:sz="6" w:space="0" w:color="auto"/>
              <w:bottom w:val="single" w:sz="6" w:space="0" w:color="auto"/>
              <w:right w:val="single" w:sz="6" w:space="0" w:color="auto"/>
            </w:tcBorders>
            <w:vAlign w:val="center"/>
            <w:hideMark/>
          </w:tcPr>
          <w:p w14:paraId="0F89A3A5" w14:textId="77777777" w:rsidR="007476E9" w:rsidRPr="00B36316" w:rsidRDefault="007476E9">
            <w:pPr>
              <w:spacing w:before="0" w:after="0"/>
              <w:textAlignment w:val="baseline"/>
              <w:rPr>
                <w:rFonts w:ascii="Segoe UI" w:eastAsia="Times New Roman" w:hAnsi="Segoe UI" w:cs="Segoe UI"/>
                <w:noProof/>
                <w:sz w:val="18"/>
                <w:szCs w:val="18"/>
                <w:lang w:val="en-IE" w:eastAsia="en-IE"/>
              </w:rPr>
            </w:pPr>
            <w:r w:rsidRPr="00B36316">
              <w:rPr>
                <w:rFonts w:eastAsia="Times New Roman"/>
                <w:noProof/>
                <w:szCs w:val="24"/>
                <w:lang w:eastAsia="en-IE"/>
              </w:rPr>
              <w:t>A European individual cybersecurity skills attestation scheme shall include (…): rules concerning the retention of records by authorised attestation providers</w:t>
            </w:r>
            <w:r w:rsidRPr="00B36316">
              <w:rPr>
                <w:rFonts w:eastAsia="Times New Roman"/>
                <w:noProof/>
                <w:szCs w:val="24"/>
                <w:lang w:val="en-IE" w:eastAsia="en-IE"/>
              </w:rPr>
              <w:t> </w:t>
            </w:r>
          </w:p>
          <w:p w14:paraId="2E57A9AA" w14:textId="77777777" w:rsidR="007476E9" w:rsidRPr="00B36316" w:rsidRDefault="007476E9">
            <w:pPr>
              <w:spacing w:before="0" w:after="0"/>
              <w:textAlignment w:val="baseline"/>
              <w:rPr>
                <w:rFonts w:ascii="Segoe UI" w:eastAsia="Times New Roman" w:hAnsi="Segoe UI" w:cs="Segoe UI"/>
                <w:noProof/>
                <w:sz w:val="18"/>
                <w:szCs w:val="18"/>
                <w:lang w:val="en-IE" w:eastAsia="en-IE"/>
              </w:rPr>
            </w:pPr>
            <w:r w:rsidRPr="00B36316">
              <w:rPr>
                <w:rFonts w:eastAsia="Times New Roman"/>
                <w:noProof/>
                <w:szCs w:val="24"/>
                <w:lang w:eastAsia="en-IE"/>
              </w:rPr>
              <w:t>Authorised providers shall ensure that</w:t>
            </w:r>
            <w:r>
              <w:rPr>
                <w:noProof/>
              </w:rPr>
              <w:t>, at the request of the individual,</w:t>
            </w:r>
            <w:r w:rsidRPr="00777BC3">
              <w:rPr>
                <w:noProof/>
              </w:rPr>
              <w:t xml:space="preserve"> electronic attestations of European individual cybersecurity skills attestations are issued as electronic attestations of attributes in a format that can be stored in the European Digital Identity Wallets set out in Regulation (EU) No 910/2014</w:t>
            </w:r>
            <w:r w:rsidRPr="00B36316">
              <w:rPr>
                <w:rFonts w:eastAsia="Times New Roman"/>
                <w:noProof/>
                <w:szCs w:val="24"/>
                <w:lang w:eastAsia="en-IE"/>
              </w:rPr>
              <w:t>.</w:t>
            </w:r>
            <w:r w:rsidRPr="00B36316">
              <w:rPr>
                <w:rFonts w:eastAsia="Times New Roman"/>
                <w:noProof/>
                <w:szCs w:val="24"/>
                <w:lang w:val="en-IE" w:eastAsia="en-IE"/>
              </w:rPr>
              <w:t> </w:t>
            </w:r>
          </w:p>
          <w:p w14:paraId="7414A57D" w14:textId="77777777" w:rsidR="007476E9" w:rsidRPr="00B36316" w:rsidRDefault="007476E9">
            <w:pPr>
              <w:spacing w:before="0" w:after="0"/>
              <w:jc w:val="left"/>
              <w:textAlignment w:val="baseline"/>
              <w:rPr>
                <w:rFonts w:ascii="Segoe UI" w:eastAsia="Times New Roman" w:hAnsi="Segoe UI" w:cs="Segoe UI"/>
                <w:noProof/>
                <w:sz w:val="18"/>
                <w:szCs w:val="18"/>
                <w:lang w:val="en-IE" w:eastAsia="en-IE"/>
              </w:rPr>
            </w:pPr>
            <w:r w:rsidRPr="00B36316">
              <w:rPr>
                <w:rFonts w:eastAsia="Times New Roman"/>
                <w:noProof/>
                <w:szCs w:val="24"/>
                <w:lang w:eastAsia="en-IE"/>
              </w:rPr>
              <w:t>.</w:t>
            </w:r>
            <w:r w:rsidRPr="00B36316">
              <w:rPr>
                <w:rFonts w:eastAsia="Times New Roman"/>
                <w:noProof/>
                <w:szCs w:val="24"/>
                <w:lang w:val="en-IE" w:eastAsia="en-IE"/>
              </w:rPr>
              <w:t> </w:t>
            </w:r>
          </w:p>
          <w:p w14:paraId="571D983B" w14:textId="77777777" w:rsidR="007476E9" w:rsidRPr="00B36316" w:rsidRDefault="007476E9">
            <w:pPr>
              <w:spacing w:before="0" w:after="0"/>
              <w:jc w:val="left"/>
              <w:textAlignment w:val="baseline"/>
              <w:rPr>
                <w:rFonts w:ascii="Segoe UI" w:eastAsia="Times New Roman" w:hAnsi="Segoe UI" w:cs="Segoe UI"/>
                <w:noProof/>
                <w:sz w:val="18"/>
                <w:szCs w:val="18"/>
                <w:lang w:val="en-IE" w:eastAsia="en-IE"/>
              </w:rPr>
            </w:pPr>
            <w:r w:rsidRPr="00B36316">
              <w:rPr>
                <w:rFonts w:eastAsia="Times New Roman"/>
                <w:noProof/>
                <w:szCs w:val="24"/>
                <w:lang w:eastAsia="en-IE"/>
              </w:rPr>
              <w:t> The Commission and ENISA should follow relevant provisions of Union legislation when establishing a European cybersecurity certification scheme for what pertains to data. </w:t>
            </w:r>
            <w:r w:rsidRPr="00B36316">
              <w:rPr>
                <w:rFonts w:eastAsia="Times New Roman"/>
                <w:noProof/>
                <w:szCs w:val="24"/>
                <w:lang w:val="en-IE" w:eastAsia="en-IE"/>
              </w:rPr>
              <w:t> </w:t>
            </w:r>
          </w:p>
        </w:tc>
      </w:tr>
      <w:tr w:rsidR="007476E9" w:rsidRPr="00B36316" w14:paraId="1847CF2C" w14:textId="77777777">
        <w:trPr>
          <w:trHeight w:val="1005"/>
        </w:trPr>
        <w:tc>
          <w:tcPr>
            <w:tcW w:w="2901" w:type="dxa"/>
            <w:tcBorders>
              <w:top w:val="single" w:sz="6" w:space="0" w:color="auto"/>
              <w:left w:val="single" w:sz="6" w:space="0" w:color="auto"/>
              <w:bottom w:val="single" w:sz="6" w:space="0" w:color="auto"/>
              <w:right w:val="single" w:sz="6" w:space="0" w:color="auto"/>
            </w:tcBorders>
            <w:vAlign w:val="center"/>
            <w:hideMark/>
          </w:tcPr>
          <w:p w14:paraId="53E65AC1" w14:textId="77777777" w:rsidR="007476E9" w:rsidRPr="00B36316" w:rsidRDefault="007476E9">
            <w:pPr>
              <w:spacing w:before="0" w:after="0"/>
              <w:jc w:val="left"/>
              <w:textAlignment w:val="baseline"/>
              <w:rPr>
                <w:rFonts w:ascii="Segoe UI" w:eastAsia="Times New Roman" w:hAnsi="Segoe UI" w:cs="Segoe UI"/>
                <w:noProof/>
                <w:sz w:val="18"/>
                <w:szCs w:val="18"/>
                <w:lang w:val="en-IE" w:eastAsia="en-IE"/>
              </w:rPr>
            </w:pPr>
            <w:r w:rsidRPr="00B36316">
              <w:rPr>
                <w:rFonts w:eastAsia="Times New Roman"/>
                <w:b/>
                <w:bCs/>
                <w:noProof/>
                <w:szCs w:val="24"/>
                <w:lang w:eastAsia="en-IE"/>
              </w:rPr>
              <w:t>Data related to the governance of the European cybersecurity certification framework</w:t>
            </w:r>
            <w:r w:rsidRPr="00B36316">
              <w:rPr>
                <w:rFonts w:eastAsia="Times New Roman"/>
                <w:noProof/>
                <w:szCs w:val="24"/>
                <w:lang w:val="en-IE" w:eastAsia="en-IE"/>
              </w:rPr>
              <w:t> </w:t>
            </w:r>
          </w:p>
        </w:tc>
        <w:tc>
          <w:tcPr>
            <w:tcW w:w="2482" w:type="dxa"/>
            <w:tcBorders>
              <w:top w:val="single" w:sz="6" w:space="0" w:color="auto"/>
              <w:left w:val="single" w:sz="6" w:space="0" w:color="auto"/>
              <w:bottom w:val="single" w:sz="6" w:space="0" w:color="auto"/>
              <w:right w:val="single" w:sz="6" w:space="0" w:color="auto"/>
            </w:tcBorders>
            <w:vAlign w:val="center"/>
            <w:hideMark/>
          </w:tcPr>
          <w:p w14:paraId="47347568" w14:textId="77777777" w:rsidR="007476E9" w:rsidRPr="008F0AA6" w:rsidRDefault="007476E9">
            <w:pPr>
              <w:spacing w:before="0" w:after="0"/>
              <w:jc w:val="left"/>
              <w:textAlignment w:val="baseline"/>
              <w:rPr>
                <w:rFonts w:ascii="Segoe UI" w:eastAsia="Times New Roman" w:hAnsi="Segoe UI" w:cs="Segoe UI"/>
                <w:b/>
                <w:bCs/>
                <w:noProof/>
                <w:sz w:val="18"/>
                <w:szCs w:val="18"/>
                <w:lang w:val="en-IE" w:eastAsia="en-IE"/>
              </w:rPr>
            </w:pPr>
            <w:r w:rsidRPr="006B0BBE">
              <w:rPr>
                <w:rFonts w:eastAsia="Times New Roman"/>
                <w:b/>
                <w:bCs/>
                <w:noProof/>
                <w:szCs w:val="24"/>
                <w:lang w:eastAsia="en-IE"/>
              </w:rPr>
              <w:t>Articles 85, 86, 88, 89, 90, 92, 93, 94, 95, 96</w:t>
            </w:r>
            <w:r w:rsidRPr="008F0AA6">
              <w:rPr>
                <w:rFonts w:eastAsia="Times New Roman"/>
                <w:b/>
                <w:bCs/>
                <w:noProof/>
                <w:szCs w:val="24"/>
                <w:lang w:val="en-IE" w:eastAsia="en-IE"/>
              </w:rPr>
              <w:t>, 97</w:t>
            </w:r>
          </w:p>
        </w:tc>
        <w:tc>
          <w:tcPr>
            <w:tcW w:w="6375" w:type="dxa"/>
            <w:tcBorders>
              <w:top w:val="single" w:sz="6" w:space="0" w:color="auto"/>
              <w:left w:val="single" w:sz="6" w:space="0" w:color="auto"/>
              <w:bottom w:val="single" w:sz="6" w:space="0" w:color="auto"/>
              <w:right w:val="single" w:sz="6" w:space="0" w:color="auto"/>
            </w:tcBorders>
            <w:vAlign w:val="center"/>
            <w:hideMark/>
          </w:tcPr>
          <w:p w14:paraId="4288E1B6" w14:textId="77777777" w:rsidR="007476E9" w:rsidRPr="00B36316" w:rsidRDefault="007476E9">
            <w:pPr>
              <w:spacing w:before="0" w:after="0"/>
              <w:jc w:val="left"/>
              <w:textAlignment w:val="baseline"/>
              <w:rPr>
                <w:rFonts w:ascii="Segoe UI" w:eastAsia="Times New Roman" w:hAnsi="Segoe UI" w:cs="Segoe UI"/>
                <w:noProof/>
                <w:sz w:val="18"/>
                <w:szCs w:val="18"/>
                <w:lang w:val="en-IE" w:eastAsia="en-IE"/>
              </w:rPr>
            </w:pPr>
            <w:r w:rsidRPr="00B36316">
              <w:rPr>
                <w:rFonts w:eastAsia="Times New Roman"/>
                <w:noProof/>
                <w:szCs w:val="24"/>
                <w:lang w:eastAsia="en-IE"/>
              </w:rPr>
              <w:t>ENISA, conformity assessment bodies and national cybersecurity certification authorities should ensure confidentiality of data and follow provisions of a relevant scheme referring to international standards that specify the requirements.</w:t>
            </w:r>
            <w:r w:rsidRPr="00B36316">
              <w:rPr>
                <w:rFonts w:eastAsia="Times New Roman"/>
                <w:noProof/>
                <w:szCs w:val="24"/>
                <w:lang w:val="en-IE" w:eastAsia="en-IE"/>
              </w:rPr>
              <w:t> </w:t>
            </w:r>
          </w:p>
        </w:tc>
      </w:tr>
      <w:tr w:rsidR="007476E9" w:rsidRPr="00B36316" w14:paraId="6FE3BB17" w14:textId="77777777">
        <w:trPr>
          <w:trHeight w:val="1005"/>
        </w:trPr>
        <w:tc>
          <w:tcPr>
            <w:tcW w:w="2901" w:type="dxa"/>
            <w:tcBorders>
              <w:top w:val="single" w:sz="6" w:space="0" w:color="auto"/>
              <w:left w:val="single" w:sz="6" w:space="0" w:color="auto"/>
              <w:bottom w:val="single" w:sz="6" w:space="0" w:color="auto"/>
              <w:right w:val="single" w:sz="6" w:space="0" w:color="auto"/>
            </w:tcBorders>
            <w:vAlign w:val="center"/>
            <w:hideMark/>
          </w:tcPr>
          <w:p w14:paraId="15E38C79" w14:textId="77777777" w:rsidR="007476E9" w:rsidRPr="00B36316" w:rsidRDefault="007476E9">
            <w:pPr>
              <w:spacing w:before="0" w:after="0"/>
              <w:jc w:val="left"/>
              <w:textAlignment w:val="baseline"/>
              <w:rPr>
                <w:rFonts w:ascii="Segoe UI" w:eastAsia="Times New Roman" w:hAnsi="Segoe UI" w:cs="Segoe UI"/>
                <w:noProof/>
                <w:sz w:val="18"/>
                <w:szCs w:val="18"/>
                <w:lang w:val="en-IE" w:eastAsia="en-IE"/>
              </w:rPr>
            </w:pPr>
            <w:r w:rsidRPr="00B36316">
              <w:rPr>
                <w:rFonts w:eastAsia="Times New Roman"/>
                <w:b/>
                <w:bCs/>
                <w:noProof/>
                <w:szCs w:val="24"/>
                <w:lang w:eastAsia="en-IE"/>
              </w:rPr>
              <w:t>Data with relevance to the internal ENISA functions (budget, SPD, internal strategies)</w:t>
            </w:r>
            <w:r w:rsidRPr="00B36316">
              <w:rPr>
                <w:rFonts w:eastAsia="Times New Roman"/>
                <w:noProof/>
                <w:szCs w:val="24"/>
                <w:lang w:val="en-IE" w:eastAsia="en-IE"/>
              </w:rPr>
              <w:t> </w:t>
            </w:r>
          </w:p>
        </w:tc>
        <w:tc>
          <w:tcPr>
            <w:tcW w:w="2482" w:type="dxa"/>
            <w:tcBorders>
              <w:top w:val="single" w:sz="6" w:space="0" w:color="auto"/>
              <w:left w:val="single" w:sz="6" w:space="0" w:color="auto"/>
              <w:bottom w:val="single" w:sz="6" w:space="0" w:color="auto"/>
              <w:right w:val="single" w:sz="6" w:space="0" w:color="auto"/>
            </w:tcBorders>
            <w:vAlign w:val="center"/>
            <w:hideMark/>
          </w:tcPr>
          <w:p w14:paraId="5590CE5B" w14:textId="77777777" w:rsidR="007476E9" w:rsidRPr="00B36316" w:rsidRDefault="007476E9">
            <w:pPr>
              <w:spacing w:before="0" w:after="0"/>
              <w:jc w:val="left"/>
              <w:textAlignment w:val="baseline"/>
              <w:rPr>
                <w:rFonts w:ascii="Segoe UI" w:eastAsia="Times New Roman" w:hAnsi="Segoe UI" w:cs="Segoe UI"/>
                <w:noProof/>
                <w:sz w:val="18"/>
                <w:szCs w:val="18"/>
                <w:lang w:val="fr-FR" w:eastAsia="en-IE"/>
              </w:rPr>
            </w:pPr>
            <w:r w:rsidRPr="00B36316">
              <w:rPr>
                <w:rFonts w:eastAsia="Times New Roman"/>
                <w:b/>
                <w:bCs/>
                <w:noProof/>
                <w:szCs w:val="24"/>
                <w:lang w:val="fr-BE" w:eastAsia="en-IE"/>
              </w:rPr>
              <w:t>Article 25</w:t>
            </w:r>
            <w:r w:rsidRPr="00B36316">
              <w:rPr>
                <w:rFonts w:eastAsia="Times New Roman"/>
                <w:noProof/>
                <w:szCs w:val="24"/>
                <w:lang w:val="fr-FR" w:eastAsia="en-IE"/>
              </w:rPr>
              <w:t> </w:t>
            </w:r>
          </w:p>
          <w:p w14:paraId="2F494F14" w14:textId="77777777" w:rsidR="007476E9" w:rsidRPr="00B36316" w:rsidRDefault="007476E9">
            <w:pPr>
              <w:spacing w:before="0" w:after="0"/>
              <w:jc w:val="left"/>
              <w:textAlignment w:val="baseline"/>
              <w:rPr>
                <w:rFonts w:ascii="Segoe UI" w:eastAsia="Times New Roman" w:hAnsi="Segoe UI" w:cs="Segoe UI"/>
                <w:noProof/>
                <w:sz w:val="18"/>
                <w:szCs w:val="18"/>
                <w:lang w:val="fr-FR" w:eastAsia="en-IE"/>
              </w:rPr>
            </w:pPr>
          </w:p>
          <w:p w14:paraId="2A6B79D3" w14:textId="77777777" w:rsidR="007476E9" w:rsidRPr="00B36316" w:rsidRDefault="007476E9">
            <w:pPr>
              <w:spacing w:before="0" w:after="0"/>
              <w:jc w:val="left"/>
              <w:textAlignment w:val="baseline"/>
              <w:rPr>
                <w:rFonts w:ascii="Segoe UI" w:eastAsia="Times New Roman" w:hAnsi="Segoe UI" w:cs="Segoe UI"/>
                <w:noProof/>
                <w:sz w:val="18"/>
                <w:szCs w:val="18"/>
                <w:lang w:val="fr-FR" w:eastAsia="en-IE"/>
              </w:rPr>
            </w:pPr>
            <w:r w:rsidRPr="00B36316">
              <w:rPr>
                <w:rFonts w:eastAsia="Times New Roman"/>
                <w:b/>
                <w:bCs/>
                <w:noProof/>
                <w:szCs w:val="24"/>
                <w:lang w:val="fr-BE" w:eastAsia="en-IE"/>
              </w:rPr>
              <w:t>Article 28(1)</w:t>
            </w:r>
            <w:r w:rsidRPr="00B36316">
              <w:rPr>
                <w:rFonts w:eastAsia="Times New Roman"/>
                <w:noProof/>
                <w:szCs w:val="24"/>
                <w:lang w:val="fr-FR" w:eastAsia="en-IE"/>
              </w:rPr>
              <w:t> </w:t>
            </w:r>
          </w:p>
          <w:p w14:paraId="782D5908" w14:textId="77777777" w:rsidR="007476E9" w:rsidRPr="00B36316" w:rsidRDefault="007476E9">
            <w:pPr>
              <w:spacing w:before="0" w:after="0"/>
              <w:jc w:val="left"/>
              <w:textAlignment w:val="baseline"/>
              <w:rPr>
                <w:rFonts w:ascii="Segoe UI" w:eastAsia="Times New Roman" w:hAnsi="Segoe UI" w:cs="Segoe UI"/>
                <w:noProof/>
                <w:sz w:val="18"/>
                <w:szCs w:val="18"/>
                <w:lang w:val="fr-FR" w:eastAsia="en-IE"/>
              </w:rPr>
            </w:pPr>
            <w:r w:rsidRPr="00B36316">
              <w:rPr>
                <w:rFonts w:eastAsia="Times New Roman"/>
                <w:b/>
                <w:bCs/>
                <w:noProof/>
                <w:szCs w:val="24"/>
                <w:lang w:val="fr-BE" w:eastAsia="en-IE"/>
              </w:rPr>
              <w:t>Article 30</w:t>
            </w:r>
            <w:r w:rsidRPr="00B36316">
              <w:rPr>
                <w:rFonts w:eastAsia="Times New Roman"/>
                <w:noProof/>
                <w:szCs w:val="24"/>
                <w:lang w:val="fr-FR" w:eastAsia="en-IE"/>
              </w:rPr>
              <w:t> </w:t>
            </w:r>
          </w:p>
          <w:p w14:paraId="7EBD8FBF" w14:textId="77777777" w:rsidR="007476E9" w:rsidRPr="00B36316" w:rsidRDefault="007476E9">
            <w:pPr>
              <w:spacing w:before="0" w:after="0"/>
              <w:jc w:val="left"/>
              <w:textAlignment w:val="baseline"/>
              <w:rPr>
                <w:rFonts w:ascii="Segoe UI" w:eastAsia="Times New Roman" w:hAnsi="Segoe UI" w:cs="Segoe UI"/>
                <w:noProof/>
                <w:sz w:val="18"/>
                <w:szCs w:val="18"/>
                <w:lang w:val="fr-FR" w:eastAsia="en-IE"/>
              </w:rPr>
            </w:pPr>
            <w:r w:rsidRPr="00B36316">
              <w:rPr>
                <w:rFonts w:eastAsia="Times New Roman"/>
                <w:b/>
                <w:bCs/>
                <w:noProof/>
                <w:szCs w:val="24"/>
                <w:lang w:val="fr-BE" w:eastAsia="en-IE"/>
              </w:rPr>
              <w:t>Article 31(8)</w:t>
            </w:r>
            <w:r w:rsidRPr="00B36316">
              <w:rPr>
                <w:rFonts w:eastAsia="Times New Roman"/>
                <w:noProof/>
                <w:szCs w:val="24"/>
                <w:lang w:val="fr-FR" w:eastAsia="en-IE"/>
              </w:rPr>
              <w:t> </w:t>
            </w:r>
          </w:p>
          <w:p w14:paraId="49409EBA" w14:textId="77777777" w:rsidR="007476E9" w:rsidRPr="00B36316" w:rsidRDefault="007476E9">
            <w:pPr>
              <w:spacing w:before="0" w:after="0"/>
              <w:jc w:val="left"/>
              <w:textAlignment w:val="baseline"/>
              <w:rPr>
                <w:rFonts w:ascii="Segoe UI" w:eastAsia="Times New Roman" w:hAnsi="Segoe UI" w:cs="Segoe UI"/>
                <w:noProof/>
                <w:sz w:val="18"/>
                <w:szCs w:val="18"/>
                <w:lang w:val="fr-FR" w:eastAsia="en-IE"/>
              </w:rPr>
            </w:pPr>
            <w:r w:rsidRPr="00B36316">
              <w:rPr>
                <w:rFonts w:eastAsia="Times New Roman"/>
                <w:b/>
                <w:bCs/>
                <w:noProof/>
                <w:szCs w:val="24"/>
                <w:lang w:val="fr-BE" w:eastAsia="en-IE"/>
              </w:rPr>
              <w:t>Article 32(3), (5)</w:t>
            </w:r>
            <w:r w:rsidRPr="00B36316">
              <w:rPr>
                <w:rFonts w:eastAsia="Times New Roman"/>
                <w:noProof/>
                <w:szCs w:val="24"/>
                <w:lang w:val="fr-FR" w:eastAsia="en-IE"/>
              </w:rPr>
              <w:t> </w:t>
            </w:r>
          </w:p>
          <w:p w14:paraId="4F1627A7" w14:textId="77777777" w:rsidR="007476E9" w:rsidRPr="00B36316" w:rsidRDefault="007476E9">
            <w:pPr>
              <w:spacing w:before="0" w:after="0"/>
              <w:jc w:val="left"/>
              <w:textAlignment w:val="baseline"/>
              <w:rPr>
                <w:rFonts w:ascii="Segoe UI" w:eastAsia="Times New Roman" w:hAnsi="Segoe UI" w:cs="Segoe UI"/>
                <w:noProof/>
                <w:sz w:val="18"/>
                <w:szCs w:val="18"/>
                <w:lang w:val="fr-FR" w:eastAsia="en-IE"/>
              </w:rPr>
            </w:pPr>
            <w:r w:rsidRPr="00B36316">
              <w:rPr>
                <w:rFonts w:eastAsia="Times New Roman"/>
                <w:b/>
                <w:bCs/>
                <w:noProof/>
                <w:szCs w:val="24"/>
                <w:lang w:val="fr-BE" w:eastAsia="en-IE"/>
              </w:rPr>
              <w:t>Article 35(5), (6)</w:t>
            </w:r>
            <w:r w:rsidRPr="00B36316">
              <w:rPr>
                <w:rFonts w:eastAsia="Times New Roman"/>
                <w:noProof/>
                <w:szCs w:val="24"/>
                <w:lang w:val="fr-FR" w:eastAsia="en-IE"/>
              </w:rPr>
              <w:t> </w:t>
            </w:r>
          </w:p>
          <w:p w14:paraId="1FFC0298" w14:textId="77777777" w:rsidR="007476E9" w:rsidRPr="00B36316" w:rsidRDefault="007476E9">
            <w:pPr>
              <w:spacing w:before="0" w:after="0"/>
              <w:jc w:val="left"/>
              <w:textAlignment w:val="baseline"/>
              <w:rPr>
                <w:rFonts w:ascii="Segoe UI" w:eastAsia="Times New Roman" w:hAnsi="Segoe UI" w:cs="Segoe UI"/>
                <w:noProof/>
                <w:sz w:val="18"/>
                <w:szCs w:val="18"/>
                <w:lang w:val="fr-FR" w:eastAsia="en-IE"/>
              </w:rPr>
            </w:pPr>
            <w:r w:rsidRPr="00B36316">
              <w:rPr>
                <w:rFonts w:eastAsia="Times New Roman"/>
                <w:b/>
                <w:bCs/>
                <w:noProof/>
                <w:szCs w:val="24"/>
                <w:lang w:val="fr-BE" w:eastAsia="en-IE"/>
              </w:rPr>
              <w:t>Article 36-43</w:t>
            </w:r>
            <w:r w:rsidRPr="00B36316">
              <w:rPr>
                <w:rFonts w:eastAsia="Times New Roman"/>
                <w:noProof/>
                <w:szCs w:val="24"/>
                <w:lang w:val="fr-FR" w:eastAsia="en-IE"/>
              </w:rPr>
              <w:t> </w:t>
            </w:r>
          </w:p>
          <w:p w14:paraId="21FC3B4A" w14:textId="77777777" w:rsidR="007476E9" w:rsidRPr="00B36316" w:rsidRDefault="007476E9">
            <w:pPr>
              <w:spacing w:before="0" w:after="0"/>
              <w:jc w:val="left"/>
              <w:textAlignment w:val="baseline"/>
              <w:rPr>
                <w:rFonts w:ascii="Segoe UI" w:eastAsia="Times New Roman" w:hAnsi="Segoe UI" w:cs="Segoe UI"/>
                <w:noProof/>
                <w:sz w:val="18"/>
                <w:szCs w:val="18"/>
                <w:lang w:val="fr-FR" w:eastAsia="en-IE"/>
              </w:rPr>
            </w:pPr>
            <w:r w:rsidRPr="00B36316">
              <w:rPr>
                <w:rFonts w:eastAsia="Times New Roman"/>
                <w:b/>
                <w:bCs/>
                <w:noProof/>
                <w:szCs w:val="24"/>
                <w:lang w:val="fr-BE" w:eastAsia="en-IE"/>
              </w:rPr>
              <w:t>Article 44</w:t>
            </w:r>
            <w:r w:rsidRPr="00B36316">
              <w:rPr>
                <w:rFonts w:eastAsia="Times New Roman"/>
                <w:noProof/>
                <w:szCs w:val="24"/>
                <w:lang w:val="fr-FR" w:eastAsia="en-IE"/>
              </w:rPr>
              <w:t> </w:t>
            </w:r>
          </w:p>
          <w:p w14:paraId="647B56F4" w14:textId="77777777" w:rsidR="007476E9" w:rsidRPr="00B36316" w:rsidRDefault="007476E9">
            <w:pPr>
              <w:spacing w:before="0" w:after="0"/>
              <w:jc w:val="left"/>
              <w:textAlignment w:val="baseline"/>
              <w:rPr>
                <w:rFonts w:ascii="Segoe UI" w:eastAsia="Times New Roman" w:hAnsi="Segoe UI" w:cs="Segoe UI"/>
                <w:noProof/>
                <w:sz w:val="18"/>
                <w:szCs w:val="18"/>
                <w:lang w:val="fr-FR" w:eastAsia="en-IE"/>
              </w:rPr>
            </w:pPr>
            <w:r w:rsidRPr="00B36316">
              <w:rPr>
                <w:rFonts w:eastAsia="Times New Roman"/>
                <w:b/>
                <w:bCs/>
                <w:noProof/>
                <w:szCs w:val="24"/>
                <w:lang w:val="fr-BE" w:eastAsia="en-IE"/>
              </w:rPr>
              <w:t>Article 45</w:t>
            </w:r>
            <w:r w:rsidRPr="00B36316">
              <w:rPr>
                <w:rFonts w:eastAsia="Times New Roman"/>
                <w:noProof/>
                <w:szCs w:val="24"/>
                <w:lang w:val="fr-FR" w:eastAsia="en-IE"/>
              </w:rPr>
              <w:t> </w:t>
            </w:r>
          </w:p>
          <w:p w14:paraId="6AC3BD02" w14:textId="77777777" w:rsidR="007476E9" w:rsidRPr="008F0AA6" w:rsidRDefault="007476E9">
            <w:pPr>
              <w:spacing w:before="0" w:after="0"/>
              <w:jc w:val="left"/>
              <w:textAlignment w:val="baseline"/>
              <w:rPr>
                <w:rFonts w:ascii="Segoe UI" w:eastAsia="Times New Roman" w:hAnsi="Segoe UI" w:cs="Segoe UI"/>
                <w:noProof/>
                <w:sz w:val="18"/>
                <w:szCs w:val="18"/>
                <w:lang w:val="fr-BE" w:eastAsia="en-IE"/>
              </w:rPr>
            </w:pPr>
            <w:r w:rsidRPr="00B36316">
              <w:rPr>
                <w:rFonts w:eastAsia="Times New Roman"/>
                <w:b/>
                <w:bCs/>
                <w:noProof/>
                <w:szCs w:val="24"/>
                <w:lang w:val="fr-BE" w:eastAsia="en-IE"/>
              </w:rPr>
              <w:t>Article 47(10)</w:t>
            </w:r>
            <w:r w:rsidRPr="008F0AA6">
              <w:rPr>
                <w:rFonts w:eastAsia="Times New Roman"/>
                <w:noProof/>
                <w:szCs w:val="24"/>
                <w:lang w:val="fr-BE" w:eastAsia="en-IE"/>
              </w:rPr>
              <w:t> </w:t>
            </w:r>
          </w:p>
          <w:p w14:paraId="7236E4EB" w14:textId="77777777" w:rsidR="007476E9" w:rsidRPr="00B36316" w:rsidRDefault="007476E9">
            <w:pPr>
              <w:spacing w:before="0" w:after="0"/>
              <w:jc w:val="left"/>
              <w:textAlignment w:val="baseline"/>
              <w:rPr>
                <w:rFonts w:ascii="Segoe UI" w:eastAsia="Times New Roman" w:hAnsi="Segoe UI" w:cs="Segoe UI"/>
                <w:noProof/>
                <w:sz w:val="18"/>
                <w:szCs w:val="18"/>
                <w:lang w:val="en-IE" w:eastAsia="en-IE"/>
              </w:rPr>
            </w:pPr>
            <w:r w:rsidRPr="00B36316">
              <w:rPr>
                <w:rFonts w:eastAsia="Times New Roman"/>
                <w:b/>
                <w:bCs/>
                <w:noProof/>
                <w:szCs w:val="24"/>
                <w:lang w:val="fr-BE" w:eastAsia="en-IE"/>
              </w:rPr>
              <w:t>Articles 48-49</w:t>
            </w:r>
            <w:r w:rsidRPr="00B36316">
              <w:rPr>
                <w:rFonts w:eastAsia="Times New Roman"/>
                <w:noProof/>
                <w:szCs w:val="24"/>
                <w:lang w:val="en-IE" w:eastAsia="en-IE"/>
              </w:rPr>
              <w:t> </w:t>
            </w:r>
          </w:p>
          <w:p w14:paraId="3EF8FA7D" w14:textId="77777777" w:rsidR="007476E9" w:rsidRPr="00B36316" w:rsidRDefault="007476E9">
            <w:pPr>
              <w:spacing w:before="0" w:after="0"/>
              <w:jc w:val="left"/>
              <w:textAlignment w:val="baseline"/>
              <w:rPr>
                <w:rFonts w:ascii="Segoe UI" w:eastAsia="Times New Roman" w:hAnsi="Segoe UI" w:cs="Segoe UI"/>
                <w:noProof/>
                <w:sz w:val="18"/>
                <w:szCs w:val="18"/>
                <w:lang w:val="en-IE" w:eastAsia="en-IE"/>
              </w:rPr>
            </w:pPr>
            <w:r w:rsidRPr="00B36316">
              <w:rPr>
                <w:rFonts w:eastAsia="Times New Roman"/>
                <w:b/>
                <w:bCs/>
                <w:noProof/>
                <w:szCs w:val="24"/>
                <w:lang w:val="fr-BE" w:eastAsia="en-IE"/>
              </w:rPr>
              <w:t>Article 52, Article 58</w:t>
            </w:r>
            <w:r w:rsidRPr="00B36316">
              <w:rPr>
                <w:rFonts w:eastAsia="Times New Roman"/>
                <w:noProof/>
                <w:szCs w:val="24"/>
                <w:lang w:val="en-IE" w:eastAsia="en-IE"/>
              </w:rPr>
              <w:t> </w:t>
            </w:r>
          </w:p>
        </w:tc>
        <w:tc>
          <w:tcPr>
            <w:tcW w:w="6375" w:type="dxa"/>
            <w:tcBorders>
              <w:top w:val="single" w:sz="6" w:space="0" w:color="auto"/>
              <w:left w:val="single" w:sz="6" w:space="0" w:color="auto"/>
              <w:bottom w:val="single" w:sz="6" w:space="0" w:color="auto"/>
              <w:right w:val="single" w:sz="6" w:space="0" w:color="auto"/>
            </w:tcBorders>
            <w:vAlign w:val="center"/>
            <w:hideMark/>
          </w:tcPr>
          <w:p w14:paraId="70AE75A2" w14:textId="77777777" w:rsidR="007476E9" w:rsidRPr="00B36316" w:rsidRDefault="007476E9">
            <w:pPr>
              <w:spacing w:before="0" w:after="0"/>
              <w:jc w:val="left"/>
              <w:textAlignment w:val="baseline"/>
              <w:rPr>
                <w:rFonts w:ascii="Segoe UI" w:eastAsia="Times New Roman" w:hAnsi="Segoe UI" w:cs="Segoe UI"/>
                <w:noProof/>
                <w:sz w:val="18"/>
                <w:szCs w:val="18"/>
                <w:lang w:val="en-IE" w:eastAsia="en-IE"/>
              </w:rPr>
            </w:pPr>
            <w:r w:rsidRPr="00B36316">
              <w:rPr>
                <w:rFonts w:eastAsia="Times New Roman"/>
                <w:b/>
                <w:bCs/>
                <w:noProof/>
                <w:szCs w:val="24"/>
                <w:lang w:eastAsia="en-IE"/>
              </w:rPr>
              <w:t>Financial regulation templates and guidelines; internal guidelines </w:t>
            </w:r>
            <w:r w:rsidRPr="00B36316">
              <w:rPr>
                <w:rFonts w:eastAsia="Times New Roman"/>
                <w:noProof/>
                <w:szCs w:val="24"/>
                <w:lang w:val="en-IE" w:eastAsia="en-IE"/>
              </w:rPr>
              <w:t> </w:t>
            </w:r>
          </w:p>
        </w:tc>
      </w:tr>
      <w:tr w:rsidR="007476E9" w:rsidRPr="00B36316" w14:paraId="3044083B" w14:textId="77777777">
        <w:trPr>
          <w:trHeight w:val="1005"/>
        </w:trPr>
        <w:tc>
          <w:tcPr>
            <w:tcW w:w="2901" w:type="dxa"/>
            <w:tcBorders>
              <w:top w:val="single" w:sz="6" w:space="0" w:color="auto"/>
              <w:left w:val="single" w:sz="6" w:space="0" w:color="auto"/>
              <w:bottom w:val="single" w:sz="6" w:space="0" w:color="auto"/>
              <w:right w:val="single" w:sz="6" w:space="0" w:color="auto"/>
            </w:tcBorders>
            <w:vAlign w:val="center"/>
            <w:hideMark/>
          </w:tcPr>
          <w:p w14:paraId="0E8D4949" w14:textId="77777777" w:rsidR="007476E9" w:rsidRPr="00B36316" w:rsidRDefault="007476E9">
            <w:pPr>
              <w:spacing w:before="0" w:after="0"/>
              <w:jc w:val="left"/>
              <w:textAlignment w:val="baseline"/>
              <w:rPr>
                <w:rFonts w:ascii="Segoe UI" w:eastAsia="Times New Roman" w:hAnsi="Segoe UI" w:cs="Segoe UI"/>
                <w:noProof/>
                <w:sz w:val="18"/>
                <w:szCs w:val="18"/>
                <w:lang w:val="en-IE" w:eastAsia="en-IE"/>
              </w:rPr>
            </w:pPr>
            <w:r w:rsidRPr="00B36316">
              <w:rPr>
                <w:rFonts w:eastAsia="Times New Roman"/>
                <w:b/>
                <w:bCs/>
                <w:noProof/>
                <w:szCs w:val="24"/>
                <w:lang w:eastAsia="en-IE"/>
              </w:rPr>
              <w:t>Personal data</w:t>
            </w:r>
            <w:r w:rsidRPr="00B36316">
              <w:rPr>
                <w:rFonts w:eastAsia="Times New Roman"/>
                <w:noProof/>
                <w:szCs w:val="24"/>
                <w:lang w:val="en-IE" w:eastAsia="en-IE"/>
              </w:rPr>
              <w:t> </w:t>
            </w:r>
          </w:p>
        </w:tc>
        <w:tc>
          <w:tcPr>
            <w:tcW w:w="2482" w:type="dxa"/>
            <w:tcBorders>
              <w:top w:val="single" w:sz="6" w:space="0" w:color="auto"/>
              <w:left w:val="single" w:sz="6" w:space="0" w:color="auto"/>
              <w:bottom w:val="single" w:sz="6" w:space="0" w:color="auto"/>
              <w:right w:val="single" w:sz="6" w:space="0" w:color="auto"/>
            </w:tcBorders>
            <w:vAlign w:val="center"/>
            <w:hideMark/>
          </w:tcPr>
          <w:p w14:paraId="5D412699" w14:textId="77777777" w:rsidR="007476E9" w:rsidRPr="00B36316" w:rsidRDefault="007476E9">
            <w:pPr>
              <w:spacing w:before="0" w:after="0"/>
              <w:jc w:val="left"/>
              <w:textAlignment w:val="baseline"/>
              <w:rPr>
                <w:rFonts w:ascii="Segoe UI" w:eastAsia="Times New Roman" w:hAnsi="Segoe UI" w:cs="Segoe UI"/>
                <w:noProof/>
                <w:sz w:val="18"/>
                <w:szCs w:val="18"/>
                <w:lang w:val="en-IE" w:eastAsia="en-IE"/>
              </w:rPr>
            </w:pPr>
            <w:r w:rsidRPr="00B36316">
              <w:rPr>
                <w:rFonts w:eastAsia="Times New Roman"/>
                <w:b/>
                <w:bCs/>
                <w:noProof/>
                <w:szCs w:val="24"/>
                <w:lang w:eastAsia="en-IE"/>
              </w:rPr>
              <w:t>Article 22</w:t>
            </w:r>
            <w:r w:rsidRPr="00B36316">
              <w:rPr>
                <w:rFonts w:eastAsia="Times New Roman"/>
                <w:noProof/>
                <w:szCs w:val="24"/>
                <w:lang w:val="en-IE" w:eastAsia="en-IE"/>
              </w:rPr>
              <w:t> </w:t>
            </w:r>
          </w:p>
          <w:p w14:paraId="27729473" w14:textId="77777777" w:rsidR="007476E9" w:rsidRPr="00B36316" w:rsidRDefault="007476E9">
            <w:pPr>
              <w:spacing w:before="0" w:after="0"/>
              <w:jc w:val="left"/>
              <w:textAlignment w:val="baseline"/>
              <w:rPr>
                <w:rFonts w:ascii="Segoe UI" w:eastAsia="Times New Roman" w:hAnsi="Segoe UI" w:cs="Segoe UI"/>
                <w:noProof/>
                <w:sz w:val="18"/>
                <w:szCs w:val="18"/>
                <w:lang w:val="en-IE" w:eastAsia="en-IE"/>
              </w:rPr>
            </w:pPr>
            <w:r w:rsidRPr="00B36316">
              <w:rPr>
                <w:rFonts w:eastAsia="Times New Roman"/>
                <w:b/>
                <w:bCs/>
                <w:noProof/>
                <w:szCs w:val="24"/>
                <w:lang w:eastAsia="en-IE"/>
              </w:rPr>
              <w:t>Title II, Chapter III, Section 6 Board of Appeal</w:t>
            </w:r>
            <w:r w:rsidRPr="00B36316">
              <w:rPr>
                <w:rFonts w:eastAsia="Times New Roman"/>
                <w:noProof/>
                <w:szCs w:val="24"/>
                <w:lang w:val="en-IE" w:eastAsia="en-IE"/>
              </w:rPr>
              <w:t> </w:t>
            </w:r>
          </w:p>
          <w:p w14:paraId="71B5C396" w14:textId="77777777" w:rsidR="007476E9" w:rsidRPr="00B36316" w:rsidRDefault="007476E9">
            <w:pPr>
              <w:spacing w:before="0" w:after="0"/>
              <w:jc w:val="left"/>
              <w:textAlignment w:val="baseline"/>
              <w:rPr>
                <w:rFonts w:ascii="Segoe UI" w:eastAsia="Times New Roman" w:hAnsi="Segoe UI" w:cs="Segoe UI"/>
                <w:noProof/>
                <w:sz w:val="18"/>
                <w:szCs w:val="18"/>
                <w:lang w:val="fr-FR" w:eastAsia="en-IE"/>
              </w:rPr>
            </w:pPr>
            <w:r w:rsidRPr="00B36316">
              <w:rPr>
                <w:rFonts w:eastAsia="Times New Roman"/>
                <w:b/>
                <w:bCs/>
                <w:noProof/>
                <w:szCs w:val="24"/>
                <w:lang w:val="fr-BE" w:eastAsia="en-IE"/>
              </w:rPr>
              <w:t>Article 66</w:t>
            </w:r>
            <w:r w:rsidRPr="00B36316">
              <w:rPr>
                <w:rFonts w:eastAsia="Times New Roman"/>
                <w:noProof/>
                <w:szCs w:val="24"/>
                <w:lang w:val="fr-FR" w:eastAsia="en-IE"/>
              </w:rPr>
              <w:t> </w:t>
            </w:r>
          </w:p>
          <w:p w14:paraId="651D3A17" w14:textId="77777777" w:rsidR="007476E9" w:rsidRPr="00B36316" w:rsidRDefault="007476E9">
            <w:pPr>
              <w:spacing w:before="0" w:after="0"/>
              <w:jc w:val="left"/>
              <w:textAlignment w:val="baseline"/>
              <w:rPr>
                <w:rFonts w:ascii="Segoe UI" w:eastAsia="Times New Roman" w:hAnsi="Segoe UI" w:cs="Segoe UI"/>
                <w:noProof/>
                <w:sz w:val="18"/>
                <w:szCs w:val="18"/>
                <w:lang w:val="fr-FR" w:eastAsia="en-IE"/>
              </w:rPr>
            </w:pPr>
            <w:r w:rsidRPr="00B36316">
              <w:rPr>
                <w:rFonts w:eastAsia="Times New Roman"/>
                <w:b/>
                <w:bCs/>
                <w:noProof/>
                <w:szCs w:val="24"/>
                <w:lang w:val="fr-BE" w:eastAsia="en-IE"/>
              </w:rPr>
              <w:t>Article 80 (1) (c), (</w:t>
            </w:r>
            <w:r>
              <w:rPr>
                <w:rFonts w:eastAsia="Times New Roman"/>
                <w:b/>
                <w:bCs/>
                <w:noProof/>
                <w:szCs w:val="24"/>
                <w:lang w:val="fr-BE" w:eastAsia="en-IE"/>
              </w:rPr>
              <w:t>x</w:t>
            </w:r>
            <w:r w:rsidRPr="00B36316">
              <w:rPr>
                <w:rFonts w:eastAsia="Times New Roman"/>
                <w:b/>
                <w:bCs/>
                <w:noProof/>
                <w:szCs w:val="24"/>
                <w:lang w:val="fr-BE" w:eastAsia="en-IE"/>
              </w:rPr>
              <w:t>)</w:t>
            </w:r>
            <w:r w:rsidRPr="00B36316">
              <w:rPr>
                <w:rFonts w:eastAsia="Times New Roman"/>
                <w:noProof/>
                <w:szCs w:val="24"/>
                <w:lang w:val="fr-FR" w:eastAsia="en-IE"/>
              </w:rPr>
              <w:t> </w:t>
            </w:r>
          </w:p>
          <w:p w14:paraId="2D4A7413" w14:textId="77777777" w:rsidR="007476E9" w:rsidRPr="00B36316" w:rsidRDefault="007476E9">
            <w:pPr>
              <w:spacing w:before="0" w:after="0"/>
              <w:jc w:val="left"/>
              <w:textAlignment w:val="baseline"/>
              <w:rPr>
                <w:rFonts w:ascii="Segoe UI" w:eastAsia="Times New Roman" w:hAnsi="Segoe UI" w:cs="Segoe UI"/>
                <w:noProof/>
                <w:sz w:val="18"/>
                <w:szCs w:val="18"/>
                <w:lang w:val="fr-FR" w:eastAsia="en-IE"/>
              </w:rPr>
            </w:pPr>
            <w:r w:rsidRPr="00B36316">
              <w:rPr>
                <w:rFonts w:eastAsia="Times New Roman"/>
                <w:b/>
                <w:bCs/>
                <w:noProof/>
                <w:szCs w:val="24"/>
                <w:lang w:val="fr-BE" w:eastAsia="en-IE"/>
              </w:rPr>
              <w:t>Article 81 (2)</w:t>
            </w:r>
          </w:p>
          <w:p w14:paraId="1C53D013" w14:textId="77777777" w:rsidR="007476E9" w:rsidRPr="00B36316" w:rsidRDefault="007476E9">
            <w:pPr>
              <w:spacing w:before="0" w:after="0"/>
              <w:jc w:val="left"/>
              <w:textAlignment w:val="baseline"/>
              <w:rPr>
                <w:rFonts w:ascii="Segoe UI" w:eastAsia="Times New Roman" w:hAnsi="Segoe UI" w:cs="Segoe UI"/>
                <w:noProof/>
                <w:sz w:val="18"/>
                <w:szCs w:val="18"/>
                <w:lang w:val="en-IE" w:eastAsia="en-IE"/>
              </w:rPr>
            </w:pPr>
            <w:r w:rsidRPr="00B36316">
              <w:rPr>
                <w:rFonts w:eastAsia="Times New Roman"/>
                <w:b/>
                <w:bCs/>
                <w:noProof/>
                <w:szCs w:val="24"/>
                <w:lang w:eastAsia="en-IE"/>
              </w:rPr>
              <w:t>Article 88 (</w:t>
            </w:r>
            <w:r>
              <w:rPr>
                <w:rFonts w:eastAsia="Times New Roman"/>
                <w:b/>
                <w:bCs/>
                <w:noProof/>
                <w:szCs w:val="24"/>
                <w:lang w:eastAsia="en-IE"/>
              </w:rPr>
              <w:t>6</w:t>
            </w:r>
            <w:r w:rsidRPr="00B36316">
              <w:rPr>
                <w:rFonts w:eastAsia="Times New Roman"/>
                <w:b/>
                <w:bCs/>
                <w:noProof/>
                <w:szCs w:val="24"/>
                <w:lang w:eastAsia="en-IE"/>
              </w:rPr>
              <w:t>) (</w:t>
            </w:r>
            <w:r>
              <w:rPr>
                <w:rFonts w:eastAsia="Times New Roman"/>
                <w:b/>
                <w:bCs/>
                <w:noProof/>
                <w:szCs w:val="24"/>
                <w:lang w:eastAsia="en-IE"/>
              </w:rPr>
              <w:t>h</w:t>
            </w:r>
            <w:r w:rsidRPr="00B36316">
              <w:rPr>
                <w:rFonts w:eastAsia="Times New Roman"/>
                <w:b/>
                <w:bCs/>
                <w:noProof/>
                <w:szCs w:val="24"/>
                <w:lang w:eastAsia="en-IE"/>
              </w:rPr>
              <w:t>)</w:t>
            </w:r>
            <w:r w:rsidRPr="00B36316">
              <w:rPr>
                <w:rFonts w:eastAsia="Times New Roman"/>
                <w:noProof/>
                <w:szCs w:val="24"/>
                <w:lang w:val="en-IE" w:eastAsia="en-IE"/>
              </w:rPr>
              <w:t> </w:t>
            </w:r>
          </w:p>
          <w:p w14:paraId="56623434" w14:textId="77777777" w:rsidR="007476E9" w:rsidRPr="00B36316" w:rsidRDefault="007476E9">
            <w:pPr>
              <w:spacing w:before="0" w:after="0"/>
              <w:jc w:val="left"/>
              <w:textAlignment w:val="baseline"/>
              <w:rPr>
                <w:rFonts w:ascii="Segoe UI" w:eastAsia="Times New Roman" w:hAnsi="Segoe UI" w:cs="Segoe UI"/>
                <w:noProof/>
                <w:sz w:val="18"/>
                <w:szCs w:val="18"/>
                <w:lang w:val="en-IE" w:eastAsia="en-IE"/>
              </w:rPr>
            </w:pPr>
            <w:r w:rsidRPr="00B36316">
              <w:rPr>
                <w:rFonts w:eastAsia="Times New Roman"/>
                <w:b/>
                <w:bCs/>
                <w:noProof/>
                <w:szCs w:val="24"/>
                <w:lang w:eastAsia="en-IE"/>
              </w:rPr>
              <w:t>Article 95</w:t>
            </w:r>
            <w:r w:rsidRPr="00B36316">
              <w:rPr>
                <w:rFonts w:eastAsia="Times New Roman"/>
                <w:noProof/>
                <w:szCs w:val="24"/>
                <w:lang w:val="en-IE" w:eastAsia="en-IE"/>
              </w:rPr>
              <w:t> </w:t>
            </w:r>
          </w:p>
          <w:p w14:paraId="10799DCA" w14:textId="77777777" w:rsidR="007476E9" w:rsidRPr="008F0AA6" w:rsidRDefault="007476E9">
            <w:pPr>
              <w:spacing w:before="0" w:after="0"/>
              <w:jc w:val="left"/>
              <w:textAlignment w:val="baseline"/>
              <w:rPr>
                <w:rFonts w:eastAsia="Times New Roman"/>
                <w:noProof/>
                <w:szCs w:val="24"/>
                <w:lang w:val="en-IE" w:eastAsia="en-IE"/>
              </w:rPr>
            </w:pPr>
            <w:r w:rsidRPr="00B36316">
              <w:rPr>
                <w:rFonts w:eastAsia="Times New Roman"/>
                <w:b/>
                <w:bCs/>
                <w:noProof/>
                <w:szCs w:val="24"/>
                <w:lang w:eastAsia="en-IE"/>
              </w:rPr>
              <w:t>Article 96</w:t>
            </w:r>
          </w:p>
        </w:tc>
        <w:tc>
          <w:tcPr>
            <w:tcW w:w="6375" w:type="dxa"/>
            <w:tcBorders>
              <w:top w:val="single" w:sz="6" w:space="0" w:color="auto"/>
              <w:left w:val="single" w:sz="6" w:space="0" w:color="auto"/>
              <w:bottom w:val="single" w:sz="6" w:space="0" w:color="auto"/>
              <w:right w:val="single" w:sz="6" w:space="0" w:color="auto"/>
            </w:tcBorders>
            <w:vAlign w:val="center"/>
            <w:hideMark/>
          </w:tcPr>
          <w:p w14:paraId="24A6FB44" w14:textId="77777777" w:rsidR="007476E9" w:rsidRPr="00B36316" w:rsidRDefault="007476E9">
            <w:pPr>
              <w:spacing w:before="0" w:after="0"/>
              <w:jc w:val="left"/>
              <w:textAlignment w:val="baseline"/>
              <w:rPr>
                <w:rFonts w:ascii="Segoe UI" w:eastAsia="Times New Roman" w:hAnsi="Segoe UI" w:cs="Segoe UI"/>
                <w:noProof/>
                <w:sz w:val="18"/>
                <w:szCs w:val="18"/>
                <w:lang w:val="en-IE" w:eastAsia="en-IE"/>
              </w:rPr>
            </w:pPr>
            <w:r w:rsidRPr="00B36316">
              <w:rPr>
                <w:rFonts w:eastAsia="Times New Roman"/>
                <w:b/>
                <w:bCs/>
                <w:noProof/>
                <w:szCs w:val="24"/>
                <w:lang w:eastAsia="en-IE"/>
              </w:rPr>
              <w:t>Regulation (EU) 2018/1725</w:t>
            </w:r>
            <w:r w:rsidRPr="00B36316">
              <w:rPr>
                <w:rFonts w:eastAsia="Times New Roman"/>
                <w:noProof/>
                <w:szCs w:val="24"/>
                <w:lang w:val="en-IE" w:eastAsia="en-IE"/>
              </w:rPr>
              <w:t> </w:t>
            </w:r>
          </w:p>
          <w:p w14:paraId="350231FA" w14:textId="77777777" w:rsidR="007476E9" w:rsidRPr="00B36316" w:rsidRDefault="007476E9">
            <w:pPr>
              <w:spacing w:before="0" w:after="0"/>
              <w:jc w:val="left"/>
              <w:textAlignment w:val="baseline"/>
              <w:rPr>
                <w:rFonts w:ascii="Segoe UI" w:eastAsia="Times New Roman" w:hAnsi="Segoe UI" w:cs="Segoe UI"/>
                <w:noProof/>
                <w:sz w:val="18"/>
                <w:szCs w:val="18"/>
                <w:lang w:val="en-IE" w:eastAsia="en-IE"/>
              </w:rPr>
            </w:pPr>
            <w:r w:rsidRPr="00B36316">
              <w:rPr>
                <w:rFonts w:eastAsia="Times New Roman"/>
                <w:b/>
                <w:bCs/>
                <w:noProof/>
                <w:szCs w:val="24"/>
                <w:lang w:eastAsia="en-IE"/>
              </w:rPr>
              <w:t>Regulation (EU) 2016/679</w:t>
            </w:r>
            <w:r w:rsidRPr="00B36316">
              <w:rPr>
                <w:rFonts w:eastAsia="Times New Roman"/>
                <w:noProof/>
                <w:szCs w:val="24"/>
                <w:lang w:val="en-IE" w:eastAsia="en-IE"/>
              </w:rPr>
              <w:t> </w:t>
            </w:r>
          </w:p>
        </w:tc>
      </w:tr>
      <w:tr w:rsidR="00EE499D" w:rsidRPr="00B36316" w14:paraId="1F66D165" w14:textId="77777777">
        <w:trPr>
          <w:trHeight w:val="1005"/>
        </w:trPr>
        <w:tc>
          <w:tcPr>
            <w:tcW w:w="2901" w:type="dxa"/>
            <w:tcBorders>
              <w:top w:val="single" w:sz="6" w:space="0" w:color="auto"/>
              <w:left w:val="single" w:sz="6" w:space="0" w:color="auto"/>
              <w:bottom w:val="single" w:sz="6" w:space="0" w:color="auto"/>
              <w:right w:val="single" w:sz="6" w:space="0" w:color="auto"/>
            </w:tcBorders>
          </w:tcPr>
          <w:p w14:paraId="0AE01222" w14:textId="32E0C994" w:rsidR="00EE499D" w:rsidRPr="00B36316" w:rsidRDefault="00EE499D" w:rsidP="00EE499D">
            <w:pPr>
              <w:spacing w:before="0" w:after="0"/>
              <w:jc w:val="left"/>
              <w:textAlignment w:val="baseline"/>
              <w:rPr>
                <w:rFonts w:eastAsia="Times New Roman"/>
                <w:b/>
                <w:bCs/>
                <w:noProof/>
                <w:szCs w:val="24"/>
                <w:lang w:eastAsia="en-IE"/>
              </w:rPr>
            </w:pPr>
            <w:r w:rsidRPr="000A2631">
              <w:rPr>
                <w:b/>
                <w:bCs/>
                <w:noProof/>
              </w:rPr>
              <w:t xml:space="preserve">Data, gathered and analysed in the context of conducting coordinated risk assessments, developing of risk scenarios and identification of key ICT assets  </w:t>
            </w:r>
          </w:p>
        </w:tc>
        <w:tc>
          <w:tcPr>
            <w:tcW w:w="2482" w:type="dxa"/>
            <w:tcBorders>
              <w:top w:val="single" w:sz="6" w:space="0" w:color="auto"/>
              <w:left w:val="single" w:sz="6" w:space="0" w:color="auto"/>
              <w:bottom w:val="single" w:sz="6" w:space="0" w:color="auto"/>
              <w:right w:val="single" w:sz="6" w:space="0" w:color="auto"/>
            </w:tcBorders>
          </w:tcPr>
          <w:p w14:paraId="74A1F526" w14:textId="77777777" w:rsidR="00EE499D" w:rsidRPr="00AF5BB5" w:rsidRDefault="00EE499D" w:rsidP="00EE499D">
            <w:pPr>
              <w:contextualSpacing/>
              <w:jc w:val="left"/>
              <w:rPr>
                <w:b/>
                <w:bCs/>
                <w:noProof/>
                <w:lang w:val="fr-FR"/>
              </w:rPr>
            </w:pPr>
            <w:r w:rsidRPr="00AF5BB5">
              <w:rPr>
                <w:b/>
                <w:bCs/>
                <w:noProof/>
                <w:lang w:val="fr-FR"/>
              </w:rPr>
              <w:t>Article 98</w:t>
            </w:r>
          </w:p>
          <w:p w14:paraId="0446B077" w14:textId="77777777" w:rsidR="00EE499D" w:rsidRPr="00AF5BB5" w:rsidRDefault="00EE499D" w:rsidP="00EE499D">
            <w:pPr>
              <w:contextualSpacing/>
              <w:jc w:val="left"/>
              <w:rPr>
                <w:b/>
                <w:bCs/>
                <w:noProof/>
                <w:lang w:val="fr-FR"/>
              </w:rPr>
            </w:pPr>
            <w:r w:rsidRPr="00AF5BB5">
              <w:rPr>
                <w:b/>
                <w:bCs/>
                <w:noProof/>
                <w:lang w:val="fr-FR"/>
              </w:rPr>
              <w:t>Article 99</w:t>
            </w:r>
          </w:p>
          <w:p w14:paraId="26EC69DF" w14:textId="77777777" w:rsidR="00EE499D" w:rsidRPr="00AF5BB5" w:rsidRDefault="00EE499D" w:rsidP="00EE499D">
            <w:pPr>
              <w:contextualSpacing/>
              <w:jc w:val="left"/>
              <w:rPr>
                <w:b/>
                <w:bCs/>
                <w:noProof/>
                <w:lang w:val="fr-FR"/>
              </w:rPr>
            </w:pPr>
            <w:r w:rsidRPr="00AF5BB5">
              <w:rPr>
                <w:b/>
                <w:bCs/>
                <w:noProof/>
                <w:lang w:val="fr-FR"/>
              </w:rPr>
              <w:t xml:space="preserve">Article 102 </w:t>
            </w:r>
          </w:p>
          <w:p w14:paraId="56A66308" w14:textId="77777777" w:rsidR="00EE499D" w:rsidRPr="00AF5BB5" w:rsidRDefault="00EE499D" w:rsidP="00EE499D">
            <w:pPr>
              <w:contextualSpacing/>
              <w:jc w:val="left"/>
              <w:rPr>
                <w:b/>
                <w:bCs/>
                <w:noProof/>
                <w:lang w:val="fr-FR"/>
              </w:rPr>
            </w:pPr>
            <w:r w:rsidRPr="00AF5BB5">
              <w:rPr>
                <w:b/>
                <w:bCs/>
                <w:noProof/>
                <w:lang w:val="fr-FR"/>
              </w:rPr>
              <w:t xml:space="preserve">Article 103 </w:t>
            </w:r>
          </w:p>
          <w:p w14:paraId="51245D52" w14:textId="48320DA3" w:rsidR="00EE499D" w:rsidRPr="00EE499D" w:rsidRDefault="00EE499D" w:rsidP="00EE499D">
            <w:pPr>
              <w:spacing w:before="0" w:after="0"/>
              <w:jc w:val="left"/>
              <w:textAlignment w:val="baseline"/>
              <w:rPr>
                <w:rFonts w:eastAsia="Times New Roman"/>
                <w:b/>
                <w:bCs/>
                <w:noProof/>
                <w:szCs w:val="24"/>
                <w:lang w:val="fr-FR" w:eastAsia="en-IE"/>
              </w:rPr>
            </w:pPr>
            <w:r w:rsidRPr="00AF5BB5">
              <w:rPr>
                <w:b/>
                <w:bCs/>
                <w:noProof/>
                <w:lang w:val="fr-FR"/>
              </w:rPr>
              <w:t>Article 10</w:t>
            </w:r>
            <w:r>
              <w:rPr>
                <w:b/>
                <w:bCs/>
                <w:noProof/>
                <w:lang w:val="fr-FR"/>
              </w:rPr>
              <w:t>5</w:t>
            </w:r>
            <w:r w:rsidRPr="00AF5BB5">
              <w:rPr>
                <w:b/>
                <w:bCs/>
                <w:noProof/>
                <w:lang w:val="fr-FR"/>
              </w:rPr>
              <w:t xml:space="preserve"> </w:t>
            </w:r>
          </w:p>
        </w:tc>
        <w:tc>
          <w:tcPr>
            <w:tcW w:w="6375" w:type="dxa"/>
            <w:tcBorders>
              <w:top w:val="single" w:sz="6" w:space="0" w:color="auto"/>
              <w:left w:val="single" w:sz="6" w:space="0" w:color="auto"/>
              <w:bottom w:val="single" w:sz="6" w:space="0" w:color="auto"/>
              <w:right w:val="single" w:sz="6" w:space="0" w:color="auto"/>
            </w:tcBorders>
          </w:tcPr>
          <w:p w14:paraId="7B1CEAC0" w14:textId="4341F6FD" w:rsidR="00EE499D" w:rsidRPr="00B36316" w:rsidRDefault="00EE499D" w:rsidP="00EE499D">
            <w:pPr>
              <w:spacing w:before="0" w:after="0"/>
              <w:ind w:left="30"/>
              <w:jc w:val="left"/>
              <w:textAlignment w:val="baseline"/>
              <w:rPr>
                <w:rFonts w:eastAsia="Times New Roman"/>
                <w:b/>
                <w:bCs/>
                <w:noProof/>
                <w:szCs w:val="24"/>
                <w:lang w:eastAsia="en-IE"/>
              </w:rPr>
            </w:pPr>
            <w:r w:rsidRPr="000A2631">
              <w:rPr>
                <w:noProof/>
              </w:rPr>
              <w:t>Without prejudice to Article 13 of Regulation (EU) 2024/2847 and Article 21 of Directive (EU) 2022/2555</w:t>
            </w:r>
          </w:p>
        </w:tc>
      </w:tr>
      <w:tr w:rsidR="00EE499D" w:rsidRPr="00B36316" w14:paraId="0FE24202" w14:textId="77777777">
        <w:trPr>
          <w:trHeight w:val="1005"/>
        </w:trPr>
        <w:tc>
          <w:tcPr>
            <w:tcW w:w="2901" w:type="dxa"/>
            <w:tcBorders>
              <w:top w:val="single" w:sz="6" w:space="0" w:color="auto"/>
              <w:left w:val="single" w:sz="6" w:space="0" w:color="auto"/>
              <w:bottom w:val="single" w:sz="6" w:space="0" w:color="auto"/>
              <w:right w:val="single" w:sz="6" w:space="0" w:color="auto"/>
            </w:tcBorders>
          </w:tcPr>
          <w:p w14:paraId="0C2526D6" w14:textId="54AD1A68" w:rsidR="00EE499D" w:rsidRPr="00B36316" w:rsidRDefault="00EE499D" w:rsidP="00EE499D">
            <w:pPr>
              <w:spacing w:before="0" w:after="0"/>
              <w:jc w:val="left"/>
              <w:textAlignment w:val="baseline"/>
              <w:rPr>
                <w:rFonts w:eastAsia="Times New Roman"/>
                <w:b/>
                <w:bCs/>
                <w:noProof/>
                <w:szCs w:val="24"/>
                <w:lang w:eastAsia="en-IE"/>
              </w:rPr>
            </w:pPr>
            <w:r w:rsidRPr="000A2631">
              <w:rPr>
                <w:rFonts w:eastAsia="Calibri"/>
                <w:b/>
                <w:bCs/>
                <w:noProof/>
              </w:rPr>
              <w:t>Data regarding third countries/ entities of third countries</w:t>
            </w:r>
          </w:p>
        </w:tc>
        <w:tc>
          <w:tcPr>
            <w:tcW w:w="2482" w:type="dxa"/>
            <w:tcBorders>
              <w:top w:val="single" w:sz="6" w:space="0" w:color="auto"/>
              <w:left w:val="single" w:sz="6" w:space="0" w:color="auto"/>
              <w:bottom w:val="single" w:sz="6" w:space="0" w:color="auto"/>
              <w:right w:val="single" w:sz="6" w:space="0" w:color="auto"/>
            </w:tcBorders>
          </w:tcPr>
          <w:p w14:paraId="0FDAE119" w14:textId="77777777" w:rsidR="00EE499D" w:rsidRPr="00C16843" w:rsidRDefault="00EE499D" w:rsidP="00EE499D">
            <w:pPr>
              <w:contextualSpacing/>
              <w:jc w:val="left"/>
              <w:rPr>
                <w:b/>
                <w:bCs/>
                <w:noProof/>
                <w:lang w:val="fr-FR"/>
              </w:rPr>
            </w:pPr>
            <w:r w:rsidRPr="00C16843">
              <w:rPr>
                <w:b/>
                <w:bCs/>
                <w:noProof/>
                <w:lang w:val="fr-FR"/>
              </w:rPr>
              <w:t>Article 100 (1), (3), (4)</w:t>
            </w:r>
          </w:p>
          <w:p w14:paraId="5AFA4356" w14:textId="77777777" w:rsidR="00EE499D" w:rsidRPr="00C16843" w:rsidRDefault="00EE499D" w:rsidP="00EE499D">
            <w:pPr>
              <w:contextualSpacing/>
              <w:jc w:val="left"/>
              <w:rPr>
                <w:b/>
                <w:bCs/>
                <w:noProof/>
                <w:lang w:val="fr-FR"/>
              </w:rPr>
            </w:pPr>
            <w:r w:rsidRPr="00C16843">
              <w:rPr>
                <w:b/>
                <w:bCs/>
                <w:noProof/>
                <w:lang w:val="fr-FR"/>
              </w:rPr>
              <w:t>Article 104</w:t>
            </w:r>
          </w:p>
          <w:p w14:paraId="4DF6307A" w14:textId="77777777" w:rsidR="00EE499D" w:rsidRPr="00C16843" w:rsidRDefault="00EE499D" w:rsidP="00EE499D">
            <w:pPr>
              <w:contextualSpacing/>
              <w:jc w:val="left"/>
              <w:rPr>
                <w:b/>
                <w:bCs/>
                <w:noProof/>
                <w:lang w:val="fr-FR"/>
              </w:rPr>
            </w:pPr>
            <w:r w:rsidRPr="00C16843">
              <w:rPr>
                <w:b/>
                <w:bCs/>
                <w:noProof/>
                <w:lang w:val="fr-FR"/>
              </w:rPr>
              <w:t>Article 105</w:t>
            </w:r>
          </w:p>
          <w:p w14:paraId="78AEAA48" w14:textId="77777777" w:rsidR="00EE499D" w:rsidRPr="00C16843" w:rsidRDefault="00EE499D" w:rsidP="00EE499D">
            <w:pPr>
              <w:contextualSpacing/>
              <w:rPr>
                <w:b/>
                <w:bCs/>
                <w:noProof/>
                <w:lang w:val="fr-FR"/>
              </w:rPr>
            </w:pPr>
            <w:r w:rsidRPr="00C16843">
              <w:rPr>
                <w:b/>
                <w:bCs/>
                <w:noProof/>
                <w:lang w:val="fr-FR"/>
              </w:rPr>
              <w:t>Article 107</w:t>
            </w:r>
          </w:p>
          <w:p w14:paraId="5FC796EC" w14:textId="77777777" w:rsidR="00EE499D" w:rsidRPr="00C16843" w:rsidRDefault="00EE499D" w:rsidP="00EE499D">
            <w:pPr>
              <w:contextualSpacing/>
              <w:jc w:val="left"/>
              <w:rPr>
                <w:b/>
                <w:bCs/>
                <w:noProof/>
                <w:lang w:val="fr-FR"/>
              </w:rPr>
            </w:pPr>
            <w:r w:rsidRPr="00C16843">
              <w:rPr>
                <w:b/>
                <w:bCs/>
                <w:noProof/>
                <w:lang w:val="fr-FR"/>
              </w:rPr>
              <w:t>Article 113</w:t>
            </w:r>
          </w:p>
          <w:p w14:paraId="084F9FA9" w14:textId="77777777" w:rsidR="00EE499D" w:rsidRPr="00EE499D" w:rsidRDefault="00EE499D" w:rsidP="00EE499D">
            <w:pPr>
              <w:spacing w:before="0" w:after="0"/>
              <w:jc w:val="left"/>
              <w:textAlignment w:val="baseline"/>
              <w:rPr>
                <w:rFonts w:eastAsia="Times New Roman"/>
                <w:b/>
                <w:bCs/>
                <w:noProof/>
                <w:szCs w:val="24"/>
                <w:lang w:val="fr-FR" w:eastAsia="en-IE"/>
              </w:rPr>
            </w:pPr>
          </w:p>
        </w:tc>
        <w:tc>
          <w:tcPr>
            <w:tcW w:w="6375" w:type="dxa"/>
            <w:tcBorders>
              <w:top w:val="single" w:sz="6" w:space="0" w:color="auto"/>
              <w:left w:val="single" w:sz="6" w:space="0" w:color="auto"/>
              <w:bottom w:val="single" w:sz="6" w:space="0" w:color="auto"/>
              <w:right w:val="single" w:sz="6" w:space="0" w:color="auto"/>
            </w:tcBorders>
          </w:tcPr>
          <w:p w14:paraId="71ACDE8A" w14:textId="06F5C4DD" w:rsidR="00EE499D" w:rsidRPr="00B36316" w:rsidRDefault="00EE499D" w:rsidP="00EE499D">
            <w:pPr>
              <w:spacing w:before="0" w:after="0"/>
              <w:ind w:left="30"/>
              <w:jc w:val="left"/>
              <w:textAlignment w:val="baseline"/>
              <w:rPr>
                <w:rFonts w:eastAsia="Times New Roman"/>
                <w:b/>
                <w:bCs/>
                <w:noProof/>
                <w:szCs w:val="24"/>
                <w:lang w:eastAsia="en-IE"/>
              </w:rPr>
            </w:pPr>
            <w:r w:rsidRPr="000A2631">
              <w:rPr>
                <w:noProof/>
              </w:rPr>
              <w:t>N/A</w:t>
            </w:r>
          </w:p>
        </w:tc>
      </w:tr>
      <w:tr w:rsidR="00EE499D" w:rsidRPr="00B36316" w14:paraId="7DB6864E" w14:textId="77777777">
        <w:trPr>
          <w:trHeight w:val="1005"/>
        </w:trPr>
        <w:tc>
          <w:tcPr>
            <w:tcW w:w="2901" w:type="dxa"/>
            <w:tcBorders>
              <w:top w:val="single" w:sz="6" w:space="0" w:color="auto"/>
              <w:left w:val="single" w:sz="6" w:space="0" w:color="auto"/>
              <w:bottom w:val="single" w:sz="6" w:space="0" w:color="auto"/>
              <w:right w:val="single" w:sz="6" w:space="0" w:color="auto"/>
            </w:tcBorders>
          </w:tcPr>
          <w:p w14:paraId="7A2123DE" w14:textId="1D8DFFB2" w:rsidR="00EE499D" w:rsidRPr="00B36316" w:rsidRDefault="00EE499D" w:rsidP="00EE499D">
            <w:pPr>
              <w:spacing w:before="0" w:after="0"/>
              <w:jc w:val="left"/>
              <w:textAlignment w:val="baseline"/>
              <w:rPr>
                <w:rFonts w:eastAsia="Times New Roman"/>
                <w:b/>
                <w:bCs/>
                <w:noProof/>
                <w:szCs w:val="24"/>
                <w:lang w:eastAsia="en-IE"/>
              </w:rPr>
            </w:pPr>
            <w:r w:rsidRPr="000A2631">
              <w:rPr>
                <w:rFonts w:eastAsia="Calibri"/>
                <w:b/>
                <w:bCs/>
                <w:noProof/>
              </w:rPr>
              <w:t>Data concerning national authorities</w:t>
            </w:r>
          </w:p>
        </w:tc>
        <w:tc>
          <w:tcPr>
            <w:tcW w:w="2482" w:type="dxa"/>
            <w:tcBorders>
              <w:top w:val="single" w:sz="6" w:space="0" w:color="auto"/>
              <w:left w:val="single" w:sz="6" w:space="0" w:color="auto"/>
              <w:bottom w:val="single" w:sz="6" w:space="0" w:color="auto"/>
              <w:right w:val="single" w:sz="6" w:space="0" w:color="auto"/>
            </w:tcBorders>
          </w:tcPr>
          <w:p w14:paraId="6B9705FC" w14:textId="77777777" w:rsidR="00EE499D" w:rsidRPr="000A2631" w:rsidRDefault="00EE499D" w:rsidP="00EE499D">
            <w:pPr>
              <w:contextualSpacing/>
              <w:jc w:val="left"/>
              <w:rPr>
                <w:b/>
                <w:bCs/>
                <w:noProof/>
              </w:rPr>
            </w:pPr>
            <w:r w:rsidRPr="000A2631">
              <w:rPr>
                <w:b/>
                <w:bCs/>
                <w:noProof/>
              </w:rPr>
              <w:t>Article 11</w:t>
            </w:r>
            <w:r>
              <w:rPr>
                <w:b/>
                <w:bCs/>
                <w:noProof/>
              </w:rPr>
              <w:t>2</w:t>
            </w:r>
          </w:p>
          <w:p w14:paraId="1BCD88D7" w14:textId="77777777" w:rsidR="00EE499D" w:rsidRPr="000A2631" w:rsidRDefault="00EE499D" w:rsidP="00EE499D">
            <w:pPr>
              <w:contextualSpacing/>
              <w:jc w:val="left"/>
              <w:rPr>
                <w:b/>
                <w:bCs/>
                <w:noProof/>
              </w:rPr>
            </w:pPr>
            <w:r w:rsidRPr="000A2631">
              <w:rPr>
                <w:b/>
                <w:bCs/>
                <w:noProof/>
              </w:rPr>
              <w:t>Article 11</w:t>
            </w:r>
            <w:r>
              <w:rPr>
                <w:b/>
                <w:bCs/>
                <w:noProof/>
              </w:rPr>
              <w:t>4</w:t>
            </w:r>
          </w:p>
          <w:p w14:paraId="37074FFC" w14:textId="77777777" w:rsidR="00EE499D" w:rsidRPr="000A2631" w:rsidRDefault="00EE499D" w:rsidP="00EE499D">
            <w:pPr>
              <w:contextualSpacing/>
              <w:jc w:val="left"/>
              <w:rPr>
                <w:b/>
                <w:bCs/>
                <w:noProof/>
              </w:rPr>
            </w:pPr>
            <w:r w:rsidRPr="000A2631">
              <w:rPr>
                <w:b/>
                <w:bCs/>
                <w:noProof/>
              </w:rPr>
              <w:t>Article 11</w:t>
            </w:r>
            <w:r>
              <w:rPr>
                <w:b/>
                <w:bCs/>
                <w:noProof/>
              </w:rPr>
              <w:t>6</w:t>
            </w:r>
          </w:p>
          <w:p w14:paraId="646A0750" w14:textId="77777777" w:rsidR="00EE499D" w:rsidRPr="00B36316" w:rsidRDefault="00EE499D" w:rsidP="00EE499D">
            <w:pPr>
              <w:spacing w:before="0" w:after="0"/>
              <w:jc w:val="left"/>
              <w:textAlignment w:val="baseline"/>
              <w:rPr>
                <w:rFonts w:eastAsia="Times New Roman"/>
                <w:b/>
                <w:bCs/>
                <w:noProof/>
                <w:szCs w:val="24"/>
                <w:lang w:eastAsia="en-IE"/>
              </w:rPr>
            </w:pPr>
          </w:p>
        </w:tc>
        <w:tc>
          <w:tcPr>
            <w:tcW w:w="6375" w:type="dxa"/>
            <w:tcBorders>
              <w:top w:val="single" w:sz="6" w:space="0" w:color="auto"/>
              <w:left w:val="single" w:sz="6" w:space="0" w:color="auto"/>
              <w:bottom w:val="single" w:sz="6" w:space="0" w:color="auto"/>
              <w:right w:val="single" w:sz="6" w:space="0" w:color="auto"/>
            </w:tcBorders>
          </w:tcPr>
          <w:p w14:paraId="52A77814" w14:textId="2E945303" w:rsidR="00EE499D" w:rsidRPr="00B36316" w:rsidRDefault="00EE499D" w:rsidP="00EE499D">
            <w:pPr>
              <w:spacing w:before="0" w:after="0"/>
              <w:ind w:left="30"/>
              <w:jc w:val="left"/>
              <w:textAlignment w:val="baseline"/>
              <w:rPr>
                <w:rFonts w:eastAsia="Times New Roman"/>
                <w:b/>
                <w:bCs/>
                <w:noProof/>
                <w:szCs w:val="24"/>
                <w:lang w:eastAsia="en-IE"/>
              </w:rPr>
            </w:pPr>
            <w:r w:rsidRPr="000A2631">
              <w:rPr>
                <w:noProof/>
              </w:rPr>
              <w:t>N/A</w:t>
            </w:r>
          </w:p>
        </w:tc>
      </w:tr>
      <w:tr w:rsidR="007476E9" w:rsidRPr="00B36316" w14:paraId="69CEE923" w14:textId="77777777">
        <w:trPr>
          <w:trHeight w:val="1005"/>
        </w:trPr>
        <w:tc>
          <w:tcPr>
            <w:tcW w:w="2901" w:type="dxa"/>
            <w:tcBorders>
              <w:top w:val="single" w:sz="6" w:space="0" w:color="auto"/>
              <w:left w:val="single" w:sz="6" w:space="0" w:color="auto"/>
              <w:bottom w:val="single" w:sz="6" w:space="0" w:color="auto"/>
              <w:right w:val="single" w:sz="6" w:space="0" w:color="auto"/>
            </w:tcBorders>
            <w:vAlign w:val="center"/>
            <w:hideMark/>
          </w:tcPr>
          <w:p w14:paraId="3CFC930E" w14:textId="77777777" w:rsidR="007476E9" w:rsidRPr="00B36316" w:rsidRDefault="007476E9">
            <w:pPr>
              <w:spacing w:before="0" w:after="0"/>
              <w:jc w:val="left"/>
              <w:textAlignment w:val="baseline"/>
              <w:rPr>
                <w:rFonts w:ascii="Segoe UI" w:eastAsia="Times New Roman" w:hAnsi="Segoe UI" w:cs="Segoe UI"/>
                <w:noProof/>
                <w:sz w:val="18"/>
                <w:szCs w:val="18"/>
                <w:lang w:val="en-IE" w:eastAsia="en-IE"/>
              </w:rPr>
            </w:pPr>
            <w:r w:rsidRPr="00B36316">
              <w:rPr>
                <w:rFonts w:eastAsia="Times New Roman"/>
                <w:b/>
                <w:bCs/>
                <w:noProof/>
                <w:szCs w:val="24"/>
                <w:lang w:eastAsia="en-IE"/>
              </w:rPr>
              <w:t>Data with relevance to the risk assessments</w:t>
            </w:r>
            <w:r w:rsidRPr="00B36316">
              <w:rPr>
                <w:rFonts w:eastAsia="Times New Roman"/>
                <w:noProof/>
                <w:szCs w:val="24"/>
                <w:lang w:val="en-IE" w:eastAsia="en-IE"/>
              </w:rPr>
              <w:t> </w:t>
            </w:r>
          </w:p>
        </w:tc>
        <w:tc>
          <w:tcPr>
            <w:tcW w:w="2482" w:type="dxa"/>
            <w:tcBorders>
              <w:top w:val="single" w:sz="6" w:space="0" w:color="auto"/>
              <w:left w:val="single" w:sz="6" w:space="0" w:color="auto"/>
              <w:bottom w:val="single" w:sz="6" w:space="0" w:color="auto"/>
              <w:right w:val="single" w:sz="6" w:space="0" w:color="auto"/>
            </w:tcBorders>
            <w:vAlign w:val="center"/>
            <w:hideMark/>
          </w:tcPr>
          <w:p w14:paraId="40A24ED6" w14:textId="77777777" w:rsidR="007476E9" w:rsidRPr="00B36316" w:rsidRDefault="007476E9">
            <w:pPr>
              <w:spacing w:before="0" w:after="0"/>
              <w:jc w:val="left"/>
              <w:textAlignment w:val="baseline"/>
              <w:rPr>
                <w:rFonts w:ascii="Segoe UI" w:eastAsia="Times New Roman" w:hAnsi="Segoe UI" w:cs="Segoe UI"/>
                <w:noProof/>
                <w:sz w:val="18"/>
                <w:szCs w:val="18"/>
                <w:lang w:val="en-IE" w:eastAsia="en-IE"/>
              </w:rPr>
            </w:pPr>
            <w:r w:rsidRPr="00B36316">
              <w:rPr>
                <w:rFonts w:eastAsia="Times New Roman"/>
                <w:b/>
                <w:bCs/>
                <w:noProof/>
                <w:szCs w:val="24"/>
                <w:lang w:eastAsia="en-IE"/>
              </w:rPr>
              <w:t>Article 5(2)</w:t>
            </w:r>
            <w:r w:rsidRPr="00B36316">
              <w:rPr>
                <w:rFonts w:eastAsia="Times New Roman"/>
                <w:noProof/>
                <w:szCs w:val="24"/>
                <w:lang w:val="en-IE" w:eastAsia="en-IE"/>
              </w:rPr>
              <w:t> </w:t>
            </w:r>
          </w:p>
        </w:tc>
        <w:tc>
          <w:tcPr>
            <w:tcW w:w="6375" w:type="dxa"/>
            <w:tcBorders>
              <w:top w:val="single" w:sz="6" w:space="0" w:color="auto"/>
              <w:left w:val="single" w:sz="6" w:space="0" w:color="auto"/>
              <w:bottom w:val="single" w:sz="6" w:space="0" w:color="auto"/>
              <w:right w:val="single" w:sz="6" w:space="0" w:color="auto"/>
            </w:tcBorders>
            <w:vAlign w:val="center"/>
            <w:hideMark/>
          </w:tcPr>
          <w:p w14:paraId="2DB73DE9" w14:textId="77777777" w:rsidR="007476E9" w:rsidRPr="00B36316" w:rsidRDefault="007476E9">
            <w:pPr>
              <w:spacing w:before="0" w:after="0"/>
              <w:ind w:left="30"/>
              <w:jc w:val="left"/>
              <w:textAlignment w:val="baseline"/>
              <w:rPr>
                <w:rFonts w:ascii="Segoe UI" w:eastAsia="Times New Roman" w:hAnsi="Segoe UI" w:cs="Segoe UI"/>
                <w:noProof/>
                <w:sz w:val="18"/>
                <w:szCs w:val="18"/>
                <w:lang w:val="en-IE" w:eastAsia="en-IE"/>
              </w:rPr>
            </w:pPr>
            <w:r w:rsidRPr="00B36316">
              <w:rPr>
                <w:rFonts w:eastAsia="Times New Roman"/>
                <w:b/>
                <w:bCs/>
                <w:noProof/>
                <w:szCs w:val="24"/>
                <w:lang w:eastAsia="en-IE"/>
              </w:rPr>
              <w:t>Standards for confidentiality and handling sensitive information</w:t>
            </w:r>
            <w:r w:rsidRPr="00B36316">
              <w:rPr>
                <w:rFonts w:eastAsia="Times New Roman"/>
                <w:noProof/>
                <w:szCs w:val="24"/>
                <w:lang w:val="en-IE" w:eastAsia="en-IE"/>
              </w:rPr>
              <w:t> </w:t>
            </w:r>
          </w:p>
        </w:tc>
      </w:tr>
      <w:tr w:rsidR="007476E9" w:rsidRPr="00B36316" w14:paraId="50E04988" w14:textId="77777777">
        <w:trPr>
          <w:trHeight w:val="1005"/>
        </w:trPr>
        <w:tc>
          <w:tcPr>
            <w:tcW w:w="2901" w:type="dxa"/>
            <w:tcBorders>
              <w:top w:val="single" w:sz="6" w:space="0" w:color="auto"/>
              <w:left w:val="single" w:sz="6" w:space="0" w:color="auto"/>
              <w:bottom w:val="single" w:sz="6" w:space="0" w:color="auto"/>
              <w:right w:val="single" w:sz="6" w:space="0" w:color="auto"/>
            </w:tcBorders>
            <w:vAlign w:val="center"/>
            <w:hideMark/>
          </w:tcPr>
          <w:p w14:paraId="41D2C738" w14:textId="77777777" w:rsidR="007476E9" w:rsidRPr="00B36316" w:rsidRDefault="007476E9">
            <w:pPr>
              <w:spacing w:before="0" w:after="0"/>
              <w:jc w:val="left"/>
              <w:textAlignment w:val="baseline"/>
              <w:rPr>
                <w:rFonts w:ascii="Segoe UI" w:eastAsia="Times New Roman" w:hAnsi="Segoe UI" w:cs="Segoe UI"/>
                <w:noProof/>
                <w:sz w:val="18"/>
                <w:szCs w:val="18"/>
                <w:lang w:val="en-IE" w:eastAsia="en-IE"/>
              </w:rPr>
            </w:pPr>
            <w:r w:rsidRPr="00B36316">
              <w:rPr>
                <w:rFonts w:eastAsia="Times New Roman"/>
                <w:b/>
                <w:bCs/>
                <w:noProof/>
                <w:szCs w:val="24"/>
                <w:lang w:eastAsia="en-IE"/>
              </w:rPr>
              <w:t>Mutual assistance between Member States</w:t>
            </w:r>
            <w:r w:rsidRPr="00B36316">
              <w:rPr>
                <w:rFonts w:eastAsia="Times New Roman"/>
                <w:noProof/>
                <w:szCs w:val="24"/>
                <w:lang w:val="en-IE" w:eastAsia="en-IE"/>
              </w:rPr>
              <w:t> </w:t>
            </w:r>
          </w:p>
        </w:tc>
        <w:tc>
          <w:tcPr>
            <w:tcW w:w="2482" w:type="dxa"/>
            <w:tcBorders>
              <w:top w:val="single" w:sz="6" w:space="0" w:color="auto"/>
              <w:left w:val="single" w:sz="6" w:space="0" w:color="auto"/>
              <w:bottom w:val="single" w:sz="6" w:space="0" w:color="auto"/>
              <w:right w:val="single" w:sz="6" w:space="0" w:color="auto"/>
            </w:tcBorders>
            <w:vAlign w:val="center"/>
            <w:hideMark/>
          </w:tcPr>
          <w:p w14:paraId="4E319193" w14:textId="77777777" w:rsidR="007476E9" w:rsidRPr="00B36316" w:rsidRDefault="007476E9">
            <w:pPr>
              <w:spacing w:before="0" w:after="0"/>
              <w:jc w:val="left"/>
              <w:textAlignment w:val="baseline"/>
              <w:rPr>
                <w:rFonts w:ascii="Segoe UI" w:eastAsia="Times New Roman" w:hAnsi="Segoe UI" w:cs="Segoe UI"/>
                <w:noProof/>
                <w:sz w:val="18"/>
                <w:szCs w:val="18"/>
                <w:lang w:val="en-IE" w:eastAsia="en-IE"/>
              </w:rPr>
            </w:pPr>
            <w:r w:rsidRPr="02925072">
              <w:rPr>
                <w:rFonts w:eastAsia="Times New Roman"/>
                <w:b/>
                <w:noProof/>
                <w:lang w:eastAsia="en-IE"/>
              </w:rPr>
              <w:t xml:space="preserve">5(1)(g) regulation and Article 1, point 12 Directive </w:t>
            </w:r>
            <w:r w:rsidRPr="02925072">
              <w:rPr>
                <w:rFonts w:eastAsia="Times New Roman"/>
                <w:noProof/>
                <w:lang w:val="en-IE" w:eastAsia="en-IE"/>
              </w:rPr>
              <w:t> </w:t>
            </w:r>
          </w:p>
        </w:tc>
        <w:tc>
          <w:tcPr>
            <w:tcW w:w="6375" w:type="dxa"/>
            <w:tcBorders>
              <w:top w:val="single" w:sz="6" w:space="0" w:color="auto"/>
              <w:left w:val="single" w:sz="6" w:space="0" w:color="auto"/>
              <w:bottom w:val="single" w:sz="6" w:space="0" w:color="auto"/>
              <w:right w:val="single" w:sz="6" w:space="0" w:color="auto"/>
            </w:tcBorders>
            <w:vAlign w:val="center"/>
            <w:hideMark/>
          </w:tcPr>
          <w:p w14:paraId="5EAA9343" w14:textId="77777777" w:rsidR="007476E9" w:rsidRPr="00B36316" w:rsidRDefault="007476E9">
            <w:pPr>
              <w:spacing w:before="0" w:after="0"/>
              <w:ind w:left="30"/>
              <w:jc w:val="left"/>
              <w:textAlignment w:val="baseline"/>
              <w:rPr>
                <w:rFonts w:ascii="Segoe UI" w:eastAsia="Times New Roman" w:hAnsi="Segoe UI" w:cs="Segoe UI"/>
                <w:noProof/>
                <w:sz w:val="18"/>
                <w:szCs w:val="18"/>
                <w:lang w:val="en-IE" w:eastAsia="en-IE"/>
              </w:rPr>
            </w:pPr>
            <w:r w:rsidRPr="00B36316">
              <w:rPr>
                <w:rFonts w:eastAsia="Times New Roman"/>
                <w:b/>
                <w:bCs/>
                <w:noProof/>
                <w:szCs w:val="24"/>
                <w:lang w:eastAsia="en-IE"/>
              </w:rPr>
              <w:t>/</w:t>
            </w:r>
            <w:r w:rsidRPr="00B36316">
              <w:rPr>
                <w:rFonts w:eastAsia="Times New Roman"/>
                <w:noProof/>
                <w:szCs w:val="24"/>
                <w:lang w:val="en-IE" w:eastAsia="en-IE"/>
              </w:rPr>
              <w:t> </w:t>
            </w:r>
          </w:p>
        </w:tc>
      </w:tr>
    </w:tbl>
    <w:p w14:paraId="4771B83A" w14:textId="77777777" w:rsidR="004906BC" w:rsidRDefault="004906BC" w:rsidP="00D00237">
      <w:pPr>
        <w:rPr>
          <w:b/>
          <w:bCs/>
          <w:i/>
          <w:iCs/>
          <w:noProof/>
        </w:rPr>
      </w:pPr>
      <w:bookmarkStart w:id="196" w:name="_Toc167220305"/>
      <w:bookmarkStart w:id="197" w:name="_Toc177549039"/>
    </w:p>
    <w:p w14:paraId="70B57065" w14:textId="77777777" w:rsidR="007476E9" w:rsidRPr="00D00237" w:rsidRDefault="007476E9" w:rsidP="00D00237">
      <w:pPr>
        <w:rPr>
          <w:b/>
          <w:bCs/>
          <w:i/>
          <w:iCs/>
          <w:noProof/>
          <w:lang w:val="en-IE"/>
        </w:rPr>
      </w:pPr>
      <w:r w:rsidRPr="00D00237">
        <w:rPr>
          <w:b/>
          <w:bCs/>
          <w:i/>
          <w:iCs/>
          <w:noProof/>
        </w:rPr>
        <w:t>Alignment with the European Data Strategy</w:t>
      </w:r>
      <w:r w:rsidRPr="00D00237">
        <w:rPr>
          <w:b/>
          <w:bCs/>
          <w:i/>
          <w:iCs/>
          <w:noProof/>
          <w:lang w:val="en-IE"/>
        </w:rPr>
        <w:t> </w:t>
      </w:r>
    </w:p>
    <w:p w14:paraId="7BA5BF09" w14:textId="77777777" w:rsidR="007476E9" w:rsidRDefault="007476E9" w:rsidP="00D00237">
      <w:pPr>
        <w:rPr>
          <w:b/>
          <w:noProof/>
          <w:lang w:val="en-IE"/>
        </w:rPr>
      </w:pPr>
      <w:r w:rsidRPr="00B36316">
        <w:rPr>
          <w:noProof/>
        </w:rPr>
        <w:t>Explain how the requirement(s) are aligned with the European Data Strategy</w:t>
      </w:r>
      <w:r w:rsidRPr="00B36316">
        <w:rPr>
          <w:noProof/>
          <w:lang w:val="en-IE"/>
        </w:rPr>
        <w:t> </w:t>
      </w:r>
    </w:p>
    <w:tbl>
      <w:tblPr>
        <w:tblStyle w:val="TableGrid"/>
        <w:tblW w:w="0" w:type="auto"/>
        <w:tblLook w:val="04A0" w:firstRow="1" w:lastRow="0" w:firstColumn="1" w:lastColumn="0" w:noHBand="0" w:noVBand="1"/>
      </w:tblPr>
      <w:tblGrid>
        <w:gridCol w:w="13937"/>
      </w:tblGrid>
      <w:tr w:rsidR="007476E9" w14:paraId="02B75678" w14:textId="77777777">
        <w:tc>
          <w:tcPr>
            <w:tcW w:w="13937" w:type="dxa"/>
          </w:tcPr>
          <w:p w14:paraId="209EAF49" w14:textId="77777777" w:rsidR="007476E9" w:rsidRDefault="007476E9">
            <w:pPr>
              <w:pStyle w:val="Text1"/>
              <w:ind w:left="0"/>
              <w:rPr>
                <w:noProof/>
                <w:lang w:val="en-IE"/>
              </w:rPr>
            </w:pPr>
            <w:r w:rsidRPr="00B36316">
              <w:rPr>
                <w:noProof/>
                <w:lang w:val="en-IE"/>
              </w:rPr>
              <w:t xml:space="preserve">The requirements within the CSA2 proposal are aligned with no specific impact insofar the European Data Strategy.  </w:t>
            </w:r>
          </w:p>
        </w:tc>
      </w:tr>
    </w:tbl>
    <w:p w14:paraId="4E7CEFFE" w14:textId="77777777" w:rsidR="004906BC" w:rsidRDefault="004906BC" w:rsidP="00D00237">
      <w:pPr>
        <w:rPr>
          <w:rStyle w:val="normaltextrun"/>
          <w:b/>
          <w:bCs/>
          <w:i/>
          <w:iCs/>
          <w:noProof/>
        </w:rPr>
      </w:pPr>
    </w:p>
    <w:p w14:paraId="2A0FB82C" w14:textId="77777777" w:rsidR="00C32E82" w:rsidRDefault="007476E9" w:rsidP="00D00237">
      <w:pPr>
        <w:rPr>
          <w:rStyle w:val="eop"/>
          <w:noProof/>
        </w:rPr>
      </w:pPr>
      <w:r>
        <w:rPr>
          <w:rStyle w:val="normaltextrun"/>
          <w:b/>
          <w:bCs/>
          <w:i/>
          <w:iCs/>
          <w:noProof/>
        </w:rPr>
        <w:t>Alignment with the once-only-principle</w:t>
      </w:r>
      <w:r>
        <w:rPr>
          <w:rStyle w:val="eop"/>
          <w:noProof/>
        </w:rPr>
        <w:t> </w:t>
      </w:r>
      <w:r w:rsidR="00C32E82">
        <w:rPr>
          <w:rStyle w:val="eop"/>
          <w:noProof/>
        </w:rPr>
        <w:tab/>
      </w:r>
    </w:p>
    <w:p w14:paraId="381932BF" w14:textId="77777777" w:rsidR="007476E9" w:rsidRPr="00C32E82" w:rsidRDefault="007476E9" w:rsidP="00D00237">
      <w:pPr>
        <w:rPr>
          <w:noProof/>
        </w:rPr>
      </w:pPr>
      <w:r>
        <w:rPr>
          <w:rStyle w:val="normaltextrun"/>
          <w:noProof/>
        </w:rPr>
        <w:t>Explain how the once-only-principle has been considered, how the possibility to reuse existing data explored</w:t>
      </w:r>
      <w:r>
        <w:rPr>
          <w:rStyle w:val="eop"/>
          <w:noProof/>
        </w:rPr>
        <w:t> </w:t>
      </w:r>
    </w:p>
    <w:tbl>
      <w:tblPr>
        <w:tblStyle w:val="TableGrid"/>
        <w:tblW w:w="0" w:type="auto"/>
        <w:tblLook w:val="04A0" w:firstRow="1" w:lastRow="0" w:firstColumn="1" w:lastColumn="0" w:noHBand="0" w:noVBand="1"/>
      </w:tblPr>
      <w:tblGrid>
        <w:gridCol w:w="13937"/>
      </w:tblGrid>
      <w:tr w:rsidR="007476E9" w14:paraId="13E5E438" w14:textId="77777777">
        <w:tc>
          <w:tcPr>
            <w:tcW w:w="13937" w:type="dxa"/>
          </w:tcPr>
          <w:p w14:paraId="39BC9D28" w14:textId="6DBE527A" w:rsidR="007476E9" w:rsidRPr="0057502F" w:rsidRDefault="007476E9">
            <w:pPr>
              <w:pStyle w:val="ManualHeading2"/>
              <w:ind w:left="0" w:firstLine="0"/>
              <w:rPr>
                <w:b w:val="0"/>
                <w:bCs/>
                <w:noProof/>
              </w:rPr>
            </w:pPr>
            <w:r w:rsidRPr="0057502F">
              <w:rPr>
                <w:b w:val="0"/>
                <w:bCs/>
                <w:noProof/>
              </w:rPr>
              <w:t xml:space="preserve">One of the objectives of the proposal is to maximise the simplification efforts of the Commission and reduce the administrative burden for Member States and stakeholders. In the recent years ENISA has become an information hub, holding information from different sources. In this sense, many of the tasks for ENISA are associated with reusing and recycling of information for the purposes of various analyses. For example: for some purposes reusing information notified pursuant to Articles 23 and 30 of Directive (EU) 2022/2555; notified, shared or analysed pursuant to Article 14(1)-(3), Article 15 and Article 17(1) and (3) of Regulation (EU) 2024/2847.  </w:t>
            </w:r>
            <w:r w:rsidR="00EE499D" w:rsidRPr="00EE499D">
              <w:rPr>
                <w:b w:val="0"/>
                <w:bCs/>
                <w:noProof/>
              </w:rPr>
              <w:t xml:space="preserve">The provisions of the supply-chain framework are presuming its implementation to be supported by the data received through Article 22 of Directive (EU) 2022/2555, which shows reuse of information and coordination.  </w:t>
            </w:r>
            <w:r w:rsidRPr="0057502F">
              <w:rPr>
                <w:b w:val="0"/>
                <w:bCs/>
                <w:noProof/>
              </w:rPr>
              <w:t xml:space="preserve"> </w:t>
            </w:r>
          </w:p>
        </w:tc>
      </w:tr>
    </w:tbl>
    <w:p w14:paraId="75710644" w14:textId="77777777" w:rsidR="007476E9" w:rsidRPr="00D00237" w:rsidRDefault="007476E9" w:rsidP="00D00237">
      <w:pPr>
        <w:rPr>
          <w:b/>
          <w:bCs/>
          <w:noProof/>
        </w:rPr>
      </w:pPr>
      <w:r w:rsidRPr="00D00237">
        <w:rPr>
          <w:b/>
          <w:bCs/>
          <w:noProof/>
        </w:rPr>
        <w:t>Explain how newly created data is findable, accessible, interoperable and reusable, and meets high-quality standards  </w:t>
      </w:r>
    </w:p>
    <w:tbl>
      <w:tblPr>
        <w:tblStyle w:val="TableGrid"/>
        <w:tblW w:w="0" w:type="auto"/>
        <w:tblLook w:val="04A0" w:firstRow="1" w:lastRow="0" w:firstColumn="1" w:lastColumn="0" w:noHBand="0" w:noVBand="1"/>
      </w:tblPr>
      <w:tblGrid>
        <w:gridCol w:w="13937"/>
      </w:tblGrid>
      <w:tr w:rsidR="007476E9" w14:paraId="045DC23D" w14:textId="77777777" w:rsidTr="00C32E82">
        <w:tc>
          <w:tcPr>
            <w:tcW w:w="13937" w:type="dxa"/>
          </w:tcPr>
          <w:p w14:paraId="0C0A5B50" w14:textId="77777777" w:rsidR="007476E9" w:rsidRDefault="007476E9" w:rsidP="00C32E82">
            <w:pPr>
              <w:pStyle w:val="Text1"/>
              <w:ind w:left="0"/>
              <w:rPr>
                <w:noProof/>
              </w:rPr>
            </w:pPr>
            <w:r w:rsidRPr="0057502F">
              <w:rPr>
                <w:noProof/>
              </w:rPr>
              <w:t xml:space="preserve">The legislative proposal explicitly indicates when data should be made publicly available. The proposal is considering the nature of the provisions with strictly security and confidentiality aspects and therefore not all the data created under CSA review will be for public consumption.  For the necessary provisions, alignment with the European Digital Identity Wallet has been ensured.  ENISA is tasked to offer early alerts service in in a machine-readable format.  </w:t>
            </w:r>
          </w:p>
        </w:tc>
      </w:tr>
    </w:tbl>
    <w:p w14:paraId="1BF15E27" w14:textId="77777777" w:rsidR="004906BC" w:rsidRDefault="004906BC" w:rsidP="00D00237">
      <w:pPr>
        <w:rPr>
          <w:b/>
          <w:bCs/>
          <w:noProof/>
        </w:rPr>
      </w:pPr>
    </w:p>
    <w:p w14:paraId="15B5B64B" w14:textId="77777777" w:rsidR="00C32E82" w:rsidRDefault="00C32E82" w:rsidP="00D00237">
      <w:pPr>
        <w:rPr>
          <w:b/>
          <w:bCs/>
          <w:noProof/>
        </w:rPr>
      </w:pPr>
    </w:p>
    <w:p w14:paraId="771F1098" w14:textId="77777777" w:rsidR="007476E9" w:rsidRPr="00D00237" w:rsidRDefault="007476E9" w:rsidP="00D00237">
      <w:pPr>
        <w:rPr>
          <w:b/>
          <w:bCs/>
          <w:noProof/>
        </w:rPr>
      </w:pPr>
      <w:r w:rsidRPr="00D00237">
        <w:rPr>
          <w:b/>
          <w:bCs/>
          <w:noProof/>
        </w:rPr>
        <w:t xml:space="preserve">Data flows </w:t>
      </w:r>
    </w:p>
    <w:p w14:paraId="7DCC7DA4" w14:textId="77777777" w:rsidR="007476E9" w:rsidRDefault="007476E9" w:rsidP="00D00237">
      <w:pPr>
        <w:rPr>
          <w:i/>
          <w:iCs/>
          <w:noProof/>
        </w:rPr>
      </w:pPr>
      <w:r w:rsidRPr="00D00237">
        <w:rPr>
          <w:i/>
          <w:iCs/>
          <w:noProof/>
        </w:rPr>
        <w:t>High-level description of the data in scope and any related standards/specifications</w:t>
      </w:r>
    </w:p>
    <w:p w14:paraId="28FD0879" w14:textId="77777777" w:rsidR="00D00237" w:rsidRPr="00D00237" w:rsidRDefault="00D00237" w:rsidP="00D00237">
      <w:pPr>
        <w:rPr>
          <w:b/>
          <w:i/>
          <w:iCs/>
          <w:noProof/>
        </w:rPr>
      </w:pPr>
    </w:p>
    <w:tbl>
      <w:tblPr>
        <w:tblW w:w="0" w:type="dxa"/>
        <w:tblInd w:w="6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50"/>
        <w:gridCol w:w="4380"/>
        <w:gridCol w:w="30"/>
        <w:gridCol w:w="5910"/>
        <w:gridCol w:w="45"/>
      </w:tblGrid>
      <w:tr w:rsidR="007476E9" w:rsidRPr="0057502F" w14:paraId="5EE77C10" w14:textId="77777777">
        <w:trPr>
          <w:trHeight w:val="1080"/>
        </w:trPr>
        <w:tc>
          <w:tcPr>
            <w:tcW w:w="3450" w:type="dxa"/>
            <w:tcBorders>
              <w:top w:val="single" w:sz="6" w:space="0" w:color="auto"/>
              <w:left w:val="single" w:sz="6" w:space="0" w:color="auto"/>
              <w:bottom w:val="single" w:sz="6" w:space="0" w:color="auto"/>
              <w:right w:val="single" w:sz="6" w:space="0" w:color="auto"/>
            </w:tcBorders>
            <w:vAlign w:val="center"/>
            <w:hideMark/>
          </w:tcPr>
          <w:p w14:paraId="0E3AC23B" w14:textId="77777777" w:rsidR="007476E9" w:rsidRPr="0057502F" w:rsidRDefault="007476E9">
            <w:pPr>
              <w:spacing w:before="0" w:after="0"/>
              <w:ind w:left="360"/>
              <w:jc w:val="left"/>
              <w:textAlignment w:val="baseline"/>
              <w:rPr>
                <w:rFonts w:ascii="Segoe UI" w:hAnsi="Segoe UI" w:cs="Segoe UI"/>
                <w:noProof/>
                <w:sz w:val="18"/>
                <w:szCs w:val="18"/>
                <w:lang w:val="en-IE" w:eastAsia="en-IE"/>
              </w:rPr>
            </w:pPr>
            <w:r w:rsidRPr="0057502F">
              <w:rPr>
                <w:b/>
                <w:bCs/>
                <w:noProof/>
                <w:sz w:val="20"/>
                <w:szCs w:val="20"/>
                <w:lang w:eastAsia="en-IE"/>
              </w:rPr>
              <w:t>Type of data</w:t>
            </w:r>
            <w:r w:rsidRPr="0057502F">
              <w:rPr>
                <w:noProof/>
                <w:sz w:val="20"/>
                <w:szCs w:val="20"/>
                <w:lang w:val="en-IE" w:eastAsia="en-IE"/>
              </w:rPr>
              <w:t> </w:t>
            </w:r>
          </w:p>
        </w:tc>
        <w:tc>
          <w:tcPr>
            <w:tcW w:w="4410" w:type="dxa"/>
            <w:gridSpan w:val="2"/>
            <w:tcBorders>
              <w:top w:val="single" w:sz="6" w:space="0" w:color="auto"/>
              <w:left w:val="single" w:sz="6" w:space="0" w:color="auto"/>
              <w:bottom w:val="single" w:sz="6" w:space="0" w:color="auto"/>
              <w:right w:val="single" w:sz="6" w:space="0" w:color="auto"/>
            </w:tcBorders>
            <w:vAlign w:val="center"/>
            <w:hideMark/>
          </w:tcPr>
          <w:p w14:paraId="7F3A14B7"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val="en-IE" w:eastAsia="en-IE"/>
              </w:rPr>
              <w:t> </w:t>
            </w:r>
          </w:p>
          <w:p w14:paraId="7239B507"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b/>
                <w:bCs/>
                <w:noProof/>
                <w:sz w:val="20"/>
                <w:szCs w:val="20"/>
                <w:lang w:eastAsia="en-IE"/>
              </w:rPr>
              <w:t>Explain the data flow</w:t>
            </w:r>
            <w:r w:rsidRPr="0057502F">
              <w:rPr>
                <w:rFonts w:eastAsia="Times New Roman"/>
                <w:noProof/>
                <w:sz w:val="20"/>
                <w:szCs w:val="20"/>
                <w:lang w:val="en-IE" w:eastAsia="en-IE"/>
              </w:rPr>
              <w:t> </w:t>
            </w:r>
          </w:p>
          <w:p w14:paraId="2AE2B3D2"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val="en-IE" w:eastAsia="en-IE"/>
              </w:rPr>
              <w:t> </w:t>
            </w:r>
          </w:p>
        </w:tc>
        <w:tc>
          <w:tcPr>
            <w:tcW w:w="5955" w:type="dxa"/>
            <w:gridSpan w:val="2"/>
            <w:tcBorders>
              <w:top w:val="single" w:sz="6" w:space="0" w:color="auto"/>
              <w:left w:val="single" w:sz="6" w:space="0" w:color="auto"/>
              <w:bottom w:val="single" w:sz="6" w:space="0" w:color="auto"/>
              <w:right w:val="single" w:sz="6" w:space="0" w:color="auto"/>
            </w:tcBorders>
            <w:hideMark/>
          </w:tcPr>
          <w:p w14:paraId="561956E1"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val="en-IE" w:eastAsia="en-IE"/>
              </w:rPr>
              <w:t> </w:t>
            </w:r>
          </w:p>
          <w:p w14:paraId="2526DC8B"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b/>
                <w:bCs/>
                <w:noProof/>
                <w:sz w:val="20"/>
                <w:szCs w:val="20"/>
                <w:lang w:eastAsia="en-IE"/>
              </w:rPr>
              <w:t>References </w:t>
            </w:r>
            <w:r w:rsidRPr="0057502F">
              <w:rPr>
                <w:rFonts w:eastAsia="Times New Roman"/>
                <w:noProof/>
                <w:sz w:val="20"/>
                <w:szCs w:val="20"/>
                <w:lang w:val="en-IE" w:eastAsia="en-IE"/>
              </w:rPr>
              <w:t> </w:t>
            </w:r>
          </w:p>
        </w:tc>
      </w:tr>
      <w:tr w:rsidR="007476E9" w:rsidRPr="0057502F" w14:paraId="02EF7B72" w14:textId="77777777">
        <w:trPr>
          <w:trHeight w:val="3510"/>
        </w:trPr>
        <w:tc>
          <w:tcPr>
            <w:tcW w:w="3450" w:type="dxa"/>
            <w:tcBorders>
              <w:top w:val="single" w:sz="6" w:space="0" w:color="auto"/>
              <w:left w:val="single" w:sz="6" w:space="0" w:color="auto"/>
              <w:bottom w:val="single" w:sz="6" w:space="0" w:color="auto"/>
              <w:right w:val="single" w:sz="6" w:space="0" w:color="auto"/>
            </w:tcBorders>
            <w:vAlign w:val="center"/>
            <w:hideMark/>
          </w:tcPr>
          <w:p w14:paraId="718F5B29"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b/>
                <w:bCs/>
                <w:noProof/>
                <w:sz w:val="20"/>
                <w:szCs w:val="20"/>
                <w:lang w:eastAsia="en-IE"/>
              </w:rPr>
              <w:t>ENISA providing reports and analysis, technical guidance and best practices.  </w:t>
            </w:r>
            <w:r w:rsidRPr="0057502F">
              <w:rPr>
                <w:rFonts w:eastAsia="Times New Roman"/>
                <w:noProof/>
                <w:sz w:val="20"/>
                <w:szCs w:val="20"/>
                <w:lang w:val="en-IE" w:eastAsia="en-IE"/>
              </w:rPr>
              <w:t> </w:t>
            </w:r>
          </w:p>
        </w:tc>
        <w:tc>
          <w:tcPr>
            <w:tcW w:w="4410" w:type="dxa"/>
            <w:gridSpan w:val="2"/>
            <w:tcBorders>
              <w:top w:val="single" w:sz="6" w:space="0" w:color="auto"/>
              <w:left w:val="single" w:sz="6" w:space="0" w:color="auto"/>
              <w:bottom w:val="single" w:sz="6" w:space="0" w:color="auto"/>
              <w:right w:val="single" w:sz="6" w:space="0" w:color="auto"/>
            </w:tcBorders>
            <w:vAlign w:val="center"/>
            <w:hideMark/>
          </w:tcPr>
          <w:p w14:paraId="23A91C92"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eastAsia="en-IE"/>
              </w:rPr>
              <w:t>This is a dataflow that is directed to ENISA stakeholders, supporting the implementation of EU policy and law. In these dataflows, ENISA is gathering information, most of the time through public sources, making analysis and sharing the outcomes with its stakeholders.  ENISA is implementing certain tasks also when requested by the Commission. </w:t>
            </w:r>
            <w:r w:rsidRPr="0057502F">
              <w:rPr>
                <w:rFonts w:eastAsia="Times New Roman"/>
                <w:noProof/>
                <w:sz w:val="20"/>
                <w:szCs w:val="20"/>
                <w:lang w:val="en-IE" w:eastAsia="en-IE"/>
              </w:rPr>
              <w:t> </w:t>
            </w:r>
          </w:p>
        </w:tc>
        <w:tc>
          <w:tcPr>
            <w:tcW w:w="5955" w:type="dxa"/>
            <w:gridSpan w:val="2"/>
            <w:tcBorders>
              <w:top w:val="single" w:sz="6" w:space="0" w:color="auto"/>
              <w:left w:val="single" w:sz="6" w:space="0" w:color="auto"/>
              <w:bottom w:val="single" w:sz="6" w:space="0" w:color="auto"/>
              <w:right w:val="single" w:sz="6" w:space="0" w:color="auto"/>
            </w:tcBorders>
            <w:hideMark/>
          </w:tcPr>
          <w:p w14:paraId="29B9DD70" w14:textId="77777777" w:rsidR="007476E9" w:rsidRPr="00130FBD" w:rsidRDefault="007476E9">
            <w:pPr>
              <w:spacing w:before="0" w:after="0"/>
              <w:ind w:left="360"/>
              <w:jc w:val="left"/>
              <w:textAlignment w:val="baseline"/>
              <w:rPr>
                <w:rFonts w:ascii="Segoe UI" w:eastAsia="Times New Roman" w:hAnsi="Segoe UI" w:cs="Segoe UI"/>
                <w:noProof/>
                <w:sz w:val="18"/>
                <w:szCs w:val="18"/>
                <w:lang w:val="pt-PT" w:eastAsia="en-IE"/>
              </w:rPr>
            </w:pPr>
            <w:r w:rsidRPr="00130FBD">
              <w:rPr>
                <w:rFonts w:eastAsia="Times New Roman"/>
                <w:noProof/>
                <w:sz w:val="20"/>
                <w:szCs w:val="20"/>
                <w:lang w:val="pt-PT" w:eastAsia="en-IE"/>
              </w:rPr>
              <w:t>Article 5(1)(a), (b), (c), (e), (f), (h)  </w:t>
            </w:r>
          </w:p>
          <w:p w14:paraId="5A70E7B4" w14:textId="77777777" w:rsidR="007476E9" w:rsidRPr="00B810DB" w:rsidRDefault="007476E9">
            <w:pPr>
              <w:spacing w:before="0" w:after="0"/>
              <w:ind w:left="360"/>
              <w:jc w:val="left"/>
              <w:textAlignment w:val="baseline"/>
              <w:rPr>
                <w:rFonts w:ascii="Segoe UI" w:eastAsia="Times New Roman" w:hAnsi="Segoe UI" w:cs="Segoe UI"/>
                <w:noProof/>
                <w:sz w:val="18"/>
                <w:szCs w:val="18"/>
                <w:lang w:val="fr-BE" w:eastAsia="en-IE"/>
              </w:rPr>
            </w:pPr>
            <w:r w:rsidRPr="0057502F">
              <w:rPr>
                <w:rFonts w:eastAsia="Times New Roman"/>
                <w:noProof/>
                <w:sz w:val="20"/>
                <w:szCs w:val="20"/>
                <w:lang w:val="fr-BE" w:eastAsia="en-IE"/>
              </w:rPr>
              <w:t>Article 5(2); Article 5(3) ; Article 5(5)</w:t>
            </w:r>
            <w:r w:rsidRPr="00B810DB">
              <w:rPr>
                <w:rFonts w:eastAsia="Times New Roman"/>
                <w:noProof/>
                <w:sz w:val="20"/>
                <w:szCs w:val="20"/>
                <w:lang w:val="fr-BE" w:eastAsia="en-IE"/>
              </w:rPr>
              <w:t> </w:t>
            </w:r>
          </w:p>
          <w:p w14:paraId="3875D250" w14:textId="77777777" w:rsidR="007476E9" w:rsidRPr="00B810DB" w:rsidRDefault="007476E9">
            <w:pPr>
              <w:spacing w:before="0" w:after="0"/>
              <w:ind w:left="360"/>
              <w:jc w:val="left"/>
              <w:textAlignment w:val="baseline"/>
              <w:rPr>
                <w:rFonts w:ascii="Segoe UI" w:eastAsia="Times New Roman" w:hAnsi="Segoe UI" w:cs="Segoe UI"/>
                <w:noProof/>
                <w:sz w:val="18"/>
                <w:szCs w:val="18"/>
                <w:lang w:val="fr-BE" w:eastAsia="en-IE"/>
              </w:rPr>
            </w:pPr>
            <w:r w:rsidRPr="0057502F">
              <w:rPr>
                <w:rFonts w:eastAsia="Times New Roman"/>
                <w:noProof/>
                <w:sz w:val="20"/>
                <w:szCs w:val="20"/>
                <w:lang w:val="fr-BE" w:eastAsia="en-IE"/>
              </w:rPr>
              <w:t>Article 6 </w:t>
            </w:r>
            <w:r w:rsidRPr="00B810DB">
              <w:rPr>
                <w:rFonts w:eastAsia="Times New Roman"/>
                <w:noProof/>
                <w:sz w:val="20"/>
                <w:szCs w:val="20"/>
                <w:lang w:val="fr-BE" w:eastAsia="en-IE"/>
              </w:rPr>
              <w:t> </w:t>
            </w:r>
          </w:p>
          <w:p w14:paraId="1B120C73" w14:textId="77777777" w:rsidR="007476E9" w:rsidRPr="00B810DB" w:rsidRDefault="007476E9">
            <w:pPr>
              <w:spacing w:before="0" w:after="0"/>
              <w:ind w:left="360"/>
              <w:jc w:val="left"/>
              <w:textAlignment w:val="baseline"/>
              <w:rPr>
                <w:rFonts w:ascii="Segoe UI" w:eastAsia="Times New Roman" w:hAnsi="Segoe UI" w:cs="Segoe UI"/>
                <w:noProof/>
                <w:sz w:val="18"/>
                <w:szCs w:val="18"/>
                <w:lang w:val="fr-BE" w:eastAsia="en-IE"/>
              </w:rPr>
            </w:pPr>
            <w:r w:rsidRPr="0057502F">
              <w:rPr>
                <w:rFonts w:eastAsia="Times New Roman"/>
                <w:noProof/>
                <w:sz w:val="20"/>
                <w:szCs w:val="20"/>
                <w:lang w:val="fr-BE" w:eastAsia="en-IE"/>
              </w:rPr>
              <w:t>Article 7</w:t>
            </w:r>
            <w:r w:rsidRPr="00B810DB">
              <w:rPr>
                <w:rFonts w:eastAsia="Times New Roman"/>
                <w:noProof/>
                <w:sz w:val="20"/>
                <w:szCs w:val="20"/>
                <w:lang w:val="fr-BE" w:eastAsia="en-IE"/>
              </w:rPr>
              <w:t> </w:t>
            </w:r>
          </w:p>
          <w:p w14:paraId="1E7452E6" w14:textId="77777777" w:rsidR="007476E9" w:rsidRPr="00B810DB" w:rsidRDefault="007476E9">
            <w:pPr>
              <w:spacing w:before="0" w:after="0"/>
              <w:ind w:left="360"/>
              <w:jc w:val="left"/>
              <w:textAlignment w:val="baseline"/>
              <w:rPr>
                <w:rFonts w:ascii="Segoe UI" w:eastAsia="Times New Roman" w:hAnsi="Segoe UI" w:cs="Segoe UI"/>
                <w:noProof/>
                <w:sz w:val="18"/>
                <w:szCs w:val="18"/>
                <w:lang w:val="fr-BE" w:eastAsia="en-IE"/>
              </w:rPr>
            </w:pPr>
            <w:r w:rsidRPr="0057502F">
              <w:rPr>
                <w:rFonts w:eastAsia="Times New Roman"/>
                <w:noProof/>
                <w:sz w:val="20"/>
                <w:szCs w:val="20"/>
                <w:lang w:val="fr-BE" w:eastAsia="en-IE"/>
              </w:rPr>
              <w:t>Article 8 </w:t>
            </w:r>
            <w:r w:rsidRPr="00B810DB">
              <w:rPr>
                <w:rFonts w:eastAsia="Times New Roman"/>
                <w:noProof/>
                <w:sz w:val="20"/>
                <w:szCs w:val="20"/>
                <w:lang w:val="fr-BE" w:eastAsia="en-IE"/>
              </w:rPr>
              <w:t> </w:t>
            </w:r>
          </w:p>
          <w:p w14:paraId="6F9D0117" w14:textId="77777777" w:rsidR="007476E9" w:rsidRPr="00B810DB" w:rsidRDefault="007476E9">
            <w:pPr>
              <w:spacing w:before="0" w:after="0"/>
              <w:ind w:left="360"/>
              <w:jc w:val="left"/>
              <w:textAlignment w:val="baseline"/>
              <w:rPr>
                <w:rFonts w:ascii="Segoe UI" w:eastAsia="Times New Roman" w:hAnsi="Segoe UI" w:cs="Segoe UI"/>
                <w:noProof/>
                <w:sz w:val="18"/>
                <w:szCs w:val="18"/>
                <w:lang w:val="fr-BE" w:eastAsia="en-IE"/>
              </w:rPr>
            </w:pPr>
            <w:r w:rsidRPr="0057502F">
              <w:rPr>
                <w:rFonts w:eastAsia="Times New Roman"/>
                <w:noProof/>
                <w:sz w:val="20"/>
                <w:szCs w:val="20"/>
                <w:lang w:val="fr-BE" w:eastAsia="en-IE"/>
              </w:rPr>
              <w:t>Article 9</w:t>
            </w:r>
            <w:r w:rsidRPr="00B810DB">
              <w:rPr>
                <w:rFonts w:eastAsia="Times New Roman"/>
                <w:noProof/>
                <w:sz w:val="20"/>
                <w:szCs w:val="20"/>
                <w:lang w:val="fr-BE" w:eastAsia="en-IE"/>
              </w:rPr>
              <w:t> </w:t>
            </w:r>
          </w:p>
          <w:p w14:paraId="753FD0C1" w14:textId="77777777" w:rsidR="007476E9" w:rsidRPr="00B810DB" w:rsidRDefault="007476E9">
            <w:pPr>
              <w:spacing w:before="0" w:after="0"/>
              <w:ind w:left="360"/>
              <w:jc w:val="left"/>
              <w:textAlignment w:val="baseline"/>
              <w:rPr>
                <w:rFonts w:ascii="Segoe UI" w:eastAsia="Times New Roman" w:hAnsi="Segoe UI" w:cs="Segoe UI"/>
                <w:noProof/>
                <w:sz w:val="18"/>
                <w:szCs w:val="18"/>
                <w:lang w:val="fr-BE" w:eastAsia="en-IE"/>
              </w:rPr>
            </w:pPr>
            <w:r w:rsidRPr="0057502F">
              <w:rPr>
                <w:rFonts w:eastAsia="Times New Roman"/>
                <w:noProof/>
                <w:sz w:val="20"/>
                <w:szCs w:val="20"/>
                <w:lang w:val="fr-BE" w:eastAsia="en-IE"/>
              </w:rPr>
              <w:t>Article 10</w:t>
            </w:r>
            <w:r w:rsidRPr="00B810DB">
              <w:rPr>
                <w:rFonts w:eastAsia="Times New Roman"/>
                <w:noProof/>
                <w:sz w:val="20"/>
                <w:szCs w:val="20"/>
                <w:lang w:val="fr-BE" w:eastAsia="en-IE"/>
              </w:rPr>
              <w:t> </w:t>
            </w:r>
          </w:p>
          <w:p w14:paraId="2C3870A1" w14:textId="77777777" w:rsidR="007476E9" w:rsidRPr="008F0AA6" w:rsidRDefault="007476E9">
            <w:pPr>
              <w:spacing w:before="0" w:after="0"/>
              <w:ind w:left="360"/>
              <w:jc w:val="left"/>
              <w:textAlignment w:val="baseline"/>
              <w:rPr>
                <w:rFonts w:ascii="Segoe UI" w:eastAsia="Times New Roman" w:hAnsi="Segoe UI" w:cs="Segoe UI"/>
                <w:noProof/>
                <w:sz w:val="18"/>
                <w:szCs w:val="18"/>
                <w:lang w:val="fr-BE" w:eastAsia="en-IE"/>
              </w:rPr>
            </w:pPr>
            <w:r w:rsidRPr="0057502F">
              <w:rPr>
                <w:rFonts w:eastAsia="Times New Roman"/>
                <w:noProof/>
                <w:sz w:val="20"/>
                <w:szCs w:val="20"/>
                <w:lang w:val="fr-BE" w:eastAsia="en-IE"/>
              </w:rPr>
              <w:t>Article 11(2) </w:t>
            </w:r>
            <w:r w:rsidRPr="008F0AA6">
              <w:rPr>
                <w:rFonts w:eastAsia="Times New Roman"/>
                <w:noProof/>
                <w:sz w:val="20"/>
                <w:szCs w:val="20"/>
                <w:lang w:val="fr-BE" w:eastAsia="en-IE"/>
              </w:rPr>
              <w:t> </w:t>
            </w:r>
          </w:p>
          <w:p w14:paraId="0C45955A"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val="fr-BE" w:eastAsia="en-IE"/>
              </w:rPr>
              <w:t>Article 11(4) </w:t>
            </w:r>
            <w:r w:rsidRPr="0057502F">
              <w:rPr>
                <w:rFonts w:eastAsia="Times New Roman"/>
                <w:noProof/>
                <w:sz w:val="20"/>
                <w:szCs w:val="20"/>
                <w:lang w:val="en-IE" w:eastAsia="en-IE"/>
              </w:rPr>
              <w:t> </w:t>
            </w:r>
          </w:p>
          <w:p w14:paraId="647F4E66"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val="fr-BE" w:eastAsia="en-IE"/>
              </w:rPr>
              <w:t>Article 14</w:t>
            </w:r>
            <w:r w:rsidRPr="0057502F">
              <w:rPr>
                <w:rFonts w:eastAsia="Times New Roman"/>
                <w:noProof/>
                <w:sz w:val="20"/>
                <w:szCs w:val="20"/>
                <w:lang w:val="en-IE" w:eastAsia="en-IE"/>
              </w:rPr>
              <w:t> </w:t>
            </w:r>
          </w:p>
        </w:tc>
      </w:tr>
      <w:tr w:rsidR="007476E9" w:rsidRPr="0057502F" w14:paraId="047EEC14" w14:textId="77777777">
        <w:trPr>
          <w:trHeight w:val="630"/>
        </w:trPr>
        <w:tc>
          <w:tcPr>
            <w:tcW w:w="3450" w:type="dxa"/>
            <w:tcBorders>
              <w:top w:val="single" w:sz="6" w:space="0" w:color="auto"/>
              <w:left w:val="single" w:sz="6" w:space="0" w:color="auto"/>
              <w:bottom w:val="single" w:sz="6" w:space="0" w:color="auto"/>
              <w:right w:val="single" w:sz="6" w:space="0" w:color="auto"/>
            </w:tcBorders>
            <w:vAlign w:val="center"/>
            <w:hideMark/>
          </w:tcPr>
          <w:p w14:paraId="385F7678"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b/>
                <w:bCs/>
                <w:noProof/>
                <w:sz w:val="20"/>
                <w:szCs w:val="20"/>
                <w:lang w:eastAsia="en-IE"/>
              </w:rPr>
              <w:t>Data flows between Commission, ENISA, the Member States and other relevant actors within the EU cybersecurity ecosystem, within the sense of operational cooperation.</w:t>
            </w:r>
            <w:r w:rsidRPr="0057502F">
              <w:rPr>
                <w:rFonts w:eastAsia="Times New Roman"/>
                <w:noProof/>
                <w:sz w:val="20"/>
                <w:szCs w:val="20"/>
                <w:lang w:val="en-IE" w:eastAsia="en-IE"/>
              </w:rPr>
              <w:t> </w:t>
            </w:r>
          </w:p>
        </w:tc>
        <w:tc>
          <w:tcPr>
            <w:tcW w:w="4410" w:type="dxa"/>
            <w:gridSpan w:val="2"/>
            <w:tcBorders>
              <w:top w:val="single" w:sz="6" w:space="0" w:color="auto"/>
              <w:left w:val="single" w:sz="6" w:space="0" w:color="auto"/>
              <w:bottom w:val="single" w:sz="6" w:space="0" w:color="auto"/>
              <w:right w:val="single" w:sz="6" w:space="0" w:color="auto"/>
            </w:tcBorders>
            <w:vAlign w:val="center"/>
            <w:hideMark/>
          </w:tcPr>
          <w:p w14:paraId="415099F6"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eastAsia="en-IE"/>
              </w:rPr>
              <w:t>This type of dataflows are established for the purposes of operational cooperation and situational awareness. The information exchange is in both directions, in and out. The exchange is of operational data. </w:t>
            </w:r>
            <w:r w:rsidRPr="0057502F">
              <w:rPr>
                <w:rFonts w:eastAsia="Times New Roman"/>
                <w:noProof/>
                <w:sz w:val="20"/>
                <w:szCs w:val="20"/>
                <w:lang w:val="en-IE" w:eastAsia="en-IE"/>
              </w:rPr>
              <w:t> </w:t>
            </w:r>
          </w:p>
        </w:tc>
        <w:tc>
          <w:tcPr>
            <w:tcW w:w="5955" w:type="dxa"/>
            <w:gridSpan w:val="2"/>
            <w:tcBorders>
              <w:top w:val="single" w:sz="6" w:space="0" w:color="auto"/>
              <w:left w:val="single" w:sz="6" w:space="0" w:color="auto"/>
              <w:bottom w:val="single" w:sz="6" w:space="0" w:color="auto"/>
              <w:right w:val="single" w:sz="6" w:space="0" w:color="auto"/>
            </w:tcBorders>
            <w:hideMark/>
          </w:tcPr>
          <w:p w14:paraId="4C2F3DF8" w14:textId="77777777" w:rsidR="007476E9" w:rsidRPr="00B810DB" w:rsidRDefault="007476E9">
            <w:pPr>
              <w:spacing w:before="0" w:after="0"/>
              <w:ind w:left="360"/>
              <w:jc w:val="left"/>
              <w:textAlignment w:val="baseline"/>
              <w:rPr>
                <w:rFonts w:ascii="Segoe UI" w:eastAsia="Times New Roman" w:hAnsi="Segoe UI" w:cs="Segoe UI"/>
                <w:noProof/>
                <w:sz w:val="18"/>
                <w:szCs w:val="18"/>
                <w:lang w:val="fr-BE" w:eastAsia="en-IE"/>
              </w:rPr>
            </w:pPr>
            <w:r w:rsidRPr="0057502F">
              <w:rPr>
                <w:rFonts w:eastAsia="Times New Roman"/>
                <w:noProof/>
                <w:sz w:val="20"/>
                <w:szCs w:val="20"/>
                <w:lang w:val="fr-BE" w:eastAsia="en-IE"/>
              </w:rPr>
              <w:t>Article 10(4)(a)-(g) </w:t>
            </w:r>
            <w:r w:rsidRPr="00B810DB">
              <w:rPr>
                <w:rFonts w:eastAsia="Times New Roman"/>
                <w:noProof/>
                <w:sz w:val="20"/>
                <w:szCs w:val="20"/>
                <w:lang w:val="fr-BE" w:eastAsia="en-IE"/>
              </w:rPr>
              <w:t> </w:t>
            </w:r>
          </w:p>
          <w:p w14:paraId="4B69377F" w14:textId="77777777" w:rsidR="007476E9" w:rsidRPr="00B810DB" w:rsidRDefault="007476E9">
            <w:pPr>
              <w:spacing w:before="0" w:after="0"/>
              <w:ind w:left="360"/>
              <w:jc w:val="left"/>
              <w:textAlignment w:val="baseline"/>
              <w:rPr>
                <w:rFonts w:ascii="Segoe UI" w:eastAsia="Times New Roman" w:hAnsi="Segoe UI" w:cs="Segoe UI"/>
                <w:noProof/>
                <w:sz w:val="18"/>
                <w:szCs w:val="18"/>
                <w:lang w:val="fr-BE" w:eastAsia="en-IE"/>
              </w:rPr>
            </w:pPr>
            <w:r w:rsidRPr="0057502F">
              <w:rPr>
                <w:rFonts w:eastAsia="Times New Roman"/>
                <w:noProof/>
                <w:sz w:val="20"/>
                <w:szCs w:val="20"/>
                <w:lang w:val="fr-BE" w:eastAsia="en-IE"/>
              </w:rPr>
              <w:t>Article 11(1)(b)-(g) </w:t>
            </w:r>
            <w:r w:rsidRPr="00B810DB">
              <w:rPr>
                <w:rFonts w:eastAsia="Times New Roman"/>
                <w:noProof/>
                <w:sz w:val="20"/>
                <w:szCs w:val="20"/>
                <w:lang w:val="fr-BE" w:eastAsia="en-IE"/>
              </w:rPr>
              <w:t> </w:t>
            </w:r>
          </w:p>
          <w:p w14:paraId="1E82EC43" w14:textId="77777777" w:rsidR="007476E9" w:rsidRPr="00B810DB" w:rsidRDefault="007476E9">
            <w:pPr>
              <w:spacing w:before="0" w:after="0"/>
              <w:ind w:left="360"/>
              <w:jc w:val="left"/>
              <w:textAlignment w:val="baseline"/>
              <w:rPr>
                <w:rFonts w:ascii="Segoe UI" w:eastAsia="Times New Roman" w:hAnsi="Segoe UI" w:cs="Segoe UI"/>
                <w:noProof/>
                <w:sz w:val="18"/>
                <w:szCs w:val="18"/>
                <w:lang w:val="fr-BE" w:eastAsia="en-IE"/>
              </w:rPr>
            </w:pPr>
            <w:r w:rsidRPr="0057502F">
              <w:rPr>
                <w:rFonts w:eastAsia="Times New Roman"/>
                <w:noProof/>
                <w:sz w:val="20"/>
                <w:szCs w:val="20"/>
                <w:lang w:val="fr-BE" w:eastAsia="en-IE"/>
              </w:rPr>
              <w:t>Article 11(2)(a), (b)</w:t>
            </w:r>
            <w:r w:rsidRPr="00B810DB">
              <w:rPr>
                <w:rFonts w:eastAsia="Times New Roman"/>
                <w:noProof/>
                <w:sz w:val="20"/>
                <w:szCs w:val="20"/>
                <w:lang w:val="fr-BE" w:eastAsia="en-IE"/>
              </w:rPr>
              <w:t> </w:t>
            </w:r>
          </w:p>
          <w:p w14:paraId="1FAE9A1D" w14:textId="77777777" w:rsidR="007476E9" w:rsidRPr="00B810DB" w:rsidRDefault="007476E9">
            <w:pPr>
              <w:spacing w:before="0" w:after="0"/>
              <w:ind w:left="360"/>
              <w:jc w:val="left"/>
              <w:textAlignment w:val="baseline"/>
              <w:rPr>
                <w:rFonts w:ascii="Segoe UI" w:eastAsia="Times New Roman" w:hAnsi="Segoe UI" w:cs="Segoe UI"/>
                <w:noProof/>
                <w:sz w:val="18"/>
                <w:szCs w:val="18"/>
                <w:lang w:val="fr-BE" w:eastAsia="en-IE"/>
              </w:rPr>
            </w:pPr>
            <w:r w:rsidRPr="0057502F">
              <w:rPr>
                <w:rFonts w:eastAsia="Times New Roman"/>
                <w:noProof/>
                <w:sz w:val="20"/>
                <w:szCs w:val="20"/>
                <w:lang w:val="fr-BE" w:eastAsia="en-IE"/>
              </w:rPr>
              <w:t>Article 11(3) </w:t>
            </w:r>
            <w:r w:rsidRPr="00B810DB">
              <w:rPr>
                <w:rFonts w:eastAsia="Times New Roman"/>
                <w:noProof/>
                <w:sz w:val="20"/>
                <w:szCs w:val="20"/>
                <w:lang w:val="fr-BE" w:eastAsia="en-IE"/>
              </w:rPr>
              <w:t> </w:t>
            </w:r>
          </w:p>
          <w:p w14:paraId="085B00DD" w14:textId="77777777" w:rsidR="007476E9" w:rsidRPr="00B810DB" w:rsidRDefault="007476E9">
            <w:pPr>
              <w:spacing w:before="0" w:after="0"/>
              <w:ind w:left="360"/>
              <w:jc w:val="left"/>
              <w:textAlignment w:val="baseline"/>
              <w:rPr>
                <w:rFonts w:ascii="Segoe UI" w:eastAsia="Times New Roman" w:hAnsi="Segoe UI" w:cs="Segoe UI"/>
                <w:noProof/>
                <w:sz w:val="18"/>
                <w:szCs w:val="18"/>
                <w:lang w:val="fr-BE" w:eastAsia="en-IE"/>
              </w:rPr>
            </w:pPr>
            <w:r w:rsidRPr="0057502F">
              <w:rPr>
                <w:rFonts w:eastAsia="Times New Roman"/>
                <w:noProof/>
                <w:sz w:val="20"/>
                <w:szCs w:val="20"/>
                <w:lang w:val="fr-BE" w:eastAsia="en-IE"/>
              </w:rPr>
              <w:t>Article 15</w:t>
            </w:r>
            <w:r w:rsidRPr="00B810DB">
              <w:rPr>
                <w:rFonts w:eastAsia="Times New Roman"/>
                <w:noProof/>
                <w:sz w:val="20"/>
                <w:szCs w:val="20"/>
                <w:lang w:val="fr-BE" w:eastAsia="en-IE"/>
              </w:rPr>
              <w:t> </w:t>
            </w:r>
          </w:p>
          <w:p w14:paraId="263CC5D9"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val="fr-BE" w:eastAsia="en-IE"/>
              </w:rPr>
              <w:t>Article 16(2)(e)</w:t>
            </w:r>
            <w:r w:rsidRPr="0057502F">
              <w:rPr>
                <w:rFonts w:eastAsia="Times New Roman"/>
                <w:noProof/>
                <w:sz w:val="20"/>
                <w:szCs w:val="20"/>
                <w:lang w:val="en-IE" w:eastAsia="en-IE"/>
              </w:rPr>
              <w:t> </w:t>
            </w:r>
          </w:p>
        </w:tc>
      </w:tr>
      <w:tr w:rsidR="007476E9" w:rsidRPr="0057502F" w14:paraId="1AB32C3E" w14:textId="77777777">
        <w:trPr>
          <w:trHeight w:val="630"/>
        </w:trPr>
        <w:tc>
          <w:tcPr>
            <w:tcW w:w="3450" w:type="dxa"/>
            <w:tcBorders>
              <w:top w:val="single" w:sz="6" w:space="0" w:color="auto"/>
              <w:left w:val="single" w:sz="6" w:space="0" w:color="auto"/>
              <w:bottom w:val="single" w:sz="6" w:space="0" w:color="auto"/>
              <w:right w:val="single" w:sz="6" w:space="0" w:color="auto"/>
            </w:tcBorders>
            <w:vAlign w:val="center"/>
            <w:hideMark/>
          </w:tcPr>
          <w:p w14:paraId="1433715E"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b/>
                <w:bCs/>
                <w:noProof/>
                <w:sz w:val="20"/>
                <w:szCs w:val="20"/>
                <w:lang w:eastAsia="en-IE"/>
              </w:rPr>
              <w:t>Data flows established to support the ECSF and the European individual cybersecurity skills attestation schemes and their implementation</w:t>
            </w:r>
            <w:r w:rsidRPr="0057502F">
              <w:rPr>
                <w:rFonts w:eastAsia="Times New Roman"/>
                <w:noProof/>
                <w:sz w:val="20"/>
                <w:szCs w:val="20"/>
                <w:lang w:val="en-IE" w:eastAsia="en-IE"/>
              </w:rPr>
              <w:t> </w:t>
            </w:r>
          </w:p>
        </w:tc>
        <w:tc>
          <w:tcPr>
            <w:tcW w:w="4410" w:type="dxa"/>
            <w:gridSpan w:val="2"/>
            <w:tcBorders>
              <w:top w:val="single" w:sz="6" w:space="0" w:color="auto"/>
              <w:left w:val="single" w:sz="6" w:space="0" w:color="auto"/>
              <w:bottom w:val="single" w:sz="6" w:space="0" w:color="auto"/>
              <w:right w:val="single" w:sz="6" w:space="0" w:color="auto"/>
            </w:tcBorders>
            <w:vAlign w:val="center"/>
            <w:hideMark/>
          </w:tcPr>
          <w:p w14:paraId="1490DC2C" w14:textId="77777777" w:rsidR="007476E9" w:rsidRPr="0057502F" w:rsidRDefault="007476E9">
            <w:pPr>
              <w:spacing w:before="0" w:after="0"/>
              <w:ind w:left="360"/>
              <w:textAlignment w:val="baseline"/>
              <w:rPr>
                <w:rFonts w:ascii="Segoe UI" w:eastAsia="Times New Roman" w:hAnsi="Segoe UI" w:cs="Segoe UI"/>
                <w:noProof/>
                <w:sz w:val="18"/>
                <w:szCs w:val="18"/>
                <w:lang w:val="en-IE" w:eastAsia="en-IE"/>
              </w:rPr>
            </w:pPr>
            <w:r w:rsidRPr="0057502F">
              <w:rPr>
                <w:rFonts w:eastAsia="Times New Roman"/>
                <w:noProof/>
                <w:sz w:val="20"/>
                <w:szCs w:val="20"/>
                <w:lang w:eastAsia="en-IE"/>
              </w:rPr>
              <w:t>These data flows support exchanges in and out for:</w:t>
            </w:r>
            <w:r w:rsidRPr="0057502F">
              <w:rPr>
                <w:rFonts w:eastAsia="Times New Roman"/>
                <w:noProof/>
                <w:sz w:val="20"/>
                <w:szCs w:val="20"/>
                <w:lang w:val="en-IE" w:eastAsia="en-IE"/>
              </w:rPr>
              <w:t> </w:t>
            </w:r>
          </w:p>
          <w:p w14:paraId="145B403B"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eastAsia="en-IE"/>
              </w:rPr>
              <w:t>- the maintenance and uptake of the ECSF, with flows between ENISA and its ad hoc working group members and between ENISA and the Commission;</w:t>
            </w:r>
            <w:r w:rsidRPr="0057502F">
              <w:rPr>
                <w:rFonts w:eastAsia="Times New Roman"/>
                <w:noProof/>
                <w:sz w:val="20"/>
                <w:szCs w:val="20"/>
                <w:lang w:val="en-IE" w:eastAsia="en-IE"/>
              </w:rPr>
              <w:t> </w:t>
            </w:r>
          </w:p>
          <w:p w14:paraId="0BBBCC69"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eastAsia="en-IE"/>
              </w:rPr>
              <w:t>- the development and maintenance of European individual cybersecurity skills attestation schemes with flows between ENISA and its ad hoc working group members and between ENISA, the Commission and Member States;</w:t>
            </w:r>
            <w:r w:rsidRPr="0057502F">
              <w:rPr>
                <w:rFonts w:eastAsia="Times New Roman"/>
                <w:noProof/>
                <w:sz w:val="20"/>
                <w:szCs w:val="20"/>
                <w:lang w:val="en-IE" w:eastAsia="en-IE"/>
              </w:rPr>
              <w:t> </w:t>
            </w:r>
          </w:p>
          <w:p w14:paraId="3E9D9BBB"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eastAsia="en-IE"/>
              </w:rPr>
              <w:t>- the implementation of European individual cybersecurity skills attestation schemes with data flows between applicants and ENISA;</w:t>
            </w:r>
            <w:r w:rsidRPr="0057502F">
              <w:rPr>
                <w:rFonts w:eastAsia="Times New Roman"/>
                <w:noProof/>
                <w:sz w:val="20"/>
                <w:szCs w:val="20"/>
                <w:lang w:val="en-IE" w:eastAsia="en-IE"/>
              </w:rPr>
              <w:t> </w:t>
            </w:r>
          </w:p>
          <w:p w14:paraId="3F6C28A1"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eastAsia="en-IE"/>
              </w:rPr>
              <w:t>- data flows between the Board of Appeals, ENISA, the Commission and applicants.</w:t>
            </w:r>
            <w:r w:rsidRPr="0057502F">
              <w:rPr>
                <w:rFonts w:eastAsia="Times New Roman"/>
                <w:noProof/>
                <w:sz w:val="20"/>
                <w:szCs w:val="20"/>
                <w:lang w:val="en-IE" w:eastAsia="en-IE"/>
              </w:rPr>
              <w:t> </w:t>
            </w:r>
          </w:p>
        </w:tc>
        <w:tc>
          <w:tcPr>
            <w:tcW w:w="5955" w:type="dxa"/>
            <w:gridSpan w:val="2"/>
            <w:tcBorders>
              <w:top w:val="single" w:sz="6" w:space="0" w:color="auto"/>
              <w:left w:val="single" w:sz="6" w:space="0" w:color="auto"/>
              <w:bottom w:val="single" w:sz="6" w:space="0" w:color="auto"/>
              <w:right w:val="single" w:sz="6" w:space="0" w:color="auto"/>
            </w:tcBorders>
            <w:hideMark/>
          </w:tcPr>
          <w:p w14:paraId="335F7E35"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eastAsia="en-IE"/>
              </w:rPr>
              <w:t>Article 19 to 23 </w:t>
            </w:r>
            <w:r w:rsidRPr="0057502F">
              <w:rPr>
                <w:rFonts w:eastAsia="Times New Roman"/>
                <w:noProof/>
                <w:sz w:val="20"/>
                <w:szCs w:val="20"/>
                <w:lang w:val="en-IE" w:eastAsia="en-IE"/>
              </w:rPr>
              <w:t> </w:t>
            </w:r>
          </w:p>
          <w:p w14:paraId="7179894C"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eastAsia="en-IE"/>
              </w:rPr>
              <w:t>Articles 36 to 43</w:t>
            </w:r>
            <w:r w:rsidRPr="0057502F">
              <w:rPr>
                <w:rFonts w:eastAsia="Times New Roman"/>
                <w:noProof/>
                <w:sz w:val="20"/>
                <w:szCs w:val="20"/>
                <w:lang w:val="en-IE" w:eastAsia="en-IE"/>
              </w:rPr>
              <w:t> </w:t>
            </w:r>
          </w:p>
          <w:p w14:paraId="5E9524D7"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val="en-IE" w:eastAsia="en-IE"/>
              </w:rPr>
              <w:t> </w:t>
            </w:r>
          </w:p>
        </w:tc>
      </w:tr>
      <w:tr w:rsidR="007476E9" w:rsidRPr="0057502F" w14:paraId="2F7CB5CD" w14:textId="77777777">
        <w:trPr>
          <w:trHeight w:val="2025"/>
        </w:trPr>
        <w:tc>
          <w:tcPr>
            <w:tcW w:w="3450" w:type="dxa"/>
            <w:tcBorders>
              <w:top w:val="single" w:sz="6" w:space="0" w:color="auto"/>
              <w:left w:val="single" w:sz="6" w:space="0" w:color="auto"/>
              <w:bottom w:val="single" w:sz="6" w:space="0" w:color="auto"/>
              <w:right w:val="single" w:sz="6" w:space="0" w:color="auto"/>
            </w:tcBorders>
            <w:vAlign w:val="center"/>
            <w:hideMark/>
          </w:tcPr>
          <w:p w14:paraId="66B4FBB8"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b/>
                <w:bCs/>
                <w:noProof/>
                <w:sz w:val="20"/>
                <w:szCs w:val="20"/>
                <w:lang w:eastAsia="en-IE"/>
              </w:rPr>
              <w:t>Data with relevance to the objectives, purpose and content of European cybersecurity certification schemes</w:t>
            </w:r>
            <w:r w:rsidRPr="0057502F">
              <w:rPr>
                <w:rFonts w:eastAsia="Times New Roman"/>
                <w:noProof/>
                <w:sz w:val="20"/>
                <w:szCs w:val="20"/>
                <w:lang w:val="en-IE" w:eastAsia="en-IE"/>
              </w:rPr>
              <w:t> </w:t>
            </w:r>
          </w:p>
        </w:tc>
        <w:tc>
          <w:tcPr>
            <w:tcW w:w="4380" w:type="dxa"/>
            <w:tcBorders>
              <w:top w:val="single" w:sz="6" w:space="0" w:color="auto"/>
              <w:left w:val="single" w:sz="6" w:space="0" w:color="auto"/>
              <w:bottom w:val="single" w:sz="6" w:space="0" w:color="auto"/>
              <w:right w:val="single" w:sz="6" w:space="0" w:color="auto"/>
            </w:tcBorders>
            <w:vAlign w:val="center"/>
            <w:hideMark/>
          </w:tcPr>
          <w:p w14:paraId="4829C0B2"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eastAsia="en-IE"/>
              </w:rPr>
              <w:t>This type of data flows is relevant to planning, requesting, development, adoption and maintenance (including possible review) of European cybersecurity certification schemes. It is in particular related to engagement and expert advice of stakeholders, ENISA, Member State authorities through ECCG at various stage of procedure. Furthermore, additional data flows are related to provision of relevant information to general public through dedicated Commission and ENISA websites. Finally, framework envisages public availability of supplementary cybersecurity information by the manufacturers or providers of ICT products, ICT services or ICT processes for which an EU statement of conformity or European cybersecurity certificate has been issued by their own means.</w:t>
            </w:r>
            <w:r w:rsidRPr="0057502F">
              <w:rPr>
                <w:rFonts w:eastAsia="Times New Roman"/>
                <w:noProof/>
                <w:sz w:val="20"/>
                <w:szCs w:val="20"/>
                <w:lang w:val="en-IE" w:eastAsia="en-IE"/>
              </w:rPr>
              <w:t> </w:t>
            </w:r>
          </w:p>
        </w:tc>
        <w:tc>
          <w:tcPr>
            <w:tcW w:w="5940" w:type="dxa"/>
            <w:gridSpan w:val="2"/>
            <w:tcBorders>
              <w:top w:val="single" w:sz="6" w:space="0" w:color="auto"/>
              <w:left w:val="single" w:sz="6" w:space="0" w:color="auto"/>
              <w:bottom w:val="single" w:sz="6" w:space="0" w:color="auto"/>
              <w:right w:val="single" w:sz="6" w:space="0" w:color="auto"/>
            </w:tcBorders>
            <w:hideMark/>
          </w:tcPr>
          <w:p w14:paraId="04D25A5D"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eastAsia="en-IE"/>
              </w:rPr>
              <w:t>Article 18</w:t>
            </w:r>
            <w:r w:rsidRPr="0057502F">
              <w:rPr>
                <w:rFonts w:eastAsia="Times New Roman"/>
                <w:noProof/>
                <w:sz w:val="20"/>
                <w:szCs w:val="20"/>
                <w:lang w:val="en-IE" w:eastAsia="en-IE"/>
              </w:rPr>
              <w:t> </w:t>
            </w:r>
          </w:p>
          <w:p w14:paraId="14E15244"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eastAsia="en-IE"/>
              </w:rPr>
              <w:t>Article 19</w:t>
            </w:r>
            <w:r w:rsidRPr="0057502F">
              <w:rPr>
                <w:rFonts w:eastAsia="Times New Roman"/>
                <w:noProof/>
                <w:sz w:val="20"/>
                <w:szCs w:val="20"/>
                <w:lang w:val="en-IE" w:eastAsia="en-IE"/>
              </w:rPr>
              <w:t> </w:t>
            </w:r>
          </w:p>
          <w:p w14:paraId="231DC230"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eastAsia="en-IE"/>
              </w:rPr>
              <w:t xml:space="preserve">Articles 72, 73, 74, 75, 76, </w:t>
            </w:r>
            <w:r>
              <w:rPr>
                <w:rFonts w:eastAsia="Times New Roman"/>
                <w:noProof/>
                <w:sz w:val="20"/>
                <w:szCs w:val="20"/>
                <w:lang w:eastAsia="en-IE"/>
              </w:rPr>
              <w:t xml:space="preserve">77, </w:t>
            </w:r>
            <w:r w:rsidRPr="0057502F">
              <w:rPr>
                <w:rFonts w:eastAsia="Times New Roman"/>
                <w:noProof/>
                <w:sz w:val="20"/>
                <w:szCs w:val="20"/>
                <w:lang w:eastAsia="en-IE"/>
              </w:rPr>
              <w:t>79, 81, 83, 84</w:t>
            </w:r>
            <w:r w:rsidRPr="0057502F">
              <w:rPr>
                <w:rFonts w:eastAsia="Times New Roman"/>
                <w:noProof/>
                <w:sz w:val="20"/>
                <w:szCs w:val="20"/>
                <w:lang w:val="en-IE" w:eastAsia="en-IE"/>
              </w:rPr>
              <w:t> </w:t>
            </w:r>
          </w:p>
        </w:tc>
        <w:tc>
          <w:tcPr>
            <w:tcW w:w="0" w:type="auto"/>
            <w:vAlign w:val="center"/>
            <w:hideMark/>
          </w:tcPr>
          <w:p w14:paraId="47AF69DA" w14:textId="77777777" w:rsidR="007476E9" w:rsidRPr="0057502F" w:rsidRDefault="007476E9">
            <w:pPr>
              <w:spacing w:before="0" w:after="0"/>
              <w:ind w:left="360"/>
              <w:jc w:val="left"/>
              <w:rPr>
                <w:noProof/>
                <w:sz w:val="20"/>
                <w:szCs w:val="20"/>
                <w:lang w:val="en-IE" w:eastAsia="en-IE"/>
              </w:rPr>
            </w:pPr>
          </w:p>
        </w:tc>
      </w:tr>
      <w:tr w:rsidR="007476E9" w:rsidRPr="0057502F" w14:paraId="20033A59" w14:textId="77777777">
        <w:trPr>
          <w:trHeight w:val="2025"/>
        </w:trPr>
        <w:tc>
          <w:tcPr>
            <w:tcW w:w="3450" w:type="dxa"/>
            <w:tcBorders>
              <w:top w:val="single" w:sz="6" w:space="0" w:color="auto"/>
              <w:left w:val="single" w:sz="6" w:space="0" w:color="auto"/>
              <w:bottom w:val="single" w:sz="6" w:space="0" w:color="auto"/>
              <w:right w:val="single" w:sz="6" w:space="0" w:color="auto"/>
            </w:tcBorders>
            <w:vAlign w:val="center"/>
            <w:hideMark/>
          </w:tcPr>
          <w:p w14:paraId="5E5738A3"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b/>
                <w:bCs/>
                <w:noProof/>
                <w:sz w:val="20"/>
                <w:szCs w:val="20"/>
                <w:lang w:eastAsia="en-IE"/>
              </w:rPr>
              <w:t>Data related to the governance of the European cybersecurity certification framework</w:t>
            </w:r>
            <w:r w:rsidRPr="0057502F">
              <w:rPr>
                <w:rFonts w:eastAsia="Times New Roman"/>
                <w:noProof/>
                <w:sz w:val="20"/>
                <w:szCs w:val="20"/>
                <w:lang w:val="en-IE" w:eastAsia="en-IE"/>
              </w:rPr>
              <w:t> </w:t>
            </w:r>
          </w:p>
        </w:tc>
        <w:tc>
          <w:tcPr>
            <w:tcW w:w="4380" w:type="dxa"/>
            <w:tcBorders>
              <w:top w:val="single" w:sz="6" w:space="0" w:color="auto"/>
              <w:left w:val="single" w:sz="6" w:space="0" w:color="auto"/>
              <w:bottom w:val="single" w:sz="6" w:space="0" w:color="auto"/>
              <w:right w:val="single" w:sz="6" w:space="0" w:color="auto"/>
            </w:tcBorders>
            <w:vAlign w:val="center"/>
            <w:hideMark/>
          </w:tcPr>
          <w:p w14:paraId="5324A3C6" w14:textId="77777777" w:rsidR="007476E9" w:rsidRPr="0057502F" w:rsidRDefault="007476E9">
            <w:pPr>
              <w:spacing w:before="0" w:after="0"/>
              <w:ind w:left="360"/>
              <w:textAlignment w:val="baseline"/>
              <w:rPr>
                <w:rFonts w:ascii="Segoe UI" w:eastAsia="Times New Roman" w:hAnsi="Segoe UI" w:cs="Segoe UI"/>
                <w:noProof/>
                <w:sz w:val="18"/>
                <w:szCs w:val="18"/>
                <w:lang w:val="en-IE" w:eastAsia="en-IE"/>
              </w:rPr>
            </w:pPr>
            <w:r w:rsidRPr="0057502F">
              <w:rPr>
                <w:rFonts w:eastAsia="Times New Roman"/>
                <w:noProof/>
                <w:sz w:val="20"/>
                <w:szCs w:val="20"/>
                <w:lang w:eastAsia="en-IE"/>
              </w:rPr>
              <w:t>These data flows support exchanges in and out for:</w:t>
            </w:r>
            <w:r w:rsidRPr="0057502F">
              <w:rPr>
                <w:rFonts w:eastAsia="Times New Roman"/>
                <w:noProof/>
                <w:sz w:val="20"/>
                <w:szCs w:val="20"/>
                <w:lang w:val="en-IE" w:eastAsia="en-IE"/>
              </w:rPr>
              <w:t> </w:t>
            </w:r>
          </w:p>
          <w:p w14:paraId="3FABC59C"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eastAsia="en-IE"/>
              </w:rPr>
              <w:t>- coordination and management of European cybersecurity certification schemes</w:t>
            </w:r>
            <w:r w:rsidRPr="0057502F">
              <w:rPr>
                <w:rFonts w:eastAsia="Times New Roman"/>
                <w:noProof/>
                <w:sz w:val="20"/>
                <w:szCs w:val="20"/>
                <w:lang w:val="en-IE" w:eastAsia="en-IE"/>
              </w:rPr>
              <w:t> </w:t>
            </w:r>
          </w:p>
          <w:p w14:paraId="3BC8D3FA"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eastAsia="en-IE"/>
              </w:rPr>
              <w:t>- accreditation and authorisation of conformity assessment bodies as well as their subsequent notification through relevant platform and related procedures</w:t>
            </w:r>
            <w:r w:rsidRPr="0057502F">
              <w:rPr>
                <w:rFonts w:eastAsia="Times New Roman"/>
                <w:noProof/>
                <w:sz w:val="20"/>
                <w:szCs w:val="20"/>
                <w:lang w:val="en-IE" w:eastAsia="en-IE"/>
              </w:rPr>
              <w:t> </w:t>
            </w:r>
          </w:p>
          <w:p w14:paraId="227903A6"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eastAsia="en-IE"/>
              </w:rPr>
              <w:t>- recourse procedures such as right to lodge a complaint, judicial remedy or appeal and change procedures</w:t>
            </w:r>
            <w:r w:rsidRPr="0057502F">
              <w:rPr>
                <w:rFonts w:eastAsia="Times New Roman"/>
                <w:noProof/>
                <w:sz w:val="20"/>
                <w:szCs w:val="20"/>
                <w:lang w:val="en-IE" w:eastAsia="en-IE"/>
              </w:rPr>
              <w:t> </w:t>
            </w:r>
          </w:p>
        </w:tc>
        <w:tc>
          <w:tcPr>
            <w:tcW w:w="5940" w:type="dxa"/>
            <w:gridSpan w:val="2"/>
            <w:tcBorders>
              <w:top w:val="single" w:sz="6" w:space="0" w:color="auto"/>
              <w:left w:val="single" w:sz="6" w:space="0" w:color="auto"/>
              <w:bottom w:val="single" w:sz="6" w:space="0" w:color="auto"/>
              <w:right w:val="single" w:sz="6" w:space="0" w:color="auto"/>
            </w:tcBorders>
            <w:hideMark/>
          </w:tcPr>
          <w:p w14:paraId="178DCB61"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eastAsia="en-IE"/>
              </w:rPr>
              <w:t>Articles 85, 86, 88, 89, 90, 92, 93, 94, 95, 96</w:t>
            </w:r>
            <w:r w:rsidRPr="0057502F">
              <w:rPr>
                <w:rFonts w:eastAsia="Times New Roman"/>
                <w:noProof/>
                <w:sz w:val="20"/>
                <w:szCs w:val="20"/>
                <w:lang w:val="en-IE" w:eastAsia="en-IE"/>
              </w:rPr>
              <w:t> </w:t>
            </w:r>
          </w:p>
        </w:tc>
        <w:tc>
          <w:tcPr>
            <w:tcW w:w="0" w:type="auto"/>
            <w:vAlign w:val="center"/>
            <w:hideMark/>
          </w:tcPr>
          <w:p w14:paraId="35BFF413" w14:textId="77777777" w:rsidR="007476E9" w:rsidRPr="0057502F" w:rsidRDefault="007476E9">
            <w:pPr>
              <w:spacing w:before="0" w:after="0"/>
              <w:ind w:left="360"/>
              <w:jc w:val="left"/>
              <w:rPr>
                <w:noProof/>
                <w:sz w:val="20"/>
                <w:szCs w:val="20"/>
                <w:lang w:val="en-IE" w:eastAsia="en-IE"/>
              </w:rPr>
            </w:pPr>
          </w:p>
        </w:tc>
      </w:tr>
      <w:tr w:rsidR="007476E9" w:rsidRPr="00105FEA" w14:paraId="53AA50BB" w14:textId="77777777">
        <w:trPr>
          <w:trHeight w:val="3645"/>
        </w:trPr>
        <w:tc>
          <w:tcPr>
            <w:tcW w:w="3450" w:type="dxa"/>
            <w:tcBorders>
              <w:top w:val="single" w:sz="6" w:space="0" w:color="auto"/>
              <w:left w:val="single" w:sz="6" w:space="0" w:color="auto"/>
              <w:bottom w:val="single" w:sz="6" w:space="0" w:color="auto"/>
              <w:right w:val="single" w:sz="6" w:space="0" w:color="auto"/>
            </w:tcBorders>
            <w:vAlign w:val="center"/>
            <w:hideMark/>
          </w:tcPr>
          <w:p w14:paraId="36E219B6"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b/>
                <w:bCs/>
                <w:noProof/>
                <w:sz w:val="20"/>
                <w:szCs w:val="20"/>
                <w:lang w:eastAsia="en-IE"/>
              </w:rPr>
              <w:t>Data flows in relation to the administrative activities of the Agency</w:t>
            </w:r>
            <w:r w:rsidRPr="0057502F">
              <w:rPr>
                <w:rFonts w:eastAsia="Times New Roman"/>
                <w:noProof/>
                <w:sz w:val="20"/>
                <w:szCs w:val="20"/>
                <w:lang w:val="en-IE" w:eastAsia="en-IE"/>
              </w:rPr>
              <w:t> </w:t>
            </w:r>
          </w:p>
        </w:tc>
        <w:tc>
          <w:tcPr>
            <w:tcW w:w="4410" w:type="dxa"/>
            <w:gridSpan w:val="2"/>
            <w:tcBorders>
              <w:top w:val="single" w:sz="6" w:space="0" w:color="auto"/>
              <w:left w:val="single" w:sz="6" w:space="0" w:color="auto"/>
              <w:bottom w:val="single" w:sz="6" w:space="0" w:color="auto"/>
              <w:right w:val="single" w:sz="6" w:space="0" w:color="auto"/>
            </w:tcBorders>
            <w:vAlign w:val="center"/>
            <w:hideMark/>
          </w:tcPr>
          <w:p w14:paraId="1B01297F"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eastAsia="en-IE"/>
              </w:rPr>
              <w:t>Flows between ENISA, Management Board, Member States, Commission. The information is regarding the administrative activities of the Agency, both directions. Information is also being sent to European Parliament in some cases (data flow in that respect is presented below)</w:t>
            </w:r>
            <w:r w:rsidRPr="0057502F">
              <w:rPr>
                <w:rFonts w:eastAsia="Times New Roman"/>
                <w:noProof/>
                <w:sz w:val="20"/>
                <w:szCs w:val="20"/>
                <w:lang w:val="en-IE" w:eastAsia="en-IE"/>
              </w:rPr>
              <w:t> </w:t>
            </w:r>
          </w:p>
        </w:tc>
        <w:tc>
          <w:tcPr>
            <w:tcW w:w="5955" w:type="dxa"/>
            <w:gridSpan w:val="2"/>
            <w:tcBorders>
              <w:top w:val="single" w:sz="6" w:space="0" w:color="auto"/>
              <w:left w:val="single" w:sz="6" w:space="0" w:color="auto"/>
              <w:bottom w:val="single" w:sz="6" w:space="0" w:color="auto"/>
              <w:right w:val="single" w:sz="6" w:space="0" w:color="auto"/>
            </w:tcBorders>
            <w:hideMark/>
          </w:tcPr>
          <w:p w14:paraId="16A1A077" w14:textId="77777777" w:rsidR="007476E9" w:rsidRPr="00B810DB" w:rsidRDefault="007476E9">
            <w:pPr>
              <w:spacing w:before="0" w:after="0"/>
              <w:ind w:left="360"/>
              <w:jc w:val="left"/>
              <w:textAlignment w:val="baseline"/>
              <w:rPr>
                <w:rFonts w:ascii="Segoe UI" w:eastAsia="Times New Roman" w:hAnsi="Segoe UI" w:cs="Segoe UI"/>
                <w:noProof/>
                <w:sz w:val="18"/>
                <w:szCs w:val="18"/>
                <w:lang w:val="fr-BE" w:eastAsia="en-IE"/>
              </w:rPr>
            </w:pPr>
            <w:r w:rsidRPr="0057502F">
              <w:rPr>
                <w:rFonts w:eastAsia="Times New Roman"/>
                <w:noProof/>
                <w:sz w:val="20"/>
                <w:szCs w:val="20"/>
                <w:lang w:val="fr-BE" w:eastAsia="en-IE"/>
              </w:rPr>
              <w:t>Article 25 </w:t>
            </w:r>
            <w:r w:rsidRPr="00B810DB">
              <w:rPr>
                <w:rFonts w:eastAsia="Times New Roman"/>
                <w:noProof/>
                <w:sz w:val="20"/>
                <w:szCs w:val="20"/>
                <w:lang w:val="fr-BE" w:eastAsia="en-IE"/>
              </w:rPr>
              <w:t> </w:t>
            </w:r>
          </w:p>
          <w:p w14:paraId="5195B8F7" w14:textId="77777777" w:rsidR="007476E9" w:rsidRPr="00B810DB" w:rsidRDefault="007476E9">
            <w:pPr>
              <w:spacing w:before="0" w:after="0"/>
              <w:ind w:left="360"/>
              <w:jc w:val="left"/>
              <w:textAlignment w:val="baseline"/>
              <w:rPr>
                <w:rFonts w:ascii="Segoe UI" w:eastAsia="Times New Roman" w:hAnsi="Segoe UI" w:cs="Segoe UI"/>
                <w:noProof/>
                <w:sz w:val="18"/>
                <w:szCs w:val="18"/>
                <w:lang w:val="fr-BE" w:eastAsia="en-IE"/>
              </w:rPr>
            </w:pPr>
          </w:p>
          <w:p w14:paraId="77E5BD5C" w14:textId="77777777" w:rsidR="007476E9" w:rsidRPr="00B810DB" w:rsidRDefault="007476E9">
            <w:pPr>
              <w:spacing w:before="0" w:after="0"/>
              <w:ind w:left="360"/>
              <w:jc w:val="left"/>
              <w:textAlignment w:val="baseline"/>
              <w:rPr>
                <w:rFonts w:ascii="Segoe UI" w:eastAsia="Times New Roman" w:hAnsi="Segoe UI" w:cs="Segoe UI"/>
                <w:noProof/>
                <w:sz w:val="18"/>
                <w:szCs w:val="18"/>
                <w:lang w:val="fr-BE" w:eastAsia="en-IE"/>
              </w:rPr>
            </w:pPr>
            <w:r w:rsidRPr="0057502F">
              <w:rPr>
                <w:rFonts w:eastAsia="Times New Roman"/>
                <w:noProof/>
                <w:sz w:val="20"/>
                <w:szCs w:val="20"/>
                <w:lang w:val="fr-BE" w:eastAsia="en-IE"/>
              </w:rPr>
              <w:t>Article 28(1) </w:t>
            </w:r>
            <w:r w:rsidRPr="00B810DB">
              <w:rPr>
                <w:rFonts w:eastAsia="Times New Roman"/>
                <w:noProof/>
                <w:sz w:val="20"/>
                <w:szCs w:val="20"/>
                <w:lang w:val="fr-BE" w:eastAsia="en-IE"/>
              </w:rPr>
              <w:t> </w:t>
            </w:r>
          </w:p>
          <w:p w14:paraId="439E6643" w14:textId="77777777" w:rsidR="007476E9" w:rsidRPr="00B810DB" w:rsidRDefault="007476E9">
            <w:pPr>
              <w:spacing w:before="0" w:after="0"/>
              <w:ind w:left="360"/>
              <w:jc w:val="left"/>
              <w:textAlignment w:val="baseline"/>
              <w:rPr>
                <w:rFonts w:ascii="Segoe UI" w:eastAsia="Times New Roman" w:hAnsi="Segoe UI" w:cs="Segoe UI"/>
                <w:noProof/>
                <w:sz w:val="18"/>
                <w:szCs w:val="18"/>
                <w:lang w:val="fr-BE" w:eastAsia="en-IE"/>
              </w:rPr>
            </w:pPr>
            <w:r w:rsidRPr="0057502F">
              <w:rPr>
                <w:rFonts w:eastAsia="Times New Roman"/>
                <w:noProof/>
                <w:sz w:val="20"/>
                <w:szCs w:val="20"/>
                <w:lang w:val="fr-BE" w:eastAsia="en-IE"/>
              </w:rPr>
              <w:t>Article 30 </w:t>
            </w:r>
            <w:r w:rsidRPr="00B810DB">
              <w:rPr>
                <w:rFonts w:eastAsia="Times New Roman"/>
                <w:noProof/>
                <w:sz w:val="20"/>
                <w:szCs w:val="20"/>
                <w:lang w:val="fr-BE" w:eastAsia="en-IE"/>
              </w:rPr>
              <w:t> </w:t>
            </w:r>
          </w:p>
          <w:p w14:paraId="2EC5EB49" w14:textId="77777777" w:rsidR="007476E9" w:rsidRPr="00B810DB" w:rsidRDefault="007476E9">
            <w:pPr>
              <w:spacing w:before="0" w:after="0"/>
              <w:ind w:left="360"/>
              <w:jc w:val="left"/>
              <w:textAlignment w:val="baseline"/>
              <w:rPr>
                <w:rFonts w:ascii="Segoe UI" w:eastAsia="Times New Roman" w:hAnsi="Segoe UI" w:cs="Segoe UI"/>
                <w:noProof/>
                <w:sz w:val="18"/>
                <w:szCs w:val="18"/>
                <w:lang w:val="fr-BE" w:eastAsia="en-IE"/>
              </w:rPr>
            </w:pPr>
            <w:r w:rsidRPr="0057502F">
              <w:rPr>
                <w:rFonts w:eastAsia="Times New Roman"/>
                <w:noProof/>
                <w:sz w:val="20"/>
                <w:szCs w:val="20"/>
                <w:lang w:val="fr-BE" w:eastAsia="en-IE"/>
              </w:rPr>
              <w:t>Article 31(8) </w:t>
            </w:r>
            <w:r w:rsidRPr="00B810DB">
              <w:rPr>
                <w:rFonts w:eastAsia="Times New Roman"/>
                <w:noProof/>
                <w:sz w:val="20"/>
                <w:szCs w:val="20"/>
                <w:lang w:val="fr-BE" w:eastAsia="en-IE"/>
              </w:rPr>
              <w:t> </w:t>
            </w:r>
          </w:p>
          <w:p w14:paraId="79E02C47" w14:textId="77777777" w:rsidR="007476E9" w:rsidRPr="00B810DB" w:rsidRDefault="007476E9">
            <w:pPr>
              <w:spacing w:before="0" w:after="0"/>
              <w:ind w:left="360"/>
              <w:jc w:val="left"/>
              <w:textAlignment w:val="baseline"/>
              <w:rPr>
                <w:rFonts w:ascii="Segoe UI" w:eastAsia="Times New Roman" w:hAnsi="Segoe UI" w:cs="Segoe UI"/>
                <w:noProof/>
                <w:sz w:val="18"/>
                <w:szCs w:val="18"/>
                <w:lang w:val="fr-BE" w:eastAsia="en-IE"/>
              </w:rPr>
            </w:pPr>
            <w:r w:rsidRPr="0057502F">
              <w:rPr>
                <w:rFonts w:eastAsia="Times New Roman"/>
                <w:noProof/>
                <w:sz w:val="20"/>
                <w:szCs w:val="20"/>
                <w:lang w:val="fr-BE" w:eastAsia="en-IE"/>
              </w:rPr>
              <w:t>Article 32(3), (5) </w:t>
            </w:r>
            <w:r w:rsidRPr="00B810DB">
              <w:rPr>
                <w:rFonts w:eastAsia="Times New Roman"/>
                <w:noProof/>
                <w:sz w:val="20"/>
                <w:szCs w:val="20"/>
                <w:lang w:val="fr-BE" w:eastAsia="en-IE"/>
              </w:rPr>
              <w:t> </w:t>
            </w:r>
          </w:p>
          <w:p w14:paraId="280F9B0D" w14:textId="77777777" w:rsidR="007476E9" w:rsidRPr="00B810DB" w:rsidRDefault="007476E9">
            <w:pPr>
              <w:spacing w:before="0" w:after="0"/>
              <w:ind w:left="360"/>
              <w:jc w:val="left"/>
              <w:textAlignment w:val="baseline"/>
              <w:rPr>
                <w:rFonts w:ascii="Segoe UI" w:eastAsia="Times New Roman" w:hAnsi="Segoe UI" w:cs="Segoe UI"/>
                <w:noProof/>
                <w:sz w:val="18"/>
                <w:szCs w:val="18"/>
                <w:lang w:val="fr-BE" w:eastAsia="en-IE"/>
              </w:rPr>
            </w:pPr>
            <w:r w:rsidRPr="0057502F">
              <w:rPr>
                <w:rFonts w:eastAsia="Times New Roman"/>
                <w:noProof/>
                <w:sz w:val="20"/>
                <w:szCs w:val="20"/>
                <w:lang w:val="fr-BE" w:eastAsia="en-IE"/>
              </w:rPr>
              <w:t>Article 35(5), (6) </w:t>
            </w:r>
            <w:r w:rsidRPr="00B810DB">
              <w:rPr>
                <w:rFonts w:eastAsia="Times New Roman"/>
                <w:noProof/>
                <w:sz w:val="20"/>
                <w:szCs w:val="20"/>
                <w:lang w:val="fr-BE" w:eastAsia="en-IE"/>
              </w:rPr>
              <w:t> </w:t>
            </w:r>
          </w:p>
          <w:p w14:paraId="79BC13EA" w14:textId="77777777" w:rsidR="007476E9" w:rsidRPr="00B810DB" w:rsidRDefault="007476E9">
            <w:pPr>
              <w:spacing w:before="0" w:after="0"/>
              <w:ind w:left="360"/>
              <w:jc w:val="left"/>
              <w:textAlignment w:val="baseline"/>
              <w:rPr>
                <w:rFonts w:ascii="Segoe UI" w:eastAsia="Times New Roman" w:hAnsi="Segoe UI" w:cs="Segoe UI"/>
                <w:noProof/>
                <w:sz w:val="18"/>
                <w:szCs w:val="18"/>
                <w:lang w:val="fr-BE" w:eastAsia="en-IE"/>
              </w:rPr>
            </w:pPr>
            <w:r w:rsidRPr="0057502F">
              <w:rPr>
                <w:rFonts w:eastAsia="Times New Roman"/>
                <w:noProof/>
                <w:sz w:val="20"/>
                <w:szCs w:val="20"/>
                <w:lang w:val="fr-BE" w:eastAsia="en-IE"/>
              </w:rPr>
              <w:t>Article 36-43 </w:t>
            </w:r>
            <w:r w:rsidRPr="00B810DB">
              <w:rPr>
                <w:rFonts w:eastAsia="Times New Roman"/>
                <w:noProof/>
                <w:sz w:val="20"/>
                <w:szCs w:val="20"/>
                <w:lang w:val="fr-BE" w:eastAsia="en-IE"/>
              </w:rPr>
              <w:t> </w:t>
            </w:r>
          </w:p>
          <w:p w14:paraId="3F55022D" w14:textId="77777777" w:rsidR="007476E9" w:rsidRPr="00B810DB" w:rsidRDefault="007476E9">
            <w:pPr>
              <w:spacing w:before="0" w:after="0"/>
              <w:ind w:left="360"/>
              <w:jc w:val="left"/>
              <w:textAlignment w:val="baseline"/>
              <w:rPr>
                <w:rFonts w:ascii="Segoe UI" w:eastAsia="Times New Roman" w:hAnsi="Segoe UI" w:cs="Segoe UI"/>
                <w:noProof/>
                <w:sz w:val="18"/>
                <w:szCs w:val="18"/>
                <w:lang w:val="fr-BE" w:eastAsia="en-IE"/>
              </w:rPr>
            </w:pPr>
            <w:r w:rsidRPr="0057502F">
              <w:rPr>
                <w:rFonts w:eastAsia="Times New Roman"/>
                <w:noProof/>
                <w:sz w:val="20"/>
                <w:szCs w:val="20"/>
                <w:lang w:val="fr-BE" w:eastAsia="en-IE"/>
              </w:rPr>
              <w:t>Article 44</w:t>
            </w:r>
            <w:r w:rsidRPr="00B810DB">
              <w:rPr>
                <w:rFonts w:eastAsia="Times New Roman"/>
                <w:noProof/>
                <w:sz w:val="20"/>
                <w:szCs w:val="20"/>
                <w:lang w:val="fr-BE" w:eastAsia="en-IE"/>
              </w:rPr>
              <w:t> </w:t>
            </w:r>
          </w:p>
          <w:p w14:paraId="3B415017" w14:textId="77777777" w:rsidR="007476E9" w:rsidRPr="00B810DB" w:rsidRDefault="007476E9">
            <w:pPr>
              <w:spacing w:before="0" w:after="0"/>
              <w:ind w:left="360"/>
              <w:jc w:val="left"/>
              <w:textAlignment w:val="baseline"/>
              <w:rPr>
                <w:rFonts w:ascii="Segoe UI" w:eastAsia="Times New Roman" w:hAnsi="Segoe UI" w:cs="Segoe UI"/>
                <w:noProof/>
                <w:sz w:val="18"/>
                <w:szCs w:val="18"/>
                <w:lang w:val="fr-BE" w:eastAsia="en-IE"/>
              </w:rPr>
            </w:pPr>
            <w:r w:rsidRPr="0057502F">
              <w:rPr>
                <w:rFonts w:eastAsia="Times New Roman"/>
                <w:noProof/>
                <w:sz w:val="20"/>
                <w:szCs w:val="20"/>
                <w:lang w:val="fr-BE" w:eastAsia="en-IE"/>
              </w:rPr>
              <w:t>Article 45</w:t>
            </w:r>
            <w:r w:rsidRPr="00B810DB">
              <w:rPr>
                <w:rFonts w:eastAsia="Times New Roman"/>
                <w:noProof/>
                <w:sz w:val="20"/>
                <w:szCs w:val="20"/>
                <w:lang w:val="fr-BE" w:eastAsia="en-IE"/>
              </w:rPr>
              <w:t> </w:t>
            </w:r>
          </w:p>
        </w:tc>
      </w:tr>
      <w:tr w:rsidR="007476E9" w:rsidRPr="0057502F" w14:paraId="52A0FA10" w14:textId="77777777">
        <w:trPr>
          <w:trHeight w:val="1005"/>
        </w:trPr>
        <w:tc>
          <w:tcPr>
            <w:tcW w:w="3450" w:type="dxa"/>
            <w:tcBorders>
              <w:top w:val="single" w:sz="6" w:space="0" w:color="auto"/>
              <w:left w:val="single" w:sz="6" w:space="0" w:color="auto"/>
              <w:bottom w:val="single" w:sz="6" w:space="0" w:color="auto"/>
              <w:right w:val="single" w:sz="6" w:space="0" w:color="auto"/>
            </w:tcBorders>
            <w:vAlign w:val="center"/>
            <w:hideMark/>
          </w:tcPr>
          <w:p w14:paraId="47E7EF9F"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b/>
                <w:bCs/>
                <w:noProof/>
                <w:sz w:val="20"/>
                <w:szCs w:val="20"/>
                <w:lang w:eastAsia="en-IE"/>
              </w:rPr>
              <w:t>Data sent to the European Parliament</w:t>
            </w:r>
            <w:r w:rsidRPr="0057502F">
              <w:rPr>
                <w:rFonts w:eastAsia="Times New Roman"/>
                <w:noProof/>
                <w:sz w:val="20"/>
                <w:szCs w:val="20"/>
                <w:lang w:val="en-IE" w:eastAsia="en-IE"/>
              </w:rPr>
              <w:t> </w:t>
            </w:r>
          </w:p>
        </w:tc>
        <w:tc>
          <w:tcPr>
            <w:tcW w:w="4410" w:type="dxa"/>
            <w:gridSpan w:val="2"/>
            <w:tcBorders>
              <w:top w:val="single" w:sz="6" w:space="0" w:color="auto"/>
              <w:left w:val="single" w:sz="6" w:space="0" w:color="auto"/>
              <w:bottom w:val="single" w:sz="6" w:space="0" w:color="auto"/>
              <w:right w:val="single" w:sz="6" w:space="0" w:color="auto"/>
            </w:tcBorders>
            <w:vAlign w:val="center"/>
            <w:hideMark/>
          </w:tcPr>
          <w:p w14:paraId="27E090DD"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eastAsia="en-IE"/>
              </w:rPr>
              <w:t>Flows to the European Parliament regarding ENISA activities and performance of tasks; budget and financial management, cooperation with third countries and international organisations, hearing of the candidate for executive director; matters related to European cybersecurity certification </w:t>
            </w:r>
            <w:r w:rsidRPr="0057502F">
              <w:rPr>
                <w:rFonts w:eastAsia="Times New Roman"/>
                <w:noProof/>
                <w:sz w:val="20"/>
                <w:szCs w:val="20"/>
                <w:lang w:val="en-IE" w:eastAsia="en-IE"/>
              </w:rPr>
              <w:t> </w:t>
            </w:r>
          </w:p>
        </w:tc>
        <w:tc>
          <w:tcPr>
            <w:tcW w:w="5955" w:type="dxa"/>
            <w:gridSpan w:val="2"/>
            <w:tcBorders>
              <w:top w:val="single" w:sz="6" w:space="0" w:color="auto"/>
              <w:left w:val="single" w:sz="6" w:space="0" w:color="auto"/>
              <w:bottom w:val="single" w:sz="6" w:space="0" w:color="auto"/>
              <w:right w:val="single" w:sz="6" w:space="0" w:color="auto"/>
            </w:tcBorders>
            <w:hideMark/>
          </w:tcPr>
          <w:p w14:paraId="6D22298D" w14:textId="3DCE3AD4"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eastAsia="en-IE"/>
              </w:rPr>
              <w:t>Article 28(1)(f), Article 31(8), Article 32(3), Article 44(3), Article 49(6), Article 49(9), Article 70(5), Article 7</w:t>
            </w:r>
            <w:r>
              <w:rPr>
                <w:rFonts w:eastAsia="Times New Roman"/>
                <w:noProof/>
                <w:sz w:val="20"/>
                <w:szCs w:val="20"/>
                <w:lang w:eastAsia="en-IE"/>
              </w:rPr>
              <w:t>2</w:t>
            </w:r>
            <w:r w:rsidRPr="0057502F">
              <w:rPr>
                <w:rFonts w:eastAsia="Times New Roman"/>
                <w:noProof/>
                <w:sz w:val="20"/>
                <w:szCs w:val="20"/>
                <w:lang w:eastAsia="en-IE"/>
              </w:rPr>
              <w:t> (4)</w:t>
            </w:r>
            <w:r>
              <w:rPr>
                <w:rFonts w:eastAsia="Times New Roman"/>
                <w:noProof/>
                <w:sz w:val="20"/>
                <w:szCs w:val="20"/>
                <w:lang w:eastAsia="en-IE"/>
              </w:rPr>
              <w:t xml:space="preserve"> and</w:t>
            </w:r>
            <w:r w:rsidRPr="0057502F">
              <w:rPr>
                <w:rFonts w:eastAsia="Times New Roman"/>
                <w:noProof/>
                <w:sz w:val="20"/>
                <w:szCs w:val="20"/>
                <w:lang w:eastAsia="en-IE"/>
              </w:rPr>
              <w:t xml:space="preserve"> (5), Article </w:t>
            </w:r>
            <w:r w:rsidR="00D0696A">
              <w:rPr>
                <w:rFonts w:eastAsia="Times New Roman"/>
                <w:noProof/>
                <w:sz w:val="20"/>
                <w:szCs w:val="20"/>
                <w:lang w:eastAsia="en-IE"/>
              </w:rPr>
              <w:t>11</w:t>
            </w:r>
            <w:r w:rsidR="00313A98">
              <w:rPr>
                <w:rFonts w:eastAsia="Times New Roman"/>
                <w:noProof/>
                <w:sz w:val="20"/>
                <w:szCs w:val="20"/>
                <w:lang w:eastAsia="en-IE"/>
              </w:rPr>
              <w:t>9</w:t>
            </w:r>
            <w:r w:rsidRPr="0057502F">
              <w:rPr>
                <w:rFonts w:eastAsia="Times New Roman"/>
                <w:noProof/>
                <w:sz w:val="20"/>
                <w:szCs w:val="20"/>
                <w:lang w:eastAsia="en-IE"/>
              </w:rPr>
              <w:t xml:space="preserve">(3) Exercise of the delegation, Article </w:t>
            </w:r>
            <w:r w:rsidR="00D0696A">
              <w:rPr>
                <w:rFonts w:eastAsia="Times New Roman"/>
                <w:noProof/>
                <w:sz w:val="20"/>
                <w:szCs w:val="20"/>
                <w:lang w:eastAsia="en-IE"/>
              </w:rPr>
              <w:t>1</w:t>
            </w:r>
            <w:r w:rsidR="00313A98">
              <w:rPr>
                <w:rFonts w:eastAsia="Times New Roman"/>
                <w:noProof/>
                <w:sz w:val="20"/>
                <w:szCs w:val="20"/>
                <w:lang w:eastAsia="en-IE"/>
              </w:rPr>
              <w:t>20</w:t>
            </w:r>
            <w:r w:rsidRPr="0057502F">
              <w:rPr>
                <w:rFonts w:eastAsia="Times New Roman"/>
                <w:noProof/>
                <w:sz w:val="20"/>
                <w:szCs w:val="20"/>
                <w:lang w:eastAsia="en-IE"/>
              </w:rPr>
              <w:t> Evaluation and review</w:t>
            </w:r>
            <w:r w:rsidRPr="0057502F">
              <w:rPr>
                <w:rFonts w:eastAsia="Times New Roman"/>
                <w:noProof/>
                <w:sz w:val="20"/>
                <w:szCs w:val="20"/>
                <w:lang w:val="en-IE" w:eastAsia="en-IE"/>
              </w:rPr>
              <w:t> </w:t>
            </w:r>
          </w:p>
        </w:tc>
      </w:tr>
      <w:tr w:rsidR="007476E9" w:rsidRPr="0057502F" w14:paraId="0B9862F7" w14:textId="77777777">
        <w:trPr>
          <w:trHeight w:val="1005"/>
        </w:trPr>
        <w:tc>
          <w:tcPr>
            <w:tcW w:w="3450" w:type="dxa"/>
            <w:tcBorders>
              <w:top w:val="single" w:sz="6" w:space="0" w:color="auto"/>
              <w:left w:val="single" w:sz="6" w:space="0" w:color="auto"/>
              <w:bottom w:val="single" w:sz="6" w:space="0" w:color="auto"/>
              <w:right w:val="single" w:sz="6" w:space="0" w:color="auto"/>
            </w:tcBorders>
            <w:vAlign w:val="center"/>
            <w:hideMark/>
          </w:tcPr>
          <w:p w14:paraId="04A60AC3"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b/>
                <w:bCs/>
                <w:noProof/>
                <w:sz w:val="20"/>
                <w:szCs w:val="20"/>
                <w:lang w:eastAsia="en-IE"/>
              </w:rPr>
              <w:t>Data sent to the Council of the EU</w:t>
            </w:r>
            <w:r w:rsidRPr="0057502F">
              <w:rPr>
                <w:rFonts w:eastAsia="Times New Roman"/>
                <w:noProof/>
                <w:sz w:val="20"/>
                <w:szCs w:val="20"/>
                <w:lang w:val="en-IE" w:eastAsia="en-IE"/>
              </w:rPr>
              <w:t> </w:t>
            </w:r>
          </w:p>
        </w:tc>
        <w:tc>
          <w:tcPr>
            <w:tcW w:w="4410" w:type="dxa"/>
            <w:gridSpan w:val="2"/>
            <w:tcBorders>
              <w:top w:val="single" w:sz="6" w:space="0" w:color="auto"/>
              <w:left w:val="single" w:sz="6" w:space="0" w:color="auto"/>
              <w:bottom w:val="single" w:sz="6" w:space="0" w:color="auto"/>
              <w:right w:val="single" w:sz="6" w:space="0" w:color="auto"/>
            </w:tcBorders>
            <w:vAlign w:val="center"/>
            <w:hideMark/>
          </w:tcPr>
          <w:p w14:paraId="70F7913C"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eastAsia="en-IE"/>
              </w:rPr>
              <w:t>Flows to the European Parliament regarding ENISA activities and performance of tasks; budget and financial management, cooperation with third countries and international organisations, hearing of the candidate for executive director; candidate schemes under development pursuant to European cybersecurity certification framework.</w:t>
            </w:r>
            <w:r w:rsidRPr="0057502F">
              <w:rPr>
                <w:rFonts w:eastAsia="Times New Roman"/>
                <w:noProof/>
                <w:sz w:val="20"/>
                <w:szCs w:val="20"/>
                <w:lang w:val="en-IE" w:eastAsia="en-IE"/>
              </w:rPr>
              <w:t> </w:t>
            </w:r>
          </w:p>
        </w:tc>
        <w:tc>
          <w:tcPr>
            <w:tcW w:w="5955" w:type="dxa"/>
            <w:gridSpan w:val="2"/>
            <w:tcBorders>
              <w:top w:val="single" w:sz="6" w:space="0" w:color="auto"/>
              <w:left w:val="single" w:sz="6" w:space="0" w:color="auto"/>
              <w:bottom w:val="single" w:sz="6" w:space="0" w:color="auto"/>
              <w:right w:val="single" w:sz="6" w:space="0" w:color="auto"/>
            </w:tcBorders>
            <w:hideMark/>
          </w:tcPr>
          <w:p w14:paraId="648BA60D"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fr-FR" w:eastAsia="en-IE"/>
              </w:rPr>
            </w:pPr>
            <w:r w:rsidRPr="0057502F">
              <w:rPr>
                <w:rFonts w:eastAsia="Times New Roman"/>
                <w:noProof/>
                <w:sz w:val="20"/>
                <w:szCs w:val="20"/>
                <w:lang w:val="fr-BE" w:eastAsia="en-IE"/>
              </w:rPr>
              <w:t>Article 28(1)(f), Article 31(8), Article 32(3), Article 32(7),</w:t>
            </w:r>
            <w:r w:rsidRPr="0057502F">
              <w:rPr>
                <w:rFonts w:eastAsia="Times New Roman"/>
                <w:noProof/>
                <w:sz w:val="20"/>
                <w:szCs w:val="20"/>
                <w:lang w:val="fr-FR" w:eastAsia="en-IE"/>
              </w:rPr>
              <w:t> </w:t>
            </w:r>
          </w:p>
          <w:p w14:paraId="5C6E3948" w14:textId="3F7360CC"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eastAsia="en-IE"/>
              </w:rPr>
              <w:t>Article 49(6), Article 49(9), Article 70(5), Article 7</w:t>
            </w:r>
            <w:r>
              <w:rPr>
                <w:rFonts w:eastAsia="Times New Roman"/>
                <w:noProof/>
                <w:sz w:val="20"/>
                <w:szCs w:val="20"/>
                <w:lang w:eastAsia="en-IE"/>
              </w:rPr>
              <w:t>2</w:t>
            </w:r>
            <w:r w:rsidRPr="0057502F">
              <w:rPr>
                <w:rFonts w:eastAsia="Times New Roman"/>
                <w:noProof/>
                <w:sz w:val="20"/>
                <w:szCs w:val="20"/>
                <w:lang w:eastAsia="en-IE"/>
              </w:rPr>
              <w:t xml:space="preserve"> (4), (5), Article </w:t>
            </w:r>
            <w:r w:rsidR="00D0696A">
              <w:rPr>
                <w:rFonts w:eastAsia="Times New Roman"/>
                <w:noProof/>
                <w:sz w:val="20"/>
                <w:szCs w:val="20"/>
                <w:lang w:eastAsia="en-IE"/>
              </w:rPr>
              <w:t>11</w:t>
            </w:r>
            <w:r w:rsidR="00313A98">
              <w:rPr>
                <w:rFonts w:eastAsia="Times New Roman"/>
                <w:noProof/>
                <w:sz w:val="20"/>
                <w:szCs w:val="20"/>
                <w:lang w:eastAsia="en-IE"/>
              </w:rPr>
              <w:t>9</w:t>
            </w:r>
            <w:r w:rsidRPr="0057502F">
              <w:rPr>
                <w:rFonts w:eastAsia="Times New Roman"/>
                <w:noProof/>
                <w:sz w:val="20"/>
                <w:szCs w:val="20"/>
                <w:lang w:eastAsia="en-IE"/>
              </w:rPr>
              <w:t xml:space="preserve">(3) Exercise of the delegation, Article </w:t>
            </w:r>
            <w:r w:rsidR="00D0696A">
              <w:rPr>
                <w:rFonts w:eastAsia="Times New Roman"/>
                <w:noProof/>
                <w:sz w:val="20"/>
                <w:szCs w:val="20"/>
                <w:lang w:eastAsia="en-IE"/>
              </w:rPr>
              <w:t>1</w:t>
            </w:r>
            <w:r w:rsidR="00313A98">
              <w:rPr>
                <w:rFonts w:eastAsia="Times New Roman"/>
                <w:noProof/>
                <w:sz w:val="20"/>
                <w:szCs w:val="20"/>
                <w:lang w:eastAsia="en-IE"/>
              </w:rPr>
              <w:t>20</w:t>
            </w:r>
            <w:r w:rsidRPr="0057502F">
              <w:rPr>
                <w:rFonts w:eastAsia="Times New Roman"/>
                <w:noProof/>
                <w:sz w:val="20"/>
                <w:szCs w:val="20"/>
                <w:lang w:eastAsia="en-IE"/>
              </w:rPr>
              <w:t> Evaluation and review</w:t>
            </w:r>
            <w:r w:rsidRPr="0057502F">
              <w:rPr>
                <w:rFonts w:eastAsia="Times New Roman"/>
                <w:noProof/>
                <w:sz w:val="20"/>
                <w:szCs w:val="20"/>
                <w:lang w:val="en-IE" w:eastAsia="en-IE"/>
              </w:rPr>
              <w:t> </w:t>
            </w:r>
          </w:p>
        </w:tc>
      </w:tr>
      <w:tr w:rsidR="007476E9" w:rsidRPr="0057502F" w14:paraId="30C1336B" w14:textId="77777777">
        <w:trPr>
          <w:trHeight w:val="1005"/>
        </w:trPr>
        <w:tc>
          <w:tcPr>
            <w:tcW w:w="3450" w:type="dxa"/>
            <w:tcBorders>
              <w:top w:val="single" w:sz="6" w:space="0" w:color="auto"/>
              <w:left w:val="single" w:sz="6" w:space="0" w:color="auto"/>
              <w:bottom w:val="single" w:sz="6" w:space="0" w:color="auto"/>
              <w:right w:val="single" w:sz="6" w:space="0" w:color="auto"/>
            </w:tcBorders>
            <w:vAlign w:val="center"/>
            <w:hideMark/>
          </w:tcPr>
          <w:p w14:paraId="70194F1B"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b/>
                <w:bCs/>
                <w:noProof/>
                <w:sz w:val="20"/>
                <w:szCs w:val="20"/>
                <w:lang w:eastAsia="en-IE"/>
              </w:rPr>
              <w:t>Data flows in relation to filing a complaint </w:t>
            </w:r>
            <w:r w:rsidRPr="0057502F">
              <w:rPr>
                <w:rFonts w:eastAsia="Times New Roman"/>
                <w:noProof/>
                <w:sz w:val="20"/>
                <w:szCs w:val="20"/>
                <w:lang w:val="en-IE" w:eastAsia="en-IE"/>
              </w:rPr>
              <w:t> </w:t>
            </w:r>
          </w:p>
        </w:tc>
        <w:tc>
          <w:tcPr>
            <w:tcW w:w="4410" w:type="dxa"/>
            <w:gridSpan w:val="2"/>
            <w:tcBorders>
              <w:top w:val="single" w:sz="6" w:space="0" w:color="auto"/>
              <w:left w:val="single" w:sz="6" w:space="0" w:color="auto"/>
              <w:bottom w:val="single" w:sz="6" w:space="0" w:color="auto"/>
              <w:right w:val="single" w:sz="6" w:space="0" w:color="auto"/>
            </w:tcBorders>
            <w:vAlign w:val="center"/>
            <w:hideMark/>
          </w:tcPr>
          <w:p w14:paraId="15FCB38D"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Pr>
                <w:rFonts w:eastAsia="Times New Roman"/>
                <w:noProof/>
                <w:sz w:val="20"/>
                <w:szCs w:val="20"/>
                <w:lang w:eastAsia="en-IE"/>
              </w:rPr>
              <w:t xml:space="preserve">To </w:t>
            </w:r>
            <w:r w:rsidRPr="0057502F">
              <w:rPr>
                <w:rFonts w:eastAsia="Times New Roman"/>
                <w:noProof/>
                <w:sz w:val="20"/>
                <w:szCs w:val="20"/>
                <w:lang w:eastAsia="en-IE"/>
              </w:rPr>
              <w:t>handle complaints by natural or legal persons in relation to European cybersecurity certificates issued by national cybersecurity certification authorities or to European cybersecurity certificates issued by conformity assessment bodies in accordance with Article 84(4) or in relation to EU statements of conformity</w:t>
            </w:r>
            <w:r w:rsidRPr="0057502F">
              <w:rPr>
                <w:rFonts w:eastAsia="Times New Roman"/>
                <w:noProof/>
                <w:sz w:val="20"/>
                <w:szCs w:val="20"/>
                <w:lang w:val="en-IE" w:eastAsia="en-IE"/>
              </w:rPr>
              <w:t> </w:t>
            </w:r>
          </w:p>
          <w:p w14:paraId="1A80DBB3"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eastAsia="en-IE"/>
              </w:rPr>
              <w:t>Natural and legal persons shall have the right to lodge a complaint with the issuer of a European cybersecurity certificate or, where the complaint relates to a European cybersecurity certificate issued by a conformity assessment body</w:t>
            </w:r>
            <w:r w:rsidRPr="0057502F">
              <w:rPr>
                <w:rFonts w:eastAsia="Times New Roman"/>
                <w:noProof/>
                <w:sz w:val="20"/>
                <w:szCs w:val="20"/>
                <w:lang w:val="en-IE" w:eastAsia="en-IE"/>
              </w:rPr>
              <w:t> </w:t>
            </w:r>
          </w:p>
        </w:tc>
        <w:tc>
          <w:tcPr>
            <w:tcW w:w="5955" w:type="dxa"/>
            <w:gridSpan w:val="2"/>
            <w:tcBorders>
              <w:top w:val="single" w:sz="6" w:space="0" w:color="auto"/>
              <w:left w:val="single" w:sz="6" w:space="0" w:color="auto"/>
              <w:bottom w:val="single" w:sz="6" w:space="0" w:color="auto"/>
              <w:right w:val="single" w:sz="6" w:space="0" w:color="auto"/>
            </w:tcBorders>
            <w:hideMark/>
          </w:tcPr>
          <w:p w14:paraId="5C7933B3"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eastAsia="en-IE"/>
              </w:rPr>
              <w:t>Article 55(3); Article 8</w:t>
            </w:r>
            <w:r>
              <w:rPr>
                <w:rFonts w:eastAsia="Times New Roman"/>
                <w:noProof/>
                <w:sz w:val="20"/>
                <w:szCs w:val="20"/>
                <w:lang w:eastAsia="en-IE"/>
              </w:rPr>
              <w:t>8</w:t>
            </w:r>
            <w:r w:rsidRPr="0057502F">
              <w:rPr>
                <w:rFonts w:eastAsia="Times New Roman"/>
                <w:noProof/>
                <w:sz w:val="20"/>
                <w:szCs w:val="20"/>
                <w:lang w:eastAsia="en-IE"/>
              </w:rPr>
              <w:t xml:space="preserve"> (7) (f); Article </w:t>
            </w:r>
            <w:r>
              <w:rPr>
                <w:rFonts w:eastAsia="Times New Roman"/>
                <w:noProof/>
                <w:sz w:val="20"/>
                <w:szCs w:val="20"/>
                <w:lang w:val="en-IE" w:eastAsia="en-IE"/>
              </w:rPr>
              <w:t>96</w:t>
            </w:r>
          </w:p>
        </w:tc>
      </w:tr>
      <w:tr w:rsidR="007476E9" w:rsidRPr="0057502F" w14:paraId="3CEBCC99" w14:textId="77777777">
        <w:trPr>
          <w:trHeight w:val="1005"/>
        </w:trPr>
        <w:tc>
          <w:tcPr>
            <w:tcW w:w="3450" w:type="dxa"/>
            <w:tcBorders>
              <w:top w:val="single" w:sz="6" w:space="0" w:color="auto"/>
              <w:left w:val="single" w:sz="6" w:space="0" w:color="auto"/>
              <w:bottom w:val="single" w:sz="6" w:space="0" w:color="auto"/>
              <w:right w:val="single" w:sz="6" w:space="0" w:color="auto"/>
            </w:tcBorders>
            <w:vAlign w:val="center"/>
            <w:hideMark/>
          </w:tcPr>
          <w:p w14:paraId="7EDE5E18"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b/>
                <w:bCs/>
                <w:noProof/>
                <w:sz w:val="20"/>
                <w:szCs w:val="20"/>
                <w:lang w:eastAsia="en-IE"/>
              </w:rPr>
              <w:t>Data flows regarding ransomware attacks </w:t>
            </w:r>
            <w:r w:rsidRPr="0057502F">
              <w:rPr>
                <w:rFonts w:eastAsia="Times New Roman"/>
                <w:noProof/>
                <w:sz w:val="20"/>
                <w:szCs w:val="20"/>
                <w:lang w:val="en-IE" w:eastAsia="en-IE"/>
              </w:rPr>
              <w:t> </w:t>
            </w:r>
          </w:p>
        </w:tc>
        <w:tc>
          <w:tcPr>
            <w:tcW w:w="4410" w:type="dxa"/>
            <w:gridSpan w:val="2"/>
            <w:tcBorders>
              <w:top w:val="single" w:sz="6" w:space="0" w:color="auto"/>
              <w:left w:val="single" w:sz="6" w:space="0" w:color="auto"/>
              <w:bottom w:val="single" w:sz="6" w:space="0" w:color="auto"/>
              <w:right w:val="single" w:sz="6" w:space="0" w:color="auto"/>
            </w:tcBorders>
            <w:vAlign w:val="center"/>
            <w:hideMark/>
          </w:tcPr>
          <w:p w14:paraId="33CCB0D6"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eastAsia="en-IE"/>
              </w:rPr>
              <w:t>Reporting of certain information in case of ransomware attacks </w:t>
            </w:r>
            <w:r w:rsidRPr="0057502F">
              <w:rPr>
                <w:rFonts w:eastAsia="Times New Roman"/>
                <w:noProof/>
                <w:sz w:val="20"/>
                <w:szCs w:val="20"/>
                <w:lang w:val="en-IE" w:eastAsia="en-IE"/>
              </w:rPr>
              <w:t> </w:t>
            </w:r>
          </w:p>
        </w:tc>
        <w:tc>
          <w:tcPr>
            <w:tcW w:w="5955" w:type="dxa"/>
            <w:gridSpan w:val="2"/>
            <w:tcBorders>
              <w:top w:val="single" w:sz="6" w:space="0" w:color="auto"/>
              <w:left w:val="single" w:sz="6" w:space="0" w:color="auto"/>
              <w:bottom w:val="single" w:sz="6" w:space="0" w:color="auto"/>
              <w:right w:val="single" w:sz="6" w:space="0" w:color="auto"/>
            </w:tcBorders>
            <w:hideMark/>
          </w:tcPr>
          <w:p w14:paraId="4EA8CDCB"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eastAsia="en-IE"/>
              </w:rPr>
              <w:t xml:space="preserve">Article 1, point </w:t>
            </w:r>
            <w:r>
              <w:rPr>
                <w:rFonts w:eastAsia="Times New Roman"/>
                <w:noProof/>
                <w:sz w:val="20"/>
                <w:szCs w:val="20"/>
                <w:lang w:eastAsia="en-IE"/>
              </w:rPr>
              <w:t>8, Directive</w:t>
            </w:r>
            <w:r w:rsidRPr="0057502F">
              <w:rPr>
                <w:rFonts w:eastAsia="Times New Roman"/>
                <w:noProof/>
                <w:sz w:val="20"/>
                <w:szCs w:val="20"/>
                <w:lang w:val="en-IE" w:eastAsia="en-IE"/>
              </w:rPr>
              <w:t> </w:t>
            </w:r>
          </w:p>
        </w:tc>
      </w:tr>
    </w:tbl>
    <w:p w14:paraId="3D14D9FB" w14:textId="77777777" w:rsidR="00D00237" w:rsidRDefault="00D00237" w:rsidP="00D00237">
      <w:pPr>
        <w:rPr>
          <w:noProof/>
        </w:rPr>
      </w:pPr>
    </w:p>
    <w:p w14:paraId="78F183C9" w14:textId="77777777" w:rsidR="00EE499D" w:rsidRDefault="00EE499D" w:rsidP="00D00237">
      <w:pPr>
        <w:rPr>
          <w:noProof/>
        </w:rPr>
      </w:pPr>
      <w:r>
        <w:rPr>
          <w:noProof/>
        </w:rPr>
        <w:tab/>
      </w:r>
    </w:p>
    <w:tbl>
      <w:tblPr>
        <w:tblStyle w:val="TableGrid"/>
        <w:tblW w:w="14078" w:type="dxa"/>
        <w:tblInd w:w="113" w:type="dxa"/>
        <w:tblLook w:val="04A0" w:firstRow="1" w:lastRow="0" w:firstColumn="1" w:lastColumn="0" w:noHBand="0" w:noVBand="1"/>
      </w:tblPr>
      <w:tblGrid>
        <w:gridCol w:w="4205"/>
        <w:gridCol w:w="1749"/>
        <w:gridCol w:w="1883"/>
        <w:gridCol w:w="1900"/>
        <w:gridCol w:w="2169"/>
        <w:gridCol w:w="2172"/>
      </w:tblGrid>
      <w:tr w:rsidR="00EE499D" w:rsidRPr="41D495C5" w14:paraId="27B03739" w14:textId="77777777">
        <w:trPr>
          <w:trHeight w:val="300"/>
          <w:tblHeader/>
        </w:trPr>
        <w:tc>
          <w:tcPr>
            <w:tcW w:w="4205" w:type="dxa"/>
          </w:tcPr>
          <w:p w14:paraId="64599F24" w14:textId="77777777" w:rsidR="00EE499D" w:rsidRPr="00C40D00" w:rsidRDefault="00EE499D">
            <w:pPr>
              <w:jc w:val="left"/>
              <w:rPr>
                <w:b/>
                <w:noProof/>
              </w:rPr>
            </w:pPr>
            <w:r w:rsidRPr="46002A1E">
              <w:rPr>
                <w:b/>
                <w:noProof/>
              </w:rPr>
              <w:t>Type of data</w:t>
            </w:r>
          </w:p>
        </w:tc>
        <w:tc>
          <w:tcPr>
            <w:tcW w:w="1749" w:type="dxa"/>
          </w:tcPr>
          <w:p w14:paraId="5D3B2249" w14:textId="77777777" w:rsidR="00EE499D" w:rsidRPr="00C40D00" w:rsidRDefault="00EE499D">
            <w:pPr>
              <w:jc w:val="left"/>
              <w:rPr>
                <w:b/>
                <w:noProof/>
              </w:rPr>
            </w:pPr>
            <w:r w:rsidRPr="46002A1E">
              <w:rPr>
                <w:b/>
                <w:noProof/>
              </w:rPr>
              <w:t>Reference(s) to the requirement(s)</w:t>
            </w:r>
          </w:p>
        </w:tc>
        <w:tc>
          <w:tcPr>
            <w:tcW w:w="1883" w:type="dxa"/>
          </w:tcPr>
          <w:p w14:paraId="409F2E2D" w14:textId="77777777" w:rsidR="00EE499D" w:rsidRPr="00C40D00" w:rsidRDefault="00EE499D">
            <w:pPr>
              <w:jc w:val="left"/>
              <w:rPr>
                <w:b/>
                <w:noProof/>
              </w:rPr>
            </w:pPr>
            <w:r>
              <w:rPr>
                <w:b/>
                <w:noProof/>
              </w:rPr>
              <w:t>Actors who provide the data</w:t>
            </w:r>
          </w:p>
        </w:tc>
        <w:tc>
          <w:tcPr>
            <w:tcW w:w="1900" w:type="dxa"/>
          </w:tcPr>
          <w:p w14:paraId="35BB3E27" w14:textId="77777777" w:rsidR="00EE499D" w:rsidRPr="00C40D00" w:rsidRDefault="00EE499D">
            <w:pPr>
              <w:jc w:val="left"/>
              <w:rPr>
                <w:b/>
                <w:noProof/>
              </w:rPr>
            </w:pPr>
            <w:r>
              <w:rPr>
                <w:b/>
                <w:noProof/>
              </w:rPr>
              <w:t>Actors who receive the data</w:t>
            </w:r>
          </w:p>
        </w:tc>
        <w:tc>
          <w:tcPr>
            <w:tcW w:w="2169" w:type="dxa"/>
          </w:tcPr>
          <w:p w14:paraId="6B4C34C8" w14:textId="77777777" w:rsidR="00EE499D" w:rsidRPr="00C40D00" w:rsidRDefault="00EE499D">
            <w:pPr>
              <w:jc w:val="left"/>
              <w:rPr>
                <w:b/>
                <w:noProof/>
              </w:rPr>
            </w:pPr>
            <w:r w:rsidRPr="46002A1E">
              <w:rPr>
                <w:b/>
                <w:noProof/>
              </w:rPr>
              <w:t>Trigger for the data exchange</w:t>
            </w:r>
          </w:p>
        </w:tc>
        <w:tc>
          <w:tcPr>
            <w:tcW w:w="2172" w:type="dxa"/>
          </w:tcPr>
          <w:p w14:paraId="6591DBF5" w14:textId="77777777" w:rsidR="00EE499D" w:rsidRPr="41D495C5" w:rsidRDefault="00EE499D">
            <w:pPr>
              <w:jc w:val="left"/>
              <w:rPr>
                <w:b/>
                <w:noProof/>
              </w:rPr>
            </w:pPr>
            <w:r w:rsidRPr="46002A1E">
              <w:rPr>
                <w:b/>
                <w:noProof/>
              </w:rPr>
              <w:t>Frequency (if applicable)</w:t>
            </w:r>
          </w:p>
        </w:tc>
      </w:tr>
      <w:tr w:rsidR="00EE499D" w14:paraId="1CCE7A73" w14:textId="77777777">
        <w:trPr>
          <w:trHeight w:val="300"/>
        </w:trPr>
        <w:tc>
          <w:tcPr>
            <w:tcW w:w="4205" w:type="dxa"/>
          </w:tcPr>
          <w:p w14:paraId="2E434ACB" w14:textId="77777777" w:rsidR="00EE499D" w:rsidRDefault="00EE499D">
            <w:pPr>
              <w:rPr>
                <w:rFonts w:eastAsia="Calibri"/>
                <w:noProof/>
              </w:rPr>
            </w:pPr>
            <w:r>
              <w:rPr>
                <w:rFonts w:eastAsia="Calibri"/>
                <w:noProof/>
              </w:rPr>
              <w:t>Data flows between Commission and Member States</w:t>
            </w:r>
            <w:r w:rsidRPr="00866F7C">
              <w:rPr>
                <w:rFonts w:eastAsia="Calibri"/>
                <w:noProof/>
              </w:rPr>
              <w:t xml:space="preserve"> in the context of conducting </w:t>
            </w:r>
            <w:r>
              <w:rPr>
                <w:rFonts w:eastAsia="Calibri"/>
                <w:noProof/>
              </w:rPr>
              <w:t xml:space="preserve">Union-level </w:t>
            </w:r>
            <w:r w:rsidRPr="00866F7C">
              <w:rPr>
                <w:rFonts w:eastAsia="Calibri"/>
                <w:noProof/>
              </w:rPr>
              <w:t>coordinated</w:t>
            </w:r>
            <w:r>
              <w:rPr>
                <w:rFonts w:eastAsia="Calibri"/>
                <w:noProof/>
              </w:rPr>
              <w:t xml:space="preserve"> security</w:t>
            </w:r>
            <w:r w:rsidRPr="00866F7C">
              <w:rPr>
                <w:rFonts w:eastAsia="Calibri"/>
                <w:noProof/>
              </w:rPr>
              <w:t xml:space="preserve"> risk assessments</w:t>
            </w:r>
            <w:r>
              <w:rPr>
                <w:rFonts w:eastAsia="Calibri"/>
                <w:noProof/>
              </w:rPr>
              <w:t>.</w:t>
            </w:r>
          </w:p>
        </w:tc>
        <w:tc>
          <w:tcPr>
            <w:tcW w:w="1749" w:type="dxa"/>
          </w:tcPr>
          <w:p w14:paraId="6699135A" w14:textId="77777777" w:rsidR="00EE499D" w:rsidRDefault="00EE499D">
            <w:pPr>
              <w:jc w:val="left"/>
              <w:rPr>
                <w:noProof/>
              </w:rPr>
            </w:pPr>
            <w:r>
              <w:rPr>
                <w:noProof/>
              </w:rPr>
              <w:t>Article 99</w:t>
            </w:r>
          </w:p>
          <w:p w14:paraId="19885A16" w14:textId="77777777" w:rsidR="00EE499D" w:rsidRDefault="00EE499D">
            <w:pPr>
              <w:jc w:val="left"/>
              <w:rPr>
                <w:noProof/>
              </w:rPr>
            </w:pPr>
            <w:r>
              <w:rPr>
                <w:noProof/>
              </w:rPr>
              <w:t>Security risk assessments</w:t>
            </w:r>
          </w:p>
          <w:p w14:paraId="1EF4B12C" w14:textId="77777777" w:rsidR="00EE499D" w:rsidRDefault="00EE499D">
            <w:pPr>
              <w:jc w:val="left"/>
              <w:rPr>
                <w:noProof/>
              </w:rPr>
            </w:pPr>
          </w:p>
        </w:tc>
        <w:tc>
          <w:tcPr>
            <w:tcW w:w="1883" w:type="dxa"/>
          </w:tcPr>
          <w:p w14:paraId="2C3D9AC9" w14:textId="77777777" w:rsidR="00EE499D" w:rsidRPr="00FF0413" w:rsidRDefault="00EE499D">
            <w:pPr>
              <w:jc w:val="left"/>
              <w:rPr>
                <w:noProof/>
              </w:rPr>
            </w:pPr>
            <w:r w:rsidRPr="00BE45C3">
              <w:rPr>
                <w:noProof/>
              </w:rPr>
              <w:t xml:space="preserve">Commission </w:t>
            </w:r>
            <w:r>
              <w:rPr>
                <w:noProof/>
              </w:rPr>
              <w:t>and</w:t>
            </w:r>
            <w:r w:rsidRPr="00BE45C3">
              <w:rPr>
                <w:noProof/>
              </w:rPr>
              <w:t xml:space="preserve"> Member States</w:t>
            </w:r>
          </w:p>
        </w:tc>
        <w:tc>
          <w:tcPr>
            <w:tcW w:w="1900" w:type="dxa"/>
          </w:tcPr>
          <w:p w14:paraId="5267D487" w14:textId="77777777" w:rsidR="00EE499D" w:rsidRPr="00FF0413" w:rsidRDefault="00EE499D">
            <w:pPr>
              <w:jc w:val="left"/>
              <w:rPr>
                <w:noProof/>
              </w:rPr>
            </w:pPr>
            <w:r>
              <w:rPr>
                <w:noProof/>
              </w:rPr>
              <w:t>Member States (NIS Cooperation Group)</w:t>
            </w:r>
          </w:p>
        </w:tc>
        <w:tc>
          <w:tcPr>
            <w:tcW w:w="2169" w:type="dxa"/>
          </w:tcPr>
          <w:p w14:paraId="74513221" w14:textId="77777777" w:rsidR="00EE499D" w:rsidRDefault="00EE499D">
            <w:pPr>
              <w:jc w:val="left"/>
              <w:rPr>
                <w:noProof/>
              </w:rPr>
            </w:pPr>
            <w:r>
              <w:rPr>
                <w:noProof/>
              </w:rPr>
              <w:t>Article 99</w:t>
            </w:r>
          </w:p>
          <w:p w14:paraId="69FD1C30" w14:textId="77777777" w:rsidR="00EE499D" w:rsidRDefault="00EE499D">
            <w:pPr>
              <w:jc w:val="left"/>
              <w:rPr>
                <w:noProof/>
              </w:rPr>
            </w:pPr>
            <w:r>
              <w:rPr>
                <w:noProof/>
              </w:rPr>
              <w:t>Security risk assessments</w:t>
            </w:r>
          </w:p>
          <w:p w14:paraId="2E2F558D" w14:textId="77777777" w:rsidR="00EE499D" w:rsidRPr="00FF0413" w:rsidRDefault="00EE499D">
            <w:pPr>
              <w:jc w:val="left"/>
              <w:rPr>
                <w:noProof/>
              </w:rPr>
            </w:pPr>
          </w:p>
        </w:tc>
        <w:tc>
          <w:tcPr>
            <w:tcW w:w="2172" w:type="dxa"/>
          </w:tcPr>
          <w:p w14:paraId="68F1BC37" w14:textId="77777777" w:rsidR="00EE499D" w:rsidRDefault="00EE499D">
            <w:pPr>
              <w:jc w:val="left"/>
              <w:rPr>
                <w:noProof/>
              </w:rPr>
            </w:pPr>
            <w:r>
              <w:rPr>
                <w:noProof/>
              </w:rPr>
              <w:t>N/A</w:t>
            </w:r>
          </w:p>
        </w:tc>
      </w:tr>
      <w:tr w:rsidR="00EE499D" w14:paraId="11C77F9B" w14:textId="77777777">
        <w:trPr>
          <w:trHeight w:val="300"/>
        </w:trPr>
        <w:tc>
          <w:tcPr>
            <w:tcW w:w="4205" w:type="dxa"/>
          </w:tcPr>
          <w:p w14:paraId="383C59E8" w14:textId="77777777" w:rsidR="00EE499D" w:rsidRDefault="00EE499D">
            <w:pPr>
              <w:jc w:val="left"/>
              <w:rPr>
                <w:noProof/>
              </w:rPr>
            </w:pPr>
            <w:r>
              <w:rPr>
                <w:noProof/>
              </w:rPr>
              <w:t>Data flows between Commission and Council in relation to the designation of third countries posing cybersecurity concerns</w:t>
            </w:r>
          </w:p>
        </w:tc>
        <w:tc>
          <w:tcPr>
            <w:tcW w:w="1749" w:type="dxa"/>
          </w:tcPr>
          <w:p w14:paraId="7E51E1BC" w14:textId="77777777" w:rsidR="00EE499D" w:rsidRDefault="00EE499D">
            <w:pPr>
              <w:jc w:val="left"/>
              <w:rPr>
                <w:noProof/>
                <w:lang w:val="en-US"/>
              </w:rPr>
            </w:pPr>
            <w:r>
              <w:rPr>
                <w:noProof/>
                <w:lang w:val="en-US"/>
              </w:rPr>
              <w:t>Article 100</w:t>
            </w:r>
          </w:p>
          <w:p w14:paraId="264DDBF0" w14:textId="77777777" w:rsidR="00EE499D" w:rsidRPr="48F96484" w:rsidRDefault="00EE499D">
            <w:pPr>
              <w:jc w:val="left"/>
              <w:rPr>
                <w:noProof/>
                <w:lang w:val="en-US"/>
              </w:rPr>
            </w:pPr>
            <w:r w:rsidRPr="004E5AD2">
              <w:rPr>
                <w:noProof/>
                <w:lang w:val="en-US"/>
              </w:rPr>
              <w:t>Designation of third countries posing cybersecurity concerns</w:t>
            </w:r>
          </w:p>
        </w:tc>
        <w:tc>
          <w:tcPr>
            <w:tcW w:w="1883" w:type="dxa"/>
          </w:tcPr>
          <w:p w14:paraId="13FB5CBC" w14:textId="77777777" w:rsidR="00EE499D" w:rsidRDefault="00EE499D">
            <w:pPr>
              <w:jc w:val="left"/>
              <w:rPr>
                <w:noProof/>
              </w:rPr>
            </w:pPr>
            <w:r>
              <w:rPr>
                <w:noProof/>
              </w:rPr>
              <w:t>Commission</w:t>
            </w:r>
          </w:p>
        </w:tc>
        <w:tc>
          <w:tcPr>
            <w:tcW w:w="1900" w:type="dxa"/>
          </w:tcPr>
          <w:p w14:paraId="2D2143E8" w14:textId="77777777" w:rsidR="00EE499D" w:rsidRDefault="00EE499D">
            <w:pPr>
              <w:jc w:val="left"/>
              <w:rPr>
                <w:noProof/>
              </w:rPr>
            </w:pPr>
            <w:r>
              <w:rPr>
                <w:noProof/>
              </w:rPr>
              <w:t>Council</w:t>
            </w:r>
          </w:p>
        </w:tc>
        <w:tc>
          <w:tcPr>
            <w:tcW w:w="2169" w:type="dxa"/>
          </w:tcPr>
          <w:p w14:paraId="7036EA2E" w14:textId="77777777" w:rsidR="00EE499D" w:rsidRDefault="00EE499D">
            <w:pPr>
              <w:jc w:val="left"/>
              <w:rPr>
                <w:noProof/>
              </w:rPr>
            </w:pPr>
            <w:r>
              <w:rPr>
                <w:noProof/>
              </w:rPr>
              <w:t>Article 100</w:t>
            </w:r>
          </w:p>
          <w:p w14:paraId="05C2CAD2" w14:textId="77777777" w:rsidR="00EE499D" w:rsidRDefault="00EE499D">
            <w:pPr>
              <w:jc w:val="left"/>
              <w:rPr>
                <w:noProof/>
              </w:rPr>
            </w:pPr>
            <w:r>
              <w:rPr>
                <w:noProof/>
              </w:rPr>
              <w:t>Commission verification of the threat posed by a third country</w:t>
            </w:r>
          </w:p>
        </w:tc>
        <w:tc>
          <w:tcPr>
            <w:tcW w:w="2172" w:type="dxa"/>
          </w:tcPr>
          <w:p w14:paraId="1CEB812E" w14:textId="77777777" w:rsidR="00EE499D" w:rsidRDefault="00EE499D">
            <w:pPr>
              <w:jc w:val="left"/>
              <w:rPr>
                <w:noProof/>
              </w:rPr>
            </w:pPr>
          </w:p>
        </w:tc>
      </w:tr>
      <w:tr w:rsidR="00EE499D" w14:paraId="2F7CBD96" w14:textId="77777777">
        <w:trPr>
          <w:trHeight w:val="300"/>
        </w:trPr>
        <w:tc>
          <w:tcPr>
            <w:tcW w:w="4205" w:type="dxa"/>
          </w:tcPr>
          <w:p w14:paraId="2D771222" w14:textId="77777777" w:rsidR="00EE499D" w:rsidRDefault="00EE499D">
            <w:pPr>
              <w:jc w:val="left"/>
              <w:rPr>
                <w:noProof/>
              </w:rPr>
            </w:pPr>
            <w:r>
              <w:rPr>
                <w:noProof/>
              </w:rPr>
              <w:t>Data flows between Commission and Member States in relation to mitigation measures in case of exceptional circumstances</w:t>
            </w:r>
          </w:p>
        </w:tc>
        <w:tc>
          <w:tcPr>
            <w:tcW w:w="1749" w:type="dxa"/>
          </w:tcPr>
          <w:p w14:paraId="4BFF7E5D" w14:textId="77777777" w:rsidR="00EE499D" w:rsidRDefault="00EE499D">
            <w:pPr>
              <w:jc w:val="left"/>
              <w:rPr>
                <w:noProof/>
                <w:lang w:val="en-US"/>
              </w:rPr>
            </w:pPr>
            <w:r w:rsidRPr="48F96484">
              <w:rPr>
                <w:noProof/>
                <w:lang w:val="en-US"/>
              </w:rPr>
              <w:t xml:space="preserve">Article </w:t>
            </w:r>
            <w:r>
              <w:rPr>
                <w:noProof/>
                <w:lang w:val="en-US"/>
              </w:rPr>
              <w:t>103</w:t>
            </w:r>
            <w:r w:rsidRPr="48F96484">
              <w:rPr>
                <w:noProof/>
                <w:lang w:val="en-US"/>
              </w:rPr>
              <w:t xml:space="preserve"> (6)</w:t>
            </w:r>
          </w:p>
          <w:p w14:paraId="239F91B9" w14:textId="77777777" w:rsidR="00EE499D" w:rsidRDefault="00EE499D">
            <w:pPr>
              <w:jc w:val="left"/>
              <w:rPr>
                <w:noProof/>
              </w:rPr>
            </w:pPr>
            <w:r>
              <w:rPr>
                <w:noProof/>
              </w:rPr>
              <w:t>Mitigation measures in the ICT supply chains</w:t>
            </w:r>
          </w:p>
        </w:tc>
        <w:tc>
          <w:tcPr>
            <w:tcW w:w="1883" w:type="dxa"/>
          </w:tcPr>
          <w:p w14:paraId="3BA63B2D" w14:textId="77777777" w:rsidR="00EE499D" w:rsidRDefault="00EE499D">
            <w:pPr>
              <w:jc w:val="left"/>
              <w:rPr>
                <w:noProof/>
              </w:rPr>
            </w:pPr>
            <w:r>
              <w:rPr>
                <w:noProof/>
              </w:rPr>
              <w:t>Commission</w:t>
            </w:r>
          </w:p>
        </w:tc>
        <w:tc>
          <w:tcPr>
            <w:tcW w:w="1900" w:type="dxa"/>
          </w:tcPr>
          <w:p w14:paraId="7339066F" w14:textId="77777777" w:rsidR="00EE499D" w:rsidRDefault="00EE499D">
            <w:pPr>
              <w:jc w:val="left"/>
              <w:rPr>
                <w:noProof/>
              </w:rPr>
            </w:pPr>
            <w:r>
              <w:rPr>
                <w:noProof/>
              </w:rPr>
              <w:t>Member States</w:t>
            </w:r>
          </w:p>
        </w:tc>
        <w:tc>
          <w:tcPr>
            <w:tcW w:w="2169" w:type="dxa"/>
          </w:tcPr>
          <w:p w14:paraId="6DB8CF66" w14:textId="77777777" w:rsidR="00EE499D" w:rsidRDefault="00EE499D">
            <w:pPr>
              <w:jc w:val="left"/>
              <w:rPr>
                <w:noProof/>
              </w:rPr>
            </w:pPr>
            <w:r>
              <w:rPr>
                <w:noProof/>
              </w:rPr>
              <w:t>Exceptional circumstances</w:t>
            </w:r>
          </w:p>
        </w:tc>
        <w:tc>
          <w:tcPr>
            <w:tcW w:w="2172" w:type="dxa"/>
          </w:tcPr>
          <w:p w14:paraId="65F97EA7" w14:textId="77777777" w:rsidR="00EE499D" w:rsidRDefault="00EE499D">
            <w:pPr>
              <w:jc w:val="left"/>
              <w:rPr>
                <w:noProof/>
              </w:rPr>
            </w:pPr>
            <w:r>
              <w:rPr>
                <w:noProof/>
              </w:rPr>
              <w:t>N/A</w:t>
            </w:r>
          </w:p>
        </w:tc>
      </w:tr>
      <w:tr w:rsidR="00EE499D" w14:paraId="5D19C1FB" w14:textId="77777777">
        <w:trPr>
          <w:trHeight w:val="300"/>
        </w:trPr>
        <w:tc>
          <w:tcPr>
            <w:tcW w:w="4205" w:type="dxa"/>
          </w:tcPr>
          <w:p w14:paraId="5F81F310" w14:textId="77777777" w:rsidR="00EE499D" w:rsidRDefault="00EE499D">
            <w:pPr>
              <w:jc w:val="left"/>
              <w:rPr>
                <w:noProof/>
              </w:rPr>
            </w:pPr>
            <w:r>
              <w:rPr>
                <w:noProof/>
              </w:rPr>
              <w:t>Data flows between Commission and suppliers and the Commission and competent authorities regarding assessment of establishment and ownership and control of suppliers</w:t>
            </w:r>
          </w:p>
        </w:tc>
        <w:tc>
          <w:tcPr>
            <w:tcW w:w="1749" w:type="dxa"/>
          </w:tcPr>
          <w:p w14:paraId="1756A945" w14:textId="77777777" w:rsidR="00EE499D" w:rsidRDefault="00EE499D">
            <w:pPr>
              <w:jc w:val="left"/>
              <w:rPr>
                <w:noProof/>
                <w:lang w:val="en-US"/>
              </w:rPr>
            </w:pPr>
            <w:r>
              <w:rPr>
                <w:noProof/>
                <w:lang w:val="en-US"/>
              </w:rPr>
              <w:t>104 (4), (5), (6)</w:t>
            </w:r>
          </w:p>
          <w:p w14:paraId="72A88A97" w14:textId="77777777" w:rsidR="00EE499D" w:rsidRPr="001927C3" w:rsidRDefault="00EE499D">
            <w:pPr>
              <w:jc w:val="left"/>
              <w:rPr>
                <w:noProof/>
                <w:lang w:val="en-US"/>
              </w:rPr>
            </w:pPr>
            <w:r w:rsidRPr="00BD202F">
              <w:rPr>
                <w:noProof/>
              </w:rPr>
              <w:t>Identification of high-risk suppliers </w:t>
            </w:r>
          </w:p>
        </w:tc>
        <w:tc>
          <w:tcPr>
            <w:tcW w:w="1883" w:type="dxa"/>
          </w:tcPr>
          <w:p w14:paraId="46D9AA7B" w14:textId="77777777" w:rsidR="00EE499D" w:rsidRDefault="00EE499D">
            <w:pPr>
              <w:jc w:val="left"/>
              <w:rPr>
                <w:noProof/>
              </w:rPr>
            </w:pPr>
            <w:r>
              <w:rPr>
                <w:noProof/>
              </w:rPr>
              <w:t>Suppliers</w:t>
            </w:r>
          </w:p>
          <w:p w14:paraId="276E129E" w14:textId="77777777" w:rsidR="00EE499D" w:rsidRDefault="00EE499D">
            <w:pPr>
              <w:jc w:val="left"/>
              <w:rPr>
                <w:noProof/>
              </w:rPr>
            </w:pPr>
            <w:r>
              <w:rPr>
                <w:noProof/>
              </w:rPr>
              <w:t>Commission</w:t>
            </w:r>
          </w:p>
          <w:p w14:paraId="44CCFA62" w14:textId="77777777" w:rsidR="00EE499D" w:rsidRDefault="00EE499D">
            <w:pPr>
              <w:jc w:val="left"/>
              <w:rPr>
                <w:noProof/>
              </w:rPr>
            </w:pPr>
            <w:r>
              <w:rPr>
                <w:noProof/>
              </w:rPr>
              <w:t>Competent Authorities</w:t>
            </w:r>
          </w:p>
        </w:tc>
        <w:tc>
          <w:tcPr>
            <w:tcW w:w="1900" w:type="dxa"/>
          </w:tcPr>
          <w:p w14:paraId="06AE6A48" w14:textId="77777777" w:rsidR="00EE499D" w:rsidRDefault="00EE499D">
            <w:pPr>
              <w:jc w:val="left"/>
              <w:rPr>
                <w:noProof/>
              </w:rPr>
            </w:pPr>
            <w:r>
              <w:rPr>
                <w:noProof/>
              </w:rPr>
              <w:t>Competent Authorities</w:t>
            </w:r>
          </w:p>
          <w:p w14:paraId="6C2FF61D" w14:textId="77777777" w:rsidR="00EE499D" w:rsidRDefault="00EE499D">
            <w:pPr>
              <w:jc w:val="left"/>
              <w:rPr>
                <w:noProof/>
              </w:rPr>
            </w:pPr>
            <w:r>
              <w:rPr>
                <w:noProof/>
              </w:rPr>
              <w:t>Suppliers</w:t>
            </w:r>
          </w:p>
          <w:p w14:paraId="0701ABF4" w14:textId="77777777" w:rsidR="00EE499D" w:rsidRDefault="00EE499D">
            <w:pPr>
              <w:jc w:val="left"/>
              <w:rPr>
                <w:noProof/>
              </w:rPr>
            </w:pPr>
            <w:r>
              <w:rPr>
                <w:noProof/>
              </w:rPr>
              <w:t>Commission</w:t>
            </w:r>
          </w:p>
        </w:tc>
        <w:tc>
          <w:tcPr>
            <w:tcW w:w="2169" w:type="dxa"/>
          </w:tcPr>
          <w:p w14:paraId="662E5507" w14:textId="77777777" w:rsidR="00EE499D" w:rsidRDefault="00EE499D">
            <w:pPr>
              <w:jc w:val="left"/>
              <w:rPr>
                <w:noProof/>
              </w:rPr>
            </w:pPr>
            <w:r>
              <w:rPr>
                <w:noProof/>
              </w:rPr>
              <w:t>Implementing acts adopted in accordance with Article 103(1) and in relation to prohibition in Article 111(1)</w:t>
            </w:r>
          </w:p>
        </w:tc>
        <w:tc>
          <w:tcPr>
            <w:tcW w:w="2172" w:type="dxa"/>
          </w:tcPr>
          <w:p w14:paraId="1A80DFE3" w14:textId="77777777" w:rsidR="00EE499D" w:rsidRDefault="00EE499D">
            <w:pPr>
              <w:jc w:val="left"/>
              <w:rPr>
                <w:noProof/>
              </w:rPr>
            </w:pPr>
            <w:r>
              <w:rPr>
                <w:noProof/>
              </w:rPr>
              <w:t>N/A</w:t>
            </w:r>
          </w:p>
        </w:tc>
      </w:tr>
      <w:tr w:rsidR="00EE499D" w14:paraId="54DA230D" w14:textId="77777777">
        <w:trPr>
          <w:trHeight w:val="300"/>
        </w:trPr>
        <w:tc>
          <w:tcPr>
            <w:tcW w:w="4205" w:type="dxa"/>
          </w:tcPr>
          <w:p w14:paraId="4033B511" w14:textId="77777777" w:rsidR="00EE499D" w:rsidRDefault="00EE499D">
            <w:pPr>
              <w:jc w:val="left"/>
              <w:rPr>
                <w:noProof/>
                <w:lang w:val="en-US"/>
              </w:rPr>
            </w:pPr>
            <w:r>
              <w:rPr>
                <w:noProof/>
              </w:rPr>
              <w:t>Data flow between Commission and Member States in relation to supervisory powers in relation to the implementation of the trusted ICT supply chain security framework</w:t>
            </w:r>
          </w:p>
        </w:tc>
        <w:tc>
          <w:tcPr>
            <w:tcW w:w="1749" w:type="dxa"/>
          </w:tcPr>
          <w:p w14:paraId="1AB622D2" w14:textId="77777777" w:rsidR="00EE499D" w:rsidRPr="001927C3" w:rsidRDefault="00EE499D">
            <w:pPr>
              <w:jc w:val="left"/>
              <w:rPr>
                <w:noProof/>
                <w:lang w:val="en-US"/>
              </w:rPr>
            </w:pPr>
            <w:r w:rsidRPr="001927C3">
              <w:rPr>
                <w:noProof/>
                <w:lang w:val="en-US"/>
              </w:rPr>
              <w:t xml:space="preserve">Article </w:t>
            </w:r>
            <w:r w:rsidRPr="1AF3FEAA">
              <w:rPr>
                <w:noProof/>
                <w:lang w:val="en-US"/>
              </w:rPr>
              <w:t>11</w:t>
            </w:r>
            <w:r>
              <w:rPr>
                <w:noProof/>
                <w:lang w:val="en-US"/>
              </w:rPr>
              <w:t>2</w:t>
            </w:r>
            <w:r w:rsidRPr="001927C3">
              <w:rPr>
                <w:noProof/>
                <w:lang w:val="en-US"/>
              </w:rPr>
              <w:t xml:space="preserve"> (1), (4)</w:t>
            </w:r>
          </w:p>
          <w:p w14:paraId="58629D5E" w14:textId="77777777" w:rsidR="00EE499D" w:rsidRDefault="00EE499D">
            <w:pPr>
              <w:jc w:val="left"/>
              <w:rPr>
                <w:noProof/>
                <w:lang w:val="en-US"/>
              </w:rPr>
            </w:pPr>
            <w:r w:rsidRPr="001927C3">
              <w:rPr>
                <w:noProof/>
                <w:lang w:val="en-US"/>
              </w:rPr>
              <w:t>Competent authorities</w:t>
            </w:r>
          </w:p>
          <w:p w14:paraId="5A3BF923" w14:textId="77777777" w:rsidR="00EE499D" w:rsidRPr="001927C3" w:rsidRDefault="00EE499D">
            <w:pPr>
              <w:jc w:val="left"/>
              <w:rPr>
                <w:noProof/>
                <w:lang w:val="en-US"/>
              </w:rPr>
            </w:pPr>
            <w:r w:rsidRPr="001927C3">
              <w:rPr>
                <w:noProof/>
                <w:lang w:val="en-US"/>
              </w:rPr>
              <w:t xml:space="preserve">Article </w:t>
            </w:r>
            <w:r w:rsidRPr="1AF3FEAA">
              <w:rPr>
                <w:noProof/>
                <w:lang w:val="en-US"/>
              </w:rPr>
              <w:t>11</w:t>
            </w:r>
            <w:r>
              <w:rPr>
                <w:noProof/>
                <w:lang w:val="en-US"/>
              </w:rPr>
              <w:t>4</w:t>
            </w:r>
          </w:p>
          <w:p w14:paraId="49D19353" w14:textId="77777777" w:rsidR="00EE499D" w:rsidRDefault="00EE499D">
            <w:pPr>
              <w:jc w:val="left"/>
              <w:rPr>
                <w:noProof/>
                <w:lang w:val="en-US"/>
              </w:rPr>
            </w:pPr>
            <w:r w:rsidRPr="001927C3">
              <w:rPr>
                <w:noProof/>
                <w:lang w:val="en-US"/>
              </w:rPr>
              <w:t>Supervisory and enforcement measures</w:t>
            </w:r>
          </w:p>
        </w:tc>
        <w:tc>
          <w:tcPr>
            <w:tcW w:w="1883" w:type="dxa"/>
          </w:tcPr>
          <w:p w14:paraId="080DA84E" w14:textId="77777777" w:rsidR="00EE499D" w:rsidRPr="00F41D6E" w:rsidRDefault="00EE499D">
            <w:pPr>
              <w:jc w:val="left"/>
              <w:rPr>
                <w:noProof/>
              </w:rPr>
            </w:pPr>
            <w:r>
              <w:rPr>
                <w:noProof/>
              </w:rPr>
              <w:t>Member States</w:t>
            </w:r>
          </w:p>
        </w:tc>
        <w:tc>
          <w:tcPr>
            <w:tcW w:w="1900" w:type="dxa"/>
          </w:tcPr>
          <w:p w14:paraId="0EFE60F3" w14:textId="77777777" w:rsidR="00EE499D" w:rsidRPr="00F41D6E" w:rsidRDefault="00EE499D">
            <w:pPr>
              <w:jc w:val="left"/>
              <w:rPr>
                <w:noProof/>
              </w:rPr>
            </w:pPr>
            <w:r>
              <w:rPr>
                <w:noProof/>
              </w:rPr>
              <w:t>Commission</w:t>
            </w:r>
          </w:p>
        </w:tc>
        <w:tc>
          <w:tcPr>
            <w:tcW w:w="2169" w:type="dxa"/>
          </w:tcPr>
          <w:p w14:paraId="4FDA0EFC" w14:textId="77777777" w:rsidR="00EE499D" w:rsidRDefault="00EE499D">
            <w:pPr>
              <w:jc w:val="left"/>
              <w:rPr>
                <w:noProof/>
              </w:rPr>
            </w:pPr>
            <w:r>
              <w:rPr>
                <w:noProof/>
              </w:rPr>
              <w:t>Article 112 (1), (4)</w:t>
            </w:r>
          </w:p>
          <w:p w14:paraId="7B7DC909" w14:textId="77777777" w:rsidR="00EE499D" w:rsidRDefault="00EE499D">
            <w:pPr>
              <w:jc w:val="left"/>
              <w:rPr>
                <w:noProof/>
              </w:rPr>
            </w:pPr>
            <w:r>
              <w:rPr>
                <w:noProof/>
              </w:rPr>
              <w:t>Competent authorities</w:t>
            </w:r>
          </w:p>
          <w:p w14:paraId="23966943" w14:textId="77777777" w:rsidR="00EE499D" w:rsidRDefault="00EE499D">
            <w:pPr>
              <w:jc w:val="left"/>
              <w:rPr>
                <w:noProof/>
              </w:rPr>
            </w:pPr>
            <w:r>
              <w:rPr>
                <w:noProof/>
              </w:rPr>
              <w:t>Article 114</w:t>
            </w:r>
          </w:p>
          <w:p w14:paraId="5C510714" w14:textId="77777777" w:rsidR="00EE499D" w:rsidRPr="00F41D6E" w:rsidRDefault="00EE499D">
            <w:pPr>
              <w:jc w:val="left"/>
              <w:rPr>
                <w:noProof/>
              </w:rPr>
            </w:pPr>
            <w:r>
              <w:rPr>
                <w:noProof/>
              </w:rPr>
              <w:t>Supervisory and enforcement measures (</w:t>
            </w:r>
            <w:r w:rsidRPr="001927C3">
              <w:rPr>
                <w:noProof/>
              </w:rPr>
              <w:t>Commission in cooperation with the Member States shall issue a list of entities affiliated to high-risk suppliers.</w:t>
            </w:r>
            <w:r>
              <w:rPr>
                <w:noProof/>
              </w:rPr>
              <w:t>)</w:t>
            </w:r>
          </w:p>
        </w:tc>
        <w:tc>
          <w:tcPr>
            <w:tcW w:w="2172" w:type="dxa"/>
          </w:tcPr>
          <w:p w14:paraId="2B897F01" w14:textId="77777777" w:rsidR="00EE499D" w:rsidRDefault="00EE499D">
            <w:pPr>
              <w:jc w:val="left"/>
              <w:rPr>
                <w:noProof/>
              </w:rPr>
            </w:pPr>
            <w:r>
              <w:rPr>
                <w:noProof/>
              </w:rPr>
              <w:t>N/A</w:t>
            </w:r>
          </w:p>
        </w:tc>
      </w:tr>
      <w:tr w:rsidR="00EE499D" w14:paraId="5A8A37F9" w14:textId="77777777">
        <w:trPr>
          <w:trHeight w:val="300"/>
        </w:trPr>
        <w:tc>
          <w:tcPr>
            <w:tcW w:w="4205" w:type="dxa"/>
          </w:tcPr>
          <w:p w14:paraId="4F7F93D2" w14:textId="77777777" w:rsidR="00EE499D" w:rsidRDefault="00EE499D">
            <w:pPr>
              <w:jc w:val="left"/>
              <w:rPr>
                <w:noProof/>
              </w:rPr>
            </w:pPr>
            <w:r>
              <w:rPr>
                <w:noProof/>
              </w:rPr>
              <w:t>Data flow between Commission and third parties for exemptions</w:t>
            </w:r>
          </w:p>
        </w:tc>
        <w:tc>
          <w:tcPr>
            <w:tcW w:w="1749" w:type="dxa"/>
          </w:tcPr>
          <w:p w14:paraId="6C56C0EB" w14:textId="77777777" w:rsidR="00EE499D" w:rsidRDefault="00EE499D">
            <w:pPr>
              <w:jc w:val="left"/>
              <w:rPr>
                <w:noProof/>
              </w:rPr>
            </w:pPr>
            <w:r>
              <w:rPr>
                <w:noProof/>
              </w:rPr>
              <w:t>Article 105</w:t>
            </w:r>
          </w:p>
          <w:p w14:paraId="5733EB36" w14:textId="77777777" w:rsidR="00EE499D" w:rsidRDefault="00EE499D">
            <w:pPr>
              <w:jc w:val="left"/>
              <w:rPr>
                <w:noProof/>
              </w:rPr>
            </w:pPr>
            <w:r>
              <w:rPr>
                <w:noProof/>
              </w:rPr>
              <w:t>Exemption of entities established in or controlled from a third country posing cybersecurity concerns</w:t>
            </w:r>
          </w:p>
          <w:p w14:paraId="7DD3498F" w14:textId="77777777" w:rsidR="00EE499D" w:rsidRDefault="00EE499D">
            <w:pPr>
              <w:jc w:val="left"/>
              <w:rPr>
                <w:noProof/>
              </w:rPr>
            </w:pPr>
          </w:p>
          <w:p w14:paraId="2DB9F613" w14:textId="77777777" w:rsidR="00EE499D" w:rsidRDefault="00EE499D">
            <w:pPr>
              <w:jc w:val="left"/>
              <w:rPr>
                <w:noProof/>
              </w:rPr>
            </w:pPr>
          </w:p>
        </w:tc>
        <w:tc>
          <w:tcPr>
            <w:tcW w:w="1883" w:type="dxa"/>
          </w:tcPr>
          <w:p w14:paraId="52220BF2" w14:textId="77777777" w:rsidR="00EE499D" w:rsidRDefault="00EE499D">
            <w:pPr>
              <w:jc w:val="left"/>
              <w:rPr>
                <w:noProof/>
              </w:rPr>
            </w:pPr>
            <w:r>
              <w:rPr>
                <w:noProof/>
              </w:rPr>
              <w:t>Third parties (E</w:t>
            </w:r>
            <w:r w:rsidRPr="00866F7C">
              <w:rPr>
                <w:noProof/>
              </w:rPr>
              <w:t>ntit</w:t>
            </w:r>
            <w:r>
              <w:rPr>
                <w:noProof/>
              </w:rPr>
              <w:t>ies established in</w:t>
            </w:r>
            <w:r w:rsidRPr="00866F7C">
              <w:rPr>
                <w:noProof/>
              </w:rPr>
              <w:t xml:space="preserve"> or controlled </w:t>
            </w:r>
            <w:r>
              <w:rPr>
                <w:noProof/>
              </w:rPr>
              <w:t xml:space="preserve">by entities </w:t>
            </w:r>
            <w:r w:rsidRPr="00866F7C">
              <w:rPr>
                <w:noProof/>
              </w:rPr>
              <w:t>from a third country posing cybersecurity concerns</w:t>
            </w:r>
            <w:r>
              <w:rPr>
                <w:noProof/>
              </w:rPr>
              <w:t xml:space="preserve"> (in the sense of Article 100) (when submitting a request for exemption) </w:t>
            </w:r>
          </w:p>
          <w:p w14:paraId="7F3122F8" w14:textId="77777777" w:rsidR="00EE499D" w:rsidRDefault="00EE499D">
            <w:pPr>
              <w:jc w:val="left"/>
              <w:rPr>
                <w:noProof/>
              </w:rPr>
            </w:pPr>
            <w:r>
              <w:rPr>
                <w:noProof/>
              </w:rPr>
              <w:t>EU Commission (when issuing decisions)</w:t>
            </w:r>
          </w:p>
        </w:tc>
        <w:tc>
          <w:tcPr>
            <w:tcW w:w="1900" w:type="dxa"/>
          </w:tcPr>
          <w:p w14:paraId="1B177F0E" w14:textId="77777777" w:rsidR="00EE499D" w:rsidRDefault="00EE499D">
            <w:pPr>
              <w:jc w:val="left"/>
              <w:rPr>
                <w:noProof/>
              </w:rPr>
            </w:pPr>
            <w:r>
              <w:rPr>
                <w:noProof/>
              </w:rPr>
              <w:t xml:space="preserve">Commission (when receiving the request for exemption) </w:t>
            </w:r>
          </w:p>
          <w:p w14:paraId="6F71F268" w14:textId="77777777" w:rsidR="00EE499D" w:rsidRDefault="00EE499D">
            <w:pPr>
              <w:jc w:val="left"/>
              <w:rPr>
                <w:noProof/>
              </w:rPr>
            </w:pPr>
            <w:r>
              <w:rPr>
                <w:noProof/>
              </w:rPr>
              <w:t>Third parties (entities established in or controlled by entities from a third country posing cybersecurity concerns (in the sense of Article 100) (when receiving the Commission's decision)</w:t>
            </w:r>
          </w:p>
          <w:p w14:paraId="016D7413" w14:textId="77777777" w:rsidR="00EE499D" w:rsidRDefault="00EE499D">
            <w:pPr>
              <w:jc w:val="left"/>
              <w:rPr>
                <w:noProof/>
              </w:rPr>
            </w:pPr>
          </w:p>
        </w:tc>
        <w:tc>
          <w:tcPr>
            <w:tcW w:w="2169" w:type="dxa"/>
          </w:tcPr>
          <w:p w14:paraId="5F0AACC8" w14:textId="77777777" w:rsidR="00EE499D" w:rsidRDefault="00EE499D">
            <w:pPr>
              <w:jc w:val="left"/>
              <w:rPr>
                <w:noProof/>
              </w:rPr>
            </w:pPr>
            <w:r>
              <w:rPr>
                <w:noProof/>
              </w:rPr>
              <w:t xml:space="preserve">Decision under Article 100 </w:t>
            </w:r>
            <w:r w:rsidRPr="00487D12">
              <w:rPr>
                <w:noProof/>
              </w:rPr>
              <w:t>Designation of third countries posing cybersecurity concerns</w:t>
            </w:r>
          </w:p>
          <w:p w14:paraId="3793511F" w14:textId="77777777" w:rsidR="00EE499D" w:rsidRDefault="00EE499D">
            <w:pPr>
              <w:jc w:val="left"/>
              <w:rPr>
                <w:noProof/>
              </w:rPr>
            </w:pPr>
          </w:p>
        </w:tc>
        <w:tc>
          <w:tcPr>
            <w:tcW w:w="2172" w:type="dxa"/>
          </w:tcPr>
          <w:p w14:paraId="299BD6BF" w14:textId="77777777" w:rsidR="00EE499D" w:rsidRDefault="00EE499D">
            <w:pPr>
              <w:jc w:val="left"/>
              <w:rPr>
                <w:noProof/>
              </w:rPr>
            </w:pPr>
            <w:r>
              <w:rPr>
                <w:noProof/>
              </w:rPr>
              <w:t>N/A</w:t>
            </w:r>
          </w:p>
        </w:tc>
      </w:tr>
      <w:tr w:rsidR="00EE499D" w14:paraId="4297BC98" w14:textId="77777777">
        <w:trPr>
          <w:trHeight w:val="300"/>
        </w:trPr>
        <w:tc>
          <w:tcPr>
            <w:tcW w:w="4205" w:type="dxa"/>
          </w:tcPr>
          <w:p w14:paraId="03923C74" w14:textId="77777777" w:rsidR="00EE499D" w:rsidRDefault="00EE499D">
            <w:pPr>
              <w:jc w:val="left"/>
              <w:rPr>
                <w:noProof/>
                <w:lang w:val="en-US"/>
              </w:rPr>
            </w:pPr>
            <w:r>
              <w:rPr>
                <w:noProof/>
                <w:lang w:val="en-US"/>
              </w:rPr>
              <w:t>Data flow between Member States and third parties in relation to prohibitions in electronic communication networks</w:t>
            </w:r>
          </w:p>
        </w:tc>
        <w:tc>
          <w:tcPr>
            <w:tcW w:w="1749" w:type="dxa"/>
          </w:tcPr>
          <w:p w14:paraId="1C25DE52" w14:textId="77777777" w:rsidR="00EE499D" w:rsidRPr="00487D12" w:rsidRDefault="00EE499D">
            <w:pPr>
              <w:jc w:val="left"/>
              <w:rPr>
                <w:noProof/>
                <w:lang w:val="en-US"/>
              </w:rPr>
            </w:pPr>
            <w:r w:rsidRPr="00487D12">
              <w:rPr>
                <w:noProof/>
                <w:lang w:val="en-US"/>
              </w:rPr>
              <w:t xml:space="preserve">Article </w:t>
            </w:r>
            <w:r>
              <w:rPr>
                <w:noProof/>
                <w:lang w:val="en-US"/>
              </w:rPr>
              <w:t>111</w:t>
            </w:r>
          </w:p>
          <w:p w14:paraId="73CEC1C2" w14:textId="019E84C2" w:rsidR="00EE499D" w:rsidRDefault="00EE499D">
            <w:pPr>
              <w:jc w:val="left"/>
              <w:rPr>
                <w:noProof/>
                <w:lang w:val="en-US"/>
              </w:rPr>
            </w:pPr>
            <w:r w:rsidRPr="00487D12">
              <w:rPr>
                <w:noProof/>
                <w:lang w:val="en-US"/>
              </w:rPr>
              <w:t>Prohibitions for mobile</w:t>
            </w:r>
            <w:r w:rsidR="00D202DE">
              <w:rPr>
                <w:noProof/>
                <w:lang w:val="en-US"/>
              </w:rPr>
              <w:t xml:space="preserve">, </w:t>
            </w:r>
            <w:r w:rsidRPr="00487D12">
              <w:rPr>
                <w:noProof/>
                <w:lang w:val="en-US"/>
              </w:rPr>
              <w:t xml:space="preserve">fixed </w:t>
            </w:r>
            <w:r w:rsidR="00D202DE">
              <w:rPr>
                <w:noProof/>
                <w:lang w:val="en-US"/>
              </w:rPr>
              <w:t>and satellite</w:t>
            </w:r>
            <w:r w:rsidRPr="00487D12">
              <w:rPr>
                <w:noProof/>
                <w:lang w:val="en-US"/>
              </w:rPr>
              <w:t xml:space="preserve"> electronic communication networks</w:t>
            </w:r>
          </w:p>
          <w:p w14:paraId="5DEC24BD" w14:textId="77777777" w:rsidR="00EE499D" w:rsidRDefault="00EE499D">
            <w:pPr>
              <w:jc w:val="left"/>
              <w:rPr>
                <w:noProof/>
                <w:lang w:val="en-US"/>
              </w:rPr>
            </w:pPr>
          </w:p>
          <w:p w14:paraId="474A4AD7" w14:textId="77777777" w:rsidR="00EE499D" w:rsidRDefault="00EE499D">
            <w:pPr>
              <w:jc w:val="left"/>
              <w:rPr>
                <w:noProof/>
                <w:lang w:val="en-US"/>
              </w:rPr>
            </w:pPr>
          </w:p>
        </w:tc>
        <w:tc>
          <w:tcPr>
            <w:tcW w:w="1883" w:type="dxa"/>
          </w:tcPr>
          <w:p w14:paraId="0825EE54" w14:textId="77777777" w:rsidR="00EE499D" w:rsidRPr="00F41D6E" w:rsidRDefault="00EE499D">
            <w:pPr>
              <w:jc w:val="left"/>
              <w:rPr>
                <w:noProof/>
              </w:rPr>
            </w:pPr>
            <w:r>
              <w:rPr>
                <w:noProof/>
              </w:rPr>
              <w:t>Member States (Competent authorities)</w:t>
            </w:r>
          </w:p>
        </w:tc>
        <w:tc>
          <w:tcPr>
            <w:tcW w:w="1900" w:type="dxa"/>
          </w:tcPr>
          <w:p w14:paraId="3234C649" w14:textId="3957C172" w:rsidR="00EE499D" w:rsidRPr="00F41D6E" w:rsidRDefault="00EE499D">
            <w:pPr>
              <w:jc w:val="left"/>
              <w:rPr>
                <w:noProof/>
              </w:rPr>
            </w:pPr>
            <w:r>
              <w:rPr>
                <w:noProof/>
              </w:rPr>
              <w:t>Third parties (</w:t>
            </w:r>
            <w:r w:rsidRPr="00487D12">
              <w:rPr>
                <w:noProof/>
              </w:rPr>
              <w:t>Providers of mobile</w:t>
            </w:r>
            <w:r w:rsidR="00D202DE">
              <w:rPr>
                <w:noProof/>
              </w:rPr>
              <w:t xml:space="preserve">, </w:t>
            </w:r>
            <w:r w:rsidRPr="00487D12">
              <w:rPr>
                <w:noProof/>
              </w:rPr>
              <w:t xml:space="preserve">fixed </w:t>
            </w:r>
            <w:r w:rsidR="00D202DE">
              <w:rPr>
                <w:noProof/>
              </w:rPr>
              <w:t>and satellite</w:t>
            </w:r>
            <w:r w:rsidRPr="00487D12">
              <w:rPr>
                <w:noProof/>
              </w:rPr>
              <w:t xml:space="preserve"> electronic communications networks</w:t>
            </w:r>
            <w:r>
              <w:rPr>
                <w:noProof/>
              </w:rPr>
              <w:t>)</w:t>
            </w:r>
          </w:p>
        </w:tc>
        <w:tc>
          <w:tcPr>
            <w:tcW w:w="2169" w:type="dxa"/>
          </w:tcPr>
          <w:p w14:paraId="2DA7BA15" w14:textId="7DCD9E01" w:rsidR="00EE499D" w:rsidRPr="00F41D6E" w:rsidRDefault="004B4E6F">
            <w:pPr>
              <w:jc w:val="left"/>
              <w:rPr>
                <w:noProof/>
              </w:rPr>
            </w:pPr>
            <w:r>
              <w:rPr>
                <w:noProof/>
              </w:rPr>
              <w:t>T</w:t>
            </w:r>
            <w:r w:rsidRPr="00285D19">
              <w:rPr>
                <w:noProof/>
                <w:lang w:val="en-IE"/>
              </w:rPr>
              <w:t>he competent authority designated under this Regulation</w:t>
            </w:r>
            <w:r w:rsidR="001705E4" w:rsidRPr="00285D19">
              <w:rPr>
                <w:noProof/>
                <w:lang w:val="en-IE"/>
              </w:rPr>
              <w:t xml:space="preserve"> shall inform without delay the competent authority pursuant to Regulation (EU) XX/XXXX [DNA proposal] about the measures imposed on providers of mobile</w:t>
            </w:r>
            <w:r w:rsidR="00D202DE">
              <w:rPr>
                <w:noProof/>
                <w:lang w:val="en-IE"/>
              </w:rPr>
              <w:t xml:space="preserve">, </w:t>
            </w:r>
            <w:r w:rsidR="001705E4" w:rsidRPr="00285D19">
              <w:rPr>
                <w:noProof/>
                <w:lang w:val="en-IE"/>
              </w:rPr>
              <w:t xml:space="preserve"> fixed </w:t>
            </w:r>
            <w:r w:rsidR="00D202DE">
              <w:rPr>
                <w:noProof/>
                <w:lang w:val="en-IE"/>
              </w:rPr>
              <w:t>and satellite</w:t>
            </w:r>
            <w:r w:rsidR="001705E4" w:rsidRPr="00285D19">
              <w:rPr>
                <w:noProof/>
                <w:lang w:val="en-IE"/>
              </w:rPr>
              <w:t xml:space="preserve"> electronic communications networks</w:t>
            </w:r>
          </w:p>
        </w:tc>
        <w:tc>
          <w:tcPr>
            <w:tcW w:w="2172" w:type="dxa"/>
          </w:tcPr>
          <w:p w14:paraId="169A901F" w14:textId="77777777" w:rsidR="00EE499D" w:rsidRDefault="00EE499D">
            <w:pPr>
              <w:jc w:val="left"/>
              <w:rPr>
                <w:noProof/>
              </w:rPr>
            </w:pPr>
            <w:r>
              <w:rPr>
                <w:noProof/>
              </w:rPr>
              <w:t>N/A</w:t>
            </w:r>
          </w:p>
        </w:tc>
      </w:tr>
      <w:tr w:rsidR="00EE499D" w14:paraId="3FD5E64A" w14:textId="77777777">
        <w:trPr>
          <w:trHeight w:val="300"/>
        </w:trPr>
        <w:tc>
          <w:tcPr>
            <w:tcW w:w="4205" w:type="dxa"/>
          </w:tcPr>
          <w:p w14:paraId="522AEA0F" w14:textId="77777777" w:rsidR="00EE499D" w:rsidRDefault="00EE499D">
            <w:pPr>
              <w:jc w:val="left"/>
              <w:rPr>
                <w:noProof/>
                <w:lang w:val="en-US"/>
              </w:rPr>
            </w:pPr>
            <w:r>
              <w:rPr>
                <w:noProof/>
                <w:lang w:val="en-US"/>
              </w:rPr>
              <w:t>Data flow between Commission and Member States in the context of the network for cooperation and support services</w:t>
            </w:r>
          </w:p>
        </w:tc>
        <w:tc>
          <w:tcPr>
            <w:tcW w:w="1749" w:type="dxa"/>
          </w:tcPr>
          <w:p w14:paraId="53622F4B" w14:textId="77777777" w:rsidR="00EE499D" w:rsidRDefault="00EE499D">
            <w:pPr>
              <w:jc w:val="left"/>
              <w:rPr>
                <w:noProof/>
                <w:lang w:val="en-US"/>
              </w:rPr>
            </w:pPr>
            <w:r>
              <w:rPr>
                <w:noProof/>
                <w:lang w:val="en-US"/>
              </w:rPr>
              <w:t>Article 113</w:t>
            </w:r>
          </w:p>
          <w:p w14:paraId="78BD3506" w14:textId="77777777" w:rsidR="00EE499D" w:rsidRPr="00487D12" w:rsidRDefault="00EE499D">
            <w:pPr>
              <w:jc w:val="left"/>
              <w:rPr>
                <w:noProof/>
                <w:lang w:val="en-US"/>
              </w:rPr>
            </w:pPr>
            <w:r w:rsidRPr="0092108A">
              <w:rPr>
                <w:noProof/>
              </w:rPr>
              <w:t>Network for cooperation and support services of the Commission</w:t>
            </w:r>
          </w:p>
        </w:tc>
        <w:tc>
          <w:tcPr>
            <w:tcW w:w="1883" w:type="dxa"/>
          </w:tcPr>
          <w:p w14:paraId="0DA80CC9" w14:textId="77777777" w:rsidR="00EE499D" w:rsidRDefault="00EE499D">
            <w:pPr>
              <w:jc w:val="left"/>
              <w:rPr>
                <w:noProof/>
              </w:rPr>
            </w:pPr>
            <w:r>
              <w:rPr>
                <w:noProof/>
              </w:rPr>
              <w:t>Commission</w:t>
            </w:r>
          </w:p>
          <w:p w14:paraId="02FF3A30" w14:textId="77777777" w:rsidR="00EE499D" w:rsidRDefault="00EE499D">
            <w:pPr>
              <w:jc w:val="left"/>
              <w:rPr>
                <w:noProof/>
              </w:rPr>
            </w:pPr>
            <w:r>
              <w:rPr>
                <w:noProof/>
              </w:rPr>
              <w:t>Member States (Competent authorities)</w:t>
            </w:r>
          </w:p>
        </w:tc>
        <w:tc>
          <w:tcPr>
            <w:tcW w:w="1900" w:type="dxa"/>
          </w:tcPr>
          <w:p w14:paraId="1467FBA3" w14:textId="77777777" w:rsidR="00EE499D" w:rsidRDefault="00EE499D">
            <w:pPr>
              <w:jc w:val="left"/>
              <w:rPr>
                <w:noProof/>
              </w:rPr>
            </w:pPr>
            <w:r>
              <w:rPr>
                <w:noProof/>
              </w:rPr>
              <w:t>Commission</w:t>
            </w:r>
          </w:p>
          <w:p w14:paraId="742D5888" w14:textId="77777777" w:rsidR="00EE499D" w:rsidRPr="00487D12" w:rsidRDefault="00EE499D">
            <w:pPr>
              <w:jc w:val="left"/>
              <w:rPr>
                <w:noProof/>
              </w:rPr>
            </w:pPr>
            <w:r>
              <w:rPr>
                <w:noProof/>
              </w:rPr>
              <w:t>Member States (Competent authorities)</w:t>
            </w:r>
          </w:p>
        </w:tc>
        <w:tc>
          <w:tcPr>
            <w:tcW w:w="2169" w:type="dxa"/>
          </w:tcPr>
          <w:p w14:paraId="0AAA52B8" w14:textId="77777777" w:rsidR="00EE499D" w:rsidRDefault="00EE499D">
            <w:pPr>
              <w:jc w:val="left"/>
              <w:rPr>
                <w:noProof/>
              </w:rPr>
            </w:pPr>
            <w:r>
              <w:rPr>
                <w:noProof/>
              </w:rPr>
              <w:t>Designation of third countries posing cybersecurity concerns</w:t>
            </w:r>
          </w:p>
        </w:tc>
        <w:tc>
          <w:tcPr>
            <w:tcW w:w="2172" w:type="dxa"/>
          </w:tcPr>
          <w:p w14:paraId="43341351" w14:textId="77777777" w:rsidR="00EE499D" w:rsidRDefault="00EE499D">
            <w:pPr>
              <w:jc w:val="left"/>
              <w:rPr>
                <w:noProof/>
              </w:rPr>
            </w:pPr>
          </w:p>
        </w:tc>
      </w:tr>
      <w:tr w:rsidR="00EE499D" w14:paraId="3598EFCF" w14:textId="77777777">
        <w:trPr>
          <w:trHeight w:val="300"/>
        </w:trPr>
        <w:tc>
          <w:tcPr>
            <w:tcW w:w="4205" w:type="dxa"/>
          </w:tcPr>
          <w:p w14:paraId="0BF072E3" w14:textId="77777777" w:rsidR="00EE499D" w:rsidRDefault="00EE499D">
            <w:pPr>
              <w:jc w:val="left"/>
              <w:rPr>
                <w:noProof/>
                <w:lang w:val="en-US"/>
              </w:rPr>
            </w:pPr>
            <w:r>
              <w:rPr>
                <w:noProof/>
                <w:lang w:val="en-US"/>
              </w:rPr>
              <w:t xml:space="preserve">Data flow between Member States and third parties in relation to supervisory and enforcement measures </w:t>
            </w:r>
          </w:p>
        </w:tc>
        <w:tc>
          <w:tcPr>
            <w:tcW w:w="1749" w:type="dxa"/>
          </w:tcPr>
          <w:p w14:paraId="22742551" w14:textId="77777777" w:rsidR="00EE499D" w:rsidRPr="00270390" w:rsidRDefault="00EE499D">
            <w:pPr>
              <w:jc w:val="left"/>
              <w:rPr>
                <w:noProof/>
                <w:lang w:val="en-US"/>
              </w:rPr>
            </w:pPr>
            <w:r w:rsidRPr="00270390">
              <w:rPr>
                <w:noProof/>
                <w:lang w:val="en-US"/>
              </w:rPr>
              <w:t>Article 11</w:t>
            </w:r>
            <w:r>
              <w:rPr>
                <w:noProof/>
                <w:lang w:val="en-US"/>
              </w:rPr>
              <w:t>4</w:t>
            </w:r>
          </w:p>
          <w:p w14:paraId="5CC84667" w14:textId="77777777" w:rsidR="00EE499D" w:rsidRDefault="00EE499D">
            <w:pPr>
              <w:jc w:val="left"/>
              <w:rPr>
                <w:noProof/>
                <w:lang w:val="en-US"/>
              </w:rPr>
            </w:pPr>
            <w:r w:rsidRPr="00270390">
              <w:rPr>
                <w:noProof/>
                <w:lang w:val="en-US"/>
              </w:rPr>
              <w:t>Supervisory and enforcement measures</w:t>
            </w:r>
          </w:p>
        </w:tc>
        <w:tc>
          <w:tcPr>
            <w:tcW w:w="1883" w:type="dxa"/>
          </w:tcPr>
          <w:p w14:paraId="0A41BD2E" w14:textId="77777777" w:rsidR="00EE499D" w:rsidRDefault="00EE499D">
            <w:pPr>
              <w:jc w:val="left"/>
              <w:rPr>
                <w:noProof/>
              </w:rPr>
            </w:pPr>
            <w:r>
              <w:rPr>
                <w:noProof/>
              </w:rPr>
              <w:t>Third parties (E</w:t>
            </w:r>
            <w:r w:rsidRPr="00553E34">
              <w:rPr>
                <w:noProof/>
              </w:rPr>
              <w:t>ntities of the type referred to in Annexes I and II to Directive (EU) 2022/2555</w:t>
            </w:r>
            <w:r>
              <w:rPr>
                <w:noProof/>
              </w:rPr>
              <w:t>)</w:t>
            </w:r>
          </w:p>
        </w:tc>
        <w:tc>
          <w:tcPr>
            <w:tcW w:w="1900" w:type="dxa"/>
          </w:tcPr>
          <w:p w14:paraId="1703466F" w14:textId="77777777" w:rsidR="00EE499D" w:rsidRDefault="00EE499D">
            <w:pPr>
              <w:jc w:val="left"/>
              <w:rPr>
                <w:noProof/>
              </w:rPr>
            </w:pPr>
            <w:r>
              <w:rPr>
                <w:noProof/>
              </w:rPr>
              <w:t>Member States (Competent authorities)</w:t>
            </w:r>
          </w:p>
        </w:tc>
        <w:tc>
          <w:tcPr>
            <w:tcW w:w="2169" w:type="dxa"/>
          </w:tcPr>
          <w:p w14:paraId="73B1D70E" w14:textId="77777777" w:rsidR="00EE499D" w:rsidRDefault="00EE499D">
            <w:pPr>
              <w:jc w:val="left"/>
              <w:rPr>
                <w:noProof/>
              </w:rPr>
            </w:pPr>
            <w:r>
              <w:rPr>
                <w:noProof/>
              </w:rPr>
              <w:t>Implementation of the measures foreseen in Title IV</w:t>
            </w:r>
          </w:p>
        </w:tc>
        <w:tc>
          <w:tcPr>
            <w:tcW w:w="2172" w:type="dxa"/>
          </w:tcPr>
          <w:p w14:paraId="08941FE9" w14:textId="77777777" w:rsidR="00EE499D" w:rsidRDefault="00EE499D">
            <w:pPr>
              <w:jc w:val="left"/>
              <w:rPr>
                <w:noProof/>
              </w:rPr>
            </w:pPr>
          </w:p>
        </w:tc>
      </w:tr>
      <w:tr w:rsidR="00EE499D" w14:paraId="4D09714B" w14:textId="77777777">
        <w:trPr>
          <w:trHeight w:val="300"/>
        </w:trPr>
        <w:tc>
          <w:tcPr>
            <w:tcW w:w="4205" w:type="dxa"/>
          </w:tcPr>
          <w:p w14:paraId="47349A96" w14:textId="77777777" w:rsidR="00EE499D" w:rsidRDefault="00EE499D">
            <w:pPr>
              <w:jc w:val="left"/>
              <w:rPr>
                <w:noProof/>
                <w:lang w:val="en-US"/>
              </w:rPr>
            </w:pPr>
            <w:r w:rsidRPr="00487D12">
              <w:rPr>
                <w:noProof/>
                <w:lang w:val="en-US"/>
              </w:rPr>
              <w:t xml:space="preserve">Data flow between Member States </w:t>
            </w:r>
            <w:r>
              <w:rPr>
                <w:noProof/>
                <w:lang w:val="en-US"/>
              </w:rPr>
              <w:t>for mutual assistance</w:t>
            </w:r>
          </w:p>
        </w:tc>
        <w:tc>
          <w:tcPr>
            <w:tcW w:w="1749" w:type="dxa"/>
          </w:tcPr>
          <w:p w14:paraId="481B43C9" w14:textId="77777777" w:rsidR="00EE499D" w:rsidRPr="00487D12" w:rsidRDefault="00EE499D">
            <w:pPr>
              <w:jc w:val="left"/>
              <w:rPr>
                <w:noProof/>
                <w:lang w:val="en-US"/>
              </w:rPr>
            </w:pPr>
            <w:r w:rsidRPr="00487D12">
              <w:rPr>
                <w:noProof/>
                <w:lang w:val="en-US"/>
              </w:rPr>
              <w:t xml:space="preserve">Article </w:t>
            </w:r>
            <w:r>
              <w:rPr>
                <w:noProof/>
                <w:lang w:val="en-US"/>
              </w:rPr>
              <w:t>116</w:t>
            </w:r>
          </w:p>
          <w:p w14:paraId="590440F2" w14:textId="77777777" w:rsidR="00EE499D" w:rsidRPr="00487D12" w:rsidRDefault="00EE499D">
            <w:pPr>
              <w:jc w:val="left"/>
              <w:rPr>
                <w:noProof/>
                <w:lang w:val="en-US"/>
              </w:rPr>
            </w:pPr>
            <w:r w:rsidRPr="00487D12">
              <w:rPr>
                <w:noProof/>
                <w:lang w:val="en-US"/>
              </w:rPr>
              <w:t>Mutual assistance</w:t>
            </w:r>
          </w:p>
        </w:tc>
        <w:tc>
          <w:tcPr>
            <w:tcW w:w="1883" w:type="dxa"/>
          </w:tcPr>
          <w:p w14:paraId="133C7655" w14:textId="77777777" w:rsidR="00EE499D" w:rsidRPr="00487D12" w:rsidRDefault="00EE499D">
            <w:pPr>
              <w:jc w:val="left"/>
              <w:rPr>
                <w:noProof/>
              </w:rPr>
            </w:pPr>
            <w:r>
              <w:rPr>
                <w:noProof/>
              </w:rPr>
              <w:t>Member States</w:t>
            </w:r>
          </w:p>
        </w:tc>
        <w:tc>
          <w:tcPr>
            <w:tcW w:w="1900" w:type="dxa"/>
          </w:tcPr>
          <w:p w14:paraId="11945C5F" w14:textId="77777777" w:rsidR="00EE499D" w:rsidRPr="00487D12" w:rsidRDefault="00EE499D">
            <w:pPr>
              <w:jc w:val="left"/>
              <w:rPr>
                <w:noProof/>
              </w:rPr>
            </w:pPr>
            <w:r>
              <w:rPr>
                <w:noProof/>
              </w:rPr>
              <w:t>Member States</w:t>
            </w:r>
          </w:p>
        </w:tc>
        <w:tc>
          <w:tcPr>
            <w:tcW w:w="2169" w:type="dxa"/>
          </w:tcPr>
          <w:p w14:paraId="03A8528D" w14:textId="77777777" w:rsidR="00EE499D" w:rsidRPr="00487D12" w:rsidRDefault="00EE499D">
            <w:pPr>
              <w:jc w:val="left"/>
              <w:rPr>
                <w:noProof/>
              </w:rPr>
            </w:pPr>
            <w:r w:rsidRPr="00487D12">
              <w:rPr>
                <w:noProof/>
              </w:rPr>
              <w:t>Where an entity referred to Annex I or II of Directive (EU) 2022/2555 provides services in more than one Member State or provides services in one or more Member States and its key</w:t>
            </w:r>
            <w:r>
              <w:rPr>
                <w:noProof/>
              </w:rPr>
              <w:t xml:space="preserve"> ICT</w:t>
            </w:r>
            <w:r w:rsidRPr="00487D12">
              <w:rPr>
                <w:noProof/>
              </w:rPr>
              <w:t xml:space="preserve"> assets are located in one or more other Member States, the competent authorities of the Member States concerned shall cooperate with and assist each other as necessary.</w:t>
            </w:r>
          </w:p>
        </w:tc>
        <w:tc>
          <w:tcPr>
            <w:tcW w:w="2172" w:type="dxa"/>
          </w:tcPr>
          <w:p w14:paraId="6B739AE0" w14:textId="77777777" w:rsidR="00EE499D" w:rsidRDefault="00EE499D">
            <w:pPr>
              <w:jc w:val="left"/>
              <w:rPr>
                <w:noProof/>
              </w:rPr>
            </w:pPr>
            <w:r>
              <w:rPr>
                <w:noProof/>
              </w:rPr>
              <w:t>N/A</w:t>
            </w:r>
          </w:p>
        </w:tc>
      </w:tr>
    </w:tbl>
    <w:p w14:paraId="1303DCC0" w14:textId="715C31DB" w:rsidR="00EE499D" w:rsidRDefault="00EE499D" w:rsidP="00D00237">
      <w:pPr>
        <w:rPr>
          <w:noProof/>
        </w:rPr>
      </w:pPr>
    </w:p>
    <w:p w14:paraId="63FB4833" w14:textId="77777777" w:rsidR="007476E9" w:rsidRDefault="007476E9" w:rsidP="00D00237">
      <w:pPr>
        <w:pStyle w:val="ManualHeading2"/>
        <w:rPr>
          <w:noProof/>
        </w:rPr>
      </w:pPr>
      <w:r>
        <w:rPr>
          <w:noProof/>
        </w:rPr>
        <w:t>4.3.</w:t>
      </w:r>
      <w:r>
        <w:rPr>
          <w:noProof/>
        </w:rPr>
        <w:tab/>
        <w:t>Digital solutions</w:t>
      </w:r>
      <w:bookmarkEnd w:id="196"/>
      <w:bookmarkEnd w:id="197"/>
    </w:p>
    <w:p w14:paraId="3A0DBA73" w14:textId="77777777" w:rsidR="007476E9" w:rsidRPr="0057502F" w:rsidRDefault="007476E9" w:rsidP="007476E9">
      <w:pPr>
        <w:pStyle w:val="Text1"/>
        <w:ind w:left="851"/>
        <w:rPr>
          <w:noProof/>
          <w:lang w:val="en-IE"/>
        </w:rPr>
      </w:pPr>
      <w:r w:rsidRPr="0057502F">
        <w:rPr>
          <w:i/>
          <w:iCs/>
          <w:noProof/>
        </w:rPr>
        <w:t>High-level description of digital solutions</w:t>
      </w:r>
      <w:r w:rsidRPr="0057502F">
        <w:rPr>
          <w:noProof/>
          <w:lang w:val="en-IE"/>
        </w:rPr>
        <w:t> </w:t>
      </w:r>
    </w:p>
    <w:p w14:paraId="3BB69329" w14:textId="77777777" w:rsidR="007476E9" w:rsidRDefault="007476E9" w:rsidP="007476E9">
      <w:pPr>
        <w:pStyle w:val="Text1"/>
        <w:ind w:left="851"/>
        <w:rPr>
          <w:noProof/>
          <w:lang w:val="en-IE"/>
        </w:rPr>
      </w:pPr>
      <w:r w:rsidRPr="0057502F">
        <w:rPr>
          <w:i/>
          <w:iCs/>
          <w:noProof/>
        </w:rPr>
        <w:t>For each digital solution, explanation of how the digital solution complies with applicable digital policies and legislative enactments</w:t>
      </w:r>
      <w:r w:rsidRPr="0057502F">
        <w:rPr>
          <w:noProof/>
          <w:lang w:val="en-IE"/>
        </w:rPr>
        <w:t> </w:t>
      </w:r>
    </w:p>
    <w:tbl>
      <w:tblPr>
        <w:tblW w:w="1458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755"/>
        <w:gridCol w:w="1668"/>
        <w:gridCol w:w="2622"/>
        <w:gridCol w:w="1669"/>
        <w:gridCol w:w="1242"/>
        <w:gridCol w:w="1362"/>
        <w:gridCol w:w="1269"/>
      </w:tblGrid>
      <w:tr w:rsidR="007476E9" w:rsidRPr="0057502F" w14:paraId="06346FFD" w14:textId="77777777" w:rsidTr="00EE499D">
        <w:trPr>
          <w:trHeight w:val="285"/>
        </w:trPr>
        <w:tc>
          <w:tcPr>
            <w:tcW w:w="4755" w:type="dxa"/>
            <w:tcBorders>
              <w:top w:val="single" w:sz="6" w:space="0" w:color="auto"/>
              <w:left w:val="single" w:sz="6" w:space="0" w:color="auto"/>
              <w:bottom w:val="single" w:sz="6" w:space="0" w:color="auto"/>
              <w:right w:val="single" w:sz="6" w:space="0" w:color="auto"/>
            </w:tcBorders>
            <w:vAlign w:val="center"/>
            <w:hideMark/>
          </w:tcPr>
          <w:p w14:paraId="66386D60" w14:textId="77777777" w:rsidR="007476E9" w:rsidRPr="0057502F" w:rsidRDefault="007476E9">
            <w:pPr>
              <w:spacing w:before="0" w:after="0"/>
              <w:jc w:val="center"/>
              <w:textAlignment w:val="baseline"/>
              <w:rPr>
                <w:rFonts w:ascii="Segoe UI" w:eastAsia="Times New Roman" w:hAnsi="Segoe UI" w:cs="Segoe UI"/>
                <w:noProof/>
                <w:sz w:val="18"/>
                <w:szCs w:val="18"/>
                <w:lang w:val="en-IE" w:eastAsia="en-IE"/>
              </w:rPr>
            </w:pPr>
            <w:r w:rsidRPr="0057502F">
              <w:rPr>
                <w:rFonts w:eastAsia="Times New Roman"/>
                <w:b/>
                <w:bCs/>
                <w:noProof/>
                <w:color w:val="000000"/>
                <w:szCs w:val="24"/>
                <w:lang w:eastAsia="en-IE"/>
              </w:rPr>
              <w:t>Digital solution</w:t>
            </w:r>
            <w:r w:rsidRPr="0057502F">
              <w:rPr>
                <w:rFonts w:eastAsia="Times New Roman"/>
                <w:noProof/>
                <w:color w:val="000000"/>
                <w:szCs w:val="24"/>
                <w:lang w:eastAsia="en-IE"/>
              </w:rPr>
              <w:t> </w:t>
            </w:r>
            <w:r w:rsidRPr="0057502F">
              <w:rPr>
                <w:rFonts w:eastAsia="Times New Roman"/>
                <w:noProof/>
                <w:color w:val="000000"/>
                <w:szCs w:val="24"/>
                <w:lang w:val="en-IE" w:eastAsia="en-IE"/>
              </w:rPr>
              <w:t> </w:t>
            </w:r>
          </w:p>
        </w:tc>
        <w:tc>
          <w:tcPr>
            <w:tcW w:w="1668" w:type="dxa"/>
            <w:tcBorders>
              <w:top w:val="single" w:sz="6" w:space="0" w:color="auto"/>
              <w:left w:val="single" w:sz="6" w:space="0" w:color="auto"/>
              <w:bottom w:val="single" w:sz="6" w:space="0" w:color="auto"/>
              <w:right w:val="single" w:sz="6" w:space="0" w:color="auto"/>
            </w:tcBorders>
            <w:vAlign w:val="center"/>
            <w:hideMark/>
          </w:tcPr>
          <w:p w14:paraId="1DC8E1C8" w14:textId="77777777" w:rsidR="007476E9" w:rsidRPr="0057502F" w:rsidRDefault="007476E9">
            <w:pPr>
              <w:spacing w:before="0" w:after="0"/>
              <w:jc w:val="center"/>
              <w:textAlignment w:val="baseline"/>
              <w:rPr>
                <w:rFonts w:ascii="Segoe UI" w:eastAsia="Times New Roman" w:hAnsi="Segoe UI" w:cs="Segoe UI"/>
                <w:noProof/>
                <w:sz w:val="18"/>
                <w:szCs w:val="18"/>
                <w:lang w:val="en-IE" w:eastAsia="en-IE"/>
              </w:rPr>
            </w:pPr>
            <w:r w:rsidRPr="0057502F">
              <w:rPr>
                <w:rFonts w:eastAsia="Times New Roman"/>
                <w:b/>
                <w:bCs/>
                <w:noProof/>
                <w:szCs w:val="24"/>
                <w:lang w:eastAsia="en-IE"/>
              </w:rPr>
              <w:t>Reference(s) to the requirement(s)</w:t>
            </w:r>
            <w:r w:rsidRPr="0057502F">
              <w:rPr>
                <w:rFonts w:eastAsia="Times New Roman"/>
                <w:noProof/>
                <w:szCs w:val="24"/>
                <w:lang w:eastAsia="en-IE"/>
              </w:rPr>
              <w:t> </w:t>
            </w:r>
            <w:r w:rsidRPr="0057502F">
              <w:rPr>
                <w:rFonts w:eastAsia="Times New Roman"/>
                <w:noProof/>
                <w:szCs w:val="24"/>
                <w:lang w:val="en-IE" w:eastAsia="en-IE"/>
              </w:rPr>
              <w:t> </w:t>
            </w:r>
          </w:p>
        </w:tc>
        <w:tc>
          <w:tcPr>
            <w:tcW w:w="2622" w:type="dxa"/>
            <w:tcBorders>
              <w:top w:val="single" w:sz="6" w:space="0" w:color="auto"/>
              <w:left w:val="single" w:sz="6" w:space="0" w:color="auto"/>
              <w:bottom w:val="single" w:sz="6" w:space="0" w:color="auto"/>
              <w:right w:val="single" w:sz="6" w:space="0" w:color="auto"/>
            </w:tcBorders>
            <w:vAlign w:val="center"/>
            <w:hideMark/>
          </w:tcPr>
          <w:p w14:paraId="3E8A6A55" w14:textId="77777777" w:rsidR="007476E9" w:rsidRPr="0057502F" w:rsidRDefault="007476E9">
            <w:pPr>
              <w:spacing w:before="0" w:after="0"/>
              <w:jc w:val="center"/>
              <w:textAlignment w:val="baseline"/>
              <w:rPr>
                <w:rFonts w:ascii="Segoe UI" w:eastAsia="Times New Roman" w:hAnsi="Segoe UI" w:cs="Segoe UI"/>
                <w:noProof/>
                <w:sz w:val="18"/>
                <w:szCs w:val="18"/>
                <w:lang w:val="en-IE" w:eastAsia="en-IE"/>
              </w:rPr>
            </w:pPr>
            <w:r w:rsidRPr="0057502F">
              <w:rPr>
                <w:rFonts w:eastAsia="Times New Roman"/>
                <w:b/>
                <w:bCs/>
                <w:noProof/>
                <w:color w:val="000000"/>
                <w:szCs w:val="24"/>
                <w:lang w:eastAsia="en-IE"/>
              </w:rPr>
              <w:t>Main mandated functionalities</w:t>
            </w:r>
            <w:r w:rsidRPr="0057502F">
              <w:rPr>
                <w:rFonts w:eastAsia="Times New Roman"/>
                <w:noProof/>
                <w:color w:val="000000"/>
                <w:szCs w:val="24"/>
                <w:lang w:eastAsia="en-IE"/>
              </w:rPr>
              <w:t> </w:t>
            </w:r>
            <w:r w:rsidRPr="0057502F">
              <w:rPr>
                <w:rFonts w:eastAsia="Times New Roman"/>
                <w:noProof/>
                <w:color w:val="000000"/>
                <w:szCs w:val="24"/>
                <w:lang w:val="en-IE" w:eastAsia="en-IE"/>
              </w:rPr>
              <w:t> </w:t>
            </w:r>
          </w:p>
        </w:tc>
        <w:tc>
          <w:tcPr>
            <w:tcW w:w="1669" w:type="dxa"/>
            <w:tcBorders>
              <w:top w:val="single" w:sz="6" w:space="0" w:color="auto"/>
              <w:left w:val="single" w:sz="6" w:space="0" w:color="auto"/>
              <w:bottom w:val="single" w:sz="6" w:space="0" w:color="auto"/>
              <w:right w:val="single" w:sz="6" w:space="0" w:color="auto"/>
            </w:tcBorders>
            <w:vAlign w:val="center"/>
            <w:hideMark/>
          </w:tcPr>
          <w:p w14:paraId="5F1E0CF4" w14:textId="77777777" w:rsidR="007476E9" w:rsidRPr="0057502F" w:rsidRDefault="007476E9">
            <w:pPr>
              <w:spacing w:before="0" w:after="0"/>
              <w:jc w:val="center"/>
              <w:textAlignment w:val="baseline"/>
              <w:rPr>
                <w:rFonts w:ascii="Segoe UI" w:eastAsia="Times New Roman" w:hAnsi="Segoe UI" w:cs="Segoe UI"/>
                <w:noProof/>
                <w:sz w:val="18"/>
                <w:szCs w:val="18"/>
                <w:lang w:val="en-IE" w:eastAsia="en-IE"/>
              </w:rPr>
            </w:pPr>
            <w:r w:rsidRPr="0057502F">
              <w:rPr>
                <w:rFonts w:eastAsia="Times New Roman"/>
                <w:b/>
                <w:bCs/>
                <w:noProof/>
                <w:color w:val="000000"/>
                <w:szCs w:val="24"/>
                <w:lang w:eastAsia="en-IE"/>
              </w:rPr>
              <w:t>Responsible body</w:t>
            </w:r>
            <w:r w:rsidRPr="0057502F">
              <w:rPr>
                <w:rFonts w:eastAsia="Times New Roman"/>
                <w:noProof/>
                <w:color w:val="000000"/>
                <w:szCs w:val="24"/>
                <w:lang w:eastAsia="en-IE"/>
              </w:rPr>
              <w:t> </w:t>
            </w:r>
            <w:r w:rsidRPr="0057502F">
              <w:rPr>
                <w:rFonts w:eastAsia="Times New Roman"/>
                <w:noProof/>
                <w:color w:val="000000"/>
                <w:szCs w:val="24"/>
                <w:lang w:val="en-IE" w:eastAsia="en-IE"/>
              </w:rPr>
              <w:t> </w:t>
            </w:r>
          </w:p>
        </w:tc>
        <w:tc>
          <w:tcPr>
            <w:tcW w:w="1242" w:type="dxa"/>
            <w:tcBorders>
              <w:top w:val="single" w:sz="6" w:space="0" w:color="auto"/>
              <w:left w:val="single" w:sz="6" w:space="0" w:color="auto"/>
              <w:bottom w:val="single" w:sz="6" w:space="0" w:color="auto"/>
              <w:right w:val="single" w:sz="6" w:space="0" w:color="auto"/>
            </w:tcBorders>
            <w:vAlign w:val="center"/>
            <w:hideMark/>
          </w:tcPr>
          <w:p w14:paraId="1EE3D0D2" w14:textId="77777777" w:rsidR="007476E9" w:rsidRPr="0057502F" w:rsidRDefault="007476E9">
            <w:pPr>
              <w:spacing w:before="0" w:after="0"/>
              <w:jc w:val="center"/>
              <w:textAlignment w:val="baseline"/>
              <w:rPr>
                <w:rFonts w:ascii="Segoe UI" w:eastAsia="Times New Roman" w:hAnsi="Segoe UI" w:cs="Segoe UI"/>
                <w:noProof/>
                <w:sz w:val="18"/>
                <w:szCs w:val="18"/>
                <w:lang w:val="en-IE" w:eastAsia="en-IE"/>
              </w:rPr>
            </w:pPr>
            <w:r w:rsidRPr="0057502F">
              <w:rPr>
                <w:rFonts w:eastAsia="Times New Roman"/>
                <w:b/>
                <w:bCs/>
                <w:noProof/>
                <w:color w:val="000000"/>
                <w:szCs w:val="24"/>
                <w:lang w:eastAsia="en-IE"/>
              </w:rPr>
              <w:t>How is accessibility catered for?</w:t>
            </w:r>
            <w:r w:rsidRPr="0057502F">
              <w:rPr>
                <w:rFonts w:eastAsia="Times New Roman"/>
                <w:noProof/>
                <w:color w:val="000000"/>
                <w:szCs w:val="24"/>
                <w:lang w:eastAsia="en-IE"/>
              </w:rPr>
              <w:t> </w:t>
            </w:r>
            <w:r w:rsidRPr="0057502F">
              <w:rPr>
                <w:rFonts w:eastAsia="Times New Roman"/>
                <w:noProof/>
                <w:color w:val="000000"/>
                <w:szCs w:val="24"/>
                <w:lang w:val="en-IE" w:eastAsia="en-IE"/>
              </w:rPr>
              <w:t> </w:t>
            </w:r>
          </w:p>
        </w:tc>
        <w:tc>
          <w:tcPr>
            <w:tcW w:w="1362" w:type="dxa"/>
            <w:tcBorders>
              <w:top w:val="single" w:sz="6" w:space="0" w:color="auto"/>
              <w:left w:val="single" w:sz="6" w:space="0" w:color="auto"/>
              <w:bottom w:val="single" w:sz="6" w:space="0" w:color="auto"/>
              <w:right w:val="single" w:sz="6" w:space="0" w:color="auto"/>
            </w:tcBorders>
            <w:vAlign w:val="center"/>
            <w:hideMark/>
          </w:tcPr>
          <w:p w14:paraId="24CEDC83" w14:textId="77777777" w:rsidR="007476E9" w:rsidRPr="0057502F" w:rsidRDefault="007476E9">
            <w:pPr>
              <w:spacing w:before="0" w:after="0"/>
              <w:jc w:val="center"/>
              <w:textAlignment w:val="baseline"/>
              <w:rPr>
                <w:rFonts w:ascii="Segoe UI" w:eastAsia="Times New Roman" w:hAnsi="Segoe UI" w:cs="Segoe UI"/>
                <w:noProof/>
                <w:sz w:val="18"/>
                <w:szCs w:val="18"/>
                <w:lang w:val="en-IE" w:eastAsia="en-IE"/>
              </w:rPr>
            </w:pPr>
            <w:r w:rsidRPr="0057502F">
              <w:rPr>
                <w:rFonts w:eastAsia="Times New Roman"/>
                <w:b/>
                <w:bCs/>
                <w:noProof/>
                <w:color w:val="000000"/>
                <w:szCs w:val="24"/>
                <w:lang w:eastAsia="en-IE"/>
              </w:rPr>
              <w:t>How is reusability considered?</w:t>
            </w:r>
            <w:r w:rsidRPr="0057502F">
              <w:rPr>
                <w:rFonts w:eastAsia="Times New Roman"/>
                <w:noProof/>
                <w:color w:val="000000"/>
                <w:szCs w:val="24"/>
                <w:lang w:eastAsia="en-IE"/>
              </w:rPr>
              <w:t> </w:t>
            </w:r>
            <w:r w:rsidRPr="0057502F">
              <w:rPr>
                <w:rFonts w:eastAsia="Times New Roman"/>
                <w:noProof/>
                <w:color w:val="000000"/>
                <w:szCs w:val="24"/>
                <w:lang w:val="en-IE" w:eastAsia="en-IE"/>
              </w:rPr>
              <w:t> </w:t>
            </w:r>
          </w:p>
        </w:tc>
        <w:tc>
          <w:tcPr>
            <w:tcW w:w="1269" w:type="dxa"/>
            <w:tcBorders>
              <w:top w:val="single" w:sz="6" w:space="0" w:color="auto"/>
              <w:left w:val="single" w:sz="6" w:space="0" w:color="auto"/>
              <w:bottom w:val="single" w:sz="6" w:space="0" w:color="auto"/>
              <w:right w:val="single" w:sz="6" w:space="0" w:color="auto"/>
            </w:tcBorders>
            <w:vAlign w:val="center"/>
            <w:hideMark/>
          </w:tcPr>
          <w:p w14:paraId="2EEE475C" w14:textId="77777777" w:rsidR="007476E9" w:rsidRPr="0057502F" w:rsidRDefault="007476E9">
            <w:pPr>
              <w:spacing w:before="0" w:after="0"/>
              <w:jc w:val="center"/>
              <w:textAlignment w:val="baseline"/>
              <w:rPr>
                <w:rFonts w:ascii="Segoe UI" w:eastAsia="Times New Roman" w:hAnsi="Segoe UI" w:cs="Segoe UI"/>
                <w:noProof/>
                <w:sz w:val="18"/>
                <w:szCs w:val="18"/>
                <w:lang w:val="en-IE" w:eastAsia="en-IE"/>
              </w:rPr>
            </w:pPr>
            <w:r w:rsidRPr="0057502F">
              <w:rPr>
                <w:rFonts w:eastAsia="Times New Roman"/>
                <w:b/>
                <w:bCs/>
                <w:noProof/>
                <w:color w:val="000000"/>
                <w:szCs w:val="24"/>
                <w:lang w:eastAsia="en-IE"/>
              </w:rPr>
              <w:t>Use of AI technologies (if applicable)</w:t>
            </w:r>
            <w:r w:rsidRPr="0057502F">
              <w:rPr>
                <w:rFonts w:eastAsia="Times New Roman"/>
                <w:noProof/>
                <w:color w:val="000000"/>
                <w:szCs w:val="24"/>
                <w:lang w:eastAsia="en-IE"/>
              </w:rPr>
              <w:t> </w:t>
            </w:r>
            <w:r w:rsidRPr="0057502F">
              <w:rPr>
                <w:rFonts w:eastAsia="Times New Roman"/>
                <w:noProof/>
                <w:color w:val="000000"/>
                <w:szCs w:val="24"/>
                <w:lang w:val="en-IE" w:eastAsia="en-IE"/>
              </w:rPr>
              <w:t> </w:t>
            </w:r>
          </w:p>
        </w:tc>
      </w:tr>
      <w:tr w:rsidR="007476E9" w:rsidRPr="0057502F" w14:paraId="7C1B8794" w14:textId="77777777" w:rsidTr="00EE499D">
        <w:trPr>
          <w:trHeight w:val="285"/>
        </w:trPr>
        <w:tc>
          <w:tcPr>
            <w:tcW w:w="4755" w:type="dxa"/>
            <w:tcBorders>
              <w:top w:val="single" w:sz="6" w:space="0" w:color="auto"/>
              <w:left w:val="single" w:sz="6" w:space="0" w:color="auto"/>
              <w:bottom w:val="single" w:sz="6" w:space="0" w:color="auto"/>
              <w:right w:val="single" w:sz="6" w:space="0" w:color="auto"/>
            </w:tcBorders>
            <w:hideMark/>
          </w:tcPr>
          <w:p w14:paraId="24B8EF0A"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ENISA being the </w:t>
            </w:r>
            <w:r w:rsidRPr="0057502F">
              <w:rPr>
                <w:rFonts w:eastAsia="Times New Roman"/>
                <w:b/>
                <w:bCs/>
                <w:noProof/>
                <w:szCs w:val="24"/>
                <w:lang w:eastAsia="en-IE"/>
              </w:rPr>
              <w:t>secretariat of CSIRTs network and EU-CyCLONe</w:t>
            </w:r>
            <w:r w:rsidRPr="0057502F">
              <w:rPr>
                <w:rFonts w:eastAsia="Times New Roman"/>
                <w:noProof/>
                <w:szCs w:val="24"/>
                <w:lang w:eastAsia="en-IE"/>
              </w:rPr>
              <w:t> and deploy within  the CSIRTs network and EU-CyCLONe </w:t>
            </w:r>
            <w:r w:rsidRPr="0057502F">
              <w:rPr>
                <w:rFonts w:eastAsia="Times New Roman"/>
                <w:b/>
                <w:bCs/>
                <w:noProof/>
                <w:szCs w:val="24"/>
                <w:lang w:eastAsia="en-IE"/>
              </w:rPr>
              <w:t>secure  communications tools</w:t>
            </w:r>
            <w:r w:rsidRPr="0057502F">
              <w:rPr>
                <w:rFonts w:eastAsia="Times New Roman"/>
                <w:noProof/>
                <w:szCs w:val="24"/>
                <w:lang w:eastAsia="en-IE"/>
              </w:rPr>
              <w:t> which are provided by legal entities </w:t>
            </w:r>
            <w:r>
              <w:rPr>
                <w:rFonts w:eastAsia="Times New Roman"/>
                <w:noProof/>
                <w:szCs w:val="24"/>
                <w:lang w:eastAsia="en-IE"/>
              </w:rPr>
              <w:t xml:space="preserve">that are not </w:t>
            </w:r>
            <w:r w:rsidRPr="0057502F">
              <w:rPr>
                <w:rFonts w:eastAsia="Times New Roman"/>
                <w:noProof/>
                <w:szCs w:val="24"/>
                <w:lang w:eastAsia="en-IE"/>
              </w:rPr>
              <w:t xml:space="preserve">established  in </w:t>
            </w:r>
            <w:r>
              <w:rPr>
                <w:rFonts w:eastAsia="Times New Roman"/>
                <w:noProof/>
                <w:szCs w:val="24"/>
                <w:lang w:eastAsia="en-IE"/>
              </w:rPr>
              <w:t xml:space="preserve">or </w:t>
            </w:r>
            <w:r w:rsidRPr="0057502F">
              <w:rPr>
                <w:rFonts w:eastAsia="Times New Roman"/>
                <w:noProof/>
                <w:szCs w:val="24"/>
                <w:lang w:eastAsia="en-IE"/>
              </w:rPr>
              <w:t xml:space="preserve">controlled by </w:t>
            </w:r>
            <w:r>
              <w:rPr>
                <w:rFonts w:eastAsia="Times New Roman"/>
                <w:noProof/>
                <w:szCs w:val="24"/>
                <w:lang w:eastAsia="en-IE"/>
              </w:rPr>
              <w:t xml:space="preserve">third countries </w:t>
            </w:r>
            <w:r w:rsidRPr="0057502F">
              <w:rPr>
                <w:rFonts w:eastAsia="Times New Roman"/>
                <w:noProof/>
                <w:szCs w:val="24"/>
                <w:lang w:eastAsia="en-IE"/>
              </w:rPr>
              <w:t xml:space="preserve">or by nationals of </w:t>
            </w:r>
            <w:r>
              <w:rPr>
                <w:rFonts w:eastAsia="Times New Roman"/>
                <w:noProof/>
                <w:szCs w:val="24"/>
                <w:lang w:eastAsia="en-IE"/>
              </w:rPr>
              <w:t>third countries</w:t>
            </w:r>
            <w:r w:rsidRPr="0057502F">
              <w:rPr>
                <w:rFonts w:eastAsia="Times New Roman"/>
                <w:noProof/>
                <w:szCs w:val="24"/>
                <w:lang w:eastAsia="en-IE"/>
              </w:rPr>
              <w:t>.    </w:t>
            </w:r>
            <w:r w:rsidRPr="0057502F">
              <w:rPr>
                <w:rFonts w:eastAsia="Times New Roman"/>
                <w:noProof/>
                <w:szCs w:val="24"/>
                <w:lang w:val="en-IE" w:eastAsia="en-IE"/>
              </w:rPr>
              <w:t> </w:t>
            </w:r>
          </w:p>
        </w:tc>
        <w:tc>
          <w:tcPr>
            <w:tcW w:w="1668" w:type="dxa"/>
            <w:tcBorders>
              <w:top w:val="single" w:sz="6" w:space="0" w:color="auto"/>
              <w:left w:val="single" w:sz="6" w:space="0" w:color="auto"/>
              <w:bottom w:val="single" w:sz="6" w:space="0" w:color="auto"/>
              <w:right w:val="single" w:sz="6" w:space="0" w:color="auto"/>
            </w:tcBorders>
            <w:hideMark/>
          </w:tcPr>
          <w:p w14:paraId="65B719F6"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 </w:t>
            </w:r>
            <w:r w:rsidRPr="0057502F">
              <w:rPr>
                <w:rFonts w:eastAsia="Times New Roman"/>
                <w:noProof/>
                <w:szCs w:val="24"/>
                <w:lang w:val="en-IE" w:eastAsia="en-IE"/>
              </w:rPr>
              <w:t> </w:t>
            </w:r>
          </w:p>
          <w:p w14:paraId="3C6BEF93"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 </w:t>
            </w:r>
            <w:r w:rsidRPr="0057502F">
              <w:rPr>
                <w:rFonts w:eastAsia="Times New Roman"/>
                <w:noProof/>
                <w:szCs w:val="24"/>
                <w:lang w:val="en-IE" w:eastAsia="en-IE"/>
              </w:rPr>
              <w:t> </w:t>
            </w:r>
          </w:p>
          <w:p w14:paraId="13D2A1E3"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Article 10 (2), (3), (5)</w:t>
            </w:r>
            <w:r w:rsidRPr="0057502F">
              <w:rPr>
                <w:rFonts w:eastAsia="Times New Roman"/>
                <w:noProof/>
                <w:szCs w:val="24"/>
                <w:lang w:val="en-IE" w:eastAsia="en-IE"/>
              </w:rPr>
              <w:t> </w:t>
            </w:r>
          </w:p>
        </w:tc>
        <w:tc>
          <w:tcPr>
            <w:tcW w:w="2622" w:type="dxa"/>
            <w:tcBorders>
              <w:top w:val="single" w:sz="6" w:space="0" w:color="auto"/>
              <w:left w:val="single" w:sz="6" w:space="0" w:color="auto"/>
              <w:bottom w:val="single" w:sz="6" w:space="0" w:color="auto"/>
              <w:right w:val="single" w:sz="6" w:space="0" w:color="auto"/>
            </w:tcBorders>
            <w:hideMark/>
          </w:tcPr>
          <w:p w14:paraId="12993FE2"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 </w:t>
            </w:r>
            <w:r w:rsidRPr="0057502F">
              <w:rPr>
                <w:rFonts w:eastAsia="Times New Roman"/>
                <w:noProof/>
                <w:szCs w:val="24"/>
                <w:lang w:val="en-IE" w:eastAsia="en-IE"/>
              </w:rPr>
              <w:t> </w:t>
            </w:r>
          </w:p>
          <w:p w14:paraId="1C348058"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Not public information</w:t>
            </w:r>
            <w:r w:rsidRPr="0057502F">
              <w:rPr>
                <w:rFonts w:eastAsia="Times New Roman"/>
                <w:noProof/>
                <w:szCs w:val="24"/>
                <w:lang w:val="en-IE" w:eastAsia="en-IE"/>
              </w:rPr>
              <w:t> </w:t>
            </w:r>
          </w:p>
        </w:tc>
        <w:tc>
          <w:tcPr>
            <w:tcW w:w="1669" w:type="dxa"/>
            <w:tcBorders>
              <w:top w:val="single" w:sz="6" w:space="0" w:color="auto"/>
              <w:left w:val="single" w:sz="6" w:space="0" w:color="auto"/>
              <w:bottom w:val="single" w:sz="6" w:space="0" w:color="auto"/>
              <w:right w:val="single" w:sz="6" w:space="0" w:color="auto"/>
            </w:tcBorders>
            <w:hideMark/>
          </w:tcPr>
          <w:p w14:paraId="252C6F23"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 </w:t>
            </w:r>
            <w:r w:rsidRPr="0057502F">
              <w:rPr>
                <w:rFonts w:eastAsia="Times New Roman"/>
                <w:noProof/>
                <w:szCs w:val="24"/>
                <w:lang w:val="en-IE" w:eastAsia="en-IE"/>
              </w:rPr>
              <w:t> </w:t>
            </w:r>
          </w:p>
          <w:p w14:paraId="34B049E9"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ENISA</w:t>
            </w:r>
            <w:r w:rsidRPr="0057502F">
              <w:rPr>
                <w:rFonts w:eastAsia="Times New Roman"/>
                <w:noProof/>
                <w:szCs w:val="24"/>
                <w:lang w:val="en-IE" w:eastAsia="en-IE"/>
              </w:rPr>
              <w:t> </w:t>
            </w:r>
          </w:p>
        </w:tc>
        <w:tc>
          <w:tcPr>
            <w:tcW w:w="1242" w:type="dxa"/>
            <w:tcBorders>
              <w:top w:val="single" w:sz="6" w:space="0" w:color="auto"/>
              <w:left w:val="single" w:sz="6" w:space="0" w:color="auto"/>
              <w:bottom w:val="single" w:sz="6" w:space="0" w:color="auto"/>
              <w:right w:val="single" w:sz="6" w:space="0" w:color="auto"/>
            </w:tcBorders>
            <w:hideMark/>
          </w:tcPr>
          <w:p w14:paraId="6A105253"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 </w:t>
            </w:r>
            <w:r w:rsidRPr="0057502F">
              <w:rPr>
                <w:rFonts w:eastAsia="Times New Roman"/>
                <w:noProof/>
                <w:szCs w:val="24"/>
                <w:lang w:val="en-IE" w:eastAsia="en-IE"/>
              </w:rPr>
              <w:t> </w:t>
            </w:r>
          </w:p>
          <w:p w14:paraId="0F331C76"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Not public information</w:t>
            </w:r>
            <w:r w:rsidRPr="0057502F">
              <w:rPr>
                <w:rFonts w:eastAsia="Times New Roman"/>
                <w:noProof/>
                <w:szCs w:val="24"/>
                <w:lang w:val="en-IE" w:eastAsia="en-IE"/>
              </w:rPr>
              <w:t> </w:t>
            </w:r>
          </w:p>
        </w:tc>
        <w:tc>
          <w:tcPr>
            <w:tcW w:w="1362" w:type="dxa"/>
            <w:tcBorders>
              <w:top w:val="single" w:sz="6" w:space="0" w:color="auto"/>
              <w:left w:val="single" w:sz="6" w:space="0" w:color="auto"/>
              <w:bottom w:val="single" w:sz="6" w:space="0" w:color="auto"/>
              <w:right w:val="single" w:sz="6" w:space="0" w:color="auto"/>
            </w:tcBorders>
            <w:hideMark/>
          </w:tcPr>
          <w:p w14:paraId="36D79A55"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 </w:t>
            </w:r>
            <w:r w:rsidRPr="0057502F">
              <w:rPr>
                <w:rFonts w:eastAsia="Times New Roman"/>
                <w:noProof/>
                <w:szCs w:val="24"/>
                <w:lang w:val="en-IE" w:eastAsia="en-IE"/>
              </w:rPr>
              <w:t> </w:t>
            </w:r>
          </w:p>
          <w:p w14:paraId="084882F4"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Not public information</w:t>
            </w:r>
            <w:r w:rsidRPr="0057502F">
              <w:rPr>
                <w:rFonts w:eastAsia="Times New Roman"/>
                <w:noProof/>
                <w:szCs w:val="24"/>
                <w:lang w:val="en-IE" w:eastAsia="en-IE"/>
              </w:rPr>
              <w:t> </w:t>
            </w:r>
          </w:p>
        </w:tc>
        <w:tc>
          <w:tcPr>
            <w:tcW w:w="1269" w:type="dxa"/>
            <w:tcBorders>
              <w:top w:val="single" w:sz="6" w:space="0" w:color="auto"/>
              <w:left w:val="single" w:sz="6" w:space="0" w:color="auto"/>
              <w:bottom w:val="single" w:sz="6" w:space="0" w:color="auto"/>
              <w:right w:val="single" w:sz="6" w:space="0" w:color="auto"/>
            </w:tcBorders>
            <w:hideMark/>
          </w:tcPr>
          <w:p w14:paraId="60D47679"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val="en-IE" w:eastAsia="en-IE"/>
              </w:rPr>
              <w:t> </w:t>
            </w:r>
          </w:p>
          <w:p w14:paraId="51D1E3C3"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 Not public information</w:t>
            </w:r>
            <w:r w:rsidRPr="0057502F">
              <w:rPr>
                <w:rFonts w:eastAsia="Times New Roman"/>
                <w:noProof/>
                <w:szCs w:val="24"/>
                <w:lang w:val="en-IE" w:eastAsia="en-IE"/>
              </w:rPr>
              <w:t> </w:t>
            </w:r>
          </w:p>
        </w:tc>
      </w:tr>
      <w:tr w:rsidR="007476E9" w:rsidRPr="0057502F" w14:paraId="36880374" w14:textId="77777777" w:rsidTr="00EE499D">
        <w:trPr>
          <w:trHeight w:val="285"/>
        </w:trPr>
        <w:tc>
          <w:tcPr>
            <w:tcW w:w="4755" w:type="dxa"/>
            <w:tcBorders>
              <w:top w:val="single" w:sz="6" w:space="0" w:color="auto"/>
              <w:left w:val="single" w:sz="6" w:space="0" w:color="auto"/>
              <w:bottom w:val="single" w:sz="6" w:space="0" w:color="auto"/>
              <w:right w:val="single" w:sz="6" w:space="0" w:color="auto"/>
            </w:tcBorders>
            <w:hideMark/>
          </w:tcPr>
          <w:p w14:paraId="472D2D81"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val="en-IE" w:eastAsia="en-IE"/>
              </w:rPr>
              <w:t> </w:t>
            </w:r>
          </w:p>
          <w:p w14:paraId="2B3787B4"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Develop in cooperation with EU-CyCLONe, the CSIRTs network, the Commission, Europol and CERT-EU and relevant Union entities  </w:t>
            </w:r>
            <w:r w:rsidRPr="0057502F">
              <w:rPr>
                <w:rFonts w:eastAsia="Times New Roman"/>
                <w:b/>
                <w:bCs/>
                <w:noProof/>
                <w:szCs w:val="24"/>
                <w:lang w:eastAsia="en-IE"/>
              </w:rPr>
              <w:t>repositories of verified, reliable cyber threat intelligence</w:t>
            </w:r>
            <w:r w:rsidRPr="0057502F">
              <w:rPr>
                <w:rFonts w:eastAsia="Times New Roman"/>
                <w:noProof/>
                <w:szCs w:val="24"/>
                <w:lang w:eastAsia="en-IE"/>
              </w:rPr>
              <w:t>, including trends in incidents, tactics, techniques and procedures.</w:t>
            </w:r>
            <w:r w:rsidRPr="0057502F">
              <w:rPr>
                <w:rFonts w:eastAsia="Times New Roman"/>
                <w:noProof/>
                <w:szCs w:val="24"/>
                <w:lang w:val="en-IE" w:eastAsia="en-IE"/>
              </w:rPr>
              <w:t> </w:t>
            </w:r>
          </w:p>
        </w:tc>
        <w:tc>
          <w:tcPr>
            <w:tcW w:w="1668" w:type="dxa"/>
            <w:tcBorders>
              <w:top w:val="single" w:sz="6" w:space="0" w:color="auto"/>
              <w:left w:val="single" w:sz="6" w:space="0" w:color="auto"/>
              <w:bottom w:val="single" w:sz="6" w:space="0" w:color="auto"/>
              <w:right w:val="single" w:sz="6" w:space="0" w:color="auto"/>
            </w:tcBorders>
            <w:hideMark/>
          </w:tcPr>
          <w:p w14:paraId="0C5DD611"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val="en-IE" w:eastAsia="en-IE"/>
              </w:rPr>
              <w:t> </w:t>
            </w:r>
          </w:p>
          <w:p w14:paraId="06E9FD35"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val="en-IE" w:eastAsia="en-IE"/>
              </w:rPr>
              <w:t> </w:t>
            </w:r>
          </w:p>
          <w:p w14:paraId="59A3821D"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val="en-IE" w:eastAsia="en-IE"/>
              </w:rPr>
              <w:t> </w:t>
            </w:r>
          </w:p>
          <w:p w14:paraId="70C384A6"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Article 11(1)(a)</w:t>
            </w:r>
            <w:r w:rsidRPr="0057502F">
              <w:rPr>
                <w:rFonts w:eastAsia="Times New Roman"/>
                <w:noProof/>
                <w:szCs w:val="24"/>
                <w:lang w:val="en-IE" w:eastAsia="en-IE"/>
              </w:rPr>
              <w:t> </w:t>
            </w:r>
          </w:p>
        </w:tc>
        <w:tc>
          <w:tcPr>
            <w:tcW w:w="2622" w:type="dxa"/>
            <w:tcBorders>
              <w:top w:val="single" w:sz="6" w:space="0" w:color="auto"/>
              <w:left w:val="single" w:sz="6" w:space="0" w:color="auto"/>
              <w:bottom w:val="single" w:sz="6" w:space="0" w:color="auto"/>
              <w:right w:val="single" w:sz="6" w:space="0" w:color="auto"/>
            </w:tcBorders>
            <w:hideMark/>
          </w:tcPr>
          <w:p w14:paraId="17C4C6A6"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 </w:t>
            </w:r>
            <w:r w:rsidRPr="0057502F">
              <w:rPr>
                <w:rFonts w:eastAsia="Times New Roman"/>
                <w:noProof/>
                <w:szCs w:val="24"/>
                <w:lang w:val="en-IE" w:eastAsia="en-IE"/>
              </w:rPr>
              <w:t> </w:t>
            </w:r>
          </w:p>
          <w:p w14:paraId="730588F9"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val="en-IE" w:eastAsia="en-IE"/>
              </w:rPr>
              <w:t> </w:t>
            </w:r>
          </w:p>
          <w:p w14:paraId="36649AEA"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verified, reliable cyber threat intelligence, including trends in incidents, tactics, techniques and procedures</w:t>
            </w:r>
            <w:r w:rsidRPr="0057502F">
              <w:rPr>
                <w:rFonts w:eastAsia="Times New Roman"/>
                <w:noProof/>
                <w:szCs w:val="24"/>
                <w:lang w:val="en-IE" w:eastAsia="en-IE"/>
              </w:rPr>
              <w:t> </w:t>
            </w:r>
          </w:p>
        </w:tc>
        <w:tc>
          <w:tcPr>
            <w:tcW w:w="1669" w:type="dxa"/>
            <w:tcBorders>
              <w:top w:val="single" w:sz="6" w:space="0" w:color="auto"/>
              <w:left w:val="single" w:sz="6" w:space="0" w:color="auto"/>
              <w:bottom w:val="single" w:sz="6" w:space="0" w:color="auto"/>
              <w:right w:val="single" w:sz="6" w:space="0" w:color="auto"/>
            </w:tcBorders>
            <w:hideMark/>
          </w:tcPr>
          <w:p w14:paraId="4C97D08F"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 </w:t>
            </w:r>
            <w:r w:rsidRPr="0057502F">
              <w:rPr>
                <w:rFonts w:eastAsia="Times New Roman"/>
                <w:noProof/>
                <w:szCs w:val="24"/>
                <w:lang w:val="en-IE" w:eastAsia="en-IE"/>
              </w:rPr>
              <w:t> </w:t>
            </w:r>
          </w:p>
          <w:p w14:paraId="7728D7B6"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ENISA</w:t>
            </w:r>
            <w:r w:rsidRPr="0057502F">
              <w:rPr>
                <w:rFonts w:eastAsia="Times New Roman"/>
                <w:noProof/>
                <w:szCs w:val="24"/>
                <w:lang w:val="en-IE" w:eastAsia="en-IE"/>
              </w:rPr>
              <w:t> </w:t>
            </w:r>
          </w:p>
          <w:p w14:paraId="74E8522E"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EU-CyCLONe, the CSIRTs network, the Commission, Europol and CERT-EU and relevant Union entities  </w:t>
            </w:r>
            <w:r w:rsidRPr="0057502F">
              <w:rPr>
                <w:rFonts w:eastAsia="Times New Roman"/>
                <w:noProof/>
                <w:szCs w:val="24"/>
                <w:lang w:val="en-IE" w:eastAsia="en-IE"/>
              </w:rPr>
              <w:t> </w:t>
            </w:r>
          </w:p>
        </w:tc>
        <w:tc>
          <w:tcPr>
            <w:tcW w:w="1242" w:type="dxa"/>
            <w:tcBorders>
              <w:top w:val="single" w:sz="6" w:space="0" w:color="auto"/>
              <w:left w:val="single" w:sz="6" w:space="0" w:color="auto"/>
              <w:bottom w:val="single" w:sz="6" w:space="0" w:color="auto"/>
              <w:right w:val="single" w:sz="6" w:space="0" w:color="auto"/>
            </w:tcBorders>
            <w:hideMark/>
          </w:tcPr>
          <w:p w14:paraId="0FA5B2AA"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 </w:t>
            </w:r>
            <w:r w:rsidRPr="0057502F">
              <w:rPr>
                <w:rFonts w:eastAsia="Times New Roman"/>
                <w:noProof/>
                <w:szCs w:val="24"/>
                <w:lang w:val="en-IE" w:eastAsia="en-IE"/>
              </w:rPr>
              <w:t> </w:t>
            </w:r>
          </w:p>
          <w:p w14:paraId="62C3D249"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val="en-IE" w:eastAsia="en-IE"/>
              </w:rPr>
              <w:t> </w:t>
            </w:r>
          </w:p>
          <w:p w14:paraId="0D673302"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val="en-IE" w:eastAsia="en-IE"/>
              </w:rPr>
              <w:t> </w:t>
            </w:r>
          </w:p>
          <w:p w14:paraId="4B1C8A33"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N/A</w:t>
            </w:r>
            <w:r w:rsidRPr="0057502F">
              <w:rPr>
                <w:rFonts w:eastAsia="Times New Roman"/>
                <w:noProof/>
                <w:szCs w:val="24"/>
                <w:lang w:val="en-IE" w:eastAsia="en-IE"/>
              </w:rPr>
              <w:t> </w:t>
            </w:r>
          </w:p>
        </w:tc>
        <w:tc>
          <w:tcPr>
            <w:tcW w:w="1362" w:type="dxa"/>
            <w:tcBorders>
              <w:top w:val="single" w:sz="6" w:space="0" w:color="auto"/>
              <w:left w:val="single" w:sz="6" w:space="0" w:color="auto"/>
              <w:bottom w:val="single" w:sz="6" w:space="0" w:color="auto"/>
              <w:right w:val="single" w:sz="6" w:space="0" w:color="auto"/>
            </w:tcBorders>
            <w:hideMark/>
          </w:tcPr>
          <w:p w14:paraId="20EEA264"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 </w:t>
            </w:r>
            <w:r w:rsidRPr="0057502F">
              <w:rPr>
                <w:rFonts w:eastAsia="Times New Roman"/>
                <w:noProof/>
                <w:szCs w:val="24"/>
                <w:lang w:val="en-IE" w:eastAsia="en-IE"/>
              </w:rPr>
              <w:t> </w:t>
            </w:r>
          </w:p>
          <w:p w14:paraId="7DD8A453"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val="en-IE" w:eastAsia="en-IE"/>
              </w:rPr>
              <w:t> </w:t>
            </w:r>
          </w:p>
          <w:p w14:paraId="7B2507B9"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val="en-IE" w:eastAsia="en-IE"/>
              </w:rPr>
              <w:t> </w:t>
            </w:r>
          </w:p>
          <w:p w14:paraId="56A642E9"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N/A</w:t>
            </w:r>
            <w:r w:rsidRPr="0057502F">
              <w:rPr>
                <w:rFonts w:eastAsia="Times New Roman"/>
                <w:noProof/>
                <w:szCs w:val="24"/>
                <w:lang w:val="en-IE" w:eastAsia="en-IE"/>
              </w:rPr>
              <w:t> </w:t>
            </w:r>
          </w:p>
        </w:tc>
        <w:tc>
          <w:tcPr>
            <w:tcW w:w="1269" w:type="dxa"/>
            <w:tcBorders>
              <w:top w:val="single" w:sz="6" w:space="0" w:color="auto"/>
              <w:left w:val="single" w:sz="6" w:space="0" w:color="auto"/>
              <w:bottom w:val="single" w:sz="6" w:space="0" w:color="auto"/>
              <w:right w:val="single" w:sz="6" w:space="0" w:color="auto"/>
            </w:tcBorders>
            <w:hideMark/>
          </w:tcPr>
          <w:p w14:paraId="4361C47A"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 </w:t>
            </w:r>
            <w:r w:rsidRPr="0057502F">
              <w:rPr>
                <w:rFonts w:eastAsia="Times New Roman"/>
                <w:noProof/>
                <w:szCs w:val="24"/>
                <w:lang w:val="en-IE" w:eastAsia="en-IE"/>
              </w:rPr>
              <w:t> </w:t>
            </w:r>
          </w:p>
          <w:p w14:paraId="18BB6260"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val="en-IE" w:eastAsia="en-IE"/>
              </w:rPr>
              <w:t> </w:t>
            </w:r>
          </w:p>
          <w:p w14:paraId="67B9BF7C"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val="en-IE" w:eastAsia="en-IE"/>
              </w:rPr>
              <w:t> </w:t>
            </w:r>
          </w:p>
          <w:p w14:paraId="5BF3E43E"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N/A</w:t>
            </w:r>
            <w:r w:rsidRPr="0057502F">
              <w:rPr>
                <w:rFonts w:eastAsia="Times New Roman"/>
                <w:noProof/>
                <w:szCs w:val="24"/>
                <w:lang w:val="en-IE" w:eastAsia="en-IE"/>
              </w:rPr>
              <w:t> </w:t>
            </w:r>
          </w:p>
        </w:tc>
      </w:tr>
      <w:tr w:rsidR="007476E9" w:rsidRPr="0057502F" w14:paraId="7BDDD5AF" w14:textId="77777777" w:rsidTr="00EE499D">
        <w:trPr>
          <w:trHeight w:val="285"/>
        </w:trPr>
        <w:tc>
          <w:tcPr>
            <w:tcW w:w="4755" w:type="dxa"/>
            <w:tcBorders>
              <w:top w:val="single" w:sz="6" w:space="0" w:color="auto"/>
              <w:left w:val="single" w:sz="6" w:space="0" w:color="auto"/>
              <w:bottom w:val="single" w:sz="6" w:space="0" w:color="auto"/>
              <w:right w:val="single" w:sz="6" w:space="0" w:color="auto"/>
            </w:tcBorders>
            <w:hideMark/>
          </w:tcPr>
          <w:p w14:paraId="1AF94652"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val="en-IE" w:eastAsia="en-IE"/>
              </w:rPr>
              <w:t> </w:t>
            </w:r>
          </w:p>
          <w:p w14:paraId="680B6EB6"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ENISA shall </w:t>
            </w:r>
            <w:r w:rsidRPr="0057502F">
              <w:rPr>
                <w:rFonts w:eastAsia="Times New Roman"/>
                <w:b/>
                <w:bCs/>
                <w:noProof/>
                <w:szCs w:val="24"/>
                <w:lang w:eastAsia="en-IE"/>
              </w:rPr>
              <w:t>maintain a repository of lessons learned.</w:t>
            </w:r>
            <w:r w:rsidRPr="0057502F">
              <w:rPr>
                <w:rFonts w:eastAsia="Times New Roman"/>
                <w:noProof/>
                <w:szCs w:val="24"/>
                <w:lang w:val="en-IE" w:eastAsia="en-IE"/>
              </w:rPr>
              <w:t> </w:t>
            </w:r>
          </w:p>
          <w:p w14:paraId="19A31B6E"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val="en-IE" w:eastAsia="en-IE"/>
              </w:rPr>
              <w:t> </w:t>
            </w:r>
          </w:p>
        </w:tc>
        <w:tc>
          <w:tcPr>
            <w:tcW w:w="1668" w:type="dxa"/>
            <w:tcBorders>
              <w:top w:val="single" w:sz="6" w:space="0" w:color="auto"/>
              <w:left w:val="single" w:sz="6" w:space="0" w:color="auto"/>
              <w:bottom w:val="single" w:sz="6" w:space="0" w:color="auto"/>
              <w:right w:val="single" w:sz="6" w:space="0" w:color="auto"/>
            </w:tcBorders>
            <w:hideMark/>
          </w:tcPr>
          <w:p w14:paraId="2160003D"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val="en-IE" w:eastAsia="en-IE"/>
              </w:rPr>
              <w:t> </w:t>
            </w:r>
          </w:p>
          <w:p w14:paraId="7AF5DD41"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val="en-IE" w:eastAsia="en-IE"/>
              </w:rPr>
              <w:t> </w:t>
            </w:r>
          </w:p>
          <w:p w14:paraId="4535F030"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Article 14(2)</w:t>
            </w:r>
            <w:r w:rsidRPr="0057502F">
              <w:rPr>
                <w:rFonts w:eastAsia="Times New Roman"/>
                <w:noProof/>
                <w:szCs w:val="24"/>
                <w:lang w:val="en-IE" w:eastAsia="en-IE"/>
              </w:rPr>
              <w:t> </w:t>
            </w:r>
          </w:p>
        </w:tc>
        <w:tc>
          <w:tcPr>
            <w:tcW w:w="2622" w:type="dxa"/>
            <w:tcBorders>
              <w:top w:val="single" w:sz="6" w:space="0" w:color="auto"/>
              <w:left w:val="single" w:sz="6" w:space="0" w:color="auto"/>
              <w:bottom w:val="single" w:sz="6" w:space="0" w:color="auto"/>
              <w:right w:val="single" w:sz="6" w:space="0" w:color="auto"/>
            </w:tcBorders>
            <w:hideMark/>
          </w:tcPr>
          <w:p w14:paraId="414C38BB"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 </w:t>
            </w:r>
            <w:r w:rsidRPr="0057502F">
              <w:rPr>
                <w:rFonts w:eastAsia="Times New Roman"/>
                <w:noProof/>
                <w:szCs w:val="24"/>
                <w:lang w:val="en-IE" w:eastAsia="en-IE"/>
              </w:rPr>
              <w:t> </w:t>
            </w:r>
          </w:p>
          <w:p w14:paraId="242928DD"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ENISA shall maintain a repository of lessons learned from exercises and recommend to Member States and, where relevant, to Union entities how the lessons learned may be implemented effectively and efficiently.  </w:t>
            </w:r>
            <w:r w:rsidRPr="0057502F">
              <w:rPr>
                <w:rFonts w:eastAsia="Times New Roman"/>
                <w:noProof/>
                <w:szCs w:val="24"/>
                <w:lang w:val="en-IE" w:eastAsia="en-IE"/>
              </w:rPr>
              <w:t> </w:t>
            </w:r>
          </w:p>
        </w:tc>
        <w:tc>
          <w:tcPr>
            <w:tcW w:w="1669" w:type="dxa"/>
            <w:tcBorders>
              <w:top w:val="single" w:sz="6" w:space="0" w:color="auto"/>
              <w:left w:val="single" w:sz="6" w:space="0" w:color="auto"/>
              <w:bottom w:val="single" w:sz="6" w:space="0" w:color="auto"/>
              <w:right w:val="single" w:sz="6" w:space="0" w:color="auto"/>
            </w:tcBorders>
            <w:hideMark/>
          </w:tcPr>
          <w:p w14:paraId="5A117256"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 </w:t>
            </w:r>
            <w:r w:rsidRPr="0057502F">
              <w:rPr>
                <w:rFonts w:eastAsia="Times New Roman"/>
                <w:noProof/>
                <w:szCs w:val="24"/>
                <w:lang w:val="en-IE" w:eastAsia="en-IE"/>
              </w:rPr>
              <w:t> </w:t>
            </w:r>
          </w:p>
          <w:p w14:paraId="6A5C3517"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val="en-IE" w:eastAsia="en-IE"/>
              </w:rPr>
              <w:t> </w:t>
            </w:r>
          </w:p>
          <w:p w14:paraId="6E6DAA1D"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ENISA</w:t>
            </w:r>
            <w:r w:rsidRPr="0057502F">
              <w:rPr>
                <w:rFonts w:eastAsia="Times New Roman"/>
                <w:noProof/>
                <w:szCs w:val="24"/>
                <w:lang w:val="en-IE" w:eastAsia="en-IE"/>
              </w:rPr>
              <w:t> </w:t>
            </w:r>
          </w:p>
        </w:tc>
        <w:tc>
          <w:tcPr>
            <w:tcW w:w="1242" w:type="dxa"/>
            <w:tcBorders>
              <w:top w:val="single" w:sz="6" w:space="0" w:color="auto"/>
              <w:left w:val="single" w:sz="6" w:space="0" w:color="auto"/>
              <w:bottom w:val="single" w:sz="6" w:space="0" w:color="auto"/>
              <w:right w:val="single" w:sz="6" w:space="0" w:color="auto"/>
            </w:tcBorders>
            <w:hideMark/>
          </w:tcPr>
          <w:p w14:paraId="002416EC"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 </w:t>
            </w:r>
            <w:r w:rsidRPr="0057502F">
              <w:rPr>
                <w:rFonts w:eastAsia="Times New Roman"/>
                <w:noProof/>
                <w:szCs w:val="24"/>
                <w:lang w:val="en-IE" w:eastAsia="en-IE"/>
              </w:rPr>
              <w:t> </w:t>
            </w:r>
          </w:p>
          <w:p w14:paraId="038FFCEE"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val="en-IE" w:eastAsia="en-IE"/>
              </w:rPr>
              <w:t> </w:t>
            </w:r>
          </w:p>
          <w:p w14:paraId="45E6FBD9"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N/A</w:t>
            </w:r>
            <w:r w:rsidRPr="0057502F">
              <w:rPr>
                <w:rFonts w:eastAsia="Times New Roman"/>
                <w:noProof/>
                <w:szCs w:val="24"/>
                <w:lang w:val="en-IE" w:eastAsia="en-IE"/>
              </w:rPr>
              <w:t> </w:t>
            </w:r>
          </w:p>
        </w:tc>
        <w:tc>
          <w:tcPr>
            <w:tcW w:w="1362" w:type="dxa"/>
            <w:tcBorders>
              <w:top w:val="single" w:sz="6" w:space="0" w:color="auto"/>
              <w:left w:val="single" w:sz="6" w:space="0" w:color="auto"/>
              <w:bottom w:val="single" w:sz="6" w:space="0" w:color="auto"/>
              <w:right w:val="single" w:sz="6" w:space="0" w:color="auto"/>
            </w:tcBorders>
            <w:hideMark/>
          </w:tcPr>
          <w:p w14:paraId="49587D53"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 </w:t>
            </w:r>
            <w:r w:rsidRPr="0057502F">
              <w:rPr>
                <w:rFonts w:eastAsia="Times New Roman"/>
                <w:noProof/>
                <w:szCs w:val="24"/>
                <w:lang w:val="en-IE" w:eastAsia="en-IE"/>
              </w:rPr>
              <w:t> </w:t>
            </w:r>
          </w:p>
          <w:p w14:paraId="62CCA368"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val="en-IE" w:eastAsia="en-IE"/>
              </w:rPr>
              <w:t> </w:t>
            </w:r>
          </w:p>
          <w:p w14:paraId="5FA5A6D8"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N/A</w:t>
            </w:r>
            <w:r w:rsidRPr="0057502F">
              <w:rPr>
                <w:rFonts w:eastAsia="Times New Roman"/>
                <w:noProof/>
                <w:szCs w:val="24"/>
                <w:lang w:val="en-IE" w:eastAsia="en-IE"/>
              </w:rPr>
              <w:t> </w:t>
            </w:r>
          </w:p>
        </w:tc>
        <w:tc>
          <w:tcPr>
            <w:tcW w:w="1269" w:type="dxa"/>
            <w:tcBorders>
              <w:top w:val="single" w:sz="6" w:space="0" w:color="auto"/>
              <w:left w:val="single" w:sz="6" w:space="0" w:color="auto"/>
              <w:bottom w:val="single" w:sz="6" w:space="0" w:color="auto"/>
              <w:right w:val="single" w:sz="6" w:space="0" w:color="auto"/>
            </w:tcBorders>
            <w:hideMark/>
          </w:tcPr>
          <w:p w14:paraId="70FE930B"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 </w:t>
            </w:r>
            <w:r w:rsidRPr="0057502F">
              <w:rPr>
                <w:rFonts w:eastAsia="Times New Roman"/>
                <w:noProof/>
                <w:szCs w:val="24"/>
                <w:lang w:val="en-IE" w:eastAsia="en-IE"/>
              </w:rPr>
              <w:t> </w:t>
            </w:r>
          </w:p>
          <w:p w14:paraId="715C0062"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val="en-IE" w:eastAsia="en-IE"/>
              </w:rPr>
              <w:t> </w:t>
            </w:r>
          </w:p>
          <w:p w14:paraId="7187A550"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N/A</w:t>
            </w:r>
            <w:r w:rsidRPr="0057502F">
              <w:rPr>
                <w:rFonts w:eastAsia="Times New Roman"/>
                <w:noProof/>
                <w:szCs w:val="24"/>
                <w:lang w:val="en-IE" w:eastAsia="en-IE"/>
              </w:rPr>
              <w:t> </w:t>
            </w:r>
          </w:p>
        </w:tc>
      </w:tr>
      <w:tr w:rsidR="007476E9" w:rsidRPr="0057502F" w14:paraId="34676BA3" w14:textId="77777777" w:rsidTr="00EE499D">
        <w:trPr>
          <w:trHeight w:val="3000"/>
        </w:trPr>
        <w:tc>
          <w:tcPr>
            <w:tcW w:w="4755" w:type="dxa"/>
            <w:tcBorders>
              <w:top w:val="single" w:sz="6" w:space="0" w:color="auto"/>
              <w:left w:val="single" w:sz="6" w:space="0" w:color="auto"/>
              <w:bottom w:val="single" w:sz="6" w:space="0" w:color="auto"/>
              <w:right w:val="single" w:sz="6" w:space="0" w:color="auto"/>
            </w:tcBorders>
            <w:hideMark/>
          </w:tcPr>
          <w:p w14:paraId="085BA2DF"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ENISA shall establish, provide, operate, maintain and update as necessary, operational technical tools, such as </w:t>
            </w:r>
            <w:r w:rsidRPr="0057502F">
              <w:rPr>
                <w:rFonts w:eastAsia="Times New Roman"/>
                <w:b/>
                <w:bCs/>
                <w:noProof/>
                <w:szCs w:val="24"/>
                <w:lang w:eastAsia="en-IE"/>
              </w:rPr>
              <w:t>platforms </w:t>
            </w:r>
            <w:r w:rsidRPr="0057502F">
              <w:rPr>
                <w:rFonts w:eastAsia="Times New Roman"/>
                <w:noProof/>
                <w:szCs w:val="24"/>
                <w:lang w:eastAsia="en-IE"/>
              </w:rPr>
              <w:t xml:space="preserve">related to cybersecurity at Union level, in particular the single reporting platform established pursuant to Article 16(1) of Regulation (EU) 2024/2847 [and the single-entry point </w:t>
            </w:r>
            <w:r>
              <w:rPr>
                <w:rFonts w:eastAsia="Times New Roman"/>
                <w:noProof/>
                <w:szCs w:val="24"/>
                <w:lang w:eastAsia="en-IE"/>
              </w:rPr>
              <w:t xml:space="preserve">for incident reporting </w:t>
            </w:r>
            <w:r w:rsidRPr="0057502F">
              <w:rPr>
                <w:rFonts w:eastAsia="Times New Roman"/>
                <w:noProof/>
                <w:szCs w:val="24"/>
                <w:lang w:eastAsia="en-IE"/>
              </w:rPr>
              <w:t xml:space="preserve">established pursuant to Article 23a of Directive (EU) 2022/2555], or testing tools to support the implementation of conformity assessment procedures in </w:t>
            </w:r>
            <w:r>
              <w:rPr>
                <w:rFonts w:eastAsia="Times New Roman"/>
                <w:noProof/>
                <w:szCs w:val="24"/>
                <w:lang w:eastAsia="en-IE"/>
              </w:rPr>
              <w:t>accordance with</w:t>
            </w:r>
            <w:r w:rsidRPr="0057502F">
              <w:rPr>
                <w:rFonts w:eastAsia="Times New Roman"/>
                <w:noProof/>
                <w:szCs w:val="24"/>
                <w:lang w:eastAsia="en-IE"/>
              </w:rPr>
              <w:t xml:space="preserve"> relevant Union legislation. </w:t>
            </w:r>
            <w:r w:rsidRPr="0057502F">
              <w:rPr>
                <w:rFonts w:eastAsia="Times New Roman"/>
                <w:noProof/>
                <w:szCs w:val="24"/>
                <w:lang w:val="en-IE" w:eastAsia="en-IE"/>
              </w:rPr>
              <w:t> </w:t>
            </w:r>
          </w:p>
        </w:tc>
        <w:tc>
          <w:tcPr>
            <w:tcW w:w="1668" w:type="dxa"/>
            <w:tcBorders>
              <w:top w:val="single" w:sz="6" w:space="0" w:color="auto"/>
              <w:left w:val="single" w:sz="6" w:space="0" w:color="auto"/>
              <w:bottom w:val="single" w:sz="6" w:space="0" w:color="auto"/>
              <w:right w:val="single" w:sz="6" w:space="0" w:color="auto"/>
            </w:tcBorders>
            <w:hideMark/>
          </w:tcPr>
          <w:p w14:paraId="3E840813"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val="en-IE" w:eastAsia="en-IE"/>
              </w:rPr>
              <w:t> </w:t>
            </w:r>
          </w:p>
          <w:p w14:paraId="6A368A2E"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val="en-IE" w:eastAsia="en-IE"/>
              </w:rPr>
              <w:t> </w:t>
            </w:r>
          </w:p>
          <w:p w14:paraId="495FF947"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val="en-IE" w:eastAsia="en-IE"/>
              </w:rPr>
              <w:t> </w:t>
            </w:r>
          </w:p>
          <w:p w14:paraId="01EAE839"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Article 15 </w:t>
            </w:r>
            <w:r w:rsidRPr="0057502F">
              <w:rPr>
                <w:rFonts w:eastAsia="Times New Roman"/>
                <w:noProof/>
                <w:szCs w:val="24"/>
                <w:lang w:val="en-IE" w:eastAsia="en-IE"/>
              </w:rPr>
              <w:t> </w:t>
            </w:r>
          </w:p>
          <w:p w14:paraId="2BDB7480"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 </w:t>
            </w:r>
            <w:r w:rsidRPr="0057502F">
              <w:rPr>
                <w:rFonts w:eastAsia="Times New Roman"/>
                <w:noProof/>
                <w:szCs w:val="24"/>
                <w:lang w:val="en-IE" w:eastAsia="en-IE"/>
              </w:rPr>
              <w:t> </w:t>
            </w:r>
          </w:p>
          <w:p w14:paraId="1D112946"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val="en-IE" w:eastAsia="en-IE"/>
              </w:rPr>
              <w:t> </w:t>
            </w:r>
          </w:p>
        </w:tc>
        <w:tc>
          <w:tcPr>
            <w:tcW w:w="2622" w:type="dxa"/>
            <w:tcBorders>
              <w:top w:val="single" w:sz="6" w:space="0" w:color="auto"/>
              <w:left w:val="single" w:sz="6" w:space="0" w:color="auto"/>
              <w:bottom w:val="single" w:sz="6" w:space="0" w:color="auto"/>
              <w:right w:val="single" w:sz="6" w:space="0" w:color="auto"/>
            </w:tcBorders>
            <w:hideMark/>
          </w:tcPr>
          <w:p w14:paraId="36691395"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 </w:t>
            </w:r>
            <w:r w:rsidRPr="0057502F">
              <w:rPr>
                <w:rFonts w:eastAsia="Times New Roman"/>
                <w:noProof/>
                <w:szCs w:val="24"/>
                <w:lang w:val="en-IE" w:eastAsia="en-IE"/>
              </w:rPr>
              <w:t> </w:t>
            </w:r>
          </w:p>
          <w:p w14:paraId="78211AF6"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Single Reporting Platform</w:t>
            </w:r>
            <w:r w:rsidRPr="0057502F">
              <w:rPr>
                <w:rFonts w:eastAsia="Times New Roman"/>
                <w:noProof/>
                <w:szCs w:val="24"/>
                <w:lang w:val="en-IE" w:eastAsia="en-IE"/>
              </w:rPr>
              <w:t> </w:t>
            </w:r>
          </w:p>
          <w:p w14:paraId="2914356C"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val="en-IE" w:eastAsia="en-IE"/>
              </w:rPr>
              <w:t> </w:t>
            </w:r>
          </w:p>
          <w:p w14:paraId="07523300"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Article 16(1) of Regulation (EU) 2024/2847</w:t>
            </w:r>
            <w:r w:rsidRPr="0057502F">
              <w:rPr>
                <w:rFonts w:eastAsia="Times New Roman"/>
                <w:noProof/>
                <w:szCs w:val="24"/>
                <w:lang w:val="en-IE" w:eastAsia="en-IE"/>
              </w:rPr>
              <w:t> </w:t>
            </w:r>
          </w:p>
          <w:p w14:paraId="777B3467"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val="en-IE" w:eastAsia="en-IE"/>
              </w:rPr>
              <w:t> </w:t>
            </w:r>
          </w:p>
          <w:p w14:paraId="4C965678"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[single-entry point </w:t>
            </w:r>
            <w:r w:rsidRPr="0057502F">
              <w:rPr>
                <w:rFonts w:eastAsia="Times New Roman"/>
                <w:noProof/>
                <w:szCs w:val="24"/>
                <w:lang w:val="en-IE" w:eastAsia="en-IE"/>
              </w:rPr>
              <w:t> </w:t>
            </w:r>
          </w:p>
          <w:p w14:paraId="3E800798"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val="en-IE" w:eastAsia="en-IE"/>
              </w:rPr>
              <w:t> </w:t>
            </w:r>
          </w:p>
          <w:p w14:paraId="50B02F6E"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Article 23a of Directive (EU) 2022/2555]</w:t>
            </w:r>
            <w:r w:rsidRPr="0057502F">
              <w:rPr>
                <w:rFonts w:eastAsia="Times New Roman"/>
                <w:noProof/>
                <w:szCs w:val="24"/>
                <w:lang w:val="en-IE" w:eastAsia="en-IE"/>
              </w:rPr>
              <w:t> </w:t>
            </w:r>
          </w:p>
        </w:tc>
        <w:tc>
          <w:tcPr>
            <w:tcW w:w="1669" w:type="dxa"/>
            <w:tcBorders>
              <w:top w:val="single" w:sz="6" w:space="0" w:color="auto"/>
              <w:left w:val="single" w:sz="6" w:space="0" w:color="auto"/>
              <w:bottom w:val="single" w:sz="6" w:space="0" w:color="auto"/>
              <w:right w:val="single" w:sz="6" w:space="0" w:color="auto"/>
            </w:tcBorders>
            <w:hideMark/>
          </w:tcPr>
          <w:p w14:paraId="1218674E"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 </w:t>
            </w:r>
            <w:r w:rsidRPr="0057502F">
              <w:rPr>
                <w:rFonts w:eastAsia="Times New Roman"/>
                <w:noProof/>
                <w:szCs w:val="24"/>
                <w:lang w:val="en-IE" w:eastAsia="en-IE"/>
              </w:rPr>
              <w:t> </w:t>
            </w:r>
          </w:p>
          <w:p w14:paraId="4D3FD4BB"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ENISA</w:t>
            </w:r>
            <w:r w:rsidRPr="0057502F">
              <w:rPr>
                <w:rFonts w:eastAsia="Times New Roman"/>
                <w:noProof/>
                <w:szCs w:val="24"/>
                <w:lang w:val="en-IE" w:eastAsia="en-IE"/>
              </w:rPr>
              <w:t> </w:t>
            </w:r>
          </w:p>
        </w:tc>
        <w:tc>
          <w:tcPr>
            <w:tcW w:w="1242" w:type="dxa"/>
            <w:tcBorders>
              <w:top w:val="single" w:sz="6" w:space="0" w:color="auto"/>
              <w:left w:val="single" w:sz="6" w:space="0" w:color="auto"/>
              <w:bottom w:val="single" w:sz="6" w:space="0" w:color="auto"/>
              <w:right w:val="single" w:sz="6" w:space="0" w:color="auto"/>
            </w:tcBorders>
            <w:hideMark/>
          </w:tcPr>
          <w:p w14:paraId="24D0E905"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 </w:t>
            </w:r>
            <w:r w:rsidRPr="0057502F">
              <w:rPr>
                <w:rFonts w:eastAsia="Times New Roman"/>
                <w:noProof/>
                <w:szCs w:val="24"/>
                <w:lang w:val="en-IE" w:eastAsia="en-IE"/>
              </w:rPr>
              <w:t> </w:t>
            </w:r>
          </w:p>
          <w:p w14:paraId="7D882B8C"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N/A</w:t>
            </w:r>
            <w:r w:rsidRPr="0057502F">
              <w:rPr>
                <w:rFonts w:eastAsia="Times New Roman"/>
                <w:noProof/>
                <w:szCs w:val="24"/>
                <w:lang w:val="en-IE" w:eastAsia="en-IE"/>
              </w:rPr>
              <w:t> </w:t>
            </w:r>
          </w:p>
        </w:tc>
        <w:tc>
          <w:tcPr>
            <w:tcW w:w="1362" w:type="dxa"/>
            <w:tcBorders>
              <w:top w:val="single" w:sz="6" w:space="0" w:color="auto"/>
              <w:left w:val="single" w:sz="6" w:space="0" w:color="auto"/>
              <w:bottom w:val="single" w:sz="6" w:space="0" w:color="auto"/>
              <w:right w:val="single" w:sz="6" w:space="0" w:color="auto"/>
            </w:tcBorders>
            <w:hideMark/>
          </w:tcPr>
          <w:p w14:paraId="6BFB85AE"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 </w:t>
            </w:r>
            <w:r w:rsidRPr="0057502F">
              <w:rPr>
                <w:rFonts w:eastAsia="Times New Roman"/>
                <w:noProof/>
                <w:szCs w:val="24"/>
                <w:lang w:val="en-IE" w:eastAsia="en-IE"/>
              </w:rPr>
              <w:t> </w:t>
            </w:r>
          </w:p>
          <w:p w14:paraId="2B444CBD"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N/A</w:t>
            </w:r>
            <w:r w:rsidRPr="0057502F">
              <w:rPr>
                <w:rFonts w:eastAsia="Times New Roman"/>
                <w:noProof/>
                <w:szCs w:val="24"/>
                <w:lang w:val="en-IE" w:eastAsia="en-IE"/>
              </w:rPr>
              <w:t> </w:t>
            </w:r>
          </w:p>
        </w:tc>
        <w:tc>
          <w:tcPr>
            <w:tcW w:w="1269" w:type="dxa"/>
            <w:tcBorders>
              <w:top w:val="single" w:sz="6" w:space="0" w:color="auto"/>
              <w:left w:val="single" w:sz="6" w:space="0" w:color="auto"/>
              <w:bottom w:val="single" w:sz="6" w:space="0" w:color="auto"/>
              <w:right w:val="single" w:sz="6" w:space="0" w:color="auto"/>
            </w:tcBorders>
            <w:hideMark/>
          </w:tcPr>
          <w:p w14:paraId="7640B11E"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 </w:t>
            </w:r>
            <w:r w:rsidRPr="0057502F">
              <w:rPr>
                <w:rFonts w:eastAsia="Times New Roman"/>
                <w:noProof/>
                <w:szCs w:val="24"/>
                <w:lang w:val="en-IE" w:eastAsia="en-IE"/>
              </w:rPr>
              <w:t> </w:t>
            </w:r>
          </w:p>
          <w:p w14:paraId="2AD7D086"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N/A</w:t>
            </w:r>
            <w:r w:rsidRPr="0057502F">
              <w:rPr>
                <w:rFonts w:eastAsia="Times New Roman"/>
                <w:noProof/>
                <w:szCs w:val="24"/>
                <w:lang w:val="en-IE" w:eastAsia="en-IE"/>
              </w:rPr>
              <w:t> </w:t>
            </w:r>
          </w:p>
        </w:tc>
      </w:tr>
      <w:tr w:rsidR="007476E9" w:rsidRPr="0057502F" w14:paraId="2ED75ACC" w14:textId="77777777" w:rsidTr="00EE499D">
        <w:trPr>
          <w:trHeight w:val="285"/>
        </w:trPr>
        <w:tc>
          <w:tcPr>
            <w:tcW w:w="4755" w:type="dxa"/>
            <w:tcBorders>
              <w:top w:val="single" w:sz="6" w:space="0" w:color="auto"/>
              <w:left w:val="single" w:sz="6" w:space="0" w:color="auto"/>
              <w:bottom w:val="single" w:sz="6" w:space="0" w:color="auto"/>
              <w:right w:val="single" w:sz="6" w:space="0" w:color="auto"/>
            </w:tcBorders>
            <w:hideMark/>
          </w:tcPr>
          <w:p w14:paraId="7E992693"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Maintain the European </w:t>
            </w:r>
            <w:r>
              <w:rPr>
                <w:rFonts w:eastAsia="Times New Roman"/>
                <w:noProof/>
                <w:szCs w:val="24"/>
                <w:lang w:eastAsia="en-IE"/>
              </w:rPr>
              <w:t>v</w:t>
            </w:r>
            <w:r w:rsidRPr="0057502F">
              <w:rPr>
                <w:rFonts w:eastAsia="Times New Roman"/>
                <w:noProof/>
                <w:szCs w:val="24"/>
                <w:lang w:eastAsia="en-IE"/>
              </w:rPr>
              <w:t>ulnerability </w:t>
            </w:r>
            <w:r>
              <w:rPr>
                <w:rFonts w:eastAsia="Times New Roman"/>
                <w:noProof/>
                <w:szCs w:val="24"/>
                <w:lang w:eastAsia="en-IE"/>
              </w:rPr>
              <w:t>d</w:t>
            </w:r>
            <w:r w:rsidRPr="0057502F">
              <w:rPr>
                <w:rFonts w:eastAsia="Times New Roman"/>
                <w:noProof/>
                <w:szCs w:val="24"/>
                <w:lang w:eastAsia="en-IE"/>
              </w:rPr>
              <w:t>atabase established pursuant to Article 12(2) of Directive (EU) 2022/2555 and</w:t>
            </w:r>
            <w:r w:rsidRPr="0057502F">
              <w:rPr>
                <w:rFonts w:eastAsia="Times New Roman"/>
                <w:b/>
                <w:bCs/>
                <w:noProof/>
                <w:szCs w:val="24"/>
                <w:lang w:eastAsia="en-IE"/>
              </w:rPr>
              <w:t> provide vulnerability management services</w:t>
            </w:r>
            <w:r w:rsidRPr="0057502F">
              <w:rPr>
                <w:rFonts w:eastAsia="Times New Roman"/>
                <w:noProof/>
                <w:szCs w:val="24"/>
                <w:lang w:val="en-IE" w:eastAsia="en-IE"/>
              </w:rPr>
              <w:t> </w:t>
            </w:r>
          </w:p>
        </w:tc>
        <w:tc>
          <w:tcPr>
            <w:tcW w:w="1668" w:type="dxa"/>
            <w:tcBorders>
              <w:top w:val="single" w:sz="6" w:space="0" w:color="auto"/>
              <w:left w:val="single" w:sz="6" w:space="0" w:color="auto"/>
              <w:bottom w:val="single" w:sz="6" w:space="0" w:color="auto"/>
              <w:right w:val="single" w:sz="6" w:space="0" w:color="auto"/>
            </w:tcBorders>
            <w:hideMark/>
          </w:tcPr>
          <w:p w14:paraId="5469D7DA"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val="en-IE" w:eastAsia="en-IE"/>
              </w:rPr>
              <w:t> </w:t>
            </w:r>
          </w:p>
          <w:p w14:paraId="7B8AA92C"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val="en-IE" w:eastAsia="en-IE"/>
              </w:rPr>
              <w:t> </w:t>
            </w:r>
          </w:p>
          <w:p w14:paraId="1188FB2B"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Article 16(2)</w:t>
            </w:r>
            <w:r w:rsidRPr="0057502F">
              <w:rPr>
                <w:rFonts w:eastAsia="Times New Roman"/>
                <w:noProof/>
                <w:szCs w:val="24"/>
                <w:lang w:val="en-IE" w:eastAsia="en-IE"/>
              </w:rPr>
              <w:t> </w:t>
            </w:r>
          </w:p>
          <w:p w14:paraId="4F184F9A"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 </w:t>
            </w:r>
            <w:r w:rsidRPr="0057502F">
              <w:rPr>
                <w:rFonts w:eastAsia="Times New Roman"/>
                <w:noProof/>
                <w:szCs w:val="24"/>
                <w:lang w:val="en-IE" w:eastAsia="en-IE"/>
              </w:rPr>
              <w:t> </w:t>
            </w:r>
          </w:p>
          <w:p w14:paraId="72B29C83"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 </w:t>
            </w:r>
            <w:r w:rsidRPr="0057502F">
              <w:rPr>
                <w:rFonts w:eastAsia="Times New Roman"/>
                <w:noProof/>
                <w:szCs w:val="24"/>
                <w:lang w:val="en-IE" w:eastAsia="en-IE"/>
              </w:rPr>
              <w:t> </w:t>
            </w:r>
          </w:p>
        </w:tc>
        <w:tc>
          <w:tcPr>
            <w:tcW w:w="2622" w:type="dxa"/>
            <w:tcBorders>
              <w:top w:val="single" w:sz="6" w:space="0" w:color="auto"/>
              <w:left w:val="single" w:sz="6" w:space="0" w:color="auto"/>
              <w:bottom w:val="single" w:sz="6" w:space="0" w:color="auto"/>
              <w:right w:val="single" w:sz="6" w:space="0" w:color="auto"/>
            </w:tcBorders>
            <w:hideMark/>
          </w:tcPr>
          <w:p w14:paraId="492B3810"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Article 12(2) of Directive (EU) 2022/2555</w:t>
            </w:r>
            <w:r w:rsidRPr="0057502F">
              <w:rPr>
                <w:rFonts w:eastAsia="Times New Roman"/>
                <w:noProof/>
                <w:szCs w:val="24"/>
                <w:lang w:val="en-IE" w:eastAsia="en-IE"/>
              </w:rPr>
              <w:t> </w:t>
            </w:r>
          </w:p>
          <w:p w14:paraId="1A129C00"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val="en-IE" w:eastAsia="en-IE"/>
              </w:rPr>
              <w:t> </w:t>
            </w:r>
          </w:p>
          <w:p w14:paraId="56F76BD6"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 xml:space="preserve">Maintain the </w:t>
            </w:r>
            <w:r>
              <w:rPr>
                <w:rFonts w:eastAsia="Times New Roman"/>
                <w:noProof/>
                <w:szCs w:val="24"/>
                <w:lang w:eastAsia="en-IE"/>
              </w:rPr>
              <w:t>d</w:t>
            </w:r>
            <w:r w:rsidRPr="0057502F">
              <w:rPr>
                <w:rFonts w:eastAsia="Times New Roman"/>
                <w:noProof/>
                <w:szCs w:val="24"/>
                <w:lang w:eastAsia="en-IE"/>
              </w:rPr>
              <w:t>atabase and provide vulnerability management services</w:t>
            </w:r>
            <w:r w:rsidRPr="0057502F">
              <w:rPr>
                <w:rFonts w:eastAsia="Times New Roman"/>
                <w:noProof/>
                <w:szCs w:val="24"/>
                <w:lang w:val="en-IE" w:eastAsia="en-IE"/>
              </w:rPr>
              <w:t> </w:t>
            </w:r>
          </w:p>
        </w:tc>
        <w:tc>
          <w:tcPr>
            <w:tcW w:w="1669" w:type="dxa"/>
            <w:tcBorders>
              <w:top w:val="single" w:sz="6" w:space="0" w:color="auto"/>
              <w:left w:val="single" w:sz="6" w:space="0" w:color="auto"/>
              <w:bottom w:val="single" w:sz="6" w:space="0" w:color="auto"/>
              <w:right w:val="single" w:sz="6" w:space="0" w:color="auto"/>
            </w:tcBorders>
            <w:hideMark/>
          </w:tcPr>
          <w:p w14:paraId="6CF0E7A7"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 </w:t>
            </w:r>
            <w:r w:rsidRPr="0057502F">
              <w:rPr>
                <w:rFonts w:eastAsia="Times New Roman"/>
                <w:noProof/>
                <w:szCs w:val="24"/>
                <w:lang w:val="en-IE" w:eastAsia="en-IE"/>
              </w:rPr>
              <w:t> </w:t>
            </w:r>
          </w:p>
          <w:p w14:paraId="70F3D59F"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ENISA</w:t>
            </w:r>
            <w:r w:rsidRPr="0057502F">
              <w:rPr>
                <w:rFonts w:eastAsia="Times New Roman"/>
                <w:noProof/>
                <w:szCs w:val="24"/>
                <w:lang w:val="en-IE" w:eastAsia="en-IE"/>
              </w:rPr>
              <w:t> </w:t>
            </w:r>
          </w:p>
        </w:tc>
        <w:tc>
          <w:tcPr>
            <w:tcW w:w="1242" w:type="dxa"/>
            <w:tcBorders>
              <w:top w:val="single" w:sz="6" w:space="0" w:color="auto"/>
              <w:left w:val="single" w:sz="6" w:space="0" w:color="auto"/>
              <w:bottom w:val="single" w:sz="6" w:space="0" w:color="auto"/>
              <w:right w:val="single" w:sz="6" w:space="0" w:color="auto"/>
            </w:tcBorders>
            <w:hideMark/>
          </w:tcPr>
          <w:p w14:paraId="55571A97"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 </w:t>
            </w:r>
            <w:r w:rsidRPr="0057502F">
              <w:rPr>
                <w:rFonts w:eastAsia="Times New Roman"/>
                <w:noProof/>
                <w:szCs w:val="24"/>
                <w:lang w:val="en-IE" w:eastAsia="en-IE"/>
              </w:rPr>
              <w:t> </w:t>
            </w:r>
          </w:p>
          <w:p w14:paraId="09A3E701"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N/A</w:t>
            </w:r>
            <w:r w:rsidRPr="0057502F">
              <w:rPr>
                <w:rFonts w:eastAsia="Times New Roman"/>
                <w:noProof/>
                <w:szCs w:val="24"/>
                <w:lang w:val="en-IE" w:eastAsia="en-IE"/>
              </w:rPr>
              <w:t> </w:t>
            </w:r>
          </w:p>
        </w:tc>
        <w:tc>
          <w:tcPr>
            <w:tcW w:w="1362" w:type="dxa"/>
            <w:tcBorders>
              <w:top w:val="single" w:sz="6" w:space="0" w:color="auto"/>
              <w:left w:val="single" w:sz="6" w:space="0" w:color="auto"/>
              <w:bottom w:val="single" w:sz="6" w:space="0" w:color="auto"/>
              <w:right w:val="single" w:sz="6" w:space="0" w:color="auto"/>
            </w:tcBorders>
            <w:hideMark/>
          </w:tcPr>
          <w:p w14:paraId="6FE1C429"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 </w:t>
            </w:r>
            <w:r w:rsidRPr="0057502F">
              <w:rPr>
                <w:rFonts w:eastAsia="Times New Roman"/>
                <w:noProof/>
                <w:szCs w:val="24"/>
                <w:lang w:val="en-IE" w:eastAsia="en-IE"/>
              </w:rPr>
              <w:t> </w:t>
            </w:r>
          </w:p>
          <w:p w14:paraId="432F5EF1"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N/A</w:t>
            </w:r>
            <w:r w:rsidRPr="0057502F">
              <w:rPr>
                <w:rFonts w:eastAsia="Times New Roman"/>
                <w:noProof/>
                <w:szCs w:val="24"/>
                <w:lang w:val="en-IE" w:eastAsia="en-IE"/>
              </w:rPr>
              <w:t> </w:t>
            </w:r>
          </w:p>
        </w:tc>
        <w:tc>
          <w:tcPr>
            <w:tcW w:w="1269" w:type="dxa"/>
            <w:tcBorders>
              <w:top w:val="single" w:sz="6" w:space="0" w:color="auto"/>
              <w:left w:val="single" w:sz="6" w:space="0" w:color="auto"/>
              <w:bottom w:val="single" w:sz="6" w:space="0" w:color="auto"/>
              <w:right w:val="single" w:sz="6" w:space="0" w:color="auto"/>
            </w:tcBorders>
            <w:hideMark/>
          </w:tcPr>
          <w:p w14:paraId="0B5A1BBF"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 </w:t>
            </w:r>
            <w:r w:rsidRPr="0057502F">
              <w:rPr>
                <w:rFonts w:eastAsia="Times New Roman"/>
                <w:noProof/>
                <w:szCs w:val="24"/>
                <w:lang w:val="en-IE" w:eastAsia="en-IE"/>
              </w:rPr>
              <w:t> </w:t>
            </w:r>
          </w:p>
          <w:p w14:paraId="1AE719D9"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N/A</w:t>
            </w:r>
            <w:r w:rsidRPr="0057502F">
              <w:rPr>
                <w:rFonts w:eastAsia="Times New Roman"/>
                <w:noProof/>
                <w:szCs w:val="24"/>
                <w:lang w:val="en-IE" w:eastAsia="en-IE"/>
              </w:rPr>
              <w:t> </w:t>
            </w:r>
          </w:p>
        </w:tc>
      </w:tr>
      <w:tr w:rsidR="007476E9" w:rsidRPr="0057502F" w14:paraId="40756EED" w14:textId="77777777" w:rsidTr="00EE499D">
        <w:trPr>
          <w:trHeight w:val="285"/>
        </w:trPr>
        <w:tc>
          <w:tcPr>
            <w:tcW w:w="4755" w:type="dxa"/>
            <w:tcBorders>
              <w:top w:val="single" w:sz="6" w:space="0" w:color="auto"/>
              <w:left w:val="single" w:sz="6" w:space="0" w:color="auto"/>
              <w:bottom w:val="single" w:sz="6" w:space="0" w:color="auto"/>
              <w:right w:val="single" w:sz="6" w:space="0" w:color="auto"/>
            </w:tcBorders>
            <w:hideMark/>
          </w:tcPr>
          <w:p w14:paraId="16C30A18"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val="en-IE" w:eastAsia="en-IE"/>
              </w:rPr>
              <w:t> </w:t>
            </w:r>
          </w:p>
          <w:p w14:paraId="53670738"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ENISA shall maintain and regularly update a dedicated website providing public information</w:t>
            </w:r>
            <w:r w:rsidRPr="0057502F">
              <w:rPr>
                <w:rFonts w:eastAsia="Times New Roman"/>
                <w:noProof/>
                <w:szCs w:val="24"/>
                <w:lang w:val="en-IE" w:eastAsia="en-IE"/>
              </w:rPr>
              <w:t> </w:t>
            </w:r>
          </w:p>
          <w:p w14:paraId="328CDAA4"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val="en-IE" w:eastAsia="en-IE"/>
              </w:rPr>
              <w:t> </w:t>
            </w:r>
          </w:p>
        </w:tc>
        <w:tc>
          <w:tcPr>
            <w:tcW w:w="1668" w:type="dxa"/>
            <w:tcBorders>
              <w:top w:val="single" w:sz="6" w:space="0" w:color="auto"/>
              <w:left w:val="single" w:sz="6" w:space="0" w:color="auto"/>
              <w:bottom w:val="single" w:sz="6" w:space="0" w:color="auto"/>
              <w:right w:val="single" w:sz="6" w:space="0" w:color="auto"/>
            </w:tcBorders>
            <w:hideMark/>
          </w:tcPr>
          <w:p w14:paraId="60ACA39D"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val="en-IE" w:eastAsia="en-IE"/>
              </w:rPr>
              <w:t> </w:t>
            </w:r>
          </w:p>
          <w:p w14:paraId="5A0D964D"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val="en-IE" w:eastAsia="en-IE"/>
              </w:rPr>
              <w:t> </w:t>
            </w:r>
          </w:p>
          <w:p w14:paraId="564BE0C3"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val="en-IE" w:eastAsia="en-IE"/>
              </w:rPr>
              <w:t> </w:t>
            </w:r>
          </w:p>
          <w:p w14:paraId="37FA7C0C"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Article 19-23</w:t>
            </w:r>
            <w:r w:rsidRPr="0057502F">
              <w:rPr>
                <w:rFonts w:eastAsia="Times New Roman"/>
                <w:noProof/>
                <w:szCs w:val="24"/>
                <w:lang w:val="en-IE" w:eastAsia="en-IE"/>
              </w:rPr>
              <w:t> </w:t>
            </w:r>
          </w:p>
        </w:tc>
        <w:tc>
          <w:tcPr>
            <w:tcW w:w="2622" w:type="dxa"/>
            <w:tcBorders>
              <w:top w:val="single" w:sz="6" w:space="0" w:color="auto"/>
              <w:left w:val="single" w:sz="6" w:space="0" w:color="auto"/>
              <w:bottom w:val="single" w:sz="6" w:space="0" w:color="auto"/>
              <w:right w:val="single" w:sz="6" w:space="0" w:color="auto"/>
            </w:tcBorders>
            <w:hideMark/>
          </w:tcPr>
          <w:p w14:paraId="1F759EB8"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 </w:t>
            </w:r>
            <w:r w:rsidRPr="0057502F">
              <w:rPr>
                <w:rFonts w:eastAsia="Times New Roman"/>
                <w:noProof/>
                <w:szCs w:val="24"/>
                <w:lang w:val="en-IE" w:eastAsia="en-IE"/>
              </w:rPr>
              <w:t> </w:t>
            </w:r>
          </w:p>
          <w:p w14:paraId="7E56C1D2"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val="en-IE" w:eastAsia="en-IE"/>
              </w:rPr>
              <w:t> </w:t>
            </w:r>
          </w:p>
          <w:p w14:paraId="61569258"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Pr>
                <w:rFonts w:eastAsia="Times New Roman"/>
                <w:noProof/>
                <w:szCs w:val="24"/>
                <w:lang w:eastAsia="en-IE"/>
              </w:rPr>
              <w:t>M</w:t>
            </w:r>
            <w:r w:rsidRPr="00E67AD4">
              <w:rPr>
                <w:rFonts w:eastAsia="Times New Roman"/>
                <w:noProof/>
                <w:szCs w:val="24"/>
                <w:lang w:eastAsia="en-IE"/>
              </w:rPr>
              <w:t>aintain and regularly update a dedicated website providing public information on</w:t>
            </w:r>
            <w:r>
              <w:rPr>
                <w:rFonts w:eastAsia="Times New Roman"/>
                <w:noProof/>
                <w:szCs w:val="24"/>
                <w:lang w:eastAsia="en-IE"/>
              </w:rPr>
              <w:t xml:space="preserve"> </w:t>
            </w:r>
            <w:r w:rsidRPr="00E67AD4">
              <w:rPr>
                <w:rFonts w:eastAsia="Times New Roman"/>
                <w:noProof/>
                <w:szCs w:val="24"/>
                <w:lang w:eastAsia="en-IE"/>
              </w:rPr>
              <w:t>the ECSF, including the framework and its timeline for update;</w:t>
            </w:r>
            <w:r>
              <w:rPr>
                <w:rFonts w:eastAsia="Times New Roman"/>
                <w:noProof/>
                <w:szCs w:val="24"/>
                <w:lang w:eastAsia="en-IE"/>
              </w:rPr>
              <w:t xml:space="preserve"> </w:t>
            </w:r>
            <w:r w:rsidRPr="00E67AD4">
              <w:rPr>
                <w:rFonts w:eastAsia="Times New Roman"/>
                <w:noProof/>
                <w:szCs w:val="24"/>
                <w:lang w:eastAsia="en-IE"/>
              </w:rPr>
              <w:t>the European individual cybersecurity skills attestation schemes, their progress and timelines for their development;</w:t>
            </w:r>
            <w:r>
              <w:rPr>
                <w:rFonts w:eastAsia="Times New Roman"/>
                <w:noProof/>
                <w:szCs w:val="24"/>
                <w:lang w:eastAsia="en-IE"/>
              </w:rPr>
              <w:t xml:space="preserve"> </w:t>
            </w:r>
            <w:r w:rsidRPr="00E67AD4">
              <w:rPr>
                <w:rFonts w:eastAsia="Times New Roman"/>
                <w:noProof/>
                <w:szCs w:val="24"/>
                <w:lang w:eastAsia="en-IE"/>
              </w:rPr>
              <w:t>the fees associated with each European individual cybersecurity skills attestation scheme</w:t>
            </w:r>
            <w:r>
              <w:rPr>
                <w:rFonts w:eastAsia="Times New Roman"/>
                <w:noProof/>
                <w:szCs w:val="24"/>
                <w:lang w:eastAsia="en-IE"/>
              </w:rPr>
              <w:t xml:space="preserve">; </w:t>
            </w:r>
            <w:r w:rsidRPr="00E67AD4">
              <w:rPr>
                <w:rFonts w:eastAsia="Times New Roman"/>
                <w:noProof/>
                <w:szCs w:val="24"/>
                <w:lang w:eastAsia="en-IE"/>
              </w:rPr>
              <w:t>the indicative cost of a European individual cybersecurity skills attestation</w:t>
            </w:r>
            <w:r>
              <w:rPr>
                <w:rFonts w:eastAsia="Times New Roman"/>
                <w:noProof/>
                <w:szCs w:val="24"/>
                <w:lang w:eastAsia="en-IE"/>
              </w:rPr>
              <w:t xml:space="preserve">; </w:t>
            </w:r>
            <w:r w:rsidRPr="00E67AD4">
              <w:rPr>
                <w:rFonts w:eastAsia="Times New Roman"/>
                <w:noProof/>
                <w:szCs w:val="24"/>
                <w:lang w:eastAsia="en-IE"/>
              </w:rPr>
              <w:t>the list of authorised attestation providers.</w:t>
            </w:r>
            <w:r w:rsidRPr="0057502F">
              <w:rPr>
                <w:rFonts w:eastAsia="Times New Roman"/>
                <w:noProof/>
                <w:szCs w:val="24"/>
                <w:lang w:val="en-IE" w:eastAsia="en-IE"/>
              </w:rPr>
              <w:t> </w:t>
            </w:r>
          </w:p>
          <w:p w14:paraId="513919F3"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val="en-IE" w:eastAsia="en-IE"/>
              </w:rPr>
              <w:t> </w:t>
            </w:r>
          </w:p>
        </w:tc>
        <w:tc>
          <w:tcPr>
            <w:tcW w:w="1669" w:type="dxa"/>
            <w:tcBorders>
              <w:top w:val="single" w:sz="6" w:space="0" w:color="auto"/>
              <w:left w:val="single" w:sz="6" w:space="0" w:color="auto"/>
              <w:bottom w:val="single" w:sz="6" w:space="0" w:color="auto"/>
              <w:right w:val="single" w:sz="6" w:space="0" w:color="auto"/>
            </w:tcBorders>
            <w:hideMark/>
          </w:tcPr>
          <w:p w14:paraId="16A57345"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 </w:t>
            </w:r>
            <w:r w:rsidRPr="0057502F">
              <w:rPr>
                <w:rFonts w:eastAsia="Times New Roman"/>
                <w:noProof/>
                <w:szCs w:val="24"/>
                <w:lang w:val="en-IE" w:eastAsia="en-IE"/>
              </w:rPr>
              <w:t> </w:t>
            </w:r>
          </w:p>
          <w:p w14:paraId="6443D86F"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val="en-IE" w:eastAsia="en-IE"/>
              </w:rPr>
              <w:t> </w:t>
            </w:r>
          </w:p>
          <w:p w14:paraId="19D30746"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ENISA</w:t>
            </w:r>
            <w:r w:rsidRPr="0057502F">
              <w:rPr>
                <w:rFonts w:eastAsia="Times New Roman"/>
                <w:noProof/>
                <w:szCs w:val="24"/>
                <w:lang w:val="en-IE" w:eastAsia="en-IE"/>
              </w:rPr>
              <w:t> </w:t>
            </w:r>
          </w:p>
        </w:tc>
        <w:tc>
          <w:tcPr>
            <w:tcW w:w="1242" w:type="dxa"/>
            <w:tcBorders>
              <w:top w:val="single" w:sz="6" w:space="0" w:color="auto"/>
              <w:left w:val="single" w:sz="6" w:space="0" w:color="auto"/>
              <w:bottom w:val="single" w:sz="6" w:space="0" w:color="auto"/>
              <w:right w:val="single" w:sz="6" w:space="0" w:color="auto"/>
            </w:tcBorders>
            <w:hideMark/>
          </w:tcPr>
          <w:p w14:paraId="4FCABFF3"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 </w:t>
            </w:r>
            <w:r w:rsidRPr="0057502F">
              <w:rPr>
                <w:rFonts w:eastAsia="Times New Roman"/>
                <w:noProof/>
                <w:szCs w:val="24"/>
                <w:lang w:val="en-IE" w:eastAsia="en-IE"/>
              </w:rPr>
              <w:t> </w:t>
            </w:r>
          </w:p>
          <w:p w14:paraId="3032BDF9"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val="en-IE" w:eastAsia="en-IE"/>
              </w:rPr>
              <w:t> </w:t>
            </w:r>
          </w:p>
          <w:p w14:paraId="25AEB421"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N/A </w:t>
            </w:r>
            <w:r w:rsidRPr="0057502F">
              <w:rPr>
                <w:rFonts w:eastAsia="Times New Roman"/>
                <w:noProof/>
                <w:szCs w:val="24"/>
                <w:lang w:val="en-IE" w:eastAsia="en-IE"/>
              </w:rPr>
              <w:t> </w:t>
            </w:r>
          </w:p>
        </w:tc>
        <w:tc>
          <w:tcPr>
            <w:tcW w:w="1362" w:type="dxa"/>
            <w:tcBorders>
              <w:top w:val="single" w:sz="6" w:space="0" w:color="auto"/>
              <w:left w:val="single" w:sz="6" w:space="0" w:color="auto"/>
              <w:bottom w:val="single" w:sz="6" w:space="0" w:color="auto"/>
              <w:right w:val="single" w:sz="6" w:space="0" w:color="auto"/>
            </w:tcBorders>
            <w:hideMark/>
          </w:tcPr>
          <w:p w14:paraId="3A411215"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 </w:t>
            </w:r>
            <w:r w:rsidRPr="0057502F">
              <w:rPr>
                <w:rFonts w:eastAsia="Times New Roman"/>
                <w:noProof/>
                <w:szCs w:val="24"/>
                <w:lang w:val="en-IE" w:eastAsia="en-IE"/>
              </w:rPr>
              <w:t> </w:t>
            </w:r>
          </w:p>
          <w:p w14:paraId="6D5F7D07"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val="en-IE" w:eastAsia="en-IE"/>
              </w:rPr>
              <w:t> </w:t>
            </w:r>
          </w:p>
          <w:p w14:paraId="034C67BD"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N/A</w:t>
            </w:r>
            <w:r w:rsidRPr="0057502F">
              <w:rPr>
                <w:rFonts w:eastAsia="Times New Roman"/>
                <w:noProof/>
                <w:szCs w:val="24"/>
                <w:lang w:val="en-IE" w:eastAsia="en-IE"/>
              </w:rPr>
              <w:t> </w:t>
            </w:r>
          </w:p>
        </w:tc>
        <w:tc>
          <w:tcPr>
            <w:tcW w:w="1269" w:type="dxa"/>
            <w:tcBorders>
              <w:top w:val="single" w:sz="6" w:space="0" w:color="auto"/>
              <w:left w:val="single" w:sz="6" w:space="0" w:color="auto"/>
              <w:bottom w:val="single" w:sz="6" w:space="0" w:color="auto"/>
              <w:right w:val="single" w:sz="6" w:space="0" w:color="auto"/>
            </w:tcBorders>
            <w:hideMark/>
          </w:tcPr>
          <w:p w14:paraId="25346A3F"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 </w:t>
            </w:r>
            <w:r w:rsidRPr="0057502F">
              <w:rPr>
                <w:rFonts w:eastAsia="Times New Roman"/>
                <w:noProof/>
                <w:szCs w:val="24"/>
                <w:lang w:val="en-IE" w:eastAsia="en-IE"/>
              </w:rPr>
              <w:t> </w:t>
            </w:r>
          </w:p>
          <w:p w14:paraId="66DCA949"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val="en-IE" w:eastAsia="en-IE"/>
              </w:rPr>
              <w:t> </w:t>
            </w:r>
          </w:p>
          <w:p w14:paraId="3A57416B"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N/A</w:t>
            </w:r>
            <w:r w:rsidRPr="0057502F">
              <w:rPr>
                <w:rFonts w:eastAsia="Times New Roman"/>
                <w:noProof/>
                <w:szCs w:val="24"/>
                <w:lang w:val="en-IE" w:eastAsia="en-IE"/>
              </w:rPr>
              <w:t> </w:t>
            </w:r>
          </w:p>
        </w:tc>
      </w:tr>
      <w:tr w:rsidR="007476E9" w:rsidRPr="0057502F" w14:paraId="0D2EC9E9" w14:textId="77777777" w:rsidTr="00EE499D">
        <w:trPr>
          <w:trHeight w:val="285"/>
        </w:trPr>
        <w:tc>
          <w:tcPr>
            <w:tcW w:w="4755" w:type="dxa"/>
            <w:tcBorders>
              <w:top w:val="single" w:sz="6" w:space="0" w:color="auto"/>
              <w:left w:val="single" w:sz="6" w:space="0" w:color="auto"/>
              <w:bottom w:val="single" w:sz="6" w:space="0" w:color="auto"/>
              <w:right w:val="single" w:sz="6" w:space="0" w:color="auto"/>
            </w:tcBorders>
            <w:hideMark/>
          </w:tcPr>
          <w:p w14:paraId="742D57C1"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The </w:t>
            </w:r>
            <w:r w:rsidRPr="0057502F">
              <w:rPr>
                <w:rFonts w:eastAsia="Times New Roman"/>
                <w:b/>
                <w:bCs/>
                <w:noProof/>
                <w:szCs w:val="24"/>
                <w:lang w:eastAsia="en-IE"/>
              </w:rPr>
              <w:t>Commission shall maintain and regularly update a dedicated public website</w:t>
            </w:r>
          </w:p>
        </w:tc>
        <w:tc>
          <w:tcPr>
            <w:tcW w:w="1668" w:type="dxa"/>
            <w:tcBorders>
              <w:top w:val="single" w:sz="6" w:space="0" w:color="auto"/>
              <w:left w:val="single" w:sz="6" w:space="0" w:color="auto"/>
              <w:bottom w:val="single" w:sz="6" w:space="0" w:color="auto"/>
              <w:right w:val="single" w:sz="6" w:space="0" w:color="auto"/>
            </w:tcBorders>
            <w:hideMark/>
          </w:tcPr>
          <w:p w14:paraId="0A8C8944"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Article 72</w:t>
            </w:r>
            <w:r w:rsidRPr="0057502F">
              <w:rPr>
                <w:rFonts w:eastAsia="Times New Roman"/>
                <w:noProof/>
                <w:szCs w:val="24"/>
                <w:lang w:val="en-IE" w:eastAsia="en-IE"/>
              </w:rPr>
              <w:t> </w:t>
            </w:r>
          </w:p>
          <w:p w14:paraId="4C7ABCCF"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val="en-IE" w:eastAsia="en-IE"/>
              </w:rPr>
              <w:t> </w:t>
            </w:r>
          </w:p>
        </w:tc>
        <w:tc>
          <w:tcPr>
            <w:tcW w:w="2622" w:type="dxa"/>
            <w:tcBorders>
              <w:top w:val="single" w:sz="6" w:space="0" w:color="auto"/>
              <w:left w:val="single" w:sz="6" w:space="0" w:color="auto"/>
              <w:bottom w:val="single" w:sz="6" w:space="0" w:color="auto"/>
              <w:right w:val="single" w:sz="6" w:space="0" w:color="auto"/>
            </w:tcBorders>
            <w:hideMark/>
          </w:tcPr>
          <w:p w14:paraId="1BAA3980" w14:textId="77777777" w:rsidR="007476E9" w:rsidRDefault="007476E9">
            <w:pPr>
              <w:spacing w:before="0" w:after="0"/>
              <w:jc w:val="left"/>
              <w:textAlignment w:val="baseline"/>
              <w:rPr>
                <w:rFonts w:eastAsia="Times New Roman"/>
                <w:noProof/>
                <w:szCs w:val="24"/>
                <w:lang w:eastAsia="en-IE"/>
              </w:rPr>
            </w:pPr>
            <w:r>
              <w:rPr>
                <w:rFonts w:eastAsia="Times New Roman"/>
                <w:noProof/>
                <w:szCs w:val="24"/>
                <w:lang w:eastAsia="en-IE"/>
              </w:rPr>
              <w:t>Following information:</w:t>
            </w:r>
          </w:p>
          <w:p w14:paraId="6C6CB758" w14:textId="77777777" w:rsidR="007476E9" w:rsidRPr="00D83697" w:rsidRDefault="007476E9">
            <w:pPr>
              <w:spacing w:before="0" w:after="0"/>
              <w:jc w:val="left"/>
              <w:textAlignment w:val="baseline"/>
              <w:rPr>
                <w:rFonts w:eastAsia="Times New Roman"/>
                <w:noProof/>
                <w:szCs w:val="24"/>
                <w:lang w:val="en-IE" w:eastAsia="en-IE"/>
              </w:rPr>
            </w:pPr>
            <w:r w:rsidRPr="00D83697">
              <w:rPr>
                <w:rFonts w:eastAsia="Times New Roman"/>
                <w:noProof/>
                <w:szCs w:val="24"/>
                <w:lang w:val="en-IE" w:eastAsia="en-IE"/>
              </w:rPr>
              <w:t>(a)</w:t>
            </w:r>
            <w:r w:rsidRPr="00D83697">
              <w:rPr>
                <w:rFonts w:eastAsia="Times New Roman"/>
                <w:noProof/>
                <w:szCs w:val="24"/>
                <w:lang w:val="en-IE" w:eastAsia="en-IE"/>
              </w:rPr>
              <w:tab/>
              <w:t xml:space="preserve">European cybersecurity certification schemes requested for development; </w:t>
            </w:r>
          </w:p>
          <w:p w14:paraId="21C28EA0" w14:textId="77777777" w:rsidR="007476E9" w:rsidRPr="0057502F" w:rsidRDefault="007476E9">
            <w:pPr>
              <w:spacing w:before="0" w:after="0"/>
              <w:jc w:val="left"/>
              <w:textAlignment w:val="baseline"/>
              <w:rPr>
                <w:rFonts w:ascii="Segoe UI" w:eastAsia="Times New Roman" w:hAnsi="Segoe UI" w:cs="Segoe UI"/>
                <w:noProof/>
                <w:sz w:val="18"/>
                <w:szCs w:val="18"/>
                <w:lang w:eastAsia="en-IE"/>
              </w:rPr>
            </w:pPr>
            <w:r w:rsidRPr="47155F7B">
              <w:rPr>
                <w:rFonts w:eastAsia="Times New Roman"/>
                <w:noProof/>
                <w:lang w:eastAsia="en-IE"/>
              </w:rPr>
              <w:t>(b)</w:t>
            </w:r>
            <w:r>
              <w:rPr>
                <w:noProof/>
              </w:rPr>
              <w:tab/>
            </w:r>
            <w:r w:rsidRPr="47155F7B">
              <w:rPr>
                <w:rFonts w:eastAsia="Times New Roman"/>
                <w:noProof/>
                <w:lang w:eastAsia="en-IE"/>
              </w:rPr>
              <w:t>strategic priorities for harmonisation of ICT products, ICT services, ICT processes, managed security services or security requirements of Union legislation, including potential areas for which a European cybersecurity certification scheme might be requested. </w:t>
            </w:r>
          </w:p>
        </w:tc>
        <w:tc>
          <w:tcPr>
            <w:tcW w:w="1669" w:type="dxa"/>
            <w:tcBorders>
              <w:top w:val="single" w:sz="6" w:space="0" w:color="auto"/>
              <w:left w:val="single" w:sz="6" w:space="0" w:color="auto"/>
              <w:bottom w:val="single" w:sz="6" w:space="0" w:color="auto"/>
              <w:right w:val="single" w:sz="6" w:space="0" w:color="auto"/>
            </w:tcBorders>
            <w:hideMark/>
          </w:tcPr>
          <w:p w14:paraId="3FE65A14"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 </w:t>
            </w:r>
            <w:r w:rsidRPr="0057502F">
              <w:rPr>
                <w:rFonts w:eastAsia="Times New Roman"/>
                <w:noProof/>
                <w:szCs w:val="24"/>
                <w:lang w:val="en-IE" w:eastAsia="en-IE"/>
              </w:rPr>
              <w:t> </w:t>
            </w:r>
          </w:p>
          <w:p w14:paraId="031A95D3"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EU Commission</w:t>
            </w:r>
            <w:r w:rsidRPr="0057502F">
              <w:rPr>
                <w:rFonts w:eastAsia="Times New Roman"/>
                <w:noProof/>
                <w:szCs w:val="24"/>
                <w:lang w:val="en-IE" w:eastAsia="en-IE"/>
              </w:rPr>
              <w:t> </w:t>
            </w:r>
          </w:p>
        </w:tc>
        <w:tc>
          <w:tcPr>
            <w:tcW w:w="1242" w:type="dxa"/>
            <w:tcBorders>
              <w:top w:val="single" w:sz="6" w:space="0" w:color="auto"/>
              <w:left w:val="single" w:sz="6" w:space="0" w:color="auto"/>
              <w:bottom w:val="single" w:sz="6" w:space="0" w:color="auto"/>
              <w:right w:val="single" w:sz="6" w:space="0" w:color="auto"/>
            </w:tcBorders>
            <w:hideMark/>
          </w:tcPr>
          <w:p w14:paraId="2DF269FD"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 </w:t>
            </w:r>
            <w:r w:rsidRPr="0057502F">
              <w:rPr>
                <w:rFonts w:eastAsia="Times New Roman"/>
                <w:noProof/>
                <w:szCs w:val="24"/>
                <w:lang w:val="en-IE" w:eastAsia="en-IE"/>
              </w:rPr>
              <w:t> </w:t>
            </w:r>
          </w:p>
          <w:p w14:paraId="47D8DA71"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Compliance with guidelines </w:t>
            </w:r>
            <w:r w:rsidRPr="0057502F">
              <w:rPr>
                <w:rFonts w:eastAsia="Times New Roman"/>
                <w:noProof/>
                <w:szCs w:val="24"/>
                <w:lang w:val="en-IE" w:eastAsia="en-IE"/>
              </w:rPr>
              <w:t> </w:t>
            </w:r>
          </w:p>
        </w:tc>
        <w:tc>
          <w:tcPr>
            <w:tcW w:w="1362" w:type="dxa"/>
            <w:tcBorders>
              <w:top w:val="single" w:sz="6" w:space="0" w:color="auto"/>
              <w:left w:val="single" w:sz="6" w:space="0" w:color="auto"/>
              <w:bottom w:val="single" w:sz="6" w:space="0" w:color="auto"/>
              <w:right w:val="single" w:sz="6" w:space="0" w:color="auto"/>
            </w:tcBorders>
            <w:hideMark/>
          </w:tcPr>
          <w:p w14:paraId="6540EF20"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val="en-IE" w:eastAsia="en-IE"/>
              </w:rPr>
              <w:t> </w:t>
            </w:r>
          </w:p>
          <w:p w14:paraId="072282CF"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Compliance with guidelines</w:t>
            </w:r>
            <w:r w:rsidRPr="0057502F">
              <w:rPr>
                <w:rFonts w:eastAsia="Times New Roman"/>
                <w:noProof/>
                <w:szCs w:val="24"/>
                <w:lang w:val="en-IE" w:eastAsia="en-IE"/>
              </w:rPr>
              <w:t> </w:t>
            </w:r>
          </w:p>
        </w:tc>
        <w:tc>
          <w:tcPr>
            <w:tcW w:w="1269" w:type="dxa"/>
            <w:tcBorders>
              <w:top w:val="single" w:sz="6" w:space="0" w:color="auto"/>
              <w:left w:val="single" w:sz="6" w:space="0" w:color="auto"/>
              <w:bottom w:val="single" w:sz="6" w:space="0" w:color="auto"/>
              <w:right w:val="single" w:sz="6" w:space="0" w:color="auto"/>
            </w:tcBorders>
            <w:hideMark/>
          </w:tcPr>
          <w:p w14:paraId="5200ED0E"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 </w:t>
            </w:r>
            <w:r w:rsidRPr="0057502F">
              <w:rPr>
                <w:rFonts w:eastAsia="Times New Roman"/>
                <w:noProof/>
                <w:szCs w:val="24"/>
                <w:lang w:val="en-IE" w:eastAsia="en-IE"/>
              </w:rPr>
              <w:t> </w:t>
            </w:r>
          </w:p>
          <w:p w14:paraId="08931239"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N/A</w:t>
            </w:r>
            <w:r w:rsidRPr="0057502F">
              <w:rPr>
                <w:rFonts w:eastAsia="Times New Roman"/>
                <w:noProof/>
                <w:szCs w:val="24"/>
                <w:lang w:val="en-IE" w:eastAsia="en-IE"/>
              </w:rPr>
              <w:t> </w:t>
            </w:r>
          </w:p>
        </w:tc>
      </w:tr>
      <w:tr w:rsidR="007476E9" w:rsidRPr="0057502F" w14:paraId="58E50F59" w14:textId="77777777" w:rsidTr="00EE499D">
        <w:trPr>
          <w:trHeight w:val="285"/>
        </w:trPr>
        <w:tc>
          <w:tcPr>
            <w:tcW w:w="4755" w:type="dxa"/>
            <w:tcBorders>
              <w:top w:val="single" w:sz="6" w:space="0" w:color="auto"/>
              <w:left w:val="single" w:sz="6" w:space="0" w:color="auto"/>
              <w:bottom w:val="single" w:sz="6" w:space="0" w:color="auto"/>
              <w:right w:val="single" w:sz="6" w:space="0" w:color="auto"/>
            </w:tcBorders>
            <w:hideMark/>
          </w:tcPr>
          <w:p w14:paraId="5704A1C5"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b/>
                <w:bCs/>
                <w:noProof/>
                <w:szCs w:val="24"/>
                <w:lang w:eastAsia="en-IE"/>
              </w:rPr>
              <w:t>ENISA shall maintain a dedicated certification website </w:t>
            </w:r>
            <w:r w:rsidRPr="0057502F">
              <w:rPr>
                <w:rFonts w:eastAsia="Times New Roman"/>
                <w:noProof/>
                <w:szCs w:val="24"/>
                <w:lang w:val="en-IE" w:eastAsia="en-IE"/>
              </w:rPr>
              <w:t> </w:t>
            </w:r>
          </w:p>
        </w:tc>
        <w:tc>
          <w:tcPr>
            <w:tcW w:w="1668" w:type="dxa"/>
            <w:tcBorders>
              <w:top w:val="single" w:sz="6" w:space="0" w:color="auto"/>
              <w:left w:val="single" w:sz="6" w:space="0" w:color="auto"/>
              <w:bottom w:val="single" w:sz="6" w:space="0" w:color="auto"/>
              <w:right w:val="single" w:sz="6" w:space="0" w:color="auto"/>
            </w:tcBorders>
            <w:hideMark/>
          </w:tcPr>
          <w:p w14:paraId="67BEF042"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val="en-IE" w:eastAsia="en-IE"/>
              </w:rPr>
              <w:t> </w:t>
            </w:r>
          </w:p>
          <w:p w14:paraId="2314112F"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Article 79</w:t>
            </w:r>
            <w:r w:rsidRPr="0057502F">
              <w:rPr>
                <w:rFonts w:eastAsia="Times New Roman"/>
                <w:noProof/>
                <w:szCs w:val="24"/>
                <w:lang w:val="en-IE" w:eastAsia="en-IE"/>
              </w:rPr>
              <w:t> </w:t>
            </w:r>
          </w:p>
        </w:tc>
        <w:tc>
          <w:tcPr>
            <w:tcW w:w="2622" w:type="dxa"/>
            <w:tcBorders>
              <w:top w:val="single" w:sz="6" w:space="0" w:color="auto"/>
              <w:left w:val="single" w:sz="6" w:space="0" w:color="auto"/>
              <w:bottom w:val="single" w:sz="6" w:space="0" w:color="auto"/>
              <w:right w:val="single" w:sz="6" w:space="0" w:color="auto"/>
            </w:tcBorders>
            <w:hideMark/>
          </w:tcPr>
          <w:p w14:paraId="53E3FF8E" w14:textId="77777777" w:rsidR="007476E9" w:rsidRDefault="007476E9">
            <w:pPr>
              <w:rPr>
                <w:noProof/>
                <w:lang w:eastAsia="en-IE"/>
              </w:rPr>
            </w:pPr>
            <w:r>
              <w:rPr>
                <w:noProof/>
                <w:lang w:eastAsia="en-IE"/>
              </w:rPr>
              <w:t>Providing information on:</w:t>
            </w:r>
          </w:p>
          <w:p w14:paraId="6CCFCF5D" w14:textId="77777777" w:rsidR="007476E9" w:rsidRDefault="007476E9">
            <w:pPr>
              <w:pStyle w:val="Point0letter"/>
              <w:numPr>
                <w:ilvl w:val="1"/>
                <w:numId w:val="0"/>
              </w:numPr>
              <w:rPr>
                <w:noProof/>
              </w:rPr>
            </w:pPr>
            <w:r>
              <w:rPr>
                <w:noProof/>
              </w:rPr>
              <w:t xml:space="preserve">(a) </w:t>
            </w:r>
            <w:r w:rsidRPr="000B1D92">
              <w:rPr>
                <w:noProof/>
              </w:rPr>
              <w:t>European cybersecurity certification schemes</w:t>
            </w:r>
            <w:r>
              <w:rPr>
                <w:noProof/>
              </w:rPr>
              <w:t>;</w:t>
            </w:r>
            <w:r w:rsidRPr="000B1D92">
              <w:rPr>
                <w:noProof/>
              </w:rPr>
              <w:t xml:space="preserve"> </w:t>
            </w:r>
          </w:p>
          <w:p w14:paraId="6B71B3AA" w14:textId="043A6F41" w:rsidR="00DE3D8D" w:rsidRDefault="007476E9">
            <w:pPr>
              <w:pStyle w:val="Point0letter"/>
              <w:numPr>
                <w:ilvl w:val="1"/>
                <w:numId w:val="0"/>
              </w:numPr>
              <w:rPr>
                <w:noProof/>
              </w:rPr>
            </w:pPr>
            <w:r>
              <w:rPr>
                <w:noProof/>
              </w:rPr>
              <w:t xml:space="preserve">(b) </w:t>
            </w:r>
            <w:r w:rsidR="00DE3D8D" w:rsidRPr="00890C37">
              <w:rPr>
                <w:noProof/>
              </w:rPr>
              <w:t>the fees associated with the maintenance of each European cybersecurity certification scheme;</w:t>
            </w:r>
          </w:p>
          <w:p w14:paraId="7B530862" w14:textId="7AC03876" w:rsidR="007476E9" w:rsidRDefault="00DE3D8D">
            <w:pPr>
              <w:pStyle w:val="Point0letter"/>
              <w:numPr>
                <w:ilvl w:val="1"/>
                <w:numId w:val="0"/>
              </w:numPr>
              <w:rPr>
                <w:noProof/>
              </w:rPr>
            </w:pPr>
            <w:r>
              <w:rPr>
                <w:noProof/>
              </w:rPr>
              <w:t xml:space="preserve">(c) </w:t>
            </w:r>
            <w:r w:rsidR="007476E9">
              <w:rPr>
                <w:noProof/>
              </w:rPr>
              <w:t xml:space="preserve">relevant ENISA technical specifications; </w:t>
            </w:r>
          </w:p>
          <w:p w14:paraId="3B75A37E" w14:textId="1379260D" w:rsidR="007476E9" w:rsidRDefault="007476E9">
            <w:pPr>
              <w:pStyle w:val="Point0letter"/>
              <w:numPr>
                <w:ilvl w:val="1"/>
                <w:numId w:val="0"/>
              </w:numPr>
              <w:rPr>
                <w:noProof/>
              </w:rPr>
            </w:pPr>
            <w:r>
              <w:rPr>
                <w:noProof/>
              </w:rPr>
              <w:t>(</w:t>
            </w:r>
            <w:r w:rsidR="00DE3D8D">
              <w:rPr>
                <w:noProof/>
              </w:rPr>
              <w:t>d</w:t>
            </w:r>
            <w:r>
              <w:rPr>
                <w:noProof/>
              </w:rPr>
              <w:t xml:space="preserve">) </w:t>
            </w:r>
            <w:r w:rsidRPr="000B1D92">
              <w:rPr>
                <w:noProof/>
              </w:rPr>
              <w:t xml:space="preserve">European cybersecurity certificates and EU statements of conformity, including information with regard to </w:t>
            </w:r>
            <w:r>
              <w:rPr>
                <w:noProof/>
              </w:rPr>
              <w:t xml:space="preserve">such </w:t>
            </w:r>
            <w:r w:rsidRPr="000B1D92">
              <w:rPr>
                <w:noProof/>
              </w:rPr>
              <w:t>certificates and statements which are no longer valid,</w:t>
            </w:r>
            <w:r>
              <w:rPr>
                <w:noProof/>
              </w:rPr>
              <w:t xml:space="preserve"> or which </w:t>
            </w:r>
            <w:r w:rsidRPr="000B1D92">
              <w:rPr>
                <w:noProof/>
              </w:rPr>
              <w:t xml:space="preserve">are suspended, withdrawn </w:t>
            </w:r>
            <w:r>
              <w:rPr>
                <w:noProof/>
              </w:rPr>
              <w:t>or</w:t>
            </w:r>
            <w:r w:rsidRPr="000B1D92">
              <w:rPr>
                <w:noProof/>
              </w:rPr>
              <w:t xml:space="preserve"> expired</w:t>
            </w:r>
            <w:r>
              <w:rPr>
                <w:noProof/>
              </w:rPr>
              <w:t>;</w:t>
            </w:r>
            <w:r w:rsidRPr="000B1D92">
              <w:rPr>
                <w:noProof/>
              </w:rPr>
              <w:t xml:space="preserve"> </w:t>
            </w:r>
          </w:p>
          <w:p w14:paraId="2B0DF769" w14:textId="22C415C0" w:rsidR="007476E9" w:rsidRDefault="007476E9">
            <w:pPr>
              <w:pStyle w:val="Point0letter"/>
              <w:numPr>
                <w:ilvl w:val="1"/>
                <w:numId w:val="0"/>
              </w:numPr>
              <w:rPr>
                <w:noProof/>
              </w:rPr>
            </w:pPr>
            <w:r>
              <w:rPr>
                <w:noProof/>
              </w:rPr>
              <w:t>(</w:t>
            </w:r>
            <w:r w:rsidR="00DE3D8D">
              <w:rPr>
                <w:noProof/>
              </w:rPr>
              <w:t>e</w:t>
            </w:r>
            <w:r>
              <w:rPr>
                <w:noProof/>
              </w:rPr>
              <w:t xml:space="preserve">) </w:t>
            </w:r>
            <w:r w:rsidRPr="000B1D92">
              <w:rPr>
                <w:noProof/>
              </w:rPr>
              <w:t>relevant supplementary cybersecurity information provided in accordance with Article 84(2)</w:t>
            </w:r>
            <w:r>
              <w:rPr>
                <w:noProof/>
              </w:rPr>
              <w:t>;</w:t>
            </w:r>
          </w:p>
          <w:p w14:paraId="51D93A6E" w14:textId="27E659E7" w:rsidR="007476E9" w:rsidRDefault="007476E9">
            <w:pPr>
              <w:pStyle w:val="Point0letter"/>
              <w:numPr>
                <w:ilvl w:val="1"/>
                <w:numId w:val="0"/>
              </w:numPr>
              <w:rPr>
                <w:noProof/>
              </w:rPr>
            </w:pPr>
            <w:r>
              <w:rPr>
                <w:noProof/>
              </w:rPr>
              <w:t>(</w:t>
            </w:r>
            <w:r w:rsidR="00DE3D8D">
              <w:rPr>
                <w:noProof/>
              </w:rPr>
              <w:t>f</w:t>
            </w:r>
            <w:r>
              <w:rPr>
                <w:noProof/>
              </w:rPr>
              <w:t>)</w:t>
            </w:r>
            <w:r>
              <w:rPr>
                <w:noProof/>
              </w:rPr>
              <w:tab/>
              <w:t>summaries of peer reviews pursuant to Article 89</w:t>
            </w:r>
            <w:r w:rsidR="009E5D2E">
              <w:rPr>
                <w:noProof/>
              </w:rPr>
              <w:t>(</w:t>
            </w:r>
            <w:r>
              <w:rPr>
                <w:noProof/>
              </w:rPr>
              <w:t>7</w:t>
            </w:r>
            <w:r w:rsidR="009E5D2E">
              <w:rPr>
                <w:noProof/>
              </w:rPr>
              <w:t>)</w:t>
            </w:r>
            <w:r>
              <w:rPr>
                <w:noProof/>
              </w:rPr>
              <w:t>;</w:t>
            </w:r>
          </w:p>
          <w:p w14:paraId="15A36C26" w14:textId="30EC2D92" w:rsidR="007476E9" w:rsidRPr="008F0AA6" w:rsidRDefault="007476E9">
            <w:pPr>
              <w:pStyle w:val="Point0letter"/>
              <w:numPr>
                <w:ilvl w:val="1"/>
                <w:numId w:val="0"/>
              </w:numPr>
              <w:rPr>
                <w:noProof/>
              </w:rPr>
            </w:pPr>
            <w:r>
              <w:rPr>
                <w:noProof/>
              </w:rPr>
              <w:t>(</w:t>
            </w:r>
            <w:r w:rsidR="00DE3D8D">
              <w:rPr>
                <w:noProof/>
              </w:rPr>
              <w:t>g</w:t>
            </w:r>
            <w:r>
              <w:rPr>
                <w:noProof/>
              </w:rPr>
              <w:t>)</w:t>
            </w:r>
            <w:r>
              <w:rPr>
                <w:noProof/>
              </w:rPr>
              <w:tab/>
              <w:t>technical specifications referenced in a European cybersecurity certification scheme pursuant to Article 74(10</w:t>
            </w:r>
            <w:r w:rsidRPr="000B1D92">
              <w:rPr>
                <w:noProof/>
              </w:rPr>
              <w:t>).</w:t>
            </w:r>
          </w:p>
        </w:tc>
        <w:tc>
          <w:tcPr>
            <w:tcW w:w="1669" w:type="dxa"/>
            <w:tcBorders>
              <w:top w:val="single" w:sz="6" w:space="0" w:color="auto"/>
              <w:left w:val="single" w:sz="6" w:space="0" w:color="auto"/>
              <w:bottom w:val="single" w:sz="6" w:space="0" w:color="auto"/>
              <w:right w:val="single" w:sz="6" w:space="0" w:color="auto"/>
            </w:tcBorders>
            <w:hideMark/>
          </w:tcPr>
          <w:p w14:paraId="3978ADA5"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 </w:t>
            </w:r>
            <w:r w:rsidRPr="0057502F">
              <w:rPr>
                <w:rFonts w:eastAsia="Times New Roman"/>
                <w:noProof/>
                <w:szCs w:val="24"/>
                <w:lang w:val="en-IE" w:eastAsia="en-IE"/>
              </w:rPr>
              <w:t> </w:t>
            </w:r>
          </w:p>
          <w:p w14:paraId="65AA637D"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ENISA</w:t>
            </w:r>
            <w:r w:rsidRPr="0057502F">
              <w:rPr>
                <w:rFonts w:eastAsia="Times New Roman"/>
                <w:noProof/>
                <w:szCs w:val="24"/>
                <w:lang w:val="en-IE" w:eastAsia="en-IE"/>
              </w:rPr>
              <w:t> </w:t>
            </w:r>
          </w:p>
        </w:tc>
        <w:tc>
          <w:tcPr>
            <w:tcW w:w="1242" w:type="dxa"/>
            <w:tcBorders>
              <w:top w:val="single" w:sz="6" w:space="0" w:color="auto"/>
              <w:left w:val="single" w:sz="6" w:space="0" w:color="auto"/>
              <w:bottom w:val="single" w:sz="6" w:space="0" w:color="auto"/>
              <w:right w:val="single" w:sz="6" w:space="0" w:color="auto"/>
            </w:tcBorders>
            <w:hideMark/>
          </w:tcPr>
          <w:p w14:paraId="54B7965D"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 </w:t>
            </w:r>
            <w:r w:rsidRPr="0057502F">
              <w:rPr>
                <w:rFonts w:eastAsia="Times New Roman"/>
                <w:noProof/>
                <w:szCs w:val="24"/>
                <w:lang w:val="en-IE" w:eastAsia="en-IE"/>
              </w:rPr>
              <w:t> </w:t>
            </w:r>
          </w:p>
          <w:p w14:paraId="22105377"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Compliance with guidelines</w:t>
            </w:r>
            <w:r w:rsidRPr="0057502F">
              <w:rPr>
                <w:rFonts w:eastAsia="Times New Roman"/>
                <w:noProof/>
                <w:szCs w:val="24"/>
                <w:lang w:val="en-IE" w:eastAsia="en-IE"/>
              </w:rPr>
              <w:t> </w:t>
            </w:r>
          </w:p>
        </w:tc>
        <w:tc>
          <w:tcPr>
            <w:tcW w:w="1362" w:type="dxa"/>
            <w:tcBorders>
              <w:top w:val="single" w:sz="6" w:space="0" w:color="auto"/>
              <w:left w:val="single" w:sz="6" w:space="0" w:color="auto"/>
              <w:bottom w:val="single" w:sz="6" w:space="0" w:color="auto"/>
              <w:right w:val="single" w:sz="6" w:space="0" w:color="auto"/>
            </w:tcBorders>
            <w:hideMark/>
          </w:tcPr>
          <w:p w14:paraId="675EC25C"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val="en-IE" w:eastAsia="en-IE"/>
              </w:rPr>
              <w:t> </w:t>
            </w:r>
          </w:p>
          <w:p w14:paraId="39534439"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Compliance with guidelines</w:t>
            </w:r>
            <w:r w:rsidRPr="0057502F">
              <w:rPr>
                <w:rFonts w:eastAsia="Times New Roman"/>
                <w:noProof/>
                <w:szCs w:val="24"/>
                <w:lang w:val="en-IE" w:eastAsia="en-IE"/>
              </w:rPr>
              <w:t> </w:t>
            </w:r>
          </w:p>
        </w:tc>
        <w:tc>
          <w:tcPr>
            <w:tcW w:w="1269" w:type="dxa"/>
            <w:tcBorders>
              <w:top w:val="single" w:sz="6" w:space="0" w:color="auto"/>
              <w:left w:val="single" w:sz="6" w:space="0" w:color="auto"/>
              <w:bottom w:val="single" w:sz="6" w:space="0" w:color="auto"/>
              <w:right w:val="single" w:sz="6" w:space="0" w:color="auto"/>
            </w:tcBorders>
            <w:hideMark/>
          </w:tcPr>
          <w:p w14:paraId="4A6D21C3"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val="en-IE" w:eastAsia="en-IE"/>
              </w:rPr>
              <w:t> </w:t>
            </w:r>
          </w:p>
          <w:p w14:paraId="57B5149F"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N/A</w:t>
            </w:r>
            <w:r w:rsidRPr="0057502F">
              <w:rPr>
                <w:rFonts w:eastAsia="Times New Roman"/>
                <w:noProof/>
                <w:szCs w:val="24"/>
                <w:lang w:val="en-IE" w:eastAsia="en-IE"/>
              </w:rPr>
              <w:t> </w:t>
            </w:r>
          </w:p>
        </w:tc>
      </w:tr>
      <w:tr w:rsidR="00EE499D" w:rsidRPr="0057502F" w14:paraId="0675F018" w14:textId="77777777" w:rsidTr="00EE499D">
        <w:trPr>
          <w:trHeight w:val="285"/>
        </w:trPr>
        <w:tc>
          <w:tcPr>
            <w:tcW w:w="4755" w:type="dxa"/>
            <w:tcBorders>
              <w:top w:val="single" w:sz="6" w:space="0" w:color="auto"/>
              <w:left w:val="single" w:sz="6" w:space="0" w:color="auto"/>
              <w:bottom w:val="single" w:sz="6" w:space="0" w:color="auto"/>
              <w:right w:val="single" w:sz="6" w:space="0" w:color="auto"/>
            </w:tcBorders>
          </w:tcPr>
          <w:p w14:paraId="685C07D1" w14:textId="77777777" w:rsidR="00EE499D" w:rsidRDefault="00EE499D" w:rsidP="00EE499D">
            <w:pPr>
              <w:jc w:val="left"/>
              <w:rPr>
                <w:noProof/>
              </w:rPr>
            </w:pPr>
            <w:r>
              <w:rPr>
                <w:noProof/>
              </w:rPr>
              <w:t xml:space="preserve">Register (of exemptions </w:t>
            </w:r>
            <w:r w:rsidRPr="00BB6BD8">
              <w:rPr>
                <w:noProof/>
              </w:rPr>
              <w:t>for entities established in or controlled by entities from a third country posing cybersecurity concerns</w:t>
            </w:r>
            <w:r>
              <w:rPr>
                <w:noProof/>
              </w:rPr>
              <w:t>)</w:t>
            </w:r>
          </w:p>
          <w:p w14:paraId="1B37C3F7" w14:textId="77777777" w:rsidR="00EE499D" w:rsidRPr="008F0AA6" w:rsidRDefault="00EE499D" w:rsidP="00EE499D">
            <w:pPr>
              <w:spacing w:before="0" w:after="0"/>
              <w:jc w:val="left"/>
              <w:textAlignment w:val="baseline"/>
              <w:rPr>
                <w:rFonts w:eastAsia="Times New Roman"/>
                <w:b/>
                <w:noProof/>
                <w:szCs w:val="24"/>
                <w:lang w:eastAsia="en-IE"/>
              </w:rPr>
            </w:pPr>
          </w:p>
        </w:tc>
        <w:tc>
          <w:tcPr>
            <w:tcW w:w="1668" w:type="dxa"/>
            <w:tcBorders>
              <w:top w:val="single" w:sz="6" w:space="0" w:color="auto"/>
              <w:left w:val="single" w:sz="6" w:space="0" w:color="auto"/>
              <w:bottom w:val="single" w:sz="6" w:space="0" w:color="auto"/>
              <w:right w:val="single" w:sz="6" w:space="0" w:color="auto"/>
            </w:tcBorders>
          </w:tcPr>
          <w:p w14:paraId="2DA4D809" w14:textId="77777777" w:rsidR="00EE499D" w:rsidRDefault="00EE499D" w:rsidP="00EE499D">
            <w:pPr>
              <w:jc w:val="left"/>
              <w:rPr>
                <w:noProof/>
              </w:rPr>
            </w:pPr>
            <w:r>
              <w:rPr>
                <w:noProof/>
              </w:rPr>
              <w:t>Article 107</w:t>
            </w:r>
          </w:p>
          <w:p w14:paraId="28009575" w14:textId="77777777" w:rsidR="00EE499D" w:rsidRPr="00F41D6E" w:rsidRDefault="00EE499D" w:rsidP="00EE499D">
            <w:pPr>
              <w:jc w:val="left"/>
              <w:rPr>
                <w:noProof/>
              </w:rPr>
            </w:pPr>
            <w:r>
              <w:rPr>
                <w:noProof/>
              </w:rPr>
              <w:t>Register</w:t>
            </w:r>
          </w:p>
          <w:p w14:paraId="39726838" w14:textId="77777777" w:rsidR="00EE499D" w:rsidRPr="00F41D6E" w:rsidRDefault="00EE499D" w:rsidP="00EE499D">
            <w:pPr>
              <w:jc w:val="left"/>
              <w:rPr>
                <w:noProof/>
              </w:rPr>
            </w:pPr>
          </w:p>
          <w:p w14:paraId="75150774" w14:textId="77777777" w:rsidR="00EE499D" w:rsidRPr="00F41D6E" w:rsidRDefault="00EE499D" w:rsidP="00EE499D">
            <w:pPr>
              <w:jc w:val="left"/>
              <w:rPr>
                <w:noProof/>
              </w:rPr>
            </w:pPr>
          </w:p>
          <w:p w14:paraId="42CBE88C" w14:textId="77777777" w:rsidR="00EE499D" w:rsidRPr="00F41D6E" w:rsidRDefault="00EE499D" w:rsidP="00EE499D">
            <w:pPr>
              <w:jc w:val="left"/>
              <w:rPr>
                <w:noProof/>
              </w:rPr>
            </w:pPr>
          </w:p>
          <w:p w14:paraId="23A522FF" w14:textId="77777777" w:rsidR="00EE499D" w:rsidRPr="00F41D6E" w:rsidRDefault="00EE499D" w:rsidP="00EE499D">
            <w:pPr>
              <w:jc w:val="left"/>
              <w:rPr>
                <w:noProof/>
              </w:rPr>
            </w:pPr>
          </w:p>
          <w:p w14:paraId="113C45D7" w14:textId="77777777" w:rsidR="00EE499D" w:rsidRPr="00F41D6E" w:rsidRDefault="00EE499D" w:rsidP="00EE499D">
            <w:pPr>
              <w:jc w:val="left"/>
              <w:rPr>
                <w:noProof/>
              </w:rPr>
            </w:pPr>
          </w:p>
          <w:p w14:paraId="504FFB3B" w14:textId="77777777" w:rsidR="00EE499D" w:rsidRPr="00F41D6E" w:rsidRDefault="00EE499D" w:rsidP="00EE499D">
            <w:pPr>
              <w:jc w:val="left"/>
              <w:rPr>
                <w:noProof/>
              </w:rPr>
            </w:pPr>
          </w:p>
          <w:p w14:paraId="2765F421" w14:textId="77777777" w:rsidR="00EE499D" w:rsidRPr="00F41D6E" w:rsidRDefault="00EE499D" w:rsidP="00EE499D">
            <w:pPr>
              <w:jc w:val="left"/>
              <w:rPr>
                <w:noProof/>
              </w:rPr>
            </w:pPr>
          </w:p>
          <w:p w14:paraId="0D536CD5" w14:textId="77777777" w:rsidR="00EE499D" w:rsidRPr="00F41D6E" w:rsidRDefault="00EE499D" w:rsidP="00EE499D">
            <w:pPr>
              <w:jc w:val="left"/>
              <w:rPr>
                <w:noProof/>
              </w:rPr>
            </w:pPr>
          </w:p>
          <w:p w14:paraId="4565A7C2" w14:textId="77777777" w:rsidR="00EE499D" w:rsidRPr="0057502F" w:rsidRDefault="00EE499D" w:rsidP="00EE499D">
            <w:pPr>
              <w:spacing w:before="0" w:after="0"/>
              <w:jc w:val="left"/>
              <w:textAlignment w:val="baseline"/>
              <w:rPr>
                <w:rFonts w:eastAsia="Times New Roman"/>
                <w:noProof/>
                <w:szCs w:val="24"/>
                <w:lang w:eastAsia="en-IE"/>
              </w:rPr>
            </w:pPr>
          </w:p>
        </w:tc>
        <w:tc>
          <w:tcPr>
            <w:tcW w:w="2622" w:type="dxa"/>
            <w:tcBorders>
              <w:top w:val="single" w:sz="6" w:space="0" w:color="auto"/>
              <w:left w:val="single" w:sz="6" w:space="0" w:color="auto"/>
              <w:bottom w:val="single" w:sz="6" w:space="0" w:color="auto"/>
              <w:right w:val="single" w:sz="6" w:space="0" w:color="auto"/>
            </w:tcBorders>
          </w:tcPr>
          <w:p w14:paraId="5482EEDC" w14:textId="543374D0" w:rsidR="00EE499D" w:rsidRPr="00F41D6E" w:rsidRDefault="00EE499D" w:rsidP="00EE499D">
            <w:pPr>
              <w:jc w:val="left"/>
              <w:rPr>
                <w:noProof/>
              </w:rPr>
            </w:pPr>
            <w:r w:rsidRPr="001927C3">
              <w:rPr>
                <w:noProof/>
              </w:rPr>
              <w:t xml:space="preserve">The Commission shall maintain a publicly accessible register of its decisions referred to in Article </w:t>
            </w:r>
            <w:r>
              <w:rPr>
                <w:noProof/>
              </w:rPr>
              <w:t>105(4)</w:t>
            </w:r>
            <w:r w:rsidRPr="001927C3">
              <w:rPr>
                <w:noProof/>
              </w:rPr>
              <w:t>. The regist</w:t>
            </w:r>
            <w:r w:rsidR="008B7BA3">
              <w:rPr>
                <w:noProof/>
              </w:rPr>
              <w:t>er</w:t>
            </w:r>
            <w:r w:rsidRPr="001927C3">
              <w:rPr>
                <w:noProof/>
              </w:rPr>
              <w:t xml:space="preserve"> shall state the names of the entities that have been subject to the decisions.</w:t>
            </w:r>
            <w:r>
              <w:rPr>
                <w:noProof/>
              </w:rPr>
              <w:t xml:space="preserve"> The Commission shall update it regularly.</w:t>
            </w:r>
          </w:p>
          <w:p w14:paraId="3E1252B3" w14:textId="77777777" w:rsidR="00EE499D" w:rsidRPr="00F41D6E" w:rsidRDefault="00EE499D" w:rsidP="00EE499D">
            <w:pPr>
              <w:jc w:val="left"/>
              <w:rPr>
                <w:noProof/>
              </w:rPr>
            </w:pPr>
          </w:p>
          <w:p w14:paraId="5FFB82A1" w14:textId="77777777" w:rsidR="00EE499D" w:rsidRPr="00F41D6E" w:rsidRDefault="00EE499D" w:rsidP="00EE499D">
            <w:pPr>
              <w:jc w:val="left"/>
              <w:rPr>
                <w:noProof/>
              </w:rPr>
            </w:pPr>
          </w:p>
          <w:p w14:paraId="4ECF4004" w14:textId="77777777" w:rsidR="00EE499D" w:rsidRPr="00F41D6E" w:rsidRDefault="00EE499D" w:rsidP="00EE499D">
            <w:pPr>
              <w:jc w:val="left"/>
              <w:rPr>
                <w:noProof/>
              </w:rPr>
            </w:pPr>
          </w:p>
          <w:p w14:paraId="67E18CD3" w14:textId="77777777" w:rsidR="00EE499D" w:rsidRPr="0057502F" w:rsidRDefault="00EE499D" w:rsidP="00EE499D">
            <w:pPr>
              <w:spacing w:before="0" w:after="0"/>
              <w:jc w:val="left"/>
              <w:textAlignment w:val="baseline"/>
              <w:rPr>
                <w:rFonts w:eastAsia="Times New Roman"/>
                <w:noProof/>
                <w:szCs w:val="24"/>
                <w:lang w:eastAsia="en-IE"/>
              </w:rPr>
            </w:pPr>
          </w:p>
        </w:tc>
        <w:tc>
          <w:tcPr>
            <w:tcW w:w="1669" w:type="dxa"/>
            <w:tcBorders>
              <w:top w:val="single" w:sz="6" w:space="0" w:color="auto"/>
              <w:left w:val="single" w:sz="6" w:space="0" w:color="auto"/>
              <w:bottom w:val="single" w:sz="6" w:space="0" w:color="auto"/>
              <w:right w:val="single" w:sz="6" w:space="0" w:color="auto"/>
            </w:tcBorders>
          </w:tcPr>
          <w:p w14:paraId="52E46234" w14:textId="7FD7B802" w:rsidR="00EE499D" w:rsidRPr="0057502F" w:rsidRDefault="00EE499D" w:rsidP="00EE499D">
            <w:pPr>
              <w:spacing w:before="0" w:after="0"/>
              <w:jc w:val="left"/>
              <w:textAlignment w:val="baseline"/>
              <w:rPr>
                <w:rFonts w:eastAsia="Times New Roman"/>
                <w:noProof/>
                <w:szCs w:val="24"/>
                <w:lang w:eastAsia="en-IE"/>
              </w:rPr>
            </w:pPr>
            <w:r>
              <w:rPr>
                <w:noProof/>
              </w:rPr>
              <w:t>Commission</w:t>
            </w:r>
          </w:p>
        </w:tc>
        <w:tc>
          <w:tcPr>
            <w:tcW w:w="1242" w:type="dxa"/>
            <w:tcBorders>
              <w:top w:val="single" w:sz="6" w:space="0" w:color="auto"/>
              <w:left w:val="single" w:sz="6" w:space="0" w:color="auto"/>
              <w:bottom w:val="single" w:sz="6" w:space="0" w:color="auto"/>
              <w:right w:val="single" w:sz="6" w:space="0" w:color="auto"/>
            </w:tcBorders>
          </w:tcPr>
          <w:p w14:paraId="11BB2DC6" w14:textId="77777777" w:rsidR="00EE499D" w:rsidRPr="00F41D6E" w:rsidRDefault="00EE499D" w:rsidP="00EE499D">
            <w:pPr>
              <w:jc w:val="left"/>
              <w:rPr>
                <w:noProof/>
              </w:rPr>
            </w:pPr>
            <w:r>
              <w:rPr>
                <w:noProof/>
              </w:rPr>
              <w:t>“</w:t>
            </w:r>
            <w:r w:rsidRPr="001927C3">
              <w:rPr>
                <w:noProof/>
              </w:rPr>
              <w:t>The Commission shall maintain a publicly accessible register</w:t>
            </w:r>
            <w:r>
              <w:rPr>
                <w:noProof/>
              </w:rPr>
              <w:t>”</w:t>
            </w:r>
          </w:p>
          <w:p w14:paraId="54D7C0F2" w14:textId="77777777" w:rsidR="00EE499D" w:rsidRPr="00F41D6E" w:rsidRDefault="00EE499D" w:rsidP="00EE499D">
            <w:pPr>
              <w:jc w:val="left"/>
              <w:rPr>
                <w:noProof/>
              </w:rPr>
            </w:pPr>
          </w:p>
          <w:p w14:paraId="7411F0B5" w14:textId="77777777" w:rsidR="00EE499D" w:rsidRPr="00F41D6E" w:rsidRDefault="00EE499D" w:rsidP="00EE499D">
            <w:pPr>
              <w:jc w:val="left"/>
              <w:rPr>
                <w:noProof/>
              </w:rPr>
            </w:pPr>
          </w:p>
          <w:p w14:paraId="6F4C4610" w14:textId="77777777" w:rsidR="00EE499D" w:rsidRPr="00F41D6E" w:rsidRDefault="00EE499D" w:rsidP="00EE499D">
            <w:pPr>
              <w:jc w:val="left"/>
              <w:rPr>
                <w:noProof/>
              </w:rPr>
            </w:pPr>
          </w:p>
          <w:p w14:paraId="5C28CCD2" w14:textId="77777777" w:rsidR="00EE499D" w:rsidRPr="00F41D6E" w:rsidRDefault="00EE499D" w:rsidP="00EE499D">
            <w:pPr>
              <w:jc w:val="left"/>
              <w:rPr>
                <w:noProof/>
              </w:rPr>
            </w:pPr>
          </w:p>
          <w:p w14:paraId="24467B9E" w14:textId="77777777" w:rsidR="00EE499D" w:rsidRPr="00F41D6E" w:rsidRDefault="00EE499D" w:rsidP="00EE499D">
            <w:pPr>
              <w:jc w:val="left"/>
              <w:rPr>
                <w:noProof/>
              </w:rPr>
            </w:pPr>
          </w:p>
          <w:p w14:paraId="1E983FC8" w14:textId="77777777" w:rsidR="00EE499D" w:rsidRPr="0057502F" w:rsidRDefault="00EE499D" w:rsidP="00EE499D">
            <w:pPr>
              <w:spacing w:before="0" w:after="0"/>
              <w:jc w:val="left"/>
              <w:textAlignment w:val="baseline"/>
              <w:rPr>
                <w:rFonts w:eastAsia="Times New Roman"/>
                <w:noProof/>
                <w:szCs w:val="24"/>
                <w:lang w:eastAsia="en-IE"/>
              </w:rPr>
            </w:pPr>
          </w:p>
        </w:tc>
        <w:tc>
          <w:tcPr>
            <w:tcW w:w="1362" w:type="dxa"/>
            <w:tcBorders>
              <w:top w:val="single" w:sz="6" w:space="0" w:color="auto"/>
              <w:left w:val="single" w:sz="6" w:space="0" w:color="auto"/>
              <w:bottom w:val="single" w:sz="6" w:space="0" w:color="auto"/>
              <w:right w:val="single" w:sz="6" w:space="0" w:color="auto"/>
            </w:tcBorders>
          </w:tcPr>
          <w:p w14:paraId="3F012262" w14:textId="77777777" w:rsidR="00EE499D" w:rsidRPr="00F41D6E" w:rsidRDefault="00EE499D" w:rsidP="00EE499D">
            <w:pPr>
              <w:jc w:val="left"/>
              <w:rPr>
                <w:noProof/>
              </w:rPr>
            </w:pPr>
            <w:r>
              <w:rPr>
                <w:noProof/>
              </w:rPr>
              <w:t>N/A</w:t>
            </w:r>
          </w:p>
          <w:p w14:paraId="2990D61B" w14:textId="77777777" w:rsidR="00EE499D" w:rsidRPr="00F41D6E" w:rsidRDefault="00EE499D" w:rsidP="00EE499D">
            <w:pPr>
              <w:jc w:val="left"/>
              <w:rPr>
                <w:noProof/>
              </w:rPr>
            </w:pPr>
          </w:p>
          <w:p w14:paraId="34728EBE" w14:textId="77777777" w:rsidR="00EE499D" w:rsidRPr="00F41D6E" w:rsidRDefault="00EE499D" w:rsidP="00EE499D">
            <w:pPr>
              <w:jc w:val="left"/>
              <w:rPr>
                <w:noProof/>
              </w:rPr>
            </w:pPr>
          </w:p>
          <w:p w14:paraId="29DAED0F" w14:textId="77777777" w:rsidR="00EE499D" w:rsidRPr="00F41D6E" w:rsidRDefault="00EE499D" w:rsidP="00EE499D">
            <w:pPr>
              <w:jc w:val="left"/>
              <w:rPr>
                <w:noProof/>
              </w:rPr>
            </w:pPr>
          </w:p>
          <w:p w14:paraId="4EC530B7" w14:textId="77777777" w:rsidR="00EE499D" w:rsidRPr="00F41D6E" w:rsidRDefault="00EE499D" w:rsidP="00EE499D">
            <w:pPr>
              <w:jc w:val="left"/>
              <w:rPr>
                <w:noProof/>
              </w:rPr>
            </w:pPr>
          </w:p>
          <w:p w14:paraId="7DEAB544" w14:textId="77777777" w:rsidR="00EE499D" w:rsidRPr="00F41D6E" w:rsidRDefault="00EE499D" w:rsidP="00EE499D">
            <w:pPr>
              <w:jc w:val="left"/>
              <w:rPr>
                <w:noProof/>
              </w:rPr>
            </w:pPr>
          </w:p>
          <w:p w14:paraId="51D39BCB" w14:textId="77777777" w:rsidR="00EE499D" w:rsidRPr="0057502F" w:rsidRDefault="00EE499D" w:rsidP="00EE499D">
            <w:pPr>
              <w:spacing w:before="0" w:after="0"/>
              <w:jc w:val="left"/>
              <w:textAlignment w:val="baseline"/>
              <w:rPr>
                <w:rFonts w:eastAsia="Times New Roman"/>
                <w:noProof/>
                <w:szCs w:val="24"/>
                <w:lang w:eastAsia="en-IE"/>
              </w:rPr>
            </w:pPr>
          </w:p>
        </w:tc>
        <w:tc>
          <w:tcPr>
            <w:tcW w:w="1269" w:type="dxa"/>
            <w:tcBorders>
              <w:top w:val="single" w:sz="6" w:space="0" w:color="auto"/>
              <w:left w:val="single" w:sz="6" w:space="0" w:color="auto"/>
              <w:bottom w:val="single" w:sz="6" w:space="0" w:color="auto"/>
              <w:right w:val="single" w:sz="6" w:space="0" w:color="auto"/>
            </w:tcBorders>
          </w:tcPr>
          <w:p w14:paraId="3038FB46" w14:textId="77777777" w:rsidR="00EE499D" w:rsidRPr="00F41D6E" w:rsidRDefault="00EE499D" w:rsidP="00EE499D">
            <w:pPr>
              <w:jc w:val="left"/>
              <w:rPr>
                <w:noProof/>
              </w:rPr>
            </w:pPr>
            <w:r>
              <w:rPr>
                <w:noProof/>
              </w:rPr>
              <w:t>N/A</w:t>
            </w:r>
          </w:p>
          <w:p w14:paraId="150C72CA" w14:textId="77777777" w:rsidR="00EE499D" w:rsidRPr="00F41D6E" w:rsidRDefault="00EE499D" w:rsidP="00EE499D">
            <w:pPr>
              <w:jc w:val="left"/>
              <w:rPr>
                <w:noProof/>
              </w:rPr>
            </w:pPr>
          </w:p>
          <w:p w14:paraId="199C785E" w14:textId="77777777" w:rsidR="00EE499D" w:rsidRPr="00F41D6E" w:rsidRDefault="00EE499D" w:rsidP="00EE499D">
            <w:pPr>
              <w:jc w:val="left"/>
              <w:rPr>
                <w:noProof/>
              </w:rPr>
            </w:pPr>
          </w:p>
          <w:p w14:paraId="22C25E7B" w14:textId="77777777" w:rsidR="00EE499D" w:rsidRPr="00F41D6E" w:rsidRDefault="00EE499D" w:rsidP="00EE499D">
            <w:pPr>
              <w:jc w:val="left"/>
              <w:rPr>
                <w:noProof/>
              </w:rPr>
            </w:pPr>
          </w:p>
          <w:p w14:paraId="15AF4E3B" w14:textId="77777777" w:rsidR="00EE499D" w:rsidRPr="00F41D6E" w:rsidRDefault="00EE499D" w:rsidP="00EE499D">
            <w:pPr>
              <w:jc w:val="left"/>
              <w:rPr>
                <w:noProof/>
              </w:rPr>
            </w:pPr>
          </w:p>
          <w:p w14:paraId="0158F418" w14:textId="77777777" w:rsidR="00EE499D" w:rsidRPr="00F41D6E" w:rsidRDefault="00EE499D" w:rsidP="00EE499D">
            <w:pPr>
              <w:jc w:val="left"/>
              <w:rPr>
                <w:noProof/>
              </w:rPr>
            </w:pPr>
          </w:p>
          <w:p w14:paraId="4C98FB35" w14:textId="77777777" w:rsidR="00EE499D" w:rsidRPr="00F41D6E" w:rsidRDefault="00EE499D" w:rsidP="00EE499D">
            <w:pPr>
              <w:jc w:val="left"/>
              <w:rPr>
                <w:noProof/>
              </w:rPr>
            </w:pPr>
          </w:p>
          <w:p w14:paraId="23EA0CD4" w14:textId="77777777" w:rsidR="00EE499D" w:rsidRPr="00F41D6E" w:rsidRDefault="00EE499D" w:rsidP="00EE499D">
            <w:pPr>
              <w:jc w:val="left"/>
              <w:rPr>
                <w:noProof/>
              </w:rPr>
            </w:pPr>
          </w:p>
          <w:p w14:paraId="64FAE785" w14:textId="77777777" w:rsidR="00EE499D" w:rsidRPr="00F41D6E" w:rsidRDefault="00EE499D" w:rsidP="00EE499D">
            <w:pPr>
              <w:jc w:val="left"/>
              <w:rPr>
                <w:noProof/>
              </w:rPr>
            </w:pPr>
          </w:p>
          <w:p w14:paraId="0890D69A" w14:textId="77777777" w:rsidR="00EE499D" w:rsidRPr="00F41D6E" w:rsidRDefault="00EE499D" w:rsidP="00EE499D">
            <w:pPr>
              <w:jc w:val="left"/>
              <w:rPr>
                <w:noProof/>
              </w:rPr>
            </w:pPr>
          </w:p>
          <w:p w14:paraId="3E0CA72B" w14:textId="77777777" w:rsidR="00EE499D" w:rsidRPr="0057502F" w:rsidRDefault="00EE499D" w:rsidP="00EE499D">
            <w:pPr>
              <w:spacing w:before="0" w:after="0"/>
              <w:jc w:val="left"/>
              <w:textAlignment w:val="baseline"/>
              <w:rPr>
                <w:rFonts w:eastAsia="Times New Roman"/>
                <w:noProof/>
                <w:szCs w:val="24"/>
                <w:lang w:eastAsia="en-IE"/>
              </w:rPr>
            </w:pPr>
          </w:p>
        </w:tc>
      </w:tr>
      <w:tr w:rsidR="00EE499D" w:rsidRPr="0057502F" w14:paraId="68544DE5" w14:textId="77777777" w:rsidTr="00EE499D">
        <w:trPr>
          <w:trHeight w:val="285"/>
        </w:trPr>
        <w:tc>
          <w:tcPr>
            <w:tcW w:w="4755" w:type="dxa"/>
            <w:tcBorders>
              <w:top w:val="single" w:sz="6" w:space="0" w:color="auto"/>
              <w:left w:val="single" w:sz="6" w:space="0" w:color="auto"/>
              <w:bottom w:val="single" w:sz="6" w:space="0" w:color="auto"/>
              <w:right w:val="single" w:sz="6" w:space="0" w:color="auto"/>
            </w:tcBorders>
          </w:tcPr>
          <w:p w14:paraId="44EC30B5" w14:textId="37857A08" w:rsidR="00EE499D" w:rsidRPr="008F0AA6" w:rsidRDefault="00EE499D" w:rsidP="00EE499D">
            <w:pPr>
              <w:spacing w:before="0" w:after="0"/>
              <w:jc w:val="left"/>
              <w:textAlignment w:val="baseline"/>
              <w:rPr>
                <w:rFonts w:eastAsia="Times New Roman"/>
                <w:b/>
                <w:noProof/>
                <w:szCs w:val="24"/>
                <w:lang w:eastAsia="en-IE"/>
              </w:rPr>
            </w:pPr>
            <w:r>
              <w:rPr>
                <w:noProof/>
              </w:rPr>
              <w:t>Platform (for cooperation and exchange of information between the Commission and competent authorities)</w:t>
            </w:r>
          </w:p>
        </w:tc>
        <w:tc>
          <w:tcPr>
            <w:tcW w:w="1668" w:type="dxa"/>
            <w:tcBorders>
              <w:top w:val="single" w:sz="6" w:space="0" w:color="auto"/>
              <w:left w:val="single" w:sz="6" w:space="0" w:color="auto"/>
              <w:bottom w:val="single" w:sz="6" w:space="0" w:color="auto"/>
              <w:right w:val="single" w:sz="6" w:space="0" w:color="auto"/>
            </w:tcBorders>
          </w:tcPr>
          <w:p w14:paraId="341564A6" w14:textId="16A76591" w:rsidR="00EE499D" w:rsidRPr="0057502F" w:rsidRDefault="00EE499D" w:rsidP="00EE499D">
            <w:pPr>
              <w:spacing w:before="0" w:after="0"/>
              <w:jc w:val="left"/>
              <w:textAlignment w:val="baseline"/>
              <w:rPr>
                <w:rFonts w:eastAsia="Times New Roman"/>
                <w:noProof/>
                <w:szCs w:val="24"/>
                <w:lang w:eastAsia="en-IE"/>
              </w:rPr>
            </w:pPr>
            <w:r>
              <w:rPr>
                <w:noProof/>
              </w:rPr>
              <w:t>Article 113</w:t>
            </w:r>
          </w:p>
        </w:tc>
        <w:tc>
          <w:tcPr>
            <w:tcW w:w="2622" w:type="dxa"/>
            <w:tcBorders>
              <w:top w:val="single" w:sz="6" w:space="0" w:color="auto"/>
              <w:left w:val="single" w:sz="6" w:space="0" w:color="auto"/>
              <w:bottom w:val="single" w:sz="6" w:space="0" w:color="auto"/>
              <w:right w:val="single" w:sz="6" w:space="0" w:color="auto"/>
            </w:tcBorders>
          </w:tcPr>
          <w:p w14:paraId="33C3066D" w14:textId="219F95A6" w:rsidR="00EE499D" w:rsidRPr="0057502F" w:rsidRDefault="00CE78FD" w:rsidP="00EE499D">
            <w:pPr>
              <w:spacing w:before="0" w:after="0"/>
              <w:jc w:val="left"/>
              <w:textAlignment w:val="baseline"/>
              <w:rPr>
                <w:rFonts w:eastAsia="Times New Roman"/>
                <w:noProof/>
                <w:szCs w:val="24"/>
                <w:lang w:eastAsia="en-IE"/>
              </w:rPr>
            </w:pPr>
            <w:r>
              <w:rPr>
                <w:noProof/>
                <w:szCs w:val="24"/>
              </w:rPr>
              <w:t>T</w:t>
            </w:r>
            <w:r w:rsidR="00EE499D" w:rsidRPr="1217FE8A">
              <w:rPr>
                <w:noProof/>
                <w:szCs w:val="24"/>
              </w:rPr>
              <w:t>he Commission shall set up a network for cooperation of competent authorities of Member State and the Commission to serve as a platform for cooperation and exchange of information. The Commission shall provide the administrative support to the network.</w:t>
            </w:r>
          </w:p>
        </w:tc>
        <w:tc>
          <w:tcPr>
            <w:tcW w:w="1669" w:type="dxa"/>
            <w:tcBorders>
              <w:top w:val="single" w:sz="6" w:space="0" w:color="auto"/>
              <w:left w:val="single" w:sz="6" w:space="0" w:color="auto"/>
              <w:bottom w:val="single" w:sz="6" w:space="0" w:color="auto"/>
              <w:right w:val="single" w:sz="6" w:space="0" w:color="auto"/>
            </w:tcBorders>
          </w:tcPr>
          <w:p w14:paraId="5BDA606F" w14:textId="4EB997E3" w:rsidR="00EE499D" w:rsidRPr="0057502F" w:rsidRDefault="00EE499D" w:rsidP="00EE499D">
            <w:pPr>
              <w:spacing w:before="0" w:after="0"/>
              <w:jc w:val="left"/>
              <w:textAlignment w:val="baseline"/>
              <w:rPr>
                <w:rFonts w:eastAsia="Times New Roman"/>
                <w:noProof/>
                <w:szCs w:val="24"/>
                <w:lang w:eastAsia="en-IE"/>
              </w:rPr>
            </w:pPr>
            <w:r>
              <w:rPr>
                <w:noProof/>
              </w:rPr>
              <w:t>Commission</w:t>
            </w:r>
          </w:p>
        </w:tc>
        <w:tc>
          <w:tcPr>
            <w:tcW w:w="1242" w:type="dxa"/>
            <w:tcBorders>
              <w:top w:val="single" w:sz="6" w:space="0" w:color="auto"/>
              <w:left w:val="single" w:sz="6" w:space="0" w:color="auto"/>
              <w:bottom w:val="single" w:sz="6" w:space="0" w:color="auto"/>
              <w:right w:val="single" w:sz="6" w:space="0" w:color="auto"/>
            </w:tcBorders>
          </w:tcPr>
          <w:p w14:paraId="63B25E2F" w14:textId="4104CFC8" w:rsidR="00EE499D" w:rsidRPr="0057502F" w:rsidRDefault="00EE499D" w:rsidP="00EE499D">
            <w:pPr>
              <w:spacing w:before="0" w:after="0"/>
              <w:jc w:val="left"/>
              <w:textAlignment w:val="baseline"/>
              <w:rPr>
                <w:rFonts w:eastAsia="Times New Roman"/>
                <w:noProof/>
                <w:szCs w:val="24"/>
                <w:lang w:eastAsia="en-IE"/>
              </w:rPr>
            </w:pPr>
            <w:r>
              <w:rPr>
                <w:noProof/>
              </w:rPr>
              <w:t>Not public, only for competent authorities</w:t>
            </w:r>
          </w:p>
        </w:tc>
        <w:tc>
          <w:tcPr>
            <w:tcW w:w="1362" w:type="dxa"/>
            <w:tcBorders>
              <w:top w:val="single" w:sz="6" w:space="0" w:color="auto"/>
              <w:left w:val="single" w:sz="6" w:space="0" w:color="auto"/>
              <w:bottom w:val="single" w:sz="6" w:space="0" w:color="auto"/>
              <w:right w:val="single" w:sz="6" w:space="0" w:color="auto"/>
            </w:tcBorders>
          </w:tcPr>
          <w:p w14:paraId="70A41035" w14:textId="77777777" w:rsidR="00EE499D" w:rsidRPr="00F41D6E" w:rsidRDefault="00EE499D" w:rsidP="00EE499D">
            <w:pPr>
              <w:jc w:val="left"/>
              <w:rPr>
                <w:noProof/>
              </w:rPr>
            </w:pPr>
            <w:r>
              <w:rPr>
                <w:noProof/>
              </w:rPr>
              <w:t>N/A</w:t>
            </w:r>
          </w:p>
          <w:p w14:paraId="610EB850" w14:textId="77777777" w:rsidR="00EE499D" w:rsidRPr="00F41D6E" w:rsidRDefault="00EE499D" w:rsidP="00EE499D">
            <w:pPr>
              <w:jc w:val="left"/>
              <w:rPr>
                <w:noProof/>
              </w:rPr>
            </w:pPr>
          </w:p>
          <w:p w14:paraId="0CC1C708" w14:textId="77777777" w:rsidR="00EE499D" w:rsidRPr="00F41D6E" w:rsidRDefault="00EE499D" w:rsidP="00EE499D">
            <w:pPr>
              <w:jc w:val="left"/>
              <w:rPr>
                <w:noProof/>
              </w:rPr>
            </w:pPr>
          </w:p>
          <w:p w14:paraId="00FD3BF3" w14:textId="77777777" w:rsidR="00EE499D" w:rsidRPr="00F41D6E" w:rsidRDefault="00EE499D" w:rsidP="00EE499D">
            <w:pPr>
              <w:jc w:val="left"/>
              <w:rPr>
                <w:noProof/>
              </w:rPr>
            </w:pPr>
          </w:p>
          <w:p w14:paraId="0DF19C0B" w14:textId="77777777" w:rsidR="00EE499D" w:rsidRPr="00F41D6E" w:rsidRDefault="00EE499D" w:rsidP="00EE499D">
            <w:pPr>
              <w:jc w:val="left"/>
              <w:rPr>
                <w:noProof/>
              </w:rPr>
            </w:pPr>
          </w:p>
          <w:p w14:paraId="08FBFF68" w14:textId="77777777" w:rsidR="00EE499D" w:rsidRPr="00F41D6E" w:rsidRDefault="00EE499D" w:rsidP="00EE499D">
            <w:pPr>
              <w:jc w:val="left"/>
              <w:rPr>
                <w:noProof/>
              </w:rPr>
            </w:pPr>
          </w:p>
          <w:p w14:paraId="4681FA9B" w14:textId="77777777" w:rsidR="00EE499D" w:rsidRPr="00F41D6E" w:rsidRDefault="00EE499D" w:rsidP="00EE499D">
            <w:pPr>
              <w:jc w:val="left"/>
              <w:rPr>
                <w:noProof/>
              </w:rPr>
            </w:pPr>
          </w:p>
          <w:p w14:paraId="0377E8E3" w14:textId="77777777" w:rsidR="00EE499D" w:rsidRPr="00F41D6E" w:rsidRDefault="00EE499D" w:rsidP="00EE499D">
            <w:pPr>
              <w:jc w:val="left"/>
              <w:rPr>
                <w:noProof/>
              </w:rPr>
            </w:pPr>
          </w:p>
          <w:p w14:paraId="2A2DFCB8" w14:textId="77777777" w:rsidR="00EE499D" w:rsidRPr="00F41D6E" w:rsidRDefault="00EE499D" w:rsidP="00EE499D">
            <w:pPr>
              <w:jc w:val="left"/>
              <w:rPr>
                <w:noProof/>
              </w:rPr>
            </w:pPr>
          </w:p>
          <w:p w14:paraId="4144F7C9" w14:textId="77777777" w:rsidR="00EE499D" w:rsidRPr="00F41D6E" w:rsidRDefault="00EE499D" w:rsidP="00EE499D">
            <w:pPr>
              <w:jc w:val="left"/>
              <w:rPr>
                <w:noProof/>
              </w:rPr>
            </w:pPr>
          </w:p>
          <w:p w14:paraId="4CD42570" w14:textId="77777777" w:rsidR="00EE499D" w:rsidRPr="0057502F" w:rsidRDefault="00EE499D" w:rsidP="00EE499D">
            <w:pPr>
              <w:spacing w:before="0" w:after="0"/>
              <w:jc w:val="left"/>
              <w:textAlignment w:val="baseline"/>
              <w:rPr>
                <w:rFonts w:eastAsia="Times New Roman"/>
                <w:noProof/>
                <w:szCs w:val="24"/>
                <w:lang w:eastAsia="en-IE"/>
              </w:rPr>
            </w:pPr>
          </w:p>
        </w:tc>
        <w:tc>
          <w:tcPr>
            <w:tcW w:w="1269" w:type="dxa"/>
            <w:tcBorders>
              <w:top w:val="single" w:sz="6" w:space="0" w:color="auto"/>
              <w:left w:val="single" w:sz="6" w:space="0" w:color="auto"/>
              <w:bottom w:val="single" w:sz="6" w:space="0" w:color="auto"/>
              <w:right w:val="single" w:sz="6" w:space="0" w:color="auto"/>
            </w:tcBorders>
          </w:tcPr>
          <w:p w14:paraId="0DE2A4CD" w14:textId="77777777" w:rsidR="00EE499D" w:rsidRPr="00F41D6E" w:rsidRDefault="00EE499D" w:rsidP="00EE499D">
            <w:pPr>
              <w:jc w:val="left"/>
              <w:rPr>
                <w:noProof/>
              </w:rPr>
            </w:pPr>
            <w:r>
              <w:rPr>
                <w:noProof/>
              </w:rPr>
              <w:t>N/A</w:t>
            </w:r>
          </w:p>
          <w:p w14:paraId="4AD90A96" w14:textId="77777777" w:rsidR="00EE499D" w:rsidRPr="00F41D6E" w:rsidRDefault="00EE499D" w:rsidP="00EE499D">
            <w:pPr>
              <w:jc w:val="left"/>
              <w:rPr>
                <w:noProof/>
              </w:rPr>
            </w:pPr>
          </w:p>
          <w:p w14:paraId="03780C97" w14:textId="77777777" w:rsidR="00EE499D" w:rsidRPr="00F41D6E" w:rsidRDefault="00EE499D" w:rsidP="00EE499D">
            <w:pPr>
              <w:jc w:val="left"/>
              <w:rPr>
                <w:noProof/>
              </w:rPr>
            </w:pPr>
          </w:p>
          <w:p w14:paraId="2F87A624" w14:textId="77777777" w:rsidR="00EE499D" w:rsidRPr="00F41D6E" w:rsidRDefault="00EE499D" w:rsidP="00EE499D">
            <w:pPr>
              <w:jc w:val="left"/>
              <w:rPr>
                <w:noProof/>
              </w:rPr>
            </w:pPr>
          </w:p>
          <w:p w14:paraId="01FD9025" w14:textId="77777777" w:rsidR="00EE499D" w:rsidRPr="00F41D6E" w:rsidRDefault="00EE499D" w:rsidP="00EE499D">
            <w:pPr>
              <w:jc w:val="left"/>
              <w:rPr>
                <w:noProof/>
              </w:rPr>
            </w:pPr>
          </w:p>
          <w:p w14:paraId="778F7F7B" w14:textId="77777777" w:rsidR="00EE499D" w:rsidRPr="00F41D6E" w:rsidRDefault="00EE499D" w:rsidP="00EE499D">
            <w:pPr>
              <w:jc w:val="left"/>
              <w:rPr>
                <w:noProof/>
              </w:rPr>
            </w:pPr>
          </w:p>
          <w:p w14:paraId="571A79AF" w14:textId="77777777" w:rsidR="00EE499D" w:rsidRPr="00F41D6E" w:rsidRDefault="00EE499D" w:rsidP="00EE499D">
            <w:pPr>
              <w:jc w:val="left"/>
              <w:rPr>
                <w:noProof/>
              </w:rPr>
            </w:pPr>
          </w:p>
          <w:p w14:paraId="2DBB23FD" w14:textId="77777777" w:rsidR="00EE499D" w:rsidRPr="00F41D6E" w:rsidRDefault="00EE499D" w:rsidP="00EE499D">
            <w:pPr>
              <w:jc w:val="left"/>
              <w:rPr>
                <w:noProof/>
              </w:rPr>
            </w:pPr>
          </w:p>
          <w:p w14:paraId="7F606C96" w14:textId="77777777" w:rsidR="00EE499D" w:rsidRPr="00F41D6E" w:rsidRDefault="00EE499D" w:rsidP="00EE499D">
            <w:pPr>
              <w:jc w:val="left"/>
              <w:rPr>
                <w:noProof/>
              </w:rPr>
            </w:pPr>
          </w:p>
          <w:p w14:paraId="3132A1DE" w14:textId="77777777" w:rsidR="00EE499D" w:rsidRPr="00F41D6E" w:rsidRDefault="00EE499D" w:rsidP="00EE499D">
            <w:pPr>
              <w:jc w:val="left"/>
              <w:rPr>
                <w:noProof/>
              </w:rPr>
            </w:pPr>
          </w:p>
          <w:p w14:paraId="01AD16E7" w14:textId="77777777" w:rsidR="00EE499D" w:rsidRPr="0057502F" w:rsidRDefault="00EE499D" w:rsidP="00EE499D">
            <w:pPr>
              <w:spacing w:before="0" w:after="0"/>
              <w:jc w:val="left"/>
              <w:textAlignment w:val="baseline"/>
              <w:rPr>
                <w:rFonts w:eastAsia="Times New Roman"/>
                <w:noProof/>
                <w:szCs w:val="24"/>
                <w:lang w:eastAsia="en-IE"/>
              </w:rPr>
            </w:pPr>
          </w:p>
        </w:tc>
      </w:tr>
      <w:tr w:rsidR="007476E9" w:rsidRPr="0057502F" w14:paraId="751BDB61" w14:textId="77777777" w:rsidTr="00EE499D">
        <w:trPr>
          <w:trHeight w:val="285"/>
        </w:trPr>
        <w:tc>
          <w:tcPr>
            <w:tcW w:w="4755" w:type="dxa"/>
            <w:tcBorders>
              <w:top w:val="single" w:sz="6" w:space="0" w:color="auto"/>
              <w:left w:val="single" w:sz="6" w:space="0" w:color="auto"/>
              <w:bottom w:val="single" w:sz="6" w:space="0" w:color="auto"/>
              <w:right w:val="single" w:sz="6" w:space="0" w:color="auto"/>
            </w:tcBorders>
            <w:hideMark/>
          </w:tcPr>
          <w:p w14:paraId="668A9F46"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8F0AA6">
              <w:rPr>
                <w:rFonts w:eastAsia="Times New Roman"/>
                <w:b/>
                <w:noProof/>
                <w:szCs w:val="24"/>
                <w:lang w:eastAsia="en-IE"/>
              </w:rPr>
              <w:t>ENISA shall create and maintain a registry of essential and important entities</w:t>
            </w:r>
            <w:r w:rsidRPr="0057502F">
              <w:rPr>
                <w:rFonts w:eastAsia="Times New Roman"/>
                <w:noProof/>
                <w:szCs w:val="24"/>
                <w:lang w:eastAsia="en-IE"/>
              </w:rPr>
              <w:t xml:space="preserve"> as well as entities providing domain name registration services</w:t>
            </w:r>
            <w:r w:rsidRPr="0057502F">
              <w:rPr>
                <w:rFonts w:eastAsia="Times New Roman"/>
                <w:noProof/>
                <w:szCs w:val="24"/>
                <w:lang w:val="en-IE" w:eastAsia="en-IE"/>
              </w:rPr>
              <w:t> </w:t>
            </w:r>
          </w:p>
        </w:tc>
        <w:tc>
          <w:tcPr>
            <w:tcW w:w="1668" w:type="dxa"/>
            <w:tcBorders>
              <w:top w:val="single" w:sz="6" w:space="0" w:color="auto"/>
              <w:left w:val="single" w:sz="6" w:space="0" w:color="auto"/>
              <w:bottom w:val="single" w:sz="6" w:space="0" w:color="auto"/>
              <w:right w:val="single" w:sz="6" w:space="0" w:color="auto"/>
            </w:tcBorders>
            <w:hideMark/>
          </w:tcPr>
          <w:p w14:paraId="6F0D2761"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Article 1</w:t>
            </w:r>
            <w:r>
              <w:rPr>
                <w:rFonts w:eastAsia="Times New Roman"/>
                <w:noProof/>
                <w:szCs w:val="24"/>
                <w:lang w:eastAsia="en-IE"/>
              </w:rPr>
              <w:t>, point 11, Directive</w:t>
            </w:r>
            <w:r w:rsidRPr="0057502F">
              <w:rPr>
                <w:rFonts w:eastAsia="Times New Roman"/>
                <w:noProof/>
                <w:szCs w:val="24"/>
                <w:lang w:val="en-IE" w:eastAsia="en-IE"/>
              </w:rPr>
              <w:t> </w:t>
            </w:r>
          </w:p>
        </w:tc>
        <w:tc>
          <w:tcPr>
            <w:tcW w:w="2622" w:type="dxa"/>
            <w:tcBorders>
              <w:top w:val="single" w:sz="6" w:space="0" w:color="auto"/>
              <w:left w:val="single" w:sz="6" w:space="0" w:color="auto"/>
              <w:bottom w:val="single" w:sz="6" w:space="0" w:color="auto"/>
              <w:right w:val="single" w:sz="6" w:space="0" w:color="auto"/>
            </w:tcBorders>
            <w:hideMark/>
          </w:tcPr>
          <w:p w14:paraId="66ACA41B"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Registry of essential and important entities as well as entities providing domain name registration services</w:t>
            </w:r>
            <w:r w:rsidRPr="0057502F">
              <w:rPr>
                <w:rFonts w:eastAsia="Times New Roman"/>
                <w:noProof/>
                <w:szCs w:val="24"/>
                <w:lang w:val="en-IE" w:eastAsia="en-IE"/>
              </w:rPr>
              <w:t> </w:t>
            </w:r>
          </w:p>
        </w:tc>
        <w:tc>
          <w:tcPr>
            <w:tcW w:w="1669" w:type="dxa"/>
            <w:tcBorders>
              <w:top w:val="single" w:sz="6" w:space="0" w:color="auto"/>
              <w:left w:val="single" w:sz="6" w:space="0" w:color="auto"/>
              <w:bottom w:val="single" w:sz="6" w:space="0" w:color="auto"/>
              <w:right w:val="single" w:sz="6" w:space="0" w:color="auto"/>
            </w:tcBorders>
            <w:hideMark/>
          </w:tcPr>
          <w:p w14:paraId="082080FF"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ENISA</w:t>
            </w:r>
            <w:r w:rsidRPr="0057502F">
              <w:rPr>
                <w:rFonts w:eastAsia="Times New Roman"/>
                <w:noProof/>
                <w:szCs w:val="24"/>
                <w:lang w:val="en-IE" w:eastAsia="en-IE"/>
              </w:rPr>
              <w:t> </w:t>
            </w:r>
          </w:p>
        </w:tc>
        <w:tc>
          <w:tcPr>
            <w:tcW w:w="1242" w:type="dxa"/>
            <w:tcBorders>
              <w:top w:val="single" w:sz="6" w:space="0" w:color="auto"/>
              <w:left w:val="single" w:sz="6" w:space="0" w:color="auto"/>
              <w:bottom w:val="single" w:sz="6" w:space="0" w:color="auto"/>
              <w:right w:val="single" w:sz="6" w:space="0" w:color="auto"/>
            </w:tcBorders>
            <w:hideMark/>
          </w:tcPr>
          <w:p w14:paraId="62015A4D"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N/A</w:t>
            </w:r>
            <w:r w:rsidRPr="0057502F">
              <w:rPr>
                <w:rFonts w:eastAsia="Times New Roman"/>
                <w:noProof/>
                <w:szCs w:val="24"/>
                <w:lang w:val="en-IE" w:eastAsia="en-IE"/>
              </w:rPr>
              <w:t> </w:t>
            </w:r>
          </w:p>
        </w:tc>
        <w:tc>
          <w:tcPr>
            <w:tcW w:w="1362" w:type="dxa"/>
            <w:tcBorders>
              <w:top w:val="single" w:sz="6" w:space="0" w:color="auto"/>
              <w:left w:val="single" w:sz="6" w:space="0" w:color="auto"/>
              <w:bottom w:val="single" w:sz="6" w:space="0" w:color="auto"/>
              <w:right w:val="single" w:sz="6" w:space="0" w:color="auto"/>
            </w:tcBorders>
            <w:hideMark/>
          </w:tcPr>
          <w:p w14:paraId="68F2277E"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On the basis of the information received from the single points of contact in accordance with paragraph 2. (Article 27 NIS2 Directive)</w:t>
            </w:r>
            <w:r w:rsidRPr="0057502F">
              <w:rPr>
                <w:rFonts w:eastAsia="Times New Roman"/>
                <w:noProof/>
                <w:szCs w:val="24"/>
                <w:lang w:val="en-IE" w:eastAsia="en-IE"/>
              </w:rPr>
              <w:t> </w:t>
            </w:r>
          </w:p>
        </w:tc>
        <w:tc>
          <w:tcPr>
            <w:tcW w:w="1269" w:type="dxa"/>
            <w:tcBorders>
              <w:top w:val="single" w:sz="6" w:space="0" w:color="auto"/>
              <w:left w:val="single" w:sz="6" w:space="0" w:color="auto"/>
              <w:bottom w:val="single" w:sz="6" w:space="0" w:color="auto"/>
              <w:right w:val="single" w:sz="6" w:space="0" w:color="auto"/>
            </w:tcBorders>
            <w:hideMark/>
          </w:tcPr>
          <w:p w14:paraId="2CE1FFB7"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Cs w:val="24"/>
                <w:lang w:eastAsia="en-IE"/>
              </w:rPr>
              <w:t>N/A</w:t>
            </w:r>
            <w:r w:rsidRPr="0057502F">
              <w:rPr>
                <w:rFonts w:eastAsia="Times New Roman"/>
                <w:noProof/>
                <w:szCs w:val="24"/>
                <w:lang w:val="en-IE" w:eastAsia="en-IE"/>
              </w:rPr>
              <w:t> </w:t>
            </w:r>
          </w:p>
        </w:tc>
      </w:tr>
    </w:tbl>
    <w:p w14:paraId="48BC1884" w14:textId="77777777" w:rsidR="007476E9" w:rsidRDefault="007476E9" w:rsidP="007476E9">
      <w:pPr>
        <w:pStyle w:val="Text1"/>
        <w:ind w:left="0"/>
        <w:rPr>
          <w:noProof/>
        </w:rPr>
      </w:pPr>
      <w:r w:rsidRPr="0057502F">
        <w:rPr>
          <w:b/>
          <w:bCs/>
          <w:noProof/>
          <w:u w:val="single"/>
        </w:rPr>
        <w:t>Digital solutions included in the table above</w:t>
      </w:r>
      <w:r w:rsidRPr="0057502F">
        <w:rPr>
          <w:noProof/>
        </w:rPr>
        <w:t> </w:t>
      </w:r>
    </w:p>
    <w:tbl>
      <w:tblPr>
        <w:tblW w:w="1405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775"/>
        <w:gridCol w:w="8280"/>
      </w:tblGrid>
      <w:tr w:rsidR="007476E9" w:rsidRPr="0057502F" w14:paraId="29614E29" w14:textId="77777777">
        <w:tc>
          <w:tcPr>
            <w:tcW w:w="5775" w:type="dxa"/>
            <w:tcBorders>
              <w:top w:val="single" w:sz="6" w:space="0" w:color="auto"/>
              <w:left w:val="single" w:sz="6" w:space="0" w:color="auto"/>
              <w:bottom w:val="single" w:sz="6" w:space="0" w:color="auto"/>
              <w:right w:val="single" w:sz="6" w:space="0" w:color="auto"/>
            </w:tcBorders>
            <w:hideMark/>
          </w:tcPr>
          <w:p w14:paraId="73055897" w14:textId="77777777" w:rsidR="007476E9" w:rsidRPr="0057502F" w:rsidRDefault="007476E9">
            <w:pPr>
              <w:pStyle w:val="Text1"/>
              <w:ind w:left="851"/>
              <w:rPr>
                <w:noProof/>
                <w:lang w:val="en-IE"/>
              </w:rPr>
            </w:pPr>
            <w:r w:rsidRPr="0057502F">
              <w:rPr>
                <w:b/>
                <w:bCs/>
                <w:noProof/>
              </w:rPr>
              <w:t>Digital and/or sectorial policy (when these are applicable)</w:t>
            </w:r>
            <w:r w:rsidRPr="0057502F">
              <w:rPr>
                <w:noProof/>
                <w:lang w:val="en-IE"/>
              </w:rPr>
              <w:t> </w:t>
            </w:r>
          </w:p>
        </w:tc>
        <w:tc>
          <w:tcPr>
            <w:tcW w:w="8280" w:type="dxa"/>
            <w:tcBorders>
              <w:top w:val="single" w:sz="6" w:space="0" w:color="auto"/>
              <w:left w:val="single" w:sz="6" w:space="0" w:color="auto"/>
              <w:bottom w:val="single" w:sz="6" w:space="0" w:color="auto"/>
              <w:right w:val="single" w:sz="6" w:space="0" w:color="auto"/>
            </w:tcBorders>
            <w:hideMark/>
          </w:tcPr>
          <w:p w14:paraId="2F24947D" w14:textId="77777777" w:rsidR="007476E9" w:rsidRPr="0057502F" w:rsidRDefault="007476E9">
            <w:pPr>
              <w:pStyle w:val="Text1"/>
              <w:ind w:left="851"/>
              <w:rPr>
                <w:noProof/>
                <w:lang w:val="en-IE"/>
              </w:rPr>
            </w:pPr>
            <w:r w:rsidRPr="0057502F">
              <w:rPr>
                <w:b/>
                <w:bCs/>
                <w:noProof/>
              </w:rPr>
              <w:t>Explanation on how it aligns</w:t>
            </w:r>
            <w:r w:rsidRPr="0057502F">
              <w:rPr>
                <w:noProof/>
                <w:lang w:val="en-IE"/>
              </w:rPr>
              <w:t> </w:t>
            </w:r>
          </w:p>
        </w:tc>
      </w:tr>
      <w:tr w:rsidR="007476E9" w:rsidRPr="0057502F" w14:paraId="5A6F9BD7" w14:textId="77777777">
        <w:tc>
          <w:tcPr>
            <w:tcW w:w="5775" w:type="dxa"/>
            <w:tcBorders>
              <w:top w:val="single" w:sz="6" w:space="0" w:color="auto"/>
              <w:left w:val="single" w:sz="6" w:space="0" w:color="auto"/>
              <w:bottom w:val="single" w:sz="6" w:space="0" w:color="auto"/>
              <w:right w:val="single" w:sz="6" w:space="0" w:color="auto"/>
            </w:tcBorders>
            <w:hideMark/>
          </w:tcPr>
          <w:p w14:paraId="15005111" w14:textId="77777777" w:rsidR="007476E9" w:rsidRPr="0057502F" w:rsidRDefault="007476E9">
            <w:pPr>
              <w:pStyle w:val="Text1"/>
              <w:ind w:left="851"/>
              <w:rPr>
                <w:noProof/>
                <w:lang w:val="en-IE"/>
              </w:rPr>
            </w:pPr>
            <w:r w:rsidRPr="0057502F">
              <w:rPr>
                <w:b/>
                <w:bCs/>
                <w:i/>
                <w:iCs/>
                <w:noProof/>
              </w:rPr>
              <w:t>AI Act</w:t>
            </w:r>
            <w:r w:rsidRPr="0057502F">
              <w:rPr>
                <w:noProof/>
                <w:lang w:val="en-IE"/>
              </w:rPr>
              <w:t> </w:t>
            </w:r>
          </w:p>
        </w:tc>
        <w:tc>
          <w:tcPr>
            <w:tcW w:w="8280" w:type="dxa"/>
            <w:tcBorders>
              <w:top w:val="single" w:sz="6" w:space="0" w:color="auto"/>
              <w:left w:val="single" w:sz="6" w:space="0" w:color="auto"/>
              <w:bottom w:val="single" w:sz="6" w:space="0" w:color="auto"/>
              <w:right w:val="single" w:sz="6" w:space="0" w:color="auto"/>
            </w:tcBorders>
            <w:hideMark/>
          </w:tcPr>
          <w:p w14:paraId="4832A84E" w14:textId="77777777" w:rsidR="007476E9" w:rsidRPr="0057502F" w:rsidRDefault="007476E9">
            <w:pPr>
              <w:pStyle w:val="Text1"/>
              <w:ind w:left="851"/>
              <w:rPr>
                <w:noProof/>
                <w:lang w:val="en-IE"/>
              </w:rPr>
            </w:pPr>
            <w:r w:rsidRPr="0057502F">
              <w:rPr>
                <w:noProof/>
              </w:rPr>
              <w:t>N/A</w:t>
            </w:r>
            <w:r w:rsidRPr="0057502F">
              <w:rPr>
                <w:noProof/>
                <w:lang w:val="en-IE"/>
              </w:rPr>
              <w:t> </w:t>
            </w:r>
          </w:p>
        </w:tc>
      </w:tr>
      <w:tr w:rsidR="007476E9" w:rsidRPr="0057502F" w14:paraId="0519A8A4" w14:textId="77777777">
        <w:tc>
          <w:tcPr>
            <w:tcW w:w="5775" w:type="dxa"/>
            <w:tcBorders>
              <w:top w:val="single" w:sz="6" w:space="0" w:color="auto"/>
              <w:left w:val="single" w:sz="6" w:space="0" w:color="auto"/>
              <w:bottom w:val="single" w:sz="6" w:space="0" w:color="auto"/>
              <w:right w:val="single" w:sz="6" w:space="0" w:color="auto"/>
            </w:tcBorders>
            <w:hideMark/>
          </w:tcPr>
          <w:p w14:paraId="06BA6957" w14:textId="77777777" w:rsidR="007476E9" w:rsidRPr="0057502F" w:rsidRDefault="007476E9">
            <w:pPr>
              <w:pStyle w:val="Text1"/>
              <w:ind w:left="851"/>
              <w:rPr>
                <w:noProof/>
                <w:lang w:val="en-IE"/>
              </w:rPr>
            </w:pPr>
            <w:r w:rsidRPr="0057502F">
              <w:rPr>
                <w:b/>
                <w:bCs/>
                <w:i/>
                <w:iCs/>
                <w:noProof/>
              </w:rPr>
              <w:t>EU Cybersecurity framework</w:t>
            </w:r>
            <w:r w:rsidRPr="0057502F">
              <w:rPr>
                <w:noProof/>
                <w:lang w:val="en-IE"/>
              </w:rPr>
              <w:t> </w:t>
            </w:r>
          </w:p>
        </w:tc>
        <w:tc>
          <w:tcPr>
            <w:tcW w:w="8280" w:type="dxa"/>
            <w:tcBorders>
              <w:top w:val="single" w:sz="6" w:space="0" w:color="auto"/>
              <w:left w:val="single" w:sz="6" w:space="0" w:color="auto"/>
              <w:bottom w:val="single" w:sz="6" w:space="0" w:color="auto"/>
              <w:right w:val="single" w:sz="6" w:space="0" w:color="auto"/>
            </w:tcBorders>
            <w:hideMark/>
          </w:tcPr>
          <w:p w14:paraId="3867E71A" w14:textId="77777777" w:rsidR="007476E9" w:rsidRPr="0057502F" w:rsidRDefault="007476E9">
            <w:pPr>
              <w:pStyle w:val="Text1"/>
              <w:ind w:left="851"/>
              <w:rPr>
                <w:noProof/>
                <w:lang w:val="en-IE"/>
              </w:rPr>
            </w:pPr>
            <w:r w:rsidRPr="0057502F">
              <w:rPr>
                <w:noProof/>
              </w:rPr>
              <w:t>N/A</w:t>
            </w:r>
            <w:r w:rsidRPr="0057502F">
              <w:rPr>
                <w:noProof/>
                <w:lang w:val="en-IE"/>
              </w:rPr>
              <w:t> </w:t>
            </w:r>
          </w:p>
        </w:tc>
      </w:tr>
      <w:tr w:rsidR="007476E9" w:rsidRPr="0057502F" w14:paraId="7A52B290" w14:textId="77777777">
        <w:tc>
          <w:tcPr>
            <w:tcW w:w="5775" w:type="dxa"/>
            <w:tcBorders>
              <w:top w:val="single" w:sz="6" w:space="0" w:color="auto"/>
              <w:left w:val="single" w:sz="6" w:space="0" w:color="auto"/>
              <w:bottom w:val="single" w:sz="6" w:space="0" w:color="auto"/>
              <w:right w:val="single" w:sz="6" w:space="0" w:color="auto"/>
            </w:tcBorders>
            <w:hideMark/>
          </w:tcPr>
          <w:p w14:paraId="44674709" w14:textId="77777777" w:rsidR="007476E9" w:rsidRPr="0057502F" w:rsidRDefault="007476E9">
            <w:pPr>
              <w:pStyle w:val="Text1"/>
              <w:ind w:left="851"/>
              <w:rPr>
                <w:noProof/>
                <w:lang w:val="en-IE"/>
              </w:rPr>
            </w:pPr>
            <w:r w:rsidRPr="0057502F">
              <w:rPr>
                <w:b/>
                <w:bCs/>
                <w:i/>
                <w:iCs/>
                <w:noProof/>
              </w:rPr>
              <w:t>eIDAS</w:t>
            </w:r>
            <w:r w:rsidRPr="0057502F">
              <w:rPr>
                <w:noProof/>
                <w:lang w:val="en-IE"/>
              </w:rPr>
              <w:t> </w:t>
            </w:r>
          </w:p>
        </w:tc>
        <w:tc>
          <w:tcPr>
            <w:tcW w:w="8280" w:type="dxa"/>
            <w:tcBorders>
              <w:top w:val="single" w:sz="6" w:space="0" w:color="auto"/>
              <w:left w:val="single" w:sz="6" w:space="0" w:color="auto"/>
              <w:bottom w:val="single" w:sz="6" w:space="0" w:color="auto"/>
              <w:right w:val="single" w:sz="6" w:space="0" w:color="auto"/>
            </w:tcBorders>
            <w:hideMark/>
          </w:tcPr>
          <w:p w14:paraId="491D0B98" w14:textId="77777777" w:rsidR="007476E9" w:rsidRPr="0057502F" w:rsidRDefault="007476E9">
            <w:pPr>
              <w:pStyle w:val="Text1"/>
              <w:ind w:left="851"/>
              <w:rPr>
                <w:noProof/>
                <w:lang w:val="en-IE"/>
              </w:rPr>
            </w:pPr>
            <w:r w:rsidRPr="0057502F">
              <w:rPr>
                <w:noProof/>
              </w:rPr>
              <w:t>N/A</w:t>
            </w:r>
            <w:r w:rsidRPr="0057502F">
              <w:rPr>
                <w:noProof/>
                <w:lang w:val="en-IE"/>
              </w:rPr>
              <w:t> </w:t>
            </w:r>
          </w:p>
        </w:tc>
      </w:tr>
      <w:tr w:rsidR="007476E9" w:rsidRPr="0057502F" w14:paraId="15D755DA" w14:textId="77777777">
        <w:tc>
          <w:tcPr>
            <w:tcW w:w="5775" w:type="dxa"/>
            <w:tcBorders>
              <w:top w:val="single" w:sz="6" w:space="0" w:color="auto"/>
              <w:left w:val="single" w:sz="6" w:space="0" w:color="auto"/>
              <w:bottom w:val="single" w:sz="6" w:space="0" w:color="auto"/>
              <w:right w:val="single" w:sz="6" w:space="0" w:color="auto"/>
            </w:tcBorders>
            <w:hideMark/>
          </w:tcPr>
          <w:p w14:paraId="5199312D" w14:textId="77777777" w:rsidR="007476E9" w:rsidRPr="0057502F" w:rsidRDefault="007476E9">
            <w:pPr>
              <w:pStyle w:val="Text1"/>
              <w:ind w:left="851"/>
              <w:rPr>
                <w:noProof/>
                <w:lang w:val="en-IE"/>
              </w:rPr>
            </w:pPr>
            <w:r w:rsidRPr="0057502F">
              <w:rPr>
                <w:b/>
                <w:bCs/>
                <w:i/>
                <w:iCs/>
                <w:noProof/>
              </w:rPr>
              <w:t>Single Digital Gateway and IMI</w:t>
            </w:r>
            <w:r w:rsidRPr="0057502F">
              <w:rPr>
                <w:noProof/>
                <w:lang w:val="en-IE"/>
              </w:rPr>
              <w:t> </w:t>
            </w:r>
          </w:p>
        </w:tc>
        <w:tc>
          <w:tcPr>
            <w:tcW w:w="8280" w:type="dxa"/>
            <w:tcBorders>
              <w:top w:val="single" w:sz="6" w:space="0" w:color="auto"/>
              <w:left w:val="single" w:sz="6" w:space="0" w:color="auto"/>
              <w:bottom w:val="single" w:sz="6" w:space="0" w:color="auto"/>
              <w:right w:val="single" w:sz="6" w:space="0" w:color="auto"/>
            </w:tcBorders>
            <w:hideMark/>
          </w:tcPr>
          <w:p w14:paraId="7D0076B7" w14:textId="77777777" w:rsidR="007476E9" w:rsidRPr="0057502F" w:rsidRDefault="007476E9">
            <w:pPr>
              <w:pStyle w:val="Text1"/>
              <w:ind w:left="851"/>
              <w:rPr>
                <w:noProof/>
                <w:lang w:val="en-IE"/>
              </w:rPr>
            </w:pPr>
            <w:r w:rsidRPr="0057502F">
              <w:rPr>
                <w:noProof/>
              </w:rPr>
              <w:t>N/A</w:t>
            </w:r>
            <w:r w:rsidRPr="0057502F">
              <w:rPr>
                <w:noProof/>
                <w:lang w:val="en-IE"/>
              </w:rPr>
              <w:t> </w:t>
            </w:r>
          </w:p>
        </w:tc>
      </w:tr>
      <w:tr w:rsidR="007476E9" w:rsidRPr="0057502F" w14:paraId="2362173C" w14:textId="77777777">
        <w:tc>
          <w:tcPr>
            <w:tcW w:w="5775" w:type="dxa"/>
            <w:tcBorders>
              <w:top w:val="single" w:sz="6" w:space="0" w:color="auto"/>
              <w:left w:val="single" w:sz="6" w:space="0" w:color="auto"/>
              <w:bottom w:val="single" w:sz="6" w:space="0" w:color="auto"/>
              <w:right w:val="single" w:sz="6" w:space="0" w:color="auto"/>
            </w:tcBorders>
            <w:hideMark/>
          </w:tcPr>
          <w:p w14:paraId="010539FB" w14:textId="77777777" w:rsidR="007476E9" w:rsidRPr="0057502F" w:rsidRDefault="007476E9">
            <w:pPr>
              <w:pStyle w:val="Text1"/>
              <w:ind w:left="851"/>
              <w:rPr>
                <w:noProof/>
                <w:lang w:val="en-IE"/>
              </w:rPr>
            </w:pPr>
            <w:r w:rsidRPr="0057502F">
              <w:rPr>
                <w:b/>
                <w:bCs/>
                <w:i/>
                <w:iCs/>
                <w:noProof/>
              </w:rPr>
              <w:t>Others</w:t>
            </w:r>
            <w:r w:rsidRPr="0057502F">
              <w:rPr>
                <w:noProof/>
                <w:lang w:val="en-IE"/>
              </w:rPr>
              <w:t> </w:t>
            </w:r>
          </w:p>
        </w:tc>
        <w:tc>
          <w:tcPr>
            <w:tcW w:w="8280" w:type="dxa"/>
            <w:tcBorders>
              <w:top w:val="single" w:sz="6" w:space="0" w:color="auto"/>
              <w:left w:val="single" w:sz="6" w:space="0" w:color="auto"/>
              <w:bottom w:val="single" w:sz="6" w:space="0" w:color="auto"/>
              <w:right w:val="single" w:sz="6" w:space="0" w:color="auto"/>
            </w:tcBorders>
            <w:hideMark/>
          </w:tcPr>
          <w:p w14:paraId="408E04FC" w14:textId="77777777" w:rsidR="007476E9" w:rsidRPr="0057502F" w:rsidRDefault="007476E9">
            <w:pPr>
              <w:pStyle w:val="Text1"/>
              <w:ind w:left="851"/>
              <w:rPr>
                <w:noProof/>
                <w:lang w:val="en-IE"/>
              </w:rPr>
            </w:pPr>
            <w:r w:rsidRPr="0057502F">
              <w:rPr>
                <w:noProof/>
              </w:rPr>
              <w:t>N/A</w:t>
            </w:r>
            <w:r w:rsidRPr="0057502F">
              <w:rPr>
                <w:noProof/>
                <w:lang w:val="en-IE"/>
              </w:rPr>
              <w:t> </w:t>
            </w:r>
          </w:p>
        </w:tc>
      </w:tr>
    </w:tbl>
    <w:p w14:paraId="05221604" w14:textId="77777777" w:rsidR="00D00237" w:rsidRDefault="00D00237" w:rsidP="007476E9">
      <w:pPr>
        <w:pStyle w:val="Text1"/>
        <w:ind w:left="0"/>
        <w:rPr>
          <w:i/>
          <w:iCs/>
          <w:noProof/>
          <w:lang w:val="en-IE"/>
        </w:rPr>
      </w:pPr>
    </w:p>
    <w:p w14:paraId="07B35A4B" w14:textId="77777777" w:rsidR="007476E9" w:rsidRDefault="007476E9" w:rsidP="007476E9">
      <w:pPr>
        <w:pStyle w:val="Text1"/>
        <w:ind w:left="0"/>
        <w:rPr>
          <w:i/>
          <w:iCs/>
          <w:noProof/>
          <w:lang w:val="en-IE"/>
        </w:rPr>
      </w:pPr>
      <w:r w:rsidRPr="0057502F">
        <w:rPr>
          <w:i/>
          <w:iCs/>
          <w:noProof/>
          <w:lang w:val="en-IE"/>
        </w:rPr>
        <w:t>High-level description of the digital public service(s) affected by the requirements</w:t>
      </w:r>
    </w:p>
    <w:p w14:paraId="069BA3A0" w14:textId="77777777" w:rsidR="007476E9" w:rsidRDefault="007476E9" w:rsidP="007476E9">
      <w:pPr>
        <w:pStyle w:val="Text1"/>
        <w:ind w:left="0"/>
        <w:rPr>
          <w:i/>
          <w:iCs/>
          <w:noProof/>
          <w:lang w:val="en-IE"/>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84"/>
        <w:gridCol w:w="5878"/>
        <w:gridCol w:w="1813"/>
        <w:gridCol w:w="1902"/>
        <w:gridCol w:w="2125"/>
      </w:tblGrid>
      <w:tr w:rsidR="007476E9" w:rsidRPr="0057502F" w14:paraId="704F9FD3" w14:textId="77777777">
        <w:trPr>
          <w:trHeight w:val="285"/>
        </w:trPr>
        <w:tc>
          <w:tcPr>
            <w:tcW w:w="225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1BE0E354"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b/>
                <w:bCs/>
                <w:noProof/>
                <w:color w:val="000000"/>
                <w:sz w:val="20"/>
                <w:szCs w:val="20"/>
                <w:lang w:eastAsia="en-IE"/>
              </w:rPr>
              <w:t>Digital public service or category of digital public services</w:t>
            </w:r>
            <w:r w:rsidRPr="0057502F">
              <w:rPr>
                <w:rFonts w:eastAsia="Times New Roman"/>
                <w:noProof/>
                <w:color w:val="000000"/>
                <w:sz w:val="20"/>
                <w:szCs w:val="20"/>
                <w:lang w:val="en-IE" w:eastAsia="en-IE"/>
              </w:rPr>
              <w:t> </w:t>
            </w: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1D7DDBD1"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b/>
                <w:bCs/>
                <w:noProof/>
                <w:sz w:val="20"/>
                <w:szCs w:val="20"/>
                <w:lang w:eastAsia="en-IE"/>
              </w:rPr>
              <w:t>Description</w:t>
            </w:r>
            <w:r w:rsidRPr="0057502F">
              <w:rPr>
                <w:rFonts w:eastAsia="Times New Roman"/>
                <w:noProof/>
                <w:sz w:val="20"/>
                <w:szCs w:val="20"/>
                <w:lang w:val="en-IE" w:eastAsia="en-IE"/>
              </w:rPr>
              <w:t> </w:t>
            </w:r>
          </w:p>
        </w:tc>
        <w:tc>
          <w:tcPr>
            <w:tcW w:w="226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0066B3A7"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b/>
                <w:bCs/>
                <w:noProof/>
                <w:sz w:val="20"/>
                <w:szCs w:val="20"/>
                <w:lang w:eastAsia="en-IE"/>
              </w:rPr>
              <w:t>Reference(s) to the requirement(s)</w:t>
            </w:r>
            <w:r w:rsidRPr="0057502F">
              <w:rPr>
                <w:rFonts w:eastAsia="Times New Roman"/>
                <w:noProof/>
                <w:sz w:val="20"/>
                <w:szCs w:val="20"/>
                <w:lang w:val="en-IE" w:eastAsia="en-IE"/>
              </w:rPr>
              <w:t> </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7F7F7F" w:themeFill="text1" w:themeFillTint="80"/>
            <w:hideMark/>
          </w:tcPr>
          <w:p w14:paraId="7F06AF28"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b/>
                <w:bCs/>
                <w:noProof/>
                <w:sz w:val="20"/>
                <w:szCs w:val="20"/>
                <w:lang w:eastAsia="en-IE"/>
              </w:rPr>
              <w:t>Interoperable Europe Solution(s) </w:t>
            </w:r>
            <w:r w:rsidRPr="0057502F">
              <w:rPr>
                <w:rFonts w:eastAsia="Times New Roman"/>
                <w:noProof/>
                <w:sz w:val="20"/>
                <w:szCs w:val="20"/>
                <w:lang w:val="en-IE" w:eastAsia="en-IE"/>
              </w:rPr>
              <w:t> </w:t>
            </w:r>
          </w:p>
          <w:p w14:paraId="3E7A9927"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b/>
                <w:bCs/>
                <w:noProof/>
                <w:sz w:val="20"/>
                <w:szCs w:val="20"/>
                <w:lang w:eastAsia="en-IE"/>
              </w:rPr>
              <w:t>(NOT APPLICABLE)</w:t>
            </w:r>
            <w:r w:rsidRPr="0057502F">
              <w:rPr>
                <w:rFonts w:eastAsia="Times New Roman"/>
                <w:noProof/>
                <w:sz w:val="20"/>
                <w:szCs w:val="20"/>
                <w:lang w:val="en-IE" w:eastAsia="en-IE"/>
              </w:rPr>
              <w:t> </w:t>
            </w:r>
          </w:p>
        </w:tc>
        <w:tc>
          <w:tcPr>
            <w:tcW w:w="396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00524C8E"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b/>
                <w:bCs/>
                <w:noProof/>
                <w:sz w:val="20"/>
                <w:szCs w:val="20"/>
                <w:lang w:eastAsia="en-IE"/>
              </w:rPr>
              <w:t>Other interoperability solution(s)</w:t>
            </w:r>
            <w:r w:rsidRPr="0057502F">
              <w:rPr>
                <w:rFonts w:eastAsia="Times New Roman"/>
                <w:noProof/>
                <w:sz w:val="20"/>
                <w:szCs w:val="20"/>
                <w:lang w:val="en-IE" w:eastAsia="en-IE"/>
              </w:rPr>
              <w:t> </w:t>
            </w:r>
          </w:p>
        </w:tc>
      </w:tr>
      <w:tr w:rsidR="007476E9" w:rsidRPr="0057502F" w14:paraId="09A1446E" w14:textId="77777777">
        <w:trPr>
          <w:trHeight w:val="285"/>
        </w:trPr>
        <w:tc>
          <w:tcPr>
            <w:tcW w:w="225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39B3635B"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eastAsia="en-IE"/>
              </w:rPr>
              <w:t>ENISA as secretariat of networks and deploying secure communication tools</w:t>
            </w:r>
            <w:r w:rsidRPr="0057502F">
              <w:rPr>
                <w:rFonts w:eastAsia="Times New Roman"/>
                <w:noProof/>
                <w:sz w:val="20"/>
                <w:szCs w:val="20"/>
                <w:lang w:val="en-IE" w:eastAsia="en-IE"/>
              </w:rPr>
              <w:t> </w:t>
            </w: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31F76C1B"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eastAsia="en-IE"/>
              </w:rPr>
              <w:t>ENISA shall provide the secretariat of the CSIRTs network pursuant to Article 15(2) of Directive (EU) 2022/2555. ENISA shall provide the secretariat of EU-CyCLONe pursuant to Article 16(2) of Directive (EU) 2022/2555 [and the single-entry point </w:t>
            </w:r>
            <w:r>
              <w:rPr>
                <w:rFonts w:eastAsia="Times New Roman"/>
                <w:noProof/>
                <w:sz w:val="20"/>
                <w:szCs w:val="20"/>
                <w:lang w:eastAsia="en-IE"/>
              </w:rPr>
              <w:t xml:space="preserve">for incident reporting </w:t>
            </w:r>
            <w:r w:rsidRPr="0057502F">
              <w:rPr>
                <w:rFonts w:eastAsia="Times New Roman"/>
                <w:noProof/>
                <w:sz w:val="20"/>
                <w:szCs w:val="20"/>
                <w:lang w:eastAsia="en-IE"/>
              </w:rPr>
              <w:t xml:space="preserve">established pursuant to Article 23a of Directive (EU) 2022/2555], </w:t>
            </w:r>
            <w:r>
              <w:rPr>
                <w:rFonts w:eastAsia="Times New Roman"/>
                <w:noProof/>
                <w:sz w:val="20"/>
                <w:szCs w:val="20"/>
                <w:lang w:eastAsia="en-IE"/>
              </w:rPr>
              <w:t>and</w:t>
            </w:r>
            <w:r w:rsidRPr="0057502F">
              <w:rPr>
                <w:rFonts w:eastAsia="Times New Roman"/>
                <w:noProof/>
                <w:sz w:val="20"/>
                <w:szCs w:val="20"/>
                <w:lang w:eastAsia="en-IE"/>
              </w:rPr>
              <w:t xml:space="preserve"> testing tools to support the implementation of conformity assessment procedures in </w:t>
            </w:r>
            <w:r>
              <w:rPr>
                <w:rFonts w:eastAsia="Times New Roman"/>
                <w:noProof/>
                <w:sz w:val="20"/>
                <w:szCs w:val="20"/>
                <w:lang w:eastAsia="en-IE"/>
              </w:rPr>
              <w:t>accordance with the</w:t>
            </w:r>
            <w:r w:rsidRPr="0057502F">
              <w:rPr>
                <w:rFonts w:eastAsia="Times New Roman"/>
                <w:noProof/>
                <w:sz w:val="20"/>
                <w:szCs w:val="20"/>
                <w:lang w:eastAsia="en-IE"/>
              </w:rPr>
              <w:t xml:space="preserve"> relevant Union legislation. </w:t>
            </w:r>
            <w:r w:rsidRPr="0057502F">
              <w:rPr>
                <w:rFonts w:eastAsia="Times New Roman"/>
                <w:noProof/>
                <w:sz w:val="20"/>
                <w:szCs w:val="20"/>
                <w:lang w:val="en-IE" w:eastAsia="en-IE"/>
              </w:rPr>
              <w:t> </w:t>
            </w:r>
          </w:p>
          <w:p w14:paraId="7BFB1DAC"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eastAsia="en-IE"/>
              </w:rPr>
              <w:t>ENISA shall deploy within the CSIRTs network and EU-CyCLONe secure  communications tools which are provided by legal entities </w:t>
            </w:r>
            <w:r>
              <w:rPr>
                <w:rFonts w:eastAsia="Times New Roman"/>
                <w:noProof/>
                <w:sz w:val="20"/>
                <w:szCs w:val="20"/>
                <w:lang w:eastAsia="en-IE"/>
              </w:rPr>
              <w:t xml:space="preserve">that are not </w:t>
            </w:r>
            <w:r w:rsidRPr="0057502F">
              <w:rPr>
                <w:rFonts w:eastAsia="Times New Roman"/>
                <w:noProof/>
                <w:sz w:val="20"/>
                <w:szCs w:val="20"/>
                <w:lang w:eastAsia="en-IE"/>
              </w:rPr>
              <w:t>established </w:t>
            </w:r>
            <w:r>
              <w:rPr>
                <w:rFonts w:eastAsia="Times New Roman"/>
                <w:noProof/>
                <w:sz w:val="20"/>
                <w:szCs w:val="20"/>
                <w:lang w:eastAsia="en-IE"/>
              </w:rPr>
              <w:t xml:space="preserve">in </w:t>
            </w:r>
            <w:r w:rsidRPr="0057502F">
              <w:rPr>
                <w:rFonts w:eastAsia="Times New Roman"/>
                <w:noProof/>
                <w:sz w:val="20"/>
                <w:szCs w:val="20"/>
                <w:lang w:eastAsia="en-IE"/>
              </w:rPr>
              <w:t xml:space="preserve">or controlled by </w:t>
            </w:r>
            <w:r>
              <w:rPr>
                <w:rFonts w:eastAsia="Times New Roman"/>
                <w:noProof/>
                <w:sz w:val="20"/>
                <w:szCs w:val="20"/>
                <w:lang w:eastAsia="en-IE"/>
              </w:rPr>
              <w:t>third countries</w:t>
            </w:r>
            <w:r w:rsidRPr="0057502F">
              <w:rPr>
                <w:rFonts w:eastAsia="Times New Roman"/>
                <w:noProof/>
                <w:sz w:val="20"/>
                <w:szCs w:val="20"/>
                <w:lang w:eastAsia="en-IE"/>
              </w:rPr>
              <w:t xml:space="preserve"> or by nationals of </w:t>
            </w:r>
            <w:r>
              <w:rPr>
                <w:rFonts w:eastAsia="Times New Roman"/>
                <w:noProof/>
                <w:sz w:val="20"/>
                <w:szCs w:val="20"/>
                <w:lang w:eastAsia="en-IE"/>
              </w:rPr>
              <w:t>third countries</w:t>
            </w:r>
            <w:r w:rsidRPr="0057502F">
              <w:rPr>
                <w:rFonts w:eastAsia="Times New Roman"/>
                <w:noProof/>
                <w:sz w:val="20"/>
                <w:szCs w:val="20"/>
                <w:lang w:eastAsia="en-IE"/>
              </w:rPr>
              <w:t>.    </w:t>
            </w:r>
            <w:r w:rsidRPr="0057502F">
              <w:rPr>
                <w:rFonts w:eastAsia="Times New Roman"/>
                <w:noProof/>
                <w:sz w:val="20"/>
                <w:szCs w:val="20"/>
                <w:lang w:val="en-IE" w:eastAsia="en-IE"/>
              </w:rPr>
              <w:t> </w:t>
            </w:r>
          </w:p>
        </w:tc>
        <w:tc>
          <w:tcPr>
            <w:tcW w:w="226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6BAE55D4"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eastAsia="en-IE"/>
              </w:rPr>
              <w:t>Article 11</w:t>
            </w:r>
            <w:r w:rsidRPr="0057502F">
              <w:rPr>
                <w:rFonts w:eastAsia="Times New Roman"/>
                <w:noProof/>
                <w:sz w:val="20"/>
                <w:szCs w:val="20"/>
                <w:lang w:val="en-IE" w:eastAsia="en-IE"/>
              </w:rPr>
              <w:t> </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7F7F7F" w:themeFill="text1" w:themeFillTint="80"/>
            <w:hideMark/>
          </w:tcPr>
          <w:p w14:paraId="1A1F9A15"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eastAsia="en-IE"/>
              </w:rPr>
              <w:t>//</w:t>
            </w:r>
            <w:r w:rsidRPr="0057502F">
              <w:rPr>
                <w:rFonts w:eastAsia="Times New Roman"/>
                <w:noProof/>
                <w:sz w:val="20"/>
                <w:szCs w:val="20"/>
                <w:lang w:val="en-IE" w:eastAsia="en-IE"/>
              </w:rPr>
              <w:t> </w:t>
            </w:r>
          </w:p>
        </w:tc>
        <w:tc>
          <w:tcPr>
            <w:tcW w:w="396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4966D90B"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eastAsia="en-IE"/>
              </w:rPr>
              <w:t>N/A</w:t>
            </w:r>
            <w:r w:rsidRPr="0057502F">
              <w:rPr>
                <w:rFonts w:eastAsia="Times New Roman"/>
                <w:noProof/>
                <w:sz w:val="20"/>
                <w:szCs w:val="20"/>
                <w:lang w:val="en-IE" w:eastAsia="en-IE"/>
              </w:rPr>
              <w:t> </w:t>
            </w:r>
          </w:p>
        </w:tc>
      </w:tr>
      <w:tr w:rsidR="007476E9" w:rsidRPr="0057502F" w14:paraId="2D03194A" w14:textId="77777777">
        <w:trPr>
          <w:trHeight w:val="285"/>
        </w:trPr>
        <w:tc>
          <w:tcPr>
            <w:tcW w:w="225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0ACAE3BD"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eastAsia="en-IE"/>
              </w:rPr>
              <w:t>Early alerts </w:t>
            </w:r>
            <w:r w:rsidRPr="0057502F">
              <w:rPr>
                <w:rFonts w:eastAsia="Times New Roman"/>
                <w:noProof/>
                <w:sz w:val="20"/>
                <w:szCs w:val="20"/>
                <w:lang w:val="en-IE" w:eastAsia="en-IE"/>
              </w:rPr>
              <w:t> </w:t>
            </w: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248F90D8"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eastAsia="en-IE"/>
              </w:rPr>
              <w:t>Issuing early alerts</w:t>
            </w:r>
            <w:r w:rsidRPr="0057502F">
              <w:rPr>
                <w:rFonts w:eastAsia="Times New Roman"/>
                <w:noProof/>
                <w:sz w:val="20"/>
                <w:szCs w:val="20"/>
                <w:lang w:val="en-IE" w:eastAsia="en-IE"/>
              </w:rPr>
              <w:t> </w:t>
            </w:r>
          </w:p>
        </w:tc>
        <w:tc>
          <w:tcPr>
            <w:tcW w:w="226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32B47760"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p>
          <w:p w14:paraId="50546D99"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eastAsia="en-IE"/>
              </w:rPr>
              <w:t>Article 11</w:t>
            </w:r>
            <w:r w:rsidRPr="0057502F">
              <w:rPr>
                <w:rFonts w:eastAsia="Times New Roman"/>
                <w:noProof/>
                <w:sz w:val="20"/>
                <w:szCs w:val="20"/>
                <w:lang w:val="en-IE" w:eastAsia="en-IE"/>
              </w:rPr>
              <w:t> </w:t>
            </w:r>
          </w:p>
          <w:p w14:paraId="51FD6A9C"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eastAsia="en-IE"/>
              </w:rPr>
              <w:t>Article 12</w:t>
            </w:r>
            <w:r w:rsidRPr="0057502F">
              <w:rPr>
                <w:rFonts w:eastAsia="Times New Roman"/>
                <w:noProof/>
                <w:sz w:val="20"/>
                <w:szCs w:val="20"/>
                <w:lang w:val="en-IE" w:eastAsia="en-IE"/>
              </w:rPr>
              <w:t> </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7F7F7F" w:themeFill="text1" w:themeFillTint="80"/>
            <w:hideMark/>
          </w:tcPr>
          <w:p w14:paraId="01EFCF52"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val="en-IE" w:eastAsia="en-IE"/>
              </w:rPr>
              <w:t> </w:t>
            </w:r>
          </w:p>
        </w:tc>
        <w:tc>
          <w:tcPr>
            <w:tcW w:w="396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67F13ECC"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val="en-IE" w:eastAsia="en-IE"/>
              </w:rPr>
              <w:t> </w:t>
            </w:r>
          </w:p>
        </w:tc>
      </w:tr>
      <w:tr w:rsidR="007476E9" w:rsidRPr="0057502F" w14:paraId="0C6DB68D" w14:textId="77777777">
        <w:trPr>
          <w:trHeight w:val="285"/>
        </w:trPr>
        <w:tc>
          <w:tcPr>
            <w:tcW w:w="225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6AEDFC0E"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eastAsia="en-IE"/>
              </w:rPr>
              <w:t>Support in relation to a specific potential or ongoing incident or cyber threat</w:t>
            </w:r>
            <w:r w:rsidRPr="0057502F">
              <w:rPr>
                <w:rFonts w:eastAsia="Times New Roman"/>
                <w:noProof/>
                <w:sz w:val="20"/>
                <w:szCs w:val="20"/>
                <w:lang w:val="en-IE" w:eastAsia="en-IE"/>
              </w:rPr>
              <w:t> </w:t>
            </w: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46EB8C90"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eastAsia="en-IE"/>
              </w:rPr>
              <w:t>At the request of one or more Member States, providing advice and assessments in relation to a specific potential or ongoing incident or cyber threat, including through the provision of expertise and facilitating the technical handling of such incidents, and through supporting the voluntary sharing of relevant information and technical solutions between Member States;</w:t>
            </w:r>
            <w:r w:rsidRPr="0057502F">
              <w:rPr>
                <w:rFonts w:eastAsia="Times New Roman"/>
                <w:noProof/>
                <w:sz w:val="20"/>
                <w:szCs w:val="20"/>
                <w:lang w:val="en-IE" w:eastAsia="en-IE"/>
              </w:rPr>
              <w:t> </w:t>
            </w:r>
          </w:p>
        </w:tc>
        <w:tc>
          <w:tcPr>
            <w:tcW w:w="226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557C444E"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eastAsia="en-IE"/>
              </w:rPr>
              <w:t>Article 10</w:t>
            </w:r>
            <w:r w:rsidRPr="0057502F">
              <w:rPr>
                <w:rFonts w:eastAsia="Times New Roman"/>
                <w:noProof/>
                <w:sz w:val="20"/>
                <w:szCs w:val="20"/>
                <w:lang w:val="en-IE" w:eastAsia="en-IE"/>
              </w:rPr>
              <w:t> </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7F7F7F" w:themeFill="text1" w:themeFillTint="80"/>
            <w:hideMark/>
          </w:tcPr>
          <w:p w14:paraId="1B5555EE"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val="en-IE" w:eastAsia="en-IE"/>
              </w:rPr>
              <w:t> </w:t>
            </w:r>
          </w:p>
        </w:tc>
        <w:tc>
          <w:tcPr>
            <w:tcW w:w="396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33CE4D06"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val="en-IE" w:eastAsia="en-IE"/>
              </w:rPr>
              <w:t> </w:t>
            </w:r>
          </w:p>
        </w:tc>
      </w:tr>
      <w:tr w:rsidR="007476E9" w:rsidRPr="0057502F" w14:paraId="46CA64A3" w14:textId="77777777">
        <w:trPr>
          <w:trHeight w:val="285"/>
        </w:trPr>
        <w:tc>
          <w:tcPr>
            <w:tcW w:w="225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6800EAC1"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eastAsia="en-IE"/>
              </w:rPr>
              <w:t>Supporting the coordinated management of large-scale cybersecurity incidents and crises at operational level</w:t>
            </w:r>
            <w:r w:rsidRPr="0057502F">
              <w:rPr>
                <w:rFonts w:eastAsia="Times New Roman"/>
                <w:noProof/>
                <w:sz w:val="20"/>
                <w:szCs w:val="20"/>
                <w:lang w:val="en-IE" w:eastAsia="en-IE"/>
              </w:rPr>
              <w:t> </w:t>
            </w: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063ADC69"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eastAsia="en-IE"/>
              </w:rPr>
              <w:t>Contributing to supporting the coordinated management of large-scale cybersecurity incidents and crises at operational level,  in particular by assisting EU-CyCLONe in preparing reports to political level  by facilitating  and by facilitating timely information-sharing between the CSIRTs network, and EU-CyCLONe.</w:t>
            </w:r>
            <w:r w:rsidRPr="0057502F">
              <w:rPr>
                <w:rFonts w:eastAsia="Times New Roman"/>
                <w:noProof/>
                <w:sz w:val="20"/>
                <w:szCs w:val="20"/>
                <w:lang w:val="en-IE" w:eastAsia="en-IE"/>
              </w:rPr>
              <w:t> </w:t>
            </w:r>
          </w:p>
        </w:tc>
        <w:tc>
          <w:tcPr>
            <w:tcW w:w="226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1B266A02"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eastAsia="en-IE"/>
              </w:rPr>
              <w:t>Article 10</w:t>
            </w:r>
            <w:r w:rsidRPr="0057502F">
              <w:rPr>
                <w:rFonts w:eastAsia="Times New Roman"/>
                <w:noProof/>
                <w:sz w:val="20"/>
                <w:szCs w:val="20"/>
                <w:lang w:val="en-IE" w:eastAsia="en-IE"/>
              </w:rPr>
              <w:t> </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7F7F7F" w:themeFill="text1" w:themeFillTint="80"/>
            <w:hideMark/>
          </w:tcPr>
          <w:p w14:paraId="2BBD9B9B"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val="en-IE" w:eastAsia="en-IE"/>
              </w:rPr>
              <w:t> </w:t>
            </w:r>
          </w:p>
        </w:tc>
        <w:tc>
          <w:tcPr>
            <w:tcW w:w="396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24074AB9"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val="en-IE" w:eastAsia="en-IE"/>
              </w:rPr>
              <w:t> </w:t>
            </w:r>
          </w:p>
        </w:tc>
      </w:tr>
      <w:tr w:rsidR="007476E9" w:rsidRPr="0057502F" w14:paraId="292DD4AB" w14:textId="77777777">
        <w:trPr>
          <w:trHeight w:val="285"/>
        </w:trPr>
        <w:tc>
          <w:tcPr>
            <w:tcW w:w="225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5D839B5A"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eastAsia="en-IE"/>
              </w:rPr>
              <w:t>Repositories of verified, reliable cyber threat intelligence</w:t>
            </w:r>
            <w:r w:rsidRPr="0057502F">
              <w:rPr>
                <w:rFonts w:eastAsia="Times New Roman"/>
                <w:noProof/>
                <w:sz w:val="20"/>
                <w:szCs w:val="20"/>
                <w:lang w:val="en-IE" w:eastAsia="en-IE"/>
              </w:rPr>
              <w:t> </w:t>
            </w: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1CEBB93E"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eastAsia="en-IE"/>
              </w:rPr>
              <w:t>Develop in cooperation with EU-CyCLONe, the CSIRTs network, the Commission, Europol and CERT-EU and relevant Union entities repositories of verified, reliable cyber threat intelligence, including trends in incidents, tactics, techniques and procedures.</w:t>
            </w:r>
            <w:r w:rsidRPr="0057502F">
              <w:rPr>
                <w:rFonts w:eastAsia="Times New Roman"/>
                <w:noProof/>
                <w:sz w:val="20"/>
                <w:szCs w:val="20"/>
                <w:lang w:val="en-IE" w:eastAsia="en-IE"/>
              </w:rPr>
              <w:t> </w:t>
            </w:r>
          </w:p>
        </w:tc>
        <w:tc>
          <w:tcPr>
            <w:tcW w:w="226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1A2E486E"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eastAsia="en-IE"/>
              </w:rPr>
              <w:t>Article 11</w:t>
            </w:r>
            <w:r w:rsidRPr="0057502F">
              <w:rPr>
                <w:rFonts w:eastAsia="Times New Roman"/>
                <w:noProof/>
                <w:sz w:val="20"/>
                <w:szCs w:val="20"/>
                <w:lang w:val="en-IE" w:eastAsia="en-IE"/>
              </w:rPr>
              <w:t> </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7F7F7F" w:themeFill="text1" w:themeFillTint="80"/>
            <w:hideMark/>
          </w:tcPr>
          <w:p w14:paraId="7C9D73AE"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val="en-IE" w:eastAsia="en-IE"/>
              </w:rPr>
              <w:t> </w:t>
            </w:r>
          </w:p>
        </w:tc>
        <w:tc>
          <w:tcPr>
            <w:tcW w:w="396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3F6BE49B"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val="en-IE" w:eastAsia="en-IE"/>
              </w:rPr>
              <w:t> </w:t>
            </w:r>
          </w:p>
        </w:tc>
      </w:tr>
      <w:tr w:rsidR="007476E9" w:rsidRPr="0057502F" w14:paraId="640AE418" w14:textId="77777777">
        <w:trPr>
          <w:trHeight w:val="285"/>
        </w:trPr>
        <w:tc>
          <w:tcPr>
            <w:tcW w:w="225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5E446D1A"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eastAsia="en-IE"/>
              </w:rPr>
              <w:t>Repository of lessons learned</w:t>
            </w:r>
            <w:r w:rsidRPr="0057502F">
              <w:rPr>
                <w:rFonts w:eastAsia="Times New Roman"/>
                <w:noProof/>
                <w:sz w:val="20"/>
                <w:szCs w:val="20"/>
                <w:lang w:val="en-IE" w:eastAsia="en-IE"/>
              </w:rPr>
              <w:t> </w:t>
            </w: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021A5524"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eastAsia="en-IE"/>
              </w:rPr>
              <w:t>ENISA shall maintain a repository of lessons learned from those exercises and recommend to Member States and, where relevant, to Union entities  how the lessons learned may be implemented effectively and efficiently.</w:t>
            </w:r>
            <w:r w:rsidRPr="0057502F">
              <w:rPr>
                <w:rFonts w:eastAsia="Times New Roman"/>
                <w:noProof/>
                <w:sz w:val="20"/>
                <w:szCs w:val="20"/>
                <w:lang w:val="en-IE" w:eastAsia="en-IE"/>
              </w:rPr>
              <w:t> </w:t>
            </w:r>
          </w:p>
        </w:tc>
        <w:tc>
          <w:tcPr>
            <w:tcW w:w="226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4740FF9F"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eastAsia="en-IE"/>
              </w:rPr>
              <w:t>Article 14</w:t>
            </w:r>
            <w:r w:rsidRPr="0057502F">
              <w:rPr>
                <w:rFonts w:eastAsia="Times New Roman"/>
                <w:noProof/>
                <w:sz w:val="20"/>
                <w:szCs w:val="20"/>
                <w:lang w:val="en-IE" w:eastAsia="en-IE"/>
              </w:rPr>
              <w:t> </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7F7F7F" w:themeFill="text1" w:themeFillTint="80"/>
            <w:hideMark/>
          </w:tcPr>
          <w:p w14:paraId="239B63C9"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val="en-IE" w:eastAsia="en-IE"/>
              </w:rPr>
              <w:t> </w:t>
            </w:r>
          </w:p>
        </w:tc>
        <w:tc>
          <w:tcPr>
            <w:tcW w:w="396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1B4FEB84"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val="en-IE" w:eastAsia="en-IE"/>
              </w:rPr>
              <w:t> </w:t>
            </w:r>
          </w:p>
        </w:tc>
      </w:tr>
      <w:tr w:rsidR="007476E9" w:rsidRPr="0057502F" w14:paraId="6AF690E9" w14:textId="77777777">
        <w:trPr>
          <w:trHeight w:val="285"/>
        </w:trPr>
        <w:tc>
          <w:tcPr>
            <w:tcW w:w="225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10DD4EF4"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eastAsia="en-IE"/>
              </w:rPr>
              <w:t>ENISA shall establish, provide, operate, maintain and update as necessary, operational technical tools, such as platforms</w:t>
            </w:r>
            <w:r w:rsidRPr="0057502F">
              <w:rPr>
                <w:rFonts w:eastAsia="Times New Roman"/>
                <w:noProof/>
                <w:sz w:val="20"/>
                <w:szCs w:val="20"/>
                <w:lang w:val="en-IE" w:eastAsia="en-IE"/>
              </w:rPr>
              <w:t> </w:t>
            </w: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152A9F24"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eastAsia="en-IE"/>
              </w:rPr>
              <w:t xml:space="preserve">ENISA shall establish, provide, operate, maintain and update as necessary, operational technical tools, such as platforms related to cybersecurity at Union level, in particular the single reporting platform established pursuant to Article 16(1) of Regulation (EU) 2024/2847 [and the single-entry point </w:t>
            </w:r>
            <w:r>
              <w:rPr>
                <w:rFonts w:eastAsia="Times New Roman"/>
                <w:noProof/>
                <w:sz w:val="20"/>
                <w:szCs w:val="20"/>
                <w:lang w:eastAsia="en-IE"/>
              </w:rPr>
              <w:t xml:space="preserve">for incident reporting </w:t>
            </w:r>
            <w:r w:rsidRPr="0057502F">
              <w:rPr>
                <w:rFonts w:eastAsia="Times New Roman"/>
                <w:noProof/>
                <w:sz w:val="20"/>
                <w:szCs w:val="20"/>
                <w:lang w:eastAsia="en-IE"/>
              </w:rPr>
              <w:t xml:space="preserve">established pursuant to Article 23a of Directive (EU) 2022/2555] </w:t>
            </w:r>
            <w:r>
              <w:rPr>
                <w:rFonts w:eastAsia="Times New Roman"/>
                <w:noProof/>
                <w:sz w:val="20"/>
                <w:szCs w:val="20"/>
                <w:lang w:eastAsia="en-IE"/>
              </w:rPr>
              <w:t>and</w:t>
            </w:r>
            <w:r w:rsidRPr="0057502F">
              <w:rPr>
                <w:rFonts w:eastAsia="Times New Roman"/>
                <w:noProof/>
                <w:sz w:val="20"/>
                <w:szCs w:val="20"/>
                <w:lang w:eastAsia="en-IE"/>
              </w:rPr>
              <w:t xml:space="preserve"> testing tools to support the implementation of conformity assessment procedures in </w:t>
            </w:r>
            <w:r>
              <w:rPr>
                <w:rFonts w:eastAsia="Times New Roman"/>
                <w:noProof/>
                <w:sz w:val="20"/>
                <w:szCs w:val="20"/>
                <w:lang w:eastAsia="en-IE"/>
              </w:rPr>
              <w:t>accordance with the</w:t>
            </w:r>
            <w:r w:rsidRPr="0057502F">
              <w:rPr>
                <w:rFonts w:eastAsia="Times New Roman"/>
                <w:noProof/>
                <w:sz w:val="20"/>
                <w:szCs w:val="20"/>
                <w:lang w:eastAsia="en-IE"/>
              </w:rPr>
              <w:t xml:space="preserve"> relevant Union legislation. </w:t>
            </w:r>
            <w:r w:rsidRPr="0057502F">
              <w:rPr>
                <w:rFonts w:eastAsia="Times New Roman"/>
                <w:noProof/>
                <w:sz w:val="20"/>
                <w:szCs w:val="20"/>
                <w:lang w:val="en-IE" w:eastAsia="en-IE"/>
              </w:rPr>
              <w:t> </w:t>
            </w:r>
          </w:p>
        </w:tc>
        <w:tc>
          <w:tcPr>
            <w:tcW w:w="226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1F27D9E8"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eastAsia="en-IE"/>
              </w:rPr>
              <w:t>Article 15</w:t>
            </w:r>
            <w:r w:rsidRPr="0057502F">
              <w:rPr>
                <w:rFonts w:eastAsia="Times New Roman"/>
                <w:noProof/>
                <w:sz w:val="20"/>
                <w:szCs w:val="20"/>
                <w:lang w:val="en-IE" w:eastAsia="en-IE"/>
              </w:rPr>
              <w:t> </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7F7F7F" w:themeFill="text1" w:themeFillTint="80"/>
            <w:hideMark/>
          </w:tcPr>
          <w:p w14:paraId="56DF6B1A"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val="en-IE" w:eastAsia="en-IE"/>
              </w:rPr>
              <w:t> </w:t>
            </w:r>
          </w:p>
        </w:tc>
        <w:tc>
          <w:tcPr>
            <w:tcW w:w="396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541CABC5"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val="en-IE" w:eastAsia="en-IE"/>
              </w:rPr>
              <w:t> </w:t>
            </w:r>
          </w:p>
        </w:tc>
      </w:tr>
      <w:tr w:rsidR="007476E9" w:rsidRPr="0057502F" w14:paraId="6A895238" w14:textId="77777777">
        <w:trPr>
          <w:trHeight w:val="285"/>
        </w:trPr>
        <w:tc>
          <w:tcPr>
            <w:tcW w:w="225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10222D83"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eastAsia="en-IE"/>
              </w:rPr>
              <w:t>Maintain the European Vulnerability Database established pursuant to Article 12(2) of Directive (EU) 2022/2555</w:t>
            </w:r>
            <w:r w:rsidRPr="0057502F">
              <w:rPr>
                <w:rFonts w:eastAsia="Times New Roman"/>
                <w:noProof/>
                <w:sz w:val="20"/>
                <w:szCs w:val="20"/>
                <w:lang w:val="en-IE" w:eastAsia="en-IE"/>
              </w:rPr>
              <w:t> </w:t>
            </w: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0A38BF9A" w14:textId="77777777" w:rsidR="007476E9" w:rsidRPr="00B0519A" w:rsidRDefault="007476E9">
            <w:pPr>
              <w:spacing w:before="0" w:after="0"/>
              <w:ind w:left="360"/>
              <w:jc w:val="left"/>
              <w:textAlignment w:val="baseline"/>
              <w:rPr>
                <w:rFonts w:eastAsia="Times New Roman"/>
                <w:noProof/>
                <w:sz w:val="20"/>
                <w:szCs w:val="20"/>
                <w:lang w:eastAsia="en-IE"/>
              </w:rPr>
            </w:pPr>
            <w:r>
              <w:rPr>
                <w:rFonts w:eastAsia="Times New Roman"/>
                <w:noProof/>
                <w:sz w:val="20"/>
                <w:szCs w:val="20"/>
                <w:lang w:eastAsia="en-IE"/>
              </w:rPr>
              <w:t>Ma</w:t>
            </w:r>
            <w:r w:rsidRPr="00B0519A">
              <w:rPr>
                <w:rFonts w:eastAsia="Times New Roman"/>
                <w:noProof/>
                <w:sz w:val="20"/>
                <w:szCs w:val="20"/>
                <w:lang w:eastAsia="en-IE"/>
              </w:rPr>
              <w:t>intain</w:t>
            </w:r>
            <w:r>
              <w:rPr>
                <w:rFonts w:eastAsia="Times New Roman"/>
                <w:noProof/>
                <w:sz w:val="20"/>
                <w:szCs w:val="20"/>
                <w:lang w:eastAsia="en-IE"/>
              </w:rPr>
              <w:t xml:space="preserve"> </w:t>
            </w:r>
            <w:r w:rsidRPr="00B0519A">
              <w:rPr>
                <w:rFonts w:eastAsia="Times New Roman"/>
                <w:noProof/>
                <w:sz w:val="20"/>
                <w:szCs w:val="20"/>
                <w:lang w:eastAsia="en-IE"/>
              </w:rPr>
              <w:t>the European vulnerability database established pursuant to Article 12(2) of Directive (EU) 2022/2555</w:t>
            </w:r>
            <w:r>
              <w:rPr>
                <w:rFonts w:eastAsia="Times New Roman"/>
                <w:noProof/>
                <w:sz w:val="20"/>
                <w:szCs w:val="20"/>
                <w:lang w:eastAsia="en-IE"/>
              </w:rPr>
              <w:t>.</w:t>
            </w:r>
          </w:p>
          <w:p w14:paraId="3E1B3596" w14:textId="77777777" w:rsidR="007476E9" w:rsidRPr="00B0519A" w:rsidRDefault="007476E9">
            <w:pPr>
              <w:spacing w:before="0" w:after="0"/>
              <w:ind w:left="360"/>
              <w:jc w:val="left"/>
              <w:textAlignment w:val="baseline"/>
              <w:rPr>
                <w:rFonts w:eastAsia="Times New Roman"/>
                <w:noProof/>
                <w:sz w:val="20"/>
                <w:szCs w:val="20"/>
                <w:lang w:eastAsia="en-IE"/>
              </w:rPr>
            </w:pPr>
            <w:r>
              <w:rPr>
                <w:rFonts w:eastAsia="Times New Roman"/>
                <w:noProof/>
                <w:sz w:val="20"/>
                <w:szCs w:val="20"/>
                <w:lang w:eastAsia="en-IE"/>
              </w:rPr>
              <w:t>P</w:t>
            </w:r>
            <w:r w:rsidRPr="00B0519A">
              <w:rPr>
                <w:rFonts w:eastAsia="Times New Roman"/>
                <w:noProof/>
                <w:sz w:val="20"/>
                <w:szCs w:val="20"/>
                <w:lang w:eastAsia="en-IE"/>
              </w:rPr>
              <w:t>rovid</w:t>
            </w:r>
            <w:r>
              <w:rPr>
                <w:rFonts w:eastAsia="Times New Roman"/>
                <w:noProof/>
                <w:sz w:val="20"/>
                <w:szCs w:val="20"/>
                <w:lang w:eastAsia="en-IE"/>
              </w:rPr>
              <w:t xml:space="preserve">e </w:t>
            </w:r>
            <w:r w:rsidRPr="00B0519A">
              <w:rPr>
                <w:rFonts w:eastAsia="Times New Roman"/>
                <w:noProof/>
                <w:sz w:val="20"/>
                <w:szCs w:val="20"/>
                <w:lang w:eastAsia="en-IE"/>
              </w:rPr>
              <w:t>vulnerability management services to stakeholders, building on the European vulnerability database and making use of relevant information available to ENISA</w:t>
            </w:r>
            <w:r>
              <w:rPr>
                <w:rFonts w:eastAsia="Times New Roman"/>
                <w:noProof/>
                <w:sz w:val="20"/>
                <w:szCs w:val="20"/>
                <w:lang w:eastAsia="en-IE"/>
              </w:rPr>
              <w:t>.</w:t>
            </w:r>
          </w:p>
          <w:p w14:paraId="34E38FA3" w14:textId="77777777" w:rsidR="007476E9" w:rsidRPr="00B0519A" w:rsidRDefault="007476E9">
            <w:pPr>
              <w:spacing w:before="0" w:after="0"/>
              <w:ind w:left="360"/>
              <w:jc w:val="left"/>
              <w:textAlignment w:val="baseline"/>
              <w:rPr>
                <w:rFonts w:eastAsia="Times New Roman"/>
                <w:noProof/>
                <w:sz w:val="20"/>
                <w:szCs w:val="20"/>
                <w:lang w:eastAsia="en-IE"/>
              </w:rPr>
            </w:pPr>
            <w:r>
              <w:rPr>
                <w:rFonts w:eastAsia="Times New Roman"/>
                <w:noProof/>
                <w:sz w:val="20"/>
                <w:szCs w:val="20"/>
                <w:lang w:eastAsia="en-IE"/>
              </w:rPr>
              <w:t xml:space="preserve">Enter </w:t>
            </w:r>
            <w:r w:rsidRPr="00B0519A">
              <w:rPr>
                <w:rFonts w:eastAsia="Times New Roman"/>
                <w:noProof/>
                <w:sz w:val="20"/>
                <w:szCs w:val="20"/>
                <w:lang w:eastAsia="en-IE"/>
              </w:rPr>
              <w:t>into structured cooperation with organisations providing programmes, registries or databases similar to the European vulnerability database</w:t>
            </w:r>
            <w:r>
              <w:rPr>
                <w:rFonts w:eastAsia="Times New Roman"/>
                <w:noProof/>
                <w:sz w:val="20"/>
                <w:szCs w:val="20"/>
                <w:lang w:eastAsia="en-IE"/>
              </w:rPr>
              <w:t>.</w:t>
            </w:r>
          </w:p>
          <w:p w14:paraId="190A3962" w14:textId="77777777" w:rsidR="007476E9" w:rsidRPr="00B0519A" w:rsidRDefault="007476E9">
            <w:pPr>
              <w:spacing w:before="0" w:after="0"/>
              <w:ind w:left="360"/>
              <w:jc w:val="left"/>
              <w:textAlignment w:val="baseline"/>
              <w:rPr>
                <w:rFonts w:eastAsia="Times New Roman"/>
                <w:noProof/>
                <w:sz w:val="20"/>
                <w:szCs w:val="20"/>
                <w:lang w:eastAsia="en-IE"/>
              </w:rPr>
            </w:pPr>
            <w:r>
              <w:rPr>
                <w:rFonts w:eastAsia="Times New Roman"/>
                <w:noProof/>
                <w:sz w:val="20"/>
                <w:szCs w:val="20"/>
                <w:lang w:eastAsia="en-IE"/>
              </w:rPr>
              <w:t>A</w:t>
            </w:r>
            <w:r w:rsidRPr="00B0519A">
              <w:rPr>
                <w:rFonts w:eastAsia="Times New Roman"/>
                <w:noProof/>
                <w:sz w:val="20"/>
                <w:szCs w:val="20"/>
                <w:lang w:eastAsia="en-IE"/>
              </w:rPr>
              <w:t>ctively support the CSIRTs designated as coordinators pursuant to Article 12(1) of Directive (EU) 2022/2555 with regard to the management of the coordinated disclosure of vulnerabilities which may have a significant impact on entities in more than one Member State</w:t>
            </w:r>
            <w:r>
              <w:rPr>
                <w:rFonts w:eastAsia="Times New Roman"/>
                <w:noProof/>
                <w:sz w:val="20"/>
                <w:szCs w:val="20"/>
                <w:lang w:eastAsia="en-IE"/>
              </w:rPr>
              <w:t>.</w:t>
            </w:r>
          </w:p>
          <w:p w14:paraId="38481DEC" w14:textId="77777777" w:rsidR="007476E9" w:rsidRDefault="007476E9">
            <w:pPr>
              <w:spacing w:before="0" w:after="0"/>
              <w:ind w:left="360"/>
              <w:jc w:val="left"/>
              <w:textAlignment w:val="baseline"/>
              <w:rPr>
                <w:rFonts w:eastAsia="Times New Roman"/>
                <w:noProof/>
                <w:sz w:val="20"/>
                <w:szCs w:val="20"/>
                <w:lang w:eastAsia="en-IE"/>
              </w:rPr>
            </w:pPr>
            <w:r w:rsidRPr="0057502F">
              <w:rPr>
                <w:rFonts w:eastAsia="Times New Roman"/>
                <w:noProof/>
                <w:sz w:val="20"/>
                <w:szCs w:val="20"/>
                <w:lang w:eastAsia="en-IE"/>
              </w:rPr>
              <w:t>Develop and maintain methodologies and governance mechanisms for vulnerability identification and coordinated disclosure, in cooperation with national competent authorities, CSIRTs, industry and the research community.</w:t>
            </w:r>
          </w:p>
          <w:p w14:paraId="41B0BEDA" w14:textId="77777777" w:rsidR="007476E9" w:rsidRPr="0057502F" w:rsidRDefault="007476E9">
            <w:pPr>
              <w:spacing w:before="0" w:after="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val="en-IE" w:eastAsia="en-IE"/>
              </w:rPr>
              <w:t> </w:t>
            </w:r>
          </w:p>
        </w:tc>
        <w:tc>
          <w:tcPr>
            <w:tcW w:w="226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34967C0D"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eastAsia="en-IE"/>
              </w:rPr>
              <w:t>Article 16</w:t>
            </w:r>
            <w:r w:rsidRPr="0057502F">
              <w:rPr>
                <w:rFonts w:eastAsia="Times New Roman"/>
                <w:noProof/>
                <w:sz w:val="20"/>
                <w:szCs w:val="20"/>
                <w:lang w:val="en-IE" w:eastAsia="en-IE"/>
              </w:rPr>
              <w:t> </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7F7F7F" w:themeFill="text1" w:themeFillTint="80"/>
            <w:hideMark/>
          </w:tcPr>
          <w:p w14:paraId="0C21C3CF"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val="en-IE" w:eastAsia="en-IE"/>
              </w:rPr>
              <w:t> </w:t>
            </w:r>
          </w:p>
        </w:tc>
        <w:tc>
          <w:tcPr>
            <w:tcW w:w="396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0661A1D0"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val="en-IE" w:eastAsia="en-IE"/>
              </w:rPr>
              <w:t> </w:t>
            </w:r>
          </w:p>
        </w:tc>
      </w:tr>
      <w:tr w:rsidR="007476E9" w:rsidRPr="0057502F" w14:paraId="3099332C" w14:textId="77777777">
        <w:trPr>
          <w:trHeight w:val="285"/>
        </w:trPr>
        <w:tc>
          <w:tcPr>
            <w:tcW w:w="225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31242E3F"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eastAsia="en-IE"/>
              </w:rPr>
              <w:t>Preparing candidate European cybersecurity certification schemes ‘candidate schemes’</w:t>
            </w:r>
            <w:r w:rsidRPr="0057502F">
              <w:rPr>
                <w:rFonts w:eastAsia="Times New Roman"/>
                <w:noProof/>
                <w:sz w:val="20"/>
                <w:szCs w:val="20"/>
                <w:lang w:val="en-IE" w:eastAsia="en-IE"/>
              </w:rPr>
              <w:t> </w:t>
            </w: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540F030C"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eastAsia="en-IE"/>
              </w:rPr>
              <w:t>Preparing candidate European cybersecurity certification schemes (‘candidate schemes’) for ICT products, ICT services, ICT processes, managed security services or cyber posture of entities, and related technical specifications in accordance with Articles 74.</w:t>
            </w:r>
            <w:r w:rsidRPr="0057502F">
              <w:rPr>
                <w:rFonts w:eastAsia="Times New Roman"/>
                <w:noProof/>
                <w:sz w:val="20"/>
                <w:szCs w:val="20"/>
                <w:lang w:val="en-IE" w:eastAsia="en-IE"/>
              </w:rPr>
              <w:t> </w:t>
            </w:r>
          </w:p>
          <w:p w14:paraId="5EF4CD3B"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eastAsia="en-IE"/>
              </w:rPr>
              <w:t>Maintaining adopted European cybersecurity certification schemes in accordance with Article 75, including in view of a possible review of the adopted European cybersecurity certification schemes in accordance with Article 76.</w:t>
            </w:r>
            <w:r w:rsidRPr="0057502F">
              <w:rPr>
                <w:rFonts w:eastAsia="Times New Roman"/>
                <w:noProof/>
                <w:sz w:val="20"/>
                <w:szCs w:val="20"/>
                <w:lang w:val="en-IE" w:eastAsia="en-IE"/>
              </w:rPr>
              <w:t> </w:t>
            </w:r>
          </w:p>
        </w:tc>
        <w:tc>
          <w:tcPr>
            <w:tcW w:w="226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70724385"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eastAsia="en-IE"/>
              </w:rPr>
              <w:t>Article 17</w:t>
            </w:r>
            <w:r w:rsidRPr="0057502F">
              <w:rPr>
                <w:rFonts w:eastAsia="Times New Roman"/>
                <w:noProof/>
                <w:sz w:val="20"/>
                <w:szCs w:val="20"/>
                <w:lang w:val="en-IE" w:eastAsia="en-IE"/>
              </w:rPr>
              <w:t> </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7F7F7F" w:themeFill="text1" w:themeFillTint="80"/>
            <w:hideMark/>
          </w:tcPr>
          <w:p w14:paraId="6A954584"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val="en-IE" w:eastAsia="en-IE"/>
              </w:rPr>
              <w:t> </w:t>
            </w:r>
          </w:p>
        </w:tc>
        <w:tc>
          <w:tcPr>
            <w:tcW w:w="396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7B98D10F"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val="en-IE" w:eastAsia="en-IE"/>
              </w:rPr>
              <w:t> </w:t>
            </w:r>
          </w:p>
        </w:tc>
      </w:tr>
      <w:tr w:rsidR="007476E9" w:rsidRPr="0057502F" w14:paraId="10B70257" w14:textId="77777777">
        <w:trPr>
          <w:trHeight w:val="285"/>
        </w:trPr>
        <w:tc>
          <w:tcPr>
            <w:tcW w:w="225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004CE93E"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eastAsia="en-IE"/>
              </w:rPr>
              <w:t>ENISA shall develop and maintain European individual cybersecurity skills attestation schemes</w:t>
            </w:r>
            <w:r w:rsidRPr="0057502F">
              <w:rPr>
                <w:rFonts w:eastAsia="Times New Roman"/>
                <w:noProof/>
                <w:sz w:val="20"/>
                <w:szCs w:val="20"/>
                <w:lang w:val="en-IE" w:eastAsia="en-IE"/>
              </w:rPr>
              <w:t> </w:t>
            </w:r>
          </w:p>
          <w:p w14:paraId="219CA33A"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val="en-IE" w:eastAsia="en-IE"/>
              </w:rPr>
              <w:t> </w:t>
            </w:r>
          </w:p>
          <w:p w14:paraId="112EA84A"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val="en-IE" w:eastAsia="en-IE"/>
              </w:rPr>
              <w:t> </w:t>
            </w: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45FAD3EF"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eastAsia="en-IE"/>
              </w:rPr>
              <w:t>ENISA shall develop and maintain European individual cybersecurity skills attestation schemes. </w:t>
            </w:r>
            <w:r w:rsidRPr="0057502F">
              <w:rPr>
                <w:rFonts w:eastAsia="Times New Roman"/>
                <w:noProof/>
                <w:sz w:val="20"/>
                <w:szCs w:val="20"/>
                <w:lang w:val="en-IE" w:eastAsia="en-IE"/>
              </w:rPr>
              <w:t> </w:t>
            </w:r>
          </w:p>
          <w:p w14:paraId="42A14261"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eastAsia="en-IE"/>
              </w:rPr>
              <w:t>ENISA shall issue a motivated decision either granting an authorisation to the applicant to issue European individual attestations for the delivery and maintenance of the schemes and of the authorisation, not granting the authorisation, or closing the processing of the application due to insufficient information provided by the applicant, or its inaction following a request for additional information. </w:t>
            </w:r>
            <w:r w:rsidRPr="0057502F">
              <w:rPr>
                <w:rFonts w:eastAsia="Times New Roman"/>
                <w:noProof/>
                <w:sz w:val="20"/>
                <w:szCs w:val="20"/>
                <w:lang w:val="en-IE" w:eastAsia="en-IE"/>
              </w:rPr>
              <w:t> </w:t>
            </w:r>
          </w:p>
          <w:p w14:paraId="3F7C52D0"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val="en-IE" w:eastAsia="en-IE"/>
              </w:rPr>
              <w:t> </w:t>
            </w:r>
          </w:p>
          <w:p w14:paraId="1F81CBA8"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val="en-IE" w:eastAsia="en-IE"/>
              </w:rPr>
              <w:t> </w:t>
            </w:r>
          </w:p>
        </w:tc>
        <w:tc>
          <w:tcPr>
            <w:tcW w:w="226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516EBA8E"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eastAsia="en-IE"/>
              </w:rPr>
              <w:t>Articles 20-22</w:t>
            </w:r>
            <w:r w:rsidRPr="0057502F">
              <w:rPr>
                <w:rFonts w:eastAsia="Times New Roman"/>
                <w:noProof/>
                <w:sz w:val="20"/>
                <w:szCs w:val="20"/>
                <w:lang w:val="en-IE" w:eastAsia="en-IE"/>
              </w:rPr>
              <w:t> </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7F7F7F" w:themeFill="text1" w:themeFillTint="80"/>
            <w:hideMark/>
          </w:tcPr>
          <w:p w14:paraId="1FF7C137"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val="en-IE" w:eastAsia="en-IE"/>
              </w:rPr>
              <w:t> </w:t>
            </w:r>
          </w:p>
        </w:tc>
        <w:tc>
          <w:tcPr>
            <w:tcW w:w="396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7EBC1678"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val="en-IE" w:eastAsia="en-IE"/>
              </w:rPr>
              <w:t> </w:t>
            </w:r>
          </w:p>
        </w:tc>
      </w:tr>
      <w:tr w:rsidR="007476E9" w:rsidRPr="0057502F" w14:paraId="1D8A7075" w14:textId="77777777">
        <w:trPr>
          <w:trHeight w:val="285"/>
        </w:trPr>
        <w:tc>
          <w:tcPr>
            <w:tcW w:w="225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57E18A1D"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eastAsia="en-IE"/>
              </w:rPr>
              <w:t>ENISA shall maintain and regularly update a dedicated website.</w:t>
            </w:r>
            <w:r w:rsidRPr="0057502F">
              <w:rPr>
                <w:rFonts w:eastAsia="Times New Roman"/>
                <w:noProof/>
                <w:sz w:val="20"/>
                <w:szCs w:val="20"/>
                <w:lang w:val="en-IE" w:eastAsia="en-IE"/>
              </w:rPr>
              <w:t> </w:t>
            </w: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027C5175" w14:textId="77777777" w:rsidR="007476E9" w:rsidRPr="00C514CD" w:rsidRDefault="007476E9">
            <w:pPr>
              <w:spacing w:before="0" w:after="0"/>
              <w:ind w:left="360"/>
              <w:jc w:val="left"/>
              <w:textAlignment w:val="baseline"/>
              <w:rPr>
                <w:rFonts w:eastAsia="Times New Roman"/>
                <w:noProof/>
                <w:sz w:val="20"/>
                <w:szCs w:val="20"/>
                <w:lang w:eastAsia="en-IE"/>
              </w:rPr>
            </w:pPr>
            <w:r w:rsidRPr="00C514CD">
              <w:rPr>
                <w:rFonts w:eastAsia="Times New Roman"/>
                <w:noProof/>
                <w:sz w:val="20"/>
                <w:szCs w:val="20"/>
                <w:lang w:eastAsia="en-IE"/>
              </w:rPr>
              <w:t>ENISA shall maintain and regularly update a dedicated website providing public information on:</w:t>
            </w:r>
          </w:p>
          <w:p w14:paraId="764D9D96" w14:textId="77777777" w:rsidR="007476E9" w:rsidRPr="00C514CD" w:rsidRDefault="007476E9">
            <w:pPr>
              <w:spacing w:before="0" w:after="0"/>
              <w:ind w:left="360"/>
              <w:jc w:val="left"/>
              <w:textAlignment w:val="baseline"/>
              <w:rPr>
                <w:rFonts w:eastAsia="Times New Roman"/>
                <w:noProof/>
                <w:sz w:val="20"/>
                <w:szCs w:val="20"/>
                <w:lang w:eastAsia="en-IE"/>
              </w:rPr>
            </w:pPr>
            <w:r w:rsidRPr="00C514CD">
              <w:rPr>
                <w:rFonts w:eastAsia="Times New Roman"/>
                <w:noProof/>
                <w:sz w:val="20"/>
                <w:szCs w:val="20"/>
                <w:lang w:eastAsia="en-IE"/>
              </w:rPr>
              <w:t>(a)</w:t>
            </w:r>
            <w:r>
              <w:rPr>
                <w:noProof/>
              </w:rPr>
              <w:tab/>
            </w:r>
            <w:r w:rsidRPr="00C514CD">
              <w:rPr>
                <w:rFonts w:eastAsia="Times New Roman"/>
                <w:noProof/>
                <w:sz w:val="20"/>
                <w:szCs w:val="20"/>
                <w:lang w:eastAsia="en-IE"/>
              </w:rPr>
              <w:t>the ECSF, including the framework and its timeline for update;</w:t>
            </w:r>
          </w:p>
          <w:p w14:paraId="1AA38A85" w14:textId="77777777" w:rsidR="007476E9" w:rsidRPr="00C514CD" w:rsidRDefault="007476E9">
            <w:pPr>
              <w:spacing w:before="0" w:after="0"/>
              <w:ind w:left="360"/>
              <w:jc w:val="left"/>
              <w:textAlignment w:val="baseline"/>
              <w:rPr>
                <w:rFonts w:eastAsia="Times New Roman"/>
                <w:noProof/>
                <w:sz w:val="20"/>
                <w:szCs w:val="20"/>
                <w:lang w:eastAsia="en-IE"/>
              </w:rPr>
            </w:pPr>
            <w:r w:rsidRPr="00C514CD">
              <w:rPr>
                <w:rFonts w:eastAsia="Times New Roman"/>
                <w:noProof/>
                <w:sz w:val="20"/>
                <w:szCs w:val="20"/>
                <w:lang w:eastAsia="en-IE"/>
              </w:rPr>
              <w:t>(b)</w:t>
            </w:r>
            <w:r>
              <w:rPr>
                <w:noProof/>
              </w:rPr>
              <w:tab/>
            </w:r>
            <w:r w:rsidRPr="00C514CD">
              <w:rPr>
                <w:rFonts w:eastAsia="Times New Roman"/>
                <w:noProof/>
                <w:sz w:val="20"/>
                <w:szCs w:val="20"/>
                <w:lang w:eastAsia="en-IE"/>
              </w:rPr>
              <w:t>the European individual cybersecurity skills attestation schemes, their progress and timelines for their development;</w:t>
            </w:r>
          </w:p>
          <w:p w14:paraId="0F05C0A6" w14:textId="77777777" w:rsidR="007476E9" w:rsidRPr="00C514CD" w:rsidRDefault="007476E9">
            <w:pPr>
              <w:spacing w:before="0" w:after="0"/>
              <w:ind w:left="360"/>
              <w:jc w:val="left"/>
              <w:textAlignment w:val="baseline"/>
              <w:rPr>
                <w:rFonts w:eastAsia="Times New Roman"/>
                <w:noProof/>
                <w:sz w:val="20"/>
                <w:szCs w:val="20"/>
                <w:lang w:eastAsia="en-IE"/>
              </w:rPr>
            </w:pPr>
            <w:r w:rsidRPr="00C514CD">
              <w:rPr>
                <w:rFonts w:eastAsia="Times New Roman"/>
                <w:noProof/>
                <w:sz w:val="20"/>
                <w:szCs w:val="20"/>
                <w:lang w:eastAsia="en-IE"/>
              </w:rPr>
              <w:t>(c)</w:t>
            </w:r>
            <w:r>
              <w:rPr>
                <w:noProof/>
              </w:rPr>
              <w:tab/>
            </w:r>
            <w:r w:rsidRPr="00C514CD">
              <w:rPr>
                <w:rFonts w:eastAsia="Times New Roman"/>
                <w:noProof/>
                <w:sz w:val="20"/>
                <w:szCs w:val="20"/>
                <w:lang w:eastAsia="en-IE"/>
              </w:rPr>
              <w:t>the fees associated with each European individual cybersecurity skills attestation scheme adopted pursuant to Article 47 of this Regulation;</w:t>
            </w:r>
          </w:p>
          <w:p w14:paraId="6ABC59D9" w14:textId="77777777" w:rsidR="007476E9" w:rsidRPr="00C514CD" w:rsidRDefault="007476E9">
            <w:pPr>
              <w:spacing w:before="0" w:after="0"/>
              <w:ind w:left="360"/>
              <w:jc w:val="left"/>
              <w:textAlignment w:val="baseline"/>
              <w:rPr>
                <w:rFonts w:eastAsia="Times New Roman"/>
                <w:noProof/>
                <w:sz w:val="20"/>
                <w:szCs w:val="20"/>
                <w:lang w:eastAsia="en-IE"/>
              </w:rPr>
            </w:pPr>
            <w:r w:rsidRPr="00C514CD">
              <w:rPr>
                <w:rFonts w:eastAsia="Times New Roman"/>
                <w:noProof/>
                <w:sz w:val="20"/>
                <w:szCs w:val="20"/>
                <w:lang w:eastAsia="en-IE"/>
              </w:rPr>
              <w:t>(d)</w:t>
            </w:r>
            <w:r>
              <w:rPr>
                <w:noProof/>
              </w:rPr>
              <w:tab/>
            </w:r>
            <w:r w:rsidRPr="00C514CD">
              <w:rPr>
                <w:rFonts w:eastAsia="Times New Roman"/>
                <w:noProof/>
                <w:sz w:val="20"/>
                <w:szCs w:val="20"/>
                <w:lang w:eastAsia="en-IE"/>
              </w:rPr>
              <w:t>the indicative cost of a European individual cybersecurity skills attestation in accordance with Article 20(4);</w:t>
            </w:r>
          </w:p>
          <w:p w14:paraId="56CFC6DA"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C514CD">
              <w:rPr>
                <w:rFonts w:eastAsia="Times New Roman"/>
                <w:noProof/>
                <w:sz w:val="20"/>
                <w:szCs w:val="20"/>
                <w:lang w:eastAsia="en-IE"/>
              </w:rPr>
              <w:t>(e)</w:t>
            </w:r>
            <w:r>
              <w:rPr>
                <w:noProof/>
              </w:rPr>
              <w:tab/>
            </w:r>
            <w:r w:rsidRPr="00C514CD">
              <w:rPr>
                <w:rFonts w:eastAsia="Times New Roman"/>
                <w:noProof/>
                <w:sz w:val="20"/>
                <w:szCs w:val="20"/>
                <w:lang w:eastAsia="en-IE"/>
              </w:rPr>
              <w:t>the list of authorised attestation providers.</w:t>
            </w:r>
          </w:p>
        </w:tc>
        <w:tc>
          <w:tcPr>
            <w:tcW w:w="226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7C0C7E0C"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eastAsia="en-IE"/>
              </w:rPr>
              <w:t>Article 23</w:t>
            </w:r>
            <w:r w:rsidRPr="0057502F">
              <w:rPr>
                <w:rFonts w:eastAsia="Times New Roman"/>
                <w:noProof/>
                <w:sz w:val="20"/>
                <w:szCs w:val="20"/>
                <w:lang w:val="en-IE" w:eastAsia="en-IE"/>
              </w:rPr>
              <w:t> </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7F7F7F" w:themeFill="text1" w:themeFillTint="80"/>
            <w:hideMark/>
          </w:tcPr>
          <w:p w14:paraId="064C7EEF"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val="en-IE" w:eastAsia="en-IE"/>
              </w:rPr>
              <w:t> </w:t>
            </w:r>
          </w:p>
        </w:tc>
        <w:tc>
          <w:tcPr>
            <w:tcW w:w="396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3FAE51F1"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val="en-IE" w:eastAsia="en-IE"/>
              </w:rPr>
              <w:t> </w:t>
            </w:r>
          </w:p>
        </w:tc>
      </w:tr>
      <w:tr w:rsidR="007476E9" w:rsidRPr="0057502F" w14:paraId="348C1E42" w14:textId="77777777">
        <w:trPr>
          <w:trHeight w:val="285"/>
        </w:trPr>
        <w:tc>
          <w:tcPr>
            <w:tcW w:w="225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6308ED2D"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eastAsia="en-IE"/>
              </w:rPr>
              <w:t>The Commission shall maintain and regularly update a dedicated public website</w:t>
            </w:r>
            <w:r w:rsidRPr="0057502F">
              <w:rPr>
                <w:rFonts w:eastAsia="Times New Roman"/>
                <w:noProof/>
                <w:sz w:val="20"/>
                <w:szCs w:val="20"/>
                <w:lang w:val="en-IE" w:eastAsia="en-IE"/>
              </w:rPr>
              <w:t> </w:t>
            </w: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687FCBC9" w14:textId="77777777" w:rsidR="007476E9" w:rsidRPr="008F0AA6" w:rsidRDefault="007476E9">
            <w:pPr>
              <w:spacing w:before="0" w:after="0"/>
              <w:ind w:left="360"/>
              <w:jc w:val="left"/>
              <w:textAlignment w:val="baseline"/>
              <w:rPr>
                <w:rFonts w:eastAsia="Times New Roman"/>
                <w:noProof/>
                <w:sz w:val="20"/>
                <w:szCs w:val="20"/>
                <w:lang w:eastAsia="en-IE"/>
              </w:rPr>
            </w:pPr>
            <w:r w:rsidRPr="008F0AA6">
              <w:rPr>
                <w:rFonts w:eastAsia="Times New Roman"/>
                <w:noProof/>
                <w:sz w:val="20"/>
                <w:szCs w:val="20"/>
                <w:lang w:eastAsia="en-IE"/>
              </w:rPr>
              <w:t>The Commission shall maintain and regularly update a dedicated website providing information on the following aspects:</w:t>
            </w:r>
          </w:p>
          <w:p w14:paraId="09B9C234" w14:textId="77777777" w:rsidR="007476E9" w:rsidRPr="008F0AA6" w:rsidRDefault="007476E9">
            <w:pPr>
              <w:spacing w:before="0" w:after="0"/>
              <w:ind w:left="360"/>
              <w:jc w:val="left"/>
              <w:textAlignment w:val="baseline"/>
              <w:rPr>
                <w:rFonts w:eastAsia="Times New Roman"/>
                <w:noProof/>
                <w:sz w:val="20"/>
                <w:szCs w:val="20"/>
                <w:lang w:eastAsia="en-IE"/>
              </w:rPr>
            </w:pPr>
            <w:r>
              <w:rPr>
                <w:rFonts w:eastAsia="Times New Roman"/>
                <w:noProof/>
                <w:sz w:val="20"/>
                <w:szCs w:val="20"/>
                <w:lang w:eastAsia="en-IE"/>
              </w:rPr>
              <w:t xml:space="preserve">(a) </w:t>
            </w:r>
            <w:r w:rsidRPr="008F0AA6">
              <w:rPr>
                <w:rFonts w:eastAsia="Times New Roman"/>
                <w:noProof/>
                <w:sz w:val="20"/>
                <w:szCs w:val="20"/>
                <w:lang w:eastAsia="en-IE"/>
              </w:rPr>
              <w:t xml:space="preserve">European cybersecurity certification schemes requested for development; </w:t>
            </w:r>
          </w:p>
          <w:p w14:paraId="365BF2BF" w14:textId="77777777" w:rsidR="007476E9" w:rsidRPr="008F0AA6" w:rsidRDefault="007476E9">
            <w:pPr>
              <w:spacing w:before="0" w:after="0"/>
              <w:ind w:left="360"/>
              <w:jc w:val="left"/>
              <w:textAlignment w:val="baseline"/>
              <w:rPr>
                <w:rFonts w:eastAsia="Times New Roman"/>
                <w:noProof/>
                <w:sz w:val="20"/>
                <w:szCs w:val="20"/>
                <w:lang w:eastAsia="en-IE"/>
              </w:rPr>
            </w:pPr>
            <w:r>
              <w:rPr>
                <w:rFonts w:eastAsia="Times New Roman"/>
                <w:noProof/>
                <w:sz w:val="20"/>
                <w:szCs w:val="20"/>
                <w:lang w:eastAsia="en-IE"/>
              </w:rPr>
              <w:t xml:space="preserve">(b) </w:t>
            </w:r>
            <w:r w:rsidRPr="008F0AA6">
              <w:rPr>
                <w:rFonts w:eastAsia="Times New Roman"/>
                <w:noProof/>
                <w:sz w:val="20"/>
                <w:szCs w:val="20"/>
                <w:lang w:eastAsia="en-IE"/>
              </w:rPr>
              <w:t>strategic priorities for harmonisation of ICT products, ICT services, ICT processes, managed security services or security requirements of Union legislation, including potential areas for which a European cybersecurity certification scheme might be requested.</w:t>
            </w:r>
          </w:p>
          <w:p w14:paraId="007C6986"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p>
        </w:tc>
        <w:tc>
          <w:tcPr>
            <w:tcW w:w="226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3FE8EEE1"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eastAsia="en-IE"/>
              </w:rPr>
              <w:t>Article 7</w:t>
            </w:r>
            <w:r>
              <w:rPr>
                <w:rFonts w:eastAsia="Times New Roman"/>
                <w:noProof/>
                <w:sz w:val="20"/>
                <w:szCs w:val="20"/>
                <w:lang w:val="en-IE" w:eastAsia="en-IE"/>
              </w:rPr>
              <w:t>2</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7F7F7F" w:themeFill="text1" w:themeFillTint="80"/>
            <w:hideMark/>
          </w:tcPr>
          <w:p w14:paraId="6621063A"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val="en-IE" w:eastAsia="en-IE"/>
              </w:rPr>
              <w:t> </w:t>
            </w:r>
          </w:p>
        </w:tc>
        <w:tc>
          <w:tcPr>
            <w:tcW w:w="396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1BF8D83B"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val="en-IE" w:eastAsia="en-IE"/>
              </w:rPr>
              <w:t> </w:t>
            </w:r>
          </w:p>
        </w:tc>
      </w:tr>
      <w:tr w:rsidR="007476E9" w:rsidRPr="0057502F" w14:paraId="010646A1" w14:textId="77777777">
        <w:trPr>
          <w:trHeight w:val="285"/>
        </w:trPr>
        <w:tc>
          <w:tcPr>
            <w:tcW w:w="225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7E71A71C"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eastAsia="en-IE"/>
              </w:rPr>
              <w:t>ENISA shall maintain a dedicated certification website</w:t>
            </w:r>
            <w:r w:rsidRPr="0057502F">
              <w:rPr>
                <w:rFonts w:eastAsia="Times New Roman"/>
                <w:noProof/>
                <w:sz w:val="20"/>
                <w:szCs w:val="20"/>
                <w:lang w:val="en-IE" w:eastAsia="en-IE"/>
              </w:rPr>
              <w:t> </w:t>
            </w: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6924D4E8" w14:textId="77777777" w:rsidR="007476E9" w:rsidRPr="008F0AA6" w:rsidRDefault="007476E9">
            <w:pPr>
              <w:spacing w:before="0" w:after="0"/>
              <w:ind w:left="360"/>
              <w:jc w:val="left"/>
              <w:textAlignment w:val="baseline"/>
              <w:rPr>
                <w:rFonts w:eastAsia="Times New Roman"/>
                <w:noProof/>
                <w:sz w:val="20"/>
                <w:szCs w:val="20"/>
                <w:lang w:eastAsia="en-IE"/>
              </w:rPr>
            </w:pPr>
            <w:r w:rsidRPr="008F0AA6">
              <w:rPr>
                <w:rFonts w:eastAsia="Times New Roman"/>
                <w:noProof/>
                <w:sz w:val="20"/>
                <w:szCs w:val="20"/>
                <w:lang w:eastAsia="en-IE"/>
              </w:rPr>
              <w:t>ENISA shall maintain and regularly update a dedicated website providing public information on the following:</w:t>
            </w:r>
          </w:p>
          <w:p w14:paraId="4508AC4F" w14:textId="77777777" w:rsidR="007476E9" w:rsidRPr="008F0AA6" w:rsidRDefault="007476E9">
            <w:pPr>
              <w:spacing w:before="0" w:after="0"/>
              <w:ind w:left="360"/>
              <w:jc w:val="left"/>
              <w:textAlignment w:val="baseline"/>
              <w:rPr>
                <w:rFonts w:eastAsia="Times New Roman"/>
                <w:noProof/>
                <w:sz w:val="20"/>
                <w:szCs w:val="20"/>
                <w:lang w:eastAsia="en-IE"/>
              </w:rPr>
            </w:pPr>
            <w:r>
              <w:rPr>
                <w:rFonts w:eastAsia="Times New Roman"/>
                <w:noProof/>
                <w:sz w:val="20"/>
                <w:szCs w:val="20"/>
                <w:lang w:eastAsia="en-IE"/>
              </w:rPr>
              <w:t xml:space="preserve">(a) </w:t>
            </w:r>
            <w:r w:rsidRPr="008F0AA6">
              <w:rPr>
                <w:rFonts w:eastAsia="Times New Roman"/>
                <w:noProof/>
                <w:sz w:val="20"/>
                <w:szCs w:val="20"/>
                <w:lang w:eastAsia="en-IE"/>
              </w:rPr>
              <w:t xml:space="preserve">European cybersecurity certification schemes; </w:t>
            </w:r>
          </w:p>
          <w:p w14:paraId="4FE61D43" w14:textId="77777777" w:rsidR="00D14756" w:rsidRDefault="007476E9">
            <w:pPr>
              <w:spacing w:before="0" w:after="0"/>
              <w:ind w:left="360"/>
              <w:jc w:val="left"/>
              <w:textAlignment w:val="baseline"/>
              <w:rPr>
                <w:rFonts w:eastAsia="Times New Roman"/>
                <w:noProof/>
                <w:sz w:val="20"/>
                <w:szCs w:val="20"/>
                <w:lang w:eastAsia="en-IE"/>
              </w:rPr>
            </w:pPr>
            <w:r>
              <w:rPr>
                <w:rFonts w:eastAsia="Times New Roman"/>
                <w:noProof/>
                <w:sz w:val="20"/>
                <w:szCs w:val="20"/>
                <w:lang w:eastAsia="en-IE"/>
              </w:rPr>
              <w:t xml:space="preserve">(b) </w:t>
            </w:r>
            <w:r w:rsidR="00D14756" w:rsidRPr="00B87D77">
              <w:rPr>
                <w:rFonts w:eastAsia="Times New Roman"/>
                <w:noProof/>
                <w:sz w:val="20"/>
                <w:szCs w:val="20"/>
                <w:lang w:eastAsia="en-IE"/>
              </w:rPr>
              <w:t xml:space="preserve">the fees associated with the maintenance of each European cybersecurity certification scheme; </w:t>
            </w:r>
          </w:p>
          <w:p w14:paraId="78C73F58" w14:textId="6BD00DF1" w:rsidR="007476E9" w:rsidRPr="008F0AA6" w:rsidRDefault="00D14756">
            <w:pPr>
              <w:spacing w:before="0" w:after="0"/>
              <w:ind w:left="360"/>
              <w:jc w:val="left"/>
              <w:textAlignment w:val="baseline"/>
              <w:rPr>
                <w:rFonts w:eastAsia="Times New Roman"/>
                <w:noProof/>
                <w:sz w:val="20"/>
                <w:szCs w:val="20"/>
                <w:lang w:eastAsia="en-IE"/>
              </w:rPr>
            </w:pPr>
            <w:r>
              <w:rPr>
                <w:rFonts w:eastAsia="Times New Roman"/>
                <w:noProof/>
                <w:sz w:val="20"/>
                <w:szCs w:val="20"/>
                <w:lang w:eastAsia="en-IE"/>
              </w:rPr>
              <w:t xml:space="preserve">(c) </w:t>
            </w:r>
            <w:r w:rsidR="007476E9" w:rsidRPr="008F0AA6">
              <w:rPr>
                <w:rFonts w:eastAsia="Times New Roman"/>
                <w:noProof/>
                <w:sz w:val="20"/>
                <w:szCs w:val="20"/>
                <w:lang w:eastAsia="en-IE"/>
              </w:rPr>
              <w:t xml:space="preserve">relevant ENISA technical specifications; </w:t>
            </w:r>
          </w:p>
          <w:p w14:paraId="0ED5FB59" w14:textId="36E11747" w:rsidR="007476E9" w:rsidRPr="008F0AA6" w:rsidRDefault="007476E9">
            <w:pPr>
              <w:spacing w:before="0" w:after="0"/>
              <w:ind w:left="360"/>
              <w:jc w:val="left"/>
              <w:textAlignment w:val="baseline"/>
              <w:rPr>
                <w:rFonts w:eastAsia="Times New Roman"/>
                <w:noProof/>
                <w:sz w:val="20"/>
                <w:szCs w:val="20"/>
                <w:lang w:eastAsia="en-IE"/>
              </w:rPr>
            </w:pPr>
            <w:r>
              <w:rPr>
                <w:rFonts w:eastAsia="Times New Roman"/>
                <w:noProof/>
                <w:sz w:val="20"/>
                <w:szCs w:val="20"/>
                <w:lang w:eastAsia="en-IE"/>
              </w:rPr>
              <w:t>(</w:t>
            </w:r>
            <w:r w:rsidR="00D14756">
              <w:rPr>
                <w:rFonts w:eastAsia="Times New Roman"/>
                <w:noProof/>
                <w:sz w:val="20"/>
                <w:szCs w:val="20"/>
                <w:lang w:eastAsia="en-IE"/>
              </w:rPr>
              <w:t>d</w:t>
            </w:r>
            <w:r>
              <w:rPr>
                <w:rFonts w:eastAsia="Times New Roman"/>
                <w:noProof/>
                <w:sz w:val="20"/>
                <w:szCs w:val="20"/>
                <w:lang w:eastAsia="en-IE"/>
              </w:rPr>
              <w:t xml:space="preserve">) </w:t>
            </w:r>
            <w:r w:rsidRPr="008F0AA6">
              <w:rPr>
                <w:rFonts w:eastAsia="Times New Roman"/>
                <w:noProof/>
                <w:sz w:val="20"/>
                <w:szCs w:val="20"/>
                <w:lang w:eastAsia="en-IE"/>
              </w:rPr>
              <w:t xml:space="preserve">European cybersecurity certificates and EU statements of conformity, including information with regard to such certificates and statements which are no longer valid, or which are suspended, withdrawn or expired; </w:t>
            </w:r>
          </w:p>
          <w:p w14:paraId="421839DB" w14:textId="2887D83C" w:rsidR="007476E9" w:rsidRDefault="007476E9">
            <w:pPr>
              <w:spacing w:before="0" w:after="0"/>
              <w:ind w:left="360"/>
              <w:jc w:val="left"/>
              <w:textAlignment w:val="baseline"/>
              <w:rPr>
                <w:rFonts w:eastAsia="Times New Roman"/>
                <w:noProof/>
                <w:sz w:val="20"/>
                <w:szCs w:val="20"/>
                <w:lang w:eastAsia="en-IE"/>
              </w:rPr>
            </w:pPr>
            <w:r>
              <w:rPr>
                <w:rFonts w:eastAsia="Times New Roman"/>
                <w:noProof/>
                <w:sz w:val="20"/>
                <w:szCs w:val="20"/>
                <w:lang w:eastAsia="en-IE"/>
              </w:rPr>
              <w:t>(</w:t>
            </w:r>
            <w:r w:rsidR="00D14756">
              <w:rPr>
                <w:rFonts w:eastAsia="Times New Roman"/>
                <w:noProof/>
                <w:sz w:val="20"/>
                <w:szCs w:val="20"/>
                <w:lang w:eastAsia="en-IE"/>
              </w:rPr>
              <w:t>e</w:t>
            </w:r>
            <w:r>
              <w:rPr>
                <w:rFonts w:eastAsia="Times New Roman"/>
                <w:noProof/>
                <w:sz w:val="20"/>
                <w:szCs w:val="20"/>
                <w:lang w:eastAsia="en-IE"/>
              </w:rPr>
              <w:t xml:space="preserve">) </w:t>
            </w:r>
            <w:r w:rsidRPr="008F0AA6">
              <w:rPr>
                <w:rFonts w:eastAsia="Times New Roman"/>
                <w:noProof/>
                <w:sz w:val="20"/>
                <w:szCs w:val="20"/>
                <w:lang w:eastAsia="en-IE"/>
              </w:rPr>
              <w:t>relevant supplementary cybersecurity information provided in accordance with Article 84(2)</w:t>
            </w:r>
            <w:r>
              <w:rPr>
                <w:rFonts w:eastAsia="Times New Roman"/>
                <w:noProof/>
                <w:sz w:val="20"/>
                <w:szCs w:val="20"/>
                <w:lang w:eastAsia="en-IE"/>
              </w:rPr>
              <w:t>;</w:t>
            </w:r>
          </w:p>
          <w:p w14:paraId="36706D10" w14:textId="0947F4D2" w:rsidR="007476E9" w:rsidRPr="008F0AA6" w:rsidRDefault="007476E9">
            <w:pPr>
              <w:spacing w:before="0" w:after="0"/>
              <w:ind w:left="360"/>
              <w:jc w:val="left"/>
              <w:textAlignment w:val="baseline"/>
              <w:rPr>
                <w:rFonts w:eastAsia="Times New Roman"/>
                <w:noProof/>
                <w:sz w:val="20"/>
                <w:szCs w:val="20"/>
                <w:lang w:eastAsia="en-IE"/>
              </w:rPr>
            </w:pPr>
            <w:r w:rsidRPr="008F0AA6">
              <w:rPr>
                <w:rFonts w:eastAsia="Times New Roman"/>
                <w:noProof/>
                <w:sz w:val="20"/>
                <w:szCs w:val="20"/>
                <w:lang w:eastAsia="en-IE"/>
              </w:rPr>
              <w:t>(</w:t>
            </w:r>
            <w:r w:rsidR="00D14756">
              <w:rPr>
                <w:rFonts w:eastAsia="Times New Roman"/>
                <w:noProof/>
                <w:sz w:val="20"/>
                <w:szCs w:val="20"/>
                <w:lang w:eastAsia="en-IE"/>
              </w:rPr>
              <w:t>f</w:t>
            </w:r>
            <w:r w:rsidRPr="008F0AA6">
              <w:rPr>
                <w:rFonts w:eastAsia="Times New Roman"/>
                <w:noProof/>
                <w:sz w:val="20"/>
                <w:szCs w:val="20"/>
                <w:lang w:eastAsia="en-IE"/>
              </w:rPr>
              <w:t>)</w:t>
            </w:r>
            <w:r>
              <w:rPr>
                <w:noProof/>
              </w:rPr>
              <w:tab/>
            </w:r>
            <w:r w:rsidRPr="008F0AA6">
              <w:rPr>
                <w:rFonts w:eastAsia="Times New Roman"/>
                <w:noProof/>
                <w:sz w:val="20"/>
                <w:szCs w:val="20"/>
                <w:lang w:eastAsia="en-IE"/>
              </w:rPr>
              <w:t>summaries of peer reviews pursuant to Article 89</w:t>
            </w:r>
            <w:r w:rsidR="00D14756">
              <w:rPr>
                <w:rFonts w:eastAsia="Times New Roman"/>
                <w:noProof/>
                <w:sz w:val="20"/>
                <w:szCs w:val="20"/>
                <w:lang w:eastAsia="en-IE"/>
              </w:rPr>
              <w:t>(</w:t>
            </w:r>
            <w:r w:rsidRPr="008F0AA6">
              <w:rPr>
                <w:rFonts w:eastAsia="Times New Roman"/>
                <w:noProof/>
                <w:sz w:val="20"/>
                <w:szCs w:val="20"/>
                <w:lang w:eastAsia="en-IE"/>
              </w:rPr>
              <w:t>7</w:t>
            </w:r>
            <w:r w:rsidR="00D14756">
              <w:rPr>
                <w:rFonts w:eastAsia="Times New Roman"/>
                <w:noProof/>
                <w:sz w:val="20"/>
                <w:szCs w:val="20"/>
                <w:lang w:eastAsia="en-IE"/>
              </w:rPr>
              <w:t>)</w:t>
            </w:r>
            <w:r w:rsidRPr="008F0AA6">
              <w:rPr>
                <w:rFonts w:eastAsia="Times New Roman"/>
                <w:noProof/>
                <w:sz w:val="20"/>
                <w:szCs w:val="20"/>
                <w:lang w:eastAsia="en-IE"/>
              </w:rPr>
              <w:t>;</w:t>
            </w:r>
          </w:p>
          <w:p w14:paraId="1214C4E0" w14:textId="39DC36E6" w:rsidR="007476E9" w:rsidRPr="008F0AA6" w:rsidRDefault="007476E9">
            <w:pPr>
              <w:spacing w:before="0" w:after="0"/>
              <w:ind w:left="360"/>
              <w:jc w:val="left"/>
              <w:textAlignment w:val="baseline"/>
              <w:rPr>
                <w:noProof/>
              </w:rPr>
            </w:pPr>
            <w:r w:rsidRPr="008F0AA6">
              <w:rPr>
                <w:rFonts w:eastAsia="Times New Roman"/>
                <w:noProof/>
                <w:sz w:val="20"/>
                <w:szCs w:val="20"/>
                <w:lang w:eastAsia="en-IE"/>
              </w:rPr>
              <w:t>(</w:t>
            </w:r>
            <w:r w:rsidR="00D14756">
              <w:rPr>
                <w:rFonts w:eastAsia="Times New Roman"/>
                <w:noProof/>
                <w:sz w:val="20"/>
                <w:szCs w:val="20"/>
                <w:lang w:eastAsia="en-IE"/>
              </w:rPr>
              <w:t>g</w:t>
            </w:r>
            <w:r w:rsidRPr="008F0AA6">
              <w:rPr>
                <w:rFonts w:eastAsia="Times New Roman"/>
                <w:noProof/>
                <w:sz w:val="20"/>
                <w:szCs w:val="20"/>
                <w:lang w:eastAsia="en-IE"/>
              </w:rPr>
              <w:t>)</w:t>
            </w:r>
            <w:r w:rsidRPr="008F0AA6">
              <w:rPr>
                <w:rFonts w:eastAsia="Times New Roman"/>
                <w:noProof/>
                <w:sz w:val="20"/>
                <w:szCs w:val="20"/>
                <w:lang w:eastAsia="en-IE"/>
              </w:rPr>
              <w:tab/>
              <w:t>technical specifications referenced in a European cybersecurity certification scheme pursuant to Article 74(10).</w:t>
            </w:r>
          </w:p>
        </w:tc>
        <w:tc>
          <w:tcPr>
            <w:tcW w:w="226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41D1727B"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eastAsia="en-IE"/>
              </w:rPr>
              <w:t>Article 79</w:t>
            </w:r>
            <w:r w:rsidRPr="0057502F">
              <w:rPr>
                <w:rFonts w:eastAsia="Times New Roman"/>
                <w:noProof/>
                <w:sz w:val="20"/>
                <w:szCs w:val="20"/>
                <w:lang w:val="en-IE" w:eastAsia="en-IE"/>
              </w:rPr>
              <w:t> </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7F7F7F" w:themeFill="text1" w:themeFillTint="80"/>
            <w:hideMark/>
          </w:tcPr>
          <w:p w14:paraId="1B21BFDD"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val="en-IE" w:eastAsia="en-IE"/>
              </w:rPr>
              <w:t> </w:t>
            </w:r>
          </w:p>
        </w:tc>
        <w:tc>
          <w:tcPr>
            <w:tcW w:w="396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78CA3954"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val="en-IE" w:eastAsia="en-IE"/>
              </w:rPr>
              <w:t> </w:t>
            </w:r>
          </w:p>
        </w:tc>
      </w:tr>
      <w:tr w:rsidR="007476E9" w:rsidRPr="0057502F" w14:paraId="35DDB457" w14:textId="77777777">
        <w:trPr>
          <w:trHeight w:val="285"/>
        </w:trPr>
        <w:tc>
          <w:tcPr>
            <w:tcW w:w="225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68D02C62" w14:textId="77777777" w:rsidR="007476E9" w:rsidRPr="008F0AA6" w:rsidRDefault="007476E9">
            <w:pPr>
              <w:spacing w:before="0" w:after="0"/>
              <w:ind w:left="360"/>
              <w:jc w:val="left"/>
              <w:textAlignment w:val="baseline"/>
              <w:rPr>
                <w:rFonts w:eastAsia="Times New Roman"/>
                <w:noProof/>
                <w:sz w:val="20"/>
                <w:szCs w:val="20"/>
                <w:lang w:eastAsia="en-IE"/>
              </w:rPr>
            </w:pPr>
            <w:r w:rsidRPr="0057502F">
              <w:rPr>
                <w:rFonts w:eastAsia="Times New Roman"/>
                <w:noProof/>
                <w:sz w:val="20"/>
                <w:szCs w:val="20"/>
                <w:lang w:eastAsia="en-IE"/>
              </w:rPr>
              <w:t>Investigations</w:t>
            </w:r>
            <w:r w:rsidRPr="008F0AA6">
              <w:rPr>
                <w:rFonts w:eastAsia="Times New Roman"/>
                <w:noProof/>
                <w:sz w:val="20"/>
                <w:szCs w:val="20"/>
                <w:lang w:eastAsia="en-IE"/>
              </w:rPr>
              <w:t> </w:t>
            </w: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154397A7" w14:textId="77777777" w:rsidR="007476E9" w:rsidRPr="008F0AA6" w:rsidRDefault="007476E9">
            <w:pPr>
              <w:pStyle w:val="NumPar1"/>
              <w:numPr>
                <w:ilvl w:val="0"/>
                <w:numId w:val="0"/>
              </w:numPr>
              <w:spacing w:before="0" w:after="0"/>
              <w:ind w:left="357"/>
              <w:rPr>
                <w:rFonts w:eastAsia="Times New Roman"/>
                <w:noProof/>
                <w:sz w:val="20"/>
                <w:szCs w:val="20"/>
                <w:lang w:eastAsia="en-IE"/>
              </w:rPr>
            </w:pPr>
            <w:r w:rsidRPr="008F0AA6">
              <w:rPr>
                <w:rFonts w:eastAsia="Times New Roman"/>
                <w:noProof/>
                <w:sz w:val="20"/>
                <w:szCs w:val="20"/>
                <w:lang w:eastAsia="en-IE"/>
              </w:rPr>
              <w:t>The Commission shall investigate any cases in which it has doubts, or is made aware of doubts about the competence of a conformity assessment body to meet, or the continued fulfilment by a conformity assessment body of, the requirements and responsibilities to which it is subject.</w:t>
            </w:r>
          </w:p>
          <w:p w14:paraId="5D1D9DC2" w14:textId="77777777" w:rsidR="007476E9" w:rsidRPr="008F0AA6" w:rsidRDefault="007476E9">
            <w:pPr>
              <w:spacing w:before="0" w:after="0"/>
              <w:ind w:left="360"/>
              <w:jc w:val="left"/>
              <w:textAlignment w:val="baseline"/>
              <w:rPr>
                <w:rFonts w:eastAsia="Times New Roman"/>
                <w:noProof/>
                <w:sz w:val="20"/>
                <w:szCs w:val="20"/>
                <w:lang w:eastAsia="en-IE"/>
              </w:rPr>
            </w:pPr>
            <w:r w:rsidRPr="0057502F">
              <w:rPr>
                <w:rFonts w:eastAsia="Times New Roman"/>
                <w:noProof/>
                <w:sz w:val="20"/>
                <w:szCs w:val="20"/>
                <w:lang w:eastAsia="en-IE"/>
              </w:rPr>
              <w:t>The Commission shall ensure that all sensitive information obtained in the course of its investigations is treated confidentially.</w:t>
            </w:r>
            <w:r w:rsidRPr="008F0AA6">
              <w:rPr>
                <w:rFonts w:eastAsia="Times New Roman"/>
                <w:noProof/>
                <w:sz w:val="20"/>
                <w:szCs w:val="20"/>
                <w:lang w:eastAsia="en-IE"/>
              </w:rPr>
              <w:t> </w:t>
            </w:r>
          </w:p>
        </w:tc>
        <w:tc>
          <w:tcPr>
            <w:tcW w:w="226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543A0F3D"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eastAsia="en-IE"/>
              </w:rPr>
              <w:t>Article 94</w:t>
            </w:r>
            <w:r w:rsidRPr="0057502F">
              <w:rPr>
                <w:rFonts w:eastAsia="Times New Roman"/>
                <w:noProof/>
                <w:sz w:val="20"/>
                <w:szCs w:val="20"/>
                <w:lang w:val="en-IE" w:eastAsia="en-IE"/>
              </w:rPr>
              <w:t> </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7F7F7F" w:themeFill="text1" w:themeFillTint="80"/>
            <w:hideMark/>
          </w:tcPr>
          <w:p w14:paraId="5267895A"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val="en-IE" w:eastAsia="en-IE"/>
              </w:rPr>
              <w:t> </w:t>
            </w:r>
          </w:p>
        </w:tc>
        <w:tc>
          <w:tcPr>
            <w:tcW w:w="396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690D14A4"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val="en-IE" w:eastAsia="en-IE"/>
              </w:rPr>
              <w:t> </w:t>
            </w:r>
          </w:p>
        </w:tc>
      </w:tr>
      <w:tr w:rsidR="007476E9" w:rsidRPr="0057502F" w14:paraId="76C3182E" w14:textId="77777777">
        <w:trPr>
          <w:trHeight w:val="285"/>
        </w:trPr>
        <w:tc>
          <w:tcPr>
            <w:tcW w:w="225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155C4281"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eastAsia="en-IE"/>
              </w:rPr>
              <w:t>ENISA shall create and maintain a registry of essential and important entities as well as entities providing domain name registration services  </w:t>
            </w:r>
            <w:r w:rsidRPr="0057502F">
              <w:rPr>
                <w:rFonts w:eastAsia="Times New Roman"/>
                <w:noProof/>
                <w:sz w:val="20"/>
                <w:szCs w:val="20"/>
                <w:lang w:val="en-IE" w:eastAsia="en-IE"/>
              </w:rPr>
              <w:t> </w:t>
            </w: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0F6FFAA0"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eastAsia="en-IE"/>
              </w:rPr>
              <w:t>Registry of essential and important entities as well as entities providing domain name registration services.</w:t>
            </w:r>
            <w:r w:rsidRPr="0057502F">
              <w:rPr>
                <w:rFonts w:eastAsia="Times New Roman"/>
                <w:noProof/>
                <w:sz w:val="20"/>
                <w:szCs w:val="20"/>
                <w:lang w:val="en-IE" w:eastAsia="en-IE"/>
              </w:rPr>
              <w:t> </w:t>
            </w:r>
          </w:p>
          <w:p w14:paraId="55EE8299"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eastAsia="en-IE"/>
              </w:rPr>
              <w:t>Upon request, ENISA shall allow the competent authorities access to information concerning DNS service providers, TLD name registries, entities providing domain name registration services, cloud computing service providers, data centre service providers, content delivery network providers, managed service providers, managed security service providers, as well as providers of online marketplaces, of online search engines and of social networking services platforms stored in that registry, while ensuring that the confidentiality of information is protected where applicable.</w:t>
            </w:r>
            <w:r w:rsidRPr="0057502F">
              <w:rPr>
                <w:rFonts w:eastAsia="Times New Roman"/>
                <w:noProof/>
                <w:sz w:val="20"/>
                <w:szCs w:val="20"/>
                <w:lang w:val="en-IE" w:eastAsia="en-IE"/>
              </w:rPr>
              <w:t> </w:t>
            </w:r>
          </w:p>
        </w:tc>
        <w:tc>
          <w:tcPr>
            <w:tcW w:w="226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3A150372"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eastAsia="en-IE"/>
              </w:rPr>
              <w:t>Article 1</w:t>
            </w:r>
            <w:r>
              <w:rPr>
                <w:rFonts w:eastAsia="Times New Roman"/>
                <w:noProof/>
                <w:sz w:val="20"/>
                <w:szCs w:val="20"/>
                <w:lang w:eastAsia="en-IE"/>
              </w:rPr>
              <w:t xml:space="preserve">, point 11, Directive </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7F7F7F" w:themeFill="text1" w:themeFillTint="80"/>
            <w:hideMark/>
          </w:tcPr>
          <w:p w14:paraId="5331FA6A"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val="en-IE" w:eastAsia="en-IE"/>
              </w:rPr>
              <w:t> </w:t>
            </w:r>
          </w:p>
        </w:tc>
        <w:tc>
          <w:tcPr>
            <w:tcW w:w="396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3F6091B8" w14:textId="77777777" w:rsidR="007476E9" w:rsidRPr="0057502F" w:rsidRDefault="007476E9">
            <w:pPr>
              <w:spacing w:before="0" w:after="0"/>
              <w:ind w:left="360"/>
              <w:jc w:val="left"/>
              <w:textAlignment w:val="baseline"/>
              <w:rPr>
                <w:rFonts w:ascii="Segoe UI" w:eastAsia="Times New Roman" w:hAnsi="Segoe UI" w:cs="Segoe UI"/>
                <w:noProof/>
                <w:sz w:val="18"/>
                <w:szCs w:val="18"/>
                <w:lang w:val="en-IE" w:eastAsia="en-IE"/>
              </w:rPr>
            </w:pPr>
            <w:r w:rsidRPr="0057502F">
              <w:rPr>
                <w:rFonts w:eastAsia="Times New Roman"/>
                <w:noProof/>
                <w:sz w:val="20"/>
                <w:szCs w:val="20"/>
                <w:lang w:val="en-IE" w:eastAsia="en-IE"/>
              </w:rPr>
              <w:t> </w:t>
            </w:r>
          </w:p>
        </w:tc>
      </w:tr>
    </w:tbl>
    <w:p w14:paraId="3583A2D5" w14:textId="77777777" w:rsidR="007476E9" w:rsidRPr="0057502F" w:rsidRDefault="007476E9" w:rsidP="007476E9">
      <w:pPr>
        <w:pStyle w:val="Text1"/>
        <w:ind w:left="0"/>
        <w:rPr>
          <w:i/>
          <w:iCs/>
          <w:noProof/>
          <w:lang w:val="en-IE"/>
        </w:rPr>
      </w:pPr>
    </w:p>
    <w:p w14:paraId="160AA49E" w14:textId="77777777" w:rsidR="007476E9" w:rsidRPr="0057502F" w:rsidRDefault="007476E9" w:rsidP="007476E9">
      <w:pPr>
        <w:pStyle w:val="Text1"/>
        <w:rPr>
          <w:noProof/>
          <w:lang w:val="en-IE"/>
        </w:rPr>
      </w:pPr>
    </w:p>
    <w:p w14:paraId="3159EFB5" w14:textId="77777777" w:rsidR="007476E9" w:rsidRDefault="007476E9" w:rsidP="007476E9">
      <w:pPr>
        <w:pStyle w:val="ManualHeading2"/>
        <w:rPr>
          <w:rStyle w:val="Emphasis"/>
          <w:bCs/>
          <w:noProof/>
        </w:rPr>
      </w:pPr>
      <w:bookmarkStart w:id="198" w:name="_Toc167220304"/>
      <w:bookmarkStart w:id="199" w:name="_Toc177549040"/>
      <w:r>
        <w:rPr>
          <w:rStyle w:val="Emphasis"/>
          <w:bCs/>
          <w:noProof/>
        </w:rPr>
        <w:t>4.4.</w:t>
      </w:r>
      <w:r>
        <w:rPr>
          <w:noProof/>
        </w:rPr>
        <w:tab/>
      </w:r>
      <w:r w:rsidRPr="00B27729">
        <w:rPr>
          <w:rStyle w:val="Emphasis"/>
          <w:bCs/>
          <w:noProof/>
        </w:rPr>
        <w:t>Interoperability assessment</w:t>
      </w:r>
      <w:bookmarkEnd w:id="198"/>
      <w:bookmarkEnd w:id="199"/>
    </w:p>
    <w:p w14:paraId="624DAFF8" w14:textId="77777777" w:rsidR="007476E9" w:rsidRDefault="007476E9" w:rsidP="007476E9">
      <w:pPr>
        <w:pStyle w:val="Text1"/>
        <w:ind w:left="0"/>
        <w:rPr>
          <w:rStyle w:val="eop"/>
          <w:noProof/>
          <w:color w:val="000000"/>
          <w:shd w:val="clear" w:color="auto" w:fill="FFFFFF"/>
        </w:rPr>
      </w:pPr>
      <w:r>
        <w:rPr>
          <w:rStyle w:val="normaltextrun"/>
          <w:i/>
          <w:iCs/>
          <w:noProof/>
          <w:color w:val="000000"/>
          <w:shd w:val="clear" w:color="auto" w:fill="FFFFFF"/>
        </w:rPr>
        <w:t>Impact of the requirement(s) as per digital public service on cross-border interoperability</w:t>
      </w:r>
      <w:r>
        <w:rPr>
          <w:rStyle w:val="eop"/>
          <w:noProof/>
          <w:color w:val="000000"/>
          <w:shd w:val="clear" w:color="auto" w:fill="FFFFFF"/>
        </w:rPr>
        <w:t> </w:t>
      </w:r>
    </w:p>
    <w:p w14:paraId="5964A64B" w14:textId="77777777" w:rsidR="007476E9" w:rsidRDefault="007476E9" w:rsidP="007476E9">
      <w:pPr>
        <w:pStyle w:val="Text1"/>
        <w:ind w:left="0"/>
        <w:rPr>
          <w:rStyle w:val="eop"/>
          <w:noProof/>
          <w:color w:val="000000"/>
          <w:shd w:val="clear" w:color="auto" w:fill="FFFFFF"/>
        </w:rPr>
      </w:pPr>
      <w:r>
        <w:rPr>
          <w:rStyle w:val="normaltextrun"/>
          <w:b/>
          <w:bCs/>
          <w:noProof/>
          <w:color w:val="000000"/>
          <w:shd w:val="clear" w:color="auto" w:fill="FFFFFF"/>
        </w:rPr>
        <w:t>Repositories/platforms/early alerts/secretariat/operational cooperation/CVD database </w:t>
      </w:r>
      <w:r>
        <w:rPr>
          <w:rStyle w:val="eop"/>
          <w:noProof/>
          <w:color w:val="000000"/>
          <w:shd w:val="clear" w:color="auto" w:fill="FFFFFF"/>
        </w:rPr>
        <w:t> </w:t>
      </w:r>
    </w:p>
    <w:tbl>
      <w:tblPr>
        <w:tblW w:w="144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60"/>
        <w:gridCol w:w="4620"/>
        <w:gridCol w:w="5880"/>
      </w:tblGrid>
      <w:tr w:rsidR="007476E9" w:rsidRPr="00D73E11" w14:paraId="205A2777" w14:textId="77777777">
        <w:tc>
          <w:tcPr>
            <w:tcW w:w="3960" w:type="dxa"/>
            <w:tcBorders>
              <w:top w:val="single" w:sz="6" w:space="0" w:color="auto"/>
              <w:left w:val="single" w:sz="6" w:space="0" w:color="auto"/>
              <w:bottom w:val="single" w:sz="6" w:space="0" w:color="auto"/>
              <w:right w:val="single" w:sz="6" w:space="0" w:color="auto"/>
            </w:tcBorders>
            <w:hideMark/>
          </w:tcPr>
          <w:p w14:paraId="054C65FD" w14:textId="77777777" w:rsidR="007476E9" w:rsidRPr="00D73E11" w:rsidRDefault="007476E9">
            <w:pPr>
              <w:spacing w:before="0" w:after="0"/>
              <w:ind w:left="360"/>
              <w:jc w:val="left"/>
              <w:textAlignment w:val="baseline"/>
              <w:rPr>
                <w:rFonts w:ascii="Segoe UI" w:eastAsia="Times New Roman" w:hAnsi="Segoe UI" w:cs="Segoe UI"/>
                <w:noProof/>
                <w:sz w:val="18"/>
                <w:szCs w:val="18"/>
                <w:lang w:val="en-IE" w:eastAsia="en-IE"/>
              </w:rPr>
            </w:pPr>
            <w:r w:rsidRPr="00D73E11">
              <w:rPr>
                <w:rFonts w:eastAsia="Times New Roman"/>
                <w:b/>
                <w:bCs/>
                <w:noProof/>
                <w:sz w:val="22"/>
                <w:lang w:eastAsia="en-IE"/>
              </w:rPr>
              <w:t>Assessment</w:t>
            </w:r>
            <w:r w:rsidRPr="00D73E11">
              <w:rPr>
                <w:rFonts w:eastAsia="Times New Roman"/>
                <w:noProof/>
                <w:sz w:val="22"/>
                <w:lang w:val="en-IE" w:eastAsia="en-IE"/>
              </w:rPr>
              <w:t> </w:t>
            </w:r>
          </w:p>
        </w:tc>
        <w:tc>
          <w:tcPr>
            <w:tcW w:w="4620" w:type="dxa"/>
            <w:tcBorders>
              <w:top w:val="single" w:sz="6" w:space="0" w:color="auto"/>
              <w:left w:val="single" w:sz="6" w:space="0" w:color="auto"/>
              <w:bottom w:val="single" w:sz="6" w:space="0" w:color="auto"/>
              <w:right w:val="single" w:sz="6" w:space="0" w:color="auto"/>
            </w:tcBorders>
            <w:hideMark/>
          </w:tcPr>
          <w:p w14:paraId="5EF14D1C" w14:textId="77777777" w:rsidR="007476E9" w:rsidRPr="00D73E11" w:rsidRDefault="007476E9">
            <w:pPr>
              <w:spacing w:before="0" w:after="0"/>
              <w:ind w:left="360"/>
              <w:jc w:val="left"/>
              <w:textAlignment w:val="baseline"/>
              <w:rPr>
                <w:rFonts w:ascii="Segoe UI" w:eastAsia="Times New Roman" w:hAnsi="Segoe UI" w:cs="Segoe UI"/>
                <w:noProof/>
                <w:sz w:val="18"/>
                <w:szCs w:val="18"/>
                <w:lang w:val="en-IE" w:eastAsia="en-IE"/>
              </w:rPr>
            </w:pPr>
            <w:r w:rsidRPr="00D73E11">
              <w:rPr>
                <w:rFonts w:eastAsia="Times New Roman"/>
                <w:b/>
                <w:bCs/>
                <w:noProof/>
                <w:sz w:val="22"/>
                <w:lang w:eastAsia="en-IE"/>
              </w:rPr>
              <w:t>Measures</w:t>
            </w:r>
            <w:r w:rsidRPr="00D73E11">
              <w:rPr>
                <w:rFonts w:eastAsia="Times New Roman"/>
                <w:noProof/>
                <w:sz w:val="22"/>
                <w:lang w:val="en-IE" w:eastAsia="en-IE"/>
              </w:rPr>
              <w:t> </w:t>
            </w:r>
          </w:p>
        </w:tc>
        <w:tc>
          <w:tcPr>
            <w:tcW w:w="5880" w:type="dxa"/>
            <w:tcBorders>
              <w:top w:val="single" w:sz="6" w:space="0" w:color="auto"/>
              <w:left w:val="single" w:sz="6" w:space="0" w:color="auto"/>
              <w:bottom w:val="single" w:sz="6" w:space="0" w:color="auto"/>
              <w:right w:val="single" w:sz="6" w:space="0" w:color="auto"/>
            </w:tcBorders>
            <w:hideMark/>
          </w:tcPr>
          <w:p w14:paraId="6A281FD5" w14:textId="77777777" w:rsidR="007476E9" w:rsidRPr="00D73E11" w:rsidRDefault="007476E9">
            <w:pPr>
              <w:spacing w:before="0" w:after="0"/>
              <w:ind w:left="360"/>
              <w:jc w:val="left"/>
              <w:textAlignment w:val="baseline"/>
              <w:rPr>
                <w:rFonts w:ascii="Segoe UI" w:eastAsia="Times New Roman" w:hAnsi="Segoe UI" w:cs="Segoe UI"/>
                <w:noProof/>
                <w:sz w:val="18"/>
                <w:szCs w:val="18"/>
                <w:lang w:val="en-IE" w:eastAsia="en-IE"/>
              </w:rPr>
            </w:pPr>
            <w:r w:rsidRPr="00D73E11">
              <w:rPr>
                <w:rFonts w:eastAsia="Times New Roman"/>
                <w:b/>
                <w:bCs/>
                <w:noProof/>
                <w:sz w:val="22"/>
                <w:lang w:eastAsia="en-IE"/>
              </w:rPr>
              <w:t>Potential remaining barriers</w:t>
            </w:r>
            <w:r w:rsidRPr="00D73E11">
              <w:rPr>
                <w:rFonts w:eastAsia="Times New Roman"/>
                <w:noProof/>
                <w:sz w:val="22"/>
                <w:lang w:val="en-IE" w:eastAsia="en-IE"/>
              </w:rPr>
              <w:t> </w:t>
            </w:r>
          </w:p>
        </w:tc>
      </w:tr>
      <w:tr w:rsidR="007476E9" w:rsidRPr="00D73E11" w14:paraId="2B61ACD6" w14:textId="77777777">
        <w:tc>
          <w:tcPr>
            <w:tcW w:w="3960" w:type="dxa"/>
            <w:tcBorders>
              <w:top w:val="single" w:sz="6" w:space="0" w:color="auto"/>
              <w:left w:val="single" w:sz="6" w:space="0" w:color="auto"/>
              <w:bottom w:val="single" w:sz="6" w:space="0" w:color="auto"/>
              <w:right w:val="single" w:sz="6" w:space="0" w:color="auto"/>
            </w:tcBorders>
            <w:hideMark/>
          </w:tcPr>
          <w:p w14:paraId="3DA8C816" w14:textId="77777777" w:rsidR="007476E9" w:rsidRPr="00D73E11" w:rsidRDefault="007476E9">
            <w:pPr>
              <w:spacing w:before="0" w:after="0"/>
              <w:ind w:left="360"/>
              <w:jc w:val="left"/>
              <w:textAlignment w:val="baseline"/>
              <w:rPr>
                <w:rFonts w:ascii="Segoe UI" w:eastAsia="Times New Roman" w:hAnsi="Segoe UI" w:cs="Segoe UI"/>
                <w:noProof/>
                <w:sz w:val="18"/>
                <w:szCs w:val="18"/>
                <w:lang w:val="en-IE" w:eastAsia="en-IE"/>
              </w:rPr>
            </w:pPr>
            <w:r w:rsidRPr="00D73E11">
              <w:rPr>
                <w:rFonts w:eastAsia="Times New Roman"/>
                <w:b/>
                <w:bCs/>
                <w:noProof/>
                <w:sz w:val="22"/>
                <w:lang w:eastAsia="en-IE"/>
              </w:rPr>
              <w:t>Assess the alignment with existing digital and sectorial policies </w:t>
            </w:r>
            <w:r w:rsidRPr="00D73E11">
              <w:rPr>
                <w:rFonts w:eastAsia="Times New Roman"/>
                <w:noProof/>
                <w:sz w:val="22"/>
                <w:lang w:val="en-IE" w:eastAsia="en-IE"/>
              </w:rPr>
              <w:t> </w:t>
            </w:r>
          </w:p>
          <w:p w14:paraId="0F10D541" w14:textId="77777777" w:rsidR="007476E9" w:rsidRPr="00D73E11" w:rsidRDefault="007476E9">
            <w:pPr>
              <w:spacing w:before="0" w:after="0"/>
              <w:ind w:left="360"/>
              <w:jc w:val="left"/>
              <w:textAlignment w:val="baseline"/>
              <w:rPr>
                <w:rFonts w:ascii="Segoe UI" w:eastAsia="Times New Roman" w:hAnsi="Segoe UI" w:cs="Segoe UI"/>
                <w:noProof/>
                <w:sz w:val="18"/>
                <w:szCs w:val="18"/>
                <w:lang w:val="en-IE" w:eastAsia="en-IE"/>
              </w:rPr>
            </w:pPr>
            <w:r w:rsidRPr="00D73E11">
              <w:rPr>
                <w:rFonts w:eastAsia="Times New Roman"/>
                <w:b/>
                <w:bCs/>
                <w:noProof/>
                <w:sz w:val="22"/>
                <w:lang w:eastAsia="en-IE"/>
              </w:rPr>
              <w:t>Please list the applicable digital and sectorial policies identified</w:t>
            </w:r>
            <w:r w:rsidRPr="00D73E11">
              <w:rPr>
                <w:rFonts w:eastAsia="Times New Roman"/>
                <w:noProof/>
                <w:sz w:val="22"/>
                <w:lang w:val="en-IE" w:eastAsia="en-IE"/>
              </w:rPr>
              <w:t> </w:t>
            </w:r>
          </w:p>
        </w:tc>
        <w:tc>
          <w:tcPr>
            <w:tcW w:w="4620" w:type="dxa"/>
            <w:tcBorders>
              <w:top w:val="single" w:sz="6" w:space="0" w:color="auto"/>
              <w:left w:val="single" w:sz="6" w:space="0" w:color="auto"/>
              <w:bottom w:val="single" w:sz="6" w:space="0" w:color="auto"/>
              <w:right w:val="single" w:sz="6" w:space="0" w:color="auto"/>
            </w:tcBorders>
            <w:hideMark/>
          </w:tcPr>
          <w:p w14:paraId="13D1C940" w14:textId="77777777" w:rsidR="007476E9" w:rsidRPr="00D73E11" w:rsidRDefault="007476E9">
            <w:pPr>
              <w:spacing w:before="0" w:after="0"/>
              <w:ind w:left="360"/>
              <w:jc w:val="left"/>
              <w:textAlignment w:val="baseline"/>
              <w:rPr>
                <w:rFonts w:eastAsia="Times New Roman"/>
                <w:noProof/>
                <w:sz w:val="22"/>
                <w:lang w:val="en-IE" w:eastAsia="en-IE"/>
              </w:rPr>
            </w:pPr>
            <w:r w:rsidRPr="00D73E11">
              <w:rPr>
                <w:rFonts w:eastAsia="Times New Roman"/>
                <w:i/>
                <w:iCs/>
                <w:noProof/>
                <w:sz w:val="22"/>
                <w:lang w:eastAsia="en-IE"/>
              </w:rPr>
              <w:t>Cybersecurity</w:t>
            </w:r>
            <w:r w:rsidRPr="00D73E11">
              <w:rPr>
                <w:rFonts w:eastAsia="Times New Roman"/>
                <w:noProof/>
                <w:sz w:val="22"/>
                <w:lang w:val="en-IE" w:eastAsia="en-IE"/>
              </w:rPr>
              <w:t> </w:t>
            </w:r>
          </w:p>
        </w:tc>
        <w:tc>
          <w:tcPr>
            <w:tcW w:w="5880" w:type="dxa"/>
            <w:tcBorders>
              <w:top w:val="single" w:sz="6" w:space="0" w:color="auto"/>
              <w:left w:val="single" w:sz="6" w:space="0" w:color="auto"/>
              <w:bottom w:val="single" w:sz="6" w:space="0" w:color="auto"/>
              <w:right w:val="single" w:sz="6" w:space="0" w:color="auto"/>
            </w:tcBorders>
            <w:hideMark/>
          </w:tcPr>
          <w:p w14:paraId="72225D49" w14:textId="77777777" w:rsidR="007476E9" w:rsidRPr="00D73E11" w:rsidRDefault="007476E9">
            <w:pPr>
              <w:spacing w:before="0" w:after="0"/>
              <w:ind w:left="360"/>
              <w:jc w:val="left"/>
              <w:textAlignment w:val="baseline"/>
              <w:rPr>
                <w:rFonts w:eastAsia="Times New Roman"/>
                <w:noProof/>
                <w:sz w:val="22"/>
                <w:lang w:val="en-IE" w:eastAsia="en-IE"/>
              </w:rPr>
            </w:pPr>
            <w:r w:rsidRPr="00D73E11">
              <w:rPr>
                <w:rFonts w:eastAsia="Times New Roman"/>
                <w:i/>
                <w:iCs/>
                <w:noProof/>
                <w:sz w:val="22"/>
                <w:lang w:eastAsia="en-IE"/>
              </w:rPr>
              <w:t>No known barriers </w:t>
            </w:r>
            <w:r w:rsidRPr="00D73E11">
              <w:rPr>
                <w:rFonts w:eastAsia="Times New Roman"/>
                <w:noProof/>
                <w:sz w:val="22"/>
                <w:lang w:val="en-IE" w:eastAsia="en-IE"/>
              </w:rPr>
              <w:t> </w:t>
            </w:r>
          </w:p>
        </w:tc>
      </w:tr>
      <w:tr w:rsidR="007476E9" w:rsidRPr="00D73E11" w14:paraId="04BF8C87" w14:textId="77777777">
        <w:tc>
          <w:tcPr>
            <w:tcW w:w="3960" w:type="dxa"/>
            <w:tcBorders>
              <w:top w:val="single" w:sz="6" w:space="0" w:color="auto"/>
              <w:left w:val="single" w:sz="6" w:space="0" w:color="auto"/>
              <w:bottom w:val="single" w:sz="6" w:space="0" w:color="auto"/>
              <w:right w:val="single" w:sz="6" w:space="0" w:color="auto"/>
            </w:tcBorders>
            <w:hideMark/>
          </w:tcPr>
          <w:p w14:paraId="5D305632" w14:textId="77777777" w:rsidR="007476E9" w:rsidRPr="00D73E11" w:rsidRDefault="007476E9">
            <w:pPr>
              <w:spacing w:before="0" w:after="0"/>
              <w:ind w:left="360"/>
              <w:jc w:val="left"/>
              <w:textAlignment w:val="baseline"/>
              <w:rPr>
                <w:rFonts w:ascii="Segoe UI" w:eastAsia="Times New Roman" w:hAnsi="Segoe UI" w:cs="Segoe UI"/>
                <w:noProof/>
                <w:sz w:val="18"/>
                <w:szCs w:val="18"/>
                <w:lang w:val="en-IE" w:eastAsia="en-IE"/>
              </w:rPr>
            </w:pPr>
            <w:r w:rsidRPr="00D73E11">
              <w:rPr>
                <w:rFonts w:eastAsia="Times New Roman"/>
                <w:b/>
                <w:bCs/>
                <w:noProof/>
                <w:sz w:val="22"/>
                <w:lang w:eastAsia="en-IE"/>
              </w:rPr>
              <w:t>Assess the organisational measures for a smooth cross-border digital public services delivery</w:t>
            </w:r>
            <w:r w:rsidRPr="00D73E11">
              <w:rPr>
                <w:rFonts w:eastAsia="Times New Roman"/>
                <w:noProof/>
                <w:sz w:val="22"/>
                <w:lang w:val="en-IE" w:eastAsia="en-IE"/>
              </w:rPr>
              <w:t> </w:t>
            </w:r>
          </w:p>
          <w:p w14:paraId="2267AECE" w14:textId="77777777" w:rsidR="007476E9" w:rsidRPr="00D73E11" w:rsidRDefault="007476E9">
            <w:pPr>
              <w:spacing w:before="0" w:after="0"/>
              <w:ind w:left="360"/>
              <w:jc w:val="left"/>
              <w:textAlignment w:val="baseline"/>
              <w:rPr>
                <w:rFonts w:ascii="Segoe UI" w:eastAsia="Times New Roman" w:hAnsi="Segoe UI" w:cs="Segoe UI"/>
                <w:noProof/>
                <w:sz w:val="18"/>
                <w:szCs w:val="18"/>
                <w:lang w:val="en-IE" w:eastAsia="en-IE"/>
              </w:rPr>
            </w:pPr>
            <w:r w:rsidRPr="00D73E11">
              <w:rPr>
                <w:rFonts w:eastAsia="Times New Roman"/>
                <w:b/>
                <w:bCs/>
                <w:noProof/>
                <w:sz w:val="22"/>
                <w:lang w:eastAsia="en-IE"/>
              </w:rPr>
              <w:t>Please list the governance measures foreseen</w:t>
            </w:r>
            <w:r w:rsidRPr="00D73E11">
              <w:rPr>
                <w:rFonts w:eastAsia="Times New Roman"/>
                <w:noProof/>
                <w:sz w:val="22"/>
                <w:lang w:val="en-IE" w:eastAsia="en-IE"/>
              </w:rPr>
              <w:t> </w:t>
            </w:r>
          </w:p>
        </w:tc>
        <w:tc>
          <w:tcPr>
            <w:tcW w:w="4620" w:type="dxa"/>
            <w:tcBorders>
              <w:top w:val="single" w:sz="6" w:space="0" w:color="auto"/>
              <w:left w:val="single" w:sz="6" w:space="0" w:color="auto"/>
              <w:bottom w:val="single" w:sz="6" w:space="0" w:color="auto"/>
              <w:right w:val="single" w:sz="6" w:space="0" w:color="auto"/>
            </w:tcBorders>
            <w:hideMark/>
          </w:tcPr>
          <w:p w14:paraId="7EA9EB3A" w14:textId="77777777" w:rsidR="007476E9" w:rsidRPr="00D73E11" w:rsidRDefault="007476E9">
            <w:pPr>
              <w:spacing w:before="0" w:after="0"/>
              <w:ind w:left="360"/>
              <w:jc w:val="left"/>
              <w:textAlignment w:val="baseline"/>
              <w:rPr>
                <w:rFonts w:eastAsia="Times New Roman"/>
                <w:noProof/>
                <w:sz w:val="22"/>
                <w:lang w:val="en-IE" w:eastAsia="en-IE"/>
              </w:rPr>
            </w:pPr>
            <w:r w:rsidRPr="00D73E11">
              <w:rPr>
                <w:rFonts w:eastAsia="Times New Roman"/>
                <w:i/>
                <w:iCs/>
                <w:noProof/>
                <w:sz w:val="22"/>
                <w:lang w:eastAsia="en-IE"/>
              </w:rPr>
              <w:t>ENISA Management Board </w:t>
            </w:r>
            <w:r w:rsidRPr="00D73E11">
              <w:rPr>
                <w:rFonts w:eastAsia="Times New Roman"/>
                <w:noProof/>
                <w:sz w:val="22"/>
                <w:lang w:val="en-IE" w:eastAsia="en-IE"/>
              </w:rPr>
              <w:t> </w:t>
            </w:r>
          </w:p>
          <w:p w14:paraId="57B1FA78" w14:textId="77777777" w:rsidR="007476E9" w:rsidRPr="00D73E11" w:rsidRDefault="007476E9">
            <w:pPr>
              <w:spacing w:before="0" w:after="0"/>
              <w:ind w:left="360"/>
              <w:jc w:val="left"/>
              <w:textAlignment w:val="baseline"/>
              <w:rPr>
                <w:rFonts w:eastAsia="Times New Roman"/>
                <w:noProof/>
                <w:sz w:val="22"/>
                <w:lang w:val="en-IE" w:eastAsia="en-IE"/>
              </w:rPr>
            </w:pPr>
            <w:r w:rsidRPr="00D73E11">
              <w:rPr>
                <w:rFonts w:eastAsia="Times New Roman"/>
                <w:i/>
                <w:iCs/>
                <w:noProof/>
                <w:sz w:val="22"/>
                <w:lang w:eastAsia="en-IE"/>
              </w:rPr>
              <w:t>CSIRTs Network</w:t>
            </w:r>
            <w:r w:rsidRPr="00D73E11">
              <w:rPr>
                <w:rFonts w:eastAsia="Times New Roman"/>
                <w:noProof/>
                <w:sz w:val="22"/>
                <w:lang w:val="en-IE" w:eastAsia="en-IE"/>
              </w:rPr>
              <w:t> </w:t>
            </w:r>
          </w:p>
          <w:p w14:paraId="61E2A4BC" w14:textId="77777777" w:rsidR="007476E9" w:rsidRPr="00D73E11" w:rsidRDefault="007476E9">
            <w:pPr>
              <w:spacing w:before="0" w:after="0"/>
              <w:ind w:left="360"/>
              <w:jc w:val="left"/>
              <w:textAlignment w:val="baseline"/>
              <w:rPr>
                <w:rFonts w:eastAsia="Times New Roman"/>
                <w:noProof/>
                <w:sz w:val="22"/>
                <w:lang w:val="en-IE" w:eastAsia="en-IE"/>
              </w:rPr>
            </w:pPr>
            <w:r w:rsidRPr="00D73E11">
              <w:rPr>
                <w:rFonts w:eastAsia="Times New Roman"/>
                <w:i/>
                <w:iCs/>
                <w:noProof/>
                <w:sz w:val="22"/>
                <w:lang w:eastAsia="en-IE"/>
              </w:rPr>
              <w:t>EU-CyCLONe</w:t>
            </w:r>
            <w:r w:rsidRPr="00D73E11">
              <w:rPr>
                <w:rFonts w:eastAsia="Times New Roman"/>
                <w:noProof/>
                <w:sz w:val="22"/>
                <w:lang w:val="en-IE" w:eastAsia="en-IE"/>
              </w:rPr>
              <w:t> </w:t>
            </w:r>
          </w:p>
          <w:p w14:paraId="4ED6A3A7" w14:textId="77777777" w:rsidR="007476E9" w:rsidRPr="00D73E11" w:rsidRDefault="007476E9">
            <w:pPr>
              <w:spacing w:before="0" w:after="0"/>
              <w:ind w:left="360"/>
              <w:jc w:val="left"/>
              <w:textAlignment w:val="baseline"/>
              <w:rPr>
                <w:rFonts w:eastAsia="Times New Roman"/>
                <w:noProof/>
                <w:sz w:val="22"/>
                <w:lang w:val="en-IE" w:eastAsia="en-IE"/>
              </w:rPr>
            </w:pPr>
            <w:r w:rsidRPr="00D73E11">
              <w:rPr>
                <w:rFonts w:eastAsia="Times New Roman"/>
                <w:i/>
                <w:iCs/>
                <w:noProof/>
                <w:sz w:val="22"/>
                <w:lang w:eastAsia="en-IE"/>
              </w:rPr>
              <w:t>NIS Cooperation Group</w:t>
            </w:r>
            <w:r w:rsidRPr="00D73E11">
              <w:rPr>
                <w:rFonts w:eastAsia="Times New Roman"/>
                <w:noProof/>
                <w:sz w:val="22"/>
                <w:lang w:val="en-IE" w:eastAsia="en-IE"/>
              </w:rPr>
              <w:t> </w:t>
            </w:r>
          </w:p>
          <w:p w14:paraId="1B5111F7" w14:textId="77777777" w:rsidR="007476E9" w:rsidRPr="00D73E11" w:rsidRDefault="007476E9">
            <w:pPr>
              <w:spacing w:before="0" w:after="0"/>
              <w:ind w:left="360"/>
              <w:jc w:val="left"/>
              <w:textAlignment w:val="baseline"/>
              <w:rPr>
                <w:rFonts w:ascii="Segoe UI" w:eastAsia="Times New Roman" w:hAnsi="Segoe UI" w:cs="Segoe UI"/>
                <w:noProof/>
                <w:sz w:val="18"/>
                <w:szCs w:val="18"/>
                <w:lang w:val="en-IE" w:eastAsia="en-IE"/>
              </w:rPr>
            </w:pPr>
            <w:r w:rsidRPr="00D73E11">
              <w:rPr>
                <w:rFonts w:eastAsia="Times New Roman"/>
                <w:noProof/>
                <w:sz w:val="22"/>
                <w:lang w:val="en-IE" w:eastAsia="en-IE"/>
              </w:rPr>
              <w:t> </w:t>
            </w:r>
          </w:p>
          <w:p w14:paraId="102AF179" w14:textId="77777777" w:rsidR="007476E9" w:rsidRPr="00D73E11" w:rsidRDefault="007476E9">
            <w:pPr>
              <w:spacing w:before="0" w:after="0"/>
              <w:ind w:left="360"/>
              <w:jc w:val="left"/>
              <w:textAlignment w:val="baseline"/>
              <w:rPr>
                <w:rFonts w:ascii="Segoe UI" w:eastAsia="Times New Roman" w:hAnsi="Segoe UI" w:cs="Segoe UI"/>
                <w:noProof/>
                <w:sz w:val="18"/>
                <w:szCs w:val="18"/>
                <w:lang w:val="en-IE" w:eastAsia="en-IE"/>
              </w:rPr>
            </w:pPr>
            <w:r w:rsidRPr="00D73E11">
              <w:rPr>
                <w:rFonts w:eastAsia="Times New Roman"/>
                <w:i/>
                <w:iCs/>
                <w:noProof/>
                <w:sz w:val="22"/>
                <w:lang w:eastAsia="en-IE"/>
              </w:rPr>
              <w:t>All of these are forums where issues can be raised. </w:t>
            </w:r>
            <w:r w:rsidRPr="00D73E11">
              <w:rPr>
                <w:rFonts w:eastAsia="Times New Roman"/>
                <w:noProof/>
                <w:sz w:val="22"/>
                <w:lang w:val="en-IE" w:eastAsia="en-IE"/>
              </w:rPr>
              <w:t> </w:t>
            </w:r>
          </w:p>
        </w:tc>
        <w:tc>
          <w:tcPr>
            <w:tcW w:w="5880" w:type="dxa"/>
            <w:tcBorders>
              <w:top w:val="single" w:sz="6" w:space="0" w:color="auto"/>
              <w:left w:val="single" w:sz="6" w:space="0" w:color="auto"/>
              <w:bottom w:val="single" w:sz="6" w:space="0" w:color="auto"/>
              <w:right w:val="single" w:sz="6" w:space="0" w:color="auto"/>
            </w:tcBorders>
            <w:hideMark/>
          </w:tcPr>
          <w:p w14:paraId="5A7E6009" w14:textId="77777777" w:rsidR="007476E9" w:rsidRPr="00D73E11" w:rsidRDefault="007476E9">
            <w:pPr>
              <w:spacing w:before="0" w:after="0"/>
              <w:ind w:left="360"/>
              <w:jc w:val="left"/>
              <w:textAlignment w:val="baseline"/>
              <w:rPr>
                <w:rFonts w:ascii="Segoe UI" w:eastAsia="Times New Roman" w:hAnsi="Segoe UI" w:cs="Segoe UI"/>
                <w:noProof/>
                <w:sz w:val="18"/>
                <w:szCs w:val="18"/>
                <w:lang w:val="en-IE" w:eastAsia="en-IE"/>
              </w:rPr>
            </w:pPr>
            <w:r w:rsidRPr="00D73E11">
              <w:rPr>
                <w:rFonts w:eastAsia="Times New Roman"/>
                <w:noProof/>
                <w:sz w:val="22"/>
                <w:lang w:val="en-IE" w:eastAsia="en-IE"/>
              </w:rPr>
              <w:t> </w:t>
            </w:r>
          </w:p>
          <w:p w14:paraId="3D371223" w14:textId="77777777" w:rsidR="007476E9" w:rsidRPr="00D73E11" w:rsidRDefault="007476E9">
            <w:pPr>
              <w:spacing w:before="0" w:after="0"/>
              <w:ind w:left="360"/>
              <w:jc w:val="left"/>
              <w:textAlignment w:val="baseline"/>
              <w:rPr>
                <w:rFonts w:ascii="Segoe UI" w:eastAsia="Times New Roman" w:hAnsi="Segoe UI" w:cs="Segoe UI"/>
                <w:noProof/>
                <w:sz w:val="18"/>
                <w:szCs w:val="18"/>
                <w:lang w:val="en-IE" w:eastAsia="en-IE"/>
              </w:rPr>
            </w:pPr>
            <w:r w:rsidRPr="00D73E11">
              <w:rPr>
                <w:rFonts w:eastAsia="Times New Roman"/>
                <w:i/>
                <w:iCs/>
                <w:noProof/>
                <w:sz w:val="22"/>
                <w:lang w:eastAsia="en-IE"/>
              </w:rPr>
              <w:t>N/A</w:t>
            </w:r>
            <w:r w:rsidRPr="00D73E11">
              <w:rPr>
                <w:rFonts w:eastAsia="Times New Roman"/>
                <w:noProof/>
                <w:sz w:val="22"/>
                <w:lang w:val="en-IE" w:eastAsia="en-IE"/>
              </w:rPr>
              <w:t> </w:t>
            </w:r>
          </w:p>
        </w:tc>
      </w:tr>
      <w:tr w:rsidR="007476E9" w:rsidRPr="00D73E11" w14:paraId="26B0C7F6" w14:textId="77777777">
        <w:tc>
          <w:tcPr>
            <w:tcW w:w="3960" w:type="dxa"/>
            <w:tcBorders>
              <w:top w:val="single" w:sz="6" w:space="0" w:color="auto"/>
              <w:left w:val="single" w:sz="6" w:space="0" w:color="auto"/>
              <w:bottom w:val="single" w:sz="6" w:space="0" w:color="auto"/>
              <w:right w:val="single" w:sz="6" w:space="0" w:color="auto"/>
            </w:tcBorders>
            <w:hideMark/>
          </w:tcPr>
          <w:p w14:paraId="437ED948" w14:textId="77777777" w:rsidR="007476E9" w:rsidRPr="00D73E11" w:rsidRDefault="007476E9">
            <w:pPr>
              <w:spacing w:before="0" w:after="0"/>
              <w:ind w:left="360"/>
              <w:jc w:val="left"/>
              <w:textAlignment w:val="baseline"/>
              <w:rPr>
                <w:rFonts w:ascii="Segoe UI" w:eastAsia="Times New Roman" w:hAnsi="Segoe UI" w:cs="Segoe UI"/>
                <w:noProof/>
                <w:sz w:val="18"/>
                <w:szCs w:val="18"/>
                <w:lang w:val="en-IE" w:eastAsia="en-IE"/>
              </w:rPr>
            </w:pPr>
            <w:r w:rsidRPr="00D73E11">
              <w:rPr>
                <w:rFonts w:eastAsia="Times New Roman"/>
                <w:b/>
                <w:bCs/>
                <w:noProof/>
                <w:sz w:val="22"/>
                <w:lang w:eastAsia="en-IE"/>
              </w:rPr>
              <w:t>Assess the measures taken to ensure a shared understanding of the data</w:t>
            </w:r>
            <w:r w:rsidRPr="00D73E11">
              <w:rPr>
                <w:rFonts w:eastAsia="Times New Roman"/>
                <w:noProof/>
                <w:sz w:val="22"/>
                <w:lang w:val="en-IE" w:eastAsia="en-IE"/>
              </w:rPr>
              <w:t> </w:t>
            </w:r>
          </w:p>
          <w:p w14:paraId="74626882" w14:textId="77777777" w:rsidR="007476E9" w:rsidRPr="00D73E11" w:rsidRDefault="007476E9">
            <w:pPr>
              <w:spacing w:before="0" w:after="0"/>
              <w:ind w:left="360"/>
              <w:jc w:val="left"/>
              <w:textAlignment w:val="baseline"/>
              <w:rPr>
                <w:rFonts w:ascii="Segoe UI" w:eastAsia="Times New Roman" w:hAnsi="Segoe UI" w:cs="Segoe UI"/>
                <w:noProof/>
                <w:sz w:val="18"/>
                <w:szCs w:val="18"/>
                <w:lang w:val="en-IE" w:eastAsia="en-IE"/>
              </w:rPr>
            </w:pPr>
            <w:r w:rsidRPr="00D73E11">
              <w:rPr>
                <w:rFonts w:eastAsia="Times New Roman"/>
                <w:b/>
                <w:bCs/>
                <w:noProof/>
                <w:sz w:val="22"/>
                <w:lang w:eastAsia="en-IE"/>
              </w:rPr>
              <w:t>Please list such measures</w:t>
            </w:r>
            <w:r w:rsidRPr="00D73E11">
              <w:rPr>
                <w:rFonts w:eastAsia="Times New Roman"/>
                <w:noProof/>
                <w:sz w:val="22"/>
                <w:lang w:val="en-IE" w:eastAsia="en-IE"/>
              </w:rPr>
              <w:t> </w:t>
            </w:r>
          </w:p>
        </w:tc>
        <w:tc>
          <w:tcPr>
            <w:tcW w:w="4620" w:type="dxa"/>
            <w:tcBorders>
              <w:top w:val="single" w:sz="6" w:space="0" w:color="auto"/>
              <w:left w:val="single" w:sz="6" w:space="0" w:color="auto"/>
              <w:bottom w:val="single" w:sz="6" w:space="0" w:color="auto"/>
              <w:right w:val="single" w:sz="6" w:space="0" w:color="auto"/>
            </w:tcBorders>
            <w:hideMark/>
          </w:tcPr>
          <w:p w14:paraId="7E503CC2" w14:textId="77777777" w:rsidR="007476E9" w:rsidRPr="00D73E11" w:rsidRDefault="007476E9">
            <w:pPr>
              <w:spacing w:before="0" w:after="0"/>
              <w:ind w:left="360"/>
              <w:jc w:val="left"/>
              <w:textAlignment w:val="baseline"/>
              <w:rPr>
                <w:rFonts w:ascii="Segoe UI" w:eastAsia="Times New Roman" w:hAnsi="Segoe UI" w:cs="Segoe UI"/>
                <w:noProof/>
                <w:sz w:val="18"/>
                <w:szCs w:val="18"/>
                <w:lang w:val="en-IE" w:eastAsia="en-IE"/>
              </w:rPr>
            </w:pPr>
            <w:r w:rsidRPr="00D73E11">
              <w:rPr>
                <w:rFonts w:eastAsia="Times New Roman"/>
                <w:noProof/>
                <w:sz w:val="22"/>
                <w:lang w:val="en-IE" w:eastAsia="en-IE"/>
              </w:rPr>
              <w:t> </w:t>
            </w:r>
          </w:p>
          <w:p w14:paraId="6737D04A" w14:textId="77777777" w:rsidR="007476E9" w:rsidRPr="00D73E11" w:rsidRDefault="007476E9">
            <w:pPr>
              <w:spacing w:before="0" w:after="0"/>
              <w:ind w:left="360"/>
              <w:jc w:val="left"/>
              <w:textAlignment w:val="baseline"/>
              <w:rPr>
                <w:rFonts w:ascii="Segoe UI" w:eastAsia="Times New Roman" w:hAnsi="Segoe UI" w:cs="Segoe UI"/>
                <w:noProof/>
                <w:sz w:val="18"/>
                <w:szCs w:val="18"/>
                <w:lang w:val="en-IE" w:eastAsia="en-IE"/>
              </w:rPr>
            </w:pPr>
            <w:r w:rsidRPr="00D73E11">
              <w:rPr>
                <w:rFonts w:eastAsia="Times New Roman"/>
                <w:i/>
                <w:iCs/>
                <w:noProof/>
                <w:sz w:val="22"/>
                <w:lang w:eastAsia="en-IE"/>
              </w:rPr>
              <w:t>N/A</w:t>
            </w:r>
            <w:r w:rsidRPr="00D73E11">
              <w:rPr>
                <w:rFonts w:eastAsia="Times New Roman"/>
                <w:noProof/>
                <w:sz w:val="22"/>
                <w:lang w:val="en-IE" w:eastAsia="en-IE"/>
              </w:rPr>
              <w:t> </w:t>
            </w:r>
          </w:p>
        </w:tc>
        <w:tc>
          <w:tcPr>
            <w:tcW w:w="5880" w:type="dxa"/>
            <w:tcBorders>
              <w:top w:val="single" w:sz="6" w:space="0" w:color="auto"/>
              <w:left w:val="single" w:sz="6" w:space="0" w:color="auto"/>
              <w:bottom w:val="single" w:sz="6" w:space="0" w:color="auto"/>
              <w:right w:val="single" w:sz="6" w:space="0" w:color="auto"/>
            </w:tcBorders>
            <w:hideMark/>
          </w:tcPr>
          <w:p w14:paraId="633EA3C9" w14:textId="77777777" w:rsidR="007476E9" w:rsidRPr="00D73E11" w:rsidRDefault="007476E9">
            <w:pPr>
              <w:spacing w:before="0" w:after="0"/>
              <w:ind w:left="360"/>
              <w:jc w:val="left"/>
              <w:textAlignment w:val="baseline"/>
              <w:rPr>
                <w:rFonts w:ascii="Segoe UI" w:eastAsia="Times New Roman" w:hAnsi="Segoe UI" w:cs="Segoe UI"/>
                <w:noProof/>
                <w:sz w:val="18"/>
                <w:szCs w:val="18"/>
                <w:lang w:val="en-IE" w:eastAsia="en-IE"/>
              </w:rPr>
            </w:pPr>
            <w:r w:rsidRPr="00D73E11">
              <w:rPr>
                <w:rFonts w:eastAsia="Times New Roman"/>
                <w:noProof/>
                <w:sz w:val="22"/>
                <w:lang w:val="en-IE" w:eastAsia="en-IE"/>
              </w:rPr>
              <w:t> </w:t>
            </w:r>
          </w:p>
          <w:p w14:paraId="751E4E5A" w14:textId="77777777" w:rsidR="007476E9" w:rsidRPr="00D73E11" w:rsidRDefault="007476E9">
            <w:pPr>
              <w:spacing w:before="0" w:after="0"/>
              <w:ind w:left="360"/>
              <w:jc w:val="left"/>
              <w:textAlignment w:val="baseline"/>
              <w:rPr>
                <w:rFonts w:ascii="Segoe UI" w:eastAsia="Times New Roman" w:hAnsi="Segoe UI" w:cs="Segoe UI"/>
                <w:noProof/>
                <w:sz w:val="18"/>
                <w:szCs w:val="18"/>
                <w:lang w:val="en-IE" w:eastAsia="en-IE"/>
              </w:rPr>
            </w:pPr>
            <w:r w:rsidRPr="00D73E11">
              <w:rPr>
                <w:rFonts w:eastAsia="Times New Roman"/>
                <w:i/>
                <w:iCs/>
                <w:noProof/>
                <w:sz w:val="22"/>
                <w:lang w:eastAsia="en-IE"/>
              </w:rPr>
              <w:t>N/A</w:t>
            </w:r>
            <w:r w:rsidRPr="00D73E11">
              <w:rPr>
                <w:rFonts w:eastAsia="Times New Roman"/>
                <w:noProof/>
                <w:sz w:val="22"/>
                <w:lang w:val="en-IE" w:eastAsia="en-IE"/>
              </w:rPr>
              <w:t> </w:t>
            </w:r>
          </w:p>
        </w:tc>
      </w:tr>
      <w:tr w:rsidR="007476E9" w:rsidRPr="00D73E11" w14:paraId="0CAD7587" w14:textId="77777777">
        <w:tc>
          <w:tcPr>
            <w:tcW w:w="3960" w:type="dxa"/>
            <w:tcBorders>
              <w:top w:val="single" w:sz="6" w:space="0" w:color="auto"/>
              <w:left w:val="single" w:sz="6" w:space="0" w:color="auto"/>
              <w:bottom w:val="single" w:sz="6" w:space="0" w:color="auto"/>
              <w:right w:val="single" w:sz="6" w:space="0" w:color="auto"/>
            </w:tcBorders>
            <w:hideMark/>
          </w:tcPr>
          <w:p w14:paraId="66F3E62E" w14:textId="77777777" w:rsidR="007476E9" w:rsidRPr="00D73E11" w:rsidRDefault="007476E9">
            <w:pPr>
              <w:spacing w:before="0" w:after="0"/>
              <w:ind w:left="360"/>
              <w:jc w:val="left"/>
              <w:textAlignment w:val="baseline"/>
              <w:rPr>
                <w:rFonts w:ascii="Segoe UI" w:eastAsia="Times New Roman" w:hAnsi="Segoe UI" w:cs="Segoe UI"/>
                <w:noProof/>
                <w:sz w:val="18"/>
                <w:szCs w:val="18"/>
                <w:lang w:val="en-IE" w:eastAsia="en-IE"/>
              </w:rPr>
            </w:pPr>
            <w:r w:rsidRPr="00D73E11">
              <w:rPr>
                <w:rFonts w:eastAsia="Times New Roman"/>
                <w:b/>
                <w:bCs/>
                <w:noProof/>
                <w:sz w:val="22"/>
                <w:lang w:eastAsia="en-IE"/>
              </w:rPr>
              <w:t>Assess the use of commonly agreed open technical specifications and standards</w:t>
            </w:r>
            <w:r w:rsidRPr="00D73E11">
              <w:rPr>
                <w:rFonts w:eastAsia="Times New Roman"/>
                <w:noProof/>
                <w:sz w:val="22"/>
                <w:lang w:val="en-IE" w:eastAsia="en-IE"/>
              </w:rPr>
              <w:t> </w:t>
            </w:r>
          </w:p>
          <w:p w14:paraId="35D26D4B" w14:textId="77777777" w:rsidR="007476E9" w:rsidRPr="00D73E11" w:rsidRDefault="007476E9">
            <w:pPr>
              <w:spacing w:before="0" w:after="0"/>
              <w:ind w:left="360"/>
              <w:jc w:val="left"/>
              <w:textAlignment w:val="baseline"/>
              <w:rPr>
                <w:rFonts w:ascii="Segoe UI" w:eastAsia="Times New Roman" w:hAnsi="Segoe UI" w:cs="Segoe UI"/>
                <w:noProof/>
                <w:sz w:val="18"/>
                <w:szCs w:val="18"/>
                <w:lang w:val="en-IE" w:eastAsia="en-IE"/>
              </w:rPr>
            </w:pPr>
            <w:r w:rsidRPr="00D73E11">
              <w:rPr>
                <w:rFonts w:eastAsia="Times New Roman"/>
                <w:b/>
                <w:bCs/>
                <w:noProof/>
                <w:sz w:val="22"/>
                <w:lang w:eastAsia="en-IE"/>
              </w:rPr>
              <w:t>Please list such measures</w:t>
            </w:r>
            <w:r w:rsidRPr="00D73E11">
              <w:rPr>
                <w:rFonts w:eastAsia="Times New Roman"/>
                <w:noProof/>
                <w:sz w:val="22"/>
                <w:lang w:val="en-IE" w:eastAsia="en-IE"/>
              </w:rPr>
              <w:t> </w:t>
            </w:r>
          </w:p>
        </w:tc>
        <w:tc>
          <w:tcPr>
            <w:tcW w:w="4620" w:type="dxa"/>
            <w:tcBorders>
              <w:top w:val="single" w:sz="6" w:space="0" w:color="auto"/>
              <w:left w:val="single" w:sz="6" w:space="0" w:color="auto"/>
              <w:bottom w:val="single" w:sz="6" w:space="0" w:color="auto"/>
              <w:right w:val="single" w:sz="6" w:space="0" w:color="auto"/>
            </w:tcBorders>
            <w:hideMark/>
          </w:tcPr>
          <w:p w14:paraId="64B7B661" w14:textId="77777777" w:rsidR="007476E9" w:rsidRPr="00D73E11" w:rsidRDefault="007476E9">
            <w:pPr>
              <w:spacing w:before="0" w:after="0"/>
              <w:ind w:left="360"/>
              <w:jc w:val="left"/>
              <w:textAlignment w:val="baseline"/>
              <w:rPr>
                <w:rFonts w:ascii="Segoe UI" w:eastAsia="Times New Roman" w:hAnsi="Segoe UI" w:cs="Segoe UI"/>
                <w:noProof/>
                <w:sz w:val="18"/>
                <w:szCs w:val="18"/>
                <w:lang w:val="en-IE" w:eastAsia="en-IE"/>
              </w:rPr>
            </w:pPr>
            <w:r w:rsidRPr="00D73E11">
              <w:rPr>
                <w:rFonts w:eastAsia="Times New Roman"/>
                <w:noProof/>
                <w:sz w:val="22"/>
                <w:lang w:val="en-IE" w:eastAsia="en-IE"/>
              </w:rPr>
              <w:t> </w:t>
            </w:r>
          </w:p>
          <w:p w14:paraId="76DC82CC" w14:textId="77777777" w:rsidR="007476E9" w:rsidRPr="00D73E11" w:rsidRDefault="007476E9">
            <w:pPr>
              <w:spacing w:before="0" w:after="0"/>
              <w:ind w:left="360"/>
              <w:jc w:val="left"/>
              <w:textAlignment w:val="baseline"/>
              <w:rPr>
                <w:rFonts w:ascii="Segoe UI" w:eastAsia="Times New Roman" w:hAnsi="Segoe UI" w:cs="Segoe UI"/>
                <w:noProof/>
                <w:sz w:val="18"/>
                <w:szCs w:val="18"/>
                <w:lang w:val="en-IE" w:eastAsia="en-IE"/>
              </w:rPr>
            </w:pPr>
            <w:r w:rsidRPr="00D73E11">
              <w:rPr>
                <w:rFonts w:eastAsia="Times New Roman"/>
                <w:i/>
                <w:iCs/>
                <w:noProof/>
                <w:sz w:val="22"/>
                <w:lang w:eastAsia="en-IE"/>
              </w:rPr>
              <w:t>N/A</w:t>
            </w:r>
            <w:r w:rsidRPr="00D73E11">
              <w:rPr>
                <w:rFonts w:eastAsia="Times New Roman"/>
                <w:noProof/>
                <w:sz w:val="22"/>
                <w:lang w:val="en-IE" w:eastAsia="en-IE"/>
              </w:rPr>
              <w:t> </w:t>
            </w:r>
          </w:p>
        </w:tc>
        <w:tc>
          <w:tcPr>
            <w:tcW w:w="5880" w:type="dxa"/>
            <w:tcBorders>
              <w:top w:val="single" w:sz="6" w:space="0" w:color="auto"/>
              <w:left w:val="single" w:sz="6" w:space="0" w:color="auto"/>
              <w:bottom w:val="single" w:sz="6" w:space="0" w:color="auto"/>
              <w:right w:val="single" w:sz="6" w:space="0" w:color="auto"/>
            </w:tcBorders>
            <w:hideMark/>
          </w:tcPr>
          <w:p w14:paraId="0492CAF8" w14:textId="77777777" w:rsidR="007476E9" w:rsidRPr="00D73E11" w:rsidRDefault="007476E9">
            <w:pPr>
              <w:spacing w:before="0" w:after="0"/>
              <w:ind w:left="360"/>
              <w:jc w:val="left"/>
              <w:textAlignment w:val="baseline"/>
              <w:rPr>
                <w:rFonts w:ascii="Segoe UI" w:eastAsia="Times New Roman" w:hAnsi="Segoe UI" w:cs="Segoe UI"/>
                <w:noProof/>
                <w:sz w:val="18"/>
                <w:szCs w:val="18"/>
                <w:lang w:val="en-IE" w:eastAsia="en-IE"/>
              </w:rPr>
            </w:pPr>
            <w:r w:rsidRPr="00D73E11">
              <w:rPr>
                <w:rFonts w:eastAsia="Times New Roman"/>
                <w:noProof/>
                <w:sz w:val="22"/>
                <w:lang w:val="en-IE" w:eastAsia="en-IE"/>
              </w:rPr>
              <w:t> </w:t>
            </w:r>
          </w:p>
          <w:p w14:paraId="0E812D24" w14:textId="77777777" w:rsidR="007476E9" w:rsidRPr="00D73E11" w:rsidRDefault="007476E9">
            <w:pPr>
              <w:spacing w:before="0" w:after="0"/>
              <w:ind w:left="360"/>
              <w:jc w:val="left"/>
              <w:textAlignment w:val="baseline"/>
              <w:rPr>
                <w:rFonts w:ascii="Segoe UI" w:eastAsia="Times New Roman" w:hAnsi="Segoe UI" w:cs="Segoe UI"/>
                <w:noProof/>
                <w:sz w:val="18"/>
                <w:szCs w:val="18"/>
                <w:lang w:val="en-IE" w:eastAsia="en-IE"/>
              </w:rPr>
            </w:pPr>
            <w:r w:rsidRPr="00D73E11">
              <w:rPr>
                <w:rFonts w:eastAsia="Times New Roman"/>
                <w:i/>
                <w:iCs/>
                <w:noProof/>
                <w:sz w:val="22"/>
                <w:lang w:eastAsia="en-IE"/>
              </w:rPr>
              <w:t>N/A</w:t>
            </w:r>
            <w:r w:rsidRPr="00D73E11">
              <w:rPr>
                <w:rFonts w:eastAsia="Times New Roman"/>
                <w:noProof/>
                <w:sz w:val="22"/>
                <w:lang w:val="en-IE" w:eastAsia="en-IE"/>
              </w:rPr>
              <w:t> </w:t>
            </w:r>
          </w:p>
        </w:tc>
      </w:tr>
    </w:tbl>
    <w:p w14:paraId="75827F67" w14:textId="77777777" w:rsidR="007476E9" w:rsidRDefault="007476E9" w:rsidP="007476E9">
      <w:pPr>
        <w:pStyle w:val="Text1"/>
        <w:ind w:left="0"/>
        <w:rPr>
          <w:rStyle w:val="normaltextrun"/>
          <w:b/>
          <w:bCs/>
          <w:noProof/>
          <w:color w:val="000000"/>
          <w:shd w:val="clear" w:color="auto" w:fill="FFFFFF"/>
        </w:rPr>
      </w:pPr>
    </w:p>
    <w:p w14:paraId="2A5E7793" w14:textId="77777777" w:rsidR="007476E9" w:rsidRDefault="007476E9" w:rsidP="007476E9">
      <w:pPr>
        <w:pStyle w:val="Text1"/>
        <w:ind w:left="0"/>
        <w:rPr>
          <w:rStyle w:val="eop"/>
          <w:noProof/>
          <w:color w:val="000000"/>
          <w:shd w:val="clear" w:color="auto" w:fill="FFFFFF"/>
        </w:rPr>
      </w:pPr>
      <w:r>
        <w:rPr>
          <w:rStyle w:val="normaltextrun"/>
          <w:b/>
          <w:bCs/>
          <w:noProof/>
          <w:color w:val="000000"/>
          <w:shd w:val="clear" w:color="auto" w:fill="FFFFFF"/>
        </w:rPr>
        <w:t>European individual cybersecurity skills attestation schemes </w:t>
      </w:r>
      <w:r>
        <w:rPr>
          <w:rStyle w:val="eop"/>
          <w:noProof/>
          <w:color w:val="000000"/>
          <w:shd w:val="clear" w:color="auto" w:fill="FFFFFF"/>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60"/>
        <w:gridCol w:w="4620"/>
        <w:gridCol w:w="5880"/>
      </w:tblGrid>
      <w:tr w:rsidR="007476E9" w:rsidRPr="00D73E11" w14:paraId="7DB0E7B3" w14:textId="77777777">
        <w:tc>
          <w:tcPr>
            <w:tcW w:w="3960" w:type="dxa"/>
            <w:tcBorders>
              <w:top w:val="single" w:sz="6" w:space="0" w:color="auto"/>
              <w:left w:val="single" w:sz="6" w:space="0" w:color="auto"/>
              <w:bottom w:val="single" w:sz="6" w:space="0" w:color="auto"/>
              <w:right w:val="single" w:sz="6" w:space="0" w:color="auto"/>
            </w:tcBorders>
            <w:hideMark/>
          </w:tcPr>
          <w:p w14:paraId="051DFE46" w14:textId="77777777" w:rsidR="007476E9" w:rsidRPr="00D73E11" w:rsidRDefault="007476E9">
            <w:pPr>
              <w:spacing w:before="0" w:after="0"/>
              <w:ind w:left="360"/>
              <w:jc w:val="left"/>
              <w:textAlignment w:val="baseline"/>
              <w:rPr>
                <w:rFonts w:ascii="Segoe UI" w:eastAsia="Times New Roman" w:hAnsi="Segoe UI" w:cs="Segoe UI"/>
                <w:noProof/>
                <w:sz w:val="18"/>
                <w:szCs w:val="18"/>
                <w:lang w:val="en-IE" w:eastAsia="en-IE"/>
              </w:rPr>
            </w:pPr>
            <w:r w:rsidRPr="00D73E11">
              <w:rPr>
                <w:rFonts w:eastAsia="Times New Roman"/>
                <w:b/>
                <w:bCs/>
                <w:noProof/>
                <w:sz w:val="22"/>
                <w:lang w:eastAsia="en-IE"/>
              </w:rPr>
              <w:t>Assessment</w:t>
            </w:r>
            <w:r w:rsidRPr="00D73E11">
              <w:rPr>
                <w:rFonts w:eastAsia="Times New Roman"/>
                <w:noProof/>
                <w:sz w:val="22"/>
                <w:lang w:val="en-IE" w:eastAsia="en-IE"/>
              </w:rPr>
              <w:t> </w:t>
            </w:r>
          </w:p>
        </w:tc>
        <w:tc>
          <w:tcPr>
            <w:tcW w:w="4620" w:type="dxa"/>
            <w:tcBorders>
              <w:top w:val="single" w:sz="6" w:space="0" w:color="auto"/>
              <w:left w:val="single" w:sz="6" w:space="0" w:color="auto"/>
              <w:bottom w:val="single" w:sz="6" w:space="0" w:color="auto"/>
              <w:right w:val="single" w:sz="6" w:space="0" w:color="auto"/>
            </w:tcBorders>
            <w:hideMark/>
          </w:tcPr>
          <w:p w14:paraId="6AB07BEC" w14:textId="77777777" w:rsidR="007476E9" w:rsidRPr="00D73E11" w:rsidRDefault="007476E9">
            <w:pPr>
              <w:spacing w:before="0" w:after="0"/>
              <w:ind w:left="360"/>
              <w:jc w:val="left"/>
              <w:textAlignment w:val="baseline"/>
              <w:rPr>
                <w:rFonts w:ascii="Segoe UI" w:eastAsia="Times New Roman" w:hAnsi="Segoe UI" w:cs="Segoe UI"/>
                <w:noProof/>
                <w:sz w:val="18"/>
                <w:szCs w:val="18"/>
                <w:lang w:val="en-IE" w:eastAsia="en-IE"/>
              </w:rPr>
            </w:pPr>
            <w:r w:rsidRPr="00D73E11">
              <w:rPr>
                <w:rFonts w:eastAsia="Times New Roman"/>
                <w:b/>
                <w:bCs/>
                <w:noProof/>
                <w:sz w:val="22"/>
                <w:lang w:eastAsia="en-IE"/>
              </w:rPr>
              <w:t>Measures</w:t>
            </w:r>
            <w:r w:rsidRPr="00D73E11">
              <w:rPr>
                <w:rFonts w:eastAsia="Times New Roman"/>
                <w:noProof/>
                <w:sz w:val="22"/>
                <w:lang w:val="en-IE" w:eastAsia="en-IE"/>
              </w:rPr>
              <w:t> </w:t>
            </w:r>
          </w:p>
        </w:tc>
        <w:tc>
          <w:tcPr>
            <w:tcW w:w="5880" w:type="dxa"/>
            <w:tcBorders>
              <w:top w:val="single" w:sz="6" w:space="0" w:color="auto"/>
              <w:left w:val="single" w:sz="6" w:space="0" w:color="auto"/>
              <w:bottom w:val="single" w:sz="6" w:space="0" w:color="auto"/>
              <w:right w:val="single" w:sz="6" w:space="0" w:color="auto"/>
            </w:tcBorders>
            <w:hideMark/>
          </w:tcPr>
          <w:p w14:paraId="0F8F0B4B" w14:textId="77777777" w:rsidR="007476E9" w:rsidRPr="00D73E11" w:rsidRDefault="007476E9">
            <w:pPr>
              <w:spacing w:before="0" w:after="0"/>
              <w:ind w:left="360"/>
              <w:jc w:val="left"/>
              <w:textAlignment w:val="baseline"/>
              <w:rPr>
                <w:rFonts w:ascii="Segoe UI" w:eastAsia="Times New Roman" w:hAnsi="Segoe UI" w:cs="Segoe UI"/>
                <w:noProof/>
                <w:sz w:val="18"/>
                <w:szCs w:val="18"/>
                <w:lang w:val="en-IE" w:eastAsia="en-IE"/>
              </w:rPr>
            </w:pPr>
            <w:r w:rsidRPr="00D73E11">
              <w:rPr>
                <w:rFonts w:eastAsia="Times New Roman"/>
                <w:b/>
                <w:bCs/>
                <w:noProof/>
                <w:sz w:val="22"/>
                <w:lang w:eastAsia="en-IE"/>
              </w:rPr>
              <w:t>Potential remaining barriers</w:t>
            </w:r>
            <w:r w:rsidRPr="00D73E11">
              <w:rPr>
                <w:rFonts w:eastAsia="Times New Roman"/>
                <w:noProof/>
                <w:sz w:val="22"/>
                <w:lang w:val="en-IE" w:eastAsia="en-IE"/>
              </w:rPr>
              <w:t> </w:t>
            </w:r>
          </w:p>
        </w:tc>
      </w:tr>
      <w:tr w:rsidR="007476E9" w:rsidRPr="00D73E11" w14:paraId="4F27538F" w14:textId="77777777">
        <w:tc>
          <w:tcPr>
            <w:tcW w:w="3960" w:type="dxa"/>
            <w:tcBorders>
              <w:top w:val="single" w:sz="6" w:space="0" w:color="auto"/>
              <w:left w:val="single" w:sz="6" w:space="0" w:color="auto"/>
              <w:bottom w:val="single" w:sz="6" w:space="0" w:color="auto"/>
              <w:right w:val="single" w:sz="6" w:space="0" w:color="auto"/>
            </w:tcBorders>
            <w:hideMark/>
          </w:tcPr>
          <w:p w14:paraId="06B5CBB8" w14:textId="77777777" w:rsidR="007476E9" w:rsidRPr="00D73E11" w:rsidRDefault="007476E9">
            <w:pPr>
              <w:spacing w:before="0" w:after="0"/>
              <w:ind w:left="360"/>
              <w:jc w:val="left"/>
              <w:textAlignment w:val="baseline"/>
              <w:rPr>
                <w:rFonts w:ascii="Segoe UI" w:eastAsia="Times New Roman" w:hAnsi="Segoe UI" w:cs="Segoe UI"/>
                <w:noProof/>
                <w:sz w:val="18"/>
                <w:szCs w:val="18"/>
                <w:lang w:val="en-IE" w:eastAsia="en-IE"/>
              </w:rPr>
            </w:pPr>
            <w:r w:rsidRPr="00D73E11">
              <w:rPr>
                <w:rFonts w:eastAsia="Times New Roman"/>
                <w:b/>
                <w:bCs/>
                <w:noProof/>
                <w:sz w:val="22"/>
                <w:lang w:eastAsia="en-IE"/>
              </w:rPr>
              <w:t>Assess the alignment with existing digital and sectorial policies </w:t>
            </w:r>
            <w:r w:rsidRPr="00D73E11">
              <w:rPr>
                <w:rFonts w:eastAsia="Times New Roman"/>
                <w:noProof/>
                <w:sz w:val="22"/>
                <w:lang w:val="en-IE" w:eastAsia="en-IE"/>
              </w:rPr>
              <w:t> </w:t>
            </w:r>
          </w:p>
          <w:p w14:paraId="075517E8" w14:textId="77777777" w:rsidR="007476E9" w:rsidRPr="00D73E11" w:rsidRDefault="007476E9">
            <w:pPr>
              <w:spacing w:before="0" w:after="0"/>
              <w:ind w:left="360"/>
              <w:jc w:val="left"/>
              <w:textAlignment w:val="baseline"/>
              <w:rPr>
                <w:rFonts w:ascii="Segoe UI" w:eastAsia="Times New Roman" w:hAnsi="Segoe UI" w:cs="Segoe UI"/>
                <w:noProof/>
                <w:sz w:val="18"/>
                <w:szCs w:val="18"/>
                <w:lang w:val="en-IE" w:eastAsia="en-IE"/>
              </w:rPr>
            </w:pPr>
            <w:r w:rsidRPr="00D73E11">
              <w:rPr>
                <w:rFonts w:eastAsia="Times New Roman"/>
                <w:b/>
                <w:bCs/>
                <w:noProof/>
                <w:sz w:val="22"/>
                <w:lang w:eastAsia="en-IE"/>
              </w:rPr>
              <w:t>Please list the applicable digital and sectorial policies identified</w:t>
            </w:r>
            <w:r w:rsidRPr="00D73E11">
              <w:rPr>
                <w:rFonts w:eastAsia="Times New Roman"/>
                <w:noProof/>
                <w:sz w:val="22"/>
                <w:lang w:val="en-IE" w:eastAsia="en-IE"/>
              </w:rPr>
              <w:t> </w:t>
            </w:r>
          </w:p>
        </w:tc>
        <w:tc>
          <w:tcPr>
            <w:tcW w:w="4620" w:type="dxa"/>
            <w:tcBorders>
              <w:top w:val="single" w:sz="6" w:space="0" w:color="auto"/>
              <w:left w:val="single" w:sz="6" w:space="0" w:color="auto"/>
              <w:bottom w:val="single" w:sz="6" w:space="0" w:color="auto"/>
              <w:right w:val="single" w:sz="6" w:space="0" w:color="auto"/>
            </w:tcBorders>
            <w:hideMark/>
          </w:tcPr>
          <w:p w14:paraId="6682CC63" w14:textId="77777777" w:rsidR="007476E9" w:rsidRPr="00D73E11" w:rsidRDefault="007476E9">
            <w:pPr>
              <w:spacing w:before="0" w:after="0"/>
              <w:ind w:left="360"/>
              <w:jc w:val="left"/>
              <w:textAlignment w:val="baseline"/>
              <w:rPr>
                <w:rFonts w:eastAsia="Times New Roman"/>
                <w:noProof/>
                <w:sz w:val="22"/>
                <w:lang w:val="en-IE" w:eastAsia="en-IE"/>
              </w:rPr>
            </w:pPr>
            <w:r w:rsidRPr="00D73E11">
              <w:rPr>
                <w:rFonts w:eastAsia="Times New Roman"/>
                <w:i/>
                <w:iCs/>
                <w:noProof/>
                <w:sz w:val="22"/>
                <w:lang w:eastAsia="en-IE"/>
              </w:rPr>
              <w:t>The proposal builds on </w:t>
            </w:r>
            <w:r w:rsidRPr="00D73E11">
              <w:rPr>
                <w:rFonts w:eastAsia="Times New Roman"/>
                <w:i/>
                <w:iCs/>
                <w:noProof/>
                <w:color w:val="333333"/>
                <w:sz w:val="22"/>
                <w:lang w:eastAsia="en-IE"/>
              </w:rPr>
              <w:t>COM(2023)207 final (Cybersecurity Skills Academy) “ENISA will develop a pilot project, exploring the set-up of a European attestation scheme for cybersecurity skills”</w:t>
            </w:r>
            <w:r w:rsidRPr="00D73E11">
              <w:rPr>
                <w:rFonts w:eastAsia="Times New Roman"/>
                <w:noProof/>
                <w:color w:val="333333"/>
                <w:sz w:val="22"/>
                <w:lang w:val="en-IE" w:eastAsia="en-IE"/>
              </w:rPr>
              <w:t> </w:t>
            </w:r>
          </w:p>
          <w:p w14:paraId="42E7D924" w14:textId="77777777" w:rsidR="007476E9" w:rsidRPr="00D73E11" w:rsidRDefault="007476E9">
            <w:pPr>
              <w:spacing w:before="0" w:after="0"/>
              <w:ind w:left="360"/>
              <w:jc w:val="left"/>
              <w:textAlignment w:val="baseline"/>
              <w:rPr>
                <w:rFonts w:eastAsia="Times New Roman"/>
                <w:noProof/>
                <w:szCs w:val="24"/>
                <w:lang w:val="en-IE" w:eastAsia="en-IE"/>
              </w:rPr>
            </w:pPr>
            <w:r w:rsidRPr="00D73E11">
              <w:rPr>
                <w:rFonts w:eastAsia="Times New Roman"/>
                <w:i/>
                <w:iCs/>
                <w:noProof/>
                <w:sz w:val="22"/>
                <w:lang w:eastAsia="en-IE"/>
              </w:rPr>
              <w:t>It makes use of Regulation (EU) 2024/1183 (EUDI wallet) by establishing that- “</w:t>
            </w:r>
            <w:r w:rsidRPr="00D73E11">
              <w:rPr>
                <w:rFonts w:eastAsia="Times New Roman"/>
                <w:i/>
                <w:iCs/>
                <w:noProof/>
                <w:szCs w:val="24"/>
                <w:lang w:eastAsia="en-IE"/>
              </w:rPr>
              <w:t>ENISA and authorised attestation providers shall ensure that the electronic attestations of the European individual cybersecurity skills attestation are issued to the European Digital Identity Wallets”</w:t>
            </w:r>
            <w:r w:rsidRPr="00D73E11">
              <w:rPr>
                <w:rFonts w:eastAsia="Times New Roman"/>
                <w:noProof/>
                <w:szCs w:val="24"/>
                <w:lang w:val="en-IE" w:eastAsia="en-IE"/>
              </w:rPr>
              <w:t> </w:t>
            </w:r>
          </w:p>
          <w:p w14:paraId="5382187D" w14:textId="77777777" w:rsidR="007476E9" w:rsidRPr="00D73E11" w:rsidRDefault="007476E9">
            <w:pPr>
              <w:spacing w:before="0" w:after="0"/>
              <w:ind w:left="360"/>
              <w:jc w:val="left"/>
              <w:textAlignment w:val="baseline"/>
              <w:rPr>
                <w:rFonts w:eastAsia="Times New Roman"/>
                <w:noProof/>
                <w:sz w:val="22"/>
                <w:lang w:val="en-IE" w:eastAsia="en-IE"/>
              </w:rPr>
            </w:pPr>
            <w:r w:rsidRPr="00D73E11">
              <w:rPr>
                <w:rFonts w:eastAsia="Times New Roman"/>
                <w:i/>
                <w:iCs/>
                <w:noProof/>
                <w:sz w:val="22"/>
                <w:lang w:eastAsia="en-IE"/>
              </w:rPr>
              <w:t>Cybersecurity</w:t>
            </w:r>
            <w:r w:rsidRPr="00D73E11">
              <w:rPr>
                <w:rFonts w:eastAsia="Times New Roman"/>
                <w:noProof/>
                <w:sz w:val="22"/>
                <w:lang w:val="en-IE" w:eastAsia="en-IE"/>
              </w:rPr>
              <w:t> </w:t>
            </w:r>
          </w:p>
          <w:p w14:paraId="40F24828" w14:textId="77777777" w:rsidR="007476E9" w:rsidRPr="00D73E11" w:rsidRDefault="007476E9">
            <w:pPr>
              <w:spacing w:before="0" w:after="0"/>
              <w:ind w:left="360"/>
              <w:jc w:val="left"/>
              <w:textAlignment w:val="baseline"/>
              <w:rPr>
                <w:rFonts w:eastAsia="Times New Roman"/>
                <w:noProof/>
                <w:sz w:val="22"/>
                <w:lang w:val="en-IE" w:eastAsia="en-IE"/>
              </w:rPr>
            </w:pPr>
            <w:r w:rsidRPr="00D73E11">
              <w:rPr>
                <w:rFonts w:eastAsia="Times New Roman"/>
                <w:i/>
                <w:iCs/>
                <w:noProof/>
                <w:sz w:val="22"/>
                <w:lang w:eastAsia="en-IE"/>
              </w:rPr>
              <w:t>GDPR (retention of records by providers)</w:t>
            </w:r>
            <w:r w:rsidRPr="00D73E11">
              <w:rPr>
                <w:rFonts w:eastAsia="Times New Roman"/>
                <w:noProof/>
                <w:sz w:val="22"/>
                <w:lang w:val="en-IE" w:eastAsia="en-IE"/>
              </w:rPr>
              <w:t> </w:t>
            </w:r>
          </w:p>
        </w:tc>
        <w:tc>
          <w:tcPr>
            <w:tcW w:w="5880" w:type="dxa"/>
            <w:tcBorders>
              <w:top w:val="single" w:sz="6" w:space="0" w:color="auto"/>
              <w:left w:val="single" w:sz="6" w:space="0" w:color="auto"/>
              <w:bottom w:val="single" w:sz="6" w:space="0" w:color="auto"/>
              <w:right w:val="single" w:sz="6" w:space="0" w:color="auto"/>
            </w:tcBorders>
            <w:hideMark/>
          </w:tcPr>
          <w:p w14:paraId="29C6EAB8" w14:textId="77777777" w:rsidR="007476E9" w:rsidRPr="00D73E11" w:rsidRDefault="007476E9">
            <w:pPr>
              <w:spacing w:before="0" w:after="0"/>
              <w:ind w:left="360"/>
              <w:jc w:val="left"/>
              <w:textAlignment w:val="baseline"/>
              <w:rPr>
                <w:rFonts w:eastAsia="Times New Roman"/>
                <w:noProof/>
                <w:sz w:val="22"/>
                <w:lang w:val="en-IE" w:eastAsia="en-IE"/>
              </w:rPr>
            </w:pPr>
            <w:r w:rsidRPr="00D73E11">
              <w:rPr>
                <w:rFonts w:eastAsia="Times New Roman"/>
                <w:i/>
                <w:iCs/>
                <w:noProof/>
                <w:sz w:val="22"/>
                <w:lang w:eastAsia="en-IE"/>
              </w:rPr>
              <w:t>No known barriers </w:t>
            </w:r>
            <w:r w:rsidRPr="00D73E11">
              <w:rPr>
                <w:rFonts w:eastAsia="Times New Roman"/>
                <w:noProof/>
                <w:sz w:val="22"/>
                <w:lang w:val="en-IE" w:eastAsia="en-IE"/>
              </w:rPr>
              <w:t> </w:t>
            </w:r>
          </w:p>
        </w:tc>
      </w:tr>
      <w:tr w:rsidR="007476E9" w:rsidRPr="00D73E11" w14:paraId="370165DF" w14:textId="77777777">
        <w:tc>
          <w:tcPr>
            <w:tcW w:w="3960" w:type="dxa"/>
            <w:tcBorders>
              <w:top w:val="single" w:sz="6" w:space="0" w:color="auto"/>
              <w:left w:val="single" w:sz="6" w:space="0" w:color="auto"/>
              <w:bottom w:val="single" w:sz="6" w:space="0" w:color="auto"/>
              <w:right w:val="single" w:sz="6" w:space="0" w:color="auto"/>
            </w:tcBorders>
            <w:hideMark/>
          </w:tcPr>
          <w:p w14:paraId="32BD7010" w14:textId="77777777" w:rsidR="007476E9" w:rsidRPr="00D73E11" w:rsidRDefault="007476E9">
            <w:pPr>
              <w:spacing w:before="0" w:after="0"/>
              <w:ind w:left="360"/>
              <w:jc w:val="left"/>
              <w:textAlignment w:val="baseline"/>
              <w:rPr>
                <w:rFonts w:ascii="Segoe UI" w:eastAsia="Times New Roman" w:hAnsi="Segoe UI" w:cs="Segoe UI"/>
                <w:noProof/>
                <w:sz w:val="18"/>
                <w:szCs w:val="18"/>
                <w:lang w:val="en-IE" w:eastAsia="en-IE"/>
              </w:rPr>
            </w:pPr>
            <w:r w:rsidRPr="00D73E11">
              <w:rPr>
                <w:rFonts w:eastAsia="Times New Roman"/>
                <w:b/>
                <w:bCs/>
                <w:noProof/>
                <w:sz w:val="22"/>
                <w:lang w:eastAsia="en-IE"/>
              </w:rPr>
              <w:t>Assess the organisational measures for a smooth cross-border digital public services delivery</w:t>
            </w:r>
            <w:r w:rsidRPr="00D73E11">
              <w:rPr>
                <w:rFonts w:eastAsia="Times New Roman"/>
                <w:noProof/>
                <w:sz w:val="22"/>
                <w:lang w:val="en-IE" w:eastAsia="en-IE"/>
              </w:rPr>
              <w:t> </w:t>
            </w:r>
          </w:p>
          <w:p w14:paraId="2880EADC" w14:textId="77777777" w:rsidR="007476E9" w:rsidRPr="00D73E11" w:rsidRDefault="007476E9">
            <w:pPr>
              <w:spacing w:before="0" w:after="0"/>
              <w:ind w:left="360"/>
              <w:jc w:val="left"/>
              <w:textAlignment w:val="baseline"/>
              <w:rPr>
                <w:rFonts w:ascii="Segoe UI" w:eastAsia="Times New Roman" w:hAnsi="Segoe UI" w:cs="Segoe UI"/>
                <w:noProof/>
                <w:sz w:val="18"/>
                <w:szCs w:val="18"/>
                <w:lang w:val="en-IE" w:eastAsia="en-IE"/>
              </w:rPr>
            </w:pPr>
            <w:r w:rsidRPr="00D73E11">
              <w:rPr>
                <w:rFonts w:eastAsia="Times New Roman"/>
                <w:b/>
                <w:bCs/>
                <w:noProof/>
                <w:sz w:val="22"/>
                <w:lang w:eastAsia="en-IE"/>
              </w:rPr>
              <w:t>Please list the governance measures foreseen</w:t>
            </w:r>
            <w:r w:rsidRPr="00D73E11">
              <w:rPr>
                <w:rFonts w:eastAsia="Times New Roman"/>
                <w:noProof/>
                <w:sz w:val="22"/>
                <w:lang w:val="en-IE" w:eastAsia="en-IE"/>
              </w:rPr>
              <w:t> </w:t>
            </w:r>
          </w:p>
        </w:tc>
        <w:tc>
          <w:tcPr>
            <w:tcW w:w="4620" w:type="dxa"/>
            <w:tcBorders>
              <w:top w:val="single" w:sz="6" w:space="0" w:color="auto"/>
              <w:left w:val="single" w:sz="6" w:space="0" w:color="auto"/>
              <w:bottom w:val="single" w:sz="6" w:space="0" w:color="auto"/>
              <w:right w:val="single" w:sz="6" w:space="0" w:color="auto"/>
            </w:tcBorders>
            <w:hideMark/>
          </w:tcPr>
          <w:p w14:paraId="74BEB39D" w14:textId="77777777" w:rsidR="007476E9" w:rsidRPr="00D73E11" w:rsidRDefault="007476E9">
            <w:pPr>
              <w:spacing w:before="0" w:after="0"/>
              <w:ind w:left="360"/>
              <w:jc w:val="left"/>
              <w:textAlignment w:val="baseline"/>
              <w:rPr>
                <w:rFonts w:eastAsia="Times New Roman"/>
                <w:noProof/>
                <w:sz w:val="22"/>
                <w:lang w:val="en-IE" w:eastAsia="en-IE"/>
              </w:rPr>
            </w:pPr>
            <w:r w:rsidRPr="00D73E11">
              <w:rPr>
                <w:rFonts w:eastAsia="Times New Roman"/>
                <w:i/>
                <w:iCs/>
                <w:noProof/>
                <w:sz w:val="22"/>
                <w:lang w:eastAsia="en-IE"/>
              </w:rPr>
              <w:t>Consultation of stakeholders when preparing a European individual cybersecurity skills attestation scheme</w:t>
            </w:r>
            <w:r w:rsidRPr="00D73E11">
              <w:rPr>
                <w:rFonts w:eastAsia="Times New Roman"/>
                <w:noProof/>
                <w:sz w:val="22"/>
                <w:lang w:val="en-IE" w:eastAsia="en-IE"/>
              </w:rPr>
              <w:t> </w:t>
            </w:r>
          </w:p>
          <w:p w14:paraId="52FD88FE" w14:textId="77777777" w:rsidR="007476E9" w:rsidRPr="00D73E11" w:rsidRDefault="007476E9">
            <w:pPr>
              <w:spacing w:before="0" w:after="0"/>
              <w:ind w:left="360"/>
              <w:jc w:val="left"/>
              <w:textAlignment w:val="baseline"/>
              <w:rPr>
                <w:rFonts w:eastAsia="Times New Roman"/>
                <w:noProof/>
                <w:sz w:val="22"/>
                <w:lang w:val="en-IE" w:eastAsia="en-IE"/>
              </w:rPr>
            </w:pPr>
            <w:r w:rsidRPr="00D73E11">
              <w:rPr>
                <w:rFonts w:eastAsia="Times New Roman"/>
                <w:i/>
                <w:iCs/>
                <w:noProof/>
                <w:sz w:val="22"/>
                <w:lang w:eastAsia="en-IE"/>
              </w:rPr>
              <w:t>Separation of activities within ENISA to ensure independent performance thereof </w:t>
            </w:r>
            <w:r w:rsidRPr="00D73E11">
              <w:rPr>
                <w:rFonts w:eastAsia="Times New Roman"/>
                <w:noProof/>
                <w:sz w:val="22"/>
                <w:lang w:val="en-IE" w:eastAsia="en-IE"/>
              </w:rPr>
              <w:t> </w:t>
            </w:r>
          </w:p>
          <w:p w14:paraId="637D54F5" w14:textId="77777777" w:rsidR="007476E9" w:rsidRPr="00D73E11" w:rsidRDefault="007476E9">
            <w:pPr>
              <w:spacing w:before="0" w:after="0"/>
              <w:ind w:left="360"/>
              <w:jc w:val="left"/>
              <w:textAlignment w:val="baseline"/>
              <w:rPr>
                <w:rFonts w:eastAsia="Times New Roman"/>
                <w:noProof/>
                <w:sz w:val="22"/>
                <w:lang w:val="en-IE" w:eastAsia="en-IE"/>
              </w:rPr>
            </w:pPr>
            <w:r w:rsidRPr="00D73E11">
              <w:rPr>
                <w:rFonts w:eastAsia="Times New Roman"/>
                <w:i/>
                <w:iCs/>
                <w:noProof/>
                <w:sz w:val="22"/>
                <w:lang w:eastAsia="en-IE"/>
              </w:rPr>
              <w:t>Board of Appeal</w:t>
            </w:r>
            <w:r w:rsidRPr="00D73E11">
              <w:rPr>
                <w:rFonts w:eastAsia="Times New Roman"/>
                <w:noProof/>
                <w:sz w:val="22"/>
                <w:lang w:val="en-IE" w:eastAsia="en-IE"/>
              </w:rPr>
              <w:t> </w:t>
            </w:r>
          </w:p>
          <w:p w14:paraId="5A312F4B" w14:textId="77777777" w:rsidR="007476E9" w:rsidRPr="00D73E11" w:rsidRDefault="007476E9">
            <w:pPr>
              <w:spacing w:before="0" w:after="0"/>
              <w:ind w:left="360"/>
              <w:jc w:val="left"/>
              <w:textAlignment w:val="baseline"/>
              <w:rPr>
                <w:rFonts w:ascii="Segoe UI" w:eastAsia="Times New Roman" w:hAnsi="Segoe UI" w:cs="Segoe UI"/>
                <w:noProof/>
                <w:sz w:val="18"/>
                <w:szCs w:val="18"/>
                <w:lang w:val="en-IE" w:eastAsia="en-IE"/>
              </w:rPr>
            </w:pPr>
            <w:r w:rsidRPr="00D73E11">
              <w:rPr>
                <w:rFonts w:eastAsia="Times New Roman"/>
                <w:i/>
                <w:iCs/>
                <w:noProof/>
                <w:sz w:val="22"/>
                <w:lang w:eastAsia="en-IE"/>
              </w:rPr>
              <w:t> </w:t>
            </w:r>
            <w:r w:rsidRPr="00D73E11">
              <w:rPr>
                <w:rFonts w:eastAsia="Times New Roman"/>
                <w:noProof/>
                <w:sz w:val="22"/>
                <w:lang w:val="en-IE" w:eastAsia="en-IE"/>
              </w:rPr>
              <w:t> </w:t>
            </w:r>
          </w:p>
        </w:tc>
        <w:tc>
          <w:tcPr>
            <w:tcW w:w="5880" w:type="dxa"/>
            <w:tcBorders>
              <w:top w:val="single" w:sz="6" w:space="0" w:color="auto"/>
              <w:left w:val="single" w:sz="6" w:space="0" w:color="auto"/>
              <w:bottom w:val="single" w:sz="6" w:space="0" w:color="auto"/>
              <w:right w:val="single" w:sz="6" w:space="0" w:color="auto"/>
            </w:tcBorders>
            <w:hideMark/>
          </w:tcPr>
          <w:p w14:paraId="2BF0267D" w14:textId="77777777" w:rsidR="007476E9" w:rsidRPr="00D73E11" w:rsidRDefault="007476E9">
            <w:pPr>
              <w:spacing w:before="0" w:after="0"/>
              <w:ind w:left="360"/>
              <w:jc w:val="left"/>
              <w:textAlignment w:val="baseline"/>
              <w:rPr>
                <w:rFonts w:ascii="Segoe UI" w:eastAsia="Times New Roman" w:hAnsi="Segoe UI" w:cs="Segoe UI"/>
                <w:noProof/>
                <w:sz w:val="18"/>
                <w:szCs w:val="18"/>
                <w:lang w:val="en-IE" w:eastAsia="en-IE"/>
              </w:rPr>
            </w:pPr>
            <w:r w:rsidRPr="00D73E11">
              <w:rPr>
                <w:rFonts w:eastAsia="Times New Roman"/>
                <w:i/>
                <w:iCs/>
                <w:noProof/>
                <w:szCs w:val="24"/>
                <w:lang w:eastAsia="en-IE"/>
              </w:rPr>
              <w:t>The use and recognition of European individual cybersecurity skills attestation schemes shall remain voluntary for public and private entities.</w:t>
            </w:r>
            <w:r w:rsidRPr="00D73E11">
              <w:rPr>
                <w:rFonts w:eastAsia="Times New Roman"/>
                <w:noProof/>
                <w:szCs w:val="24"/>
                <w:lang w:val="en-IE" w:eastAsia="en-IE"/>
              </w:rPr>
              <w:t> </w:t>
            </w:r>
          </w:p>
        </w:tc>
      </w:tr>
      <w:tr w:rsidR="007476E9" w:rsidRPr="00D73E11" w14:paraId="42878B54" w14:textId="77777777">
        <w:tc>
          <w:tcPr>
            <w:tcW w:w="3960" w:type="dxa"/>
            <w:tcBorders>
              <w:top w:val="single" w:sz="6" w:space="0" w:color="auto"/>
              <w:left w:val="single" w:sz="6" w:space="0" w:color="auto"/>
              <w:bottom w:val="single" w:sz="6" w:space="0" w:color="auto"/>
              <w:right w:val="single" w:sz="6" w:space="0" w:color="auto"/>
            </w:tcBorders>
            <w:hideMark/>
          </w:tcPr>
          <w:p w14:paraId="4BADFB65" w14:textId="77777777" w:rsidR="007476E9" w:rsidRPr="00D73E11" w:rsidRDefault="007476E9">
            <w:pPr>
              <w:spacing w:before="0" w:after="0"/>
              <w:ind w:left="360"/>
              <w:jc w:val="left"/>
              <w:textAlignment w:val="baseline"/>
              <w:rPr>
                <w:rFonts w:ascii="Segoe UI" w:eastAsia="Times New Roman" w:hAnsi="Segoe UI" w:cs="Segoe UI"/>
                <w:noProof/>
                <w:sz w:val="18"/>
                <w:szCs w:val="18"/>
                <w:lang w:val="en-IE" w:eastAsia="en-IE"/>
              </w:rPr>
            </w:pPr>
            <w:r w:rsidRPr="00D73E11">
              <w:rPr>
                <w:rFonts w:eastAsia="Times New Roman"/>
                <w:b/>
                <w:bCs/>
                <w:noProof/>
                <w:sz w:val="22"/>
                <w:lang w:eastAsia="en-IE"/>
              </w:rPr>
              <w:t>Assess the measures taken to ensure a shared understanding of the data</w:t>
            </w:r>
            <w:r w:rsidRPr="00D73E11">
              <w:rPr>
                <w:rFonts w:eastAsia="Times New Roman"/>
                <w:noProof/>
                <w:sz w:val="22"/>
                <w:lang w:val="en-IE" w:eastAsia="en-IE"/>
              </w:rPr>
              <w:t> </w:t>
            </w:r>
          </w:p>
          <w:p w14:paraId="6C92344B" w14:textId="77777777" w:rsidR="007476E9" w:rsidRPr="00D73E11" w:rsidRDefault="007476E9">
            <w:pPr>
              <w:spacing w:before="0" w:after="0"/>
              <w:ind w:left="360"/>
              <w:jc w:val="left"/>
              <w:textAlignment w:val="baseline"/>
              <w:rPr>
                <w:rFonts w:ascii="Segoe UI" w:eastAsia="Times New Roman" w:hAnsi="Segoe UI" w:cs="Segoe UI"/>
                <w:noProof/>
                <w:sz w:val="18"/>
                <w:szCs w:val="18"/>
                <w:lang w:val="en-IE" w:eastAsia="en-IE"/>
              </w:rPr>
            </w:pPr>
            <w:r w:rsidRPr="00D73E11">
              <w:rPr>
                <w:rFonts w:eastAsia="Times New Roman"/>
                <w:b/>
                <w:bCs/>
                <w:noProof/>
                <w:sz w:val="22"/>
                <w:lang w:eastAsia="en-IE"/>
              </w:rPr>
              <w:t>Please list such measures</w:t>
            </w:r>
            <w:r w:rsidRPr="00D73E11">
              <w:rPr>
                <w:rFonts w:eastAsia="Times New Roman"/>
                <w:noProof/>
                <w:sz w:val="22"/>
                <w:lang w:val="en-IE" w:eastAsia="en-IE"/>
              </w:rPr>
              <w:t> </w:t>
            </w:r>
          </w:p>
        </w:tc>
        <w:tc>
          <w:tcPr>
            <w:tcW w:w="4620" w:type="dxa"/>
            <w:tcBorders>
              <w:top w:val="single" w:sz="6" w:space="0" w:color="auto"/>
              <w:left w:val="single" w:sz="6" w:space="0" w:color="auto"/>
              <w:bottom w:val="single" w:sz="6" w:space="0" w:color="auto"/>
              <w:right w:val="single" w:sz="6" w:space="0" w:color="auto"/>
            </w:tcBorders>
            <w:hideMark/>
          </w:tcPr>
          <w:p w14:paraId="3FED22F3" w14:textId="77777777" w:rsidR="007476E9" w:rsidRPr="00D73E11" w:rsidRDefault="007476E9">
            <w:pPr>
              <w:spacing w:before="0" w:after="0"/>
              <w:ind w:left="360"/>
              <w:jc w:val="left"/>
              <w:textAlignment w:val="baseline"/>
              <w:rPr>
                <w:rFonts w:ascii="Segoe UI" w:eastAsia="Times New Roman" w:hAnsi="Segoe UI" w:cs="Segoe UI"/>
                <w:noProof/>
                <w:sz w:val="18"/>
                <w:szCs w:val="18"/>
                <w:lang w:val="en-IE" w:eastAsia="en-IE"/>
              </w:rPr>
            </w:pPr>
            <w:r w:rsidRPr="00D73E11">
              <w:rPr>
                <w:rFonts w:eastAsia="Times New Roman"/>
                <w:noProof/>
                <w:sz w:val="22"/>
                <w:lang w:val="en-IE" w:eastAsia="en-IE"/>
              </w:rPr>
              <w:t> </w:t>
            </w:r>
          </w:p>
          <w:p w14:paraId="076287F1" w14:textId="77777777" w:rsidR="007476E9" w:rsidRPr="00D73E11" w:rsidRDefault="007476E9">
            <w:pPr>
              <w:spacing w:before="0" w:after="0"/>
              <w:ind w:left="360"/>
              <w:jc w:val="left"/>
              <w:textAlignment w:val="baseline"/>
              <w:rPr>
                <w:rFonts w:eastAsia="Times New Roman"/>
                <w:noProof/>
                <w:sz w:val="22"/>
                <w:lang w:val="en-IE" w:eastAsia="en-IE"/>
              </w:rPr>
            </w:pPr>
            <w:r w:rsidRPr="00D73E11">
              <w:rPr>
                <w:rFonts w:eastAsia="Times New Roman"/>
                <w:i/>
                <w:iCs/>
                <w:noProof/>
                <w:sz w:val="22"/>
                <w:lang w:eastAsia="en-IE"/>
              </w:rPr>
              <w:t>Developing schemes that detail inter alia rules concerning the content and format of the attestations</w:t>
            </w:r>
            <w:r w:rsidRPr="00D73E11">
              <w:rPr>
                <w:rFonts w:eastAsia="Times New Roman"/>
                <w:noProof/>
                <w:sz w:val="22"/>
                <w:lang w:val="en-IE" w:eastAsia="en-IE"/>
              </w:rPr>
              <w:t> </w:t>
            </w:r>
          </w:p>
          <w:p w14:paraId="6A05DCD9" w14:textId="77777777" w:rsidR="007476E9" w:rsidRPr="00D73E11" w:rsidRDefault="007476E9">
            <w:pPr>
              <w:spacing w:before="0" w:after="0"/>
              <w:ind w:left="360"/>
              <w:jc w:val="left"/>
              <w:textAlignment w:val="baseline"/>
              <w:rPr>
                <w:rFonts w:eastAsia="Times New Roman"/>
                <w:noProof/>
                <w:sz w:val="22"/>
                <w:lang w:val="en-IE" w:eastAsia="en-IE"/>
              </w:rPr>
            </w:pPr>
            <w:r>
              <w:rPr>
                <w:rFonts w:eastAsia="Times New Roman"/>
                <w:i/>
                <w:iCs/>
                <w:noProof/>
                <w:sz w:val="22"/>
                <w:lang w:val="en-IE" w:eastAsia="en-IE"/>
              </w:rPr>
              <w:t>Authorised providers shall ensure</w:t>
            </w:r>
            <w:r w:rsidRPr="00A11FC9">
              <w:rPr>
                <w:rFonts w:eastAsia="Times New Roman"/>
                <w:i/>
                <w:iCs/>
                <w:noProof/>
                <w:sz w:val="22"/>
                <w:lang w:eastAsia="en-IE"/>
              </w:rPr>
              <w:t xml:space="preserve"> that, at the request of the individual, electronic attestations of European individual cybersecurity skills attestations are issued as electronic attestations of attributes in a format that can be stored in the European Digital Identity Wallets</w:t>
            </w:r>
            <w:r>
              <w:rPr>
                <w:rFonts w:eastAsia="Times New Roman"/>
                <w:i/>
                <w:iCs/>
                <w:noProof/>
                <w:sz w:val="22"/>
                <w:lang w:eastAsia="en-IE"/>
              </w:rPr>
              <w:t xml:space="preserve"> </w:t>
            </w:r>
            <w:r w:rsidRPr="00D73E11">
              <w:rPr>
                <w:rFonts w:eastAsia="Times New Roman"/>
                <w:i/>
                <w:iCs/>
                <w:noProof/>
                <w:sz w:val="22"/>
                <w:lang w:eastAsia="en-IE"/>
              </w:rPr>
              <w:t xml:space="preserve">ENISA to </w:t>
            </w:r>
            <w:r w:rsidRPr="00030C8B">
              <w:rPr>
                <w:rFonts w:eastAsia="Times New Roman"/>
                <w:i/>
                <w:iCs/>
                <w:noProof/>
                <w:sz w:val="22"/>
                <w:lang w:eastAsia="en-IE"/>
              </w:rPr>
              <w:t>provide guidance to and conduct obligatory training of assessors regarding the requirements and assessment methods included in the European individual cybersecurity skills attestation scheme</w:t>
            </w:r>
            <w:r w:rsidRPr="00D73E11">
              <w:rPr>
                <w:rFonts w:eastAsia="Times New Roman"/>
                <w:noProof/>
                <w:sz w:val="22"/>
                <w:lang w:val="en-IE" w:eastAsia="en-IE"/>
              </w:rPr>
              <w:t> </w:t>
            </w:r>
          </w:p>
          <w:p w14:paraId="7DF668CA" w14:textId="77777777" w:rsidR="007476E9" w:rsidRPr="00D73E11" w:rsidRDefault="007476E9">
            <w:pPr>
              <w:spacing w:before="0" w:after="0"/>
              <w:ind w:left="360"/>
              <w:jc w:val="left"/>
              <w:textAlignment w:val="baseline"/>
              <w:rPr>
                <w:rFonts w:eastAsia="Times New Roman"/>
                <w:noProof/>
                <w:sz w:val="22"/>
                <w:lang w:val="en-IE" w:eastAsia="en-IE"/>
              </w:rPr>
            </w:pPr>
            <w:r w:rsidRPr="00D73E11">
              <w:rPr>
                <w:rFonts w:eastAsia="Times New Roman"/>
                <w:i/>
                <w:iCs/>
                <w:noProof/>
                <w:sz w:val="22"/>
                <w:lang w:eastAsia="en-IE"/>
              </w:rPr>
              <w:t>Providing public information on a website</w:t>
            </w:r>
            <w:r w:rsidRPr="00D73E11">
              <w:rPr>
                <w:rFonts w:eastAsia="Times New Roman"/>
                <w:noProof/>
                <w:sz w:val="22"/>
                <w:lang w:val="en-IE" w:eastAsia="en-IE"/>
              </w:rPr>
              <w:t> </w:t>
            </w:r>
          </w:p>
          <w:p w14:paraId="711F062A" w14:textId="77777777" w:rsidR="007476E9" w:rsidRPr="00D73E11" w:rsidRDefault="007476E9">
            <w:pPr>
              <w:spacing w:before="0" w:after="0"/>
              <w:ind w:left="360"/>
              <w:jc w:val="left"/>
              <w:textAlignment w:val="baseline"/>
              <w:rPr>
                <w:rFonts w:eastAsia="Times New Roman"/>
                <w:noProof/>
                <w:sz w:val="22"/>
                <w:lang w:val="en-IE" w:eastAsia="en-IE"/>
              </w:rPr>
            </w:pPr>
            <w:r w:rsidRPr="00D73E11">
              <w:rPr>
                <w:rFonts w:eastAsia="Times New Roman"/>
                <w:i/>
                <w:iCs/>
                <w:noProof/>
                <w:sz w:val="22"/>
                <w:lang w:eastAsia="en-IE"/>
              </w:rPr>
              <w:t>I</w:t>
            </w:r>
            <w:r w:rsidRPr="00D73E11">
              <w:rPr>
                <w:rFonts w:ascii="Calibri" w:eastAsia="Times New Roman" w:hAnsi="Calibri" w:cs="Calibri"/>
                <w:i/>
                <w:iCs/>
                <w:noProof/>
                <w:sz w:val="22"/>
                <w:lang w:eastAsia="en-IE"/>
              </w:rPr>
              <w:t>mplementing acts on fees</w:t>
            </w:r>
            <w:r w:rsidRPr="00D73E11">
              <w:rPr>
                <w:rFonts w:ascii="Calibri" w:eastAsia="Times New Roman" w:hAnsi="Calibri" w:cs="Calibri"/>
                <w:noProof/>
                <w:sz w:val="22"/>
                <w:lang w:val="en-IE" w:eastAsia="en-IE"/>
              </w:rPr>
              <w:t> </w:t>
            </w:r>
          </w:p>
          <w:p w14:paraId="4E3C71F7" w14:textId="77777777" w:rsidR="007476E9" w:rsidRPr="00D73E11" w:rsidRDefault="007476E9">
            <w:pPr>
              <w:spacing w:before="0" w:after="0"/>
              <w:ind w:left="360"/>
              <w:jc w:val="left"/>
              <w:textAlignment w:val="baseline"/>
              <w:rPr>
                <w:rFonts w:ascii="Segoe UI" w:eastAsia="Times New Roman" w:hAnsi="Segoe UI" w:cs="Segoe UI"/>
                <w:noProof/>
                <w:sz w:val="18"/>
                <w:szCs w:val="18"/>
                <w:lang w:val="en-IE" w:eastAsia="en-IE"/>
              </w:rPr>
            </w:pPr>
            <w:r w:rsidRPr="00D73E11">
              <w:rPr>
                <w:rFonts w:eastAsia="Times New Roman"/>
                <w:noProof/>
                <w:sz w:val="22"/>
                <w:lang w:val="en-IE" w:eastAsia="en-IE"/>
              </w:rPr>
              <w:t> </w:t>
            </w:r>
          </w:p>
        </w:tc>
        <w:tc>
          <w:tcPr>
            <w:tcW w:w="5880" w:type="dxa"/>
            <w:tcBorders>
              <w:top w:val="single" w:sz="6" w:space="0" w:color="auto"/>
              <w:left w:val="single" w:sz="6" w:space="0" w:color="auto"/>
              <w:bottom w:val="single" w:sz="6" w:space="0" w:color="auto"/>
              <w:right w:val="single" w:sz="6" w:space="0" w:color="auto"/>
            </w:tcBorders>
            <w:hideMark/>
          </w:tcPr>
          <w:p w14:paraId="7FED028B" w14:textId="77777777" w:rsidR="007476E9" w:rsidRPr="00D73E11" w:rsidRDefault="007476E9">
            <w:pPr>
              <w:spacing w:before="0" w:after="0"/>
              <w:ind w:left="360"/>
              <w:jc w:val="left"/>
              <w:textAlignment w:val="baseline"/>
              <w:rPr>
                <w:rFonts w:ascii="Segoe UI" w:eastAsia="Times New Roman" w:hAnsi="Segoe UI" w:cs="Segoe UI"/>
                <w:noProof/>
                <w:sz w:val="18"/>
                <w:szCs w:val="18"/>
                <w:lang w:val="en-IE" w:eastAsia="en-IE"/>
              </w:rPr>
            </w:pPr>
            <w:r w:rsidRPr="00D73E11">
              <w:rPr>
                <w:rFonts w:eastAsia="Times New Roman"/>
                <w:i/>
                <w:iCs/>
                <w:noProof/>
                <w:sz w:val="22"/>
                <w:lang w:eastAsia="en-IE"/>
              </w:rPr>
              <w:t xml:space="preserve">Although the schemes should be as detailed as to ensure common understanding and ease implementation, and although ENISA will </w:t>
            </w:r>
            <w:r>
              <w:rPr>
                <w:rFonts w:eastAsia="Times New Roman"/>
                <w:i/>
                <w:iCs/>
                <w:noProof/>
                <w:sz w:val="22"/>
                <w:lang w:eastAsia="en-IE"/>
              </w:rPr>
              <w:t>provide guidance to and conduct obligatory training of assessors</w:t>
            </w:r>
            <w:r w:rsidRPr="00D73E11">
              <w:rPr>
                <w:rFonts w:eastAsia="Times New Roman"/>
                <w:i/>
                <w:iCs/>
                <w:noProof/>
                <w:sz w:val="22"/>
                <w:lang w:eastAsia="en-IE"/>
              </w:rPr>
              <w:t xml:space="preserve"> </w:t>
            </w:r>
            <w:r>
              <w:rPr>
                <w:rFonts w:eastAsia="Times New Roman"/>
                <w:i/>
                <w:iCs/>
                <w:noProof/>
                <w:sz w:val="22"/>
                <w:lang w:eastAsia="en-IE"/>
              </w:rPr>
              <w:t>to ensure consistent implementation of the</w:t>
            </w:r>
            <w:r w:rsidRPr="00D73E11">
              <w:rPr>
                <w:rFonts w:eastAsia="Times New Roman"/>
                <w:i/>
                <w:iCs/>
                <w:noProof/>
                <w:sz w:val="22"/>
                <w:lang w:eastAsia="en-IE"/>
              </w:rPr>
              <w:t xml:space="preserve"> schemes, unforeseen dimensions could </w:t>
            </w:r>
            <w:r>
              <w:rPr>
                <w:rFonts w:eastAsia="Times New Roman"/>
                <w:i/>
                <w:iCs/>
                <w:noProof/>
                <w:sz w:val="22"/>
                <w:lang w:eastAsia="en-IE"/>
              </w:rPr>
              <w:t xml:space="preserve">arise where </w:t>
            </w:r>
            <w:r w:rsidRPr="00D73E11">
              <w:rPr>
                <w:rFonts w:eastAsia="Times New Roman"/>
                <w:i/>
                <w:iCs/>
                <w:noProof/>
                <w:sz w:val="22"/>
                <w:lang w:eastAsia="en-IE"/>
              </w:rPr>
              <w:t>authorised attestation providers</w:t>
            </w:r>
            <w:r>
              <w:rPr>
                <w:rFonts w:eastAsia="Times New Roman"/>
                <w:i/>
                <w:iCs/>
                <w:noProof/>
                <w:sz w:val="22"/>
                <w:lang w:eastAsia="en-IE"/>
              </w:rPr>
              <w:t xml:space="preserve"> need to interact with ENISA, other providers or assessors.</w:t>
            </w:r>
            <w:r w:rsidRPr="00D73E11">
              <w:rPr>
                <w:rFonts w:eastAsia="Times New Roman"/>
                <w:i/>
                <w:iCs/>
                <w:noProof/>
                <w:sz w:val="22"/>
                <w:lang w:eastAsia="en-IE"/>
              </w:rPr>
              <w:t> </w:t>
            </w:r>
          </w:p>
        </w:tc>
      </w:tr>
      <w:tr w:rsidR="007476E9" w:rsidRPr="00D73E11" w14:paraId="3CB87FF1" w14:textId="77777777">
        <w:tc>
          <w:tcPr>
            <w:tcW w:w="3960" w:type="dxa"/>
            <w:tcBorders>
              <w:top w:val="single" w:sz="6" w:space="0" w:color="auto"/>
              <w:left w:val="single" w:sz="6" w:space="0" w:color="auto"/>
              <w:bottom w:val="single" w:sz="6" w:space="0" w:color="auto"/>
              <w:right w:val="single" w:sz="6" w:space="0" w:color="auto"/>
            </w:tcBorders>
            <w:hideMark/>
          </w:tcPr>
          <w:p w14:paraId="64F8E0AB" w14:textId="77777777" w:rsidR="007476E9" w:rsidRPr="00D73E11" w:rsidRDefault="007476E9">
            <w:pPr>
              <w:spacing w:before="0" w:after="0"/>
              <w:ind w:left="360"/>
              <w:jc w:val="left"/>
              <w:textAlignment w:val="baseline"/>
              <w:rPr>
                <w:rFonts w:ascii="Segoe UI" w:eastAsia="Times New Roman" w:hAnsi="Segoe UI" w:cs="Segoe UI"/>
                <w:noProof/>
                <w:sz w:val="18"/>
                <w:szCs w:val="18"/>
                <w:lang w:val="en-IE" w:eastAsia="en-IE"/>
              </w:rPr>
            </w:pPr>
            <w:r w:rsidRPr="00D73E11">
              <w:rPr>
                <w:rFonts w:eastAsia="Times New Roman"/>
                <w:b/>
                <w:bCs/>
                <w:noProof/>
                <w:sz w:val="22"/>
                <w:lang w:eastAsia="en-IE"/>
              </w:rPr>
              <w:t>Assess the use of commonly agreed open technical specifications and standards</w:t>
            </w:r>
            <w:r w:rsidRPr="00D73E11">
              <w:rPr>
                <w:rFonts w:eastAsia="Times New Roman"/>
                <w:noProof/>
                <w:sz w:val="22"/>
                <w:lang w:val="en-IE" w:eastAsia="en-IE"/>
              </w:rPr>
              <w:t> </w:t>
            </w:r>
          </w:p>
          <w:p w14:paraId="3ACFE114" w14:textId="77777777" w:rsidR="007476E9" w:rsidRPr="00D73E11" w:rsidRDefault="007476E9">
            <w:pPr>
              <w:spacing w:before="0" w:after="0"/>
              <w:ind w:left="360"/>
              <w:jc w:val="left"/>
              <w:textAlignment w:val="baseline"/>
              <w:rPr>
                <w:rFonts w:ascii="Segoe UI" w:eastAsia="Times New Roman" w:hAnsi="Segoe UI" w:cs="Segoe UI"/>
                <w:noProof/>
                <w:sz w:val="18"/>
                <w:szCs w:val="18"/>
                <w:lang w:val="en-IE" w:eastAsia="en-IE"/>
              </w:rPr>
            </w:pPr>
            <w:r w:rsidRPr="00D73E11">
              <w:rPr>
                <w:rFonts w:eastAsia="Times New Roman"/>
                <w:b/>
                <w:bCs/>
                <w:noProof/>
                <w:sz w:val="22"/>
                <w:lang w:eastAsia="en-IE"/>
              </w:rPr>
              <w:t>Please list such measures</w:t>
            </w:r>
            <w:r w:rsidRPr="00D73E11">
              <w:rPr>
                <w:rFonts w:eastAsia="Times New Roman"/>
                <w:noProof/>
                <w:sz w:val="22"/>
                <w:lang w:val="en-IE" w:eastAsia="en-IE"/>
              </w:rPr>
              <w:t> </w:t>
            </w:r>
          </w:p>
        </w:tc>
        <w:tc>
          <w:tcPr>
            <w:tcW w:w="4620" w:type="dxa"/>
            <w:tcBorders>
              <w:top w:val="single" w:sz="6" w:space="0" w:color="auto"/>
              <w:left w:val="single" w:sz="6" w:space="0" w:color="auto"/>
              <w:bottom w:val="single" w:sz="6" w:space="0" w:color="auto"/>
              <w:right w:val="single" w:sz="6" w:space="0" w:color="auto"/>
            </w:tcBorders>
            <w:hideMark/>
          </w:tcPr>
          <w:p w14:paraId="53FA97C1" w14:textId="77777777" w:rsidR="007476E9" w:rsidRPr="00D73E11" w:rsidRDefault="007476E9">
            <w:pPr>
              <w:spacing w:before="0" w:after="0"/>
              <w:ind w:left="360"/>
              <w:jc w:val="left"/>
              <w:textAlignment w:val="baseline"/>
              <w:rPr>
                <w:rFonts w:ascii="Segoe UI" w:eastAsia="Times New Roman" w:hAnsi="Segoe UI" w:cs="Segoe UI"/>
                <w:noProof/>
                <w:sz w:val="18"/>
                <w:szCs w:val="18"/>
                <w:lang w:val="en-IE" w:eastAsia="en-IE"/>
              </w:rPr>
            </w:pPr>
            <w:r w:rsidRPr="00D73E11">
              <w:rPr>
                <w:rFonts w:eastAsia="Times New Roman"/>
                <w:noProof/>
                <w:sz w:val="22"/>
                <w:lang w:val="en-IE" w:eastAsia="en-IE"/>
              </w:rPr>
              <w:t> </w:t>
            </w:r>
          </w:p>
          <w:p w14:paraId="4F9C98A2" w14:textId="77777777" w:rsidR="007476E9" w:rsidRPr="00D73E11" w:rsidRDefault="007476E9">
            <w:pPr>
              <w:spacing w:before="0" w:after="0"/>
              <w:ind w:left="360"/>
              <w:jc w:val="left"/>
              <w:textAlignment w:val="baseline"/>
              <w:rPr>
                <w:rFonts w:eastAsia="Times New Roman"/>
                <w:noProof/>
                <w:sz w:val="22"/>
                <w:lang w:val="en-IE" w:eastAsia="en-IE"/>
              </w:rPr>
            </w:pPr>
            <w:r w:rsidRPr="00D73E11">
              <w:rPr>
                <w:rFonts w:eastAsia="Times New Roman"/>
                <w:i/>
                <w:iCs/>
                <w:noProof/>
                <w:sz w:val="22"/>
                <w:lang w:eastAsia="en-IE"/>
              </w:rPr>
              <w:t>European individual cybersecurity skills attestation schemes are developed with the support of relevant stakeholders</w:t>
            </w:r>
            <w:r w:rsidRPr="00D73E11">
              <w:rPr>
                <w:rFonts w:eastAsia="Times New Roman"/>
                <w:noProof/>
                <w:sz w:val="22"/>
                <w:lang w:val="en-IE" w:eastAsia="en-IE"/>
              </w:rPr>
              <w:t> </w:t>
            </w:r>
          </w:p>
          <w:p w14:paraId="459870AB" w14:textId="77777777" w:rsidR="007476E9" w:rsidRPr="00D73E11" w:rsidRDefault="007476E9">
            <w:pPr>
              <w:spacing w:before="0" w:after="0"/>
              <w:ind w:left="360"/>
              <w:jc w:val="left"/>
              <w:textAlignment w:val="baseline"/>
              <w:rPr>
                <w:rFonts w:ascii="Segoe UI" w:eastAsia="Times New Roman" w:hAnsi="Segoe UI" w:cs="Segoe UI"/>
                <w:noProof/>
                <w:sz w:val="18"/>
                <w:szCs w:val="18"/>
                <w:lang w:val="en-IE" w:eastAsia="en-IE"/>
              </w:rPr>
            </w:pPr>
            <w:r w:rsidRPr="00D73E11">
              <w:rPr>
                <w:rFonts w:eastAsia="Times New Roman"/>
                <w:noProof/>
                <w:sz w:val="22"/>
                <w:lang w:val="en-IE" w:eastAsia="en-IE"/>
              </w:rPr>
              <w:t> </w:t>
            </w:r>
          </w:p>
        </w:tc>
        <w:tc>
          <w:tcPr>
            <w:tcW w:w="5880" w:type="dxa"/>
            <w:tcBorders>
              <w:top w:val="single" w:sz="6" w:space="0" w:color="auto"/>
              <w:left w:val="single" w:sz="6" w:space="0" w:color="auto"/>
              <w:bottom w:val="single" w:sz="6" w:space="0" w:color="auto"/>
              <w:right w:val="single" w:sz="6" w:space="0" w:color="auto"/>
            </w:tcBorders>
            <w:hideMark/>
          </w:tcPr>
          <w:p w14:paraId="04272698" w14:textId="77777777" w:rsidR="007476E9" w:rsidRPr="00D73E11" w:rsidRDefault="007476E9">
            <w:pPr>
              <w:spacing w:before="0" w:after="0"/>
              <w:ind w:left="360"/>
              <w:jc w:val="left"/>
              <w:textAlignment w:val="baseline"/>
              <w:rPr>
                <w:rFonts w:ascii="Segoe UI" w:eastAsia="Times New Roman" w:hAnsi="Segoe UI" w:cs="Segoe UI"/>
                <w:noProof/>
                <w:sz w:val="18"/>
                <w:szCs w:val="18"/>
                <w:lang w:val="en-IE" w:eastAsia="en-IE"/>
              </w:rPr>
            </w:pPr>
            <w:r w:rsidRPr="00D73E11">
              <w:rPr>
                <w:rFonts w:eastAsia="Times New Roman"/>
                <w:noProof/>
                <w:sz w:val="22"/>
                <w:lang w:val="en-IE" w:eastAsia="en-IE"/>
              </w:rPr>
              <w:t> </w:t>
            </w:r>
          </w:p>
          <w:p w14:paraId="6D0039DB" w14:textId="77777777" w:rsidR="007476E9" w:rsidRPr="00D73E11" w:rsidRDefault="007476E9">
            <w:pPr>
              <w:spacing w:before="0" w:after="0"/>
              <w:ind w:left="360"/>
              <w:jc w:val="left"/>
              <w:textAlignment w:val="baseline"/>
              <w:rPr>
                <w:rFonts w:ascii="Segoe UI" w:eastAsia="Times New Roman" w:hAnsi="Segoe UI" w:cs="Segoe UI"/>
                <w:noProof/>
                <w:sz w:val="18"/>
                <w:szCs w:val="18"/>
                <w:lang w:val="en-IE" w:eastAsia="en-IE"/>
              </w:rPr>
            </w:pPr>
            <w:r w:rsidRPr="00D73E11">
              <w:rPr>
                <w:rFonts w:eastAsia="Times New Roman"/>
                <w:i/>
                <w:iCs/>
                <w:noProof/>
                <w:sz w:val="22"/>
                <w:lang w:eastAsia="en-IE"/>
              </w:rPr>
              <w:t>N/A</w:t>
            </w:r>
            <w:r w:rsidRPr="00D73E11">
              <w:rPr>
                <w:rFonts w:eastAsia="Times New Roman"/>
                <w:noProof/>
                <w:sz w:val="22"/>
                <w:lang w:val="en-IE" w:eastAsia="en-IE"/>
              </w:rPr>
              <w:t> </w:t>
            </w:r>
          </w:p>
        </w:tc>
      </w:tr>
    </w:tbl>
    <w:p w14:paraId="0D112449" w14:textId="77777777" w:rsidR="007476E9" w:rsidRDefault="007476E9" w:rsidP="007476E9">
      <w:pPr>
        <w:pStyle w:val="Text1"/>
        <w:ind w:left="0"/>
        <w:rPr>
          <w:noProof/>
        </w:rPr>
      </w:pPr>
    </w:p>
    <w:p w14:paraId="65A9AEED" w14:textId="77777777" w:rsidR="007476E9" w:rsidRDefault="007476E9" w:rsidP="007476E9">
      <w:pPr>
        <w:pStyle w:val="Text1"/>
        <w:ind w:left="0"/>
        <w:rPr>
          <w:rStyle w:val="eop"/>
          <w:noProof/>
          <w:color w:val="000000"/>
          <w:shd w:val="clear" w:color="auto" w:fill="FFFFFF"/>
        </w:rPr>
      </w:pPr>
      <w:r>
        <w:rPr>
          <w:rStyle w:val="normaltextrun"/>
          <w:b/>
          <w:bCs/>
          <w:noProof/>
          <w:color w:val="000000"/>
          <w:shd w:val="clear" w:color="auto" w:fill="FFFFFF"/>
        </w:rPr>
        <w:t>Preparing candidate European cybersecurity certification schemes ‘candidate schemes’/ assigning numbers to CABs</w:t>
      </w:r>
      <w:r>
        <w:rPr>
          <w:rStyle w:val="eop"/>
          <w:noProof/>
          <w:color w:val="000000"/>
          <w:shd w:val="clear" w:color="auto" w:fill="FFFFFF"/>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60"/>
        <w:gridCol w:w="4620"/>
        <w:gridCol w:w="5880"/>
      </w:tblGrid>
      <w:tr w:rsidR="007476E9" w:rsidRPr="00D73E11" w14:paraId="2E45533C" w14:textId="77777777">
        <w:tc>
          <w:tcPr>
            <w:tcW w:w="3960" w:type="dxa"/>
            <w:tcBorders>
              <w:top w:val="single" w:sz="6" w:space="0" w:color="auto"/>
              <w:left w:val="single" w:sz="6" w:space="0" w:color="auto"/>
              <w:bottom w:val="single" w:sz="6" w:space="0" w:color="auto"/>
              <w:right w:val="single" w:sz="6" w:space="0" w:color="auto"/>
            </w:tcBorders>
            <w:hideMark/>
          </w:tcPr>
          <w:p w14:paraId="39A8B2F5" w14:textId="77777777" w:rsidR="007476E9" w:rsidRPr="00D73E11" w:rsidRDefault="007476E9">
            <w:pPr>
              <w:spacing w:before="0" w:after="0"/>
              <w:ind w:left="360"/>
              <w:jc w:val="left"/>
              <w:textAlignment w:val="baseline"/>
              <w:rPr>
                <w:rFonts w:ascii="Segoe UI" w:eastAsia="Times New Roman" w:hAnsi="Segoe UI" w:cs="Segoe UI"/>
                <w:noProof/>
                <w:sz w:val="18"/>
                <w:szCs w:val="18"/>
                <w:lang w:val="en-IE" w:eastAsia="en-IE"/>
              </w:rPr>
            </w:pPr>
            <w:r w:rsidRPr="00D73E11">
              <w:rPr>
                <w:rFonts w:eastAsia="Times New Roman"/>
                <w:b/>
                <w:bCs/>
                <w:noProof/>
                <w:sz w:val="22"/>
                <w:lang w:eastAsia="en-IE"/>
              </w:rPr>
              <w:t>Assessment</w:t>
            </w:r>
            <w:r w:rsidRPr="00D73E11">
              <w:rPr>
                <w:rFonts w:eastAsia="Times New Roman"/>
                <w:noProof/>
                <w:sz w:val="22"/>
                <w:lang w:val="en-IE" w:eastAsia="en-IE"/>
              </w:rPr>
              <w:t> </w:t>
            </w:r>
          </w:p>
        </w:tc>
        <w:tc>
          <w:tcPr>
            <w:tcW w:w="4620" w:type="dxa"/>
            <w:tcBorders>
              <w:top w:val="single" w:sz="6" w:space="0" w:color="auto"/>
              <w:left w:val="single" w:sz="6" w:space="0" w:color="auto"/>
              <w:bottom w:val="single" w:sz="6" w:space="0" w:color="auto"/>
              <w:right w:val="single" w:sz="6" w:space="0" w:color="auto"/>
            </w:tcBorders>
            <w:hideMark/>
          </w:tcPr>
          <w:p w14:paraId="17E63A52" w14:textId="77777777" w:rsidR="007476E9" w:rsidRPr="00D73E11" w:rsidRDefault="007476E9">
            <w:pPr>
              <w:spacing w:before="0" w:after="0"/>
              <w:ind w:left="360"/>
              <w:jc w:val="left"/>
              <w:textAlignment w:val="baseline"/>
              <w:rPr>
                <w:rFonts w:ascii="Segoe UI" w:eastAsia="Times New Roman" w:hAnsi="Segoe UI" w:cs="Segoe UI"/>
                <w:noProof/>
                <w:sz w:val="18"/>
                <w:szCs w:val="18"/>
                <w:lang w:val="en-IE" w:eastAsia="en-IE"/>
              </w:rPr>
            </w:pPr>
            <w:r w:rsidRPr="00D73E11">
              <w:rPr>
                <w:rFonts w:eastAsia="Times New Roman"/>
                <w:b/>
                <w:bCs/>
                <w:noProof/>
                <w:sz w:val="22"/>
                <w:lang w:eastAsia="en-IE"/>
              </w:rPr>
              <w:t>Measures</w:t>
            </w:r>
            <w:r w:rsidRPr="00D73E11">
              <w:rPr>
                <w:rFonts w:eastAsia="Times New Roman"/>
                <w:noProof/>
                <w:sz w:val="22"/>
                <w:lang w:val="en-IE" w:eastAsia="en-IE"/>
              </w:rPr>
              <w:t> </w:t>
            </w:r>
          </w:p>
        </w:tc>
        <w:tc>
          <w:tcPr>
            <w:tcW w:w="5880" w:type="dxa"/>
            <w:tcBorders>
              <w:top w:val="single" w:sz="6" w:space="0" w:color="auto"/>
              <w:left w:val="single" w:sz="6" w:space="0" w:color="auto"/>
              <w:bottom w:val="single" w:sz="6" w:space="0" w:color="auto"/>
              <w:right w:val="single" w:sz="6" w:space="0" w:color="auto"/>
            </w:tcBorders>
            <w:hideMark/>
          </w:tcPr>
          <w:p w14:paraId="7658230B" w14:textId="77777777" w:rsidR="007476E9" w:rsidRPr="00D73E11" w:rsidRDefault="007476E9">
            <w:pPr>
              <w:spacing w:before="0" w:after="0"/>
              <w:ind w:left="360"/>
              <w:jc w:val="left"/>
              <w:textAlignment w:val="baseline"/>
              <w:rPr>
                <w:rFonts w:ascii="Segoe UI" w:eastAsia="Times New Roman" w:hAnsi="Segoe UI" w:cs="Segoe UI"/>
                <w:noProof/>
                <w:sz w:val="18"/>
                <w:szCs w:val="18"/>
                <w:lang w:val="en-IE" w:eastAsia="en-IE"/>
              </w:rPr>
            </w:pPr>
            <w:r w:rsidRPr="00D73E11">
              <w:rPr>
                <w:rFonts w:eastAsia="Times New Roman"/>
                <w:b/>
                <w:bCs/>
                <w:noProof/>
                <w:sz w:val="22"/>
                <w:lang w:eastAsia="en-IE"/>
              </w:rPr>
              <w:t>Potential remaining barriers</w:t>
            </w:r>
            <w:r w:rsidRPr="00D73E11">
              <w:rPr>
                <w:rFonts w:eastAsia="Times New Roman"/>
                <w:noProof/>
                <w:sz w:val="22"/>
                <w:lang w:val="en-IE" w:eastAsia="en-IE"/>
              </w:rPr>
              <w:t> </w:t>
            </w:r>
          </w:p>
        </w:tc>
      </w:tr>
      <w:tr w:rsidR="007476E9" w:rsidRPr="00D73E11" w14:paraId="48EB18FF" w14:textId="77777777">
        <w:tc>
          <w:tcPr>
            <w:tcW w:w="3960" w:type="dxa"/>
            <w:tcBorders>
              <w:top w:val="single" w:sz="6" w:space="0" w:color="auto"/>
              <w:left w:val="single" w:sz="6" w:space="0" w:color="auto"/>
              <w:bottom w:val="single" w:sz="6" w:space="0" w:color="auto"/>
              <w:right w:val="single" w:sz="6" w:space="0" w:color="auto"/>
            </w:tcBorders>
            <w:hideMark/>
          </w:tcPr>
          <w:p w14:paraId="3496F08D" w14:textId="77777777" w:rsidR="007476E9" w:rsidRPr="00D73E11" w:rsidRDefault="007476E9">
            <w:pPr>
              <w:spacing w:before="0" w:after="0"/>
              <w:ind w:left="360"/>
              <w:jc w:val="left"/>
              <w:textAlignment w:val="baseline"/>
              <w:rPr>
                <w:rFonts w:ascii="Segoe UI" w:eastAsia="Times New Roman" w:hAnsi="Segoe UI" w:cs="Segoe UI"/>
                <w:noProof/>
                <w:sz w:val="18"/>
                <w:szCs w:val="18"/>
                <w:lang w:val="en-IE" w:eastAsia="en-IE"/>
              </w:rPr>
            </w:pPr>
            <w:r w:rsidRPr="00D73E11">
              <w:rPr>
                <w:rFonts w:eastAsia="Times New Roman"/>
                <w:b/>
                <w:bCs/>
                <w:noProof/>
                <w:sz w:val="22"/>
                <w:lang w:eastAsia="en-IE"/>
              </w:rPr>
              <w:t>Assess the alignment with existing digital and sectorial policies </w:t>
            </w:r>
            <w:r w:rsidRPr="00D73E11">
              <w:rPr>
                <w:rFonts w:eastAsia="Times New Roman"/>
                <w:noProof/>
                <w:sz w:val="22"/>
                <w:lang w:val="en-IE" w:eastAsia="en-IE"/>
              </w:rPr>
              <w:t> </w:t>
            </w:r>
          </w:p>
          <w:p w14:paraId="1D971D34" w14:textId="77777777" w:rsidR="007476E9" w:rsidRPr="00D73E11" w:rsidRDefault="007476E9">
            <w:pPr>
              <w:spacing w:before="0" w:after="0"/>
              <w:ind w:left="360"/>
              <w:jc w:val="left"/>
              <w:textAlignment w:val="baseline"/>
              <w:rPr>
                <w:rFonts w:ascii="Segoe UI" w:eastAsia="Times New Roman" w:hAnsi="Segoe UI" w:cs="Segoe UI"/>
                <w:noProof/>
                <w:sz w:val="18"/>
                <w:szCs w:val="18"/>
                <w:lang w:val="en-IE" w:eastAsia="en-IE"/>
              </w:rPr>
            </w:pPr>
            <w:r w:rsidRPr="00D73E11">
              <w:rPr>
                <w:rFonts w:eastAsia="Times New Roman"/>
                <w:b/>
                <w:bCs/>
                <w:noProof/>
                <w:sz w:val="22"/>
                <w:lang w:eastAsia="en-IE"/>
              </w:rPr>
              <w:t>Please list the applicable digital and sectorial policies identified</w:t>
            </w:r>
            <w:r w:rsidRPr="00D73E11">
              <w:rPr>
                <w:rFonts w:eastAsia="Times New Roman"/>
                <w:noProof/>
                <w:sz w:val="22"/>
                <w:lang w:val="en-IE" w:eastAsia="en-IE"/>
              </w:rPr>
              <w:t> </w:t>
            </w:r>
          </w:p>
        </w:tc>
        <w:tc>
          <w:tcPr>
            <w:tcW w:w="4620" w:type="dxa"/>
            <w:tcBorders>
              <w:top w:val="single" w:sz="6" w:space="0" w:color="auto"/>
              <w:left w:val="single" w:sz="6" w:space="0" w:color="auto"/>
              <w:bottom w:val="single" w:sz="6" w:space="0" w:color="auto"/>
              <w:right w:val="single" w:sz="6" w:space="0" w:color="auto"/>
            </w:tcBorders>
            <w:hideMark/>
          </w:tcPr>
          <w:p w14:paraId="49480E69" w14:textId="77777777" w:rsidR="007476E9" w:rsidRPr="00D73E11" w:rsidRDefault="007476E9">
            <w:pPr>
              <w:spacing w:before="0" w:after="0"/>
              <w:ind w:left="360"/>
              <w:jc w:val="left"/>
              <w:textAlignment w:val="baseline"/>
              <w:rPr>
                <w:rFonts w:eastAsia="Times New Roman"/>
                <w:noProof/>
                <w:sz w:val="22"/>
                <w:lang w:val="en-IE" w:eastAsia="en-IE"/>
              </w:rPr>
            </w:pPr>
            <w:r w:rsidRPr="00D73E11">
              <w:rPr>
                <w:rFonts w:eastAsia="Times New Roman"/>
                <w:i/>
                <w:iCs/>
                <w:noProof/>
                <w:sz w:val="22"/>
                <w:lang w:eastAsia="en-IE"/>
              </w:rPr>
              <w:t>The proposal seeks alignment on governance with the New legislative framework, in particular for what pertains Regulation (EC) 765/2008</w:t>
            </w:r>
            <w:r w:rsidRPr="00D73E11">
              <w:rPr>
                <w:rFonts w:eastAsia="Times New Roman"/>
                <w:i/>
                <w:iCs/>
                <w:noProof/>
                <w:sz w:val="17"/>
                <w:szCs w:val="17"/>
                <w:vertAlign w:val="superscript"/>
                <w:lang w:eastAsia="en-IE"/>
              </w:rPr>
              <w:t>26</w:t>
            </w:r>
            <w:r w:rsidRPr="00D73E11">
              <w:rPr>
                <w:rFonts w:eastAsia="Times New Roman"/>
                <w:i/>
                <w:iCs/>
                <w:noProof/>
                <w:sz w:val="22"/>
                <w:lang w:eastAsia="en-IE"/>
              </w:rPr>
              <w:t>. </w:t>
            </w:r>
            <w:r w:rsidRPr="00D73E11">
              <w:rPr>
                <w:rFonts w:eastAsia="Times New Roman"/>
                <w:noProof/>
                <w:sz w:val="22"/>
                <w:lang w:val="en-IE" w:eastAsia="en-IE"/>
              </w:rPr>
              <w:t> </w:t>
            </w:r>
          </w:p>
          <w:p w14:paraId="6C5DA6A9" w14:textId="77777777" w:rsidR="007476E9" w:rsidRPr="00D73E11" w:rsidRDefault="007476E9">
            <w:pPr>
              <w:spacing w:before="0" w:after="0"/>
              <w:ind w:left="360"/>
              <w:jc w:val="left"/>
              <w:textAlignment w:val="baseline"/>
              <w:rPr>
                <w:rFonts w:eastAsia="Times New Roman"/>
                <w:noProof/>
                <w:sz w:val="22"/>
                <w:lang w:val="en-IE" w:eastAsia="en-IE"/>
              </w:rPr>
            </w:pPr>
            <w:r w:rsidRPr="00D73E11">
              <w:rPr>
                <w:rFonts w:eastAsia="Times New Roman"/>
                <w:i/>
                <w:iCs/>
                <w:noProof/>
                <w:sz w:val="22"/>
                <w:lang w:eastAsia="en-IE"/>
              </w:rPr>
              <w:t>The proposal aims to facilitate compliance with relevant cybersecurity sectoral legislation through development of dedicated European cybersecurity certification schemes.</w:t>
            </w:r>
            <w:r w:rsidRPr="00D73E11">
              <w:rPr>
                <w:rFonts w:eastAsia="Times New Roman"/>
                <w:noProof/>
                <w:sz w:val="22"/>
                <w:lang w:val="en-IE" w:eastAsia="en-IE"/>
              </w:rPr>
              <w:t> </w:t>
            </w:r>
          </w:p>
          <w:p w14:paraId="5FCF9D66" w14:textId="77777777" w:rsidR="007476E9" w:rsidRPr="00D73E11" w:rsidRDefault="007476E9">
            <w:pPr>
              <w:spacing w:before="0" w:after="0"/>
              <w:ind w:left="360"/>
              <w:textAlignment w:val="baseline"/>
              <w:rPr>
                <w:rFonts w:ascii="Segoe UI" w:eastAsia="Times New Roman" w:hAnsi="Segoe UI" w:cs="Segoe UI"/>
                <w:noProof/>
                <w:sz w:val="18"/>
                <w:szCs w:val="18"/>
                <w:lang w:val="en-IE" w:eastAsia="en-IE"/>
              </w:rPr>
            </w:pPr>
            <w:r w:rsidRPr="00D73E11">
              <w:rPr>
                <w:rFonts w:eastAsia="Times New Roman"/>
                <w:noProof/>
                <w:szCs w:val="24"/>
                <w:lang w:val="en-IE" w:eastAsia="en-IE"/>
              </w:rPr>
              <w:t> </w:t>
            </w:r>
          </w:p>
        </w:tc>
        <w:tc>
          <w:tcPr>
            <w:tcW w:w="5880" w:type="dxa"/>
            <w:tcBorders>
              <w:top w:val="single" w:sz="6" w:space="0" w:color="auto"/>
              <w:left w:val="single" w:sz="6" w:space="0" w:color="auto"/>
              <w:bottom w:val="single" w:sz="6" w:space="0" w:color="auto"/>
              <w:right w:val="single" w:sz="6" w:space="0" w:color="auto"/>
            </w:tcBorders>
            <w:hideMark/>
          </w:tcPr>
          <w:p w14:paraId="3AD64392" w14:textId="77777777" w:rsidR="007476E9" w:rsidRPr="00D73E11" w:rsidRDefault="007476E9">
            <w:pPr>
              <w:spacing w:before="0" w:after="0"/>
              <w:ind w:left="360"/>
              <w:jc w:val="left"/>
              <w:textAlignment w:val="baseline"/>
              <w:rPr>
                <w:rFonts w:eastAsia="Times New Roman"/>
                <w:noProof/>
                <w:sz w:val="22"/>
                <w:lang w:val="en-IE" w:eastAsia="en-IE"/>
              </w:rPr>
            </w:pPr>
            <w:r w:rsidRPr="00D73E11">
              <w:rPr>
                <w:rFonts w:eastAsia="Times New Roman"/>
                <w:i/>
                <w:iCs/>
                <w:noProof/>
                <w:sz w:val="22"/>
                <w:lang w:eastAsia="en-IE"/>
              </w:rPr>
              <w:t>No known barriers </w:t>
            </w:r>
            <w:r w:rsidRPr="00D73E11">
              <w:rPr>
                <w:rFonts w:eastAsia="Times New Roman"/>
                <w:noProof/>
                <w:sz w:val="22"/>
                <w:lang w:val="en-IE" w:eastAsia="en-IE"/>
              </w:rPr>
              <w:t> </w:t>
            </w:r>
          </w:p>
        </w:tc>
      </w:tr>
      <w:tr w:rsidR="007476E9" w:rsidRPr="00D73E11" w14:paraId="6E4D1212" w14:textId="77777777">
        <w:tc>
          <w:tcPr>
            <w:tcW w:w="3960" w:type="dxa"/>
            <w:tcBorders>
              <w:top w:val="single" w:sz="6" w:space="0" w:color="auto"/>
              <w:left w:val="single" w:sz="6" w:space="0" w:color="auto"/>
              <w:bottom w:val="single" w:sz="6" w:space="0" w:color="auto"/>
              <w:right w:val="single" w:sz="6" w:space="0" w:color="auto"/>
            </w:tcBorders>
            <w:hideMark/>
          </w:tcPr>
          <w:p w14:paraId="7E2ACA1F" w14:textId="77777777" w:rsidR="007476E9" w:rsidRPr="00D73E11" w:rsidRDefault="007476E9">
            <w:pPr>
              <w:spacing w:before="0" w:after="0"/>
              <w:ind w:left="360"/>
              <w:jc w:val="left"/>
              <w:textAlignment w:val="baseline"/>
              <w:rPr>
                <w:rFonts w:ascii="Segoe UI" w:eastAsia="Times New Roman" w:hAnsi="Segoe UI" w:cs="Segoe UI"/>
                <w:noProof/>
                <w:sz w:val="18"/>
                <w:szCs w:val="18"/>
                <w:lang w:val="en-IE" w:eastAsia="en-IE"/>
              </w:rPr>
            </w:pPr>
            <w:r w:rsidRPr="00D73E11">
              <w:rPr>
                <w:rFonts w:eastAsia="Times New Roman"/>
                <w:b/>
                <w:bCs/>
                <w:noProof/>
                <w:sz w:val="22"/>
                <w:lang w:eastAsia="en-IE"/>
              </w:rPr>
              <w:t>Assess the organisational measures for a smooth cross-border digital public services delivery</w:t>
            </w:r>
            <w:r w:rsidRPr="00D73E11">
              <w:rPr>
                <w:rFonts w:eastAsia="Times New Roman"/>
                <w:noProof/>
                <w:sz w:val="22"/>
                <w:lang w:val="en-IE" w:eastAsia="en-IE"/>
              </w:rPr>
              <w:t> </w:t>
            </w:r>
          </w:p>
          <w:p w14:paraId="4A98FF26" w14:textId="77777777" w:rsidR="007476E9" w:rsidRPr="00D73E11" w:rsidRDefault="007476E9">
            <w:pPr>
              <w:spacing w:before="0" w:after="0"/>
              <w:ind w:left="360"/>
              <w:jc w:val="left"/>
              <w:textAlignment w:val="baseline"/>
              <w:rPr>
                <w:rFonts w:ascii="Segoe UI" w:eastAsia="Times New Roman" w:hAnsi="Segoe UI" w:cs="Segoe UI"/>
                <w:noProof/>
                <w:sz w:val="18"/>
                <w:szCs w:val="18"/>
                <w:lang w:val="en-IE" w:eastAsia="en-IE"/>
              </w:rPr>
            </w:pPr>
            <w:r w:rsidRPr="00D73E11">
              <w:rPr>
                <w:rFonts w:eastAsia="Times New Roman"/>
                <w:b/>
                <w:bCs/>
                <w:noProof/>
                <w:sz w:val="22"/>
                <w:lang w:eastAsia="en-IE"/>
              </w:rPr>
              <w:t>Please list the governance measures foreseen</w:t>
            </w:r>
            <w:r w:rsidRPr="00D73E11">
              <w:rPr>
                <w:rFonts w:eastAsia="Times New Roman"/>
                <w:noProof/>
                <w:sz w:val="22"/>
                <w:lang w:val="en-IE" w:eastAsia="en-IE"/>
              </w:rPr>
              <w:t> </w:t>
            </w:r>
          </w:p>
        </w:tc>
        <w:tc>
          <w:tcPr>
            <w:tcW w:w="4620" w:type="dxa"/>
            <w:tcBorders>
              <w:top w:val="single" w:sz="6" w:space="0" w:color="auto"/>
              <w:left w:val="single" w:sz="6" w:space="0" w:color="auto"/>
              <w:bottom w:val="single" w:sz="6" w:space="0" w:color="auto"/>
              <w:right w:val="single" w:sz="6" w:space="0" w:color="auto"/>
            </w:tcBorders>
            <w:hideMark/>
          </w:tcPr>
          <w:p w14:paraId="6A812041" w14:textId="77777777" w:rsidR="007476E9" w:rsidRPr="00D73E11" w:rsidRDefault="007476E9">
            <w:pPr>
              <w:spacing w:before="0" w:after="0"/>
              <w:ind w:left="360"/>
              <w:jc w:val="left"/>
              <w:textAlignment w:val="baseline"/>
              <w:rPr>
                <w:rFonts w:eastAsia="Times New Roman"/>
                <w:noProof/>
                <w:sz w:val="22"/>
                <w:lang w:val="en-IE" w:eastAsia="en-IE"/>
              </w:rPr>
            </w:pPr>
            <w:r w:rsidRPr="00D73E11">
              <w:rPr>
                <w:rFonts w:eastAsia="Times New Roman"/>
                <w:i/>
                <w:iCs/>
                <w:noProof/>
                <w:sz w:val="22"/>
                <w:lang w:eastAsia="en-IE"/>
              </w:rPr>
              <w:t>European Cybersecurity Certification Group; </w:t>
            </w:r>
            <w:r w:rsidRPr="00D73E11">
              <w:rPr>
                <w:rFonts w:eastAsia="Times New Roman"/>
                <w:noProof/>
                <w:sz w:val="22"/>
                <w:lang w:val="en-IE" w:eastAsia="en-IE"/>
              </w:rPr>
              <w:t> </w:t>
            </w:r>
          </w:p>
          <w:p w14:paraId="76BF5A71" w14:textId="77777777" w:rsidR="007476E9" w:rsidRPr="00D73E11" w:rsidRDefault="007476E9">
            <w:pPr>
              <w:spacing w:before="0" w:after="0"/>
              <w:ind w:left="360"/>
              <w:jc w:val="left"/>
              <w:textAlignment w:val="baseline"/>
              <w:rPr>
                <w:rFonts w:eastAsia="Times New Roman"/>
                <w:noProof/>
                <w:sz w:val="22"/>
                <w:lang w:val="en-IE" w:eastAsia="en-IE"/>
              </w:rPr>
            </w:pPr>
            <w:r w:rsidRPr="00D73E11">
              <w:rPr>
                <w:rFonts w:eastAsia="Times New Roman"/>
                <w:i/>
                <w:iCs/>
                <w:noProof/>
                <w:sz w:val="22"/>
                <w:lang w:eastAsia="en-IE"/>
              </w:rPr>
              <w:t>ENISA;</w:t>
            </w:r>
            <w:r w:rsidRPr="00D73E11">
              <w:rPr>
                <w:rFonts w:eastAsia="Times New Roman"/>
                <w:noProof/>
                <w:sz w:val="22"/>
                <w:lang w:val="en-IE" w:eastAsia="en-IE"/>
              </w:rPr>
              <w:t> </w:t>
            </w:r>
          </w:p>
          <w:p w14:paraId="25FD926B" w14:textId="77777777" w:rsidR="007476E9" w:rsidRPr="00D73E11" w:rsidRDefault="007476E9">
            <w:pPr>
              <w:spacing w:before="0" w:after="0"/>
              <w:ind w:left="360"/>
              <w:jc w:val="left"/>
              <w:textAlignment w:val="baseline"/>
              <w:rPr>
                <w:rFonts w:eastAsia="Times New Roman"/>
                <w:noProof/>
                <w:sz w:val="22"/>
                <w:lang w:val="en-IE" w:eastAsia="en-IE"/>
              </w:rPr>
            </w:pPr>
            <w:r w:rsidRPr="00D73E11">
              <w:rPr>
                <w:rFonts w:eastAsia="Times New Roman"/>
                <w:i/>
                <w:iCs/>
                <w:noProof/>
                <w:sz w:val="22"/>
                <w:lang w:eastAsia="en-IE"/>
              </w:rPr>
              <w:t>Ad hoc working groups;</w:t>
            </w:r>
            <w:r w:rsidRPr="00D73E11">
              <w:rPr>
                <w:rFonts w:eastAsia="Times New Roman"/>
                <w:noProof/>
                <w:sz w:val="22"/>
                <w:lang w:val="en-IE" w:eastAsia="en-IE"/>
              </w:rPr>
              <w:t> </w:t>
            </w:r>
          </w:p>
          <w:p w14:paraId="0BE6E5F8" w14:textId="77777777" w:rsidR="007476E9" w:rsidRPr="00D73E11" w:rsidRDefault="007476E9">
            <w:pPr>
              <w:spacing w:before="0" w:after="0"/>
              <w:ind w:left="360"/>
              <w:jc w:val="left"/>
              <w:textAlignment w:val="baseline"/>
              <w:rPr>
                <w:rFonts w:eastAsia="Times New Roman"/>
                <w:noProof/>
                <w:sz w:val="22"/>
                <w:lang w:val="en-IE" w:eastAsia="en-IE"/>
              </w:rPr>
            </w:pPr>
            <w:r w:rsidRPr="00D73E11">
              <w:rPr>
                <w:rFonts w:eastAsia="Times New Roman"/>
                <w:i/>
                <w:iCs/>
                <w:noProof/>
                <w:sz w:val="22"/>
                <w:lang w:eastAsia="en-IE"/>
              </w:rPr>
              <w:t>European Cybersecurity Certification Assembly;</w:t>
            </w:r>
            <w:r w:rsidRPr="00D73E11">
              <w:rPr>
                <w:rFonts w:eastAsia="Times New Roman"/>
                <w:noProof/>
                <w:sz w:val="22"/>
                <w:lang w:val="en-IE" w:eastAsia="en-IE"/>
              </w:rPr>
              <w:t> </w:t>
            </w:r>
          </w:p>
          <w:p w14:paraId="34111F6E" w14:textId="77777777" w:rsidR="007476E9" w:rsidRPr="00D73E11" w:rsidRDefault="007476E9">
            <w:pPr>
              <w:spacing w:before="0" w:after="0"/>
              <w:ind w:left="360"/>
              <w:jc w:val="left"/>
              <w:textAlignment w:val="baseline"/>
              <w:rPr>
                <w:rFonts w:eastAsia="Times New Roman"/>
                <w:noProof/>
                <w:sz w:val="22"/>
                <w:lang w:val="en-IE" w:eastAsia="en-IE"/>
              </w:rPr>
            </w:pPr>
            <w:r w:rsidRPr="00D73E11">
              <w:rPr>
                <w:rFonts w:eastAsia="Times New Roman"/>
                <w:i/>
                <w:iCs/>
                <w:noProof/>
                <w:sz w:val="22"/>
                <w:lang w:eastAsia="en-IE"/>
              </w:rPr>
              <w:t>Consultation of stakeholders when requesting, developing and adopting European cybersecurity certification schemes;</w:t>
            </w:r>
            <w:r w:rsidRPr="00D73E11">
              <w:rPr>
                <w:rFonts w:eastAsia="Times New Roman"/>
                <w:noProof/>
                <w:sz w:val="22"/>
                <w:lang w:val="en-IE" w:eastAsia="en-IE"/>
              </w:rPr>
              <w:t> </w:t>
            </w:r>
          </w:p>
          <w:p w14:paraId="0FEF8B9E" w14:textId="77777777" w:rsidR="007476E9" w:rsidRPr="00D73E11" w:rsidRDefault="007476E9">
            <w:pPr>
              <w:spacing w:before="0" w:after="0"/>
              <w:ind w:left="360"/>
              <w:jc w:val="left"/>
              <w:textAlignment w:val="baseline"/>
              <w:rPr>
                <w:rFonts w:eastAsia="Times New Roman"/>
                <w:noProof/>
                <w:sz w:val="22"/>
                <w:lang w:val="en-IE" w:eastAsia="en-IE"/>
              </w:rPr>
            </w:pPr>
            <w:r w:rsidRPr="00D73E11">
              <w:rPr>
                <w:rFonts w:eastAsia="Times New Roman"/>
                <w:i/>
                <w:iCs/>
                <w:noProof/>
                <w:sz w:val="22"/>
                <w:lang w:eastAsia="en-IE"/>
              </w:rPr>
              <w:t>Comitology procedures for envisaged implementing acts related to European cybersecurity certification schemes.</w:t>
            </w:r>
            <w:r w:rsidRPr="00D73E11">
              <w:rPr>
                <w:rFonts w:eastAsia="Times New Roman"/>
                <w:noProof/>
                <w:sz w:val="22"/>
                <w:lang w:val="en-IE" w:eastAsia="en-IE"/>
              </w:rPr>
              <w:t> </w:t>
            </w:r>
          </w:p>
        </w:tc>
        <w:tc>
          <w:tcPr>
            <w:tcW w:w="5880" w:type="dxa"/>
            <w:tcBorders>
              <w:top w:val="single" w:sz="6" w:space="0" w:color="auto"/>
              <w:left w:val="single" w:sz="6" w:space="0" w:color="auto"/>
              <w:bottom w:val="single" w:sz="6" w:space="0" w:color="auto"/>
              <w:right w:val="single" w:sz="6" w:space="0" w:color="auto"/>
            </w:tcBorders>
            <w:hideMark/>
          </w:tcPr>
          <w:p w14:paraId="73CBD8E7" w14:textId="77777777" w:rsidR="007476E9" w:rsidRPr="00D73E11" w:rsidRDefault="007476E9">
            <w:pPr>
              <w:spacing w:before="0" w:after="0"/>
              <w:ind w:left="360"/>
              <w:jc w:val="left"/>
              <w:textAlignment w:val="baseline"/>
              <w:rPr>
                <w:rFonts w:ascii="Segoe UI" w:eastAsia="Times New Roman" w:hAnsi="Segoe UI" w:cs="Segoe UI"/>
                <w:noProof/>
                <w:sz w:val="18"/>
                <w:szCs w:val="18"/>
                <w:lang w:val="en-IE" w:eastAsia="en-IE"/>
              </w:rPr>
            </w:pPr>
            <w:r w:rsidRPr="00D73E11">
              <w:rPr>
                <w:rFonts w:eastAsia="Times New Roman"/>
                <w:i/>
                <w:iCs/>
                <w:noProof/>
                <w:szCs w:val="24"/>
                <w:lang w:eastAsia="en-IE"/>
              </w:rPr>
              <w:t>The use of European cybersecurity certification shall be voluntary unless otherwise specified in European legislation.</w:t>
            </w:r>
            <w:r w:rsidRPr="00D73E11">
              <w:rPr>
                <w:rFonts w:eastAsia="Times New Roman"/>
                <w:noProof/>
                <w:szCs w:val="24"/>
                <w:lang w:val="en-IE" w:eastAsia="en-IE"/>
              </w:rPr>
              <w:t> </w:t>
            </w:r>
          </w:p>
        </w:tc>
      </w:tr>
      <w:tr w:rsidR="007476E9" w:rsidRPr="00D73E11" w14:paraId="43653E54" w14:textId="77777777">
        <w:tc>
          <w:tcPr>
            <w:tcW w:w="3960" w:type="dxa"/>
            <w:tcBorders>
              <w:top w:val="single" w:sz="6" w:space="0" w:color="auto"/>
              <w:left w:val="single" w:sz="6" w:space="0" w:color="auto"/>
              <w:bottom w:val="single" w:sz="6" w:space="0" w:color="auto"/>
              <w:right w:val="single" w:sz="6" w:space="0" w:color="auto"/>
            </w:tcBorders>
            <w:hideMark/>
          </w:tcPr>
          <w:p w14:paraId="1DBB3BFF" w14:textId="77777777" w:rsidR="007476E9" w:rsidRPr="00D73E11" w:rsidRDefault="007476E9">
            <w:pPr>
              <w:spacing w:before="0" w:after="0"/>
              <w:ind w:left="360"/>
              <w:jc w:val="left"/>
              <w:textAlignment w:val="baseline"/>
              <w:rPr>
                <w:rFonts w:ascii="Segoe UI" w:eastAsia="Times New Roman" w:hAnsi="Segoe UI" w:cs="Segoe UI"/>
                <w:noProof/>
                <w:sz w:val="18"/>
                <w:szCs w:val="18"/>
                <w:lang w:val="en-IE" w:eastAsia="en-IE"/>
              </w:rPr>
            </w:pPr>
            <w:r w:rsidRPr="00D73E11">
              <w:rPr>
                <w:rFonts w:eastAsia="Times New Roman"/>
                <w:b/>
                <w:bCs/>
                <w:noProof/>
                <w:sz w:val="22"/>
                <w:lang w:eastAsia="en-IE"/>
              </w:rPr>
              <w:t>Assess the measures taken to ensure a shared understanding of the data</w:t>
            </w:r>
            <w:r w:rsidRPr="00D73E11">
              <w:rPr>
                <w:rFonts w:eastAsia="Times New Roman"/>
                <w:noProof/>
                <w:sz w:val="22"/>
                <w:lang w:val="en-IE" w:eastAsia="en-IE"/>
              </w:rPr>
              <w:t> </w:t>
            </w:r>
          </w:p>
          <w:p w14:paraId="32F95811" w14:textId="77777777" w:rsidR="007476E9" w:rsidRPr="00D73E11" w:rsidRDefault="007476E9">
            <w:pPr>
              <w:spacing w:before="0" w:after="0"/>
              <w:ind w:left="360"/>
              <w:jc w:val="left"/>
              <w:textAlignment w:val="baseline"/>
              <w:rPr>
                <w:rFonts w:ascii="Segoe UI" w:eastAsia="Times New Roman" w:hAnsi="Segoe UI" w:cs="Segoe UI"/>
                <w:noProof/>
                <w:sz w:val="18"/>
                <w:szCs w:val="18"/>
                <w:lang w:val="en-IE" w:eastAsia="en-IE"/>
              </w:rPr>
            </w:pPr>
            <w:r w:rsidRPr="00D73E11">
              <w:rPr>
                <w:rFonts w:eastAsia="Times New Roman"/>
                <w:b/>
                <w:bCs/>
                <w:noProof/>
                <w:sz w:val="22"/>
                <w:lang w:eastAsia="en-IE"/>
              </w:rPr>
              <w:t>Please list such measures</w:t>
            </w:r>
            <w:r w:rsidRPr="00D73E11">
              <w:rPr>
                <w:rFonts w:eastAsia="Times New Roman"/>
                <w:noProof/>
                <w:sz w:val="22"/>
                <w:lang w:val="en-IE" w:eastAsia="en-IE"/>
              </w:rPr>
              <w:t> </w:t>
            </w:r>
          </w:p>
        </w:tc>
        <w:tc>
          <w:tcPr>
            <w:tcW w:w="4620" w:type="dxa"/>
            <w:tcBorders>
              <w:top w:val="single" w:sz="6" w:space="0" w:color="auto"/>
              <w:left w:val="single" w:sz="6" w:space="0" w:color="auto"/>
              <w:bottom w:val="single" w:sz="6" w:space="0" w:color="auto"/>
              <w:right w:val="single" w:sz="6" w:space="0" w:color="auto"/>
            </w:tcBorders>
            <w:hideMark/>
          </w:tcPr>
          <w:p w14:paraId="22B44105" w14:textId="77777777" w:rsidR="007476E9" w:rsidRPr="00D73E11" w:rsidRDefault="007476E9">
            <w:pPr>
              <w:spacing w:before="0" w:after="0"/>
              <w:ind w:left="360"/>
              <w:jc w:val="left"/>
              <w:textAlignment w:val="baseline"/>
              <w:rPr>
                <w:rFonts w:ascii="Segoe UI" w:eastAsia="Times New Roman" w:hAnsi="Segoe UI" w:cs="Segoe UI"/>
                <w:noProof/>
                <w:sz w:val="18"/>
                <w:szCs w:val="18"/>
                <w:lang w:val="en-IE" w:eastAsia="en-IE"/>
              </w:rPr>
            </w:pPr>
            <w:r w:rsidRPr="00D73E11">
              <w:rPr>
                <w:rFonts w:eastAsia="Times New Roman"/>
                <w:i/>
                <w:iCs/>
                <w:noProof/>
                <w:sz w:val="22"/>
                <w:lang w:eastAsia="en-IE"/>
              </w:rPr>
              <w:t>Implementing acts listed section 4.5.</w:t>
            </w:r>
            <w:r w:rsidRPr="00D73E11">
              <w:rPr>
                <w:rFonts w:eastAsia="Times New Roman"/>
                <w:noProof/>
                <w:sz w:val="22"/>
                <w:lang w:val="en-IE" w:eastAsia="en-IE"/>
              </w:rPr>
              <w:t> </w:t>
            </w:r>
          </w:p>
        </w:tc>
        <w:tc>
          <w:tcPr>
            <w:tcW w:w="5880" w:type="dxa"/>
            <w:tcBorders>
              <w:top w:val="single" w:sz="6" w:space="0" w:color="auto"/>
              <w:left w:val="single" w:sz="6" w:space="0" w:color="auto"/>
              <w:bottom w:val="single" w:sz="6" w:space="0" w:color="auto"/>
              <w:right w:val="single" w:sz="6" w:space="0" w:color="auto"/>
            </w:tcBorders>
            <w:hideMark/>
          </w:tcPr>
          <w:p w14:paraId="782F232C" w14:textId="77777777" w:rsidR="007476E9" w:rsidRPr="00D73E11" w:rsidRDefault="007476E9">
            <w:pPr>
              <w:spacing w:before="0" w:after="0"/>
              <w:ind w:left="360"/>
              <w:jc w:val="left"/>
              <w:textAlignment w:val="baseline"/>
              <w:rPr>
                <w:rFonts w:ascii="Segoe UI" w:eastAsia="Times New Roman" w:hAnsi="Segoe UI" w:cs="Segoe UI"/>
                <w:noProof/>
                <w:sz w:val="18"/>
                <w:szCs w:val="18"/>
                <w:lang w:val="en-IE" w:eastAsia="en-IE"/>
              </w:rPr>
            </w:pPr>
            <w:r w:rsidRPr="00D73E11">
              <w:rPr>
                <w:rFonts w:eastAsia="Times New Roman"/>
                <w:i/>
                <w:iCs/>
                <w:noProof/>
                <w:szCs w:val="24"/>
                <w:lang w:eastAsia="en-IE"/>
              </w:rPr>
              <w:t>The use of European cybersecurity certification shall be voluntary unless otherwise specified in European legislation.</w:t>
            </w:r>
            <w:r w:rsidRPr="00D73E11">
              <w:rPr>
                <w:rFonts w:eastAsia="Times New Roman"/>
                <w:noProof/>
                <w:szCs w:val="24"/>
                <w:lang w:val="en-IE" w:eastAsia="en-IE"/>
              </w:rPr>
              <w:t> </w:t>
            </w:r>
          </w:p>
        </w:tc>
      </w:tr>
      <w:tr w:rsidR="007476E9" w:rsidRPr="00D73E11" w14:paraId="6A1200F4" w14:textId="77777777">
        <w:tc>
          <w:tcPr>
            <w:tcW w:w="3960" w:type="dxa"/>
            <w:tcBorders>
              <w:top w:val="single" w:sz="6" w:space="0" w:color="auto"/>
              <w:left w:val="single" w:sz="6" w:space="0" w:color="auto"/>
              <w:bottom w:val="single" w:sz="6" w:space="0" w:color="auto"/>
              <w:right w:val="single" w:sz="6" w:space="0" w:color="auto"/>
            </w:tcBorders>
            <w:hideMark/>
          </w:tcPr>
          <w:p w14:paraId="1E14F35C" w14:textId="77777777" w:rsidR="007476E9" w:rsidRPr="00D73E11" w:rsidRDefault="007476E9">
            <w:pPr>
              <w:spacing w:before="0" w:after="0"/>
              <w:ind w:left="360"/>
              <w:jc w:val="left"/>
              <w:textAlignment w:val="baseline"/>
              <w:rPr>
                <w:rFonts w:ascii="Segoe UI" w:eastAsia="Times New Roman" w:hAnsi="Segoe UI" w:cs="Segoe UI"/>
                <w:noProof/>
                <w:sz w:val="18"/>
                <w:szCs w:val="18"/>
                <w:lang w:val="en-IE" w:eastAsia="en-IE"/>
              </w:rPr>
            </w:pPr>
            <w:r w:rsidRPr="00D73E11">
              <w:rPr>
                <w:rFonts w:eastAsia="Times New Roman"/>
                <w:b/>
                <w:bCs/>
                <w:noProof/>
                <w:sz w:val="22"/>
                <w:lang w:eastAsia="en-IE"/>
              </w:rPr>
              <w:t>Assess the use of commonly agreed open technical specifications and standards</w:t>
            </w:r>
            <w:r w:rsidRPr="00D73E11">
              <w:rPr>
                <w:rFonts w:eastAsia="Times New Roman"/>
                <w:noProof/>
                <w:sz w:val="22"/>
                <w:lang w:val="en-IE" w:eastAsia="en-IE"/>
              </w:rPr>
              <w:t> </w:t>
            </w:r>
          </w:p>
          <w:p w14:paraId="24C8D7E8" w14:textId="77777777" w:rsidR="007476E9" w:rsidRPr="00D73E11" w:rsidRDefault="007476E9">
            <w:pPr>
              <w:spacing w:before="0" w:after="0"/>
              <w:ind w:left="360"/>
              <w:jc w:val="left"/>
              <w:textAlignment w:val="baseline"/>
              <w:rPr>
                <w:rFonts w:ascii="Segoe UI" w:eastAsia="Times New Roman" w:hAnsi="Segoe UI" w:cs="Segoe UI"/>
                <w:noProof/>
                <w:sz w:val="18"/>
                <w:szCs w:val="18"/>
                <w:lang w:val="en-IE" w:eastAsia="en-IE"/>
              </w:rPr>
            </w:pPr>
            <w:r w:rsidRPr="00D73E11">
              <w:rPr>
                <w:rFonts w:eastAsia="Times New Roman"/>
                <w:b/>
                <w:bCs/>
                <w:noProof/>
                <w:sz w:val="22"/>
                <w:lang w:eastAsia="en-IE"/>
              </w:rPr>
              <w:t>Please list such measures</w:t>
            </w:r>
            <w:r w:rsidRPr="00D73E11">
              <w:rPr>
                <w:rFonts w:eastAsia="Times New Roman"/>
                <w:noProof/>
                <w:sz w:val="22"/>
                <w:lang w:val="en-IE" w:eastAsia="en-IE"/>
              </w:rPr>
              <w:t> </w:t>
            </w:r>
          </w:p>
        </w:tc>
        <w:tc>
          <w:tcPr>
            <w:tcW w:w="4620" w:type="dxa"/>
            <w:tcBorders>
              <w:top w:val="single" w:sz="6" w:space="0" w:color="auto"/>
              <w:left w:val="single" w:sz="6" w:space="0" w:color="auto"/>
              <w:bottom w:val="single" w:sz="6" w:space="0" w:color="auto"/>
              <w:right w:val="single" w:sz="6" w:space="0" w:color="auto"/>
            </w:tcBorders>
            <w:hideMark/>
          </w:tcPr>
          <w:p w14:paraId="480F9DB2" w14:textId="77777777" w:rsidR="007476E9" w:rsidRPr="00D73E11" w:rsidRDefault="007476E9">
            <w:pPr>
              <w:spacing w:before="0" w:after="0"/>
              <w:ind w:left="360"/>
              <w:jc w:val="left"/>
              <w:textAlignment w:val="baseline"/>
              <w:rPr>
                <w:rFonts w:ascii="Segoe UI" w:eastAsia="Times New Roman" w:hAnsi="Segoe UI" w:cs="Segoe UI"/>
                <w:noProof/>
                <w:sz w:val="18"/>
                <w:szCs w:val="18"/>
                <w:lang w:val="en-IE" w:eastAsia="en-IE"/>
              </w:rPr>
            </w:pPr>
            <w:r w:rsidRPr="00D73E11">
              <w:rPr>
                <w:rFonts w:eastAsia="Times New Roman"/>
                <w:i/>
                <w:iCs/>
                <w:noProof/>
                <w:sz w:val="22"/>
                <w:lang w:eastAsia="en-IE"/>
              </w:rPr>
              <w:t>Implementing acts listed section 4.5.</w:t>
            </w:r>
            <w:r w:rsidRPr="00D73E11">
              <w:rPr>
                <w:rFonts w:eastAsia="Times New Roman"/>
                <w:noProof/>
                <w:sz w:val="22"/>
                <w:lang w:val="en-IE" w:eastAsia="en-IE"/>
              </w:rPr>
              <w:t> </w:t>
            </w:r>
          </w:p>
          <w:p w14:paraId="1A219B45" w14:textId="77777777" w:rsidR="007476E9" w:rsidRPr="00D73E11" w:rsidRDefault="007476E9">
            <w:pPr>
              <w:spacing w:before="0" w:after="0"/>
              <w:ind w:left="360"/>
              <w:jc w:val="left"/>
              <w:textAlignment w:val="baseline"/>
              <w:rPr>
                <w:rFonts w:ascii="Segoe UI" w:eastAsia="Times New Roman" w:hAnsi="Segoe UI" w:cs="Segoe UI"/>
                <w:noProof/>
                <w:sz w:val="18"/>
                <w:szCs w:val="18"/>
                <w:lang w:val="en-IE" w:eastAsia="en-IE"/>
              </w:rPr>
            </w:pPr>
            <w:r w:rsidRPr="00D73E11">
              <w:rPr>
                <w:rFonts w:eastAsia="Times New Roman"/>
                <w:i/>
                <w:iCs/>
                <w:noProof/>
                <w:sz w:val="22"/>
                <w:lang w:eastAsia="en-IE"/>
              </w:rPr>
              <w:t>The specified requirements of the European cybersecurity certification scheme shall be consistent requirements of Union legislation.</w:t>
            </w:r>
            <w:r w:rsidRPr="00D73E11">
              <w:rPr>
                <w:rFonts w:eastAsia="Times New Roman"/>
                <w:noProof/>
                <w:sz w:val="22"/>
                <w:lang w:val="en-IE" w:eastAsia="en-IE"/>
              </w:rPr>
              <w:t> </w:t>
            </w:r>
          </w:p>
          <w:p w14:paraId="164E653C" w14:textId="77777777" w:rsidR="007476E9" w:rsidRPr="00D73E11" w:rsidRDefault="007476E9">
            <w:pPr>
              <w:spacing w:before="0" w:after="0"/>
              <w:ind w:left="360"/>
              <w:jc w:val="left"/>
              <w:textAlignment w:val="baseline"/>
              <w:rPr>
                <w:rFonts w:ascii="Segoe UI" w:eastAsia="Times New Roman" w:hAnsi="Segoe UI" w:cs="Segoe UI"/>
                <w:noProof/>
                <w:sz w:val="18"/>
                <w:szCs w:val="18"/>
                <w:lang w:val="en-IE" w:eastAsia="en-IE"/>
              </w:rPr>
            </w:pPr>
            <w:r w:rsidRPr="00D73E11">
              <w:rPr>
                <w:rFonts w:eastAsia="Times New Roman"/>
                <w:i/>
                <w:iCs/>
                <w:noProof/>
                <w:sz w:val="22"/>
                <w:lang w:eastAsia="en-IE"/>
              </w:rPr>
              <w:t>European cybersecurity certification schemes shall leverage and reference the international, European or national standards applied in the evaluation or, where such standards are not available or appropriate, to technical specifications drawn by ENISA.</w:t>
            </w:r>
            <w:r w:rsidRPr="00D73E11">
              <w:rPr>
                <w:rFonts w:eastAsia="Times New Roman"/>
                <w:noProof/>
                <w:sz w:val="22"/>
                <w:lang w:val="en-IE" w:eastAsia="en-IE"/>
              </w:rPr>
              <w:t> </w:t>
            </w:r>
          </w:p>
        </w:tc>
        <w:tc>
          <w:tcPr>
            <w:tcW w:w="5880" w:type="dxa"/>
            <w:tcBorders>
              <w:top w:val="single" w:sz="6" w:space="0" w:color="auto"/>
              <w:left w:val="single" w:sz="6" w:space="0" w:color="auto"/>
              <w:bottom w:val="single" w:sz="6" w:space="0" w:color="auto"/>
              <w:right w:val="single" w:sz="6" w:space="0" w:color="auto"/>
            </w:tcBorders>
            <w:hideMark/>
          </w:tcPr>
          <w:p w14:paraId="588E66FE" w14:textId="77777777" w:rsidR="007476E9" w:rsidRPr="00D73E11" w:rsidRDefault="007476E9">
            <w:pPr>
              <w:spacing w:before="0" w:after="0"/>
              <w:ind w:left="360"/>
              <w:jc w:val="left"/>
              <w:textAlignment w:val="baseline"/>
              <w:rPr>
                <w:rFonts w:ascii="Segoe UI" w:eastAsia="Times New Roman" w:hAnsi="Segoe UI" w:cs="Segoe UI"/>
                <w:noProof/>
                <w:sz w:val="18"/>
                <w:szCs w:val="18"/>
                <w:lang w:val="en-IE" w:eastAsia="en-IE"/>
              </w:rPr>
            </w:pPr>
            <w:r w:rsidRPr="00D73E11">
              <w:rPr>
                <w:rFonts w:eastAsia="Times New Roman"/>
                <w:i/>
                <w:iCs/>
                <w:noProof/>
                <w:sz w:val="22"/>
                <w:lang w:eastAsia="en-IE"/>
              </w:rPr>
              <w:t>N/A</w:t>
            </w:r>
            <w:r w:rsidRPr="00D73E11">
              <w:rPr>
                <w:rFonts w:eastAsia="Times New Roman"/>
                <w:noProof/>
                <w:sz w:val="22"/>
                <w:lang w:val="en-IE" w:eastAsia="en-IE"/>
              </w:rPr>
              <w:t> </w:t>
            </w:r>
          </w:p>
        </w:tc>
      </w:tr>
    </w:tbl>
    <w:p w14:paraId="4FBB72F2" w14:textId="77777777" w:rsidR="007476E9" w:rsidRDefault="007476E9" w:rsidP="007476E9">
      <w:pPr>
        <w:pStyle w:val="Text1"/>
        <w:ind w:left="0"/>
        <w:rPr>
          <w:noProof/>
        </w:rPr>
      </w:pPr>
    </w:p>
    <w:p w14:paraId="653593BD" w14:textId="77777777" w:rsidR="007476E9" w:rsidRDefault="007476E9" w:rsidP="007476E9">
      <w:pPr>
        <w:pStyle w:val="Text1"/>
        <w:ind w:left="0"/>
        <w:rPr>
          <w:rStyle w:val="eop"/>
          <w:noProof/>
          <w:color w:val="000000"/>
          <w:shd w:val="clear" w:color="auto" w:fill="FFFFFF"/>
        </w:rPr>
      </w:pPr>
      <w:r>
        <w:rPr>
          <w:rStyle w:val="normaltextrun"/>
          <w:b/>
          <w:bCs/>
          <w:noProof/>
          <w:color w:val="000000"/>
          <w:shd w:val="clear" w:color="auto" w:fill="FFFFFF"/>
        </w:rPr>
        <w:t>Publicly accessible websites</w:t>
      </w:r>
      <w:r>
        <w:rPr>
          <w:rStyle w:val="eop"/>
          <w:noProof/>
          <w:color w:val="000000"/>
          <w:shd w:val="clear" w:color="auto" w:fill="FFFFFF"/>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60"/>
        <w:gridCol w:w="4620"/>
        <w:gridCol w:w="5880"/>
      </w:tblGrid>
      <w:tr w:rsidR="007476E9" w:rsidRPr="00D73E11" w14:paraId="5FCD654D" w14:textId="77777777">
        <w:tc>
          <w:tcPr>
            <w:tcW w:w="3960" w:type="dxa"/>
            <w:tcBorders>
              <w:top w:val="single" w:sz="6" w:space="0" w:color="auto"/>
              <w:left w:val="single" w:sz="6" w:space="0" w:color="auto"/>
              <w:bottom w:val="single" w:sz="6" w:space="0" w:color="auto"/>
              <w:right w:val="single" w:sz="6" w:space="0" w:color="auto"/>
            </w:tcBorders>
            <w:hideMark/>
          </w:tcPr>
          <w:p w14:paraId="5371B418" w14:textId="77777777" w:rsidR="007476E9" w:rsidRPr="00D73E11" w:rsidRDefault="007476E9">
            <w:pPr>
              <w:spacing w:before="0" w:after="0"/>
              <w:ind w:left="360"/>
              <w:jc w:val="left"/>
              <w:textAlignment w:val="baseline"/>
              <w:rPr>
                <w:rFonts w:ascii="Segoe UI" w:eastAsia="Times New Roman" w:hAnsi="Segoe UI" w:cs="Segoe UI"/>
                <w:noProof/>
                <w:sz w:val="18"/>
                <w:szCs w:val="18"/>
                <w:lang w:val="en-IE" w:eastAsia="en-IE"/>
              </w:rPr>
            </w:pPr>
            <w:r w:rsidRPr="00D73E11">
              <w:rPr>
                <w:rFonts w:eastAsia="Times New Roman"/>
                <w:b/>
                <w:bCs/>
                <w:noProof/>
                <w:sz w:val="22"/>
                <w:lang w:eastAsia="en-IE"/>
              </w:rPr>
              <w:t>Assessment</w:t>
            </w:r>
            <w:r w:rsidRPr="00D73E11">
              <w:rPr>
                <w:rFonts w:eastAsia="Times New Roman"/>
                <w:noProof/>
                <w:sz w:val="22"/>
                <w:lang w:val="en-IE" w:eastAsia="en-IE"/>
              </w:rPr>
              <w:t> </w:t>
            </w:r>
          </w:p>
        </w:tc>
        <w:tc>
          <w:tcPr>
            <w:tcW w:w="4620" w:type="dxa"/>
            <w:tcBorders>
              <w:top w:val="single" w:sz="6" w:space="0" w:color="auto"/>
              <w:left w:val="single" w:sz="6" w:space="0" w:color="auto"/>
              <w:bottom w:val="single" w:sz="6" w:space="0" w:color="auto"/>
              <w:right w:val="single" w:sz="6" w:space="0" w:color="auto"/>
            </w:tcBorders>
            <w:hideMark/>
          </w:tcPr>
          <w:p w14:paraId="4C16CEEA" w14:textId="77777777" w:rsidR="007476E9" w:rsidRPr="00D73E11" w:rsidRDefault="007476E9">
            <w:pPr>
              <w:spacing w:before="0" w:after="0"/>
              <w:ind w:left="360"/>
              <w:jc w:val="left"/>
              <w:textAlignment w:val="baseline"/>
              <w:rPr>
                <w:rFonts w:ascii="Segoe UI" w:eastAsia="Times New Roman" w:hAnsi="Segoe UI" w:cs="Segoe UI"/>
                <w:noProof/>
                <w:sz w:val="18"/>
                <w:szCs w:val="18"/>
                <w:lang w:val="en-IE" w:eastAsia="en-IE"/>
              </w:rPr>
            </w:pPr>
            <w:r w:rsidRPr="00D73E11">
              <w:rPr>
                <w:rFonts w:eastAsia="Times New Roman"/>
                <w:b/>
                <w:bCs/>
                <w:noProof/>
                <w:sz w:val="22"/>
                <w:lang w:eastAsia="en-IE"/>
              </w:rPr>
              <w:t>Measures</w:t>
            </w:r>
            <w:r w:rsidRPr="00D73E11">
              <w:rPr>
                <w:rFonts w:eastAsia="Times New Roman"/>
                <w:noProof/>
                <w:sz w:val="22"/>
                <w:lang w:val="en-IE" w:eastAsia="en-IE"/>
              </w:rPr>
              <w:t> </w:t>
            </w:r>
          </w:p>
        </w:tc>
        <w:tc>
          <w:tcPr>
            <w:tcW w:w="5880" w:type="dxa"/>
            <w:tcBorders>
              <w:top w:val="single" w:sz="6" w:space="0" w:color="auto"/>
              <w:left w:val="single" w:sz="6" w:space="0" w:color="auto"/>
              <w:bottom w:val="single" w:sz="6" w:space="0" w:color="auto"/>
              <w:right w:val="single" w:sz="6" w:space="0" w:color="auto"/>
            </w:tcBorders>
            <w:hideMark/>
          </w:tcPr>
          <w:p w14:paraId="220CCAD0" w14:textId="77777777" w:rsidR="007476E9" w:rsidRPr="00D73E11" w:rsidRDefault="007476E9">
            <w:pPr>
              <w:spacing w:before="0" w:after="0"/>
              <w:ind w:left="360"/>
              <w:jc w:val="left"/>
              <w:textAlignment w:val="baseline"/>
              <w:rPr>
                <w:rFonts w:ascii="Segoe UI" w:eastAsia="Times New Roman" w:hAnsi="Segoe UI" w:cs="Segoe UI"/>
                <w:noProof/>
                <w:sz w:val="18"/>
                <w:szCs w:val="18"/>
                <w:lang w:val="en-IE" w:eastAsia="en-IE"/>
              </w:rPr>
            </w:pPr>
            <w:r w:rsidRPr="00D73E11">
              <w:rPr>
                <w:rFonts w:eastAsia="Times New Roman"/>
                <w:b/>
                <w:bCs/>
                <w:noProof/>
                <w:sz w:val="22"/>
                <w:lang w:eastAsia="en-IE"/>
              </w:rPr>
              <w:t>Potential remaining barriers</w:t>
            </w:r>
            <w:r w:rsidRPr="00D73E11">
              <w:rPr>
                <w:rFonts w:eastAsia="Times New Roman"/>
                <w:noProof/>
                <w:sz w:val="22"/>
                <w:lang w:val="en-IE" w:eastAsia="en-IE"/>
              </w:rPr>
              <w:t> </w:t>
            </w:r>
          </w:p>
        </w:tc>
      </w:tr>
      <w:tr w:rsidR="007476E9" w:rsidRPr="00D73E11" w14:paraId="157B8803" w14:textId="77777777">
        <w:tc>
          <w:tcPr>
            <w:tcW w:w="3960" w:type="dxa"/>
            <w:tcBorders>
              <w:top w:val="single" w:sz="6" w:space="0" w:color="auto"/>
              <w:left w:val="single" w:sz="6" w:space="0" w:color="auto"/>
              <w:bottom w:val="single" w:sz="6" w:space="0" w:color="auto"/>
              <w:right w:val="single" w:sz="6" w:space="0" w:color="auto"/>
            </w:tcBorders>
            <w:hideMark/>
          </w:tcPr>
          <w:p w14:paraId="65B42FB5" w14:textId="77777777" w:rsidR="007476E9" w:rsidRPr="00D73E11" w:rsidRDefault="007476E9">
            <w:pPr>
              <w:spacing w:before="0" w:after="0"/>
              <w:ind w:left="360"/>
              <w:jc w:val="left"/>
              <w:textAlignment w:val="baseline"/>
              <w:rPr>
                <w:rFonts w:ascii="Segoe UI" w:eastAsia="Times New Roman" w:hAnsi="Segoe UI" w:cs="Segoe UI"/>
                <w:noProof/>
                <w:sz w:val="18"/>
                <w:szCs w:val="18"/>
                <w:lang w:val="en-IE" w:eastAsia="en-IE"/>
              </w:rPr>
            </w:pPr>
            <w:r w:rsidRPr="00D73E11">
              <w:rPr>
                <w:rFonts w:eastAsia="Times New Roman"/>
                <w:b/>
                <w:bCs/>
                <w:noProof/>
                <w:sz w:val="22"/>
                <w:lang w:eastAsia="en-IE"/>
              </w:rPr>
              <w:t>Assess the alignment with existing digital and sectorial policies </w:t>
            </w:r>
            <w:r w:rsidRPr="00D73E11">
              <w:rPr>
                <w:rFonts w:eastAsia="Times New Roman"/>
                <w:noProof/>
                <w:sz w:val="22"/>
                <w:lang w:val="en-IE" w:eastAsia="en-IE"/>
              </w:rPr>
              <w:t> </w:t>
            </w:r>
          </w:p>
          <w:p w14:paraId="4C9732CE" w14:textId="77777777" w:rsidR="007476E9" w:rsidRPr="00D73E11" w:rsidRDefault="007476E9">
            <w:pPr>
              <w:spacing w:before="0" w:after="0"/>
              <w:ind w:left="360"/>
              <w:jc w:val="left"/>
              <w:textAlignment w:val="baseline"/>
              <w:rPr>
                <w:rFonts w:ascii="Segoe UI" w:eastAsia="Times New Roman" w:hAnsi="Segoe UI" w:cs="Segoe UI"/>
                <w:noProof/>
                <w:sz w:val="18"/>
                <w:szCs w:val="18"/>
                <w:lang w:val="en-IE" w:eastAsia="en-IE"/>
              </w:rPr>
            </w:pPr>
            <w:r w:rsidRPr="00D73E11">
              <w:rPr>
                <w:rFonts w:eastAsia="Times New Roman"/>
                <w:b/>
                <w:bCs/>
                <w:noProof/>
                <w:sz w:val="22"/>
                <w:lang w:eastAsia="en-IE"/>
              </w:rPr>
              <w:t>Please list the applicable digital and sectorial policies identified</w:t>
            </w:r>
            <w:r w:rsidRPr="00D73E11">
              <w:rPr>
                <w:rFonts w:eastAsia="Times New Roman"/>
                <w:noProof/>
                <w:sz w:val="22"/>
                <w:lang w:val="en-IE" w:eastAsia="en-IE"/>
              </w:rPr>
              <w:t> </w:t>
            </w:r>
          </w:p>
        </w:tc>
        <w:tc>
          <w:tcPr>
            <w:tcW w:w="4620" w:type="dxa"/>
            <w:tcBorders>
              <w:top w:val="single" w:sz="6" w:space="0" w:color="auto"/>
              <w:left w:val="single" w:sz="6" w:space="0" w:color="auto"/>
              <w:bottom w:val="single" w:sz="6" w:space="0" w:color="auto"/>
              <w:right w:val="single" w:sz="6" w:space="0" w:color="auto"/>
            </w:tcBorders>
            <w:hideMark/>
          </w:tcPr>
          <w:p w14:paraId="5F84F2EF" w14:textId="77777777" w:rsidR="007476E9" w:rsidRPr="00D73E11" w:rsidRDefault="007476E9">
            <w:pPr>
              <w:spacing w:before="0" w:after="0"/>
              <w:ind w:left="360"/>
              <w:jc w:val="left"/>
              <w:textAlignment w:val="baseline"/>
              <w:rPr>
                <w:rFonts w:eastAsia="Times New Roman"/>
                <w:noProof/>
                <w:sz w:val="22"/>
                <w:lang w:val="en-IE" w:eastAsia="en-IE"/>
              </w:rPr>
            </w:pPr>
            <w:r w:rsidRPr="00D73E11">
              <w:rPr>
                <w:rFonts w:eastAsia="Times New Roman"/>
                <w:i/>
                <w:iCs/>
                <w:noProof/>
                <w:sz w:val="22"/>
                <w:lang w:eastAsia="en-IE"/>
              </w:rPr>
              <w:t>EU Accessibility Act and Web Accessibility Directive</w:t>
            </w:r>
            <w:r w:rsidRPr="00D73E11">
              <w:rPr>
                <w:rFonts w:eastAsia="Times New Roman"/>
                <w:noProof/>
                <w:sz w:val="22"/>
                <w:lang w:val="en-IE" w:eastAsia="en-IE"/>
              </w:rPr>
              <w:t> </w:t>
            </w:r>
          </w:p>
          <w:p w14:paraId="0A689C76" w14:textId="77777777" w:rsidR="007476E9" w:rsidRPr="00D73E11" w:rsidRDefault="007476E9">
            <w:pPr>
              <w:spacing w:before="0" w:after="0"/>
              <w:ind w:left="360"/>
              <w:jc w:val="left"/>
              <w:textAlignment w:val="baseline"/>
              <w:rPr>
                <w:rFonts w:eastAsia="Times New Roman"/>
                <w:noProof/>
                <w:sz w:val="22"/>
                <w:lang w:val="en-IE" w:eastAsia="en-IE"/>
              </w:rPr>
            </w:pPr>
            <w:r w:rsidRPr="00D73E11">
              <w:rPr>
                <w:rFonts w:eastAsia="Times New Roman"/>
                <w:i/>
                <w:iCs/>
                <w:noProof/>
                <w:sz w:val="22"/>
                <w:lang w:eastAsia="en-IE"/>
              </w:rPr>
              <w:t>Cybersecurity</w:t>
            </w:r>
            <w:r w:rsidRPr="00D73E11">
              <w:rPr>
                <w:rFonts w:eastAsia="Times New Roman"/>
                <w:noProof/>
                <w:sz w:val="22"/>
                <w:lang w:val="en-IE" w:eastAsia="en-IE"/>
              </w:rPr>
              <w:t> </w:t>
            </w:r>
          </w:p>
          <w:p w14:paraId="6A4701FA" w14:textId="77777777" w:rsidR="007476E9" w:rsidRPr="00D73E11" w:rsidRDefault="007476E9">
            <w:pPr>
              <w:spacing w:before="0" w:after="0"/>
              <w:ind w:left="360"/>
              <w:jc w:val="left"/>
              <w:textAlignment w:val="baseline"/>
              <w:rPr>
                <w:rFonts w:eastAsia="Times New Roman"/>
                <w:noProof/>
                <w:sz w:val="22"/>
                <w:lang w:val="en-IE" w:eastAsia="en-IE"/>
              </w:rPr>
            </w:pPr>
            <w:r w:rsidRPr="00D73E11">
              <w:rPr>
                <w:rFonts w:eastAsia="Times New Roman"/>
                <w:noProof/>
                <w:sz w:val="22"/>
                <w:lang w:val="en-IE" w:eastAsia="en-IE"/>
              </w:rPr>
              <w:t> </w:t>
            </w:r>
          </w:p>
        </w:tc>
        <w:tc>
          <w:tcPr>
            <w:tcW w:w="5880" w:type="dxa"/>
            <w:tcBorders>
              <w:top w:val="single" w:sz="6" w:space="0" w:color="auto"/>
              <w:left w:val="single" w:sz="6" w:space="0" w:color="auto"/>
              <w:bottom w:val="single" w:sz="6" w:space="0" w:color="auto"/>
              <w:right w:val="single" w:sz="6" w:space="0" w:color="auto"/>
            </w:tcBorders>
            <w:hideMark/>
          </w:tcPr>
          <w:p w14:paraId="4123CCFB" w14:textId="77777777" w:rsidR="007476E9" w:rsidRPr="00D73E11" w:rsidRDefault="007476E9">
            <w:pPr>
              <w:spacing w:before="0" w:after="0"/>
              <w:ind w:left="360"/>
              <w:jc w:val="left"/>
              <w:textAlignment w:val="baseline"/>
              <w:rPr>
                <w:rFonts w:eastAsia="Times New Roman"/>
                <w:noProof/>
                <w:sz w:val="22"/>
                <w:lang w:val="en-IE" w:eastAsia="en-IE"/>
              </w:rPr>
            </w:pPr>
            <w:r w:rsidRPr="00D73E11">
              <w:rPr>
                <w:rFonts w:eastAsia="Times New Roman"/>
                <w:i/>
                <w:iCs/>
                <w:noProof/>
                <w:sz w:val="22"/>
                <w:lang w:eastAsia="en-IE"/>
              </w:rPr>
              <w:t>No known barriers </w:t>
            </w:r>
            <w:r w:rsidRPr="00D73E11">
              <w:rPr>
                <w:rFonts w:eastAsia="Times New Roman"/>
                <w:noProof/>
                <w:sz w:val="22"/>
                <w:lang w:val="en-IE" w:eastAsia="en-IE"/>
              </w:rPr>
              <w:t> </w:t>
            </w:r>
          </w:p>
        </w:tc>
      </w:tr>
      <w:tr w:rsidR="007476E9" w:rsidRPr="00D73E11" w14:paraId="21BE1B68" w14:textId="77777777">
        <w:tc>
          <w:tcPr>
            <w:tcW w:w="3960" w:type="dxa"/>
            <w:tcBorders>
              <w:top w:val="single" w:sz="6" w:space="0" w:color="auto"/>
              <w:left w:val="single" w:sz="6" w:space="0" w:color="auto"/>
              <w:bottom w:val="single" w:sz="6" w:space="0" w:color="auto"/>
              <w:right w:val="single" w:sz="6" w:space="0" w:color="auto"/>
            </w:tcBorders>
            <w:hideMark/>
          </w:tcPr>
          <w:p w14:paraId="3F1D91DD" w14:textId="77777777" w:rsidR="007476E9" w:rsidRPr="00D73E11" w:rsidRDefault="007476E9">
            <w:pPr>
              <w:spacing w:before="0" w:after="0"/>
              <w:ind w:left="360"/>
              <w:jc w:val="left"/>
              <w:textAlignment w:val="baseline"/>
              <w:rPr>
                <w:rFonts w:ascii="Segoe UI" w:eastAsia="Times New Roman" w:hAnsi="Segoe UI" w:cs="Segoe UI"/>
                <w:noProof/>
                <w:sz w:val="18"/>
                <w:szCs w:val="18"/>
                <w:lang w:val="en-IE" w:eastAsia="en-IE"/>
              </w:rPr>
            </w:pPr>
            <w:r w:rsidRPr="00D73E11">
              <w:rPr>
                <w:rFonts w:eastAsia="Times New Roman"/>
                <w:b/>
                <w:bCs/>
                <w:noProof/>
                <w:sz w:val="22"/>
                <w:lang w:eastAsia="en-IE"/>
              </w:rPr>
              <w:t>Assess the organisational measures for a smooth cross-border digital public services delivery</w:t>
            </w:r>
            <w:r w:rsidRPr="00D73E11">
              <w:rPr>
                <w:rFonts w:eastAsia="Times New Roman"/>
                <w:noProof/>
                <w:sz w:val="22"/>
                <w:lang w:val="en-IE" w:eastAsia="en-IE"/>
              </w:rPr>
              <w:t> </w:t>
            </w:r>
          </w:p>
          <w:p w14:paraId="6C719CA8" w14:textId="77777777" w:rsidR="007476E9" w:rsidRPr="00D73E11" w:rsidRDefault="007476E9">
            <w:pPr>
              <w:spacing w:before="0" w:after="0"/>
              <w:ind w:left="360"/>
              <w:jc w:val="left"/>
              <w:textAlignment w:val="baseline"/>
              <w:rPr>
                <w:rFonts w:ascii="Segoe UI" w:eastAsia="Times New Roman" w:hAnsi="Segoe UI" w:cs="Segoe UI"/>
                <w:noProof/>
                <w:sz w:val="18"/>
                <w:szCs w:val="18"/>
                <w:lang w:val="en-IE" w:eastAsia="en-IE"/>
              </w:rPr>
            </w:pPr>
            <w:r w:rsidRPr="00D73E11">
              <w:rPr>
                <w:rFonts w:eastAsia="Times New Roman"/>
                <w:b/>
                <w:bCs/>
                <w:noProof/>
                <w:sz w:val="22"/>
                <w:lang w:eastAsia="en-IE"/>
              </w:rPr>
              <w:t>Please list the governance measures foreseen</w:t>
            </w:r>
            <w:r w:rsidRPr="00D73E11">
              <w:rPr>
                <w:rFonts w:eastAsia="Times New Roman"/>
                <w:noProof/>
                <w:sz w:val="22"/>
                <w:lang w:val="en-IE" w:eastAsia="en-IE"/>
              </w:rPr>
              <w:t> </w:t>
            </w:r>
          </w:p>
        </w:tc>
        <w:tc>
          <w:tcPr>
            <w:tcW w:w="4620" w:type="dxa"/>
            <w:tcBorders>
              <w:top w:val="single" w:sz="6" w:space="0" w:color="auto"/>
              <w:left w:val="single" w:sz="6" w:space="0" w:color="auto"/>
              <w:bottom w:val="single" w:sz="6" w:space="0" w:color="auto"/>
              <w:right w:val="single" w:sz="6" w:space="0" w:color="auto"/>
            </w:tcBorders>
            <w:hideMark/>
          </w:tcPr>
          <w:p w14:paraId="5D93BCE9" w14:textId="77777777" w:rsidR="007476E9" w:rsidRPr="00D73E11" w:rsidRDefault="007476E9">
            <w:pPr>
              <w:spacing w:before="0" w:after="0"/>
              <w:ind w:left="360"/>
              <w:jc w:val="left"/>
              <w:textAlignment w:val="baseline"/>
              <w:rPr>
                <w:rFonts w:ascii="Segoe UI" w:eastAsia="Times New Roman" w:hAnsi="Segoe UI" w:cs="Segoe UI"/>
                <w:noProof/>
                <w:sz w:val="18"/>
                <w:szCs w:val="18"/>
                <w:lang w:val="en-IE" w:eastAsia="en-IE"/>
              </w:rPr>
            </w:pPr>
            <w:r w:rsidRPr="00D73E11">
              <w:rPr>
                <w:rFonts w:eastAsia="Times New Roman"/>
                <w:noProof/>
                <w:sz w:val="22"/>
                <w:lang w:val="en-IE" w:eastAsia="en-IE"/>
              </w:rPr>
              <w:t> </w:t>
            </w:r>
          </w:p>
          <w:p w14:paraId="07C3156F" w14:textId="77777777" w:rsidR="007476E9" w:rsidRPr="00D73E11" w:rsidRDefault="007476E9">
            <w:pPr>
              <w:spacing w:before="0" w:after="0"/>
              <w:ind w:left="360"/>
              <w:jc w:val="left"/>
              <w:textAlignment w:val="baseline"/>
              <w:rPr>
                <w:rFonts w:eastAsia="Times New Roman"/>
                <w:noProof/>
                <w:sz w:val="22"/>
                <w:lang w:val="en-IE" w:eastAsia="en-IE"/>
              </w:rPr>
            </w:pPr>
            <w:r w:rsidRPr="00D73E11">
              <w:rPr>
                <w:rFonts w:eastAsia="Times New Roman"/>
                <w:i/>
                <w:iCs/>
                <w:noProof/>
                <w:sz w:val="22"/>
                <w:lang w:eastAsia="en-IE"/>
              </w:rPr>
              <w:t>N/A </w:t>
            </w:r>
            <w:r w:rsidRPr="00D73E11">
              <w:rPr>
                <w:rFonts w:eastAsia="Times New Roman"/>
                <w:noProof/>
                <w:sz w:val="22"/>
                <w:lang w:val="en-IE" w:eastAsia="en-IE"/>
              </w:rPr>
              <w:t> </w:t>
            </w:r>
          </w:p>
        </w:tc>
        <w:tc>
          <w:tcPr>
            <w:tcW w:w="5880" w:type="dxa"/>
            <w:tcBorders>
              <w:top w:val="single" w:sz="6" w:space="0" w:color="auto"/>
              <w:left w:val="single" w:sz="6" w:space="0" w:color="auto"/>
              <w:bottom w:val="single" w:sz="6" w:space="0" w:color="auto"/>
              <w:right w:val="single" w:sz="6" w:space="0" w:color="auto"/>
            </w:tcBorders>
            <w:hideMark/>
          </w:tcPr>
          <w:p w14:paraId="6219EE2E" w14:textId="77777777" w:rsidR="007476E9" w:rsidRPr="00D73E11" w:rsidRDefault="007476E9">
            <w:pPr>
              <w:spacing w:before="0" w:after="0"/>
              <w:ind w:left="360"/>
              <w:jc w:val="left"/>
              <w:textAlignment w:val="baseline"/>
              <w:rPr>
                <w:rFonts w:ascii="Segoe UI" w:eastAsia="Times New Roman" w:hAnsi="Segoe UI" w:cs="Segoe UI"/>
                <w:noProof/>
                <w:sz w:val="18"/>
                <w:szCs w:val="18"/>
                <w:lang w:val="en-IE" w:eastAsia="en-IE"/>
              </w:rPr>
            </w:pPr>
            <w:r w:rsidRPr="00D73E11">
              <w:rPr>
                <w:rFonts w:eastAsia="Times New Roman"/>
                <w:noProof/>
                <w:sz w:val="22"/>
                <w:lang w:val="en-IE" w:eastAsia="en-IE"/>
              </w:rPr>
              <w:t> </w:t>
            </w:r>
          </w:p>
          <w:p w14:paraId="17D35705" w14:textId="77777777" w:rsidR="007476E9" w:rsidRPr="00D73E11" w:rsidRDefault="007476E9">
            <w:pPr>
              <w:spacing w:before="0" w:after="0"/>
              <w:ind w:left="360"/>
              <w:jc w:val="left"/>
              <w:textAlignment w:val="baseline"/>
              <w:rPr>
                <w:rFonts w:ascii="Segoe UI" w:eastAsia="Times New Roman" w:hAnsi="Segoe UI" w:cs="Segoe UI"/>
                <w:noProof/>
                <w:sz w:val="18"/>
                <w:szCs w:val="18"/>
                <w:lang w:val="en-IE" w:eastAsia="en-IE"/>
              </w:rPr>
            </w:pPr>
            <w:r w:rsidRPr="00D73E11">
              <w:rPr>
                <w:rFonts w:eastAsia="Times New Roman"/>
                <w:i/>
                <w:iCs/>
                <w:noProof/>
                <w:sz w:val="22"/>
                <w:lang w:eastAsia="en-IE"/>
              </w:rPr>
              <w:t>N/A</w:t>
            </w:r>
            <w:r w:rsidRPr="00D73E11">
              <w:rPr>
                <w:rFonts w:eastAsia="Times New Roman"/>
                <w:noProof/>
                <w:sz w:val="22"/>
                <w:lang w:val="en-IE" w:eastAsia="en-IE"/>
              </w:rPr>
              <w:t> </w:t>
            </w:r>
          </w:p>
        </w:tc>
      </w:tr>
      <w:tr w:rsidR="007476E9" w:rsidRPr="00D73E11" w14:paraId="3725B89A" w14:textId="77777777">
        <w:tc>
          <w:tcPr>
            <w:tcW w:w="3960" w:type="dxa"/>
            <w:tcBorders>
              <w:top w:val="single" w:sz="6" w:space="0" w:color="auto"/>
              <w:left w:val="single" w:sz="6" w:space="0" w:color="auto"/>
              <w:bottom w:val="single" w:sz="6" w:space="0" w:color="auto"/>
              <w:right w:val="single" w:sz="6" w:space="0" w:color="auto"/>
            </w:tcBorders>
            <w:hideMark/>
          </w:tcPr>
          <w:p w14:paraId="152E2E4A" w14:textId="77777777" w:rsidR="007476E9" w:rsidRPr="00D73E11" w:rsidRDefault="007476E9">
            <w:pPr>
              <w:spacing w:before="0" w:after="0"/>
              <w:ind w:left="360"/>
              <w:jc w:val="left"/>
              <w:textAlignment w:val="baseline"/>
              <w:rPr>
                <w:rFonts w:ascii="Segoe UI" w:eastAsia="Times New Roman" w:hAnsi="Segoe UI" w:cs="Segoe UI"/>
                <w:noProof/>
                <w:sz w:val="18"/>
                <w:szCs w:val="18"/>
                <w:lang w:val="en-IE" w:eastAsia="en-IE"/>
              </w:rPr>
            </w:pPr>
            <w:r w:rsidRPr="00D73E11">
              <w:rPr>
                <w:rFonts w:eastAsia="Times New Roman"/>
                <w:b/>
                <w:bCs/>
                <w:noProof/>
                <w:sz w:val="22"/>
                <w:lang w:eastAsia="en-IE"/>
              </w:rPr>
              <w:t>Assess the measures taken to ensure a shared understanding of the data</w:t>
            </w:r>
            <w:r w:rsidRPr="00D73E11">
              <w:rPr>
                <w:rFonts w:eastAsia="Times New Roman"/>
                <w:noProof/>
                <w:sz w:val="22"/>
                <w:lang w:val="en-IE" w:eastAsia="en-IE"/>
              </w:rPr>
              <w:t> </w:t>
            </w:r>
          </w:p>
          <w:p w14:paraId="27B287A1" w14:textId="77777777" w:rsidR="007476E9" w:rsidRPr="00D73E11" w:rsidRDefault="007476E9">
            <w:pPr>
              <w:spacing w:before="0" w:after="0"/>
              <w:ind w:left="360"/>
              <w:jc w:val="left"/>
              <w:textAlignment w:val="baseline"/>
              <w:rPr>
                <w:rFonts w:ascii="Segoe UI" w:eastAsia="Times New Roman" w:hAnsi="Segoe UI" w:cs="Segoe UI"/>
                <w:noProof/>
                <w:sz w:val="18"/>
                <w:szCs w:val="18"/>
                <w:lang w:val="en-IE" w:eastAsia="en-IE"/>
              </w:rPr>
            </w:pPr>
            <w:r w:rsidRPr="00D73E11">
              <w:rPr>
                <w:rFonts w:eastAsia="Times New Roman"/>
                <w:b/>
                <w:bCs/>
                <w:noProof/>
                <w:sz w:val="22"/>
                <w:lang w:eastAsia="en-IE"/>
              </w:rPr>
              <w:t>Please list such measures</w:t>
            </w:r>
            <w:r w:rsidRPr="00D73E11">
              <w:rPr>
                <w:rFonts w:eastAsia="Times New Roman"/>
                <w:noProof/>
                <w:sz w:val="22"/>
                <w:lang w:val="en-IE" w:eastAsia="en-IE"/>
              </w:rPr>
              <w:t> </w:t>
            </w:r>
          </w:p>
        </w:tc>
        <w:tc>
          <w:tcPr>
            <w:tcW w:w="4620" w:type="dxa"/>
            <w:tcBorders>
              <w:top w:val="single" w:sz="6" w:space="0" w:color="auto"/>
              <w:left w:val="single" w:sz="6" w:space="0" w:color="auto"/>
              <w:bottom w:val="single" w:sz="6" w:space="0" w:color="auto"/>
              <w:right w:val="single" w:sz="6" w:space="0" w:color="auto"/>
            </w:tcBorders>
            <w:hideMark/>
          </w:tcPr>
          <w:p w14:paraId="0709EE8E" w14:textId="77777777" w:rsidR="007476E9" w:rsidRPr="00D73E11" w:rsidRDefault="007476E9">
            <w:pPr>
              <w:spacing w:before="0" w:after="0"/>
              <w:ind w:left="360"/>
              <w:jc w:val="left"/>
              <w:textAlignment w:val="baseline"/>
              <w:rPr>
                <w:rFonts w:ascii="Segoe UI" w:eastAsia="Times New Roman" w:hAnsi="Segoe UI" w:cs="Segoe UI"/>
                <w:noProof/>
                <w:sz w:val="18"/>
                <w:szCs w:val="18"/>
                <w:lang w:val="en-IE" w:eastAsia="en-IE"/>
              </w:rPr>
            </w:pPr>
            <w:r w:rsidRPr="00D73E11">
              <w:rPr>
                <w:rFonts w:eastAsia="Times New Roman"/>
                <w:noProof/>
                <w:sz w:val="22"/>
                <w:lang w:val="en-IE" w:eastAsia="en-IE"/>
              </w:rPr>
              <w:t> </w:t>
            </w:r>
          </w:p>
          <w:p w14:paraId="23116081" w14:textId="77777777" w:rsidR="007476E9" w:rsidRPr="00D73E11" w:rsidRDefault="007476E9">
            <w:pPr>
              <w:spacing w:before="0" w:after="0"/>
              <w:ind w:left="360"/>
              <w:jc w:val="left"/>
              <w:textAlignment w:val="baseline"/>
              <w:rPr>
                <w:rFonts w:ascii="Segoe UI" w:eastAsia="Times New Roman" w:hAnsi="Segoe UI" w:cs="Segoe UI"/>
                <w:noProof/>
                <w:sz w:val="18"/>
                <w:szCs w:val="18"/>
                <w:lang w:val="en-IE" w:eastAsia="en-IE"/>
              </w:rPr>
            </w:pPr>
            <w:r w:rsidRPr="00D73E11">
              <w:rPr>
                <w:rFonts w:eastAsia="Times New Roman"/>
                <w:noProof/>
                <w:sz w:val="22"/>
                <w:lang w:val="en-IE" w:eastAsia="en-IE"/>
              </w:rPr>
              <w:t> </w:t>
            </w:r>
          </w:p>
        </w:tc>
        <w:tc>
          <w:tcPr>
            <w:tcW w:w="5880" w:type="dxa"/>
            <w:tcBorders>
              <w:top w:val="single" w:sz="6" w:space="0" w:color="auto"/>
              <w:left w:val="single" w:sz="6" w:space="0" w:color="auto"/>
              <w:bottom w:val="single" w:sz="6" w:space="0" w:color="auto"/>
              <w:right w:val="single" w:sz="6" w:space="0" w:color="auto"/>
            </w:tcBorders>
            <w:hideMark/>
          </w:tcPr>
          <w:p w14:paraId="6CB00110" w14:textId="77777777" w:rsidR="007476E9" w:rsidRPr="00D73E11" w:rsidRDefault="007476E9">
            <w:pPr>
              <w:spacing w:before="0" w:after="0"/>
              <w:ind w:left="360"/>
              <w:jc w:val="left"/>
              <w:textAlignment w:val="baseline"/>
              <w:rPr>
                <w:rFonts w:ascii="Segoe UI" w:eastAsia="Times New Roman" w:hAnsi="Segoe UI" w:cs="Segoe UI"/>
                <w:noProof/>
                <w:sz w:val="18"/>
                <w:szCs w:val="18"/>
                <w:lang w:val="en-IE" w:eastAsia="en-IE"/>
              </w:rPr>
            </w:pPr>
            <w:r w:rsidRPr="00D73E11">
              <w:rPr>
                <w:rFonts w:eastAsia="Times New Roman"/>
                <w:i/>
                <w:iCs/>
                <w:noProof/>
                <w:sz w:val="22"/>
                <w:lang w:eastAsia="en-IE"/>
              </w:rPr>
              <w:t>N/A</w:t>
            </w:r>
            <w:r w:rsidRPr="00D73E11">
              <w:rPr>
                <w:rFonts w:eastAsia="Times New Roman"/>
                <w:noProof/>
                <w:sz w:val="22"/>
                <w:lang w:val="en-IE" w:eastAsia="en-IE"/>
              </w:rPr>
              <w:t> </w:t>
            </w:r>
          </w:p>
        </w:tc>
      </w:tr>
      <w:tr w:rsidR="007476E9" w:rsidRPr="00D73E11" w14:paraId="6BB48FE2" w14:textId="77777777">
        <w:tc>
          <w:tcPr>
            <w:tcW w:w="3960" w:type="dxa"/>
            <w:tcBorders>
              <w:top w:val="single" w:sz="6" w:space="0" w:color="auto"/>
              <w:left w:val="single" w:sz="6" w:space="0" w:color="auto"/>
              <w:bottom w:val="single" w:sz="6" w:space="0" w:color="auto"/>
              <w:right w:val="single" w:sz="6" w:space="0" w:color="auto"/>
            </w:tcBorders>
            <w:hideMark/>
          </w:tcPr>
          <w:p w14:paraId="3D27B41A" w14:textId="77777777" w:rsidR="007476E9" w:rsidRPr="00D73E11" w:rsidRDefault="007476E9">
            <w:pPr>
              <w:spacing w:before="0" w:after="0"/>
              <w:ind w:left="360"/>
              <w:jc w:val="left"/>
              <w:textAlignment w:val="baseline"/>
              <w:rPr>
                <w:rFonts w:ascii="Segoe UI" w:eastAsia="Times New Roman" w:hAnsi="Segoe UI" w:cs="Segoe UI"/>
                <w:noProof/>
                <w:sz w:val="18"/>
                <w:szCs w:val="18"/>
                <w:lang w:val="en-IE" w:eastAsia="en-IE"/>
              </w:rPr>
            </w:pPr>
            <w:r w:rsidRPr="00D73E11">
              <w:rPr>
                <w:rFonts w:eastAsia="Times New Roman"/>
                <w:b/>
                <w:bCs/>
                <w:noProof/>
                <w:sz w:val="22"/>
                <w:lang w:eastAsia="en-IE"/>
              </w:rPr>
              <w:t>Assess the use of commonly agreed open technical specifications and standards</w:t>
            </w:r>
            <w:r w:rsidRPr="00D73E11">
              <w:rPr>
                <w:rFonts w:eastAsia="Times New Roman"/>
                <w:noProof/>
                <w:sz w:val="22"/>
                <w:lang w:val="en-IE" w:eastAsia="en-IE"/>
              </w:rPr>
              <w:t> </w:t>
            </w:r>
          </w:p>
          <w:p w14:paraId="37352037" w14:textId="77777777" w:rsidR="007476E9" w:rsidRPr="00D73E11" w:rsidRDefault="007476E9">
            <w:pPr>
              <w:spacing w:before="0" w:after="0"/>
              <w:ind w:left="360"/>
              <w:jc w:val="left"/>
              <w:textAlignment w:val="baseline"/>
              <w:rPr>
                <w:rFonts w:ascii="Segoe UI" w:eastAsia="Times New Roman" w:hAnsi="Segoe UI" w:cs="Segoe UI"/>
                <w:noProof/>
                <w:sz w:val="18"/>
                <w:szCs w:val="18"/>
                <w:lang w:val="en-IE" w:eastAsia="en-IE"/>
              </w:rPr>
            </w:pPr>
            <w:r w:rsidRPr="00D73E11">
              <w:rPr>
                <w:rFonts w:eastAsia="Times New Roman"/>
                <w:b/>
                <w:bCs/>
                <w:noProof/>
                <w:sz w:val="22"/>
                <w:lang w:eastAsia="en-IE"/>
              </w:rPr>
              <w:t>Please list such measures</w:t>
            </w:r>
            <w:r w:rsidRPr="00D73E11">
              <w:rPr>
                <w:rFonts w:eastAsia="Times New Roman"/>
                <w:noProof/>
                <w:sz w:val="22"/>
                <w:lang w:val="en-IE" w:eastAsia="en-IE"/>
              </w:rPr>
              <w:t> </w:t>
            </w:r>
          </w:p>
        </w:tc>
        <w:tc>
          <w:tcPr>
            <w:tcW w:w="4620" w:type="dxa"/>
            <w:tcBorders>
              <w:top w:val="single" w:sz="6" w:space="0" w:color="auto"/>
              <w:left w:val="single" w:sz="6" w:space="0" w:color="auto"/>
              <w:bottom w:val="single" w:sz="6" w:space="0" w:color="auto"/>
              <w:right w:val="single" w:sz="6" w:space="0" w:color="auto"/>
            </w:tcBorders>
            <w:hideMark/>
          </w:tcPr>
          <w:p w14:paraId="0C219E7F" w14:textId="77777777" w:rsidR="007476E9" w:rsidRPr="00D73E11" w:rsidRDefault="007476E9">
            <w:pPr>
              <w:spacing w:before="0" w:after="0"/>
              <w:ind w:left="360"/>
              <w:jc w:val="left"/>
              <w:textAlignment w:val="baseline"/>
              <w:rPr>
                <w:rFonts w:ascii="Segoe UI" w:eastAsia="Times New Roman" w:hAnsi="Segoe UI" w:cs="Segoe UI"/>
                <w:noProof/>
                <w:sz w:val="18"/>
                <w:szCs w:val="18"/>
                <w:lang w:val="en-IE" w:eastAsia="en-IE"/>
              </w:rPr>
            </w:pPr>
            <w:r w:rsidRPr="00D73E11">
              <w:rPr>
                <w:rFonts w:eastAsia="Times New Roman"/>
                <w:noProof/>
                <w:sz w:val="22"/>
                <w:lang w:val="en-IE" w:eastAsia="en-IE"/>
              </w:rPr>
              <w:t> </w:t>
            </w:r>
          </w:p>
          <w:p w14:paraId="00CA30AD" w14:textId="77777777" w:rsidR="007476E9" w:rsidRPr="00D73E11" w:rsidRDefault="007476E9">
            <w:pPr>
              <w:spacing w:before="0" w:after="0"/>
              <w:ind w:left="360"/>
              <w:jc w:val="left"/>
              <w:textAlignment w:val="baseline"/>
              <w:rPr>
                <w:rFonts w:ascii="Segoe UI" w:eastAsia="Times New Roman" w:hAnsi="Segoe UI" w:cs="Segoe UI"/>
                <w:noProof/>
                <w:sz w:val="18"/>
                <w:szCs w:val="18"/>
                <w:lang w:val="en-IE" w:eastAsia="en-IE"/>
              </w:rPr>
            </w:pPr>
            <w:r w:rsidRPr="00D73E11">
              <w:rPr>
                <w:rFonts w:eastAsia="Times New Roman"/>
                <w:noProof/>
                <w:sz w:val="22"/>
                <w:lang w:val="en-IE" w:eastAsia="en-IE"/>
              </w:rPr>
              <w:t> </w:t>
            </w:r>
          </w:p>
        </w:tc>
        <w:tc>
          <w:tcPr>
            <w:tcW w:w="5880" w:type="dxa"/>
            <w:tcBorders>
              <w:top w:val="single" w:sz="6" w:space="0" w:color="auto"/>
              <w:left w:val="single" w:sz="6" w:space="0" w:color="auto"/>
              <w:bottom w:val="single" w:sz="6" w:space="0" w:color="auto"/>
              <w:right w:val="single" w:sz="6" w:space="0" w:color="auto"/>
            </w:tcBorders>
            <w:hideMark/>
          </w:tcPr>
          <w:p w14:paraId="67BA1BB6" w14:textId="77777777" w:rsidR="007476E9" w:rsidRPr="00D73E11" w:rsidRDefault="007476E9">
            <w:pPr>
              <w:spacing w:before="0" w:after="0"/>
              <w:ind w:left="360"/>
              <w:jc w:val="left"/>
              <w:textAlignment w:val="baseline"/>
              <w:rPr>
                <w:rFonts w:ascii="Segoe UI" w:eastAsia="Times New Roman" w:hAnsi="Segoe UI" w:cs="Segoe UI"/>
                <w:noProof/>
                <w:sz w:val="18"/>
                <w:szCs w:val="18"/>
                <w:lang w:val="en-IE" w:eastAsia="en-IE"/>
              </w:rPr>
            </w:pPr>
            <w:r w:rsidRPr="00D73E11">
              <w:rPr>
                <w:rFonts w:eastAsia="Times New Roman"/>
                <w:noProof/>
                <w:sz w:val="22"/>
                <w:lang w:val="en-IE" w:eastAsia="en-IE"/>
              </w:rPr>
              <w:t> </w:t>
            </w:r>
          </w:p>
          <w:p w14:paraId="69C5FE2A" w14:textId="77777777" w:rsidR="007476E9" w:rsidRPr="00D73E11" w:rsidRDefault="007476E9">
            <w:pPr>
              <w:spacing w:before="0" w:after="0"/>
              <w:ind w:left="360"/>
              <w:jc w:val="left"/>
              <w:textAlignment w:val="baseline"/>
              <w:rPr>
                <w:rFonts w:ascii="Segoe UI" w:eastAsia="Times New Roman" w:hAnsi="Segoe UI" w:cs="Segoe UI"/>
                <w:noProof/>
                <w:sz w:val="18"/>
                <w:szCs w:val="18"/>
                <w:lang w:val="en-IE" w:eastAsia="en-IE"/>
              </w:rPr>
            </w:pPr>
            <w:r w:rsidRPr="00D73E11">
              <w:rPr>
                <w:rFonts w:eastAsia="Times New Roman"/>
                <w:i/>
                <w:iCs/>
                <w:noProof/>
                <w:sz w:val="22"/>
                <w:lang w:eastAsia="en-IE"/>
              </w:rPr>
              <w:t>N/A</w:t>
            </w:r>
            <w:r w:rsidRPr="00D73E11">
              <w:rPr>
                <w:rFonts w:eastAsia="Times New Roman"/>
                <w:noProof/>
                <w:sz w:val="22"/>
                <w:lang w:val="en-IE" w:eastAsia="en-IE"/>
              </w:rPr>
              <w:t> </w:t>
            </w:r>
          </w:p>
        </w:tc>
      </w:tr>
    </w:tbl>
    <w:p w14:paraId="0900D042" w14:textId="77777777" w:rsidR="007476E9" w:rsidRPr="0057502F" w:rsidRDefault="007476E9" w:rsidP="007476E9">
      <w:pPr>
        <w:pStyle w:val="Text1"/>
        <w:ind w:left="0"/>
        <w:rPr>
          <w:noProof/>
        </w:rPr>
      </w:pPr>
    </w:p>
    <w:p w14:paraId="7F4230E4" w14:textId="77777777" w:rsidR="007476E9" w:rsidRDefault="007476E9" w:rsidP="007476E9">
      <w:pPr>
        <w:pStyle w:val="ManualHeading2"/>
        <w:rPr>
          <w:noProof/>
        </w:rPr>
      </w:pPr>
      <w:bookmarkStart w:id="200" w:name="_Toc167220306"/>
      <w:bookmarkStart w:id="201" w:name="_Toc177549041"/>
      <w:r>
        <w:rPr>
          <w:noProof/>
        </w:rPr>
        <w:t>4.5.</w:t>
      </w:r>
      <w:r>
        <w:rPr>
          <w:noProof/>
        </w:rPr>
        <w:tab/>
        <w:t>Measures to support digital</w:t>
      </w:r>
      <w:r w:rsidRPr="001B7467">
        <w:rPr>
          <w:noProof/>
        </w:rPr>
        <w:t xml:space="preserve"> </w:t>
      </w:r>
      <w:r>
        <w:rPr>
          <w:noProof/>
        </w:rPr>
        <w:t>i</w:t>
      </w:r>
      <w:r w:rsidRPr="001B7467">
        <w:rPr>
          <w:noProof/>
        </w:rPr>
        <w:t>mplementation</w:t>
      </w:r>
      <w:bookmarkEnd w:id="200"/>
      <w:bookmarkEnd w:id="201"/>
    </w:p>
    <w:p w14:paraId="295A8E85" w14:textId="77777777" w:rsidR="007476E9" w:rsidRDefault="007476E9" w:rsidP="007476E9">
      <w:pPr>
        <w:spacing w:before="0" w:after="0"/>
        <w:textAlignment w:val="baseline"/>
        <w:rPr>
          <w:rFonts w:eastAsia="Times New Roman"/>
          <w:noProof/>
          <w:szCs w:val="24"/>
          <w:lang w:val="en-IE" w:eastAsia="en-IE"/>
        </w:rPr>
      </w:pPr>
      <w:r w:rsidRPr="00D73E11">
        <w:rPr>
          <w:rFonts w:eastAsia="Times New Roman"/>
          <w:i/>
          <w:iCs/>
          <w:noProof/>
          <w:szCs w:val="24"/>
          <w:lang w:eastAsia="en-IE"/>
        </w:rPr>
        <w:t>High-level description of measures supporting digital implementation</w:t>
      </w:r>
      <w:r w:rsidRPr="00D73E11">
        <w:rPr>
          <w:rFonts w:eastAsia="Times New Roman"/>
          <w:noProof/>
          <w:szCs w:val="24"/>
          <w:lang w:val="en-IE" w:eastAsia="en-IE"/>
        </w:rPr>
        <w:t> </w:t>
      </w:r>
    </w:p>
    <w:p w14:paraId="121A492E" w14:textId="77777777" w:rsidR="007476E9" w:rsidRDefault="007476E9" w:rsidP="007476E9">
      <w:pPr>
        <w:spacing w:before="0" w:after="0"/>
        <w:textAlignment w:val="baseline"/>
        <w:rPr>
          <w:rFonts w:eastAsia="Times New Roman"/>
          <w:noProof/>
          <w:szCs w:val="24"/>
          <w:lang w:val="en-IE" w:eastAsia="en-IE"/>
        </w:rPr>
      </w:pPr>
    </w:p>
    <w:tbl>
      <w:tblPr>
        <w:tblW w:w="1403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45"/>
        <w:gridCol w:w="3540"/>
        <w:gridCol w:w="2016"/>
        <w:gridCol w:w="1830"/>
        <w:gridCol w:w="2400"/>
      </w:tblGrid>
      <w:tr w:rsidR="007476E9" w:rsidRPr="00D73E11" w14:paraId="747CD2FB" w14:textId="77777777">
        <w:trPr>
          <w:trHeight w:val="285"/>
        </w:trPr>
        <w:tc>
          <w:tcPr>
            <w:tcW w:w="424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15761A6B" w14:textId="77777777" w:rsidR="007476E9" w:rsidRPr="00D73E11" w:rsidRDefault="007476E9">
            <w:pPr>
              <w:spacing w:before="0" w:after="0"/>
              <w:jc w:val="left"/>
              <w:textAlignment w:val="baseline"/>
              <w:rPr>
                <w:rFonts w:ascii="Segoe UI" w:eastAsia="Times New Roman" w:hAnsi="Segoe UI" w:cs="Segoe UI"/>
                <w:noProof/>
                <w:sz w:val="18"/>
                <w:szCs w:val="18"/>
                <w:lang w:val="en-IE" w:eastAsia="en-IE"/>
              </w:rPr>
            </w:pPr>
            <w:r w:rsidRPr="00D73E11">
              <w:rPr>
                <w:rFonts w:eastAsia="Times New Roman"/>
                <w:b/>
                <w:bCs/>
                <w:noProof/>
                <w:szCs w:val="24"/>
                <w:lang w:eastAsia="en-IE"/>
              </w:rPr>
              <w:t>Description</w:t>
            </w:r>
            <w:r w:rsidRPr="00D73E11">
              <w:rPr>
                <w:rFonts w:eastAsia="Times New Roman"/>
                <w:b/>
                <w:bCs/>
                <w:noProof/>
                <w:color w:val="000000"/>
                <w:szCs w:val="24"/>
                <w:lang w:eastAsia="en-IE"/>
              </w:rPr>
              <w:t> of the measure</w:t>
            </w:r>
            <w:r w:rsidRPr="00D73E11">
              <w:rPr>
                <w:rFonts w:eastAsia="Times New Roman"/>
                <w:noProof/>
                <w:color w:val="000000"/>
                <w:szCs w:val="24"/>
                <w:lang w:val="en-IE" w:eastAsia="en-IE"/>
              </w:rPr>
              <w:t> </w:t>
            </w: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6EE030E4" w14:textId="77777777" w:rsidR="007476E9" w:rsidRPr="00D73E11" w:rsidRDefault="007476E9">
            <w:pPr>
              <w:spacing w:before="0" w:after="0"/>
              <w:jc w:val="left"/>
              <w:textAlignment w:val="baseline"/>
              <w:rPr>
                <w:rFonts w:ascii="Segoe UI" w:eastAsia="Times New Roman" w:hAnsi="Segoe UI" w:cs="Segoe UI"/>
                <w:noProof/>
                <w:sz w:val="18"/>
                <w:szCs w:val="18"/>
                <w:lang w:val="en-IE" w:eastAsia="en-IE"/>
              </w:rPr>
            </w:pPr>
            <w:r w:rsidRPr="00D73E11">
              <w:rPr>
                <w:rFonts w:eastAsia="Times New Roman"/>
                <w:b/>
                <w:bCs/>
                <w:noProof/>
                <w:szCs w:val="24"/>
                <w:lang w:eastAsia="en-IE"/>
              </w:rPr>
              <w:t>Reference(s) to the requirement(s) </w:t>
            </w:r>
            <w:r w:rsidRPr="00D73E11">
              <w:rPr>
                <w:rFonts w:eastAsia="Times New Roman"/>
                <w:noProof/>
                <w:szCs w:val="24"/>
                <w:lang w:val="en-IE" w:eastAsia="en-IE"/>
              </w:rPr>
              <w:t> </w:t>
            </w:r>
          </w:p>
        </w:tc>
        <w:tc>
          <w:tcPr>
            <w:tcW w:w="201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29C0999C" w14:textId="77777777" w:rsidR="007476E9" w:rsidRPr="00D73E11" w:rsidRDefault="007476E9">
            <w:pPr>
              <w:spacing w:before="0" w:after="0"/>
              <w:jc w:val="left"/>
              <w:textAlignment w:val="baseline"/>
              <w:rPr>
                <w:rFonts w:ascii="Segoe UI" w:eastAsia="Times New Roman" w:hAnsi="Segoe UI" w:cs="Segoe UI"/>
                <w:noProof/>
                <w:sz w:val="18"/>
                <w:szCs w:val="18"/>
                <w:lang w:val="en-IE" w:eastAsia="en-IE"/>
              </w:rPr>
            </w:pPr>
            <w:r w:rsidRPr="00D73E11">
              <w:rPr>
                <w:rFonts w:eastAsia="Times New Roman"/>
                <w:b/>
                <w:bCs/>
                <w:noProof/>
                <w:szCs w:val="24"/>
                <w:lang w:eastAsia="en-IE"/>
              </w:rPr>
              <w:t>Commission role </w:t>
            </w:r>
            <w:r w:rsidRPr="00D73E11">
              <w:rPr>
                <w:rFonts w:eastAsia="Times New Roman"/>
                <w:noProof/>
                <w:szCs w:val="24"/>
                <w:lang w:val="en-IE" w:eastAsia="en-IE"/>
              </w:rPr>
              <w:t> </w:t>
            </w:r>
          </w:p>
          <w:p w14:paraId="5CD1B609" w14:textId="77777777" w:rsidR="007476E9" w:rsidRPr="00D73E11" w:rsidRDefault="007476E9">
            <w:pPr>
              <w:spacing w:before="0" w:after="0"/>
              <w:jc w:val="left"/>
              <w:textAlignment w:val="baseline"/>
              <w:rPr>
                <w:rFonts w:ascii="Segoe UI" w:eastAsia="Times New Roman" w:hAnsi="Segoe UI" w:cs="Segoe UI"/>
                <w:noProof/>
                <w:sz w:val="18"/>
                <w:szCs w:val="18"/>
                <w:lang w:val="en-IE" w:eastAsia="en-IE"/>
              </w:rPr>
            </w:pPr>
            <w:r w:rsidRPr="00D73E11">
              <w:rPr>
                <w:rFonts w:eastAsia="Times New Roman"/>
                <w:noProof/>
                <w:szCs w:val="24"/>
                <w:lang w:eastAsia="en-IE"/>
              </w:rPr>
              <w:t>(if applicable)</w:t>
            </w:r>
            <w:r w:rsidRPr="00D73E11">
              <w:rPr>
                <w:rFonts w:eastAsia="Times New Roman"/>
                <w:noProof/>
                <w:szCs w:val="24"/>
                <w:lang w:val="en-IE" w:eastAsia="en-IE"/>
              </w:rPr>
              <w:t> </w:t>
            </w:r>
          </w:p>
        </w:tc>
        <w:tc>
          <w:tcPr>
            <w:tcW w:w="183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7441523B" w14:textId="77777777" w:rsidR="007476E9" w:rsidRPr="00D73E11" w:rsidRDefault="007476E9">
            <w:pPr>
              <w:spacing w:before="0" w:after="0"/>
              <w:jc w:val="left"/>
              <w:textAlignment w:val="baseline"/>
              <w:rPr>
                <w:rFonts w:ascii="Segoe UI" w:eastAsia="Times New Roman" w:hAnsi="Segoe UI" w:cs="Segoe UI"/>
                <w:noProof/>
                <w:sz w:val="18"/>
                <w:szCs w:val="18"/>
                <w:lang w:val="en-IE" w:eastAsia="en-IE"/>
              </w:rPr>
            </w:pPr>
            <w:r w:rsidRPr="00D73E11">
              <w:rPr>
                <w:rFonts w:eastAsia="Times New Roman"/>
                <w:b/>
                <w:bCs/>
                <w:noProof/>
                <w:szCs w:val="24"/>
                <w:lang w:eastAsia="en-IE"/>
              </w:rPr>
              <w:t>Actors to be involved</w:t>
            </w:r>
            <w:r w:rsidRPr="00D73E11">
              <w:rPr>
                <w:rFonts w:eastAsia="Times New Roman"/>
                <w:noProof/>
                <w:szCs w:val="24"/>
                <w:lang w:val="en-IE" w:eastAsia="en-IE"/>
              </w:rPr>
              <w:t> </w:t>
            </w:r>
          </w:p>
          <w:p w14:paraId="08FC8EE8" w14:textId="77777777" w:rsidR="007476E9" w:rsidRPr="00D73E11" w:rsidRDefault="007476E9">
            <w:pPr>
              <w:spacing w:before="0" w:after="0"/>
              <w:jc w:val="left"/>
              <w:textAlignment w:val="baseline"/>
              <w:rPr>
                <w:rFonts w:ascii="Segoe UI" w:eastAsia="Times New Roman" w:hAnsi="Segoe UI" w:cs="Segoe UI"/>
                <w:noProof/>
                <w:sz w:val="18"/>
                <w:szCs w:val="18"/>
                <w:lang w:val="en-IE" w:eastAsia="en-IE"/>
              </w:rPr>
            </w:pPr>
            <w:r w:rsidRPr="00D73E11">
              <w:rPr>
                <w:rFonts w:eastAsia="Times New Roman"/>
                <w:noProof/>
                <w:szCs w:val="24"/>
                <w:lang w:eastAsia="en-IE"/>
              </w:rPr>
              <w:t>(if applicable)</w:t>
            </w:r>
            <w:r w:rsidRPr="00D73E11">
              <w:rPr>
                <w:rFonts w:eastAsia="Times New Roman"/>
                <w:noProof/>
                <w:szCs w:val="24"/>
                <w:lang w:val="en-IE" w:eastAsia="en-IE"/>
              </w:rPr>
              <w:t> </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5C031C4B" w14:textId="77777777" w:rsidR="007476E9" w:rsidRPr="00D73E11" w:rsidRDefault="007476E9">
            <w:pPr>
              <w:spacing w:before="0" w:after="0"/>
              <w:jc w:val="left"/>
              <w:textAlignment w:val="baseline"/>
              <w:rPr>
                <w:rFonts w:ascii="Segoe UI" w:eastAsia="Times New Roman" w:hAnsi="Segoe UI" w:cs="Segoe UI"/>
                <w:noProof/>
                <w:sz w:val="18"/>
                <w:szCs w:val="18"/>
                <w:lang w:val="en-IE" w:eastAsia="en-IE"/>
              </w:rPr>
            </w:pPr>
            <w:r w:rsidRPr="00D73E11">
              <w:rPr>
                <w:rFonts w:eastAsia="Times New Roman"/>
                <w:b/>
                <w:bCs/>
                <w:noProof/>
                <w:szCs w:val="24"/>
                <w:lang w:eastAsia="en-IE"/>
              </w:rPr>
              <w:t>Expected timeline</w:t>
            </w:r>
            <w:r w:rsidRPr="00D73E11">
              <w:rPr>
                <w:rFonts w:eastAsia="Times New Roman"/>
                <w:noProof/>
                <w:szCs w:val="24"/>
                <w:lang w:val="en-IE" w:eastAsia="en-IE"/>
              </w:rPr>
              <w:t> </w:t>
            </w:r>
          </w:p>
          <w:p w14:paraId="7E61440E" w14:textId="77777777" w:rsidR="007476E9" w:rsidRPr="00D73E11" w:rsidRDefault="007476E9">
            <w:pPr>
              <w:spacing w:before="0" w:after="0"/>
              <w:jc w:val="left"/>
              <w:textAlignment w:val="baseline"/>
              <w:rPr>
                <w:rFonts w:ascii="Segoe UI" w:eastAsia="Times New Roman" w:hAnsi="Segoe UI" w:cs="Segoe UI"/>
                <w:noProof/>
                <w:sz w:val="18"/>
                <w:szCs w:val="18"/>
                <w:lang w:val="en-IE" w:eastAsia="en-IE"/>
              </w:rPr>
            </w:pPr>
            <w:r w:rsidRPr="00D73E11">
              <w:rPr>
                <w:rFonts w:eastAsia="Times New Roman"/>
                <w:noProof/>
                <w:szCs w:val="24"/>
                <w:lang w:eastAsia="en-IE"/>
              </w:rPr>
              <w:t>(if applicable)</w:t>
            </w:r>
            <w:r w:rsidRPr="00D73E11">
              <w:rPr>
                <w:rFonts w:eastAsia="Times New Roman"/>
                <w:noProof/>
                <w:szCs w:val="24"/>
                <w:lang w:val="en-IE" w:eastAsia="en-IE"/>
              </w:rPr>
              <w:t> </w:t>
            </w:r>
          </w:p>
        </w:tc>
      </w:tr>
      <w:tr w:rsidR="007476E9" w:rsidRPr="00D73E11" w14:paraId="6EBDAAB0" w14:textId="77777777">
        <w:trPr>
          <w:trHeight w:val="285"/>
        </w:trPr>
        <w:tc>
          <w:tcPr>
            <w:tcW w:w="424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73B6D7CC" w14:textId="1A23977F" w:rsidR="007476E9" w:rsidRPr="008F0AA6" w:rsidRDefault="007476E9">
            <w:pPr>
              <w:pStyle w:val="NumPar1"/>
              <w:numPr>
                <w:ilvl w:val="0"/>
                <w:numId w:val="0"/>
              </w:numPr>
              <w:spacing w:before="0" w:after="0"/>
              <w:rPr>
                <w:noProof/>
                <w:lang w:eastAsia="en-IE"/>
              </w:rPr>
            </w:pPr>
            <w:r w:rsidRPr="00BF3CD9">
              <w:rPr>
                <w:noProof/>
                <w:color w:val="000000"/>
                <w:lang w:eastAsia="en-IE"/>
              </w:rPr>
              <w:t xml:space="preserve">The Commission, based on the </w:t>
            </w:r>
            <w:r w:rsidRPr="00BF3CD9">
              <w:rPr>
                <w:noProof/>
                <w:lang w:eastAsia="en-IE"/>
              </w:rPr>
              <w:t xml:space="preserve">accepted </w:t>
            </w:r>
            <w:r w:rsidRPr="00BF3CD9">
              <w:rPr>
                <w:noProof/>
                <w:color w:val="000000"/>
                <w:lang w:eastAsia="en-IE"/>
              </w:rPr>
              <w:t xml:space="preserve">candidate scheme prepared by ENISA, </w:t>
            </w:r>
            <w:r>
              <w:rPr>
                <w:noProof/>
                <w:color w:val="000000"/>
                <w:lang w:eastAsia="en-IE"/>
              </w:rPr>
              <w:t xml:space="preserve">is empowered to </w:t>
            </w:r>
            <w:r w:rsidRPr="00BF3CD9">
              <w:rPr>
                <w:noProof/>
                <w:color w:val="000000"/>
                <w:lang w:eastAsia="en-IE"/>
              </w:rPr>
              <w:t>adopt</w:t>
            </w:r>
            <w:r w:rsidRPr="00BF3CD9">
              <w:rPr>
                <w:noProof/>
                <w:lang w:eastAsia="en-IE"/>
              </w:rPr>
              <w:t xml:space="preserve"> </w:t>
            </w:r>
            <w:r w:rsidRPr="00BF3CD9">
              <w:rPr>
                <w:noProof/>
                <w:color w:val="000000"/>
                <w:lang w:eastAsia="en-IE"/>
              </w:rPr>
              <w:t>implementing act</w:t>
            </w:r>
            <w:r>
              <w:rPr>
                <w:noProof/>
                <w:color w:val="000000"/>
                <w:lang w:eastAsia="en-IE"/>
              </w:rPr>
              <w:t>s</w:t>
            </w:r>
            <w:r w:rsidRPr="00BF3CD9">
              <w:rPr>
                <w:noProof/>
                <w:color w:val="000000"/>
                <w:lang w:eastAsia="en-IE"/>
              </w:rPr>
              <w:t xml:space="preserve"> providing for a European cybersecurity certification scheme for </w:t>
            </w:r>
            <w:r w:rsidRPr="00BF3CD9">
              <w:rPr>
                <w:noProof/>
                <w:lang w:eastAsia="en-IE"/>
              </w:rPr>
              <w:t xml:space="preserve">ICT products, ICT services, ICT processes, managed security services or cyber posture of entities </w:t>
            </w:r>
            <w:r>
              <w:rPr>
                <w:noProof/>
                <w:color w:val="000000"/>
                <w:lang w:eastAsia="en-IE"/>
              </w:rPr>
              <w:t>that</w:t>
            </w:r>
            <w:r w:rsidRPr="00BF3CD9">
              <w:rPr>
                <w:noProof/>
                <w:color w:val="000000"/>
                <w:lang w:eastAsia="en-IE"/>
              </w:rPr>
              <w:t xml:space="preserve"> meets the requirements set out in </w:t>
            </w:r>
            <w:r w:rsidRPr="00BF3CD9">
              <w:rPr>
                <w:noProof/>
                <w:lang w:eastAsia="en-IE"/>
              </w:rPr>
              <w:t>Articles 80</w:t>
            </w:r>
            <w:r>
              <w:rPr>
                <w:noProof/>
                <w:lang w:eastAsia="en-IE"/>
              </w:rPr>
              <w:t xml:space="preserve"> and</w:t>
            </w:r>
            <w:r w:rsidRPr="00BF3CD9">
              <w:rPr>
                <w:noProof/>
                <w:lang w:eastAsia="en-IE"/>
              </w:rPr>
              <w:t xml:space="preserve"> 81. </w:t>
            </w:r>
            <w:r>
              <w:rPr>
                <w:noProof/>
                <w:color w:val="000000"/>
                <w:lang w:eastAsia="en-IE"/>
              </w:rPr>
              <w:t>That</w:t>
            </w:r>
            <w:r w:rsidRPr="00BF3CD9">
              <w:rPr>
                <w:noProof/>
                <w:color w:val="000000"/>
                <w:lang w:eastAsia="en-IE"/>
              </w:rPr>
              <w:t xml:space="preserve"> implementing act shall be adopted in accordance with the examination procedure referred to in Article</w:t>
            </w:r>
            <w:r>
              <w:rPr>
                <w:noProof/>
                <w:color w:val="000000"/>
                <w:lang w:eastAsia="en-IE"/>
              </w:rPr>
              <w:t xml:space="preserve"> 1</w:t>
            </w:r>
            <w:r w:rsidR="00704681">
              <w:rPr>
                <w:noProof/>
                <w:color w:val="000000"/>
                <w:lang w:eastAsia="en-IE"/>
              </w:rPr>
              <w:t>1</w:t>
            </w:r>
            <w:r w:rsidR="00867EBB">
              <w:rPr>
                <w:noProof/>
                <w:color w:val="000000"/>
                <w:lang w:eastAsia="en-IE"/>
              </w:rPr>
              <w:t>8</w:t>
            </w:r>
            <w:r>
              <w:rPr>
                <w:noProof/>
                <w:color w:val="000000"/>
                <w:lang w:eastAsia="en-IE"/>
              </w:rPr>
              <w:t>(2)</w:t>
            </w:r>
            <w:r w:rsidRPr="00BF3CD9">
              <w:rPr>
                <w:noProof/>
                <w:color w:val="000000"/>
                <w:lang w:eastAsia="en-IE"/>
              </w:rPr>
              <w:t>.</w:t>
            </w:r>
            <w:r w:rsidRPr="00BF3CD9">
              <w:rPr>
                <w:noProof/>
                <w:lang w:eastAsia="en-IE"/>
              </w:rPr>
              <w:t xml:space="preserve"> </w:t>
            </w: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4881AD9C" w14:textId="77777777" w:rsidR="007476E9" w:rsidRPr="00D73E11" w:rsidRDefault="007476E9">
            <w:pPr>
              <w:spacing w:before="0" w:after="0"/>
              <w:jc w:val="left"/>
              <w:textAlignment w:val="baseline"/>
              <w:rPr>
                <w:rFonts w:ascii="Segoe UI" w:eastAsia="Times New Roman" w:hAnsi="Segoe UI" w:cs="Segoe UI"/>
                <w:noProof/>
                <w:sz w:val="18"/>
                <w:szCs w:val="18"/>
                <w:lang w:val="en-IE" w:eastAsia="en-IE"/>
              </w:rPr>
            </w:pPr>
            <w:r w:rsidRPr="00D73E11">
              <w:rPr>
                <w:rFonts w:eastAsia="Times New Roman"/>
                <w:noProof/>
                <w:szCs w:val="24"/>
                <w:lang w:eastAsia="en-IE"/>
              </w:rPr>
              <w:t>Article 75(9)</w:t>
            </w:r>
          </w:p>
        </w:tc>
        <w:tc>
          <w:tcPr>
            <w:tcW w:w="201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31EE274B" w14:textId="77777777" w:rsidR="007476E9" w:rsidRPr="00D73E11" w:rsidRDefault="007476E9">
            <w:pPr>
              <w:spacing w:before="0" w:after="0"/>
              <w:jc w:val="left"/>
              <w:textAlignment w:val="baseline"/>
              <w:rPr>
                <w:rFonts w:ascii="Segoe UI" w:eastAsia="Times New Roman" w:hAnsi="Segoe UI" w:cs="Segoe UI"/>
                <w:noProof/>
                <w:sz w:val="18"/>
                <w:szCs w:val="18"/>
                <w:lang w:val="en-IE" w:eastAsia="en-IE"/>
              </w:rPr>
            </w:pPr>
            <w:r w:rsidRPr="00D73E11">
              <w:rPr>
                <w:rFonts w:eastAsia="Times New Roman"/>
                <w:noProof/>
                <w:szCs w:val="24"/>
                <w:lang w:eastAsia="en-IE"/>
              </w:rPr>
              <w:t xml:space="preserve">Commission </w:t>
            </w:r>
            <w:r>
              <w:rPr>
                <w:rFonts w:eastAsia="Times New Roman"/>
                <w:noProof/>
                <w:szCs w:val="24"/>
                <w:lang w:eastAsia="en-IE"/>
              </w:rPr>
              <w:t>is empowered to</w:t>
            </w:r>
            <w:r w:rsidRPr="00D73E11">
              <w:rPr>
                <w:rFonts w:eastAsia="Times New Roman"/>
                <w:noProof/>
                <w:szCs w:val="24"/>
                <w:lang w:eastAsia="en-IE"/>
              </w:rPr>
              <w:t xml:space="preserve"> adopt implementing acts</w:t>
            </w:r>
            <w:r w:rsidRPr="00D73E11">
              <w:rPr>
                <w:rFonts w:eastAsia="Times New Roman"/>
                <w:noProof/>
                <w:szCs w:val="24"/>
                <w:lang w:val="en-IE" w:eastAsia="en-IE"/>
              </w:rPr>
              <w:t> </w:t>
            </w:r>
          </w:p>
        </w:tc>
        <w:tc>
          <w:tcPr>
            <w:tcW w:w="183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1866381F" w14:textId="77777777" w:rsidR="007476E9" w:rsidRPr="00D73E11" w:rsidRDefault="007476E9">
            <w:pPr>
              <w:spacing w:before="0" w:after="0"/>
              <w:jc w:val="left"/>
              <w:textAlignment w:val="baseline"/>
              <w:rPr>
                <w:rFonts w:ascii="Segoe UI" w:eastAsia="Times New Roman" w:hAnsi="Segoe UI" w:cs="Segoe UI"/>
                <w:noProof/>
                <w:sz w:val="18"/>
                <w:szCs w:val="18"/>
                <w:lang w:val="en-IE" w:eastAsia="en-IE"/>
              </w:rPr>
            </w:pPr>
            <w:r w:rsidRPr="00D73E11">
              <w:rPr>
                <w:rFonts w:eastAsia="Times New Roman"/>
                <w:noProof/>
                <w:szCs w:val="24"/>
                <w:lang w:val="en-IE" w:eastAsia="en-IE"/>
              </w:rPr>
              <w:t> </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2483C8DE" w14:textId="77777777" w:rsidR="007476E9" w:rsidRPr="00D73E11" w:rsidRDefault="007476E9">
            <w:pPr>
              <w:spacing w:before="0" w:after="0"/>
              <w:jc w:val="left"/>
              <w:textAlignment w:val="baseline"/>
              <w:rPr>
                <w:rFonts w:ascii="Segoe UI" w:eastAsia="Times New Roman" w:hAnsi="Segoe UI" w:cs="Segoe UI"/>
                <w:noProof/>
                <w:sz w:val="18"/>
                <w:szCs w:val="18"/>
                <w:lang w:val="en-IE" w:eastAsia="en-IE"/>
              </w:rPr>
            </w:pPr>
            <w:r w:rsidRPr="00D73E11">
              <w:rPr>
                <w:rFonts w:eastAsia="Times New Roman"/>
                <w:noProof/>
                <w:szCs w:val="24"/>
                <w:lang w:eastAsia="en-IE"/>
              </w:rPr>
              <w:t>N/A</w:t>
            </w:r>
            <w:r w:rsidRPr="00D73E11">
              <w:rPr>
                <w:rFonts w:eastAsia="Times New Roman"/>
                <w:noProof/>
                <w:szCs w:val="24"/>
                <w:lang w:val="en-IE" w:eastAsia="en-IE"/>
              </w:rPr>
              <w:t> </w:t>
            </w:r>
          </w:p>
        </w:tc>
      </w:tr>
      <w:tr w:rsidR="007476E9" w:rsidRPr="00D73E11" w14:paraId="27213C31" w14:textId="77777777">
        <w:trPr>
          <w:trHeight w:val="285"/>
        </w:trPr>
        <w:tc>
          <w:tcPr>
            <w:tcW w:w="424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7D4A0B0F" w14:textId="48669A97" w:rsidR="007476E9" w:rsidRPr="00301BF5" w:rsidRDefault="007476E9">
            <w:pPr>
              <w:pStyle w:val="NumPar1"/>
              <w:numPr>
                <w:ilvl w:val="0"/>
                <w:numId w:val="0"/>
              </w:numPr>
              <w:spacing w:before="0" w:after="0"/>
              <w:rPr>
                <w:noProof/>
                <w:lang w:eastAsia="en-IE"/>
              </w:rPr>
            </w:pPr>
            <w:r w:rsidRPr="00E65C5B">
              <w:rPr>
                <w:noProof/>
                <w:lang w:eastAsia="en-IE"/>
              </w:rPr>
              <w:t xml:space="preserve">The Commission is empowered to adopt delegated acts in accordance with </w:t>
            </w:r>
            <w:r w:rsidRPr="004F37A8">
              <w:rPr>
                <w:noProof/>
                <w:lang w:eastAsia="en-IE"/>
              </w:rPr>
              <w:t>Article 1</w:t>
            </w:r>
            <w:r w:rsidR="00704681">
              <w:rPr>
                <w:noProof/>
                <w:lang w:eastAsia="en-IE"/>
              </w:rPr>
              <w:t>1</w:t>
            </w:r>
            <w:r w:rsidR="008B3197">
              <w:rPr>
                <w:noProof/>
                <w:lang w:eastAsia="en-IE"/>
              </w:rPr>
              <w:t>9</w:t>
            </w:r>
            <w:r w:rsidRPr="00E65C5B">
              <w:rPr>
                <w:noProof/>
                <w:lang w:eastAsia="en-IE"/>
              </w:rPr>
              <w:t xml:space="preserve"> </w:t>
            </w:r>
            <w:r>
              <w:rPr>
                <w:noProof/>
                <w:lang w:eastAsia="en-IE"/>
              </w:rPr>
              <w:t>to amend</w:t>
            </w:r>
            <w:r w:rsidRPr="00E65C5B">
              <w:rPr>
                <w:noProof/>
                <w:lang w:eastAsia="en-IE"/>
              </w:rPr>
              <w:t xml:space="preserve"> </w:t>
            </w:r>
            <w:r>
              <w:rPr>
                <w:noProof/>
                <w:lang w:eastAsia="en-IE"/>
              </w:rPr>
              <w:t xml:space="preserve">in paragraph 1 of this Article by adding or modifying security objectives in order to ensure that they reflect the latest </w:t>
            </w:r>
            <w:r>
              <w:rPr>
                <w:noProof/>
              </w:rPr>
              <w:t>technological development and new related threats as well as adoption of new Union legislation</w:t>
            </w:r>
            <w:r>
              <w:rPr>
                <w:noProof/>
                <w:lang w:eastAsia="en-IE"/>
              </w:rPr>
              <w:t xml:space="preserve"> s</w:t>
            </w:r>
            <w:r w:rsidRPr="0072367B">
              <w:rPr>
                <w:noProof/>
                <w:lang w:eastAsia="en-IE"/>
              </w:rPr>
              <w:t>etting out the presumption of conformity</w:t>
            </w:r>
            <w:r>
              <w:rPr>
                <w:noProof/>
                <w:lang w:eastAsia="en-IE"/>
              </w:rPr>
              <w:t xml:space="preserve"> through European cybersecurity certification with relevant cybersecurity requirements of that legislation.</w:t>
            </w:r>
          </w:p>
          <w:p w14:paraId="1C9738A9" w14:textId="77777777" w:rsidR="007476E9" w:rsidRPr="00D73E11" w:rsidRDefault="007476E9">
            <w:pPr>
              <w:spacing w:before="0" w:after="0"/>
              <w:textAlignment w:val="baseline"/>
              <w:rPr>
                <w:rFonts w:ascii="Segoe UI" w:eastAsia="Times New Roman" w:hAnsi="Segoe UI" w:cs="Segoe UI"/>
                <w:noProof/>
                <w:sz w:val="18"/>
                <w:szCs w:val="18"/>
                <w:lang w:val="en-IE" w:eastAsia="en-IE"/>
              </w:rPr>
            </w:pP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706568C2" w14:textId="77777777" w:rsidR="007476E9" w:rsidRPr="00D73E11" w:rsidRDefault="007476E9">
            <w:pPr>
              <w:spacing w:before="0" w:after="0"/>
              <w:jc w:val="left"/>
              <w:textAlignment w:val="baseline"/>
              <w:rPr>
                <w:rFonts w:ascii="Segoe UI" w:eastAsia="Times New Roman" w:hAnsi="Segoe UI" w:cs="Segoe UI"/>
                <w:noProof/>
                <w:sz w:val="18"/>
                <w:szCs w:val="18"/>
                <w:lang w:val="en-IE" w:eastAsia="en-IE"/>
              </w:rPr>
            </w:pPr>
            <w:r>
              <w:rPr>
                <w:rFonts w:eastAsia="Times New Roman"/>
                <w:noProof/>
                <w:szCs w:val="24"/>
                <w:lang w:eastAsia="en-IE"/>
              </w:rPr>
              <w:t xml:space="preserve">Article </w:t>
            </w:r>
            <w:r w:rsidRPr="00D73E11">
              <w:rPr>
                <w:rFonts w:eastAsia="Times New Roman"/>
                <w:noProof/>
                <w:szCs w:val="24"/>
                <w:lang w:eastAsia="en-IE"/>
              </w:rPr>
              <w:t>80(2)</w:t>
            </w:r>
            <w:r w:rsidRPr="00D73E11">
              <w:rPr>
                <w:rFonts w:eastAsia="Times New Roman"/>
                <w:noProof/>
                <w:szCs w:val="24"/>
                <w:lang w:val="en-IE" w:eastAsia="en-IE"/>
              </w:rPr>
              <w:t> </w:t>
            </w:r>
          </w:p>
        </w:tc>
        <w:tc>
          <w:tcPr>
            <w:tcW w:w="201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7D70D19C" w14:textId="77777777" w:rsidR="007476E9" w:rsidRPr="00D73E11" w:rsidRDefault="007476E9">
            <w:pPr>
              <w:spacing w:before="0" w:after="0"/>
              <w:jc w:val="left"/>
              <w:textAlignment w:val="baseline"/>
              <w:rPr>
                <w:rFonts w:ascii="Segoe UI" w:eastAsia="Times New Roman" w:hAnsi="Segoe UI" w:cs="Segoe UI"/>
                <w:noProof/>
                <w:sz w:val="18"/>
                <w:szCs w:val="18"/>
                <w:lang w:val="en-IE" w:eastAsia="en-IE"/>
              </w:rPr>
            </w:pPr>
            <w:r w:rsidRPr="00D73E11">
              <w:rPr>
                <w:rFonts w:eastAsia="Times New Roman"/>
                <w:noProof/>
                <w:szCs w:val="24"/>
                <w:lang w:eastAsia="en-IE"/>
              </w:rPr>
              <w:t xml:space="preserve">Commission </w:t>
            </w:r>
            <w:r>
              <w:rPr>
                <w:rFonts w:eastAsia="Times New Roman"/>
                <w:noProof/>
                <w:szCs w:val="24"/>
                <w:lang w:eastAsia="en-IE"/>
              </w:rPr>
              <w:t>is empowered to</w:t>
            </w:r>
            <w:r w:rsidRPr="00D73E11">
              <w:rPr>
                <w:rFonts w:eastAsia="Times New Roman"/>
                <w:noProof/>
                <w:szCs w:val="24"/>
                <w:lang w:eastAsia="en-IE"/>
              </w:rPr>
              <w:t xml:space="preserve"> adopt </w:t>
            </w:r>
            <w:r>
              <w:rPr>
                <w:rFonts w:eastAsia="Times New Roman"/>
                <w:noProof/>
                <w:szCs w:val="24"/>
                <w:lang w:eastAsia="en-IE"/>
              </w:rPr>
              <w:t>delegated</w:t>
            </w:r>
            <w:r w:rsidRPr="00D73E11">
              <w:rPr>
                <w:rFonts w:eastAsia="Times New Roman"/>
                <w:noProof/>
                <w:szCs w:val="24"/>
                <w:lang w:eastAsia="en-IE"/>
              </w:rPr>
              <w:t xml:space="preserve"> acts</w:t>
            </w:r>
            <w:r w:rsidRPr="00D73E11">
              <w:rPr>
                <w:rFonts w:eastAsia="Times New Roman"/>
                <w:noProof/>
                <w:szCs w:val="24"/>
                <w:lang w:val="en-IE" w:eastAsia="en-IE"/>
              </w:rPr>
              <w:t> </w:t>
            </w:r>
          </w:p>
        </w:tc>
        <w:tc>
          <w:tcPr>
            <w:tcW w:w="183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6C2646AE" w14:textId="77777777" w:rsidR="007476E9" w:rsidRPr="00D73E11" w:rsidRDefault="007476E9">
            <w:pPr>
              <w:spacing w:before="0" w:after="0"/>
              <w:jc w:val="left"/>
              <w:textAlignment w:val="baseline"/>
              <w:rPr>
                <w:rFonts w:ascii="Segoe UI" w:eastAsia="Times New Roman" w:hAnsi="Segoe UI" w:cs="Segoe UI"/>
                <w:noProof/>
                <w:sz w:val="18"/>
                <w:szCs w:val="18"/>
                <w:lang w:val="en-IE" w:eastAsia="en-IE"/>
              </w:rPr>
            </w:pPr>
            <w:r w:rsidRPr="00D73E11">
              <w:rPr>
                <w:rFonts w:eastAsia="Times New Roman"/>
                <w:noProof/>
                <w:szCs w:val="24"/>
                <w:lang w:val="en-IE" w:eastAsia="en-IE"/>
              </w:rPr>
              <w:t> </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1372688A" w14:textId="77777777" w:rsidR="007476E9" w:rsidRPr="00D73E11" w:rsidRDefault="007476E9">
            <w:pPr>
              <w:spacing w:before="0" w:after="0"/>
              <w:jc w:val="left"/>
              <w:textAlignment w:val="baseline"/>
              <w:rPr>
                <w:rFonts w:ascii="Segoe UI" w:eastAsia="Times New Roman" w:hAnsi="Segoe UI" w:cs="Segoe UI"/>
                <w:noProof/>
                <w:sz w:val="18"/>
                <w:szCs w:val="18"/>
                <w:lang w:val="en-IE" w:eastAsia="en-IE"/>
              </w:rPr>
            </w:pPr>
            <w:r w:rsidRPr="00D73E11">
              <w:rPr>
                <w:rFonts w:eastAsia="Times New Roman"/>
                <w:noProof/>
                <w:szCs w:val="24"/>
                <w:lang w:eastAsia="en-IE"/>
              </w:rPr>
              <w:t>N/A</w:t>
            </w:r>
            <w:r w:rsidRPr="00D73E11">
              <w:rPr>
                <w:rFonts w:eastAsia="Times New Roman"/>
                <w:noProof/>
                <w:szCs w:val="24"/>
                <w:lang w:val="en-IE" w:eastAsia="en-IE"/>
              </w:rPr>
              <w:t> </w:t>
            </w:r>
          </w:p>
        </w:tc>
      </w:tr>
      <w:tr w:rsidR="007476E9" w:rsidRPr="00D73E11" w14:paraId="6685660B" w14:textId="77777777">
        <w:trPr>
          <w:trHeight w:val="285"/>
        </w:trPr>
        <w:tc>
          <w:tcPr>
            <w:tcW w:w="424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410EF745" w14:textId="77777777" w:rsidR="007476E9" w:rsidRPr="00FC2BB2" w:rsidRDefault="007476E9">
            <w:pPr>
              <w:pStyle w:val="NumPar1"/>
              <w:numPr>
                <w:ilvl w:val="0"/>
                <w:numId w:val="0"/>
              </w:numPr>
              <w:spacing w:before="0" w:after="0"/>
              <w:rPr>
                <w:i/>
                <w:noProof/>
                <w:lang w:eastAsia="en-IE"/>
              </w:rPr>
            </w:pPr>
            <w:r w:rsidRPr="00164577">
              <w:rPr>
                <w:noProof/>
                <w:lang w:eastAsia="en-IE"/>
              </w:rPr>
              <w:t xml:space="preserve">The Commission </w:t>
            </w:r>
            <w:r>
              <w:rPr>
                <w:noProof/>
                <w:lang w:eastAsia="en-IE"/>
              </w:rPr>
              <w:t>is empowered to</w:t>
            </w:r>
            <w:r w:rsidRPr="00164577">
              <w:rPr>
                <w:noProof/>
                <w:lang w:eastAsia="en-IE"/>
              </w:rPr>
              <w:t xml:space="preserve"> adopt implementing acts laying down common </w:t>
            </w:r>
            <w:r w:rsidRPr="00510CBB">
              <w:rPr>
                <w:noProof/>
                <w:lang w:eastAsia="en-IE"/>
              </w:rPr>
              <w:t xml:space="preserve">principles and </w:t>
            </w:r>
            <w:r>
              <w:rPr>
                <w:noProof/>
                <w:lang w:eastAsia="en-IE"/>
              </w:rPr>
              <w:t>model</w:t>
            </w:r>
            <w:r w:rsidRPr="00510CBB">
              <w:rPr>
                <w:noProof/>
                <w:lang w:eastAsia="en-IE"/>
              </w:rPr>
              <w:t xml:space="preserve"> provisions </w:t>
            </w:r>
            <w:r w:rsidRPr="000079BD">
              <w:rPr>
                <w:noProof/>
                <w:lang w:eastAsia="en-IE"/>
              </w:rPr>
              <w:t>for elements set out in paragraph</w:t>
            </w:r>
            <w:r>
              <w:rPr>
                <w:noProof/>
                <w:lang w:eastAsia="en-IE"/>
              </w:rPr>
              <w:t>s</w:t>
            </w:r>
            <w:r w:rsidRPr="000079BD">
              <w:rPr>
                <w:noProof/>
                <w:lang w:eastAsia="en-IE"/>
              </w:rPr>
              <w:t xml:space="preserve"> </w:t>
            </w:r>
            <w:r>
              <w:rPr>
                <w:noProof/>
                <w:lang w:eastAsia="en-IE"/>
              </w:rPr>
              <w:t>1, 2 and 3</w:t>
            </w:r>
            <w:r w:rsidRPr="000079BD">
              <w:rPr>
                <w:noProof/>
                <w:lang w:eastAsia="en-IE"/>
              </w:rPr>
              <w:t xml:space="preserve"> across European cybersecurity certification schemes.</w:t>
            </w:r>
            <w:r w:rsidRPr="00164577">
              <w:rPr>
                <w:noProof/>
                <w:lang w:eastAsia="en-IE"/>
              </w:rPr>
              <w:t xml:space="preserve"> </w:t>
            </w:r>
            <w:r>
              <w:rPr>
                <w:noProof/>
                <w:lang w:eastAsia="en-IE"/>
              </w:rPr>
              <w:t xml:space="preserve">Where appropriate and available, a </w:t>
            </w:r>
            <w:r w:rsidRPr="00010481">
              <w:rPr>
                <w:noProof/>
                <w:lang w:eastAsia="en-IE"/>
              </w:rPr>
              <w:t xml:space="preserve">European cybersecurity certification scheme </w:t>
            </w:r>
            <w:r>
              <w:rPr>
                <w:noProof/>
                <w:lang w:eastAsia="en-IE"/>
              </w:rPr>
              <w:t>may include references to those principles and model provisions.</w:t>
            </w:r>
            <w:r w:rsidRPr="00164577">
              <w:rPr>
                <w:noProof/>
                <w:lang w:eastAsia="en-IE"/>
              </w:rPr>
              <w:t xml:space="preserve"> </w:t>
            </w:r>
          </w:p>
          <w:p w14:paraId="7630F93D" w14:textId="5FEB7E7D" w:rsidR="007476E9" w:rsidRPr="00926915" w:rsidRDefault="007476E9">
            <w:pPr>
              <w:pStyle w:val="NumPar1"/>
              <w:numPr>
                <w:ilvl w:val="0"/>
                <w:numId w:val="0"/>
              </w:numPr>
              <w:spacing w:before="0" w:after="0"/>
              <w:rPr>
                <w:i/>
                <w:noProof/>
                <w:lang w:eastAsia="en-IE"/>
              </w:rPr>
            </w:pPr>
            <w:r>
              <w:rPr>
                <w:noProof/>
                <w:lang w:eastAsia="en-IE"/>
              </w:rPr>
              <w:t>The</w:t>
            </w:r>
            <w:r w:rsidRPr="00A115C7">
              <w:rPr>
                <w:noProof/>
                <w:lang w:eastAsia="en-IE"/>
              </w:rPr>
              <w:t xml:space="preserve"> implementing acts </w:t>
            </w:r>
            <w:r>
              <w:rPr>
                <w:noProof/>
                <w:lang w:eastAsia="en-IE"/>
              </w:rPr>
              <w:t xml:space="preserve">referred to in the first subparagraph </w:t>
            </w:r>
            <w:r w:rsidRPr="00A115C7">
              <w:rPr>
                <w:noProof/>
                <w:lang w:eastAsia="en-IE"/>
              </w:rPr>
              <w:t xml:space="preserve">shall be adopted in accordance with the examination procedure referred to in </w:t>
            </w:r>
            <w:r w:rsidRPr="004F37A8">
              <w:rPr>
                <w:noProof/>
                <w:lang w:eastAsia="en-IE"/>
              </w:rPr>
              <w:t>Article 1</w:t>
            </w:r>
            <w:r w:rsidR="00704681">
              <w:rPr>
                <w:noProof/>
                <w:lang w:eastAsia="en-IE"/>
              </w:rPr>
              <w:t>1</w:t>
            </w:r>
            <w:r w:rsidR="00552AB7">
              <w:rPr>
                <w:noProof/>
                <w:lang w:eastAsia="en-IE"/>
              </w:rPr>
              <w:t>8</w:t>
            </w:r>
            <w:r w:rsidRPr="004F37A8">
              <w:rPr>
                <w:noProof/>
                <w:lang w:eastAsia="en-IE"/>
              </w:rPr>
              <w:t>(2).</w:t>
            </w:r>
            <w:r w:rsidRPr="00A115C7">
              <w:rPr>
                <w:noProof/>
                <w:lang w:eastAsia="en-IE"/>
              </w:rPr>
              <w:t xml:space="preserve"> </w:t>
            </w:r>
            <w:r w:rsidRPr="00A115C7">
              <w:rPr>
                <w:noProof/>
                <w:color w:val="000000" w:themeColor="text1"/>
                <w:lang w:eastAsia="en-IE"/>
              </w:rPr>
              <w:t xml:space="preserve">When developing or </w:t>
            </w:r>
            <w:r w:rsidRPr="00A115C7">
              <w:rPr>
                <w:noProof/>
                <w:lang w:eastAsia="en-IE"/>
              </w:rPr>
              <w:t xml:space="preserve">revising </w:t>
            </w:r>
            <w:r>
              <w:rPr>
                <w:noProof/>
                <w:lang w:eastAsia="en-IE"/>
              </w:rPr>
              <w:t xml:space="preserve">the </w:t>
            </w:r>
            <w:r w:rsidRPr="00A115C7">
              <w:rPr>
                <w:noProof/>
                <w:lang w:eastAsia="en-IE"/>
              </w:rPr>
              <w:t xml:space="preserve">common </w:t>
            </w:r>
            <w:r>
              <w:rPr>
                <w:noProof/>
                <w:lang w:eastAsia="en-IE"/>
              </w:rPr>
              <w:t>principles and model provisions for</w:t>
            </w:r>
            <w:r w:rsidRPr="00A115C7">
              <w:rPr>
                <w:noProof/>
                <w:lang w:eastAsia="en-IE"/>
              </w:rPr>
              <w:t xml:space="preserve"> the elements of European cybersecurity certification scheme</w:t>
            </w:r>
            <w:r>
              <w:rPr>
                <w:noProof/>
                <w:lang w:eastAsia="en-IE"/>
              </w:rPr>
              <w:t>s</w:t>
            </w:r>
            <w:r w:rsidRPr="00A115C7">
              <w:rPr>
                <w:noProof/>
                <w:color w:val="000000" w:themeColor="text1"/>
                <w:lang w:eastAsia="en-IE"/>
              </w:rPr>
              <w:t>, the Commission shall</w:t>
            </w:r>
            <w:r w:rsidRPr="00A115C7">
              <w:rPr>
                <w:noProof/>
                <w:lang w:eastAsia="en-IE"/>
              </w:rPr>
              <w:t xml:space="preserve"> consult </w:t>
            </w:r>
            <w:r w:rsidRPr="000E7983">
              <w:rPr>
                <w:noProof/>
                <w:lang w:eastAsia="en-IE"/>
              </w:rPr>
              <w:t>ENISA</w:t>
            </w:r>
            <w:r w:rsidRPr="00A115C7">
              <w:rPr>
                <w:noProof/>
                <w:lang w:eastAsia="en-IE"/>
              </w:rPr>
              <w:t xml:space="preserve"> and</w:t>
            </w:r>
            <w:r w:rsidRPr="00A115C7">
              <w:rPr>
                <w:noProof/>
                <w:color w:val="000000" w:themeColor="text1"/>
                <w:lang w:eastAsia="en-IE"/>
              </w:rPr>
              <w:t xml:space="preserve"> take into account, as appropriate, views expressed by the ECCG, relevant stakeholders and other relevant bodies.</w:t>
            </w:r>
          </w:p>
          <w:p w14:paraId="4FD69DEF" w14:textId="77777777" w:rsidR="007476E9" w:rsidRPr="00D73E11" w:rsidRDefault="007476E9">
            <w:pPr>
              <w:spacing w:before="0" w:after="0"/>
              <w:textAlignment w:val="baseline"/>
              <w:rPr>
                <w:rFonts w:ascii="Segoe UI" w:eastAsia="Times New Roman" w:hAnsi="Segoe UI" w:cs="Segoe UI"/>
                <w:noProof/>
                <w:sz w:val="18"/>
                <w:szCs w:val="18"/>
                <w:lang w:val="en-IE" w:eastAsia="en-IE"/>
              </w:rPr>
            </w:pP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7775AE91" w14:textId="77777777" w:rsidR="007476E9" w:rsidRPr="00D73E11" w:rsidRDefault="007476E9">
            <w:pPr>
              <w:spacing w:before="0" w:after="0"/>
              <w:jc w:val="left"/>
              <w:textAlignment w:val="baseline"/>
              <w:rPr>
                <w:rFonts w:ascii="Segoe UI" w:eastAsia="Times New Roman" w:hAnsi="Segoe UI" w:cs="Segoe UI"/>
                <w:noProof/>
                <w:sz w:val="18"/>
                <w:szCs w:val="18"/>
                <w:lang w:val="en-IE" w:eastAsia="en-IE"/>
              </w:rPr>
            </w:pPr>
            <w:r w:rsidRPr="00D73E11">
              <w:rPr>
                <w:rFonts w:eastAsia="Times New Roman"/>
                <w:noProof/>
                <w:szCs w:val="24"/>
                <w:lang w:eastAsia="en-IE"/>
              </w:rPr>
              <w:t>Article 81(5)</w:t>
            </w:r>
            <w:r w:rsidRPr="00D73E11">
              <w:rPr>
                <w:rFonts w:eastAsia="Times New Roman"/>
                <w:noProof/>
                <w:szCs w:val="24"/>
                <w:lang w:val="en-IE" w:eastAsia="en-IE"/>
              </w:rPr>
              <w:t> </w:t>
            </w:r>
          </w:p>
        </w:tc>
        <w:tc>
          <w:tcPr>
            <w:tcW w:w="201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78B6DB38" w14:textId="77777777" w:rsidR="007476E9" w:rsidRPr="00D73E11" w:rsidRDefault="007476E9">
            <w:pPr>
              <w:spacing w:before="0" w:after="0"/>
              <w:jc w:val="left"/>
              <w:textAlignment w:val="baseline"/>
              <w:rPr>
                <w:rFonts w:ascii="Segoe UI" w:eastAsia="Times New Roman" w:hAnsi="Segoe UI" w:cs="Segoe UI"/>
                <w:noProof/>
                <w:sz w:val="18"/>
                <w:szCs w:val="18"/>
                <w:lang w:val="en-IE" w:eastAsia="en-IE"/>
              </w:rPr>
            </w:pPr>
            <w:r w:rsidRPr="00D73E11">
              <w:rPr>
                <w:rFonts w:eastAsia="Times New Roman"/>
                <w:noProof/>
                <w:szCs w:val="24"/>
                <w:lang w:eastAsia="en-IE"/>
              </w:rPr>
              <w:t xml:space="preserve">Commission </w:t>
            </w:r>
            <w:r>
              <w:rPr>
                <w:rFonts w:eastAsia="Times New Roman"/>
                <w:noProof/>
                <w:szCs w:val="24"/>
                <w:lang w:eastAsia="en-IE"/>
              </w:rPr>
              <w:t>is empowered to</w:t>
            </w:r>
            <w:r w:rsidRPr="00D73E11">
              <w:rPr>
                <w:rFonts w:eastAsia="Times New Roman"/>
                <w:noProof/>
                <w:szCs w:val="24"/>
                <w:lang w:eastAsia="en-IE"/>
              </w:rPr>
              <w:t xml:space="preserve"> adopt implementing acts</w:t>
            </w:r>
            <w:r w:rsidRPr="00D73E11">
              <w:rPr>
                <w:rFonts w:eastAsia="Times New Roman"/>
                <w:noProof/>
                <w:szCs w:val="24"/>
                <w:lang w:val="en-IE" w:eastAsia="en-IE"/>
              </w:rPr>
              <w:t> </w:t>
            </w:r>
          </w:p>
        </w:tc>
        <w:tc>
          <w:tcPr>
            <w:tcW w:w="183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1A04FEF0" w14:textId="77777777" w:rsidR="007476E9" w:rsidRPr="00D73E11" w:rsidRDefault="007476E9">
            <w:pPr>
              <w:spacing w:before="0" w:after="0"/>
              <w:jc w:val="left"/>
              <w:textAlignment w:val="baseline"/>
              <w:rPr>
                <w:rFonts w:ascii="Segoe UI" w:eastAsia="Times New Roman" w:hAnsi="Segoe UI" w:cs="Segoe UI"/>
                <w:noProof/>
                <w:sz w:val="18"/>
                <w:szCs w:val="18"/>
                <w:lang w:val="en-IE" w:eastAsia="en-IE"/>
              </w:rPr>
            </w:pPr>
            <w:r w:rsidRPr="00D73E11">
              <w:rPr>
                <w:rFonts w:eastAsia="Times New Roman"/>
                <w:noProof/>
                <w:szCs w:val="24"/>
                <w:lang w:eastAsia="en-IE"/>
              </w:rPr>
              <w:t>ENISA</w:t>
            </w:r>
            <w:r w:rsidRPr="00D73E11">
              <w:rPr>
                <w:rFonts w:eastAsia="Times New Roman"/>
                <w:noProof/>
                <w:szCs w:val="24"/>
                <w:lang w:val="en-IE" w:eastAsia="en-IE"/>
              </w:rPr>
              <w:t> </w:t>
            </w:r>
          </w:p>
          <w:p w14:paraId="4CB4FFF3" w14:textId="77777777" w:rsidR="007476E9" w:rsidRPr="00D73E11" w:rsidRDefault="007476E9">
            <w:pPr>
              <w:spacing w:before="0" w:after="0"/>
              <w:jc w:val="left"/>
              <w:textAlignment w:val="baseline"/>
              <w:rPr>
                <w:rFonts w:ascii="Segoe UI" w:eastAsia="Times New Roman" w:hAnsi="Segoe UI" w:cs="Segoe UI"/>
                <w:noProof/>
                <w:sz w:val="18"/>
                <w:szCs w:val="18"/>
                <w:lang w:val="en-IE" w:eastAsia="en-IE"/>
              </w:rPr>
            </w:pPr>
            <w:r w:rsidRPr="00D73E11">
              <w:rPr>
                <w:rFonts w:eastAsia="Times New Roman"/>
                <w:noProof/>
                <w:szCs w:val="24"/>
                <w:lang w:eastAsia="en-IE"/>
              </w:rPr>
              <w:t>ECCG</w:t>
            </w:r>
            <w:r w:rsidRPr="00D73E11">
              <w:rPr>
                <w:rFonts w:eastAsia="Times New Roman"/>
                <w:noProof/>
                <w:szCs w:val="24"/>
                <w:lang w:val="en-IE" w:eastAsia="en-IE"/>
              </w:rPr>
              <w:t> </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56CBE10C" w14:textId="77777777" w:rsidR="007476E9" w:rsidRPr="00D73E11" w:rsidRDefault="007476E9">
            <w:pPr>
              <w:spacing w:before="0" w:after="0"/>
              <w:jc w:val="left"/>
              <w:textAlignment w:val="baseline"/>
              <w:rPr>
                <w:rFonts w:ascii="Segoe UI" w:eastAsia="Times New Roman" w:hAnsi="Segoe UI" w:cs="Segoe UI"/>
                <w:noProof/>
                <w:sz w:val="18"/>
                <w:szCs w:val="18"/>
                <w:lang w:val="en-IE" w:eastAsia="en-IE"/>
              </w:rPr>
            </w:pPr>
            <w:r w:rsidRPr="00D73E11">
              <w:rPr>
                <w:rFonts w:eastAsia="Times New Roman"/>
                <w:noProof/>
                <w:szCs w:val="24"/>
                <w:lang w:eastAsia="en-IE"/>
              </w:rPr>
              <w:t>N/A</w:t>
            </w:r>
            <w:r w:rsidRPr="00D73E11">
              <w:rPr>
                <w:rFonts w:eastAsia="Times New Roman"/>
                <w:noProof/>
                <w:szCs w:val="24"/>
                <w:lang w:val="en-IE" w:eastAsia="en-IE"/>
              </w:rPr>
              <w:t> </w:t>
            </w:r>
          </w:p>
        </w:tc>
      </w:tr>
      <w:tr w:rsidR="007476E9" w:rsidRPr="00D73E11" w14:paraId="5551B8AB" w14:textId="77777777">
        <w:trPr>
          <w:trHeight w:val="285"/>
        </w:trPr>
        <w:tc>
          <w:tcPr>
            <w:tcW w:w="424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26A8A849" w14:textId="6CA8A7BB" w:rsidR="007476E9" w:rsidRPr="006D3B52" w:rsidRDefault="007476E9">
            <w:pPr>
              <w:pStyle w:val="NumPar1"/>
              <w:numPr>
                <w:ilvl w:val="0"/>
                <w:numId w:val="0"/>
              </w:numPr>
              <w:spacing w:before="0" w:after="0"/>
              <w:rPr>
                <w:noProof/>
                <w:lang w:eastAsia="en-IE"/>
              </w:rPr>
            </w:pPr>
            <w:r w:rsidRPr="006D3B52">
              <w:rPr>
                <w:noProof/>
                <w:lang w:eastAsia="en-IE"/>
              </w:rPr>
              <w:t xml:space="preserve">The Commission </w:t>
            </w:r>
            <w:r>
              <w:rPr>
                <w:noProof/>
                <w:lang w:eastAsia="en-IE"/>
              </w:rPr>
              <w:t>is empowered to</w:t>
            </w:r>
            <w:r w:rsidRPr="006D3B52">
              <w:rPr>
                <w:noProof/>
                <w:lang w:eastAsia="en-IE"/>
              </w:rPr>
              <w:t xml:space="preserve"> adopt implementing acts specifying procedures for prior approval or general delegation models </w:t>
            </w:r>
            <w:r>
              <w:rPr>
                <w:noProof/>
                <w:lang w:eastAsia="en-IE"/>
              </w:rPr>
              <w:t xml:space="preserve">referred to </w:t>
            </w:r>
            <w:r w:rsidRPr="006D3B52">
              <w:rPr>
                <w:noProof/>
                <w:lang w:eastAsia="en-IE"/>
              </w:rPr>
              <w:t>in paragraph 4</w:t>
            </w:r>
            <w:r>
              <w:rPr>
                <w:noProof/>
                <w:lang w:eastAsia="en-IE"/>
              </w:rPr>
              <w:t xml:space="preserve"> of this Article</w:t>
            </w:r>
            <w:r w:rsidRPr="006D3B52">
              <w:rPr>
                <w:noProof/>
                <w:lang w:eastAsia="en-IE"/>
              </w:rPr>
              <w:t xml:space="preserve">. In the preparation process for those implementing acts, the Commission shall consult the ECCG. Those implementing acts shall be adopted in accordance with the examination procedure referred to in </w:t>
            </w:r>
            <w:r w:rsidRPr="004F37A8">
              <w:rPr>
                <w:noProof/>
                <w:lang w:eastAsia="en-IE"/>
              </w:rPr>
              <w:t>Article 1</w:t>
            </w:r>
            <w:r w:rsidR="00704681">
              <w:rPr>
                <w:noProof/>
                <w:lang w:eastAsia="en-IE"/>
              </w:rPr>
              <w:t>1</w:t>
            </w:r>
            <w:r w:rsidR="003E6DF0">
              <w:rPr>
                <w:noProof/>
                <w:lang w:eastAsia="en-IE"/>
              </w:rPr>
              <w:t>8</w:t>
            </w:r>
            <w:r w:rsidRPr="004F37A8">
              <w:rPr>
                <w:noProof/>
                <w:lang w:eastAsia="en-IE"/>
              </w:rPr>
              <w:t>(2).</w:t>
            </w:r>
          </w:p>
          <w:p w14:paraId="2F4CCEC3" w14:textId="77777777" w:rsidR="007476E9" w:rsidRPr="00D73E11" w:rsidRDefault="007476E9">
            <w:pPr>
              <w:spacing w:before="0" w:after="0"/>
              <w:textAlignment w:val="baseline"/>
              <w:rPr>
                <w:rFonts w:ascii="Segoe UI" w:eastAsia="Times New Roman" w:hAnsi="Segoe UI" w:cs="Segoe UI"/>
                <w:noProof/>
                <w:sz w:val="18"/>
                <w:szCs w:val="18"/>
                <w:lang w:val="en-IE" w:eastAsia="en-IE"/>
              </w:rPr>
            </w:pP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30A4EB4D" w14:textId="77777777" w:rsidR="007476E9" w:rsidRPr="00D73E11" w:rsidRDefault="007476E9">
            <w:pPr>
              <w:spacing w:before="0" w:after="0"/>
              <w:jc w:val="left"/>
              <w:textAlignment w:val="baseline"/>
              <w:rPr>
                <w:rFonts w:ascii="Segoe UI" w:eastAsia="Times New Roman" w:hAnsi="Segoe UI" w:cs="Segoe UI"/>
                <w:noProof/>
                <w:sz w:val="18"/>
                <w:szCs w:val="18"/>
                <w:lang w:val="en-IE" w:eastAsia="en-IE"/>
              </w:rPr>
            </w:pPr>
            <w:r w:rsidRPr="00D73E11">
              <w:rPr>
                <w:rFonts w:eastAsia="Times New Roman"/>
                <w:noProof/>
                <w:szCs w:val="24"/>
                <w:lang w:eastAsia="en-IE"/>
              </w:rPr>
              <w:t>Article 85(5)</w:t>
            </w:r>
            <w:r w:rsidRPr="00D73E11">
              <w:rPr>
                <w:rFonts w:eastAsia="Times New Roman"/>
                <w:noProof/>
                <w:szCs w:val="24"/>
                <w:lang w:val="en-IE" w:eastAsia="en-IE"/>
              </w:rPr>
              <w:t> </w:t>
            </w:r>
          </w:p>
        </w:tc>
        <w:tc>
          <w:tcPr>
            <w:tcW w:w="201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41E3C85B" w14:textId="77777777" w:rsidR="007476E9" w:rsidRPr="00D73E11" w:rsidRDefault="007476E9">
            <w:pPr>
              <w:spacing w:before="0" w:after="0"/>
              <w:jc w:val="left"/>
              <w:textAlignment w:val="baseline"/>
              <w:rPr>
                <w:rFonts w:ascii="Segoe UI" w:eastAsia="Times New Roman" w:hAnsi="Segoe UI" w:cs="Segoe UI"/>
                <w:noProof/>
                <w:sz w:val="18"/>
                <w:szCs w:val="18"/>
                <w:lang w:val="en-IE" w:eastAsia="en-IE"/>
              </w:rPr>
            </w:pPr>
            <w:r w:rsidRPr="00D73E11">
              <w:rPr>
                <w:rFonts w:eastAsia="Times New Roman"/>
                <w:noProof/>
                <w:szCs w:val="24"/>
                <w:lang w:eastAsia="en-IE"/>
              </w:rPr>
              <w:t xml:space="preserve">Commission </w:t>
            </w:r>
            <w:r>
              <w:rPr>
                <w:rFonts w:eastAsia="Times New Roman"/>
                <w:noProof/>
                <w:szCs w:val="24"/>
                <w:lang w:eastAsia="en-IE"/>
              </w:rPr>
              <w:t>is empowered to</w:t>
            </w:r>
            <w:r w:rsidRPr="00D73E11">
              <w:rPr>
                <w:rFonts w:eastAsia="Times New Roman"/>
                <w:noProof/>
                <w:szCs w:val="24"/>
                <w:lang w:eastAsia="en-IE"/>
              </w:rPr>
              <w:t xml:space="preserve"> adopt implementing acts</w:t>
            </w:r>
            <w:r w:rsidRPr="00D73E11">
              <w:rPr>
                <w:rFonts w:eastAsia="Times New Roman"/>
                <w:noProof/>
                <w:szCs w:val="24"/>
                <w:lang w:val="en-IE" w:eastAsia="en-IE"/>
              </w:rPr>
              <w:t> </w:t>
            </w:r>
          </w:p>
        </w:tc>
        <w:tc>
          <w:tcPr>
            <w:tcW w:w="183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5A8A2DAA" w14:textId="77777777" w:rsidR="007476E9" w:rsidRPr="00D73E11" w:rsidRDefault="007476E9">
            <w:pPr>
              <w:spacing w:before="0" w:after="0"/>
              <w:jc w:val="left"/>
              <w:textAlignment w:val="baseline"/>
              <w:rPr>
                <w:rFonts w:ascii="Segoe UI" w:eastAsia="Times New Roman" w:hAnsi="Segoe UI" w:cs="Segoe UI"/>
                <w:noProof/>
                <w:sz w:val="18"/>
                <w:szCs w:val="18"/>
                <w:lang w:val="en-IE" w:eastAsia="en-IE"/>
              </w:rPr>
            </w:pPr>
            <w:r w:rsidRPr="00D73E11">
              <w:rPr>
                <w:rFonts w:eastAsia="Times New Roman"/>
                <w:noProof/>
                <w:szCs w:val="24"/>
                <w:lang w:eastAsia="en-IE"/>
              </w:rPr>
              <w:t>ECCG</w:t>
            </w:r>
            <w:r w:rsidRPr="00D73E11">
              <w:rPr>
                <w:rFonts w:eastAsia="Times New Roman"/>
                <w:noProof/>
                <w:szCs w:val="24"/>
                <w:lang w:val="en-IE" w:eastAsia="en-IE"/>
              </w:rPr>
              <w:t> </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0206AE19" w14:textId="77777777" w:rsidR="007476E9" w:rsidRPr="00D73E11" w:rsidRDefault="007476E9">
            <w:pPr>
              <w:spacing w:before="0" w:after="0"/>
              <w:jc w:val="left"/>
              <w:textAlignment w:val="baseline"/>
              <w:rPr>
                <w:rFonts w:ascii="Segoe UI" w:eastAsia="Times New Roman" w:hAnsi="Segoe UI" w:cs="Segoe UI"/>
                <w:noProof/>
                <w:sz w:val="18"/>
                <w:szCs w:val="18"/>
                <w:lang w:val="en-IE" w:eastAsia="en-IE"/>
              </w:rPr>
            </w:pPr>
            <w:r w:rsidRPr="00D73E11">
              <w:rPr>
                <w:rFonts w:eastAsia="Times New Roman"/>
                <w:noProof/>
                <w:szCs w:val="24"/>
                <w:lang w:eastAsia="en-IE"/>
              </w:rPr>
              <w:t>N/A</w:t>
            </w:r>
            <w:r w:rsidRPr="00D73E11">
              <w:rPr>
                <w:rFonts w:eastAsia="Times New Roman"/>
                <w:noProof/>
                <w:szCs w:val="24"/>
                <w:lang w:val="en-IE" w:eastAsia="en-IE"/>
              </w:rPr>
              <w:t> </w:t>
            </w:r>
          </w:p>
        </w:tc>
      </w:tr>
      <w:tr w:rsidR="007476E9" w:rsidRPr="00D73E11" w14:paraId="17F398F5" w14:textId="77777777">
        <w:trPr>
          <w:trHeight w:val="285"/>
        </w:trPr>
        <w:tc>
          <w:tcPr>
            <w:tcW w:w="424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3B264BD2" w14:textId="09D01CF3" w:rsidR="007476E9" w:rsidRPr="00E02657" w:rsidRDefault="007476E9">
            <w:pPr>
              <w:pStyle w:val="NumPar1"/>
              <w:numPr>
                <w:ilvl w:val="0"/>
                <w:numId w:val="0"/>
              </w:numPr>
              <w:spacing w:before="0" w:after="0"/>
              <w:rPr>
                <w:noProof/>
                <w:color w:val="000000"/>
                <w:lang w:eastAsia="en-IE"/>
              </w:rPr>
            </w:pPr>
            <w:r w:rsidRPr="00F3399E" w:rsidDel="00BE3AFA">
              <w:rPr>
                <w:noProof/>
                <w:lang w:eastAsia="en-IE"/>
              </w:rPr>
              <w:t xml:space="preserve">Third </w:t>
            </w:r>
            <w:r w:rsidRPr="00F3399E">
              <w:rPr>
                <w:noProof/>
                <w:lang w:eastAsia="en-IE"/>
              </w:rPr>
              <w:t>country c</w:t>
            </w:r>
            <w:r w:rsidRPr="00F3399E">
              <w:rPr>
                <w:noProof/>
                <w:color w:val="000000"/>
                <w:lang w:eastAsia="en-IE"/>
              </w:rPr>
              <w:t>ertif</w:t>
            </w:r>
            <w:r w:rsidRPr="00F3399E">
              <w:rPr>
                <w:noProof/>
                <w:lang w:eastAsia="en-IE"/>
              </w:rPr>
              <w:t>icates of</w:t>
            </w:r>
            <w:r w:rsidRPr="00F3399E">
              <w:rPr>
                <w:noProof/>
                <w:color w:val="000000"/>
                <w:lang w:eastAsia="en-IE"/>
              </w:rPr>
              <w:t xml:space="preserve"> ICT products, ICT services, ICT processes, managed security services and cyber posture of entities </w:t>
            </w:r>
            <w:r w:rsidRPr="00F3399E">
              <w:rPr>
                <w:noProof/>
                <w:lang w:eastAsia="en-IE"/>
              </w:rPr>
              <w:t>may be</w:t>
            </w:r>
            <w:r w:rsidRPr="00F3399E">
              <w:rPr>
                <w:noProof/>
                <w:color w:val="000000"/>
                <w:lang w:eastAsia="en-IE"/>
              </w:rPr>
              <w:t xml:space="preserve"> recognised</w:t>
            </w:r>
            <w:r>
              <w:rPr>
                <w:noProof/>
                <w:color w:val="000000"/>
                <w:lang w:eastAsia="en-IE"/>
              </w:rPr>
              <w:t>, by means of an implementing act or through the conclusion of an agreement between the Union and the third country in question or an international organisation,</w:t>
            </w:r>
            <w:r w:rsidRPr="00F3399E">
              <w:rPr>
                <w:noProof/>
                <w:lang w:eastAsia="en-IE"/>
              </w:rPr>
              <w:t xml:space="preserve"> as</w:t>
            </w:r>
            <w:r w:rsidRPr="00F3399E">
              <w:rPr>
                <w:noProof/>
                <w:color w:val="000000"/>
                <w:lang w:eastAsia="en-IE"/>
              </w:rPr>
              <w:t xml:space="preserve"> </w:t>
            </w:r>
            <w:r w:rsidRPr="00F3399E">
              <w:rPr>
                <w:noProof/>
                <w:lang w:eastAsia="en-IE"/>
              </w:rPr>
              <w:t>equivalent to European cybersecurity certificates</w:t>
            </w:r>
            <w:r>
              <w:rPr>
                <w:noProof/>
                <w:lang w:eastAsia="en-IE"/>
              </w:rPr>
              <w:t xml:space="preserve"> if </w:t>
            </w:r>
            <w:r w:rsidRPr="00F3399E">
              <w:rPr>
                <w:noProof/>
                <w:lang w:eastAsia="en-IE"/>
              </w:rPr>
              <w:t xml:space="preserve">the </w:t>
            </w:r>
            <w:r>
              <w:rPr>
                <w:noProof/>
                <w:lang w:eastAsia="en-IE"/>
              </w:rPr>
              <w:t xml:space="preserve">requirements of the </w:t>
            </w:r>
            <w:r w:rsidRPr="00F3399E">
              <w:rPr>
                <w:noProof/>
                <w:lang w:eastAsia="en-IE"/>
              </w:rPr>
              <w:t xml:space="preserve">relevant </w:t>
            </w:r>
            <w:r>
              <w:rPr>
                <w:noProof/>
                <w:lang w:eastAsia="en-IE"/>
              </w:rPr>
              <w:t xml:space="preserve">third country </w:t>
            </w:r>
            <w:r w:rsidRPr="00F3399E">
              <w:rPr>
                <w:noProof/>
                <w:lang w:eastAsia="en-IE"/>
              </w:rPr>
              <w:t xml:space="preserve">scheme </w:t>
            </w:r>
            <w:r>
              <w:rPr>
                <w:noProof/>
                <w:lang w:eastAsia="en-IE"/>
              </w:rPr>
              <w:t xml:space="preserve">or international organisation scheme are considered </w:t>
            </w:r>
            <w:r w:rsidRPr="00F3399E">
              <w:rPr>
                <w:noProof/>
                <w:lang w:eastAsia="en-IE"/>
              </w:rPr>
              <w:t xml:space="preserve">equivalent </w:t>
            </w:r>
            <w:r>
              <w:rPr>
                <w:noProof/>
                <w:lang w:eastAsia="en-IE"/>
              </w:rPr>
              <w:t xml:space="preserve">to those in European cybersecurity certification schemes. The Commission is empowered to adopt such implementing acts. </w:t>
            </w:r>
            <w:r w:rsidRPr="00F3399E">
              <w:rPr>
                <w:noProof/>
                <w:lang w:eastAsia="en-IE"/>
              </w:rPr>
              <w:t>Th</w:t>
            </w:r>
            <w:r>
              <w:rPr>
                <w:noProof/>
                <w:lang w:eastAsia="en-IE"/>
              </w:rPr>
              <w:t>e</w:t>
            </w:r>
            <w:r w:rsidRPr="00F3399E">
              <w:rPr>
                <w:noProof/>
                <w:lang w:eastAsia="en-IE"/>
              </w:rPr>
              <w:t xml:space="preserve"> implementing acts shall be adopted in accordance with the examination procedure referred to in Article 1</w:t>
            </w:r>
            <w:r w:rsidR="00704681">
              <w:rPr>
                <w:noProof/>
                <w:lang w:eastAsia="en-IE"/>
              </w:rPr>
              <w:t>1</w:t>
            </w:r>
            <w:r w:rsidR="004428E8">
              <w:rPr>
                <w:noProof/>
                <w:lang w:eastAsia="en-IE"/>
              </w:rPr>
              <w:t>8</w:t>
            </w:r>
            <w:r w:rsidRPr="00F3399E">
              <w:rPr>
                <w:noProof/>
                <w:lang w:eastAsia="en-IE"/>
              </w:rPr>
              <w:t xml:space="preserve">(2). </w:t>
            </w:r>
          </w:p>
          <w:p w14:paraId="47377DA6" w14:textId="77777777" w:rsidR="007476E9" w:rsidRPr="00D73E11" w:rsidRDefault="007476E9">
            <w:pPr>
              <w:spacing w:before="0" w:after="0"/>
              <w:textAlignment w:val="baseline"/>
              <w:rPr>
                <w:rFonts w:ascii="Segoe UI" w:eastAsia="Times New Roman" w:hAnsi="Segoe UI" w:cs="Segoe UI"/>
                <w:noProof/>
                <w:sz w:val="18"/>
                <w:szCs w:val="18"/>
                <w:lang w:val="en-IE" w:eastAsia="en-IE"/>
              </w:rPr>
            </w:pP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36DC1249" w14:textId="77777777" w:rsidR="007476E9" w:rsidRPr="00D73E11" w:rsidRDefault="007476E9">
            <w:pPr>
              <w:spacing w:before="0" w:after="0"/>
              <w:jc w:val="left"/>
              <w:textAlignment w:val="baseline"/>
              <w:rPr>
                <w:rFonts w:ascii="Segoe UI" w:eastAsia="Times New Roman" w:hAnsi="Segoe UI" w:cs="Segoe UI"/>
                <w:noProof/>
                <w:sz w:val="18"/>
                <w:szCs w:val="18"/>
                <w:lang w:val="en-IE" w:eastAsia="en-IE"/>
              </w:rPr>
            </w:pPr>
            <w:r w:rsidRPr="00D73E11">
              <w:rPr>
                <w:rFonts w:eastAsia="Times New Roman"/>
                <w:noProof/>
                <w:szCs w:val="24"/>
                <w:lang w:eastAsia="en-IE"/>
              </w:rPr>
              <w:t>Article 87(1)</w:t>
            </w:r>
            <w:r w:rsidRPr="00D73E11">
              <w:rPr>
                <w:rFonts w:eastAsia="Times New Roman"/>
                <w:noProof/>
                <w:szCs w:val="24"/>
                <w:lang w:val="en-IE" w:eastAsia="en-IE"/>
              </w:rPr>
              <w:t> </w:t>
            </w:r>
          </w:p>
        </w:tc>
        <w:tc>
          <w:tcPr>
            <w:tcW w:w="201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33B65136" w14:textId="77777777" w:rsidR="007476E9" w:rsidRPr="00D73E11" w:rsidRDefault="007476E9">
            <w:pPr>
              <w:spacing w:before="0" w:after="0"/>
              <w:jc w:val="left"/>
              <w:textAlignment w:val="baseline"/>
              <w:rPr>
                <w:rFonts w:ascii="Segoe UI" w:eastAsia="Times New Roman" w:hAnsi="Segoe UI" w:cs="Segoe UI"/>
                <w:noProof/>
                <w:sz w:val="18"/>
                <w:szCs w:val="18"/>
                <w:lang w:val="en-IE" w:eastAsia="en-IE"/>
              </w:rPr>
            </w:pPr>
            <w:r w:rsidRPr="00D73E11">
              <w:rPr>
                <w:rFonts w:eastAsia="Times New Roman"/>
                <w:noProof/>
                <w:szCs w:val="24"/>
                <w:lang w:eastAsia="en-IE"/>
              </w:rPr>
              <w:t xml:space="preserve">Commission </w:t>
            </w:r>
            <w:r>
              <w:rPr>
                <w:rFonts w:eastAsia="Times New Roman"/>
                <w:noProof/>
                <w:szCs w:val="24"/>
                <w:lang w:eastAsia="en-IE"/>
              </w:rPr>
              <w:t>is empowered to</w:t>
            </w:r>
            <w:r w:rsidRPr="00D73E11">
              <w:rPr>
                <w:rFonts w:eastAsia="Times New Roman"/>
                <w:noProof/>
                <w:szCs w:val="24"/>
                <w:lang w:eastAsia="en-IE"/>
              </w:rPr>
              <w:t xml:space="preserve"> adopt implementing acts</w:t>
            </w:r>
            <w:r w:rsidRPr="00D73E11">
              <w:rPr>
                <w:rFonts w:eastAsia="Times New Roman"/>
                <w:noProof/>
                <w:szCs w:val="24"/>
                <w:lang w:val="en-IE" w:eastAsia="en-IE"/>
              </w:rPr>
              <w:t> </w:t>
            </w:r>
          </w:p>
        </w:tc>
        <w:tc>
          <w:tcPr>
            <w:tcW w:w="183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74566486" w14:textId="77777777" w:rsidR="007476E9" w:rsidRPr="00D73E11" w:rsidRDefault="007476E9">
            <w:pPr>
              <w:spacing w:before="0" w:after="0"/>
              <w:jc w:val="left"/>
              <w:textAlignment w:val="baseline"/>
              <w:rPr>
                <w:rFonts w:ascii="Segoe UI" w:eastAsia="Times New Roman" w:hAnsi="Segoe UI" w:cs="Segoe UI"/>
                <w:noProof/>
                <w:sz w:val="18"/>
                <w:szCs w:val="18"/>
                <w:lang w:val="en-IE" w:eastAsia="en-IE"/>
              </w:rPr>
            </w:pPr>
            <w:r w:rsidRPr="00D73E11">
              <w:rPr>
                <w:rFonts w:eastAsia="Times New Roman"/>
                <w:noProof/>
                <w:szCs w:val="24"/>
                <w:lang w:val="en-IE" w:eastAsia="en-IE"/>
              </w:rPr>
              <w:t> </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315B55B4" w14:textId="77777777" w:rsidR="007476E9" w:rsidRPr="00D73E11" w:rsidRDefault="007476E9">
            <w:pPr>
              <w:spacing w:before="0" w:after="0"/>
              <w:jc w:val="left"/>
              <w:textAlignment w:val="baseline"/>
              <w:rPr>
                <w:rFonts w:ascii="Segoe UI" w:eastAsia="Times New Roman" w:hAnsi="Segoe UI" w:cs="Segoe UI"/>
                <w:noProof/>
                <w:sz w:val="18"/>
                <w:szCs w:val="18"/>
                <w:lang w:val="en-IE" w:eastAsia="en-IE"/>
              </w:rPr>
            </w:pPr>
            <w:r w:rsidRPr="00D73E11">
              <w:rPr>
                <w:rFonts w:eastAsia="Times New Roman"/>
                <w:noProof/>
                <w:szCs w:val="24"/>
                <w:lang w:eastAsia="en-IE"/>
              </w:rPr>
              <w:t>N/A</w:t>
            </w:r>
            <w:r w:rsidRPr="00D73E11">
              <w:rPr>
                <w:rFonts w:eastAsia="Times New Roman"/>
                <w:noProof/>
                <w:szCs w:val="24"/>
                <w:lang w:val="en-IE" w:eastAsia="en-IE"/>
              </w:rPr>
              <w:t> </w:t>
            </w:r>
          </w:p>
        </w:tc>
      </w:tr>
      <w:tr w:rsidR="007476E9" w:rsidRPr="00D73E11" w14:paraId="2D81AA10" w14:textId="77777777">
        <w:trPr>
          <w:trHeight w:val="285"/>
        </w:trPr>
        <w:tc>
          <w:tcPr>
            <w:tcW w:w="424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73FBC2D" w14:textId="3B15CF6E" w:rsidR="007476E9" w:rsidRPr="00F3399E" w:rsidDel="00BE3AFA" w:rsidRDefault="007476E9">
            <w:pPr>
              <w:pStyle w:val="NumPar1"/>
              <w:numPr>
                <w:ilvl w:val="0"/>
                <w:numId w:val="0"/>
              </w:numPr>
              <w:spacing w:before="0" w:after="0"/>
              <w:rPr>
                <w:noProof/>
                <w:lang w:eastAsia="en-IE"/>
              </w:rPr>
            </w:pPr>
            <w:r w:rsidRPr="00C97170">
              <w:rPr>
                <w:noProof/>
                <w:lang w:eastAsia="en-IE"/>
              </w:rPr>
              <w:t xml:space="preserve">The Commission </w:t>
            </w:r>
            <w:r>
              <w:rPr>
                <w:noProof/>
                <w:lang w:eastAsia="en-IE"/>
              </w:rPr>
              <w:t>is empowered to</w:t>
            </w:r>
            <w:r w:rsidRPr="00C97170">
              <w:rPr>
                <w:noProof/>
                <w:lang w:eastAsia="en-IE"/>
              </w:rPr>
              <w:t xml:space="preserve"> adopt implementing acts establishing a plan for peer review which covers a period of at least five years, laying down the criteria concerning the composition of the peer review team, the methodology to be used in peer review, and the schedule, the frequency and other tasks related to </w:t>
            </w:r>
            <w:r>
              <w:rPr>
                <w:noProof/>
                <w:lang w:eastAsia="en-IE"/>
              </w:rPr>
              <w:t>peer review</w:t>
            </w:r>
            <w:r w:rsidRPr="00C97170">
              <w:rPr>
                <w:noProof/>
                <w:lang w:eastAsia="en-IE"/>
              </w:rPr>
              <w:t xml:space="preserve">. In the preparation </w:t>
            </w:r>
            <w:r>
              <w:rPr>
                <w:noProof/>
                <w:lang w:eastAsia="en-IE"/>
              </w:rPr>
              <w:t xml:space="preserve">of </w:t>
            </w:r>
            <w:r w:rsidRPr="00C97170">
              <w:rPr>
                <w:noProof/>
                <w:lang w:eastAsia="en-IE"/>
              </w:rPr>
              <w:t>those implementing acts, the Commission shall consult the ECCG</w:t>
            </w:r>
            <w:r>
              <w:rPr>
                <w:noProof/>
                <w:lang w:eastAsia="en-IE"/>
              </w:rPr>
              <w:t xml:space="preserve"> and ENISA</w:t>
            </w:r>
            <w:r w:rsidRPr="00C97170">
              <w:rPr>
                <w:noProof/>
                <w:lang w:eastAsia="en-IE"/>
              </w:rPr>
              <w:t>. Those implementing acts shall be adopted in accordance with the examination procedure referred to in Article</w:t>
            </w:r>
            <w:r>
              <w:rPr>
                <w:noProof/>
                <w:lang w:eastAsia="en-IE"/>
              </w:rPr>
              <w:t xml:space="preserve"> 1</w:t>
            </w:r>
            <w:r w:rsidR="00704681">
              <w:rPr>
                <w:noProof/>
                <w:lang w:eastAsia="en-IE"/>
              </w:rPr>
              <w:t>1</w:t>
            </w:r>
            <w:r w:rsidR="00D12941">
              <w:rPr>
                <w:noProof/>
                <w:lang w:eastAsia="en-IE"/>
              </w:rPr>
              <w:t>8</w:t>
            </w:r>
            <w:r>
              <w:rPr>
                <w:noProof/>
                <w:lang w:eastAsia="en-IE"/>
              </w:rPr>
              <w:t>(2)</w:t>
            </w:r>
            <w:r w:rsidRPr="00C97170">
              <w:rPr>
                <w:noProof/>
                <w:lang w:eastAsia="en-IE"/>
              </w:rPr>
              <w:t>.</w:t>
            </w: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3230DFF" w14:textId="77777777" w:rsidR="007476E9" w:rsidRPr="00D73E11" w:rsidRDefault="007476E9">
            <w:pPr>
              <w:spacing w:before="0" w:after="0"/>
              <w:jc w:val="left"/>
              <w:textAlignment w:val="baseline"/>
              <w:rPr>
                <w:rFonts w:eastAsia="Times New Roman"/>
                <w:noProof/>
                <w:szCs w:val="24"/>
                <w:lang w:eastAsia="en-IE"/>
              </w:rPr>
            </w:pPr>
            <w:r w:rsidRPr="00D73E11">
              <w:rPr>
                <w:rFonts w:eastAsia="Times New Roman"/>
                <w:noProof/>
                <w:szCs w:val="24"/>
                <w:lang w:eastAsia="en-IE"/>
              </w:rPr>
              <w:t>Article </w:t>
            </w:r>
            <w:r>
              <w:rPr>
                <w:rFonts w:eastAsia="Times New Roman"/>
                <w:noProof/>
                <w:szCs w:val="24"/>
                <w:lang w:eastAsia="en-IE"/>
              </w:rPr>
              <w:t>89</w:t>
            </w:r>
            <w:r w:rsidRPr="00D73E11">
              <w:rPr>
                <w:rFonts w:eastAsia="Times New Roman"/>
                <w:noProof/>
                <w:szCs w:val="24"/>
                <w:lang w:eastAsia="en-IE"/>
              </w:rPr>
              <w:t>(</w:t>
            </w:r>
            <w:r>
              <w:rPr>
                <w:rFonts w:eastAsia="Times New Roman"/>
                <w:noProof/>
                <w:szCs w:val="24"/>
                <w:lang w:eastAsia="en-IE"/>
              </w:rPr>
              <w:t>6</w:t>
            </w:r>
            <w:r w:rsidRPr="00D73E11">
              <w:rPr>
                <w:rFonts w:eastAsia="Times New Roman"/>
                <w:noProof/>
                <w:szCs w:val="24"/>
                <w:lang w:eastAsia="en-IE"/>
              </w:rPr>
              <w:t>)</w:t>
            </w:r>
            <w:r w:rsidRPr="00D73E11">
              <w:rPr>
                <w:rFonts w:eastAsia="Times New Roman"/>
                <w:noProof/>
                <w:szCs w:val="24"/>
                <w:lang w:val="en-IE" w:eastAsia="en-IE"/>
              </w:rPr>
              <w:t> </w:t>
            </w:r>
          </w:p>
        </w:tc>
        <w:tc>
          <w:tcPr>
            <w:tcW w:w="201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52DCCF05" w14:textId="77777777" w:rsidR="007476E9" w:rsidRPr="00D73E11" w:rsidRDefault="007476E9">
            <w:pPr>
              <w:spacing w:before="0" w:after="0"/>
              <w:jc w:val="left"/>
              <w:textAlignment w:val="baseline"/>
              <w:rPr>
                <w:rFonts w:eastAsia="Times New Roman"/>
                <w:noProof/>
                <w:szCs w:val="24"/>
                <w:lang w:eastAsia="en-IE"/>
              </w:rPr>
            </w:pPr>
            <w:r w:rsidRPr="00D73E11">
              <w:rPr>
                <w:rFonts w:eastAsia="Times New Roman"/>
                <w:noProof/>
                <w:szCs w:val="24"/>
                <w:lang w:eastAsia="en-IE"/>
              </w:rPr>
              <w:t xml:space="preserve">Commission </w:t>
            </w:r>
            <w:r>
              <w:rPr>
                <w:rFonts w:eastAsia="Times New Roman"/>
                <w:noProof/>
                <w:szCs w:val="24"/>
                <w:lang w:eastAsia="en-IE"/>
              </w:rPr>
              <w:t>is empowered to</w:t>
            </w:r>
            <w:r w:rsidRPr="00D73E11">
              <w:rPr>
                <w:rFonts w:eastAsia="Times New Roman"/>
                <w:noProof/>
                <w:szCs w:val="24"/>
                <w:lang w:eastAsia="en-IE"/>
              </w:rPr>
              <w:t xml:space="preserve"> adopt implementing acts</w:t>
            </w:r>
            <w:r w:rsidRPr="00D73E11">
              <w:rPr>
                <w:rFonts w:eastAsia="Times New Roman"/>
                <w:noProof/>
                <w:szCs w:val="24"/>
                <w:lang w:val="en-IE" w:eastAsia="en-IE"/>
              </w:rPr>
              <w:t> </w:t>
            </w:r>
          </w:p>
        </w:tc>
        <w:tc>
          <w:tcPr>
            <w:tcW w:w="183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BFED56B" w14:textId="77777777" w:rsidR="007476E9" w:rsidRPr="00D73E11" w:rsidRDefault="007476E9">
            <w:pPr>
              <w:spacing w:before="0" w:after="0"/>
              <w:jc w:val="left"/>
              <w:textAlignment w:val="baseline"/>
              <w:rPr>
                <w:rFonts w:eastAsia="Times New Roman"/>
                <w:noProof/>
                <w:szCs w:val="24"/>
                <w:lang w:val="en-IE" w:eastAsia="en-IE"/>
              </w:rPr>
            </w:pPr>
            <w:r w:rsidRPr="00D73E11">
              <w:rPr>
                <w:rFonts w:eastAsia="Times New Roman"/>
                <w:noProof/>
                <w:szCs w:val="24"/>
                <w:lang w:val="en-IE" w:eastAsia="en-IE"/>
              </w:rPr>
              <w:t> </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A4E6B92" w14:textId="77777777" w:rsidR="007476E9" w:rsidRPr="00D73E11" w:rsidRDefault="007476E9">
            <w:pPr>
              <w:spacing w:before="0" w:after="0"/>
              <w:jc w:val="left"/>
              <w:textAlignment w:val="baseline"/>
              <w:rPr>
                <w:rFonts w:eastAsia="Times New Roman"/>
                <w:noProof/>
                <w:szCs w:val="24"/>
                <w:lang w:eastAsia="en-IE"/>
              </w:rPr>
            </w:pPr>
            <w:r w:rsidRPr="00D73E11">
              <w:rPr>
                <w:rFonts w:eastAsia="Times New Roman"/>
                <w:noProof/>
                <w:szCs w:val="24"/>
                <w:lang w:eastAsia="en-IE"/>
              </w:rPr>
              <w:t>N/A</w:t>
            </w:r>
            <w:r w:rsidRPr="00D73E11">
              <w:rPr>
                <w:rFonts w:eastAsia="Times New Roman"/>
                <w:noProof/>
                <w:szCs w:val="24"/>
                <w:lang w:val="en-IE" w:eastAsia="en-IE"/>
              </w:rPr>
              <w:t> </w:t>
            </w:r>
          </w:p>
        </w:tc>
      </w:tr>
      <w:tr w:rsidR="007476E9" w:rsidRPr="00D73E11" w14:paraId="6129339C" w14:textId="77777777">
        <w:trPr>
          <w:trHeight w:val="285"/>
        </w:trPr>
        <w:tc>
          <w:tcPr>
            <w:tcW w:w="424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6266028D" w14:textId="029E7242" w:rsidR="007476E9" w:rsidRPr="008F0AA6" w:rsidRDefault="007476E9">
            <w:pPr>
              <w:pStyle w:val="NumPar1"/>
              <w:numPr>
                <w:ilvl w:val="0"/>
                <w:numId w:val="0"/>
              </w:numPr>
              <w:spacing w:before="0" w:after="0"/>
              <w:rPr>
                <w:noProof/>
                <w:lang w:eastAsia="en-IE"/>
              </w:rPr>
            </w:pPr>
            <w:r w:rsidRPr="00164577">
              <w:rPr>
                <w:noProof/>
                <w:lang w:eastAsia="en-IE"/>
              </w:rPr>
              <w:t xml:space="preserve">The Commission </w:t>
            </w:r>
            <w:r>
              <w:rPr>
                <w:noProof/>
                <w:lang w:eastAsia="en-IE"/>
              </w:rPr>
              <w:t>is empowered to</w:t>
            </w:r>
            <w:r w:rsidRPr="00164577">
              <w:rPr>
                <w:noProof/>
                <w:lang w:eastAsia="en-IE"/>
              </w:rPr>
              <w:t xml:space="preserve"> adopt implementing acts to </w:t>
            </w:r>
            <w:r>
              <w:rPr>
                <w:noProof/>
                <w:lang w:eastAsia="en-IE"/>
              </w:rPr>
              <w:t>lay down</w:t>
            </w:r>
            <w:r w:rsidRPr="00164577">
              <w:rPr>
                <w:noProof/>
                <w:lang w:eastAsia="en-IE"/>
              </w:rPr>
              <w:t xml:space="preserve"> the procedures</w:t>
            </w:r>
            <w:r w:rsidRPr="7FD8ED97">
              <w:rPr>
                <w:noProof/>
                <w:lang w:eastAsia="en-IE"/>
              </w:rPr>
              <w:t>, including on cross-border cooperation, for authorisation</w:t>
            </w:r>
            <w:r>
              <w:rPr>
                <w:noProof/>
                <w:lang w:eastAsia="en-IE"/>
              </w:rPr>
              <w:t xml:space="preserve"> of conformity assessment bodies</w:t>
            </w:r>
            <w:r w:rsidRPr="7FD8ED97">
              <w:rPr>
                <w:noProof/>
                <w:lang w:eastAsia="en-IE"/>
              </w:rPr>
              <w:t>.</w:t>
            </w:r>
            <w:r w:rsidRPr="00164577">
              <w:rPr>
                <w:noProof/>
                <w:lang w:eastAsia="en-IE"/>
              </w:rPr>
              <w:t xml:space="preserve"> </w:t>
            </w:r>
            <w:r w:rsidRPr="008F0AA6">
              <w:rPr>
                <w:noProof/>
                <w:lang w:eastAsia="en-IE"/>
              </w:rPr>
              <w:t xml:space="preserve">In the preparation process of implementing acts, the Commission shall consult </w:t>
            </w:r>
            <w:r w:rsidRPr="00164577">
              <w:rPr>
                <w:noProof/>
                <w:lang w:eastAsia="en-IE"/>
              </w:rPr>
              <w:t xml:space="preserve">ENISA and the ECCG. Those implementing acts shall be adopted in accordance with the examination procedure referred to in </w:t>
            </w:r>
            <w:r w:rsidRPr="00155E6D">
              <w:rPr>
                <w:noProof/>
                <w:lang w:eastAsia="en-IE"/>
              </w:rPr>
              <w:t>Article 1</w:t>
            </w:r>
            <w:r w:rsidR="00704681">
              <w:rPr>
                <w:noProof/>
                <w:lang w:eastAsia="en-IE"/>
              </w:rPr>
              <w:t>1</w:t>
            </w:r>
            <w:r w:rsidR="00D12941">
              <w:rPr>
                <w:noProof/>
                <w:lang w:eastAsia="en-IE"/>
              </w:rPr>
              <w:t>8</w:t>
            </w:r>
            <w:r w:rsidRPr="00155E6D">
              <w:rPr>
                <w:noProof/>
                <w:lang w:eastAsia="en-IE"/>
              </w:rPr>
              <w:t>(2).</w:t>
            </w: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7E7CB3C9" w14:textId="77777777" w:rsidR="007476E9" w:rsidRPr="00D73E11" w:rsidRDefault="007476E9">
            <w:pPr>
              <w:spacing w:before="0" w:after="0"/>
              <w:jc w:val="left"/>
              <w:textAlignment w:val="baseline"/>
              <w:rPr>
                <w:rFonts w:ascii="Segoe UI" w:eastAsia="Times New Roman" w:hAnsi="Segoe UI" w:cs="Segoe UI"/>
                <w:noProof/>
                <w:sz w:val="18"/>
                <w:szCs w:val="18"/>
                <w:lang w:val="en-IE" w:eastAsia="en-IE"/>
              </w:rPr>
            </w:pPr>
            <w:r w:rsidRPr="00D73E11">
              <w:rPr>
                <w:rFonts w:eastAsia="Times New Roman"/>
                <w:noProof/>
                <w:szCs w:val="24"/>
                <w:lang w:eastAsia="en-IE"/>
              </w:rPr>
              <w:t>Article 92(8)</w:t>
            </w:r>
            <w:r w:rsidRPr="00D73E11">
              <w:rPr>
                <w:rFonts w:eastAsia="Times New Roman"/>
                <w:noProof/>
                <w:szCs w:val="24"/>
                <w:lang w:val="en-IE" w:eastAsia="en-IE"/>
              </w:rPr>
              <w:t> </w:t>
            </w:r>
          </w:p>
        </w:tc>
        <w:tc>
          <w:tcPr>
            <w:tcW w:w="201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110A1AB0" w14:textId="77777777" w:rsidR="007476E9" w:rsidRPr="00D73E11" w:rsidRDefault="007476E9">
            <w:pPr>
              <w:spacing w:before="0" w:after="0"/>
              <w:jc w:val="left"/>
              <w:textAlignment w:val="baseline"/>
              <w:rPr>
                <w:rFonts w:ascii="Segoe UI" w:eastAsia="Times New Roman" w:hAnsi="Segoe UI" w:cs="Segoe UI"/>
                <w:noProof/>
                <w:sz w:val="18"/>
                <w:szCs w:val="18"/>
                <w:lang w:val="en-IE" w:eastAsia="en-IE"/>
              </w:rPr>
            </w:pPr>
            <w:r w:rsidRPr="00D73E11">
              <w:rPr>
                <w:rFonts w:eastAsia="Times New Roman"/>
                <w:noProof/>
                <w:szCs w:val="24"/>
                <w:lang w:eastAsia="en-IE"/>
              </w:rPr>
              <w:t xml:space="preserve">Commission </w:t>
            </w:r>
            <w:r>
              <w:rPr>
                <w:rFonts w:eastAsia="Times New Roman"/>
                <w:noProof/>
                <w:szCs w:val="24"/>
                <w:lang w:eastAsia="en-IE"/>
              </w:rPr>
              <w:t>is empowered to</w:t>
            </w:r>
            <w:r w:rsidRPr="00D73E11">
              <w:rPr>
                <w:rFonts w:eastAsia="Times New Roman"/>
                <w:noProof/>
                <w:szCs w:val="24"/>
                <w:lang w:eastAsia="en-IE"/>
              </w:rPr>
              <w:t xml:space="preserve"> adopt implementing acts</w:t>
            </w:r>
            <w:r w:rsidRPr="00D73E11">
              <w:rPr>
                <w:rFonts w:eastAsia="Times New Roman"/>
                <w:noProof/>
                <w:szCs w:val="24"/>
                <w:lang w:val="en-IE" w:eastAsia="en-IE"/>
              </w:rPr>
              <w:t> </w:t>
            </w:r>
          </w:p>
        </w:tc>
        <w:tc>
          <w:tcPr>
            <w:tcW w:w="183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4BAE7E5F" w14:textId="77777777" w:rsidR="007476E9" w:rsidRDefault="007476E9">
            <w:pPr>
              <w:spacing w:before="0" w:after="0"/>
              <w:jc w:val="left"/>
              <w:textAlignment w:val="baseline"/>
              <w:rPr>
                <w:rFonts w:eastAsia="Times New Roman"/>
                <w:noProof/>
                <w:szCs w:val="24"/>
                <w:lang w:val="en-IE" w:eastAsia="en-IE"/>
              </w:rPr>
            </w:pPr>
            <w:r>
              <w:rPr>
                <w:rFonts w:eastAsia="Times New Roman"/>
                <w:noProof/>
                <w:szCs w:val="24"/>
                <w:lang w:val="en-IE" w:eastAsia="en-IE"/>
              </w:rPr>
              <w:t>ENISA</w:t>
            </w:r>
          </w:p>
          <w:p w14:paraId="0032D157" w14:textId="77777777" w:rsidR="007476E9" w:rsidRPr="00D73E11" w:rsidRDefault="007476E9">
            <w:pPr>
              <w:spacing w:before="0" w:after="0"/>
              <w:jc w:val="left"/>
              <w:textAlignment w:val="baseline"/>
              <w:rPr>
                <w:rFonts w:ascii="Segoe UI" w:eastAsia="Times New Roman" w:hAnsi="Segoe UI" w:cs="Segoe UI"/>
                <w:noProof/>
                <w:sz w:val="18"/>
                <w:szCs w:val="18"/>
                <w:lang w:val="en-IE" w:eastAsia="en-IE"/>
              </w:rPr>
            </w:pPr>
            <w:r>
              <w:rPr>
                <w:rFonts w:eastAsia="Times New Roman"/>
                <w:noProof/>
                <w:szCs w:val="24"/>
                <w:lang w:val="en-IE" w:eastAsia="en-IE"/>
              </w:rPr>
              <w:t>ECCG</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3895AD61" w14:textId="77777777" w:rsidR="007476E9" w:rsidRPr="00D73E11" w:rsidRDefault="007476E9">
            <w:pPr>
              <w:spacing w:before="0" w:after="0"/>
              <w:jc w:val="left"/>
              <w:textAlignment w:val="baseline"/>
              <w:rPr>
                <w:rFonts w:ascii="Segoe UI" w:eastAsia="Times New Roman" w:hAnsi="Segoe UI" w:cs="Segoe UI"/>
                <w:noProof/>
                <w:sz w:val="18"/>
                <w:szCs w:val="18"/>
                <w:lang w:val="en-IE" w:eastAsia="en-IE"/>
              </w:rPr>
            </w:pPr>
            <w:r w:rsidRPr="00D73E11">
              <w:rPr>
                <w:rFonts w:eastAsia="Times New Roman"/>
                <w:noProof/>
                <w:szCs w:val="24"/>
                <w:lang w:eastAsia="en-IE"/>
              </w:rPr>
              <w:t>N/A</w:t>
            </w:r>
            <w:r w:rsidRPr="00D73E11">
              <w:rPr>
                <w:rFonts w:eastAsia="Times New Roman"/>
                <w:noProof/>
                <w:szCs w:val="24"/>
                <w:lang w:val="en-IE" w:eastAsia="en-IE"/>
              </w:rPr>
              <w:t> </w:t>
            </w:r>
          </w:p>
        </w:tc>
      </w:tr>
      <w:tr w:rsidR="007476E9" w:rsidRPr="00D73E11" w14:paraId="77812762" w14:textId="77777777">
        <w:trPr>
          <w:trHeight w:val="285"/>
        </w:trPr>
        <w:tc>
          <w:tcPr>
            <w:tcW w:w="424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04ADD9F1" w14:textId="50099F16" w:rsidR="007476E9" w:rsidRPr="00106107" w:rsidRDefault="007476E9">
            <w:pPr>
              <w:pStyle w:val="NumPar1"/>
              <w:numPr>
                <w:ilvl w:val="0"/>
                <w:numId w:val="0"/>
              </w:numPr>
              <w:spacing w:before="0" w:after="0"/>
              <w:rPr>
                <w:noProof/>
                <w:lang w:eastAsia="en-IE"/>
              </w:rPr>
            </w:pPr>
            <w:r w:rsidRPr="001A761D">
              <w:rPr>
                <w:noProof/>
                <w:lang w:eastAsia="en-IE"/>
              </w:rPr>
              <w:t xml:space="preserve">The Commission </w:t>
            </w:r>
            <w:r>
              <w:rPr>
                <w:noProof/>
                <w:lang w:eastAsia="en-IE"/>
              </w:rPr>
              <w:t>is empowered to</w:t>
            </w:r>
            <w:r w:rsidRPr="001A761D">
              <w:rPr>
                <w:noProof/>
                <w:lang w:eastAsia="en-IE"/>
              </w:rPr>
              <w:t xml:space="preserve"> adopt implementing acts to</w:t>
            </w:r>
            <w:r>
              <w:rPr>
                <w:noProof/>
                <w:lang w:eastAsia="en-IE"/>
              </w:rPr>
              <w:t xml:space="preserve"> lay down</w:t>
            </w:r>
            <w:r w:rsidRPr="001A761D">
              <w:rPr>
                <w:noProof/>
                <w:lang w:eastAsia="en-IE"/>
              </w:rPr>
              <w:t xml:space="preserve"> the circumstances, formats and procedures for notifications referred to in paragraph 1 of this Articl</w:t>
            </w:r>
            <w:r>
              <w:rPr>
                <w:noProof/>
                <w:lang w:eastAsia="en-IE"/>
              </w:rPr>
              <w:t>e</w:t>
            </w:r>
            <w:r w:rsidRPr="00155E6D">
              <w:rPr>
                <w:noProof/>
                <w:lang w:eastAsia="en-IE"/>
              </w:rPr>
              <w:t>,</w:t>
            </w:r>
            <w:r>
              <w:rPr>
                <w:noProof/>
                <w:lang w:eastAsia="en-IE"/>
              </w:rPr>
              <w:t xml:space="preserve"> including the </w:t>
            </w:r>
            <w:r w:rsidRPr="001A761D">
              <w:rPr>
                <w:noProof/>
                <w:lang w:eastAsia="en-IE"/>
              </w:rPr>
              <w:t xml:space="preserve">objection </w:t>
            </w:r>
            <w:r>
              <w:rPr>
                <w:noProof/>
                <w:lang w:eastAsia="en-IE"/>
              </w:rPr>
              <w:t>procedure</w:t>
            </w:r>
            <w:r w:rsidRPr="001A761D">
              <w:rPr>
                <w:noProof/>
                <w:lang w:eastAsia="en-IE"/>
              </w:rPr>
              <w:t xml:space="preserve"> by other Member States during the notification process, </w:t>
            </w:r>
            <w:r>
              <w:rPr>
                <w:noProof/>
                <w:lang w:eastAsia="en-IE"/>
              </w:rPr>
              <w:t xml:space="preserve">the </w:t>
            </w:r>
            <w:r w:rsidRPr="001A761D">
              <w:rPr>
                <w:noProof/>
                <w:lang w:eastAsia="en-IE"/>
              </w:rPr>
              <w:t>unique identification of conformity assessment bodies,</w:t>
            </w:r>
            <w:r>
              <w:rPr>
                <w:noProof/>
                <w:lang w:eastAsia="en-IE"/>
              </w:rPr>
              <w:t xml:space="preserve"> as well as</w:t>
            </w:r>
            <w:r w:rsidRPr="001A761D">
              <w:rPr>
                <w:noProof/>
                <w:lang w:eastAsia="en-IE"/>
              </w:rPr>
              <w:t xml:space="preserve"> </w:t>
            </w:r>
            <w:r>
              <w:rPr>
                <w:noProof/>
                <w:lang w:eastAsia="en-IE"/>
              </w:rPr>
              <w:t xml:space="preserve">the </w:t>
            </w:r>
            <w:r w:rsidRPr="001A761D">
              <w:rPr>
                <w:noProof/>
                <w:lang w:eastAsia="en-IE"/>
              </w:rPr>
              <w:t xml:space="preserve">circumstances for </w:t>
            </w:r>
            <w:r w:rsidRPr="00006782">
              <w:rPr>
                <w:noProof/>
                <w:color w:val="000000" w:themeColor="text1"/>
                <w:lang w:eastAsia="en-IE"/>
              </w:rPr>
              <w:t>restriction, suspension or withdrawal of notification</w:t>
            </w:r>
            <w:r w:rsidRPr="001A761D">
              <w:rPr>
                <w:noProof/>
                <w:lang w:eastAsia="en-IE"/>
              </w:rPr>
              <w:t xml:space="preserve">. </w:t>
            </w:r>
            <w:r>
              <w:rPr>
                <w:noProof/>
                <w:lang w:eastAsia="en-IE"/>
              </w:rPr>
              <w:t>Those implementing acts</w:t>
            </w:r>
            <w:r w:rsidRPr="001A761D">
              <w:rPr>
                <w:noProof/>
                <w:lang w:eastAsia="en-IE"/>
              </w:rPr>
              <w:t xml:space="preserve"> shall be adopted in accordance with the examination procedure referred to in </w:t>
            </w:r>
            <w:r w:rsidRPr="00155E6D">
              <w:rPr>
                <w:noProof/>
                <w:lang w:eastAsia="en-IE"/>
              </w:rPr>
              <w:t>Article 1</w:t>
            </w:r>
            <w:r w:rsidR="00704681">
              <w:rPr>
                <w:noProof/>
                <w:lang w:eastAsia="en-IE"/>
              </w:rPr>
              <w:t>1</w:t>
            </w:r>
            <w:r w:rsidR="000F0FA2">
              <w:rPr>
                <w:noProof/>
                <w:lang w:eastAsia="en-IE"/>
              </w:rPr>
              <w:t>8</w:t>
            </w:r>
            <w:r w:rsidRPr="00155E6D">
              <w:rPr>
                <w:noProof/>
                <w:lang w:eastAsia="en-IE"/>
              </w:rPr>
              <w:t>(2).</w:t>
            </w:r>
          </w:p>
          <w:p w14:paraId="1C8EA61B" w14:textId="77777777" w:rsidR="007476E9" w:rsidRPr="00D73E11" w:rsidRDefault="007476E9">
            <w:pPr>
              <w:spacing w:before="0" w:after="0"/>
              <w:textAlignment w:val="baseline"/>
              <w:rPr>
                <w:rFonts w:ascii="Segoe UI" w:eastAsia="Times New Roman" w:hAnsi="Segoe UI" w:cs="Segoe UI"/>
                <w:noProof/>
                <w:sz w:val="18"/>
                <w:szCs w:val="18"/>
                <w:lang w:val="en-IE" w:eastAsia="en-IE"/>
              </w:rPr>
            </w:pP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27870C16" w14:textId="77777777" w:rsidR="007476E9" w:rsidRPr="00D73E11" w:rsidRDefault="007476E9">
            <w:pPr>
              <w:spacing w:before="0" w:after="0"/>
              <w:jc w:val="left"/>
              <w:textAlignment w:val="baseline"/>
              <w:rPr>
                <w:rFonts w:ascii="Segoe UI" w:eastAsia="Times New Roman" w:hAnsi="Segoe UI" w:cs="Segoe UI"/>
                <w:noProof/>
                <w:sz w:val="18"/>
                <w:szCs w:val="18"/>
                <w:lang w:val="en-IE" w:eastAsia="en-IE"/>
              </w:rPr>
            </w:pPr>
            <w:r w:rsidRPr="00D73E11">
              <w:rPr>
                <w:rFonts w:eastAsia="Times New Roman"/>
                <w:noProof/>
                <w:szCs w:val="24"/>
                <w:lang w:eastAsia="en-IE"/>
              </w:rPr>
              <w:t>Article 93(3)</w:t>
            </w:r>
            <w:r w:rsidRPr="00D73E11">
              <w:rPr>
                <w:rFonts w:eastAsia="Times New Roman"/>
                <w:noProof/>
                <w:szCs w:val="24"/>
                <w:lang w:val="en-IE" w:eastAsia="en-IE"/>
              </w:rPr>
              <w:t> </w:t>
            </w:r>
          </w:p>
        </w:tc>
        <w:tc>
          <w:tcPr>
            <w:tcW w:w="201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02E77D44" w14:textId="77777777" w:rsidR="007476E9" w:rsidRPr="00D73E11" w:rsidRDefault="007476E9">
            <w:pPr>
              <w:spacing w:before="0" w:after="0"/>
              <w:jc w:val="left"/>
              <w:textAlignment w:val="baseline"/>
              <w:rPr>
                <w:rFonts w:ascii="Segoe UI" w:eastAsia="Times New Roman" w:hAnsi="Segoe UI" w:cs="Segoe UI"/>
                <w:noProof/>
                <w:sz w:val="18"/>
                <w:szCs w:val="18"/>
                <w:lang w:val="en-IE" w:eastAsia="en-IE"/>
              </w:rPr>
            </w:pPr>
            <w:r w:rsidRPr="00D73E11">
              <w:rPr>
                <w:rFonts w:eastAsia="Times New Roman"/>
                <w:noProof/>
                <w:szCs w:val="24"/>
                <w:lang w:eastAsia="en-IE"/>
              </w:rPr>
              <w:t xml:space="preserve">Commission </w:t>
            </w:r>
            <w:r>
              <w:rPr>
                <w:rFonts w:eastAsia="Times New Roman"/>
                <w:noProof/>
                <w:szCs w:val="24"/>
                <w:lang w:eastAsia="en-IE"/>
              </w:rPr>
              <w:t>is empowered to</w:t>
            </w:r>
            <w:r w:rsidRPr="00D73E11">
              <w:rPr>
                <w:rFonts w:eastAsia="Times New Roman"/>
                <w:noProof/>
                <w:szCs w:val="24"/>
                <w:lang w:eastAsia="en-IE"/>
              </w:rPr>
              <w:t xml:space="preserve"> adopt implementing acts</w:t>
            </w:r>
            <w:r w:rsidRPr="00D73E11">
              <w:rPr>
                <w:rFonts w:eastAsia="Times New Roman"/>
                <w:noProof/>
                <w:szCs w:val="24"/>
                <w:lang w:val="en-IE" w:eastAsia="en-IE"/>
              </w:rPr>
              <w:t> </w:t>
            </w:r>
          </w:p>
        </w:tc>
        <w:tc>
          <w:tcPr>
            <w:tcW w:w="183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05BD41F2" w14:textId="77777777" w:rsidR="007476E9" w:rsidRPr="00D73E11" w:rsidRDefault="007476E9">
            <w:pPr>
              <w:spacing w:before="0" w:after="0"/>
              <w:jc w:val="left"/>
              <w:textAlignment w:val="baseline"/>
              <w:rPr>
                <w:rFonts w:ascii="Segoe UI" w:eastAsia="Times New Roman" w:hAnsi="Segoe UI" w:cs="Segoe UI"/>
                <w:noProof/>
                <w:sz w:val="18"/>
                <w:szCs w:val="18"/>
                <w:lang w:val="en-IE" w:eastAsia="en-IE"/>
              </w:rPr>
            </w:pPr>
            <w:r w:rsidRPr="00D73E11">
              <w:rPr>
                <w:rFonts w:eastAsia="Times New Roman"/>
                <w:noProof/>
                <w:szCs w:val="24"/>
                <w:lang w:val="en-IE" w:eastAsia="en-IE"/>
              </w:rPr>
              <w:t> </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489782C9" w14:textId="77777777" w:rsidR="007476E9" w:rsidRPr="00D73E11" w:rsidRDefault="007476E9">
            <w:pPr>
              <w:spacing w:before="0" w:after="0"/>
              <w:jc w:val="left"/>
              <w:textAlignment w:val="baseline"/>
              <w:rPr>
                <w:rFonts w:ascii="Segoe UI" w:eastAsia="Times New Roman" w:hAnsi="Segoe UI" w:cs="Segoe UI"/>
                <w:noProof/>
                <w:sz w:val="18"/>
                <w:szCs w:val="18"/>
                <w:lang w:val="en-IE" w:eastAsia="en-IE"/>
              </w:rPr>
            </w:pPr>
            <w:r w:rsidRPr="00D73E11">
              <w:rPr>
                <w:rFonts w:eastAsia="Times New Roman"/>
                <w:noProof/>
                <w:szCs w:val="24"/>
                <w:lang w:eastAsia="en-IE"/>
              </w:rPr>
              <w:t>N/A</w:t>
            </w:r>
            <w:r w:rsidRPr="00D73E11">
              <w:rPr>
                <w:rFonts w:eastAsia="Times New Roman"/>
                <w:noProof/>
                <w:szCs w:val="24"/>
                <w:lang w:val="en-IE" w:eastAsia="en-IE"/>
              </w:rPr>
              <w:t> </w:t>
            </w:r>
          </w:p>
        </w:tc>
      </w:tr>
      <w:tr w:rsidR="00252B1F" w:rsidRPr="00D73E11" w14:paraId="4BE47410" w14:textId="77777777">
        <w:trPr>
          <w:trHeight w:val="285"/>
        </w:trPr>
        <w:tc>
          <w:tcPr>
            <w:tcW w:w="424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71ED5EF" w14:textId="5360AA57" w:rsidR="00252B1F" w:rsidRPr="00600F27" w:rsidRDefault="00252B1F" w:rsidP="00252B1F">
            <w:pPr>
              <w:spacing w:before="0" w:after="0"/>
              <w:textAlignment w:val="baseline"/>
              <w:rPr>
                <w:rFonts w:eastAsia="Times New Roman"/>
                <w:noProof/>
                <w:szCs w:val="24"/>
                <w:lang w:eastAsia="en-IE"/>
              </w:rPr>
            </w:pPr>
            <w:r w:rsidRPr="00E73985">
              <w:rPr>
                <w:rFonts w:eastAsia="Calibri"/>
                <w:noProof/>
                <w:lang w:val="en-US"/>
              </w:rPr>
              <w:t xml:space="preserve">The Commission may adopt implementing acts in accordance with Article </w:t>
            </w:r>
            <w:r>
              <w:rPr>
                <w:rFonts w:eastAsia="Calibri"/>
                <w:noProof/>
                <w:lang w:val="en-US"/>
              </w:rPr>
              <w:t xml:space="preserve">100 </w:t>
            </w:r>
            <w:r w:rsidRPr="00E73985">
              <w:rPr>
                <w:rFonts w:eastAsia="Calibri"/>
                <w:noProof/>
                <w:lang w:val="en-US"/>
              </w:rPr>
              <w:t>in order to designate a third country posing cybersecurity concerns to ICT supply chains.</w:t>
            </w: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3E73A60B" w14:textId="77777777" w:rsidR="00252B1F" w:rsidRDefault="00252B1F" w:rsidP="00252B1F">
            <w:pPr>
              <w:jc w:val="left"/>
              <w:rPr>
                <w:noProof/>
              </w:rPr>
            </w:pPr>
            <w:r>
              <w:rPr>
                <w:noProof/>
              </w:rPr>
              <w:t>Article 100 (2)</w:t>
            </w:r>
          </w:p>
          <w:p w14:paraId="050218C8" w14:textId="75B5D70C" w:rsidR="00252B1F" w:rsidRPr="00252B1F" w:rsidRDefault="00252B1F" w:rsidP="00252B1F">
            <w:pPr>
              <w:spacing w:before="0" w:after="0"/>
              <w:jc w:val="left"/>
              <w:textAlignment w:val="baseline"/>
              <w:rPr>
                <w:rFonts w:eastAsia="Times New Roman"/>
                <w:noProof/>
                <w:szCs w:val="24"/>
                <w:lang w:val="en-IE" w:eastAsia="en-IE"/>
              </w:rPr>
            </w:pPr>
            <w:r w:rsidRPr="00BE1E4C">
              <w:rPr>
                <w:noProof/>
              </w:rPr>
              <w:t>Designation of third countries posing cybersecurity concerns</w:t>
            </w:r>
          </w:p>
        </w:tc>
        <w:tc>
          <w:tcPr>
            <w:tcW w:w="201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3C7D53CC" w14:textId="5C07EC81" w:rsidR="00252B1F" w:rsidRPr="00D73E11" w:rsidRDefault="00252B1F" w:rsidP="00252B1F">
            <w:pPr>
              <w:spacing w:before="0" w:after="0"/>
              <w:jc w:val="left"/>
              <w:textAlignment w:val="baseline"/>
              <w:rPr>
                <w:rFonts w:eastAsia="Times New Roman"/>
                <w:noProof/>
                <w:szCs w:val="24"/>
                <w:lang w:eastAsia="en-IE"/>
              </w:rPr>
            </w:pPr>
            <w:r w:rsidRPr="00BE1E4C">
              <w:rPr>
                <w:noProof/>
              </w:rPr>
              <w:t>Adopting implementing acts</w:t>
            </w:r>
          </w:p>
        </w:tc>
        <w:tc>
          <w:tcPr>
            <w:tcW w:w="183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F049A38" w14:textId="2F90C5F0" w:rsidR="00252B1F" w:rsidRPr="00D73E11" w:rsidRDefault="00252B1F" w:rsidP="00252B1F">
            <w:pPr>
              <w:spacing w:before="0" w:after="0"/>
              <w:jc w:val="left"/>
              <w:textAlignment w:val="baseline"/>
              <w:rPr>
                <w:rFonts w:eastAsia="Times New Roman"/>
                <w:noProof/>
                <w:szCs w:val="24"/>
                <w:lang w:val="en-IE" w:eastAsia="en-IE"/>
              </w:rPr>
            </w:pP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098D997" w14:textId="77777777" w:rsidR="00252B1F" w:rsidRDefault="00252B1F" w:rsidP="00252B1F">
            <w:pPr>
              <w:jc w:val="left"/>
              <w:rPr>
                <w:noProof/>
              </w:rPr>
            </w:pPr>
            <w:r w:rsidRPr="00BE1E4C">
              <w:rPr>
                <w:noProof/>
              </w:rPr>
              <w:t>N/A</w:t>
            </w:r>
          </w:p>
          <w:p w14:paraId="5E9D1967" w14:textId="32E058B0" w:rsidR="00252B1F" w:rsidRPr="00D73E11" w:rsidRDefault="00252B1F" w:rsidP="00252B1F">
            <w:pPr>
              <w:spacing w:before="0" w:after="0"/>
              <w:jc w:val="left"/>
              <w:textAlignment w:val="baseline"/>
              <w:rPr>
                <w:rFonts w:eastAsia="Times New Roman"/>
                <w:noProof/>
                <w:szCs w:val="24"/>
                <w:lang w:eastAsia="en-IE"/>
              </w:rPr>
            </w:pPr>
            <w:r>
              <w:rPr>
                <w:noProof/>
              </w:rPr>
              <w:t>No timeline but the implementing acts should be reviewed regularly</w:t>
            </w:r>
          </w:p>
        </w:tc>
      </w:tr>
      <w:tr w:rsidR="00252B1F" w:rsidRPr="00D73E11" w14:paraId="2E261AC2" w14:textId="77777777">
        <w:trPr>
          <w:trHeight w:val="285"/>
        </w:trPr>
        <w:tc>
          <w:tcPr>
            <w:tcW w:w="424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64100D8" w14:textId="63B721E4" w:rsidR="00252B1F" w:rsidRPr="00600F27" w:rsidRDefault="00252B1F" w:rsidP="00252B1F">
            <w:pPr>
              <w:spacing w:before="0" w:after="0"/>
              <w:textAlignment w:val="baseline"/>
              <w:rPr>
                <w:rFonts w:eastAsia="Times New Roman"/>
                <w:noProof/>
                <w:szCs w:val="24"/>
                <w:lang w:eastAsia="en-IE"/>
              </w:rPr>
            </w:pPr>
            <w:r>
              <w:rPr>
                <w:noProof/>
              </w:rPr>
              <w:t xml:space="preserve">The Commission may adopt implementing acts to provide for one or several mitigation measures referred to in </w:t>
            </w:r>
            <w:r w:rsidRPr="00195947">
              <w:rPr>
                <w:noProof/>
              </w:rPr>
              <w:t>Article 103 (2).</w:t>
            </w:r>
            <w:r>
              <w:rPr>
                <w:noProof/>
              </w:rPr>
              <w:t xml:space="preserve"> </w:t>
            </w: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39C0C63" w14:textId="77777777" w:rsidR="00252B1F" w:rsidRDefault="00252B1F" w:rsidP="00252B1F">
            <w:pPr>
              <w:jc w:val="left"/>
              <w:rPr>
                <w:noProof/>
              </w:rPr>
            </w:pPr>
          </w:p>
          <w:p w14:paraId="1493DC4D" w14:textId="77777777" w:rsidR="00252B1F" w:rsidRDefault="00252B1F" w:rsidP="00252B1F">
            <w:pPr>
              <w:jc w:val="left"/>
              <w:rPr>
                <w:noProof/>
              </w:rPr>
            </w:pPr>
            <w:r>
              <w:rPr>
                <w:noProof/>
              </w:rPr>
              <w:t>Article 103 (2)</w:t>
            </w:r>
          </w:p>
          <w:p w14:paraId="56CA17B7" w14:textId="07774181" w:rsidR="00252B1F" w:rsidRPr="00252B1F" w:rsidRDefault="00252B1F" w:rsidP="00252B1F">
            <w:pPr>
              <w:spacing w:before="0" w:after="0"/>
              <w:jc w:val="left"/>
              <w:textAlignment w:val="baseline"/>
              <w:rPr>
                <w:rFonts w:eastAsia="Times New Roman"/>
                <w:noProof/>
                <w:szCs w:val="24"/>
                <w:lang w:val="en-IE" w:eastAsia="en-IE"/>
              </w:rPr>
            </w:pPr>
            <w:r>
              <w:rPr>
                <w:noProof/>
              </w:rPr>
              <w:t>Mitigation measures in the ICT supply chain</w:t>
            </w:r>
          </w:p>
        </w:tc>
        <w:tc>
          <w:tcPr>
            <w:tcW w:w="201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1FC98A1" w14:textId="0518A8F1" w:rsidR="00252B1F" w:rsidRPr="00D73E11" w:rsidRDefault="00252B1F" w:rsidP="00252B1F">
            <w:pPr>
              <w:spacing w:before="0" w:after="0"/>
              <w:jc w:val="left"/>
              <w:textAlignment w:val="baseline"/>
              <w:rPr>
                <w:rFonts w:eastAsia="Times New Roman"/>
                <w:noProof/>
                <w:szCs w:val="24"/>
                <w:lang w:eastAsia="en-IE"/>
              </w:rPr>
            </w:pPr>
            <w:r>
              <w:rPr>
                <w:noProof/>
              </w:rPr>
              <w:t>Adopting implementing acts</w:t>
            </w:r>
          </w:p>
        </w:tc>
        <w:tc>
          <w:tcPr>
            <w:tcW w:w="183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E15C612" w14:textId="77777777" w:rsidR="00252B1F" w:rsidRDefault="00252B1F" w:rsidP="00252B1F">
            <w:pPr>
              <w:jc w:val="left"/>
              <w:rPr>
                <w:noProof/>
              </w:rPr>
            </w:pPr>
            <w:r>
              <w:rPr>
                <w:noProof/>
              </w:rPr>
              <w:t>N/A</w:t>
            </w:r>
          </w:p>
          <w:p w14:paraId="445C73EF" w14:textId="77777777" w:rsidR="00252B1F" w:rsidRDefault="00252B1F" w:rsidP="00252B1F">
            <w:pPr>
              <w:jc w:val="left"/>
              <w:rPr>
                <w:noProof/>
              </w:rPr>
            </w:pPr>
          </w:p>
          <w:p w14:paraId="72782776" w14:textId="77777777" w:rsidR="00252B1F" w:rsidRPr="00D73E11" w:rsidRDefault="00252B1F" w:rsidP="00252B1F">
            <w:pPr>
              <w:spacing w:before="0" w:after="0"/>
              <w:jc w:val="left"/>
              <w:textAlignment w:val="baseline"/>
              <w:rPr>
                <w:rFonts w:eastAsia="Times New Roman"/>
                <w:noProof/>
                <w:szCs w:val="24"/>
                <w:lang w:val="en-IE" w:eastAsia="en-IE"/>
              </w:rPr>
            </w:pP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9D87809" w14:textId="77777777" w:rsidR="00252B1F" w:rsidRDefault="00252B1F" w:rsidP="00252B1F">
            <w:pPr>
              <w:jc w:val="left"/>
              <w:rPr>
                <w:noProof/>
              </w:rPr>
            </w:pPr>
            <w:r>
              <w:rPr>
                <w:noProof/>
              </w:rPr>
              <w:t>N/A</w:t>
            </w:r>
          </w:p>
          <w:p w14:paraId="068EC4F2" w14:textId="7081AD6F" w:rsidR="00252B1F" w:rsidRPr="00D73E11" w:rsidRDefault="00252B1F" w:rsidP="00252B1F">
            <w:pPr>
              <w:spacing w:before="0" w:after="0"/>
              <w:jc w:val="left"/>
              <w:textAlignment w:val="baseline"/>
              <w:rPr>
                <w:rFonts w:eastAsia="Times New Roman"/>
                <w:noProof/>
                <w:szCs w:val="24"/>
                <w:lang w:eastAsia="en-IE"/>
              </w:rPr>
            </w:pPr>
            <w:r>
              <w:rPr>
                <w:noProof/>
              </w:rPr>
              <w:t>No timeline, but to be reviewed every 36 months (</w:t>
            </w:r>
            <w:r w:rsidRPr="00301DCF">
              <w:rPr>
                <w:noProof/>
              </w:rPr>
              <w:t>in accordance with the examination procedure referred to in Article 11</w:t>
            </w:r>
            <w:r>
              <w:rPr>
                <w:noProof/>
              </w:rPr>
              <w:t>8</w:t>
            </w:r>
            <w:r w:rsidRPr="00301DCF">
              <w:rPr>
                <w:noProof/>
              </w:rPr>
              <w:t>(2)</w:t>
            </w:r>
            <w:r>
              <w:rPr>
                <w:noProof/>
              </w:rPr>
              <w:t>)</w:t>
            </w:r>
          </w:p>
        </w:tc>
      </w:tr>
      <w:tr w:rsidR="00252B1F" w:rsidRPr="00D73E11" w14:paraId="029A3B1F" w14:textId="77777777">
        <w:trPr>
          <w:trHeight w:val="285"/>
        </w:trPr>
        <w:tc>
          <w:tcPr>
            <w:tcW w:w="424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39E7760F" w14:textId="60065882" w:rsidR="00252B1F" w:rsidRDefault="00252B1F" w:rsidP="00252B1F">
            <w:pPr>
              <w:jc w:val="left"/>
              <w:rPr>
                <w:rFonts w:eastAsia="Calibri"/>
                <w:noProof/>
                <w:lang w:val="en-US"/>
              </w:rPr>
            </w:pPr>
            <w:r w:rsidRPr="00E73985">
              <w:rPr>
                <w:rFonts w:eastAsia="Calibri"/>
                <w:noProof/>
                <w:lang w:val="en-US"/>
              </w:rPr>
              <w:t xml:space="preserve">The Commission may adopt implementing acts in accordance with Article </w:t>
            </w:r>
            <w:r>
              <w:rPr>
                <w:rFonts w:eastAsia="Calibri"/>
                <w:noProof/>
                <w:lang w:val="en-US"/>
              </w:rPr>
              <w:t>102</w:t>
            </w:r>
            <w:r w:rsidRPr="00E73985">
              <w:rPr>
                <w:rFonts w:eastAsia="Calibri"/>
                <w:noProof/>
                <w:lang w:val="en-US"/>
              </w:rPr>
              <w:t xml:space="preserve"> in order to identify key ICT assets used for the manufacturing of products or the provision of services by the types of entity referred to Annex I and Annex II </w:t>
            </w:r>
            <w:r w:rsidR="002316BF">
              <w:rPr>
                <w:rFonts w:eastAsia="Calibri"/>
                <w:noProof/>
                <w:lang w:val="en-US"/>
              </w:rPr>
              <w:t>to</w:t>
            </w:r>
            <w:r w:rsidRPr="00E73985">
              <w:rPr>
                <w:rFonts w:eastAsia="Calibri"/>
                <w:noProof/>
                <w:lang w:val="en-US"/>
              </w:rPr>
              <w:t xml:space="preserve"> Directive (EU) 2022/2555.</w:t>
            </w:r>
          </w:p>
          <w:p w14:paraId="31984656" w14:textId="77777777" w:rsidR="00252B1F" w:rsidRPr="00600F27" w:rsidRDefault="00252B1F" w:rsidP="00252B1F">
            <w:pPr>
              <w:spacing w:before="0" w:after="0"/>
              <w:textAlignment w:val="baseline"/>
              <w:rPr>
                <w:rFonts w:eastAsia="Times New Roman"/>
                <w:noProof/>
                <w:szCs w:val="24"/>
                <w:lang w:eastAsia="en-IE"/>
              </w:rPr>
            </w:pP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FA8E54D" w14:textId="77777777" w:rsidR="00252B1F" w:rsidRDefault="00252B1F" w:rsidP="00252B1F">
            <w:pPr>
              <w:jc w:val="left"/>
              <w:rPr>
                <w:noProof/>
              </w:rPr>
            </w:pPr>
            <w:r>
              <w:rPr>
                <w:noProof/>
              </w:rPr>
              <w:t xml:space="preserve">Article 102 (1) </w:t>
            </w:r>
          </w:p>
          <w:p w14:paraId="0D71C299" w14:textId="77777777" w:rsidR="00252B1F" w:rsidRDefault="00252B1F" w:rsidP="00252B1F">
            <w:pPr>
              <w:jc w:val="left"/>
              <w:rPr>
                <w:noProof/>
              </w:rPr>
            </w:pPr>
            <w:r w:rsidRPr="00E73985">
              <w:rPr>
                <w:noProof/>
              </w:rPr>
              <w:t>Identification of key ICT assets</w:t>
            </w:r>
          </w:p>
          <w:p w14:paraId="6043125D" w14:textId="77777777" w:rsidR="00252B1F" w:rsidRDefault="00252B1F" w:rsidP="00252B1F">
            <w:pPr>
              <w:jc w:val="left"/>
              <w:rPr>
                <w:noProof/>
              </w:rPr>
            </w:pPr>
          </w:p>
          <w:p w14:paraId="39CF2C5B" w14:textId="77777777" w:rsidR="00252B1F" w:rsidRPr="00252B1F" w:rsidRDefault="00252B1F" w:rsidP="00252B1F">
            <w:pPr>
              <w:spacing w:before="0" w:after="0"/>
              <w:jc w:val="left"/>
              <w:textAlignment w:val="baseline"/>
              <w:rPr>
                <w:rFonts w:eastAsia="Times New Roman"/>
                <w:noProof/>
                <w:szCs w:val="24"/>
                <w:lang w:val="en-IE" w:eastAsia="en-IE"/>
              </w:rPr>
            </w:pPr>
          </w:p>
        </w:tc>
        <w:tc>
          <w:tcPr>
            <w:tcW w:w="201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5BE5741A" w14:textId="08246F20" w:rsidR="00252B1F" w:rsidRPr="00D73E11" w:rsidRDefault="00252B1F" w:rsidP="00252B1F">
            <w:pPr>
              <w:spacing w:before="0" w:after="0"/>
              <w:jc w:val="left"/>
              <w:textAlignment w:val="baseline"/>
              <w:rPr>
                <w:rFonts w:eastAsia="Times New Roman"/>
                <w:noProof/>
                <w:szCs w:val="24"/>
                <w:lang w:eastAsia="en-IE"/>
              </w:rPr>
            </w:pPr>
            <w:r w:rsidRPr="00E73985">
              <w:rPr>
                <w:noProof/>
              </w:rPr>
              <w:t>Adopting implementing acts</w:t>
            </w:r>
          </w:p>
        </w:tc>
        <w:tc>
          <w:tcPr>
            <w:tcW w:w="183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CA3E982" w14:textId="78C7E355" w:rsidR="00252B1F" w:rsidRPr="00D73E11" w:rsidRDefault="00252B1F" w:rsidP="00252B1F">
            <w:pPr>
              <w:spacing w:before="0" w:after="0"/>
              <w:jc w:val="left"/>
              <w:textAlignment w:val="baseline"/>
              <w:rPr>
                <w:rFonts w:eastAsia="Times New Roman"/>
                <w:noProof/>
                <w:szCs w:val="24"/>
                <w:lang w:val="en-IE" w:eastAsia="en-IE"/>
              </w:rPr>
            </w:pPr>
            <w:r w:rsidRPr="00E73985">
              <w:rPr>
                <w:noProof/>
              </w:rPr>
              <w:t>N/A</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741CE76" w14:textId="27692360" w:rsidR="00252B1F" w:rsidRPr="00D73E11" w:rsidRDefault="00252B1F" w:rsidP="00252B1F">
            <w:pPr>
              <w:spacing w:before="0" w:after="0"/>
              <w:jc w:val="left"/>
              <w:textAlignment w:val="baseline"/>
              <w:rPr>
                <w:rFonts w:eastAsia="Times New Roman"/>
                <w:noProof/>
                <w:szCs w:val="24"/>
                <w:lang w:eastAsia="en-IE"/>
              </w:rPr>
            </w:pPr>
            <w:r w:rsidRPr="00E73985">
              <w:rPr>
                <w:noProof/>
              </w:rPr>
              <w:t>N/A</w:t>
            </w:r>
          </w:p>
        </w:tc>
      </w:tr>
      <w:tr w:rsidR="00252B1F" w:rsidRPr="00D73E11" w14:paraId="2F330EAC" w14:textId="77777777">
        <w:trPr>
          <w:trHeight w:val="285"/>
        </w:trPr>
        <w:tc>
          <w:tcPr>
            <w:tcW w:w="424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53E959DB" w14:textId="077ED825" w:rsidR="00252B1F" w:rsidRPr="00600F27" w:rsidRDefault="00252B1F" w:rsidP="00252B1F">
            <w:pPr>
              <w:spacing w:before="0" w:after="0"/>
              <w:textAlignment w:val="baseline"/>
              <w:rPr>
                <w:rFonts w:eastAsia="Times New Roman"/>
                <w:noProof/>
                <w:szCs w:val="24"/>
                <w:lang w:eastAsia="en-IE"/>
              </w:rPr>
            </w:pPr>
            <w:r>
              <w:rPr>
                <w:rFonts w:eastAsia="Calibri"/>
                <w:noProof/>
                <w:lang w:val="en-US"/>
              </w:rPr>
              <w:t xml:space="preserve">The Commission may adopt implementing acts </w:t>
            </w:r>
            <w:r w:rsidRPr="0092108A">
              <w:rPr>
                <w:noProof/>
              </w:rPr>
              <w:t>prohibit</w:t>
            </w:r>
            <w:r>
              <w:rPr>
                <w:noProof/>
              </w:rPr>
              <w:t>ing</w:t>
            </w:r>
            <w:r w:rsidRPr="0092108A">
              <w:rPr>
                <w:noProof/>
              </w:rPr>
              <w:t xml:space="preserve"> to use, install or integrate in any form ICT components or components that include ICT components from high-risk suppliers as designated in accordance with Article </w:t>
            </w:r>
            <w:r>
              <w:rPr>
                <w:noProof/>
              </w:rPr>
              <w:t>100</w:t>
            </w:r>
            <w:r w:rsidRPr="0092108A">
              <w:rPr>
                <w:noProof/>
              </w:rPr>
              <w:t xml:space="preserve">(2) in key ICT assets identified in accordance with Article </w:t>
            </w:r>
            <w:r>
              <w:rPr>
                <w:noProof/>
              </w:rPr>
              <w:t>102.</w:t>
            </w: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836B4BF" w14:textId="77777777" w:rsidR="00252B1F" w:rsidRDefault="00252B1F" w:rsidP="00252B1F">
            <w:pPr>
              <w:jc w:val="left"/>
              <w:rPr>
                <w:noProof/>
              </w:rPr>
            </w:pPr>
            <w:r>
              <w:rPr>
                <w:noProof/>
              </w:rPr>
              <w:t>Article 103 (1)</w:t>
            </w:r>
          </w:p>
          <w:p w14:paraId="3A2916E0" w14:textId="55C0CACB" w:rsidR="00252B1F" w:rsidRPr="00252B1F" w:rsidRDefault="00252B1F" w:rsidP="00252B1F">
            <w:pPr>
              <w:spacing w:before="0" w:after="0"/>
              <w:jc w:val="left"/>
              <w:textAlignment w:val="baseline"/>
              <w:rPr>
                <w:rFonts w:eastAsia="Times New Roman"/>
                <w:noProof/>
                <w:szCs w:val="24"/>
                <w:lang w:val="en-IE" w:eastAsia="en-IE"/>
              </w:rPr>
            </w:pPr>
            <w:r>
              <w:rPr>
                <w:noProof/>
              </w:rPr>
              <w:t>Mitigation measures in the ICT supply chain</w:t>
            </w:r>
          </w:p>
        </w:tc>
        <w:tc>
          <w:tcPr>
            <w:tcW w:w="201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555F73EE" w14:textId="6030AB8E" w:rsidR="00252B1F" w:rsidRPr="00D73E11" w:rsidRDefault="00252B1F" w:rsidP="00252B1F">
            <w:pPr>
              <w:spacing w:before="0" w:after="0"/>
              <w:jc w:val="left"/>
              <w:textAlignment w:val="baseline"/>
              <w:rPr>
                <w:rFonts w:eastAsia="Times New Roman"/>
                <w:noProof/>
                <w:szCs w:val="24"/>
                <w:lang w:eastAsia="en-IE"/>
              </w:rPr>
            </w:pPr>
            <w:r w:rsidRPr="00E73985">
              <w:rPr>
                <w:noProof/>
              </w:rPr>
              <w:t>Adopting implementing acts</w:t>
            </w:r>
          </w:p>
        </w:tc>
        <w:tc>
          <w:tcPr>
            <w:tcW w:w="183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9EF4229" w14:textId="4632504F" w:rsidR="00252B1F" w:rsidRPr="00D73E11" w:rsidRDefault="00252B1F" w:rsidP="00252B1F">
            <w:pPr>
              <w:spacing w:before="0" w:after="0"/>
              <w:jc w:val="left"/>
              <w:textAlignment w:val="baseline"/>
              <w:rPr>
                <w:rFonts w:eastAsia="Times New Roman"/>
                <w:noProof/>
                <w:szCs w:val="24"/>
                <w:lang w:val="en-IE" w:eastAsia="en-IE"/>
              </w:rPr>
            </w:pPr>
            <w:r>
              <w:rPr>
                <w:noProof/>
              </w:rPr>
              <w:t>N/A</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AC9EA6B" w14:textId="133FCBDB" w:rsidR="00252B1F" w:rsidRPr="00D73E11" w:rsidRDefault="00252B1F" w:rsidP="00252B1F">
            <w:pPr>
              <w:spacing w:before="0" w:after="0"/>
              <w:jc w:val="left"/>
              <w:textAlignment w:val="baseline"/>
              <w:rPr>
                <w:rFonts w:eastAsia="Times New Roman"/>
                <w:noProof/>
                <w:szCs w:val="24"/>
                <w:lang w:eastAsia="en-IE"/>
              </w:rPr>
            </w:pPr>
            <w:r>
              <w:rPr>
                <w:noProof/>
              </w:rPr>
              <w:t>N/A</w:t>
            </w:r>
          </w:p>
        </w:tc>
      </w:tr>
      <w:tr w:rsidR="00252B1F" w:rsidRPr="00D73E11" w14:paraId="4E16A6B9" w14:textId="77777777">
        <w:trPr>
          <w:trHeight w:val="285"/>
        </w:trPr>
        <w:tc>
          <w:tcPr>
            <w:tcW w:w="424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16B38D5" w14:textId="117C4C48" w:rsidR="00252B1F" w:rsidRPr="00600F27" w:rsidRDefault="00252B1F" w:rsidP="00252B1F">
            <w:pPr>
              <w:spacing w:before="0" w:after="0"/>
              <w:textAlignment w:val="baseline"/>
              <w:rPr>
                <w:rFonts w:eastAsia="Times New Roman"/>
                <w:noProof/>
                <w:szCs w:val="24"/>
                <w:lang w:eastAsia="en-IE"/>
              </w:rPr>
            </w:pPr>
            <w:r>
              <w:rPr>
                <w:noProof/>
                <w:lang w:val="en-IE"/>
              </w:rPr>
              <w:t>The Commission may adopt implementing acts to</w:t>
            </w:r>
            <w:r w:rsidRPr="005A59FD">
              <w:rPr>
                <w:noProof/>
                <w:lang w:val="en-IE"/>
              </w:rPr>
              <w:t xml:space="preserve"> establish that entities </w:t>
            </w:r>
            <w:r>
              <w:rPr>
                <w:noProof/>
                <w:lang w:val="en-IE"/>
              </w:rPr>
              <w:t>of the types</w:t>
            </w:r>
            <w:r w:rsidRPr="005A59FD">
              <w:rPr>
                <w:noProof/>
                <w:lang w:val="en-IE"/>
              </w:rPr>
              <w:t xml:space="preserve"> referred to </w:t>
            </w:r>
            <w:r>
              <w:rPr>
                <w:noProof/>
                <w:lang w:val="en-IE"/>
              </w:rPr>
              <w:t>in</w:t>
            </w:r>
            <w:r w:rsidRPr="005A59FD">
              <w:rPr>
                <w:noProof/>
                <w:lang w:val="en-IE"/>
              </w:rPr>
              <w:t xml:space="preserve"> Annexes I and II </w:t>
            </w:r>
            <w:r>
              <w:rPr>
                <w:noProof/>
                <w:lang w:val="en-IE"/>
              </w:rPr>
              <w:t>t</w:t>
            </w:r>
            <w:r w:rsidRPr="005A59FD">
              <w:rPr>
                <w:noProof/>
                <w:lang w:val="en-IE"/>
              </w:rPr>
              <w:t>o Directive (EU) 2022/2555 shall be prohibited to use, install or integrate ICT component</w:t>
            </w:r>
            <w:r>
              <w:rPr>
                <w:noProof/>
                <w:lang w:val="en-IE"/>
              </w:rPr>
              <w:t>s</w:t>
            </w:r>
            <w:r w:rsidRPr="005A59FD">
              <w:rPr>
                <w:noProof/>
                <w:lang w:val="en-IE"/>
              </w:rPr>
              <w:t xml:space="preserve"> or components that include ICT components from a specific entity</w:t>
            </w:r>
            <w:r>
              <w:rPr>
                <w:noProof/>
                <w:lang w:val="en-IE"/>
              </w:rPr>
              <w:t>.</w:t>
            </w: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596FEC24" w14:textId="688710B7" w:rsidR="00252B1F" w:rsidRPr="008F0AA6" w:rsidRDefault="00252B1F" w:rsidP="00252B1F">
            <w:pPr>
              <w:spacing w:before="0" w:after="0"/>
              <w:jc w:val="left"/>
              <w:textAlignment w:val="baseline"/>
              <w:rPr>
                <w:rFonts w:eastAsia="Times New Roman"/>
                <w:noProof/>
                <w:szCs w:val="24"/>
                <w:lang w:val="fr-BE" w:eastAsia="en-IE"/>
              </w:rPr>
            </w:pPr>
            <w:r>
              <w:rPr>
                <w:noProof/>
                <w:lang w:val="en-US"/>
              </w:rPr>
              <w:t>Article 103 (7)</w:t>
            </w:r>
          </w:p>
        </w:tc>
        <w:tc>
          <w:tcPr>
            <w:tcW w:w="201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35C2F3BA" w14:textId="20991CEA" w:rsidR="00252B1F" w:rsidRPr="00D73E11" w:rsidRDefault="00252B1F" w:rsidP="00252B1F">
            <w:pPr>
              <w:spacing w:before="0" w:after="0"/>
              <w:jc w:val="left"/>
              <w:textAlignment w:val="baseline"/>
              <w:rPr>
                <w:rFonts w:eastAsia="Times New Roman"/>
                <w:noProof/>
                <w:szCs w:val="24"/>
                <w:lang w:eastAsia="en-IE"/>
              </w:rPr>
            </w:pPr>
            <w:r w:rsidRPr="00E73985">
              <w:rPr>
                <w:noProof/>
              </w:rPr>
              <w:t>Adopting implementing acts</w:t>
            </w:r>
          </w:p>
        </w:tc>
        <w:tc>
          <w:tcPr>
            <w:tcW w:w="183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30CE776" w14:textId="2CF70E15" w:rsidR="00252B1F" w:rsidRPr="00D73E11" w:rsidRDefault="00252B1F" w:rsidP="00252B1F">
            <w:pPr>
              <w:spacing w:before="0" w:after="0"/>
              <w:jc w:val="left"/>
              <w:textAlignment w:val="baseline"/>
              <w:rPr>
                <w:rFonts w:eastAsia="Times New Roman"/>
                <w:noProof/>
                <w:szCs w:val="24"/>
                <w:lang w:val="en-IE" w:eastAsia="en-IE"/>
              </w:rPr>
            </w:pPr>
            <w:r>
              <w:rPr>
                <w:noProof/>
              </w:rPr>
              <w:t>Consultation of Member States and the entities concerned</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11858E1" w14:textId="1CE403A3" w:rsidR="00252B1F" w:rsidRPr="00D73E11" w:rsidRDefault="00252B1F" w:rsidP="00252B1F">
            <w:pPr>
              <w:spacing w:before="0" w:after="0"/>
              <w:jc w:val="left"/>
              <w:textAlignment w:val="baseline"/>
              <w:rPr>
                <w:rFonts w:eastAsia="Times New Roman"/>
                <w:noProof/>
                <w:szCs w:val="24"/>
                <w:lang w:eastAsia="en-IE"/>
              </w:rPr>
            </w:pPr>
            <w:r>
              <w:rPr>
                <w:noProof/>
              </w:rPr>
              <w:t>N/A</w:t>
            </w:r>
          </w:p>
        </w:tc>
      </w:tr>
      <w:tr w:rsidR="00252B1F" w:rsidRPr="00D73E11" w14:paraId="34960FF2" w14:textId="77777777">
        <w:trPr>
          <w:trHeight w:val="285"/>
        </w:trPr>
        <w:tc>
          <w:tcPr>
            <w:tcW w:w="424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9A99D0B" w14:textId="726C4D0B" w:rsidR="00252B1F" w:rsidRPr="00600F27" w:rsidRDefault="00252B1F" w:rsidP="00252B1F">
            <w:pPr>
              <w:spacing w:before="0" w:after="0"/>
              <w:textAlignment w:val="baseline"/>
              <w:rPr>
                <w:rFonts w:eastAsia="Times New Roman"/>
                <w:noProof/>
                <w:szCs w:val="24"/>
                <w:lang w:eastAsia="en-IE"/>
              </w:rPr>
            </w:pPr>
            <w:r w:rsidRPr="0037415D">
              <w:rPr>
                <w:rFonts w:eastAsia="Calibri"/>
                <w:noProof/>
                <w:lang w:val="en-US"/>
              </w:rPr>
              <w:t>By way of implementing acts, the Commission shall establish lists of high-risk suppliers relevant for the prohibitions laid down in the implementing acts adopted in accordance with Article 103(1) or the prohibition referred to in Article 1110(1).</w:t>
            </w: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AFA97F9" w14:textId="3FD48E1D" w:rsidR="00252B1F" w:rsidRPr="008F0AA6" w:rsidRDefault="00252B1F" w:rsidP="00252B1F">
            <w:pPr>
              <w:spacing w:before="0" w:after="0"/>
              <w:jc w:val="left"/>
              <w:textAlignment w:val="baseline"/>
              <w:rPr>
                <w:rFonts w:eastAsia="Times New Roman"/>
                <w:noProof/>
                <w:szCs w:val="24"/>
                <w:lang w:val="fr-BE" w:eastAsia="en-IE"/>
              </w:rPr>
            </w:pPr>
            <w:r>
              <w:rPr>
                <w:noProof/>
              </w:rPr>
              <w:t>Article 104(1)</w:t>
            </w:r>
          </w:p>
        </w:tc>
        <w:tc>
          <w:tcPr>
            <w:tcW w:w="201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AA4F14A" w14:textId="585CD6C2" w:rsidR="00252B1F" w:rsidRPr="00D73E11" w:rsidRDefault="00252B1F" w:rsidP="00252B1F">
            <w:pPr>
              <w:spacing w:before="0" w:after="0"/>
              <w:jc w:val="left"/>
              <w:textAlignment w:val="baseline"/>
              <w:rPr>
                <w:rFonts w:eastAsia="Times New Roman"/>
                <w:noProof/>
                <w:szCs w:val="24"/>
                <w:lang w:eastAsia="en-IE"/>
              </w:rPr>
            </w:pPr>
            <w:r>
              <w:rPr>
                <w:noProof/>
              </w:rPr>
              <w:t>Adopting implementing acts</w:t>
            </w:r>
          </w:p>
        </w:tc>
        <w:tc>
          <w:tcPr>
            <w:tcW w:w="183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34C988D0" w14:textId="7CA7C3B7" w:rsidR="00252B1F" w:rsidRPr="00D73E11" w:rsidRDefault="00252B1F" w:rsidP="00252B1F">
            <w:pPr>
              <w:spacing w:before="0" w:after="0"/>
              <w:jc w:val="left"/>
              <w:textAlignment w:val="baseline"/>
              <w:rPr>
                <w:rFonts w:eastAsia="Times New Roman"/>
                <w:noProof/>
                <w:szCs w:val="24"/>
                <w:lang w:val="en-IE" w:eastAsia="en-IE"/>
              </w:rPr>
            </w:pPr>
            <w:r>
              <w:rPr>
                <w:noProof/>
                <w:szCs w:val="24"/>
              </w:rPr>
              <w:t>N/A</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329260BD" w14:textId="4B0C2B41" w:rsidR="00252B1F" w:rsidRPr="00D73E11" w:rsidRDefault="00252B1F" w:rsidP="00252B1F">
            <w:pPr>
              <w:spacing w:before="0" w:after="0"/>
              <w:jc w:val="left"/>
              <w:textAlignment w:val="baseline"/>
              <w:rPr>
                <w:rFonts w:eastAsia="Times New Roman"/>
                <w:noProof/>
                <w:szCs w:val="24"/>
                <w:lang w:eastAsia="en-IE"/>
              </w:rPr>
            </w:pPr>
            <w:r>
              <w:rPr>
                <w:noProof/>
              </w:rPr>
              <w:t>N/A</w:t>
            </w:r>
          </w:p>
        </w:tc>
      </w:tr>
      <w:tr w:rsidR="00252B1F" w:rsidRPr="00D73E11" w14:paraId="4573B43B" w14:textId="77777777">
        <w:trPr>
          <w:trHeight w:val="285"/>
        </w:trPr>
        <w:tc>
          <w:tcPr>
            <w:tcW w:w="424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D6EF72F" w14:textId="2CE44C7C" w:rsidR="00252B1F" w:rsidRPr="00600F27" w:rsidRDefault="00252B1F" w:rsidP="00252B1F">
            <w:pPr>
              <w:spacing w:before="0" w:after="0"/>
              <w:textAlignment w:val="baseline"/>
              <w:rPr>
                <w:rFonts w:eastAsia="Times New Roman"/>
                <w:noProof/>
                <w:szCs w:val="24"/>
                <w:lang w:eastAsia="en-IE"/>
              </w:rPr>
            </w:pPr>
            <w:r>
              <w:rPr>
                <w:rFonts w:eastAsia="Calibri"/>
                <w:noProof/>
                <w:lang w:val="en-US"/>
              </w:rPr>
              <w:t>The Commission may adopt implementing acts</w:t>
            </w:r>
            <w:r w:rsidRPr="00D76ED1">
              <w:rPr>
                <w:noProof/>
              </w:rPr>
              <w:t xml:space="preserve">to further specify the conditions referred to </w:t>
            </w:r>
            <w:r>
              <w:rPr>
                <w:noProof/>
              </w:rPr>
              <w:t>Article 105</w:t>
            </w:r>
            <w:r w:rsidRPr="00D76ED1">
              <w:rPr>
                <w:noProof/>
              </w:rPr>
              <w:t xml:space="preserve"> paragraph 2 point (b), and to lay down detailed rules in respect of the procedures referred to in Article</w:t>
            </w:r>
            <w:r>
              <w:rPr>
                <w:noProof/>
              </w:rPr>
              <w:t xml:space="preserve"> 105.</w:t>
            </w: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D56EBCA" w14:textId="77777777" w:rsidR="00252B1F" w:rsidRDefault="00252B1F" w:rsidP="00252B1F">
            <w:pPr>
              <w:jc w:val="left"/>
              <w:rPr>
                <w:noProof/>
              </w:rPr>
            </w:pPr>
            <w:r>
              <w:rPr>
                <w:noProof/>
              </w:rPr>
              <w:t>Article 105</w:t>
            </w:r>
          </w:p>
          <w:p w14:paraId="450D8709" w14:textId="1AA08DCF" w:rsidR="00252B1F" w:rsidRPr="00252B1F" w:rsidRDefault="00252B1F" w:rsidP="00252B1F">
            <w:pPr>
              <w:spacing w:before="0" w:after="0"/>
              <w:jc w:val="left"/>
              <w:textAlignment w:val="baseline"/>
              <w:rPr>
                <w:rFonts w:eastAsia="Times New Roman"/>
                <w:noProof/>
                <w:szCs w:val="24"/>
                <w:lang w:val="en-IE" w:eastAsia="en-IE"/>
              </w:rPr>
            </w:pPr>
            <w:r w:rsidRPr="00DF59A2">
              <w:rPr>
                <w:noProof/>
              </w:rPr>
              <w:t>Exemption for entities established in or controlled by entities from a third country posing cybersecurity concerns</w:t>
            </w:r>
          </w:p>
        </w:tc>
        <w:tc>
          <w:tcPr>
            <w:tcW w:w="201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3302509E" w14:textId="1C6D077B" w:rsidR="00252B1F" w:rsidRPr="00D73E11" w:rsidRDefault="00252B1F" w:rsidP="00252B1F">
            <w:pPr>
              <w:spacing w:before="0" w:after="0"/>
              <w:jc w:val="left"/>
              <w:textAlignment w:val="baseline"/>
              <w:rPr>
                <w:rFonts w:eastAsia="Times New Roman"/>
                <w:noProof/>
                <w:szCs w:val="24"/>
                <w:lang w:eastAsia="en-IE"/>
              </w:rPr>
            </w:pPr>
            <w:r>
              <w:rPr>
                <w:noProof/>
              </w:rPr>
              <w:t>Adopting implementing acts</w:t>
            </w:r>
          </w:p>
        </w:tc>
        <w:tc>
          <w:tcPr>
            <w:tcW w:w="183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ADB89E6" w14:textId="1DC4C5E3" w:rsidR="00252B1F" w:rsidRPr="00D73E11" w:rsidRDefault="00252B1F" w:rsidP="00252B1F">
            <w:pPr>
              <w:spacing w:before="0" w:after="0"/>
              <w:jc w:val="left"/>
              <w:textAlignment w:val="baseline"/>
              <w:rPr>
                <w:rFonts w:eastAsia="Times New Roman"/>
                <w:noProof/>
                <w:szCs w:val="24"/>
                <w:lang w:val="en-IE" w:eastAsia="en-IE"/>
              </w:rPr>
            </w:pPr>
            <w:r>
              <w:rPr>
                <w:noProof/>
                <w:szCs w:val="24"/>
              </w:rPr>
              <w:t>N/A</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534627DA" w14:textId="20E864E4" w:rsidR="00252B1F" w:rsidRPr="00D73E11" w:rsidRDefault="00252B1F" w:rsidP="00252B1F">
            <w:pPr>
              <w:spacing w:before="0" w:after="0"/>
              <w:jc w:val="left"/>
              <w:textAlignment w:val="baseline"/>
              <w:rPr>
                <w:rFonts w:eastAsia="Times New Roman"/>
                <w:noProof/>
                <w:szCs w:val="24"/>
                <w:lang w:eastAsia="en-IE"/>
              </w:rPr>
            </w:pPr>
            <w:r>
              <w:rPr>
                <w:noProof/>
              </w:rPr>
              <w:t>N/A</w:t>
            </w:r>
          </w:p>
        </w:tc>
      </w:tr>
      <w:tr w:rsidR="00252B1F" w:rsidRPr="00D73E11" w14:paraId="6F506B1C" w14:textId="77777777">
        <w:trPr>
          <w:trHeight w:val="285"/>
        </w:trPr>
        <w:tc>
          <w:tcPr>
            <w:tcW w:w="424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38FF366F" w14:textId="0E7346FD" w:rsidR="00252B1F" w:rsidRPr="00600F27" w:rsidRDefault="00252B1F" w:rsidP="00252B1F">
            <w:pPr>
              <w:spacing w:before="0" w:after="0"/>
              <w:textAlignment w:val="baseline"/>
              <w:rPr>
                <w:rFonts w:eastAsia="Times New Roman"/>
                <w:noProof/>
                <w:szCs w:val="24"/>
                <w:lang w:eastAsia="en-IE"/>
              </w:rPr>
            </w:pPr>
            <w:r w:rsidRPr="005A59FD">
              <w:rPr>
                <w:noProof/>
              </w:rPr>
              <w:t xml:space="preserve">The Commission </w:t>
            </w:r>
            <w:r>
              <w:rPr>
                <w:noProof/>
              </w:rPr>
              <w:t>may</w:t>
            </w:r>
            <w:r w:rsidRPr="005A59FD">
              <w:rPr>
                <w:noProof/>
              </w:rPr>
              <w:t xml:space="preserve"> adopt implementing acts laying down detailed rules relating to </w:t>
            </w:r>
            <w:r>
              <w:rPr>
                <w:noProof/>
              </w:rPr>
              <w:t xml:space="preserve">the </w:t>
            </w:r>
            <w:r w:rsidRPr="005A59FD">
              <w:rPr>
                <w:noProof/>
              </w:rPr>
              <w:t xml:space="preserve">fees, specifying the amount of the fees and the way in which they are </w:t>
            </w:r>
            <w:r>
              <w:rPr>
                <w:noProof/>
              </w:rPr>
              <w:t>to be</w:t>
            </w:r>
            <w:r w:rsidRPr="00D76ED1">
              <w:rPr>
                <w:noProof/>
              </w:rPr>
              <w:t xml:space="preserve"> </w:t>
            </w:r>
            <w:r w:rsidRPr="00520DF8">
              <w:rPr>
                <w:noProof/>
              </w:rPr>
              <w:t xml:space="preserve">paid. </w:t>
            </w: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7770850" w14:textId="77777777" w:rsidR="00252B1F" w:rsidRDefault="00252B1F" w:rsidP="00252B1F">
            <w:pPr>
              <w:jc w:val="left"/>
              <w:rPr>
                <w:noProof/>
              </w:rPr>
            </w:pPr>
            <w:r>
              <w:rPr>
                <w:noProof/>
              </w:rPr>
              <w:t>Article 109</w:t>
            </w:r>
          </w:p>
          <w:p w14:paraId="31D80137" w14:textId="2C86CBF1" w:rsidR="00252B1F" w:rsidRPr="008F0AA6" w:rsidRDefault="00252B1F" w:rsidP="00252B1F">
            <w:pPr>
              <w:spacing w:before="0" w:after="0"/>
              <w:jc w:val="left"/>
              <w:textAlignment w:val="baseline"/>
              <w:rPr>
                <w:rFonts w:eastAsia="Times New Roman"/>
                <w:noProof/>
                <w:szCs w:val="24"/>
                <w:lang w:val="fr-BE" w:eastAsia="en-IE"/>
              </w:rPr>
            </w:pPr>
            <w:r>
              <w:rPr>
                <w:noProof/>
              </w:rPr>
              <w:t>Fees</w:t>
            </w:r>
          </w:p>
        </w:tc>
        <w:tc>
          <w:tcPr>
            <w:tcW w:w="201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6B359FF" w14:textId="4A4A9F29" w:rsidR="00252B1F" w:rsidRPr="00D73E11" w:rsidRDefault="00252B1F" w:rsidP="00252B1F">
            <w:pPr>
              <w:spacing w:before="0" w:after="0"/>
              <w:jc w:val="left"/>
              <w:textAlignment w:val="baseline"/>
              <w:rPr>
                <w:rFonts w:eastAsia="Times New Roman"/>
                <w:noProof/>
                <w:szCs w:val="24"/>
                <w:lang w:eastAsia="en-IE"/>
              </w:rPr>
            </w:pPr>
            <w:r>
              <w:rPr>
                <w:noProof/>
              </w:rPr>
              <w:t>Adopting implementing acts</w:t>
            </w:r>
          </w:p>
        </w:tc>
        <w:tc>
          <w:tcPr>
            <w:tcW w:w="183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9905C42" w14:textId="2BC8D418" w:rsidR="00252B1F" w:rsidRPr="00D73E11" w:rsidRDefault="00252B1F" w:rsidP="00252B1F">
            <w:pPr>
              <w:spacing w:before="0" w:after="0"/>
              <w:jc w:val="left"/>
              <w:textAlignment w:val="baseline"/>
              <w:rPr>
                <w:rFonts w:eastAsia="Times New Roman"/>
                <w:noProof/>
                <w:szCs w:val="24"/>
                <w:lang w:val="en-IE" w:eastAsia="en-IE"/>
              </w:rPr>
            </w:pPr>
            <w:r>
              <w:rPr>
                <w:noProof/>
                <w:szCs w:val="24"/>
              </w:rPr>
              <w:t>N/A</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2303AE6" w14:textId="527D5B48" w:rsidR="00252B1F" w:rsidRPr="00D73E11" w:rsidRDefault="00252B1F" w:rsidP="00252B1F">
            <w:pPr>
              <w:spacing w:before="0" w:after="0"/>
              <w:jc w:val="left"/>
              <w:textAlignment w:val="baseline"/>
              <w:rPr>
                <w:rFonts w:eastAsia="Times New Roman"/>
                <w:noProof/>
                <w:szCs w:val="24"/>
                <w:lang w:eastAsia="en-IE"/>
              </w:rPr>
            </w:pPr>
            <w:r>
              <w:rPr>
                <w:noProof/>
                <w:szCs w:val="24"/>
              </w:rPr>
              <w:t>N/A</w:t>
            </w:r>
          </w:p>
        </w:tc>
      </w:tr>
      <w:tr w:rsidR="00252B1F" w:rsidRPr="00D73E11" w14:paraId="472FEBF7" w14:textId="77777777">
        <w:trPr>
          <w:trHeight w:val="285"/>
        </w:trPr>
        <w:tc>
          <w:tcPr>
            <w:tcW w:w="424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E23CCB2" w14:textId="711DADFF" w:rsidR="00252B1F" w:rsidRPr="005C095E" w:rsidRDefault="00252B1F" w:rsidP="00252B1F">
            <w:pPr>
              <w:spacing w:before="0" w:after="0"/>
              <w:rPr>
                <w:noProof/>
                <w:szCs w:val="24"/>
                <w:lang w:val="en-US"/>
              </w:rPr>
            </w:pPr>
            <w:r w:rsidRPr="005C095E">
              <w:rPr>
                <w:noProof/>
                <w:szCs w:val="24"/>
                <w:lang w:val="en-US"/>
              </w:rPr>
              <w:t xml:space="preserve">The Commission shall adopt implementing acts to specify the </w:t>
            </w:r>
            <w:r>
              <w:rPr>
                <w:noProof/>
                <w:szCs w:val="24"/>
                <w:lang w:val="en-US"/>
              </w:rPr>
              <w:t>time</w:t>
            </w:r>
            <w:r w:rsidRPr="005C095E">
              <w:rPr>
                <w:noProof/>
                <w:szCs w:val="24"/>
                <w:lang w:val="en-US"/>
              </w:rPr>
              <w:t xml:space="preserve"> periods for</w:t>
            </w:r>
            <w:r>
              <w:rPr>
                <w:noProof/>
                <w:szCs w:val="24"/>
                <w:lang w:val="en-US"/>
              </w:rPr>
              <w:t xml:space="preserve"> phasing out</w:t>
            </w:r>
            <w:r w:rsidRPr="005C095E">
              <w:rPr>
                <w:noProof/>
                <w:szCs w:val="24"/>
                <w:lang w:val="en-US"/>
              </w:rPr>
              <w:t xml:space="preserve"> the </w:t>
            </w:r>
            <w:r w:rsidRPr="009D1243">
              <w:rPr>
                <w:noProof/>
                <w:lang w:val="en-IE"/>
              </w:rPr>
              <w:t xml:space="preserve">the ICT components or components that include ICT components provided by high-risk suppliers with regard to fixed </w:t>
            </w:r>
            <w:r w:rsidR="00EC1A6F">
              <w:rPr>
                <w:noProof/>
                <w:lang w:val="en-IE"/>
              </w:rPr>
              <w:t>and satellite</w:t>
            </w:r>
            <w:r w:rsidRPr="009D1243">
              <w:rPr>
                <w:noProof/>
                <w:lang w:val="en-IE"/>
              </w:rPr>
              <w:t xml:space="preserve"> electronic communications networks </w:t>
            </w:r>
            <w:r w:rsidRPr="005C095E">
              <w:rPr>
                <w:noProof/>
                <w:szCs w:val="24"/>
                <w:lang w:val="en-US"/>
              </w:rPr>
              <w:t>.</w:t>
            </w:r>
          </w:p>
          <w:p w14:paraId="348B1197" w14:textId="77777777" w:rsidR="00252B1F" w:rsidRPr="00600F27" w:rsidRDefault="00252B1F" w:rsidP="00252B1F">
            <w:pPr>
              <w:spacing w:before="0" w:after="0"/>
              <w:textAlignment w:val="baseline"/>
              <w:rPr>
                <w:rFonts w:eastAsia="Times New Roman"/>
                <w:noProof/>
                <w:szCs w:val="24"/>
                <w:lang w:eastAsia="en-IE"/>
              </w:rPr>
            </w:pP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E70A5F4" w14:textId="77777777" w:rsidR="00252B1F" w:rsidRDefault="00252B1F" w:rsidP="00252B1F">
            <w:pPr>
              <w:jc w:val="left"/>
              <w:rPr>
                <w:noProof/>
              </w:rPr>
            </w:pPr>
            <w:r>
              <w:rPr>
                <w:noProof/>
              </w:rPr>
              <w:t>Article 110 (4)</w:t>
            </w:r>
          </w:p>
          <w:p w14:paraId="562E8C45" w14:textId="6E7E68A3" w:rsidR="00252B1F" w:rsidRPr="00252B1F" w:rsidRDefault="00252B1F" w:rsidP="00252B1F">
            <w:pPr>
              <w:spacing w:before="0" w:after="0"/>
              <w:jc w:val="left"/>
              <w:textAlignment w:val="baseline"/>
              <w:rPr>
                <w:rFonts w:eastAsia="Times New Roman"/>
                <w:noProof/>
                <w:szCs w:val="24"/>
                <w:lang w:val="en-IE" w:eastAsia="en-IE"/>
              </w:rPr>
            </w:pPr>
            <w:r w:rsidRPr="00BE1338">
              <w:rPr>
                <w:noProof/>
              </w:rPr>
              <w:t>Key ICT assets for mobile</w:t>
            </w:r>
            <w:r w:rsidR="00C75ABE">
              <w:rPr>
                <w:noProof/>
              </w:rPr>
              <w:t xml:space="preserve">, </w:t>
            </w:r>
            <w:r w:rsidRPr="00BE1338">
              <w:rPr>
                <w:noProof/>
              </w:rPr>
              <w:t xml:space="preserve">fixed </w:t>
            </w:r>
            <w:r w:rsidR="00C75ABE">
              <w:rPr>
                <w:noProof/>
              </w:rPr>
              <w:t>and satellite</w:t>
            </w:r>
            <w:r w:rsidRPr="00BE1338">
              <w:rPr>
                <w:noProof/>
              </w:rPr>
              <w:t xml:space="preserve"> electronic communications networks</w:t>
            </w:r>
          </w:p>
        </w:tc>
        <w:tc>
          <w:tcPr>
            <w:tcW w:w="201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52C818AB" w14:textId="08236822" w:rsidR="00252B1F" w:rsidRPr="00D73E11" w:rsidRDefault="00252B1F" w:rsidP="00252B1F">
            <w:pPr>
              <w:spacing w:before="0" w:after="0"/>
              <w:jc w:val="left"/>
              <w:textAlignment w:val="baseline"/>
              <w:rPr>
                <w:rFonts w:eastAsia="Times New Roman"/>
                <w:noProof/>
                <w:szCs w:val="24"/>
                <w:lang w:eastAsia="en-IE"/>
              </w:rPr>
            </w:pPr>
            <w:r>
              <w:rPr>
                <w:noProof/>
              </w:rPr>
              <w:t>Adopting implementing acts</w:t>
            </w:r>
          </w:p>
        </w:tc>
        <w:tc>
          <w:tcPr>
            <w:tcW w:w="183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1673DA6" w14:textId="515E9972" w:rsidR="00252B1F" w:rsidRPr="00D73E11" w:rsidRDefault="00252B1F" w:rsidP="00252B1F">
            <w:pPr>
              <w:spacing w:before="0" w:after="0"/>
              <w:jc w:val="left"/>
              <w:textAlignment w:val="baseline"/>
              <w:rPr>
                <w:rFonts w:eastAsia="Times New Roman"/>
                <w:noProof/>
                <w:szCs w:val="24"/>
                <w:lang w:val="en-IE" w:eastAsia="en-IE"/>
              </w:rPr>
            </w:pPr>
            <w:r>
              <w:rPr>
                <w:noProof/>
              </w:rPr>
              <w:t>N/A</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50B4E7DD" w14:textId="353193FD" w:rsidR="00252B1F" w:rsidRPr="00D73E11" w:rsidRDefault="00252B1F" w:rsidP="00252B1F">
            <w:pPr>
              <w:spacing w:before="0" w:after="0"/>
              <w:jc w:val="left"/>
              <w:textAlignment w:val="baseline"/>
              <w:rPr>
                <w:rFonts w:eastAsia="Times New Roman"/>
                <w:noProof/>
                <w:szCs w:val="24"/>
                <w:lang w:eastAsia="en-IE"/>
              </w:rPr>
            </w:pPr>
            <w:r>
              <w:rPr>
                <w:noProof/>
              </w:rPr>
              <w:t>N/A</w:t>
            </w:r>
          </w:p>
        </w:tc>
      </w:tr>
      <w:tr w:rsidR="00252B1F" w:rsidRPr="00D73E11" w14:paraId="2A16AF51" w14:textId="77777777">
        <w:trPr>
          <w:trHeight w:val="285"/>
        </w:trPr>
        <w:tc>
          <w:tcPr>
            <w:tcW w:w="424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3A0C9086" w14:textId="4A072820" w:rsidR="00252B1F" w:rsidRPr="00600F27" w:rsidRDefault="00252B1F" w:rsidP="00252B1F">
            <w:pPr>
              <w:spacing w:before="0" w:after="0"/>
              <w:textAlignment w:val="baseline"/>
              <w:rPr>
                <w:rFonts w:eastAsia="Times New Roman"/>
                <w:noProof/>
                <w:szCs w:val="24"/>
                <w:lang w:eastAsia="en-IE"/>
              </w:rPr>
            </w:pPr>
            <w:r w:rsidRPr="00B255FA">
              <w:rPr>
                <w:noProof/>
                <w:szCs w:val="24"/>
                <w:lang w:val="en-US"/>
              </w:rPr>
              <w:t xml:space="preserve">The Commission </w:t>
            </w:r>
            <w:r>
              <w:rPr>
                <w:noProof/>
                <w:szCs w:val="24"/>
                <w:lang w:val="en-US"/>
              </w:rPr>
              <w:t>may</w:t>
            </w:r>
            <w:r w:rsidRPr="00B255FA">
              <w:rPr>
                <w:noProof/>
                <w:szCs w:val="24"/>
                <w:lang w:val="en-US"/>
              </w:rPr>
              <w:t xml:space="preserve"> adopt delegated acts in accordance with Article 11</w:t>
            </w:r>
            <w:r>
              <w:rPr>
                <w:noProof/>
                <w:szCs w:val="24"/>
                <w:lang w:val="en-US"/>
              </w:rPr>
              <w:t>9</w:t>
            </w:r>
            <w:r w:rsidRPr="00B255FA">
              <w:rPr>
                <w:noProof/>
                <w:szCs w:val="24"/>
                <w:lang w:val="en-US"/>
              </w:rPr>
              <w:t xml:space="preserve"> to amend Annex II in order to adapt it to technological developments by taking into account the elements referred to in Article 103(3).</w:t>
            </w: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F113694" w14:textId="0F9B3DF4" w:rsidR="00252B1F" w:rsidRPr="008F0AA6" w:rsidRDefault="00252B1F" w:rsidP="00252B1F">
            <w:pPr>
              <w:spacing w:before="0" w:after="0"/>
              <w:jc w:val="left"/>
              <w:textAlignment w:val="baseline"/>
              <w:rPr>
                <w:rFonts w:eastAsia="Times New Roman"/>
                <w:noProof/>
                <w:szCs w:val="24"/>
                <w:lang w:val="fr-BE" w:eastAsia="en-IE"/>
              </w:rPr>
            </w:pPr>
            <w:r>
              <w:rPr>
                <w:noProof/>
              </w:rPr>
              <w:t>Article 110 (5)</w:t>
            </w:r>
          </w:p>
        </w:tc>
        <w:tc>
          <w:tcPr>
            <w:tcW w:w="201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26793B3" w14:textId="51A46373" w:rsidR="00252B1F" w:rsidRPr="00D73E11" w:rsidRDefault="00252B1F" w:rsidP="00252B1F">
            <w:pPr>
              <w:spacing w:before="0" w:after="0"/>
              <w:jc w:val="left"/>
              <w:textAlignment w:val="baseline"/>
              <w:rPr>
                <w:rFonts w:eastAsia="Times New Roman"/>
                <w:noProof/>
                <w:szCs w:val="24"/>
                <w:lang w:eastAsia="en-IE"/>
              </w:rPr>
            </w:pPr>
            <w:r>
              <w:rPr>
                <w:noProof/>
              </w:rPr>
              <w:t>Adopting delegated acts</w:t>
            </w:r>
          </w:p>
        </w:tc>
        <w:tc>
          <w:tcPr>
            <w:tcW w:w="183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A99FBE3" w14:textId="2A881A41" w:rsidR="00252B1F" w:rsidRPr="00D73E11" w:rsidRDefault="00252B1F" w:rsidP="00252B1F">
            <w:pPr>
              <w:spacing w:before="0" w:after="0"/>
              <w:jc w:val="left"/>
              <w:textAlignment w:val="baseline"/>
              <w:rPr>
                <w:rFonts w:eastAsia="Times New Roman"/>
                <w:noProof/>
                <w:szCs w:val="24"/>
                <w:lang w:val="en-IE" w:eastAsia="en-IE"/>
              </w:rPr>
            </w:pPr>
            <w:r>
              <w:rPr>
                <w:noProof/>
              </w:rPr>
              <w:t>N/A</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06126B5" w14:textId="42640388" w:rsidR="00252B1F" w:rsidRPr="00D73E11" w:rsidRDefault="00252B1F" w:rsidP="00252B1F">
            <w:pPr>
              <w:spacing w:before="0" w:after="0"/>
              <w:jc w:val="left"/>
              <w:textAlignment w:val="baseline"/>
              <w:rPr>
                <w:rFonts w:eastAsia="Times New Roman"/>
                <w:noProof/>
                <w:szCs w:val="24"/>
                <w:lang w:eastAsia="en-IE"/>
              </w:rPr>
            </w:pPr>
            <w:r>
              <w:rPr>
                <w:noProof/>
              </w:rPr>
              <w:t>N/A</w:t>
            </w:r>
          </w:p>
        </w:tc>
      </w:tr>
      <w:tr w:rsidR="007476E9" w:rsidRPr="00D73E11" w14:paraId="245F46C6" w14:textId="77777777">
        <w:trPr>
          <w:trHeight w:val="285"/>
        </w:trPr>
        <w:tc>
          <w:tcPr>
            <w:tcW w:w="424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30D0CB5F" w14:textId="77777777" w:rsidR="007476E9" w:rsidRPr="00600F27" w:rsidRDefault="007476E9">
            <w:pPr>
              <w:spacing w:before="0" w:after="0"/>
              <w:textAlignment w:val="baseline"/>
              <w:rPr>
                <w:rFonts w:eastAsia="Times New Roman"/>
                <w:noProof/>
                <w:szCs w:val="24"/>
                <w:lang w:eastAsia="en-IE"/>
              </w:rPr>
            </w:pPr>
            <w:r w:rsidRPr="00600F27">
              <w:rPr>
                <w:rFonts w:eastAsia="Times New Roman"/>
                <w:noProof/>
                <w:szCs w:val="24"/>
                <w:lang w:eastAsia="en-IE"/>
              </w:rPr>
              <w:t>7.</w:t>
            </w:r>
            <w:r w:rsidRPr="00600F27">
              <w:rPr>
                <w:rFonts w:eastAsia="Times New Roman"/>
                <w:noProof/>
                <w:szCs w:val="24"/>
                <w:lang w:eastAsia="en-IE"/>
              </w:rPr>
              <w:tab/>
              <w:t xml:space="preserve">Article 21(5) is amended as follows: </w:t>
            </w:r>
          </w:p>
          <w:p w14:paraId="5516BD39" w14:textId="77777777" w:rsidR="007476E9" w:rsidRPr="00600F27" w:rsidRDefault="007476E9">
            <w:pPr>
              <w:spacing w:before="0" w:after="0"/>
              <w:textAlignment w:val="baseline"/>
              <w:rPr>
                <w:rFonts w:eastAsia="Times New Roman"/>
                <w:noProof/>
                <w:szCs w:val="24"/>
                <w:lang w:eastAsia="en-IE"/>
              </w:rPr>
            </w:pPr>
            <w:r w:rsidRPr="00600F27">
              <w:rPr>
                <w:rFonts w:eastAsia="Times New Roman"/>
                <w:noProof/>
                <w:szCs w:val="24"/>
                <w:lang w:eastAsia="en-IE"/>
              </w:rPr>
              <w:t>(a)</w:t>
            </w:r>
            <w:r w:rsidRPr="00600F27">
              <w:rPr>
                <w:rFonts w:eastAsia="Times New Roman"/>
                <w:noProof/>
                <w:szCs w:val="24"/>
                <w:lang w:eastAsia="en-IE"/>
              </w:rPr>
              <w:tab/>
              <w:t>the second subparagraph is replaced by the following:</w:t>
            </w:r>
          </w:p>
          <w:p w14:paraId="64661902" w14:textId="77777777" w:rsidR="007476E9" w:rsidRPr="00600F27" w:rsidRDefault="007476E9">
            <w:pPr>
              <w:spacing w:before="0" w:after="0"/>
              <w:textAlignment w:val="baseline"/>
              <w:rPr>
                <w:rFonts w:eastAsia="Times New Roman"/>
                <w:noProof/>
                <w:szCs w:val="24"/>
                <w:lang w:eastAsia="en-IE"/>
              </w:rPr>
            </w:pPr>
            <w:r w:rsidRPr="00600F27">
              <w:rPr>
                <w:rFonts w:eastAsia="Times New Roman"/>
                <w:noProof/>
                <w:szCs w:val="24"/>
                <w:lang w:eastAsia="en-IE"/>
              </w:rPr>
              <w:t>‘The Commission may adopt implementing acts laying down the technical and the methodological requirements, as well as sectoral requirements, as necessary, of the measures referred to in paragraph 2 with regard to essential and important entities other than those referred to in the first subparagraph of this paragraph. The Commission shall regularly assess whether implementing acts referred to in this subparagraph shall be adopted for specific sectors or types of entities to improve the functioning of the internal market. Based on the outcome of those assessments, the Commission may propose such implementing acts for the identified sectors or types of entities. When preparing such assessments, the Commission shall focus in particular on the cross-border nature of sectors or types of entities and shall carry out an open, transparent and inclusive consultation process with relevant stakeholders and Member States.’;</w:t>
            </w:r>
          </w:p>
          <w:p w14:paraId="3BDA51BF" w14:textId="77777777" w:rsidR="007476E9" w:rsidRPr="00600F27" w:rsidRDefault="007476E9">
            <w:pPr>
              <w:spacing w:before="0" w:after="0"/>
              <w:textAlignment w:val="baseline"/>
              <w:rPr>
                <w:rFonts w:eastAsia="Times New Roman"/>
                <w:noProof/>
                <w:szCs w:val="24"/>
                <w:lang w:eastAsia="en-IE"/>
              </w:rPr>
            </w:pPr>
            <w:r w:rsidRPr="00600F27">
              <w:rPr>
                <w:rFonts w:eastAsia="Times New Roman"/>
                <w:noProof/>
                <w:szCs w:val="24"/>
                <w:lang w:eastAsia="en-IE"/>
              </w:rPr>
              <w:t>(b)</w:t>
            </w:r>
            <w:r w:rsidRPr="00600F27">
              <w:rPr>
                <w:rFonts w:eastAsia="Times New Roman"/>
                <w:noProof/>
                <w:szCs w:val="24"/>
                <w:lang w:eastAsia="en-IE"/>
              </w:rPr>
              <w:tab/>
              <w:t xml:space="preserve">the following subparagraph is inserted after the fourth subparagraph: </w:t>
            </w:r>
          </w:p>
          <w:p w14:paraId="417ED511" w14:textId="77777777" w:rsidR="007476E9" w:rsidRPr="00600F27" w:rsidRDefault="007476E9">
            <w:pPr>
              <w:spacing w:before="0" w:after="0"/>
              <w:textAlignment w:val="baseline"/>
              <w:rPr>
                <w:rFonts w:ascii="Segoe UI" w:eastAsia="Times New Roman" w:hAnsi="Segoe UI" w:cs="Segoe UI"/>
                <w:noProof/>
                <w:sz w:val="18"/>
                <w:szCs w:val="18"/>
                <w:lang w:eastAsia="en-IE"/>
              </w:rPr>
            </w:pPr>
            <w:r w:rsidRPr="34534E1B">
              <w:rPr>
                <w:rFonts w:eastAsia="Times New Roman"/>
                <w:noProof/>
                <w:lang w:eastAsia="en-IE"/>
              </w:rPr>
              <w:t>‘Where the Commission adopts implementing acts referred to in the first and second subparagraphs of this paragraph, Member States shall not impose any further technical or methodological requirements of the measures referred to in Article 21 (2) of Directive (EU) 2022/2555 on the entities in scope of those implementing acts.’</w:t>
            </w: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39C0CE5C" w14:textId="77777777" w:rsidR="007476E9" w:rsidRPr="008F0AA6" w:rsidRDefault="007476E9">
            <w:pPr>
              <w:spacing w:before="0" w:after="0"/>
              <w:jc w:val="left"/>
              <w:textAlignment w:val="baseline"/>
              <w:rPr>
                <w:rFonts w:ascii="Segoe UI" w:eastAsia="Times New Roman" w:hAnsi="Segoe UI" w:cs="Segoe UI"/>
                <w:noProof/>
                <w:sz w:val="18"/>
                <w:szCs w:val="18"/>
                <w:lang w:val="fr-BE" w:eastAsia="en-IE"/>
              </w:rPr>
            </w:pPr>
            <w:r w:rsidRPr="008F0AA6">
              <w:rPr>
                <w:rFonts w:eastAsia="Times New Roman"/>
                <w:noProof/>
                <w:szCs w:val="24"/>
                <w:lang w:val="fr-BE" w:eastAsia="en-IE"/>
              </w:rPr>
              <w:t>Article 1, point 7, Directive </w:t>
            </w:r>
          </w:p>
          <w:p w14:paraId="34B96974" w14:textId="77777777" w:rsidR="007476E9" w:rsidRPr="008F0AA6" w:rsidRDefault="007476E9">
            <w:pPr>
              <w:spacing w:before="0" w:after="0"/>
              <w:jc w:val="left"/>
              <w:textAlignment w:val="baseline"/>
              <w:rPr>
                <w:rFonts w:ascii="Segoe UI" w:eastAsia="Times New Roman" w:hAnsi="Segoe UI" w:cs="Segoe UI"/>
                <w:noProof/>
                <w:sz w:val="18"/>
                <w:szCs w:val="18"/>
                <w:lang w:val="fr-BE" w:eastAsia="en-IE"/>
              </w:rPr>
            </w:pPr>
            <w:r w:rsidRPr="008F0AA6">
              <w:rPr>
                <w:rFonts w:eastAsia="Times New Roman"/>
                <w:noProof/>
                <w:lang w:val="fr-BE" w:eastAsia="en-IE"/>
              </w:rPr>
              <w:t>Maximum harmonisation  </w:t>
            </w:r>
          </w:p>
        </w:tc>
        <w:tc>
          <w:tcPr>
            <w:tcW w:w="201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480F4C4D" w14:textId="77777777" w:rsidR="007476E9" w:rsidRPr="00D73E11" w:rsidRDefault="007476E9">
            <w:pPr>
              <w:spacing w:before="0" w:after="0"/>
              <w:jc w:val="left"/>
              <w:textAlignment w:val="baseline"/>
              <w:rPr>
                <w:rFonts w:ascii="Segoe UI" w:eastAsia="Times New Roman" w:hAnsi="Segoe UI" w:cs="Segoe UI"/>
                <w:noProof/>
                <w:sz w:val="18"/>
                <w:szCs w:val="18"/>
                <w:lang w:val="en-IE" w:eastAsia="en-IE"/>
              </w:rPr>
            </w:pPr>
            <w:r w:rsidRPr="00D73E11">
              <w:rPr>
                <w:rFonts w:eastAsia="Times New Roman"/>
                <w:noProof/>
                <w:szCs w:val="24"/>
                <w:lang w:eastAsia="en-IE"/>
              </w:rPr>
              <w:t>Commission may adopt implementing acts</w:t>
            </w:r>
            <w:r w:rsidRPr="00D73E11">
              <w:rPr>
                <w:rFonts w:eastAsia="Times New Roman"/>
                <w:noProof/>
                <w:szCs w:val="24"/>
                <w:lang w:val="en-IE" w:eastAsia="en-IE"/>
              </w:rPr>
              <w:t> </w:t>
            </w:r>
          </w:p>
          <w:p w14:paraId="0DEEF28E" w14:textId="77777777" w:rsidR="007476E9" w:rsidRPr="00D73E11" w:rsidRDefault="007476E9">
            <w:pPr>
              <w:spacing w:before="0" w:after="0"/>
              <w:jc w:val="left"/>
              <w:textAlignment w:val="baseline"/>
              <w:rPr>
                <w:rFonts w:ascii="Segoe UI" w:eastAsia="Times New Roman" w:hAnsi="Segoe UI" w:cs="Segoe UI"/>
                <w:noProof/>
                <w:sz w:val="18"/>
                <w:szCs w:val="18"/>
                <w:lang w:val="en-IE" w:eastAsia="en-IE"/>
              </w:rPr>
            </w:pPr>
            <w:r w:rsidRPr="00D73E11">
              <w:rPr>
                <w:rFonts w:eastAsia="Times New Roman"/>
                <w:noProof/>
                <w:szCs w:val="24"/>
                <w:lang w:val="en-IE" w:eastAsia="en-IE"/>
              </w:rPr>
              <w:t> </w:t>
            </w:r>
          </w:p>
        </w:tc>
        <w:tc>
          <w:tcPr>
            <w:tcW w:w="183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22DBD721" w14:textId="77777777" w:rsidR="007476E9" w:rsidRPr="00D73E11" w:rsidRDefault="007476E9">
            <w:pPr>
              <w:spacing w:before="0" w:after="0"/>
              <w:jc w:val="left"/>
              <w:textAlignment w:val="baseline"/>
              <w:rPr>
                <w:rFonts w:ascii="Segoe UI" w:eastAsia="Times New Roman" w:hAnsi="Segoe UI" w:cs="Segoe UI"/>
                <w:noProof/>
                <w:sz w:val="18"/>
                <w:szCs w:val="18"/>
                <w:lang w:val="en-IE" w:eastAsia="en-IE"/>
              </w:rPr>
            </w:pPr>
            <w:r w:rsidRPr="00D73E11">
              <w:rPr>
                <w:rFonts w:eastAsia="Times New Roman"/>
                <w:noProof/>
                <w:szCs w:val="24"/>
                <w:lang w:val="en-IE" w:eastAsia="en-IE"/>
              </w:rPr>
              <w:t> </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66D8C089" w14:textId="77777777" w:rsidR="007476E9" w:rsidRPr="00D73E11" w:rsidRDefault="007476E9">
            <w:pPr>
              <w:spacing w:before="0" w:after="0"/>
              <w:jc w:val="left"/>
              <w:textAlignment w:val="baseline"/>
              <w:rPr>
                <w:rFonts w:ascii="Segoe UI" w:eastAsia="Times New Roman" w:hAnsi="Segoe UI" w:cs="Segoe UI"/>
                <w:noProof/>
                <w:sz w:val="18"/>
                <w:szCs w:val="18"/>
                <w:lang w:val="en-IE" w:eastAsia="en-IE"/>
              </w:rPr>
            </w:pPr>
            <w:r w:rsidRPr="00D73E11">
              <w:rPr>
                <w:rFonts w:eastAsia="Times New Roman"/>
                <w:noProof/>
                <w:szCs w:val="24"/>
                <w:lang w:eastAsia="en-IE"/>
              </w:rPr>
              <w:t>N/A</w:t>
            </w:r>
            <w:r w:rsidRPr="00D73E11">
              <w:rPr>
                <w:rFonts w:eastAsia="Times New Roman"/>
                <w:noProof/>
                <w:szCs w:val="24"/>
                <w:lang w:val="en-IE" w:eastAsia="en-IE"/>
              </w:rPr>
              <w:t> </w:t>
            </w:r>
          </w:p>
        </w:tc>
      </w:tr>
    </w:tbl>
    <w:p w14:paraId="762AEF32" w14:textId="77777777" w:rsidR="007476E9" w:rsidRPr="00D73E11" w:rsidRDefault="007476E9" w:rsidP="007476E9">
      <w:pPr>
        <w:spacing w:before="0" w:after="0"/>
        <w:textAlignment w:val="baseline"/>
        <w:rPr>
          <w:rFonts w:ascii="Segoe UI" w:eastAsia="Times New Roman" w:hAnsi="Segoe UI" w:cs="Segoe UI"/>
          <w:noProof/>
          <w:sz w:val="18"/>
          <w:szCs w:val="18"/>
          <w:lang w:val="en-IE" w:eastAsia="en-IE"/>
        </w:rPr>
      </w:pPr>
    </w:p>
    <w:sectPr w:rsidR="007476E9" w:rsidRPr="00D73E11" w:rsidSect="000033F2">
      <w:headerReference w:type="default" r:id="rId20"/>
      <w:footerReference w:type="default" r:id="rId21"/>
      <w:pgSz w:w="16840" w:h="11907" w:orient="landscape" w:code="9"/>
      <w:pgMar w:top="1418" w:right="1134" w:bottom="1418" w:left="1134"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5496FB" w14:textId="77777777" w:rsidR="005951A0" w:rsidRDefault="005951A0" w:rsidP="00A3053C">
      <w:pPr>
        <w:spacing w:before="0" w:after="0"/>
      </w:pPr>
      <w:r>
        <w:separator/>
      </w:r>
    </w:p>
  </w:endnote>
  <w:endnote w:type="continuationSeparator" w:id="0">
    <w:p w14:paraId="1F211C4A" w14:textId="77777777" w:rsidR="005951A0" w:rsidRDefault="005951A0" w:rsidP="00A3053C">
      <w:pPr>
        <w:spacing w:before="0" w:after="0"/>
      </w:pPr>
      <w:r>
        <w:continuationSeparator/>
      </w:r>
    </w:p>
  </w:endnote>
  <w:endnote w:type="continuationNotice" w:id="1">
    <w:p w14:paraId="43D2DD29" w14:textId="77777777" w:rsidR="005951A0" w:rsidRDefault="005951A0">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00"/>
    <w:family w:val="roman"/>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Roboto">
    <w:charset w:val="00"/>
    <w:family w:val="auto"/>
    <w:pitch w:val="variable"/>
    <w:sig w:usb0="E0000AFF" w:usb1="5000217F" w:usb2="00000021" w:usb3="00000000" w:csb0="0000019F" w:csb1="00000000"/>
  </w:font>
  <w:font w:name="Wingdings">
    <w:panose1 w:val="05000000000000000000"/>
    <w:charset w:val="02"/>
    <w:family w:val="auto"/>
    <w:pitch w:val="variable"/>
    <w:sig w:usb0="00000000" w:usb1="10000000" w:usb2="00000000" w:usb3="00000000" w:csb0="80000000" w:csb1="00000000"/>
  </w:font>
  <w:font w:name="EUAlbertina">
    <w:altName w:val="Cambria"/>
    <w:charset w:val="00"/>
    <w:family w:val="auto"/>
    <w:pitch w:val="variable"/>
    <w:sig w:usb0="800002EF" w:usb1="1000E0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3F1EA" w14:textId="5318C2EC" w:rsidR="000033F2" w:rsidRPr="000033F2" w:rsidRDefault="000033F2" w:rsidP="000033F2">
    <w:pPr>
      <w:pStyle w:val="Footer"/>
      <w:rPr>
        <w:rFonts w:ascii="Arial" w:hAnsi="Arial" w:cs="Arial"/>
        <w:b/>
        <w:sz w:val="48"/>
      </w:rPr>
    </w:pPr>
    <w:r w:rsidRPr="000033F2">
      <w:rPr>
        <w:rFonts w:ascii="Arial" w:hAnsi="Arial" w:cs="Arial"/>
        <w:b/>
        <w:sz w:val="48"/>
      </w:rPr>
      <w:t>EN</w:t>
    </w:r>
    <w:r w:rsidRPr="000033F2">
      <w:rPr>
        <w:rFonts w:ascii="Arial" w:hAnsi="Arial" w:cs="Arial"/>
        <w:b/>
        <w:sz w:val="48"/>
      </w:rPr>
      <w:tab/>
    </w:r>
    <w:r w:rsidRPr="000033F2">
      <w:rPr>
        <w:rFonts w:ascii="Arial" w:hAnsi="Arial" w:cs="Arial"/>
        <w:b/>
        <w:sz w:val="48"/>
      </w:rPr>
      <w:tab/>
    </w:r>
    <w:r w:rsidRPr="000033F2">
      <w:tab/>
    </w:r>
    <w:r w:rsidRPr="000033F2">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F97C6" w14:textId="51CCEA47" w:rsidR="000033F2" w:rsidRPr="000033F2" w:rsidRDefault="000033F2" w:rsidP="000033F2">
    <w:pPr>
      <w:pStyle w:val="Footer"/>
      <w:rPr>
        <w:rFonts w:ascii="Arial" w:hAnsi="Arial" w:cs="Arial"/>
        <w:b/>
        <w:sz w:val="48"/>
      </w:rPr>
    </w:pPr>
    <w:r w:rsidRPr="000033F2">
      <w:rPr>
        <w:rFonts w:ascii="Arial" w:hAnsi="Arial" w:cs="Arial"/>
        <w:b/>
        <w:sz w:val="48"/>
      </w:rPr>
      <w:t>EN</w:t>
    </w:r>
    <w:r w:rsidRPr="000033F2">
      <w:rPr>
        <w:rFonts w:ascii="Arial" w:hAnsi="Arial" w:cs="Arial"/>
        <w:b/>
        <w:sz w:val="48"/>
      </w:rPr>
      <w:tab/>
    </w:r>
    <w:r w:rsidRPr="000033F2">
      <w:rPr>
        <w:rFonts w:ascii="Arial" w:hAnsi="Arial" w:cs="Arial"/>
        <w:b/>
        <w:sz w:val="48"/>
      </w:rPr>
      <w:tab/>
    </w:r>
    <w:r w:rsidRPr="000033F2">
      <w:tab/>
    </w:r>
    <w:r w:rsidRPr="000033F2">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376DB" w14:textId="77777777" w:rsidR="000033F2" w:rsidRDefault="000033F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F10A5" w14:textId="29B0A3E2" w:rsidR="000033F2" w:rsidRPr="000033F2" w:rsidRDefault="000033F2" w:rsidP="000033F2">
    <w:pPr>
      <w:pStyle w:val="Footer"/>
      <w:rPr>
        <w:rFonts w:ascii="Arial" w:hAnsi="Arial" w:cs="Arial"/>
        <w:b/>
        <w:sz w:val="48"/>
      </w:rPr>
    </w:pPr>
    <w:r w:rsidRPr="000033F2">
      <w:rPr>
        <w:rFonts w:ascii="Arial" w:hAnsi="Arial" w:cs="Arial"/>
        <w:b/>
        <w:sz w:val="48"/>
      </w:rPr>
      <w:t>EN</w:t>
    </w:r>
    <w:r w:rsidRPr="000033F2">
      <w:rPr>
        <w:rFonts w:ascii="Arial" w:hAnsi="Arial" w:cs="Arial"/>
        <w:b/>
        <w:sz w:val="48"/>
      </w:rPr>
      <w:tab/>
    </w:r>
    <w:r>
      <w:fldChar w:fldCharType="begin"/>
    </w:r>
    <w:r>
      <w:instrText xml:space="preserve"> PAGE  \* MERGEFORMAT </w:instrText>
    </w:r>
    <w:r>
      <w:fldChar w:fldCharType="separate"/>
    </w:r>
    <w:r w:rsidR="000C1536">
      <w:rPr>
        <w:noProof/>
      </w:rPr>
      <w:t>144</w:t>
    </w:r>
    <w:r>
      <w:fldChar w:fldCharType="end"/>
    </w:r>
    <w:r>
      <w:tab/>
    </w:r>
    <w:r w:rsidRPr="000033F2">
      <w:tab/>
    </w:r>
    <w:r w:rsidRPr="000033F2">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6CC67" w14:textId="77777777" w:rsidR="000033F2" w:rsidRDefault="000033F2" w:rsidP="000033F2">
    <w:pPr>
      <w:pStyle w:val="FooterLandscape"/>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FF1F8" w14:textId="5278E707" w:rsidR="000033F2" w:rsidRPr="000033F2" w:rsidRDefault="000033F2" w:rsidP="000033F2">
    <w:pPr>
      <w:pStyle w:val="FooterLandscape"/>
      <w:rPr>
        <w:rFonts w:ascii="Arial" w:hAnsi="Arial" w:cs="Arial"/>
        <w:b/>
        <w:sz w:val="48"/>
      </w:rPr>
    </w:pPr>
    <w:r w:rsidRPr="000033F2">
      <w:rPr>
        <w:rFonts w:ascii="Arial" w:hAnsi="Arial" w:cs="Arial"/>
        <w:b/>
        <w:sz w:val="48"/>
      </w:rPr>
      <w:t>EN</w:t>
    </w:r>
    <w:r w:rsidRPr="000033F2">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0033F2">
      <w:tab/>
    </w:r>
    <w:r w:rsidRPr="000033F2">
      <w:rPr>
        <w:rFonts w:ascii="Arial" w:hAnsi="Arial" w:cs="Arial"/>
        <w:b/>
        <w:sz w:val="48"/>
      </w:rPr>
      <w:t>EN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B6F15" w14:textId="56D9FD70" w:rsidR="000033F2" w:rsidRPr="000033F2" w:rsidRDefault="000033F2" w:rsidP="000033F2">
    <w:pPr>
      <w:pStyle w:val="Footer"/>
      <w:rPr>
        <w:rFonts w:ascii="Arial" w:hAnsi="Arial" w:cs="Arial"/>
        <w:b/>
        <w:sz w:val="48"/>
      </w:rPr>
    </w:pPr>
    <w:r w:rsidRPr="000033F2">
      <w:rPr>
        <w:rFonts w:ascii="Arial" w:hAnsi="Arial" w:cs="Arial"/>
        <w:b/>
        <w:sz w:val="48"/>
      </w:rPr>
      <w:t>EN</w:t>
    </w:r>
    <w:r w:rsidRPr="000033F2">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0033F2">
      <w:tab/>
    </w:r>
    <w:r w:rsidRPr="000033F2">
      <w:rPr>
        <w:rFonts w:ascii="Arial" w:hAnsi="Arial" w:cs="Arial"/>
        <w:b/>
        <w:sz w:val="48"/>
      </w:rPr>
      <w:t>EN</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39F61" w14:textId="24DD8997" w:rsidR="000033F2" w:rsidRPr="000033F2" w:rsidRDefault="000033F2" w:rsidP="000033F2">
    <w:pPr>
      <w:pStyle w:val="FooterLandscape"/>
      <w:rPr>
        <w:rFonts w:ascii="Arial" w:hAnsi="Arial" w:cs="Arial"/>
        <w:b/>
        <w:sz w:val="48"/>
      </w:rPr>
    </w:pPr>
    <w:r w:rsidRPr="000033F2">
      <w:rPr>
        <w:rFonts w:ascii="Arial" w:hAnsi="Arial" w:cs="Arial"/>
        <w:b/>
        <w:sz w:val="48"/>
      </w:rPr>
      <w:t>EN</w:t>
    </w:r>
    <w:r w:rsidRPr="000033F2">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0033F2">
      <w:tab/>
    </w:r>
    <w:r w:rsidRPr="000033F2">
      <w:rPr>
        <w:rFonts w:ascii="Arial" w:hAnsi="Arial" w:cs="Arial"/>
        <w:b/>
        <w:sz w:val="48"/>
      </w:rPr>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2B4B38" w14:textId="77777777" w:rsidR="005951A0" w:rsidRDefault="005951A0" w:rsidP="00A3053C">
      <w:pPr>
        <w:spacing w:before="0" w:after="0"/>
      </w:pPr>
      <w:r>
        <w:separator/>
      </w:r>
    </w:p>
  </w:footnote>
  <w:footnote w:type="continuationSeparator" w:id="0">
    <w:p w14:paraId="1F506F3F" w14:textId="77777777" w:rsidR="005951A0" w:rsidRDefault="005951A0" w:rsidP="00A3053C">
      <w:pPr>
        <w:spacing w:before="0" w:after="0"/>
      </w:pPr>
      <w:r>
        <w:continuationSeparator/>
      </w:r>
    </w:p>
  </w:footnote>
  <w:footnote w:type="continuationNotice" w:id="1">
    <w:p w14:paraId="064CE8CE" w14:textId="77777777" w:rsidR="005951A0" w:rsidRDefault="005951A0">
      <w:pPr>
        <w:spacing w:before="0" w:after="0"/>
      </w:pPr>
    </w:p>
  </w:footnote>
  <w:footnote w:id="2">
    <w:p w14:paraId="483EF66C" w14:textId="77777777" w:rsidR="00AB7469" w:rsidRPr="008F7FF6" w:rsidRDefault="00AB7469" w:rsidP="00AB7469">
      <w:pPr>
        <w:pStyle w:val="FootnoteText"/>
        <w:rPr>
          <w:lang w:val="en-IE"/>
        </w:rPr>
      </w:pPr>
      <w:r w:rsidRPr="008F7FF6">
        <w:rPr>
          <w:rStyle w:val="FootnoteReference"/>
        </w:rPr>
        <w:footnoteRef/>
      </w:r>
      <w:r w:rsidR="00643D1E" w:rsidRPr="008F7FF6">
        <w:tab/>
      </w:r>
      <w:r w:rsidRPr="008F7FF6">
        <w:rPr>
          <w:rFonts w:eastAsia="Times New Roman"/>
        </w:rPr>
        <w:t xml:space="preserve">ENISA, </w:t>
      </w:r>
      <w:r w:rsidRPr="008F7FF6">
        <w:rPr>
          <w:rFonts w:eastAsia="Times New Roman"/>
          <w:i/>
        </w:rPr>
        <w:t>ENISA Threat Landscape 2024</w:t>
      </w:r>
      <w:r w:rsidRPr="008F7FF6">
        <w:rPr>
          <w:rFonts w:eastAsia="Times New Roman"/>
        </w:rPr>
        <w:t xml:space="preserve">, </w:t>
      </w:r>
      <w:hyperlink r:id="rId1">
        <w:r w:rsidRPr="008F7FF6">
          <w:rPr>
            <w:rStyle w:val="Hyperlink"/>
            <w:rFonts w:eastAsia="Times New Roman"/>
          </w:rPr>
          <w:t>https://www.enisa.europa.eu/publications/enisa-threat-landscape-2024</w:t>
        </w:r>
      </w:hyperlink>
    </w:p>
  </w:footnote>
  <w:footnote w:id="3">
    <w:p w14:paraId="32806B45" w14:textId="77777777" w:rsidR="002241DB" w:rsidRPr="008F7FF6" w:rsidRDefault="002241DB">
      <w:pPr>
        <w:pStyle w:val="FootnoteText"/>
        <w:rPr>
          <w:lang w:val="en-US"/>
        </w:rPr>
      </w:pPr>
      <w:r w:rsidRPr="008F7FF6">
        <w:rPr>
          <w:rStyle w:val="FootnoteReference"/>
        </w:rPr>
        <w:footnoteRef/>
      </w:r>
      <w:r w:rsidR="00B30C85" w:rsidRPr="008F7FF6">
        <w:tab/>
      </w:r>
      <w:r w:rsidRPr="008F7FF6">
        <w:t xml:space="preserve">ENISA, </w:t>
      </w:r>
      <w:r w:rsidRPr="008F7FF6">
        <w:rPr>
          <w:i/>
          <w:iCs/>
        </w:rPr>
        <w:t>ENISA Threat Landscape 2025.</w:t>
      </w:r>
    </w:p>
  </w:footnote>
  <w:footnote w:id="4">
    <w:p w14:paraId="03A00E56" w14:textId="77777777" w:rsidR="00AB7469" w:rsidRPr="008F7FF6" w:rsidRDefault="00AB7469" w:rsidP="00AB7469">
      <w:pPr>
        <w:pStyle w:val="FootnoteText"/>
        <w:jc w:val="left"/>
        <w:rPr>
          <w:lang w:val="cs-CZ"/>
        </w:rPr>
      </w:pPr>
      <w:r w:rsidRPr="008F7FF6">
        <w:rPr>
          <w:rStyle w:val="FootnoteReference"/>
        </w:rPr>
        <w:footnoteRef/>
      </w:r>
      <w:r w:rsidR="00643D1E" w:rsidRPr="008F7FF6">
        <w:tab/>
      </w:r>
      <w:r w:rsidRPr="008F7FF6">
        <w:t xml:space="preserve">European Commission, The future of European Competitiveness, </w:t>
      </w:r>
      <w:hyperlink r:id="rId2" w:history="1">
        <w:r w:rsidRPr="008F7FF6">
          <w:rPr>
            <w:rStyle w:val="Hyperlink"/>
          </w:rPr>
          <w:t>https://commission.europa.eu/document/download/97e481fd-2dc3-412d-be4c-f152a8232961_en?filename=The%20future%20of%20European%20competitiveness%20_%20A%20competitiveness%20strategy%20for%20Europe.pdf</w:t>
        </w:r>
      </w:hyperlink>
      <w:r w:rsidRPr="008F7FF6">
        <w:t>.</w:t>
      </w:r>
    </w:p>
  </w:footnote>
  <w:footnote w:id="5">
    <w:p w14:paraId="2E52ABAC" w14:textId="77777777" w:rsidR="00AB7469" w:rsidRPr="00903128" w:rsidRDefault="00AB7469" w:rsidP="00AB7469">
      <w:pPr>
        <w:pStyle w:val="FootnoteText"/>
        <w:rPr>
          <w:lang w:val="pt-PT"/>
        </w:rPr>
      </w:pPr>
      <w:r w:rsidRPr="008F7FF6">
        <w:rPr>
          <w:rStyle w:val="FootnoteReference"/>
        </w:rPr>
        <w:footnoteRef/>
      </w:r>
      <w:r w:rsidR="00643D1E" w:rsidRPr="00903128">
        <w:rPr>
          <w:lang w:val="pt-PT"/>
        </w:rPr>
        <w:tab/>
      </w:r>
      <w:r w:rsidRPr="00903128">
        <w:rPr>
          <w:lang w:val="pt-PT"/>
        </w:rPr>
        <w:t>JOIN/2025/130 final.</w:t>
      </w:r>
    </w:p>
  </w:footnote>
  <w:footnote w:id="6">
    <w:p w14:paraId="3490A254" w14:textId="77777777" w:rsidR="00AB7469" w:rsidRPr="00903128" w:rsidRDefault="00AB7469" w:rsidP="00AB7469">
      <w:pPr>
        <w:pStyle w:val="FootnoteText"/>
        <w:rPr>
          <w:lang w:val="pt-PT"/>
        </w:rPr>
      </w:pPr>
      <w:r w:rsidRPr="008F7FF6">
        <w:rPr>
          <w:rStyle w:val="FootnoteReference"/>
        </w:rPr>
        <w:footnoteRef/>
      </w:r>
      <w:r w:rsidR="00643D1E" w:rsidRPr="00903128">
        <w:rPr>
          <w:lang w:val="pt-PT"/>
        </w:rPr>
        <w:tab/>
      </w:r>
      <w:r w:rsidRPr="00903128">
        <w:rPr>
          <w:lang w:val="pt-PT"/>
        </w:rPr>
        <w:t>COM/2025/148 final.</w:t>
      </w:r>
    </w:p>
  </w:footnote>
  <w:footnote w:id="7">
    <w:p w14:paraId="2BB036E0" w14:textId="77777777" w:rsidR="0093122B" w:rsidRPr="00903128" w:rsidRDefault="0093122B" w:rsidP="0093122B">
      <w:pPr>
        <w:pStyle w:val="FootnoteText"/>
        <w:rPr>
          <w:lang w:val="pt-PT"/>
        </w:rPr>
      </w:pPr>
      <w:r w:rsidRPr="008F7FF6">
        <w:rPr>
          <w:rStyle w:val="FootnoteReference"/>
        </w:rPr>
        <w:footnoteRef/>
      </w:r>
      <w:r w:rsidR="00B30C85" w:rsidRPr="00903128">
        <w:rPr>
          <w:lang w:val="pt-PT"/>
        </w:rPr>
        <w:tab/>
      </w:r>
      <w:r w:rsidRPr="00903128">
        <w:rPr>
          <w:lang w:val="pt-PT"/>
        </w:rPr>
        <w:t>JOIN(2025) 977 final</w:t>
      </w:r>
      <w:r w:rsidR="00337753" w:rsidRPr="00903128">
        <w:rPr>
          <w:lang w:val="pt-PT"/>
        </w:rPr>
        <w:t>.</w:t>
      </w:r>
    </w:p>
  </w:footnote>
  <w:footnote w:id="8">
    <w:p w14:paraId="2235F85B" w14:textId="77777777" w:rsidR="00021E16" w:rsidRPr="00130FBD" w:rsidRDefault="00021E16" w:rsidP="00021E16">
      <w:pPr>
        <w:pStyle w:val="FootnoteText"/>
        <w:rPr>
          <w:lang w:val="pt-PT"/>
        </w:rPr>
      </w:pPr>
      <w:r w:rsidRPr="008F7FF6">
        <w:rPr>
          <w:rStyle w:val="FootnoteReference"/>
        </w:rPr>
        <w:footnoteRef/>
      </w:r>
      <w:r w:rsidR="00643D1E" w:rsidRPr="00130FBD">
        <w:rPr>
          <w:rFonts w:eastAsia="Times New Roman"/>
          <w:lang w:val="pt-PT"/>
        </w:rPr>
        <w:tab/>
      </w:r>
      <w:r w:rsidRPr="00130FBD">
        <w:rPr>
          <w:rFonts w:eastAsia="Times New Roman"/>
          <w:lang w:val="pt-PT"/>
        </w:rPr>
        <w:t>COM/2025/66 final.</w:t>
      </w:r>
    </w:p>
  </w:footnote>
  <w:footnote w:id="9">
    <w:p w14:paraId="0B8591C1" w14:textId="77777777" w:rsidR="00E706B7" w:rsidRPr="00903128" w:rsidRDefault="00E706B7">
      <w:pPr>
        <w:pStyle w:val="FootnoteText"/>
        <w:rPr>
          <w:lang w:val="en-IE"/>
        </w:rPr>
      </w:pPr>
      <w:r w:rsidRPr="008F7FF6">
        <w:rPr>
          <w:rStyle w:val="FootnoteReference"/>
        </w:rPr>
        <w:footnoteRef/>
      </w:r>
      <w:r w:rsidR="00B30C85" w:rsidRPr="00903128">
        <w:rPr>
          <w:lang w:val="en-IE"/>
        </w:rPr>
        <w:tab/>
      </w:r>
      <w:r w:rsidRPr="00903128">
        <w:rPr>
          <w:lang w:val="en-IE"/>
        </w:rPr>
        <w:t>COM(2025) 10 final.</w:t>
      </w:r>
    </w:p>
  </w:footnote>
  <w:footnote w:id="10">
    <w:p w14:paraId="1E3552A9" w14:textId="77777777" w:rsidR="00021E16" w:rsidRPr="00903128" w:rsidRDefault="00021E16" w:rsidP="00021E16">
      <w:pPr>
        <w:pStyle w:val="FootnoteText"/>
        <w:rPr>
          <w:lang w:val="en-IE"/>
        </w:rPr>
      </w:pPr>
      <w:r w:rsidRPr="008F7FF6">
        <w:rPr>
          <w:rStyle w:val="FootnoteReference"/>
        </w:rPr>
        <w:footnoteRef/>
      </w:r>
      <w:r w:rsidR="00643D1E" w:rsidRPr="00903128">
        <w:rPr>
          <w:rFonts w:eastAsia="Times New Roman"/>
          <w:lang w:val="en-IE"/>
        </w:rPr>
        <w:tab/>
      </w:r>
      <w:r w:rsidRPr="00903128">
        <w:rPr>
          <w:rFonts w:eastAsia="Times New Roman"/>
          <w:lang w:val="en-IE"/>
        </w:rPr>
        <w:t>COM(2023) 207 final.</w:t>
      </w:r>
    </w:p>
  </w:footnote>
  <w:footnote w:id="11">
    <w:p w14:paraId="0294A603" w14:textId="77777777" w:rsidR="00635DD0" w:rsidRPr="008F7FF6" w:rsidRDefault="00635DD0" w:rsidP="00635DD0">
      <w:pPr>
        <w:pStyle w:val="FootnoteText"/>
        <w:rPr>
          <w:lang w:val="en-IE"/>
        </w:rPr>
      </w:pPr>
      <w:r w:rsidRPr="008F7FF6">
        <w:rPr>
          <w:rStyle w:val="FootnoteReference"/>
        </w:rPr>
        <w:footnoteRef/>
      </w:r>
      <w:r w:rsidRPr="008F7FF6">
        <w:tab/>
        <w:t xml:space="preserve">Commission Implementing Regulation (EU) 2023/203 and Commission Delegated Regulation (EU) 2022/1645. </w:t>
      </w:r>
    </w:p>
  </w:footnote>
  <w:footnote w:id="12">
    <w:p w14:paraId="6329AB93" w14:textId="77777777" w:rsidR="32B9F124" w:rsidRPr="008F7FF6" w:rsidRDefault="32B9F124" w:rsidP="001A462E">
      <w:pPr>
        <w:pStyle w:val="FootnoteText"/>
      </w:pPr>
      <w:r w:rsidRPr="008F7FF6">
        <w:rPr>
          <w:rStyle w:val="FootnoteReference"/>
        </w:rPr>
        <w:footnoteRef/>
      </w:r>
      <w:r w:rsidR="00B30C85" w:rsidRPr="008F7FF6">
        <w:tab/>
      </w:r>
      <w:r w:rsidRPr="008F7FF6">
        <w:t xml:space="preserve">Regulation (EU) 2023/1781 of the European Parliament and of the Council of 13 September 2023 establishing a framework of measures for strengthening Europe’s semiconductor ecosystem and amending Regulation (EU) 2021/694 (Chips Act), </w:t>
      </w:r>
      <w:r w:rsidRPr="008F7FF6">
        <w:rPr>
          <w:i/>
          <w:iCs/>
        </w:rPr>
        <w:t>OJ L 229, 18.9.2023, pp. 1–53</w:t>
      </w:r>
    </w:p>
  </w:footnote>
  <w:footnote w:id="13">
    <w:p w14:paraId="50A8131F" w14:textId="77777777" w:rsidR="003826A9" w:rsidRPr="008438D8" w:rsidRDefault="003826A9" w:rsidP="003826A9">
      <w:pPr>
        <w:pStyle w:val="FootnoteText"/>
        <w:rPr>
          <w:lang w:val="fr-FR"/>
        </w:rPr>
      </w:pPr>
      <w:r w:rsidRPr="008F7FF6">
        <w:rPr>
          <w:rStyle w:val="FootnoteReference"/>
        </w:rPr>
        <w:footnoteRef/>
      </w:r>
      <w:r w:rsidR="00643D1E" w:rsidRPr="008438D8">
        <w:rPr>
          <w:vertAlign w:val="superscript"/>
          <w:lang w:val="fr-FR"/>
        </w:rPr>
        <w:tab/>
      </w:r>
      <w:r w:rsidRPr="008438D8">
        <w:rPr>
          <w:lang w:val="fr-FR"/>
        </w:rPr>
        <w:t>In particular Directives 2014/23/EU, 2014/24/EU and 2014/25/EU.</w:t>
      </w:r>
    </w:p>
  </w:footnote>
  <w:footnote w:id="14">
    <w:p w14:paraId="5AF27B9B" w14:textId="77777777" w:rsidR="003826A9" w:rsidRPr="008F7FF6" w:rsidRDefault="003826A9" w:rsidP="003826A9">
      <w:pPr>
        <w:pStyle w:val="FootnoteText"/>
        <w:rPr>
          <w:highlight w:val="yellow"/>
        </w:rPr>
      </w:pPr>
      <w:r w:rsidRPr="008F7FF6">
        <w:rPr>
          <w:rStyle w:val="FootnoteReference"/>
        </w:rPr>
        <w:footnoteRef/>
      </w:r>
      <w:r w:rsidR="00643D1E" w:rsidRPr="008F7FF6">
        <w:tab/>
      </w:r>
      <w:r w:rsidRPr="008F7FF6">
        <w:t xml:space="preserve">European Commission, Commission launches call for evidence and public consultation on the evaluation of the Public Procurement Directives,  </w:t>
      </w:r>
      <w:hyperlink r:id="rId3" w:history="1">
        <w:r w:rsidRPr="008F7FF6">
          <w:rPr>
            <w:rStyle w:val="Hyperlink"/>
          </w:rPr>
          <w:t>https://single-market-economy.ec.europa.eu/news/commission-launches-call-evidence-and-public-consultation-evaluation-public-procurement-directives-2024-12-13_en</w:t>
        </w:r>
      </w:hyperlink>
      <w:r w:rsidRPr="008F7FF6">
        <w:t>.</w:t>
      </w:r>
    </w:p>
  </w:footnote>
  <w:footnote w:id="15">
    <w:p w14:paraId="237CC001" w14:textId="77777777" w:rsidR="0032347F" w:rsidRPr="008F7FF6" w:rsidRDefault="0032347F">
      <w:pPr>
        <w:pStyle w:val="FootnoteText"/>
      </w:pPr>
      <w:r w:rsidRPr="008F7FF6">
        <w:rPr>
          <w:rStyle w:val="FootnoteReference"/>
        </w:rPr>
        <w:footnoteRef/>
      </w:r>
      <w:r w:rsidR="00B30C85" w:rsidRPr="008F7FF6">
        <w:tab/>
      </w:r>
      <w:r w:rsidRPr="008F7FF6">
        <w:t>COM/2025/837 final</w:t>
      </w:r>
    </w:p>
  </w:footnote>
  <w:footnote w:id="16">
    <w:p w14:paraId="63EEAEC4" w14:textId="77777777" w:rsidR="00931010" w:rsidRPr="005D2A66" w:rsidRDefault="00931010" w:rsidP="00931010">
      <w:pPr>
        <w:pStyle w:val="FootnoteText"/>
        <w:rPr>
          <w:lang w:val="en-US"/>
        </w:rPr>
      </w:pPr>
      <w:r>
        <w:rPr>
          <w:rStyle w:val="FootnoteReference"/>
        </w:rPr>
        <w:footnoteRef/>
      </w:r>
      <w:r>
        <w:rPr>
          <w:lang w:val="en-US"/>
        </w:rPr>
        <w:tab/>
      </w:r>
      <w:r w:rsidRPr="005D2A66">
        <w:rPr>
          <w:lang w:val="en-US"/>
        </w:rPr>
        <w:t>JOIN/2023/20 final.</w:t>
      </w:r>
    </w:p>
  </w:footnote>
  <w:footnote w:id="17">
    <w:p w14:paraId="56B38871" w14:textId="77777777" w:rsidR="00931010" w:rsidRPr="005D2A66" w:rsidRDefault="00931010" w:rsidP="00931010">
      <w:pPr>
        <w:pStyle w:val="FootnoteText"/>
        <w:rPr>
          <w:lang w:val="en-US"/>
        </w:rPr>
      </w:pPr>
      <w:r>
        <w:rPr>
          <w:rStyle w:val="FootnoteReference"/>
        </w:rPr>
        <w:footnoteRef/>
      </w:r>
      <w:r>
        <w:rPr>
          <w:lang w:val="en-US"/>
        </w:rPr>
        <w:tab/>
      </w:r>
      <w:r w:rsidRPr="005D2A66">
        <w:rPr>
          <w:lang w:val="en-US"/>
        </w:rPr>
        <w:t>JOIN/2025/120 final.</w:t>
      </w:r>
    </w:p>
  </w:footnote>
  <w:footnote w:id="18">
    <w:p w14:paraId="40863ED4" w14:textId="77777777" w:rsidR="00931010" w:rsidRPr="00931010" w:rsidRDefault="00931010" w:rsidP="00931010">
      <w:pPr>
        <w:pStyle w:val="FootnoteText"/>
        <w:rPr>
          <w:lang w:val="en-IE"/>
        </w:rPr>
      </w:pPr>
      <w:r>
        <w:rPr>
          <w:rStyle w:val="FootnoteReference"/>
        </w:rPr>
        <w:footnoteRef/>
      </w:r>
      <w:r w:rsidRPr="00931010">
        <w:rPr>
          <w:lang w:val="en-IE"/>
        </w:rPr>
        <w:tab/>
        <w:t>JOIN/2025/977 final</w:t>
      </w:r>
    </w:p>
  </w:footnote>
  <w:footnote w:id="19">
    <w:p w14:paraId="03DE9FEA" w14:textId="77777777" w:rsidR="004518F5" w:rsidRPr="008F7FF6" w:rsidRDefault="004518F5" w:rsidP="004518F5">
      <w:pPr>
        <w:pStyle w:val="FootnoteText"/>
        <w:rPr>
          <w:lang w:val="en-IE"/>
        </w:rPr>
      </w:pPr>
      <w:r w:rsidRPr="008F7FF6">
        <w:rPr>
          <w:rStyle w:val="FootnoteReference"/>
        </w:rPr>
        <w:footnoteRef/>
      </w:r>
      <w:r w:rsidR="00643D1E" w:rsidRPr="008F7FF6">
        <w:rPr>
          <w:lang w:val="en-IE"/>
        </w:rPr>
        <w:tab/>
      </w:r>
      <w:hyperlink r:id="rId4" w:history="1">
        <w:r w:rsidRPr="008F7FF6">
          <w:rPr>
            <w:rStyle w:val="Hyperlink"/>
            <w:lang w:val="en-IE"/>
          </w:rPr>
          <w:t>Regulation - 2019/881 - EN - EUR-Lex</w:t>
        </w:r>
      </w:hyperlink>
    </w:p>
  </w:footnote>
  <w:footnote w:id="20">
    <w:p w14:paraId="0EA9744E" w14:textId="77777777" w:rsidR="0075265C" w:rsidRPr="008F7FF6" w:rsidRDefault="0075265C">
      <w:pPr>
        <w:pStyle w:val="FootnoteText"/>
        <w:rPr>
          <w:lang w:val="en-IE"/>
        </w:rPr>
      </w:pPr>
      <w:r w:rsidRPr="008F7FF6">
        <w:rPr>
          <w:rStyle w:val="FootnoteReference"/>
        </w:rPr>
        <w:footnoteRef/>
      </w:r>
      <w:r w:rsidR="00B30C85" w:rsidRPr="008F7FF6">
        <w:tab/>
      </w:r>
      <w:r w:rsidRPr="008F7FF6">
        <w:rPr>
          <w:lang w:val="en-IE"/>
        </w:rPr>
        <w:t>Horizontal Working Party on Cyber Issues</w:t>
      </w:r>
    </w:p>
  </w:footnote>
  <w:footnote w:id="21">
    <w:p w14:paraId="15DF92D4" w14:textId="77777777" w:rsidR="00AF37CA" w:rsidRPr="008438D8" w:rsidRDefault="00AF37CA" w:rsidP="00AF37CA">
      <w:pPr>
        <w:pStyle w:val="FootnoteText"/>
        <w:rPr>
          <w:lang w:val="fr-FR"/>
        </w:rPr>
      </w:pPr>
      <w:r w:rsidRPr="008F7FF6">
        <w:rPr>
          <w:rStyle w:val="FootnoteReference"/>
        </w:rPr>
        <w:footnoteRef/>
      </w:r>
      <w:r w:rsidR="00643D1E" w:rsidRPr="008438D8">
        <w:rPr>
          <w:lang w:val="fr-FR"/>
        </w:rPr>
        <w:tab/>
      </w:r>
      <w:r w:rsidR="00DE47D2" w:rsidRPr="008438D8">
        <w:rPr>
          <w:lang w:val="fr-FR"/>
        </w:rPr>
        <w:t>Regulation (EU) 2019/881 (</w:t>
      </w:r>
      <w:hyperlink r:id="rId5" w:tooltip="Gives access to this document through its ELI URI." w:history="1">
        <w:r w:rsidR="00802E3A" w:rsidRPr="008438D8">
          <w:rPr>
            <w:rStyle w:val="Hyperlink"/>
            <w:lang w:val="fr-FR"/>
          </w:rPr>
          <w:t>http://data.europa.eu/eli/reg/2019/881/oj</w:t>
        </w:r>
      </w:hyperlink>
      <w:r w:rsidR="00DE47D2" w:rsidRPr="008438D8">
        <w:rPr>
          <w:lang w:val="fr-FR"/>
        </w:rPr>
        <w:t>)</w:t>
      </w:r>
    </w:p>
  </w:footnote>
  <w:footnote w:id="22">
    <w:p w14:paraId="3D109539" w14:textId="77777777" w:rsidR="00D56480" w:rsidRPr="008438D8" w:rsidRDefault="00D56480" w:rsidP="00D56480">
      <w:pPr>
        <w:pStyle w:val="FootnoteText"/>
        <w:rPr>
          <w:lang w:val="fr-FR"/>
        </w:rPr>
      </w:pPr>
      <w:r w:rsidRPr="008F7FF6">
        <w:rPr>
          <w:rStyle w:val="FootnoteReference"/>
        </w:rPr>
        <w:footnoteRef/>
      </w:r>
      <w:r w:rsidR="00643D1E" w:rsidRPr="008438D8">
        <w:rPr>
          <w:lang w:val="fr-FR"/>
        </w:rPr>
        <w:tab/>
      </w:r>
      <w:hyperlink r:id="rId6" w:tooltip="Gives access to this document through its ELI URI." w:history="1">
        <w:r w:rsidRPr="008438D8">
          <w:rPr>
            <w:rStyle w:val="Hyperlink"/>
            <w:lang w:val="fr-FR"/>
          </w:rPr>
          <w:t>http://data.europa.eu/eli/dir/2022/2555/oj</w:t>
        </w:r>
      </w:hyperlink>
    </w:p>
  </w:footnote>
  <w:footnote w:id="23">
    <w:p w14:paraId="40398D1D" w14:textId="77777777" w:rsidR="00D56480" w:rsidRPr="008438D8" w:rsidRDefault="00D56480" w:rsidP="00D56480">
      <w:pPr>
        <w:pStyle w:val="FootnoteText"/>
        <w:rPr>
          <w:lang w:val="fr-FR"/>
        </w:rPr>
      </w:pPr>
      <w:r w:rsidRPr="008F7FF6">
        <w:rPr>
          <w:rStyle w:val="FootnoteReference"/>
        </w:rPr>
        <w:footnoteRef/>
      </w:r>
      <w:r w:rsidR="00643D1E" w:rsidRPr="008438D8">
        <w:rPr>
          <w:lang w:val="fr-FR"/>
        </w:rPr>
        <w:tab/>
      </w:r>
      <w:hyperlink r:id="rId7" w:tooltip="Gives access to this document through its ELI URI." w:history="1">
        <w:r w:rsidRPr="008438D8">
          <w:rPr>
            <w:rStyle w:val="Hyperlink"/>
            <w:lang w:val="fr-FR"/>
          </w:rPr>
          <w:t>http://data.europa.eu/eli/reg/2008/765/oj</w:t>
        </w:r>
      </w:hyperlink>
    </w:p>
  </w:footnote>
  <w:footnote w:id="24">
    <w:p w14:paraId="7AE77077" w14:textId="77777777" w:rsidR="00D56480" w:rsidRPr="008438D8" w:rsidRDefault="00D56480" w:rsidP="00D56480">
      <w:pPr>
        <w:pStyle w:val="FootnoteText"/>
        <w:rPr>
          <w:lang w:val="fr-FR"/>
        </w:rPr>
      </w:pPr>
      <w:r w:rsidRPr="008F7FF6">
        <w:rPr>
          <w:rStyle w:val="FootnoteReference"/>
        </w:rPr>
        <w:footnoteRef/>
      </w:r>
      <w:r w:rsidR="00643D1E" w:rsidRPr="008438D8">
        <w:rPr>
          <w:lang w:val="fr-FR"/>
        </w:rPr>
        <w:tab/>
      </w:r>
      <w:hyperlink r:id="rId8" w:tooltip="Gives access to this document through its ELI URI." w:history="1">
        <w:r w:rsidRPr="008438D8">
          <w:rPr>
            <w:rStyle w:val="Hyperlink"/>
            <w:lang w:val="fr-FR"/>
          </w:rPr>
          <w:t>http://data.europa.eu/eli/reg/2012/1025/oj</w:t>
        </w:r>
      </w:hyperlink>
    </w:p>
  </w:footnote>
  <w:footnote w:id="25">
    <w:p w14:paraId="1BD28AC1" w14:textId="77777777" w:rsidR="001A462E" w:rsidRPr="008F7FF6" w:rsidRDefault="001A462E" w:rsidP="001A462E">
      <w:pPr>
        <w:pStyle w:val="FootnoteText"/>
      </w:pPr>
      <w:r w:rsidRPr="008F7FF6">
        <w:rPr>
          <w:rStyle w:val="FootnoteReference"/>
        </w:rPr>
        <w:footnoteRef/>
      </w:r>
      <w:r w:rsidRPr="008F7FF6">
        <w:tab/>
        <w:t>OJ C , , p. .</w:t>
      </w:r>
    </w:p>
  </w:footnote>
  <w:footnote w:id="26">
    <w:p w14:paraId="7721DBF6" w14:textId="77777777" w:rsidR="001A462E" w:rsidRPr="008F7FF6" w:rsidRDefault="001A462E" w:rsidP="001A462E">
      <w:pPr>
        <w:pStyle w:val="FootnoteText"/>
      </w:pPr>
      <w:r w:rsidRPr="008F7FF6">
        <w:rPr>
          <w:rStyle w:val="FootnoteReference"/>
        </w:rPr>
        <w:footnoteRef/>
      </w:r>
      <w:r w:rsidRPr="008F7FF6">
        <w:tab/>
        <w:t>OJ C , , p. .</w:t>
      </w:r>
    </w:p>
  </w:footnote>
  <w:footnote w:id="27">
    <w:p w14:paraId="69006201" w14:textId="77777777" w:rsidR="001A462E" w:rsidRPr="008F7FF6" w:rsidRDefault="001A462E" w:rsidP="001A462E">
      <w:pPr>
        <w:pStyle w:val="FootnoteText"/>
      </w:pPr>
      <w:r w:rsidRPr="008F7FF6">
        <w:rPr>
          <w:rStyle w:val="FootnoteReference"/>
        </w:rPr>
        <w:footnoteRef/>
      </w:r>
      <w:r w:rsidR="00B30C85" w:rsidRPr="008F7FF6">
        <w:tab/>
      </w:r>
      <w:r w:rsidRPr="008F7FF6">
        <w:t>Regulation (EU) 2019/881 of the European Parliament and of the Council of 17 April 2019 on ENISA (the European Union Agency for Cybersecurity) and on information and communications technology cybersecurity certification and repealing Regulation (EU) No 526/2013 (Cybersecurity Act) (OJ L 151, 7.6.2019, p. 15, ELI: http://data.europa.eu/eli/reg/2019/881/oj).</w:t>
      </w:r>
    </w:p>
  </w:footnote>
  <w:footnote w:id="28">
    <w:p w14:paraId="4EBCA118" w14:textId="77777777" w:rsidR="001A462E" w:rsidRPr="008F7FF6" w:rsidRDefault="001A462E" w:rsidP="001A462E">
      <w:pPr>
        <w:pStyle w:val="FootnoteText"/>
      </w:pPr>
      <w:r w:rsidRPr="008F7FF6">
        <w:rPr>
          <w:rStyle w:val="FootnoteReference"/>
        </w:rPr>
        <w:footnoteRef/>
      </w:r>
      <w:r w:rsidR="00B30C85" w:rsidRPr="008F7FF6">
        <w:tab/>
      </w:r>
      <w:r w:rsidRPr="008F7FF6">
        <w:t>Directive (EU) 2022/2555 of the European Parliament and of the Council of 14 December 2022 on measures for a high common level of cybersecurity across the Union, amending Regulation (EU) No 910/2014 and Directive (EU) 2018/1972, and repealing Directive (EU) 2016/1148 (NIS 2 Directive) (OJ L 333, 27.12.2022, p. 80, ELI: http://data.europa.eu/eli/dir/2022/2555/oj).</w:t>
      </w:r>
    </w:p>
  </w:footnote>
  <w:footnote w:id="29">
    <w:p w14:paraId="357D02AA" w14:textId="77777777" w:rsidR="001A462E" w:rsidRPr="008F7FF6" w:rsidRDefault="001A462E" w:rsidP="001A462E">
      <w:pPr>
        <w:pStyle w:val="FootnoteText"/>
      </w:pPr>
      <w:r w:rsidRPr="008F7FF6">
        <w:rPr>
          <w:rStyle w:val="FootnoteReference"/>
        </w:rPr>
        <w:footnoteRef/>
      </w:r>
      <w:r w:rsidR="00B30C85" w:rsidRPr="008F7FF6">
        <w:tab/>
      </w:r>
      <w:r w:rsidRPr="008F7FF6">
        <w:t>Directive (EU) 2022/2557 of the European Parliament and of the Council of 14 December 2022 on the resilience of critical entities and repealing Council Directive 2008/114/EC (OJ L 333, 27.12.2022, p. 164, ELI: http://data.europa.eu/eli/dir/2022/2557/oj).</w:t>
      </w:r>
    </w:p>
  </w:footnote>
  <w:footnote w:id="30">
    <w:p w14:paraId="17DC11A5" w14:textId="77777777" w:rsidR="001A462E" w:rsidRPr="008F7FF6" w:rsidRDefault="001A462E" w:rsidP="001A462E">
      <w:pPr>
        <w:pStyle w:val="FootnoteText"/>
      </w:pPr>
      <w:r w:rsidRPr="008F7FF6">
        <w:rPr>
          <w:rStyle w:val="FootnoteReference"/>
        </w:rPr>
        <w:footnoteRef/>
      </w:r>
      <w:r w:rsidR="00B30C85" w:rsidRPr="008F7FF6">
        <w:tab/>
      </w:r>
      <w:r w:rsidRPr="008F7FF6">
        <w:t>Regulation (EU) 2024/2847 of the European Parliament and of the Council of 23 October 2024 on horizontal cybersecurity requirements for products with digital elements and amending Regulations (EU) No 168/2013 and (EU) 2019/1020 and Directive (EU) 2020/1828 (Cyber Resilience Act) (OJ L, 2024/2847, 20.11.2024, ELI: http://data.europa.eu/eli/reg/2024/2847/oj).</w:t>
      </w:r>
    </w:p>
  </w:footnote>
  <w:footnote w:id="31">
    <w:p w14:paraId="709DB145" w14:textId="77777777" w:rsidR="001A462E" w:rsidRPr="008F7FF6" w:rsidRDefault="001A462E" w:rsidP="001A462E">
      <w:pPr>
        <w:pStyle w:val="FootnoteText"/>
      </w:pPr>
      <w:r w:rsidRPr="008F7FF6">
        <w:rPr>
          <w:rStyle w:val="FootnoteReference"/>
        </w:rPr>
        <w:footnoteRef/>
      </w:r>
      <w:r w:rsidR="00B30C85" w:rsidRPr="008F7FF6">
        <w:tab/>
      </w:r>
      <w:r w:rsidRPr="008F7FF6">
        <w:t>Regulation (EU) 2025/38 of the European Parliament and of the Council of 19 December 2024 laying down measures to strengthen solidarity and capacities in the Union to detect, prepare for and respond to cyber threats and incidents and amending Regulation (EU) 2021/694 (Cyber Solidarity Act) (OJ L, 2025/38, 15.01.2025, ELI: http://data.europa.eu/eli/reg/2025/38/oj).</w:t>
      </w:r>
    </w:p>
  </w:footnote>
  <w:footnote w:id="32">
    <w:p w14:paraId="6CA68519" w14:textId="77777777" w:rsidR="001A462E" w:rsidRPr="00130FBD" w:rsidRDefault="001A462E" w:rsidP="001A462E">
      <w:pPr>
        <w:pStyle w:val="FootnoteText"/>
        <w:rPr>
          <w:lang w:val="da-DK"/>
        </w:rPr>
      </w:pPr>
      <w:r w:rsidRPr="008F7FF6">
        <w:rPr>
          <w:rStyle w:val="FootnoteReference"/>
        </w:rPr>
        <w:footnoteRef/>
      </w:r>
      <w:r w:rsidR="00B30C85" w:rsidRPr="00130FBD">
        <w:rPr>
          <w:lang w:val="da-DK"/>
        </w:rPr>
        <w:tab/>
      </w:r>
      <w:r w:rsidRPr="00130FBD">
        <w:rPr>
          <w:lang w:val="da-DK"/>
        </w:rPr>
        <w:t>OJ C, C/2025/3445, 20.6.2025, ELI: http://data.europa.eu/eli/C/2025/3445/oj.</w:t>
      </w:r>
    </w:p>
  </w:footnote>
  <w:footnote w:id="33">
    <w:p w14:paraId="4B4CF29D" w14:textId="77777777" w:rsidR="001A462E" w:rsidRPr="008F7FF6" w:rsidRDefault="001A462E" w:rsidP="001A462E">
      <w:pPr>
        <w:pStyle w:val="FootnoteText"/>
      </w:pPr>
      <w:r w:rsidRPr="008F7FF6">
        <w:rPr>
          <w:rStyle w:val="FootnoteReference"/>
        </w:rPr>
        <w:footnoteRef/>
      </w:r>
      <w:r w:rsidR="00B30C85" w:rsidRPr="008F7FF6">
        <w:tab/>
      </w:r>
      <w:r w:rsidRPr="008F7FF6">
        <w:t xml:space="preserve">Cybersecurity of 5G networks – EU Toolbox of risk mitigating measures, NIS Cooperation Group, 1/2020, available at: </w:t>
      </w:r>
      <w:hyperlink r:id="rId9" w:history="1">
        <w:r w:rsidRPr="008F7FF6">
          <w:rPr>
            <w:rStyle w:val="Hyperlink"/>
          </w:rPr>
          <w:t>https://digital-strategy.ec.europa.eu/en/library/cybersecurity-5g-networks-eu-toolbox-risk-mitigating-measures</w:t>
        </w:r>
      </w:hyperlink>
      <w:r w:rsidRPr="008F7FF6">
        <w:t>.</w:t>
      </w:r>
    </w:p>
  </w:footnote>
  <w:footnote w:id="34">
    <w:p w14:paraId="6204457A" w14:textId="77777777" w:rsidR="001A462E" w:rsidRPr="008F7FF6" w:rsidRDefault="001A462E" w:rsidP="001A462E">
      <w:pPr>
        <w:pStyle w:val="FootnoteText"/>
      </w:pPr>
      <w:r w:rsidRPr="008F7FF6">
        <w:rPr>
          <w:rStyle w:val="FootnoteReference"/>
        </w:rPr>
        <w:footnoteRef/>
      </w:r>
      <w:r w:rsidR="00B30C85" w:rsidRPr="008F7FF6">
        <w:tab/>
      </w:r>
      <w:r w:rsidRPr="008F7FF6">
        <w:t>Communication from the Commission to the European Parliament and the Council, Closing the cybersecurity talent gap to boost the EU’s competitiveness, growth and resilience (‘The Cybersecurity Skills Academy’), COM(2023)207 final, 18 April 2023.</w:t>
      </w:r>
    </w:p>
  </w:footnote>
  <w:footnote w:id="35">
    <w:p w14:paraId="58EA4E5B" w14:textId="77777777" w:rsidR="001A462E" w:rsidRPr="008F7FF6" w:rsidRDefault="001A462E" w:rsidP="001A462E">
      <w:pPr>
        <w:pStyle w:val="FootnoteText"/>
      </w:pPr>
      <w:r w:rsidRPr="008F7FF6">
        <w:rPr>
          <w:rStyle w:val="FootnoteReference"/>
        </w:rPr>
        <w:footnoteRef/>
      </w:r>
      <w:r w:rsidR="00B30C85" w:rsidRPr="008F7FF6">
        <w:tab/>
      </w:r>
      <w:r w:rsidRPr="008F7FF6">
        <w:t>Regulation (EU) 2022/2554 of the European Parliament and of the Council of 14 December 2022 on digital operational resilience for the financial sector and amending Regulations (EC) No 1060/2009, (EU) No 648/2012, (EU) No 600/2014, (EU) No 909/2014 and (EU) 2016/1011 (OJ L 333, 27.12.2022, p. 1, ELI: http://data.europa.eu/eli/reg/2022/2554/oj).</w:t>
      </w:r>
    </w:p>
  </w:footnote>
  <w:footnote w:id="36">
    <w:p w14:paraId="2FCCEE9F" w14:textId="77777777" w:rsidR="001A462E" w:rsidRPr="008F7FF6" w:rsidRDefault="001A462E" w:rsidP="001A462E">
      <w:pPr>
        <w:pStyle w:val="FootnoteText"/>
      </w:pPr>
      <w:r w:rsidRPr="008F7FF6">
        <w:rPr>
          <w:rStyle w:val="FootnoteReference"/>
        </w:rPr>
        <w:footnoteRef/>
      </w:r>
      <w:r w:rsidR="00B30C85" w:rsidRPr="008F7FF6">
        <w:tab/>
      </w:r>
      <w:r w:rsidRPr="008F7FF6">
        <w:t>Commission Delegated Regulation (EU) 2024/1366 of 11 March 2024 supplementing Regulation (EU) 2019/943 of the European Parliament and of the Council by establishing a network code on sector-specific rules for cybersecurity aspects of cross-border electricity flows (OJ L, 2024/1366, 24.05.2024, ELI: http://data.europa.eu/eli/reg_del/2024/1366/oj).</w:t>
      </w:r>
    </w:p>
  </w:footnote>
  <w:footnote w:id="37">
    <w:p w14:paraId="63EB2360" w14:textId="77777777" w:rsidR="001A462E" w:rsidRPr="008F7FF6" w:rsidRDefault="001A462E" w:rsidP="001A462E">
      <w:pPr>
        <w:pStyle w:val="FootnoteText"/>
      </w:pPr>
      <w:r w:rsidRPr="008F7FF6">
        <w:rPr>
          <w:rStyle w:val="FootnoteReference"/>
        </w:rPr>
        <w:footnoteRef/>
      </w:r>
      <w:r w:rsidR="00B30C85" w:rsidRPr="008F7FF6">
        <w:tab/>
      </w:r>
      <w:r w:rsidRPr="008F7FF6">
        <w:t>Commission Delegated Regulation (EU) 2022/1645 of 14 July 2022 laying down rules for the application of Regulation (EU) 2018/1139 of the European Parliament and of the Council, as regards requirements for the management of information security risks with a potential impact on aviation safety for organisations covered by Commission Regulations (EU) No 748/2012 and (EU) No 139/2014 and amending Commission Regulations (EU) No 748/2012 and (EU) No 139/2014 (OJ L 248, pp. 18–31, 26.9.2022, ELI: </w:t>
      </w:r>
      <w:hyperlink r:id="rId10" w:tooltip="Gives access to this document through its ELI URI." w:history="1">
        <w:r w:rsidRPr="008F7FF6">
          <w:rPr>
            <w:rStyle w:val="Hyperlink"/>
          </w:rPr>
          <w:t>http://data.europa.eu/eli/reg_del/2022/1645/oj</w:t>
        </w:r>
      </w:hyperlink>
      <w:r w:rsidRPr="008F7FF6">
        <w:t>).</w:t>
      </w:r>
    </w:p>
  </w:footnote>
  <w:footnote w:id="38">
    <w:p w14:paraId="4EB8FD01" w14:textId="77777777" w:rsidR="001A462E" w:rsidRPr="008F7FF6" w:rsidRDefault="001A462E" w:rsidP="001A462E">
      <w:pPr>
        <w:pStyle w:val="FootnoteText"/>
      </w:pPr>
      <w:r w:rsidRPr="008F7FF6">
        <w:rPr>
          <w:rStyle w:val="FootnoteReference"/>
        </w:rPr>
        <w:footnoteRef/>
      </w:r>
      <w:r w:rsidR="00B30C85" w:rsidRPr="008F7FF6">
        <w:tab/>
      </w:r>
      <w:r w:rsidRPr="008F7FF6">
        <w:t>Commission Implementing Regulation (EU) 2023/203 of 27 October 2022 laying down rules for the application of Regulation (EU) 2018/1139 of the European Parliament and of the Council, as regards requirements for the management of information security risks with a potential impact on aviation safety for organisations covered by Commission Regulations (EU) No 1321/2014, (EU) No 965/2012, (EU) No 1178/2011, (EU) 2015/340, Commission Implementing Regulations (EU) 2017/373 and (EU) 2021/664, and for competent authorities covered by Commission Regulations (EU) No 748/2012, (EU) No 1321/2014, (EU) No 965/2012, (EU) No 1178/2011, (EU) 2015/340 and (EU) No 139/2014, Commission Implementing Regulations (EU) 2017/373 and (EU) 2021/664 and amending Commission Regulations (EU) No 1178/2011, (EU) No 748/2012, (EU) No 965/2012, (EU) No 139/2014, (EU) No 1321/2014, (EU) 2015/340, and Commission Implementing Regulations (EU) 2017/373 and (EU) 2021/664 (OJ L 31, 2.2.2023, p. 1, ELI: http://data.europa.eu/eli/reg_impl/2023/203/oj).</w:t>
      </w:r>
    </w:p>
  </w:footnote>
  <w:footnote w:id="39">
    <w:p w14:paraId="29CEF51E" w14:textId="77777777" w:rsidR="001A462E" w:rsidRPr="008F7FF6" w:rsidRDefault="001A462E" w:rsidP="001A462E">
      <w:pPr>
        <w:pStyle w:val="FootnoteText"/>
      </w:pPr>
      <w:r w:rsidRPr="008F7FF6">
        <w:rPr>
          <w:rStyle w:val="FootnoteReference"/>
        </w:rPr>
        <w:footnoteRef/>
      </w:r>
      <w:r w:rsidR="00B30C85" w:rsidRPr="008F7FF6">
        <w:tab/>
      </w:r>
      <w:r w:rsidRPr="008F7FF6">
        <w:t>Commission Implementing Regulation (EU) 2019/1583 of 25 September 2019 amending Implementing Regulation (EU) 2015/1998 laying down detailed measures for the implementation of the common basic standards on aviation security, as regards cybersecurity measures (OJ L 246, 26.9.2019, pp. 15–18, ELI: </w:t>
      </w:r>
      <w:hyperlink r:id="rId11" w:tooltip="Gives access to this document through its ELI URI." w:history="1">
        <w:r w:rsidRPr="008F7FF6">
          <w:rPr>
            <w:rStyle w:val="Hyperlink"/>
          </w:rPr>
          <w:t>http://data.europa.eu/eli/reg_impl/2019/1583/oj</w:t>
        </w:r>
      </w:hyperlink>
      <w:r w:rsidRPr="008F7FF6">
        <w:t>).</w:t>
      </w:r>
    </w:p>
  </w:footnote>
  <w:footnote w:id="40">
    <w:p w14:paraId="039E4D01" w14:textId="77777777" w:rsidR="001A462E" w:rsidRPr="008F7FF6" w:rsidRDefault="001A462E" w:rsidP="001A462E">
      <w:pPr>
        <w:pStyle w:val="FootnoteText"/>
      </w:pPr>
      <w:r w:rsidRPr="008F7FF6">
        <w:rPr>
          <w:rStyle w:val="FootnoteReference"/>
        </w:rPr>
        <w:footnoteRef/>
      </w:r>
      <w:r w:rsidR="00B30C85" w:rsidRPr="008F7FF6">
        <w:tab/>
      </w:r>
      <w:r w:rsidRPr="008F7FF6">
        <w:t>Communication from the Commission to the European Parliament, the Council, the European Economic and Social Committee and the Committee of the Regions, European action plan on the cybersecurity of hospitals and healthcare providers, COM(2025) 10 final, 15 January 2025.</w:t>
      </w:r>
    </w:p>
  </w:footnote>
  <w:footnote w:id="41">
    <w:p w14:paraId="6AFCCF51" w14:textId="77777777" w:rsidR="001A462E" w:rsidRPr="008F7FF6" w:rsidRDefault="001A462E" w:rsidP="001A462E">
      <w:pPr>
        <w:pStyle w:val="FootnoteText"/>
      </w:pPr>
      <w:r w:rsidRPr="008F7FF6">
        <w:rPr>
          <w:rStyle w:val="FootnoteReference"/>
        </w:rPr>
        <w:footnoteRef/>
      </w:r>
      <w:r w:rsidR="00B30C85" w:rsidRPr="008F7FF6">
        <w:tab/>
      </w:r>
      <w:r w:rsidRPr="008F7FF6">
        <w:t>Regulation (EU, Euratom) 2023/2841 of the European Parliament and of the Council of 13 December 2023 laying down measures for a high common level of cybersecurity at the institutions, bodies, offices and agencies of the Union (OJ L, 2023/2841, 18.12.2023, ELI: http://data.europa.eu/eli/reg/2023/2841/oj).</w:t>
      </w:r>
    </w:p>
  </w:footnote>
  <w:footnote w:id="42">
    <w:p w14:paraId="7FAA39DA" w14:textId="77777777" w:rsidR="001A462E" w:rsidRPr="008F7FF6" w:rsidRDefault="001A462E" w:rsidP="001A462E">
      <w:pPr>
        <w:pStyle w:val="FootnoteText"/>
      </w:pPr>
      <w:r w:rsidRPr="008F7FF6">
        <w:rPr>
          <w:rStyle w:val="FootnoteReference"/>
        </w:rPr>
        <w:footnoteRef/>
      </w:r>
      <w:r w:rsidR="00B30C85" w:rsidRPr="008F7FF6">
        <w:tab/>
      </w:r>
      <w:r w:rsidRPr="008F7FF6">
        <w:t>Communication from the Commission to the European Parliament, the Council, the European Economic and Social Committee and the Committee of the Regions on Protect EU: a European Internal Security Strategy, COM(2025)148 final, 1 April 2025.</w:t>
      </w:r>
    </w:p>
  </w:footnote>
  <w:footnote w:id="43">
    <w:p w14:paraId="407A61E6" w14:textId="77777777" w:rsidR="001A462E" w:rsidRPr="008F7FF6" w:rsidRDefault="001A462E" w:rsidP="001A462E">
      <w:pPr>
        <w:pStyle w:val="FootnoteText"/>
        <w:rPr>
          <w:lang w:val="en-IE"/>
        </w:rPr>
      </w:pPr>
      <w:r w:rsidRPr="008F7FF6">
        <w:rPr>
          <w:rStyle w:val="FootnoteReference"/>
        </w:rPr>
        <w:footnoteRef/>
      </w:r>
      <w:r w:rsidR="00B30C85" w:rsidRPr="008F7FF6">
        <w:tab/>
      </w:r>
      <w:r w:rsidRPr="008F7FF6">
        <w:t>Joint Communication from the Commission to the European Parliament, the Council, the European Economic and Social Committee and the Committee of the Regions on the European Preparedness Union Strategy, JOIN(2025) 130 final.</w:t>
      </w:r>
    </w:p>
  </w:footnote>
  <w:footnote w:id="44">
    <w:p w14:paraId="320A7837" w14:textId="77777777" w:rsidR="001A462E" w:rsidRPr="008F7FF6" w:rsidRDefault="001A462E" w:rsidP="001A462E">
      <w:pPr>
        <w:pStyle w:val="FootnoteText"/>
      </w:pPr>
      <w:r w:rsidRPr="008F7FF6">
        <w:rPr>
          <w:rStyle w:val="FootnoteReference"/>
        </w:rPr>
        <w:footnoteRef/>
      </w:r>
      <w:r w:rsidR="00B30C85" w:rsidRPr="008F7FF6">
        <w:tab/>
      </w:r>
      <w:r w:rsidRPr="008F7FF6">
        <w:t>Joint Communication from the Commission to the European Parliament and the Council, Strengthening EU economic security, JOIN(2025) 977 final.</w:t>
      </w:r>
    </w:p>
  </w:footnote>
  <w:footnote w:id="45">
    <w:p w14:paraId="56B2B0A5" w14:textId="77777777" w:rsidR="001A462E" w:rsidRPr="008F7FF6" w:rsidRDefault="001A462E" w:rsidP="001A462E">
      <w:pPr>
        <w:pStyle w:val="FootnoteText"/>
      </w:pPr>
      <w:r w:rsidRPr="008F7FF6">
        <w:rPr>
          <w:rStyle w:val="FootnoteReference"/>
        </w:rPr>
        <w:footnoteRef/>
      </w:r>
      <w:r w:rsidR="00B30C85" w:rsidRPr="008F7FF6">
        <w:tab/>
      </w:r>
      <w:r w:rsidRPr="008F7FF6">
        <w:rPr>
          <w:rFonts w:eastAsia="Times New Roman"/>
          <w:color w:val="008080"/>
          <w:u w:val="single"/>
        </w:rPr>
        <w:t>COM/2025/837 final</w:t>
      </w:r>
    </w:p>
  </w:footnote>
  <w:footnote w:id="46">
    <w:p w14:paraId="202F7B8A" w14:textId="77777777" w:rsidR="001A462E" w:rsidRPr="008F7FF6" w:rsidRDefault="001A462E" w:rsidP="001A462E">
      <w:pPr>
        <w:pStyle w:val="FootnoteText"/>
      </w:pPr>
      <w:r w:rsidRPr="008F7FF6">
        <w:rPr>
          <w:rStyle w:val="FootnoteReference"/>
        </w:rPr>
        <w:footnoteRef/>
      </w:r>
      <w:r w:rsidR="00B30C85" w:rsidRPr="008F7FF6">
        <w:tab/>
      </w:r>
      <w:r w:rsidRPr="008F7FF6">
        <w:t>Regulation (EC) No 460/2004 of the European Parliament and of the Council of 10 March 2004 establishing the European Network and Information Security Agency</w:t>
      </w:r>
      <w:r w:rsidRPr="008F7FF6">
        <w:rPr>
          <w:b/>
          <w:bCs/>
        </w:rPr>
        <w:t> </w:t>
      </w:r>
      <w:r w:rsidRPr="008F7FF6">
        <w:t>(OJ L 77, 13.3.2004, p. 1, ELI: http://data.europa.eu/eli/reg/2004/460/oj).</w:t>
      </w:r>
    </w:p>
  </w:footnote>
  <w:footnote w:id="47">
    <w:p w14:paraId="58A32F8E" w14:textId="77777777" w:rsidR="001A462E" w:rsidRPr="008F7FF6" w:rsidRDefault="001A462E" w:rsidP="001A462E">
      <w:pPr>
        <w:pStyle w:val="FootnoteText"/>
      </w:pPr>
      <w:r w:rsidRPr="008F7FF6">
        <w:rPr>
          <w:rStyle w:val="FootnoteReference"/>
        </w:rPr>
        <w:footnoteRef/>
      </w:r>
      <w:r w:rsidR="00B30C85" w:rsidRPr="008F7FF6">
        <w:tab/>
      </w:r>
      <w:r w:rsidRPr="008F7FF6">
        <w:t>Regulation (EU) No 910/2014 of the European Parliament and of the Council of 23 July 2014 on electronic identification and trust services for electronic transactions in the internal market and repealing Directive 1999/93/EC (OJ L 257, 28.8.2014, p. 73, ELI: http://data.europa.eu/eli/reg/2014/910/oj).</w:t>
      </w:r>
    </w:p>
  </w:footnote>
  <w:footnote w:id="48">
    <w:p w14:paraId="07642CF0" w14:textId="77777777" w:rsidR="001A462E" w:rsidRPr="008F7FF6" w:rsidRDefault="001A462E" w:rsidP="001A462E">
      <w:pPr>
        <w:pStyle w:val="FootnoteText"/>
      </w:pPr>
      <w:r w:rsidRPr="008F7FF6">
        <w:rPr>
          <w:rStyle w:val="FootnoteReference"/>
        </w:rPr>
        <w:footnoteRef/>
      </w:r>
      <w:r w:rsidR="00B30C85" w:rsidRPr="008F7FF6">
        <w:tab/>
      </w:r>
      <w:r w:rsidRPr="008F7FF6">
        <w:t>Regulation (EU) 2021/887 of the European Parliament and of the Council of 20 May 2021 establishing the European Cybersecurity Industrial, Technology and Research Competence Centre and the Network of National Coordination Centres (OJ L 202, 8.6.2021, p. 1, ELI: http://data.europa.eu/eli/reg/2021/887/oj).</w:t>
      </w:r>
    </w:p>
  </w:footnote>
  <w:footnote w:id="49">
    <w:p w14:paraId="0558829D" w14:textId="77777777" w:rsidR="0063108B" w:rsidRPr="008F7FF6" w:rsidRDefault="0063108B" w:rsidP="0063108B">
      <w:pPr>
        <w:pStyle w:val="FootnoteText"/>
      </w:pPr>
      <w:r w:rsidRPr="008F7FF6">
        <w:rPr>
          <w:rStyle w:val="FootnoteReference"/>
        </w:rPr>
        <w:footnoteRef/>
      </w:r>
      <w:r w:rsidRPr="008F7FF6">
        <w:tab/>
        <w:t>Communication from the Commission to the European Parliament, the European Council, the Council, the European Economic and Social Committee and the Committee of the Regions, The Union of Skills, COM(2025) 90 final, 5 March 2025.</w:t>
      </w:r>
    </w:p>
  </w:footnote>
  <w:footnote w:id="50">
    <w:p w14:paraId="55D2F41D" w14:textId="62238554" w:rsidR="00D642C5" w:rsidRPr="006879B9" w:rsidRDefault="00D642C5">
      <w:pPr>
        <w:pStyle w:val="FootnoteText"/>
        <w:rPr>
          <w:lang w:val="en-IE"/>
        </w:rPr>
      </w:pPr>
      <w:r w:rsidRPr="00AB3669">
        <w:rPr>
          <w:rStyle w:val="FootnoteReference"/>
        </w:rPr>
        <w:footnoteRef/>
      </w:r>
      <w:r w:rsidR="00AB3669">
        <w:tab/>
      </w:r>
      <w:r w:rsidR="00A85FA1" w:rsidRPr="00A85FA1">
        <w:t>JOIN(2025) 791 final</w:t>
      </w:r>
      <w:r w:rsidR="00A85FA1">
        <w:t>.</w:t>
      </w:r>
    </w:p>
  </w:footnote>
  <w:footnote w:id="51">
    <w:p w14:paraId="291C9834" w14:textId="77777777" w:rsidR="001A462E" w:rsidRPr="008F7FF6" w:rsidRDefault="001A462E" w:rsidP="001A462E">
      <w:pPr>
        <w:pStyle w:val="FootnoteText"/>
      </w:pPr>
      <w:r w:rsidRPr="008F7FF6">
        <w:rPr>
          <w:rStyle w:val="FootnoteReference"/>
        </w:rPr>
        <w:footnoteRef/>
      </w:r>
      <w:r w:rsidR="00B30C85" w:rsidRPr="008F7FF6">
        <w:tab/>
      </w:r>
      <w:r w:rsidRPr="008F7FF6">
        <w:t>Regulation (EU, Euratom) 2024/2509 of the European Parliament and of the Council of 23 September 2024 on the financial rules applicable to the general budget of the Union (OJ L, 2024/2509, 26.09.2024, ELI: http://data.europa.eu/eli/reg/2024/2509/oj).</w:t>
      </w:r>
    </w:p>
  </w:footnote>
  <w:footnote w:id="52">
    <w:p w14:paraId="4C1F1574" w14:textId="77777777" w:rsidR="001A462E" w:rsidRPr="008F7FF6" w:rsidRDefault="001A462E" w:rsidP="001A462E">
      <w:pPr>
        <w:pStyle w:val="FootnoteText"/>
      </w:pPr>
      <w:r w:rsidRPr="008F7FF6">
        <w:rPr>
          <w:rStyle w:val="FootnoteReference"/>
        </w:rPr>
        <w:footnoteRef/>
      </w:r>
      <w:r w:rsidR="00B30C85" w:rsidRPr="008F7FF6">
        <w:tab/>
      </w:r>
      <w:r w:rsidRPr="008F7FF6">
        <w:t>European individual cybersecurity skills attestations should be understood as following a similar approach to what the market recognises as ‘cybersecurity certifications’. However, in order to avoid confusion with regards to the European Cybersecurity Certification Framework, the expression ‘attestation’, already used in the communication on the Cybersecurity Skills Academy, is preferred.</w:t>
      </w:r>
    </w:p>
  </w:footnote>
  <w:footnote w:id="53">
    <w:p w14:paraId="5F86D5C9" w14:textId="24016F1A" w:rsidR="001A462E" w:rsidRPr="000C4438" w:rsidRDefault="001A462E" w:rsidP="001A462E">
      <w:pPr>
        <w:rPr>
          <w:rFonts w:eastAsia="Times New Roman"/>
          <w:sz w:val="20"/>
          <w:szCs w:val="20"/>
          <w:lang w:val="en-IE"/>
        </w:rPr>
      </w:pPr>
      <w:r w:rsidRPr="00A33596">
        <w:rPr>
          <w:rStyle w:val="FootnoteReference"/>
        </w:rPr>
        <w:footnoteRef/>
      </w:r>
      <w:r w:rsidRPr="000C4438">
        <w:rPr>
          <w:sz w:val="20"/>
          <w:szCs w:val="20"/>
          <w:lang w:val="en-IE"/>
        </w:rPr>
        <w:tab/>
      </w:r>
      <w:r w:rsidR="00E43133" w:rsidRPr="000C4438">
        <w:rPr>
          <w:sz w:val="20"/>
          <w:szCs w:val="20"/>
          <w:lang w:val="en-IE"/>
        </w:rPr>
        <w:t>Implementing regulation - EU - 2025/1569</w:t>
      </w:r>
    </w:p>
  </w:footnote>
  <w:footnote w:id="54">
    <w:p w14:paraId="52C46745" w14:textId="77777777" w:rsidR="001A462E" w:rsidRPr="008F7FF6" w:rsidRDefault="001A462E" w:rsidP="001A462E">
      <w:pPr>
        <w:pStyle w:val="FootnoteText"/>
      </w:pPr>
      <w:r w:rsidRPr="008F7FF6">
        <w:rPr>
          <w:rStyle w:val="FootnoteReference"/>
        </w:rPr>
        <w:footnoteRef/>
      </w:r>
      <w:r w:rsidR="00B30C85" w:rsidRPr="008F7FF6">
        <w:tab/>
      </w:r>
      <w:r w:rsidRPr="008F7FF6">
        <w:t xml:space="preserve">Common Approach, annexed to the Joint Statement of the European Parliament, the Council of the EU and the European Commission on decentralised agencies, adopted on 19 July 2012 and available at: </w:t>
      </w:r>
      <w:hyperlink r:id="rId12" w:history="1">
        <w:r w:rsidRPr="008F7FF6">
          <w:rPr>
            <w:rStyle w:val="Hyperlink"/>
          </w:rPr>
          <w:t>https://european-union.europa.eu/document/download/d4199ff4-1e3d-45e6-af7e-90cf1a7b10bc_en?filename=joint_statement_on_decentralised_agencies_en.pdf</w:t>
        </w:r>
      </w:hyperlink>
      <w:r w:rsidRPr="008F7FF6">
        <w:t>.</w:t>
      </w:r>
    </w:p>
  </w:footnote>
  <w:footnote w:id="55">
    <w:p w14:paraId="53BAA772" w14:textId="77777777" w:rsidR="001A462E" w:rsidRPr="008F7FF6" w:rsidRDefault="001A462E" w:rsidP="001A462E">
      <w:pPr>
        <w:pStyle w:val="FootnoteText"/>
      </w:pPr>
      <w:r w:rsidRPr="008F7FF6">
        <w:rPr>
          <w:rStyle w:val="FootnoteReference"/>
        </w:rPr>
        <w:footnoteRef/>
      </w:r>
      <w:r w:rsidR="00B30C85" w:rsidRPr="008F7FF6">
        <w:tab/>
      </w:r>
      <w:r w:rsidRPr="008F7FF6">
        <w:t>Regulation (EC) No 1049/2001 of the European Parliament and of the Council of 30 May 2001 regarding public access to European Parliament, Council and Commission documents (OJ L 145, 31.5.2001, p. 43, ELI: http://data.europa.eu/eli/reg/2001/1049/oj).</w:t>
      </w:r>
    </w:p>
  </w:footnote>
  <w:footnote w:id="56">
    <w:p w14:paraId="3AB6910A" w14:textId="77777777" w:rsidR="001A462E" w:rsidRPr="008F7FF6" w:rsidRDefault="001A462E" w:rsidP="001A462E">
      <w:pPr>
        <w:pStyle w:val="FootnoteText"/>
      </w:pPr>
      <w:r w:rsidRPr="008F7FF6">
        <w:rPr>
          <w:rStyle w:val="FootnoteReference"/>
        </w:rPr>
        <w:footnoteRef/>
      </w:r>
      <w:r w:rsidR="00B30C85" w:rsidRPr="008F7FF6">
        <w:tab/>
      </w:r>
      <w:r w:rsidRPr="008F7FF6">
        <w:t>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39, ELI: http://data.europa.eu/eli/reg/2018/1725/oj).</w:t>
      </w:r>
    </w:p>
  </w:footnote>
  <w:footnote w:id="57">
    <w:p w14:paraId="08E6F132" w14:textId="77777777" w:rsidR="001A462E" w:rsidRPr="008F7FF6" w:rsidRDefault="001A462E" w:rsidP="001A462E">
      <w:pPr>
        <w:pStyle w:val="FootnoteText"/>
      </w:pPr>
      <w:r w:rsidRPr="008F7FF6">
        <w:rPr>
          <w:rStyle w:val="FootnoteReference"/>
        </w:rPr>
        <w:footnoteRef/>
      </w:r>
      <w:r w:rsidR="00B30C85" w:rsidRPr="008F7FF6">
        <w:tab/>
      </w:r>
      <w:r w:rsidRPr="008F7FF6">
        <w:t>Directive 2014/24/EU of the European Parliament and of the Council of 26 February 2014 on public procurement and repealing Directive 2004/18/EC (OJ L 94, 28.3.2014, p. 65, ELI: http://data.europa.eu/eli/dir/2014/24/oj).</w:t>
      </w:r>
    </w:p>
  </w:footnote>
  <w:footnote w:id="58">
    <w:p w14:paraId="1EBFC65C" w14:textId="77777777" w:rsidR="001A462E" w:rsidRPr="008F7FF6" w:rsidRDefault="001A462E" w:rsidP="001A462E">
      <w:pPr>
        <w:pStyle w:val="FootnoteText"/>
      </w:pPr>
      <w:r w:rsidRPr="008F7FF6">
        <w:rPr>
          <w:rStyle w:val="FootnoteReference"/>
        </w:rPr>
        <w:footnoteRef/>
      </w:r>
      <w:r w:rsidR="00B30C85" w:rsidRPr="008F7FF6">
        <w:tab/>
      </w:r>
      <w:r w:rsidRPr="008F7FF6">
        <w:t>Regulation (EU) 2016/679 of the European Parliament and of the Council of 27 April 2016 on the protection of natural persons with regard to the processing of personal data and on the free movement of such data, and repealing Directive 95/46/EC (General Data Protection Regulation) (OJ L 119, 4.5.2016, p. 1, ELI: http://data.europa.eu/eli/reg/2016/679/oj).</w:t>
      </w:r>
    </w:p>
  </w:footnote>
  <w:footnote w:id="59">
    <w:p w14:paraId="3E297DEE" w14:textId="77777777" w:rsidR="001A462E" w:rsidRPr="008F7FF6" w:rsidRDefault="001A462E" w:rsidP="001A462E">
      <w:pPr>
        <w:pStyle w:val="FootnoteText"/>
      </w:pPr>
      <w:r w:rsidRPr="008F7FF6">
        <w:rPr>
          <w:rStyle w:val="FootnoteReference"/>
        </w:rPr>
        <w:footnoteRef/>
      </w:r>
      <w:r w:rsidR="00B30C85" w:rsidRPr="008F7FF6">
        <w:tab/>
      </w:r>
      <w:r w:rsidRPr="008F7FF6">
        <w:t>Directive (EU) 2022/2555 of the European Parliament and of the Council of 14 December 2022 on measures for a high common level of cybersecurity across the Union, amending Regulation (EU) No 910/2014 and Directive (EU) 2018/1972, and repealing Directive (EU) 2016/1148 (NIS 2 Directive) OJ L 333, 27.12.2022, p. 80, ELI: </w:t>
      </w:r>
      <w:hyperlink r:id="rId13" w:tooltip="Gives access to this document through its ELI URI." w:history="1">
        <w:r w:rsidRPr="008F7FF6">
          <w:rPr>
            <w:rStyle w:val="Hyperlink"/>
          </w:rPr>
          <w:t>http://data.europa.eu/eli/dir/2022/2555/oj</w:t>
        </w:r>
      </w:hyperlink>
      <w:r w:rsidRPr="008F7FF6">
        <w:t xml:space="preserve">). </w:t>
      </w:r>
    </w:p>
  </w:footnote>
  <w:footnote w:id="60">
    <w:p w14:paraId="58D0EA60" w14:textId="77777777" w:rsidR="001A462E" w:rsidRPr="008F7FF6" w:rsidRDefault="001A462E" w:rsidP="001A462E">
      <w:pPr>
        <w:pStyle w:val="FootnoteText"/>
      </w:pPr>
      <w:r w:rsidRPr="008F7FF6">
        <w:rPr>
          <w:rStyle w:val="FootnoteReference"/>
        </w:rPr>
        <w:footnoteRef/>
      </w:r>
      <w:r w:rsidR="00B30C85" w:rsidRPr="008F7FF6">
        <w:tab/>
      </w:r>
      <w:r w:rsidRPr="008F7FF6">
        <w:t xml:space="preserve">Commission Implementing Regulation (EU) 2024/482 of 31 January 2024 laying down rules for the application of Regulation (EU) 2019/881 of the European Parliament and of the Council as regards the adoption of the European Common Criteria-based cybersecurity certification scheme (EUCC) (OJ L, 2024/482, 7.2.2024, ELI: http://data.europa.eu/eli/reg_impl/2024/482/oj). </w:t>
      </w:r>
    </w:p>
  </w:footnote>
  <w:footnote w:id="61">
    <w:p w14:paraId="61BC59B0" w14:textId="77777777" w:rsidR="001A462E" w:rsidRPr="008F7FF6" w:rsidRDefault="001A462E" w:rsidP="001A462E">
      <w:pPr>
        <w:pStyle w:val="FootnoteText"/>
      </w:pPr>
      <w:r w:rsidRPr="008F7FF6">
        <w:rPr>
          <w:rStyle w:val="FootnoteReference"/>
        </w:rPr>
        <w:footnoteRef/>
      </w:r>
      <w:r w:rsidR="00B30C85" w:rsidRPr="008F7FF6">
        <w:tab/>
      </w:r>
      <w:r w:rsidRPr="008F7FF6">
        <w:t>Commission Implementing Regulation (EU) 2025/2540 of 9 December 2025 laying down rules for the application of Regulation (EU) 2019/881 of the European Parliament and of the Council as regards the establishment of the plan for peer review (OJ L 2540, 12.12.2025, ELI: </w:t>
      </w:r>
      <w:hyperlink r:id="rId14" w:tgtFrame="_blank" w:tooltip="Gives access to this document through its ELI URI." w:history="1">
        <w:r w:rsidRPr="008F7FF6">
          <w:rPr>
            <w:rStyle w:val="Hyperlink"/>
          </w:rPr>
          <w:t>http://data.europa.eu/eli/reg_impl/2025/2540/oj</w:t>
        </w:r>
      </w:hyperlink>
      <w:r w:rsidRPr="008F7FF6">
        <w:t>).</w:t>
      </w:r>
    </w:p>
  </w:footnote>
  <w:footnote w:id="62">
    <w:p w14:paraId="11C99599" w14:textId="77777777" w:rsidR="001A462E" w:rsidRPr="008F7FF6" w:rsidRDefault="001A462E" w:rsidP="001A462E">
      <w:pPr>
        <w:pStyle w:val="FootnoteText"/>
      </w:pPr>
      <w:r w:rsidRPr="008F7FF6">
        <w:rPr>
          <w:rStyle w:val="FootnoteReference"/>
        </w:rPr>
        <w:footnoteRef/>
      </w:r>
      <w:r w:rsidR="00B30C85" w:rsidRPr="008F7FF6">
        <w:tab/>
      </w:r>
      <w:r w:rsidRPr="008F7FF6">
        <w:t>Regulation (EC) No 765/2008 of the European Parliament and of the Council of 9 July 2008 setting out the requirements for accreditation and market surveillance relating to the marketing of products and repealing Regulation (EEC) No 339/93 (OJ L 218, 13.8.2008, p. 30, ELI: http://data.europa.eu/eli/reg/2008/765/oj).</w:t>
      </w:r>
    </w:p>
  </w:footnote>
  <w:footnote w:id="63">
    <w:p w14:paraId="7D7CCE31" w14:textId="77777777" w:rsidR="001A462E" w:rsidRPr="008F7FF6" w:rsidRDefault="001A462E" w:rsidP="001A462E">
      <w:pPr>
        <w:pStyle w:val="FootnoteText"/>
        <w:rPr>
          <w:lang w:val="cs-CZ"/>
        </w:rPr>
      </w:pPr>
      <w:r w:rsidRPr="008F7FF6">
        <w:rPr>
          <w:rStyle w:val="FootnoteReference"/>
        </w:rPr>
        <w:footnoteRef/>
      </w:r>
      <w:r w:rsidR="00B30C85" w:rsidRPr="008F7FF6">
        <w:tab/>
      </w:r>
      <w:r w:rsidRPr="008F7FF6">
        <w:t>Commission Implementing Regulation (EU) 2024/3143 of 18 December 2024 establishing the circumstances, formats and procedures for notifications pursuant to Article 61(5) of Regulation (EU) 2019/881 of the European Parliament and of the Council on ENISA (the European Union Agency for Cybersecurity) and on information and communications technology cybersecurity certification (OJ L 3143, 19.12.2025, ELI: </w:t>
      </w:r>
      <w:hyperlink r:id="rId15" w:tgtFrame="_blank" w:tooltip="Gives access to this document through its ELI URI." w:history="1">
        <w:r w:rsidRPr="008F7FF6">
          <w:rPr>
            <w:rStyle w:val="Hyperlink"/>
          </w:rPr>
          <w:t>http://data.europa.eu/eli/reg_impl/2024/3143/oj</w:t>
        </w:r>
      </w:hyperlink>
      <w:r w:rsidRPr="008F7FF6">
        <w:t>).</w:t>
      </w:r>
    </w:p>
  </w:footnote>
  <w:footnote w:id="64">
    <w:p w14:paraId="30A8F7ED" w14:textId="77777777" w:rsidR="00CE11BB" w:rsidRPr="00D76ED1" w:rsidRDefault="00CE11BB" w:rsidP="00CE11BB">
      <w:pPr>
        <w:pStyle w:val="FootnoteText"/>
        <w:rPr>
          <w:lang w:val="en-IE"/>
        </w:rPr>
      </w:pPr>
      <w:r w:rsidRPr="00574290">
        <w:rPr>
          <w:rStyle w:val="FootnoteReference"/>
        </w:rPr>
        <w:footnoteRef/>
      </w:r>
      <w:r>
        <w:tab/>
      </w:r>
      <w:r w:rsidRPr="00D76ED1">
        <w:t>ENISA Threat Landscape 2025, October 2025.</w:t>
      </w:r>
    </w:p>
  </w:footnote>
  <w:footnote w:id="65">
    <w:p w14:paraId="5D3C0335" w14:textId="77777777" w:rsidR="00CE11BB" w:rsidRPr="009A22F9" w:rsidRDefault="00CE11BB" w:rsidP="00CE11BB">
      <w:pPr>
        <w:pStyle w:val="FootnoteText"/>
      </w:pPr>
      <w:r w:rsidRPr="00574290">
        <w:rPr>
          <w:rStyle w:val="FootnoteReference"/>
        </w:rPr>
        <w:footnoteRef/>
      </w:r>
      <w:r>
        <w:tab/>
      </w:r>
      <w:r w:rsidRPr="009A22F9">
        <w:t>Directive (EU) 2022/2555 of the European Parliament and of the Council of 14 December 2022 on measures for a high common level of cybersecurity across the Union, amending Regulation (EU) No 910/2014 and Directive (EU) 2018/1972, and repealing Directive (EU) 2016/1148 (NIS 2 Directive) (OJ L 333 du 27.12.2022, p. 80-152</w:t>
      </w:r>
      <w:r>
        <w:t xml:space="preserve">, ELI: </w:t>
      </w:r>
      <w:r w:rsidRPr="00EE3683">
        <w:t>https://eur-lex.europa.eu/eli/dir/2022/2555/oj</w:t>
      </w:r>
      <w:r w:rsidRPr="009A22F9">
        <w:t>).</w:t>
      </w:r>
    </w:p>
  </w:footnote>
  <w:footnote w:id="66">
    <w:p w14:paraId="6253E65D" w14:textId="77777777" w:rsidR="00CE11BB" w:rsidRPr="004B5CD9" w:rsidRDefault="00CE11BB" w:rsidP="00CE11BB">
      <w:pPr>
        <w:pStyle w:val="FootnoteText"/>
      </w:pPr>
      <w:r w:rsidRPr="00574290">
        <w:rPr>
          <w:rStyle w:val="FootnoteReference"/>
        </w:rPr>
        <w:footnoteRef/>
      </w:r>
      <w:r>
        <w:tab/>
      </w:r>
      <w:r w:rsidRPr="004B5CD9">
        <w:t>Regulation (EU) 2024/2847 of the European Parliament and of the Council of 23 October 2024 on horizontal cybersecurity requirements for products with digital elements and amending Regulations (EU) No 168/2013 and (EU) 2019/1020 and Directive (EU) 2020/1828 (Cyber Resilience Act) (OJ L, 2024/2847, 20.11.2024</w:t>
      </w:r>
      <w:r>
        <w:t xml:space="preserve">, ELI: </w:t>
      </w:r>
      <w:r w:rsidRPr="0055757A">
        <w:t>https://eur-lex.europa.eu/eli/reg/2024/2847/oj/eng</w:t>
      </w:r>
      <w:r w:rsidRPr="004B5CD9">
        <w:t>).</w:t>
      </w:r>
    </w:p>
  </w:footnote>
  <w:footnote w:id="67">
    <w:p w14:paraId="47B95D05" w14:textId="77777777" w:rsidR="00CE11BB" w:rsidRPr="00D76ED1" w:rsidRDefault="00CE11BB" w:rsidP="00CE11BB">
      <w:pPr>
        <w:pStyle w:val="FootnoteText"/>
      </w:pPr>
      <w:r w:rsidRPr="00574290">
        <w:rPr>
          <w:rStyle w:val="FootnoteReference"/>
        </w:rPr>
        <w:footnoteRef/>
      </w:r>
      <w:r>
        <w:tab/>
      </w:r>
      <w:r w:rsidRPr="00952459">
        <w:t>Joint Communication to the European Parliament and the Council</w:t>
      </w:r>
      <w:r>
        <w:t xml:space="preserve">, </w:t>
      </w:r>
      <w:r w:rsidRPr="00952459">
        <w:t>Strengthening EU economic security</w:t>
      </w:r>
      <w:r>
        <w:t xml:space="preserve">, 3 December 2025, </w:t>
      </w:r>
      <w:r w:rsidRPr="00D76ED1">
        <w:t>JOIN(2025) 977 final</w:t>
      </w:r>
      <w:r>
        <w:t>.</w:t>
      </w:r>
    </w:p>
  </w:footnote>
  <w:footnote w:id="68">
    <w:p w14:paraId="2D325D7D" w14:textId="77777777" w:rsidR="00CE11BB" w:rsidRPr="00D76ED1" w:rsidRDefault="00CE11BB" w:rsidP="00CE11BB">
      <w:pPr>
        <w:pStyle w:val="FootnoteText"/>
        <w:rPr>
          <w:lang w:val="en-IE"/>
        </w:rPr>
      </w:pPr>
      <w:r w:rsidRPr="00574290">
        <w:rPr>
          <w:rStyle w:val="FootnoteReference"/>
        </w:rPr>
        <w:footnoteRef/>
      </w:r>
      <w:r>
        <w:tab/>
      </w:r>
      <w:r w:rsidRPr="00D76ED1">
        <w:t>Directive 2014/24/EU of the European Parliament and of the Council of 26 February 2014 on public procurement and repealing Directive 2004/18/EC</w:t>
      </w:r>
      <w:r>
        <w:t xml:space="preserve"> (</w:t>
      </w:r>
      <w:r w:rsidRPr="00165571">
        <w:t>OJ L 94, 28.3.2014, pp. 65–242</w:t>
      </w:r>
      <w:r>
        <w:t xml:space="preserve">, ELI: </w:t>
      </w:r>
      <w:r w:rsidRPr="00DC4B6E">
        <w:t>https://eur-lex.europa.eu/eli/dir/2014/24/oj/eng</w:t>
      </w:r>
      <w:r>
        <w:t>)</w:t>
      </w:r>
      <w:r w:rsidRPr="00D76ED1">
        <w:t>.</w:t>
      </w:r>
    </w:p>
  </w:footnote>
  <w:footnote w:id="69">
    <w:p w14:paraId="003941A1" w14:textId="77777777" w:rsidR="00CE11BB" w:rsidRPr="002D7039" w:rsidRDefault="00CE11BB" w:rsidP="00CE11BB">
      <w:pPr>
        <w:pStyle w:val="FootnoteText"/>
      </w:pPr>
      <w:r w:rsidRPr="00574290">
        <w:rPr>
          <w:rStyle w:val="FootnoteReference"/>
        </w:rPr>
        <w:footnoteRef/>
      </w:r>
      <w:r>
        <w:tab/>
      </w:r>
      <w:r w:rsidRPr="00476287">
        <w:t>Directive 2014/25/EU of the European Parliament and of the Council of 26 February 2014 on procurement by entities operating in the water, energy, transport and postal services sectors and repealing Directive 2004/17/EC</w:t>
      </w:r>
      <w:r>
        <w:t xml:space="preserve"> (</w:t>
      </w:r>
      <w:r w:rsidRPr="00713155">
        <w:t>O</w:t>
      </w:r>
      <w:r>
        <w:t>J</w:t>
      </w:r>
      <w:r w:rsidRPr="00713155">
        <w:t xml:space="preserve"> L 94 du 28.3.2014, p. 243-374</w:t>
      </w:r>
      <w:r>
        <w:t xml:space="preserve">, ELI: </w:t>
      </w:r>
      <w:r w:rsidRPr="0025447F">
        <w:t>https://eur-lex.europa.eu/eli/dir/2014/25/oj?locale=fr</w:t>
      </w:r>
      <w:r>
        <w:t>)</w:t>
      </w:r>
      <w:r w:rsidRPr="00476287">
        <w:t>.</w:t>
      </w:r>
    </w:p>
  </w:footnote>
  <w:footnote w:id="70">
    <w:p w14:paraId="2F978053" w14:textId="77777777" w:rsidR="00CE11BB" w:rsidRPr="00D76ED1" w:rsidRDefault="00CE11BB" w:rsidP="00CE11BB">
      <w:pPr>
        <w:pStyle w:val="FootnoteText"/>
      </w:pPr>
      <w:r w:rsidRPr="00574290">
        <w:rPr>
          <w:rStyle w:val="FootnoteReference"/>
        </w:rPr>
        <w:footnoteRef/>
      </w:r>
      <w:r>
        <w:tab/>
      </w:r>
      <w:r w:rsidRPr="00D76ED1">
        <w:t xml:space="preserve">Communication from the Commission on the implementation of the 5G cybersecurity Toolbox, </w:t>
      </w:r>
      <w:r>
        <w:t xml:space="preserve">15 June 2023, </w:t>
      </w:r>
      <w:r w:rsidRPr="00D76ED1">
        <w:t xml:space="preserve">C(2023) 4049 final. </w:t>
      </w:r>
    </w:p>
  </w:footnote>
  <w:footnote w:id="71">
    <w:p w14:paraId="54CDFFF0" w14:textId="77777777" w:rsidR="001A462E" w:rsidRPr="008F7FF6" w:rsidRDefault="001A462E" w:rsidP="001A462E">
      <w:pPr>
        <w:pStyle w:val="FootnoteText"/>
        <w:rPr>
          <w:lang w:val="cs-CZ"/>
        </w:rPr>
      </w:pPr>
      <w:r w:rsidRPr="008F7FF6">
        <w:rPr>
          <w:rStyle w:val="FootnoteReference"/>
        </w:rPr>
        <w:footnoteRef/>
      </w:r>
      <w:r w:rsidR="00B30C85" w:rsidRPr="008F7FF6">
        <w:tab/>
      </w:r>
      <w:r w:rsidRPr="008F7FF6">
        <w:t>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ELI: </w:t>
      </w:r>
      <w:hyperlink r:id="rId16" w:tooltip="Gives access to this document through its ELI URI." w:history="1">
        <w:r w:rsidRPr="008F7FF6">
          <w:rPr>
            <w:rStyle w:val="Hyperlink"/>
          </w:rPr>
          <w:t>http://data.europa.eu/eli/reg/2018/1725/oj</w:t>
        </w:r>
      </w:hyperlink>
      <w:r w:rsidRPr="008F7FF6">
        <w:t>).</w:t>
      </w:r>
    </w:p>
  </w:footnote>
  <w:footnote w:id="72">
    <w:p w14:paraId="7DE07EBD" w14:textId="77777777" w:rsidR="001A462E" w:rsidRPr="008F7FF6" w:rsidRDefault="001A462E" w:rsidP="001A462E">
      <w:pPr>
        <w:pStyle w:val="FootnoteText"/>
      </w:pPr>
      <w:r w:rsidRPr="008F7FF6">
        <w:rPr>
          <w:rStyle w:val="FootnoteReference"/>
        </w:rPr>
        <w:footnoteRef/>
      </w:r>
      <w:r w:rsidR="00B30C85" w:rsidRPr="008F7FF6">
        <w:tab/>
      </w:r>
      <w:r w:rsidRPr="008F7FF6">
        <w:t>Regulation (EU) No 1025/2012 of the European Parliament and of the Council of 25 October 2012 on European standardisation, amending Council Directives 89/686/EEC and 93/15/EEC and Directives 94/9/EC, 94/25/EC, 95/16/EC, 97/23/EC, 98/34/EC, 2004/22/EC, 2007/23/EC, 2009/23/EC and 2009/105/EC of the European Parliament and of the Council and repealing Council Decision 87/95/EEC and Decision No 1673/2006/EC of the European Parliament and of the Council (OJ L 316, 14.11.2012, p. 12, ELI: http://data.europa.eu/eli/reg/2012/1025/oj).</w:t>
      </w:r>
    </w:p>
  </w:footnote>
  <w:footnote w:id="73">
    <w:p w14:paraId="0E43769B" w14:textId="77777777" w:rsidR="00CE11BB" w:rsidRPr="0025628E" w:rsidRDefault="00CE11BB" w:rsidP="00CE11BB">
      <w:pPr>
        <w:pStyle w:val="FootnoteText"/>
        <w:rPr>
          <w:lang w:val="en-US"/>
        </w:rPr>
      </w:pPr>
      <w:r w:rsidRPr="00574290">
        <w:rPr>
          <w:rStyle w:val="FootnoteReference"/>
        </w:rPr>
        <w:footnoteRef/>
      </w:r>
      <w:r>
        <w:tab/>
      </w:r>
      <w:r w:rsidRPr="0025628E">
        <w:t>Regulation (EU) 2023/2675 of the European Parliament and of the Council of 22 November 2023 on the protection of the Union and its Member States from economic coercion by third countries (OJ L, 2023/2675, 7.12.2023, ELI: http://data.europa.eu/eli/reg/2023/2675/oj).</w:t>
      </w:r>
    </w:p>
  </w:footnote>
  <w:footnote w:id="74">
    <w:p w14:paraId="286B0FB9" w14:textId="77777777" w:rsidR="001A462E" w:rsidRPr="008F7FF6" w:rsidRDefault="001A462E" w:rsidP="001A462E">
      <w:pPr>
        <w:pStyle w:val="FootnoteText"/>
        <w:rPr>
          <w:lang w:val="pl-PL"/>
        </w:rPr>
      </w:pPr>
      <w:r w:rsidRPr="008F7FF6">
        <w:rPr>
          <w:rStyle w:val="FootnoteReference"/>
        </w:rPr>
        <w:footnoteRef/>
      </w:r>
      <w:r w:rsidR="00B30C85" w:rsidRPr="008F7FF6">
        <w:rPr>
          <w:lang w:val="pl-PL"/>
        </w:rPr>
        <w:tab/>
      </w:r>
      <w:r w:rsidRPr="008F7FF6">
        <w:rPr>
          <w:lang w:val="pl-PL"/>
        </w:rPr>
        <w:t>OJ L 56, 4.3.1968, p. 1, ELI: http://data.europa.eu/eli/reg/1968/259(1)/oj.</w:t>
      </w:r>
    </w:p>
  </w:footnote>
  <w:footnote w:id="75">
    <w:p w14:paraId="2E46F7D0" w14:textId="77777777" w:rsidR="001A462E" w:rsidRPr="008F7FF6" w:rsidRDefault="001A462E" w:rsidP="001A462E">
      <w:pPr>
        <w:pStyle w:val="FootnoteText"/>
        <w:rPr>
          <w:lang w:val="en-US"/>
        </w:rPr>
      </w:pPr>
      <w:r w:rsidRPr="008F7FF6">
        <w:rPr>
          <w:rStyle w:val="FootnoteReference"/>
        </w:rPr>
        <w:footnoteRef/>
      </w:r>
      <w:r w:rsidR="00B30C85" w:rsidRPr="008F7FF6">
        <w:tab/>
      </w:r>
      <w:r w:rsidRPr="008F7FF6">
        <w:t>Commission Delegated Regulation (EU) 2019/715 of 18 December 2018 on the framework financial regulation for the bodies set up under the TFEU and Euratom Treaty and referred to in Article 70 of Regulation (EU, Euratom) 2018/1046 of the European Parliament and of the Council (OJ L 122, 10.5.2019, p. 1, ELI: http://data.europa.eu/eli/reg_del/2019/715/oj).</w:t>
      </w:r>
    </w:p>
  </w:footnote>
  <w:footnote w:id="76">
    <w:p w14:paraId="739DA49A" w14:textId="77777777" w:rsidR="001A462E" w:rsidRPr="008F7FF6" w:rsidRDefault="001A462E" w:rsidP="001A462E">
      <w:pPr>
        <w:pStyle w:val="FootnoteText"/>
        <w:rPr>
          <w:lang w:val="en-US"/>
        </w:rPr>
      </w:pPr>
      <w:r w:rsidRPr="008F7FF6">
        <w:rPr>
          <w:rStyle w:val="FootnoteReference"/>
        </w:rPr>
        <w:footnoteRef/>
      </w:r>
      <w:r w:rsidR="00B30C85" w:rsidRPr="008F7FF6">
        <w:tab/>
      </w:r>
      <w:r w:rsidRPr="008F7FF6">
        <w:t>Regulation (EU, Euratom) No 883/2013 of the European Parliament and of the Council of 11 September 2013 concerning investigations conducted by the European Anti-Fraud Office (OLAF) and repealing Regulation (EC) No 1073/1999 of the European Parliament and of the Council and Council Regulation (Euratom) No 1074/1999 (OJ L 248, 18.9.2013, p. 1, ELI: http://data.europa.eu/eli/reg/2013/883/oj).</w:t>
      </w:r>
    </w:p>
  </w:footnote>
  <w:footnote w:id="77">
    <w:p w14:paraId="01C09113" w14:textId="77777777" w:rsidR="001A462E" w:rsidRPr="008F7FF6" w:rsidRDefault="001A462E" w:rsidP="001A462E">
      <w:pPr>
        <w:pStyle w:val="FootnoteText"/>
        <w:rPr>
          <w:lang w:val="pl-PL"/>
        </w:rPr>
      </w:pPr>
      <w:r w:rsidRPr="008F7FF6">
        <w:rPr>
          <w:rStyle w:val="FootnoteReference"/>
        </w:rPr>
        <w:footnoteRef/>
      </w:r>
      <w:r w:rsidR="00B30C85" w:rsidRPr="008F7FF6">
        <w:rPr>
          <w:lang w:val="pl-PL"/>
        </w:rPr>
        <w:tab/>
      </w:r>
      <w:r w:rsidRPr="008F7FF6">
        <w:rPr>
          <w:lang w:val="pl-PL"/>
        </w:rPr>
        <w:t>OJ L 136, 31.5.1999, p. 15, ELI: http://data.europa.eu/eli/agree_interinstit/1999/531/oj.</w:t>
      </w:r>
    </w:p>
  </w:footnote>
  <w:footnote w:id="78">
    <w:p w14:paraId="538A3362" w14:textId="77777777" w:rsidR="001A462E" w:rsidRPr="008F7FF6" w:rsidRDefault="001A462E" w:rsidP="001A462E">
      <w:pPr>
        <w:pStyle w:val="FootnoteText"/>
        <w:rPr>
          <w:lang w:val="en-US"/>
        </w:rPr>
      </w:pPr>
      <w:r w:rsidRPr="008F7FF6">
        <w:rPr>
          <w:rStyle w:val="FootnoteReference"/>
        </w:rPr>
        <w:footnoteRef/>
      </w:r>
      <w:r w:rsidR="00B30C85" w:rsidRPr="008F7FF6">
        <w:tab/>
      </w:r>
      <w:r w:rsidRPr="008F7FF6">
        <w:t>Council Regulation (Euratom, EC) No 2185/96 of 11 November 1996 concerning on-the-spot checks and inspections carried out by the Commission in order to protect the European Communities' financial interests against fraud and other irregularities (OJ L 292, 15.11.1996, p. 2, ELI: http://data.europa.eu/eli/reg/1996/2185/oj).</w:t>
      </w:r>
    </w:p>
  </w:footnote>
  <w:footnote w:id="79">
    <w:p w14:paraId="77E21A41" w14:textId="77777777" w:rsidR="001A462E" w:rsidRPr="008F7FF6" w:rsidRDefault="001A462E" w:rsidP="001A462E">
      <w:pPr>
        <w:pStyle w:val="FootnoteText"/>
        <w:rPr>
          <w:lang w:val="en-US"/>
        </w:rPr>
      </w:pPr>
      <w:r w:rsidRPr="008F7FF6">
        <w:rPr>
          <w:rStyle w:val="FootnoteReference"/>
        </w:rPr>
        <w:footnoteRef/>
      </w:r>
      <w:r w:rsidR="00B30C85" w:rsidRPr="008F7FF6">
        <w:tab/>
      </w:r>
      <w:r w:rsidRPr="008F7FF6">
        <w:t>Directive (EU) 2017/1371 of the European Parliament and of the Council of 5 July 2017 on the fight against fraud to the Union's financial interests by means of criminal law (OJ L 198, 28.7.2017, p. 29, ELI: http://data.europa.eu/eli/dir/2017/1371/oj).</w:t>
      </w:r>
    </w:p>
  </w:footnote>
  <w:footnote w:id="80">
    <w:p w14:paraId="381636C9" w14:textId="77777777" w:rsidR="001A462E" w:rsidRPr="008F7FF6" w:rsidRDefault="001A462E" w:rsidP="001A462E">
      <w:pPr>
        <w:pStyle w:val="FootnoteText"/>
        <w:rPr>
          <w:lang w:val="en-US"/>
        </w:rPr>
      </w:pPr>
      <w:r w:rsidRPr="008F7FF6">
        <w:rPr>
          <w:rStyle w:val="FootnoteReference"/>
        </w:rPr>
        <w:footnoteRef/>
      </w:r>
      <w:r w:rsidR="00B30C85" w:rsidRPr="008F7FF6">
        <w:tab/>
      </w:r>
      <w:r w:rsidRPr="008F7FF6">
        <w:rPr>
          <w:lang w:val="en-IE"/>
        </w:rPr>
        <w:t>Council Regulation No 1 determining the languages to be used by the European Economic Community (OJ 17, 6.10.1958, p. 385, ELI: http://data.europa.eu/eli/reg/1958/1(1)/oj).</w:t>
      </w:r>
    </w:p>
  </w:footnote>
  <w:footnote w:id="81">
    <w:p w14:paraId="47408A92" w14:textId="77777777" w:rsidR="001A462E" w:rsidRPr="008F7FF6" w:rsidRDefault="001A462E" w:rsidP="001A462E">
      <w:pPr>
        <w:pStyle w:val="FootnoteText"/>
        <w:rPr>
          <w:lang w:val="en-US"/>
        </w:rPr>
      </w:pPr>
      <w:r w:rsidRPr="008F7FF6">
        <w:rPr>
          <w:rStyle w:val="FootnoteReference"/>
        </w:rPr>
        <w:footnoteRef/>
      </w:r>
      <w:r w:rsidR="00B30C85" w:rsidRPr="008F7FF6">
        <w:tab/>
      </w:r>
      <w:r w:rsidRPr="008F7FF6">
        <w:rPr>
          <w:lang w:val="en-IE"/>
        </w:rPr>
        <w:t>Commission Decision (EU, Euratom) 2015/443 of 13 March 2015 on Security in the Commission (OJ L 72, 17.3.2015, p. 41, ELI: http://data.europa.eu/eli/dec/2015/443/oj).</w:t>
      </w:r>
    </w:p>
  </w:footnote>
  <w:footnote w:id="82">
    <w:p w14:paraId="1210DCCE" w14:textId="77777777" w:rsidR="001A462E" w:rsidRPr="008F7FF6" w:rsidRDefault="001A462E" w:rsidP="001A462E">
      <w:pPr>
        <w:pStyle w:val="FootnoteText"/>
        <w:rPr>
          <w:lang w:val="en-US"/>
        </w:rPr>
      </w:pPr>
      <w:r w:rsidRPr="008F7FF6">
        <w:rPr>
          <w:rStyle w:val="FootnoteReference"/>
        </w:rPr>
        <w:footnoteRef/>
      </w:r>
      <w:r w:rsidR="00B30C85" w:rsidRPr="008F7FF6">
        <w:tab/>
      </w:r>
      <w:r w:rsidRPr="008F7FF6">
        <w:rPr>
          <w:lang w:val="en-IE"/>
        </w:rPr>
        <w:t>Commission Decision (EU, Euratom) 2015/444 of 13 March 2015 on the security rules for protecting EU classified information (OJ L 72, 17.3.2015, p. 53, ELI: http://data.europa.eu/eli/dec/2015/444/oj).</w:t>
      </w:r>
    </w:p>
  </w:footnote>
  <w:footnote w:id="83">
    <w:p w14:paraId="2BF3958A" w14:textId="77777777" w:rsidR="00AA1F01" w:rsidRPr="008F7FF6" w:rsidRDefault="00AA1F01" w:rsidP="00AA1F01">
      <w:pPr>
        <w:pStyle w:val="FootnoteText"/>
        <w:rPr>
          <w:lang w:val="en-IE"/>
        </w:rPr>
      </w:pPr>
      <w:r w:rsidRPr="008F7FF6">
        <w:rPr>
          <w:rStyle w:val="FootnoteReference"/>
        </w:rPr>
        <w:footnoteRef/>
      </w:r>
      <w:r w:rsidR="00B30C85" w:rsidRPr="008F7FF6">
        <w:tab/>
      </w:r>
      <w:r w:rsidRPr="008F7FF6">
        <w:rPr>
          <w:lang w:val="en-IE"/>
        </w:rPr>
        <w:t>Directive (EU) 2022/2555 of the European Parliament and of the Council of 14 December 2022 on measures for a high common level of cybersecurity across the Union, amending Regulation (EU) No 910/2014 and Directive (EU) 2018/1972, and repealing Directive (EU) 2016/1148 (NIS 2 Directive) (OJ L 333, 27.12.2022, p. 80, ELI: http://data.europa.eu/eli/dir/2022/2555/oj).</w:t>
      </w:r>
    </w:p>
  </w:footnote>
  <w:footnote w:id="84">
    <w:p w14:paraId="06167C8E" w14:textId="77777777" w:rsidR="003B159C" w:rsidRPr="00D76ED1" w:rsidRDefault="003B159C" w:rsidP="003B159C">
      <w:pPr>
        <w:pStyle w:val="FootnoteText"/>
        <w:rPr>
          <w:lang w:val="en-IE"/>
        </w:rPr>
      </w:pPr>
      <w:r w:rsidRPr="00574290">
        <w:rPr>
          <w:rStyle w:val="FootnoteReference"/>
        </w:rPr>
        <w:footnoteRef/>
      </w:r>
      <w:r>
        <w:tab/>
      </w:r>
      <w:r w:rsidRPr="00D76ED1">
        <w:t>Regulation (EC) No 1008/2008 of the European Parliament and of the Council of 24 September 2008 on common rules for the operation of air services in the Community (Recast)</w:t>
      </w:r>
      <w:r>
        <w:t xml:space="preserve"> (</w:t>
      </w:r>
      <w:r w:rsidRPr="006D5FD1">
        <w:t>OJ L 293, 31.10.2008, p. 3-20</w:t>
      </w:r>
      <w:r>
        <w:t xml:space="preserve">, ELI: </w:t>
      </w:r>
      <w:r w:rsidRPr="007D1D63">
        <w:t>https://eur-lex.europa.eu/eli/reg/2008/1008/oj/eng</w:t>
      </w:r>
      <w:r>
        <w:t>)</w:t>
      </w:r>
      <w:r w:rsidRPr="00D76ED1">
        <w:t>.</w:t>
      </w:r>
    </w:p>
  </w:footnote>
  <w:footnote w:id="85">
    <w:p w14:paraId="3ABCACA5" w14:textId="77777777" w:rsidR="004F652B" w:rsidRDefault="004F652B" w:rsidP="004F652B">
      <w:pPr>
        <w:pStyle w:val="FootnoteText"/>
      </w:pPr>
      <w:r w:rsidRPr="00760368">
        <w:rPr>
          <w:rStyle w:val="FootnoteReference"/>
        </w:rPr>
        <w:footnoteRef/>
      </w:r>
      <w:r>
        <w:tab/>
        <w:t>As referred to in Article 58(2), point (a) or (b) of the Financial Regulation.</w:t>
      </w:r>
    </w:p>
  </w:footnote>
  <w:footnote w:id="86">
    <w:p w14:paraId="733803CA" w14:textId="77777777" w:rsidR="004F652B" w:rsidRPr="00922145" w:rsidRDefault="004F652B" w:rsidP="004F652B">
      <w:pPr>
        <w:pStyle w:val="FootnoteText"/>
      </w:pPr>
      <w:r w:rsidRPr="00643D1E">
        <w:rPr>
          <w:rStyle w:val="FootnoteReference"/>
        </w:rPr>
        <w:footnoteRef/>
      </w:r>
      <w:r>
        <w:tab/>
      </w:r>
      <w:hyperlink r:id="rId17" w:history="1">
        <w:r w:rsidRPr="00922145">
          <w:rPr>
            <w:rStyle w:val="Hyperlink"/>
          </w:rPr>
          <w:t>Political Guidelines 2024</w:t>
        </w:r>
      </w:hyperlink>
    </w:p>
  </w:footnote>
  <w:footnote w:id="87">
    <w:p w14:paraId="46F65205" w14:textId="77777777" w:rsidR="004F652B" w:rsidRPr="00922145" w:rsidRDefault="004F652B" w:rsidP="004F652B">
      <w:pPr>
        <w:pStyle w:val="FootnoteText"/>
      </w:pPr>
      <w:r w:rsidRPr="00643D1E">
        <w:rPr>
          <w:rStyle w:val="FootnoteReference"/>
        </w:rPr>
        <w:footnoteRef/>
      </w:r>
      <w:r>
        <w:tab/>
      </w:r>
      <w:hyperlink r:id="rId18" w:history="1">
        <w:r w:rsidRPr="00922145">
          <w:rPr>
            <w:rStyle w:val="Hyperlink"/>
          </w:rPr>
          <w:t>Mission letter EVP Virkkunen</w:t>
        </w:r>
      </w:hyperlink>
      <w:r w:rsidRPr="00922145">
        <w:t xml:space="preserve"> </w:t>
      </w:r>
    </w:p>
  </w:footnote>
  <w:footnote w:id="88">
    <w:p w14:paraId="72B56A8C" w14:textId="77777777" w:rsidR="004F652B" w:rsidRPr="00922145" w:rsidRDefault="004F652B" w:rsidP="004F652B">
      <w:pPr>
        <w:pStyle w:val="FootnoteText"/>
      </w:pPr>
      <w:r w:rsidRPr="00643D1E">
        <w:rPr>
          <w:rStyle w:val="FootnoteReference"/>
        </w:rPr>
        <w:footnoteRef/>
      </w:r>
      <w:r>
        <w:tab/>
      </w:r>
      <w:hyperlink r:id="rId19" w:history="1">
        <w:r w:rsidRPr="00922145">
          <w:rPr>
            <w:rStyle w:val="Hyperlink"/>
          </w:rPr>
          <w:t>Report by Sauli Niinistö</w:t>
        </w:r>
      </w:hyperlink>
    </w:p>
  </w:footnote>
  <w:footnote w:id="89">
    <w:p w14:paraId="34C569CE" w14:textId="77777777" w:rsidR="004F652B" w:rsidRPr="00922145" w:rsidRDefault="004F652B" w:rsidP="004F652B">
      <w:pPr>
        <w:pStyle w:val="FootnoteText"/>
      </w:pPr>
      <w:r w:rsidRPr="00643D1E">
        <w:rPr>
          <w:rStyle w:val="FootnoteReference"/>
        </w:rPr>
        <w:footnoteRef/>
      </w:r>
      <w:r>
        <w:tab/>
      </w:r>
      <w:hyperlink r:id="rId20" w:history="1">
        <w:r w:rsidRPr="00922145">
          <w:rPr>
            <w:rStyle w:val="Hyperlink"/>
          </w:rPr>
          <w:t>The Draghi report on EU competitiveness</w:t>
        </w:r>
      </w:hyperlink>
    </w:p>
  </w:footnote>
  <w:footnote w:id="90">
    <w:p w14:paraId="1478E1E0" w14:textId="77777777" w:rsidR="004F652B" w:rsidRPr="00922145" w:rsidRDefault="004F652B" w:rsidP="004F652B">
      <w:pPr>
        <w:pStyle w:val="FootnoteText"/>
      </w:pPr>
      <w:r w:rsidRPr="00643D1E">
        <w:rPr>
          <w:rStyle w:val="FootnoteReference"/>
        </w:rPr>
        <w:footnoteRef/>
      </w:r>
      <w:r>
        <w:tab/>
      </w:r>
      <w:hyperlink r:id="rId21" w:history="1">
        <w:r w:rsidRPr="00922145">
          <w:rPr>
            <w:rStyle w:val="Hyperlink"/>
          </w:rPr>
          <w:t>Enrico Letta - Much more than a market (April 2024)</w:t>
        </w:r>
      </w:hyperlink>
    </w:p>
  </w:footnote>
  <w:footnote w:id="91">
    <w:p w14:paraId="7C7E0046" w14:textId="77777777" w:rsidR="004F652B" w:rsidRPr="00922145" w:rsidRDefault="004F652B" w:rsidP="004F652B">
      <w:pPr>
        <w:pStyle w:val="FootnoteText"/>
      </w:pPr>
      <w:r w:rsidRPr="00643D1E">
        <w:rPr>
          <w:rStyle w:val="FootnoteReference"/>
        </w:rPr>
        <w:footnoteRef/>
      </w:r>
      <w:r>
        <w:tab/>
      </w:r>
      <w:r w:rsidRPr="00922145">
        <w:t>To be added once published</w:t>
      </w:r>
    </w:p>
  </w:footnote>
  <w:footnote w:id="92">
    <w:p w14:paraId="08DD7C96" w14:textId="77777777" w:rsidR="004F652B" w:rsidRPr="00922145" w:rsidRDefault="004F652B" w:rsidP="004F652B">
      <w:pPr>
        <w:pStyle w:val="FootnoteText"/>
      </w:pPr>
      <w:r w:rsidRPr="00643D1E">
        <w:rPr>
          <w:rStyle w:val="FootnoteReference"/>
        </w:rPr>
        <w:footnoteRef/>
      </w:r>
      <w:r>
        <w:tab/>
      </w:r>
      <w:hyperlink r:id="rId22" w:history="1">
        <w:r w:rsidRPr="00922145">
          <w:rPr>
            <w:rStyle w:val="Hyperlink"/>
          </w:rPr>
          <w:t>The EU Cybersecurity Act | EUR-Lex</w:t>
        </w:r>
      </w:hyperlink>
    </w:p>
  </w:footnote>
  <w:footnote w:id="93">
    <w:p w14:paraId="34014369" w14:textId="77777777" w:rsidR="004F652B" w:rsidRPr="00922145" w:rsidRDefault="004F652B" w:rsidP="004F652B">
      <w:pPr>
        <w:pStyle w:val="FootnoteText"/>
      </w:pPr>
      <w:r w:rsidRPr="00643D1E">
        <w:rPr>
          <w:rStyle w:val="FootnoteReference"/>
        </w:rPr>
        <w:footnoteRef/>
      </w:r>
      <w:r>
        <w:tab/>
      </w:r>
      <w:hyperlink r:id="rId23" w:history="1">
        <w:r w:rsidRPr="00922145">
          <w:rPr>
            <w:rStyle w:val="Hyperlink"/>
          </w:rPr>
          <w:t>Financial regulation applicable to the general budget of the Union (recast) - Publications Office of the EU</w:t>
        </w:r>
      </w:hyperlink>
    </w:p>
  </w:footnote>
  <w:footnote w:id="94">
    <w:p w14:paraId="2F83E079" w14:textId="77777777" w:rsidR="004F652B" w:rsidRPr="00922145" w:rsidRDefault="004F652B" w:rsidP="004F652B">
      <w:pPr>
        <w:pStyle w:val="FootnoteText"/>
        <w:jc w:val="left"/>
      </w:pPr>
      <w:r w:rsidRPr="00643D1E">
        <w:rPr>
          <w:rStyle w:val="FootnoteReference"/>
        </w:rPr>
        <w:footnoteRef/>
      </w:r>
      <w:r>
        <w:tab/>
      </w:r>
      <w:hyperlink r:id="rId24" w:history="1">
        <w:r w:rsidRPr="00922145">
          <w:rPr>
            <w:rStyle w:val="Hyperlink"/>
          </w:rPr>
          <w:t>https://europa.eu/european-union/sites/europaeu/files/docs/body/joint_statement_and_common_approach_2012_en.pdf</w:t>
        </w:r>
      </w:hyperlink>
      <w:r w:rsidRPr="00922145">
        <w:t xml:space="preserve"> </w:t>
      </w:r>
    </w:p>
  </w:footnote>
  <w:footnote w:id="95">
    <w:p w14:paraId="714746D0" w14:textId="77777777" w:rsidR="004F652B" w:rsidRPr="00922145" w:rsidRDefault="004F652B" w:rsidP="004F652B">
      <w:pPr>
        <w:pStyle w:val="FootnoteText"/>
      </w:pPr>
      <w:r w:rsidRPr="00643D1E">
        <w:rPr>
          <w:rStyle w:val="FootnoteReference"/>
        </w:rPr>
        <w:footnoteRef/>
      </w:r>
      <w:r>
        <w:tab/>
      </w:r>
      <w:hyperlink r:id="rId25" w:history="1">
        <w:r w:rsidRPr="00922145">
          <w:rPr>
            <w:rStyle w:val="Hyperlink"/>
          </w:rPr>
          <w:t>Delegated regulation - 2019/715 - EN - EUR-Lex</w:t>
        </w:r>
      </w:hyperlink>
    </w:p>
  </w:footnote>
  <w:footnote w:id="96">
    <w:p w14:paraId="567496FE" w14:textId="77777777" w:rsidR="004F652B" w:rsidRPr="00922145" w:rsidRDefault="004F652B" w:rsidP="004F652B">
      <w:pPr>
        <w:pStyle w:val="FootnoteText"/>
      </w:pPr>
      <w:r w:rsidRPr="00643D1E">
        <w:rPr>
          <w:rStyle w:val="FootnoteReference"/>
        </w:rPr>
        <w:footnoteRef/>
      </w:r>
      <w:r>
        <w:tab/>
      </w:r>
      <w:hyperlink r:id="rId26" w:history="1">
        <w:r w:rsidRPr="00922145">
          <w:rPr>
            <w:rStyle w:val="Hyperlink"/>
          </w:rPr>
          <w:t>https://eur-lex.europa.eu/eli/reg/2019/881/oj/eng</w:t>
        </w:r>
      </w:hyperlink>
      <w:r w:rsidRPr="00922145">
        <w:t xml:space="preserve"> </w:t>
      </w:r>
    </w:p>
  </w:footnote>
  <w:footnote w:id="97">
    <w:p w14:paraId="51D16ACF" w14:textId="77777777" w:rsidR="004F652B" w:rsidRPr="00922145" w:rsidRDefault="004F652B" w:rsidP="004F652B">
      <w:pPr>
        <w:pStyle w:val="FootnoteText"/>
      </w:pPr>
      <w:r w:rsidRPr="00643D1E">
        <w:rPr>
          <w:rStyle w:val="FootnoteReference"/>
        </w:rPr>
        <w:footnoteRef/>
      </w:r>
      <w:r>
        <w:tab/>
      </w:r>
      <w:hyperlink r:id="rId27" w:history="1">
        <w:r w:rsidRPr="00922145">
          <w:rPr>
            <w:rStyle w:val="Hyperlink"/>
          </w:rPr>
          <w:t>CNECT_AAR_2024_final</w:t>
        </w:r>
      </w:hyperlink>
    </w:p>
  </w:footnote>
  <w:footnote w:id="98">
    <w:p w14:paraId="69FB6D8D" w14:textId="77777777" w:rsidR="004F652B" w:rsidRPr="00922145" w:rsidRDefault="004F652B" w:rsidP="004F652B">
      <w:pPr>
        <w:pStyle w:val="FootnoteText"/>
      </w:pPr>
      <w:r w:rsidRPr="00643D1E">
        <w:rPr>
          <w:rStyle w:val="FootnoteReference"/>
        </w:rPr>
        <w:footnoteRef/>
      </w:r>
      <w:r>
        <w:tab/>
      </w:r>
      <w:hyperlink r:id="rId28" w:history="1">
        <w:r w:rsidRPr="00922145">
          <w:rPr>
            <w:rStyle w:val="Hyperlink"/>
          </w:rPr>
          <w:t>enisa.europa.eu/sites/default/files/2024-11/2023 Consolidated Annual Activity Report_1.pdf</w:t>
        </w:r>
      </w:hyperlink>
    </w:p>
  </w:footnote>
  <w:footnote w:id="99">
    <w:p w14:paraId="6DA698B4" w14:textId="77777777" w:rsidR="004F652B" w:rsidRPr="00922145" w:rsidRDefault="004F652B" w:rsidP="004F652B">
      <w:pPr>
        <w:pStyle w:val="FootnoteText"/>
      </w:pPr>
      <w:r w:rsidRPr="00643D1E">
        <w:rPr>
          <w:rStyle w:val="FootnoteReference"/>
        </w:rPr>
        <w:footnoteRef/>
      </w:r>
      <w:r>
        <w:tab/>
      </w:r>
      <w:hyperlink r:id="rId29" w:history="1">
        <w:r w:rsidRPr="00922145">
          <w:rPr>
            <w:rStyle w:val="Hyperlink"/>
          </w:rPr>
          <w:t>MB Decision 2019_8 Financial rules_adopted.pdf</w:t>
        </w:r>
      </w:hyperlink>
    </w:p>
  </w:footnote>
  <w:footnote w:id="100">
    <w:p w14:paraId="2B3D3378" w14:textId="77777777" w:rsidR="00EC37C5" w:rsidRDefault="00EC37C5" w:rsidP="00EC37C5">
      <w:pPr>
        <w:pStyle w:val="FootnoteText"/>
        <w:rPr>
          <w:szCs w:val="24"/>
        </w:rPr>
      </w:pPr>
      <w:r>
        <w:rPr>
          <w:rStyle w:val="FootnoteReference"/>
        </w:rPr>
        <w:footnoteRef/>
      </w:r>
      <w:r>
        <w:tab/>
        <w:t>Diff. = Differentiated appropriations / Non-diff. = Non-differentiated appropriations.</w:t>
      </w:r>
    </w:p>
  </w:footnote>
  <w:footnote w:id="101">
    <w:p w14:paraId="65EC42A8" w14:textId="77777777" w:rsidR="00EC37C5" w:rsidRDefault="00EC37C5" w:rsidP="00EC37C5">
      <w:pPr>
        <w:pStyle w:val="FootnoteText"/>
        <w:rPr>
          <w:szCs w:val="24"/>
        </w:rPr>
      </w:pPr>
      <w:r>
        <w:rPr>
          <w:rStyle w:val="FootnoteReference"/>
        </w:rPr>
        <w:footnoteRef/>
      </w:r>
      <w:r>
        <w:tab/>
        <w:t xml:space="preserve">EFTA: European Free Trade Association. </w:t>
      </w:r>
    </w:p>
  </w:footnote>
  <w:footnote w:id="102">
    <w:p w14:paraId="33C60C7C" w14:textId="77777777" w:rsidR="00EC37C5" w:rsidRDefault="00EC37C5" w:rsidP="00EC37C5">
      <w:pPr>
        <w:pStyle w:val="FootnoteText"/>
        <w:rPr>
          <w:szCs w:val="24"/>
        </w:rPr>
      </w:pPr>
      <w:r>
        <w:rPr>
          <w:rStyle w:val="FootnoteReference"/>
        </w:rPr>
        <w:footnoteRef/>
      </w:r>
      <w:r>
        <w:tab/>
        <w:t>Candidate countries and, where applicable, potential candidates from the Western Balkans.</w:t>
      </w:r>
    </w:p>
  </w:footnote>
  <w:footnote w:id="103">
    <w:p w14:paraId="4FD9C8A3" w14:textId="77777777" w:rsidR="00EC37C5" w:rsidRDefault="00EC37C5" w:rsidP="00EC37C5">
      <w:pPr>
        <w:pStyle w:val="FootnoteText"/>
        <w:rPr>
          <w:szCs w:val="24"/>
        </w:rPr>
      </w:pPr>
      <w:r>
        <w:rPr>
          <w:rStyle w:val="FootnoteReference"/>
        </w:rPr>
        <w:footnoteRef/>
      </w:r>
      <w:r>
        <w:tab/>
        <w:t>Outputs are products and services to be supplied (e.g. number of student exchanges financed, number of km of roads built, etc.).</w:t>
      </w:r>
    </w:p>
  </w:footnote>
  <w:footnote w:id="104">
    <w:p w14:paraId="70F2FC04" w14:textId="77777777" w:rsidR="00EC37C5" w:rsidRDefault="00EC37C5" w:rsidP="00EC37C5">
      <w:pPr>
        <w:pStyle w:val="FootnoteText"/>
        <w:rPr>
          <w:szCs w:val="24"/>
        </w:rPr>
      </w:pPr>
      <w:r>
        <w:rPr>
          <w:rStyle w:val="FootnoteReference"/>
        </w:rPr>
        <w:footnoteRef/>
      </w:r>
      <w:r>
        <w:tab/>
        <w:t xml:space="preserve">As described in Section 1.3.2. ‘Specific objective(s)’ </w:t>
      </w:r>
    </w:p>
  </w:footnote>
  <w:footnote w:id="105">
    <w:p w14:paraId="34BB0763" w14:textId="77777777" w:rsidR="00EC37C5" w:rsidRPr="00922145" w:rsidRDefault="00EC37C5" w:rsidP="00EC37C5">
      <w:pPr>
        <w:pStyle w:val="FootnoteText"/>
      </w:pPr>
      <w:r w:rsidRPr="00922145">
        <w:rPr>
          <w:rStyle w:val="FootnoteReference"/>
        </w:rPr>
        <w:footnoteRef/>
      </w:r>
      <w:r w:rsidRPr="00922145">
        <w:tab/>
        <w:t>Please specify below the table how many FTEs within the number indicated are already assigned to the management of the action and/or can be redeployed within your DG and what are your net needs.</w:t>
      </w:r>
    </w:p>
  </w:footnote>
  <w:footnote w:id="106">
    <w:p w14:paraId="06172408" w14:textId="77777777" w:rsidR="00EC37C5" w:rsidRPr="00922145" w:rsidRDefault="00EC37C5" w:rsidP="00EC37C5">
      <w:pPr>
        <w:pStyle w:val="FootnoteText"/>
        <w:rPr>
          <w:szCs w:val="24"/>
        </w:rPr>
      </w:pPr>
      <w:r w:rsidRPr="00922145">
        <w:rPr>
          <w:rStyle w:val="FootnoteReference"/>
        </w:rPr>
        <w:footnoteRef/>
      </w:r>
      <w:r w:rsidRPr="00922145">
        <w:tab/>
        <w:t>As regards traditional own resources (customs duties, sugar levies), the amounts indicated must be net amounts, i.e. gross amounts after deduction of 20% for collection costs.</w:t>
      </w:r>
    </w:p>
  </w:footnote>
  <w:footnote w:id="107">
    <w:p w14:paraId="40CDE9D3" w14:textId="77777777" w:rsidR="00EC37C5" w:rsidRPr="00922145" w:rsidRDefault="00EC37C5" w:rsidP="00EC37C5">
      <w:pPr>
        <w:pStyle w:val="FootnoteText"/>
      </w:pPr>
      <w:r w:rsidRPr="00643D1E">
        <w:rPr>
          <w:rStyle w:val="FootnoteReference"/>
        </w:rPr>
        <w:footnoteRef/>
      </w:r>
      <w:r>
        <w:tab/>
      </w:r>
      <w:hyperlink r:id="rId30" w:history="1">
        <w:r w:rsidRPr="00922145">
          <w:rPr>
            <w:rStyle w:val="Hyperlink"/>
          </w:rPr>
          <w:t>Decision RR-02: Price list of SNAS services</w:t>
        </w:r>
      </w:hyperlink>
      <w:r w:rsidRPr="00922145">
        <w:t> : </w:t>
      </w:r>
      <w:hyperlink r:id="rId31" w:tgtFrame="_blank" w:history="1">
        <w:r w:rsidRPr="00922145">
          <w:rPr>
            <w:rStyle w:val="Hyperlink"/>
          </w:rPr>
          <w:t>https://www.snas.sk/storage/app/uploads/public/677/e79/e4c/677e79e4cac62903312474.pdf</w:t>
        </w:r>
      </w:hyperlink>
      <w:r w:rsidRPr="00922145">
        <w:t>, </w:t>
      </w:r>
    </w:p>
  </w:footnote>
  <w:footnote w:id="108">
    <w:p w14:paraId="36900FDB" w14:textId="77777777" w:rsidR="00EC37C5" w:rsidRPr="00922145" w:rsidRDefault="00EC37C5" w:rsidP="00EC37C5">
      <w:pPr>
        <w:pStyle w:val="FootnoteText"/>
      </w:pPr>
      <w:r w:rsidRPr="00643D1E">
        <w:rPr>
          <w:rStyle w:val="FootnoteReference"/>
        </w:rPr>
        <w:footnoteRef/>
      </w:r>
      <w:r>
        <w:tab/>
      </w:r>
      <w:r w:rsidRPr="00922145">
        <w:t>Specifically, the maintenance considers 2 in person meetings with experts per year (EUR 100 000), costs of contractors supporting the development and review of supporting documentation for the scheme, the uptake of certification schemes, support the peer assessments and the implementation of conformity assessments (4 x 15 000 = EUR 60 000). The cost also includes operational part of the CEF platform and the ENISA certification website (EUR 40 000).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7B21E" w14:textId="77777777" w:rsidR="000033F2" w:rsidRDefault="000033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7890E" w14:textId="77777777" w:rsidR="000033F2" w:rsidRDefault="000033F2" w:rsidP="000033F2">
    <w:pPr>
      <w:pStyle w:val="HeaderLandscap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BAF3E" w14:textId="77777777" w:rsidR="000033F2" w:rsidRPr="000033F2" w:rsidRDefault="000033F2" w:rsidP="000033F2">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0EB05" w14:textId="77777777" w:rsidR="000033F2" w:rsidRPr="000033F2" w:rsidRDefault="000033F2" w:rsidP="000033F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F1781" w14:textId="77777777" w:rsidR="000033F2" w:rsidRPr="000033F2" w:rsidRDefault="000033F2" w:rsidP="000033F2">
    <w:pPr>
      <w:pStyle w:val="HeaderLandscap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5DC6D65A"/>
    <w:lvl w:ilvl="0">
      <w:start w:val="1"/>
      <w:numFmt w:val="decimal"/>
      <w:pStyle w:val="ListNumber"/>
      <w:lvlText w:val="%1."/>
      <w:lvlJc w:val="left"/>
      <w:pPr>
        <w:tabs>
          <w:tab w:val="num" w:pos="360"/>
        </w:tabs>
        <w:ind w:left="360" w:hanging="360"/>
      </w:pPr>
    </w:lvl>
  </w:abstractNum>
  <w:abstractNum w:abstractNumId="1"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2"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3"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67507A4"/>
    <w:multiLevelType w:val="multilevel"/>
    <w:tmpl w:val="9B34C7C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
      <w:lvlText w:val="%2."/>
      <w:lvlJc w:val="left"/>
      <w:pPr>
        <w:ind w:left="953" w:hanging="477"/>
      </w:pPr>
      <w:rPr>
        <w:rFonts w:hint="default"/>
      </w:rPr>
    </w:lvl>
    <w:lvl w:ilvl="2">
      <w:start w:val="1"/>
      <w:numFmt w:val="lowerRoman"/>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1"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3" w15:restartNumberingAfterBreak="0">
    <w:nsid w:val="36D12C76"/>
    <w:multiLevelType w:val="multilevel"/>
    <w:tmpl w:val="AC107A2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6"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7"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8"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9"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0"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1"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3"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7"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8"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0" w15:restartNumberingAfterBreak="0">
    <w:nsid w:val="702D3AC3"/>
    <w:multiLevelType w:val="multilevel"/>
    <w:tmpl w:val="1F74079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71F06166"/>
    <w:multiLevelType w:val="multilevel"/>
    <w:tmpl w:val="C08066D2"/>
    <w:name w:val="0.6719891"/>
    <w:lvl w:ilvl="0">
      <w:start w:val="1"/>
      <w:numFmt w:val="decimal"/>
      <w:lvlRestart w:val="0"/>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3"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4" w15:restartNumberingAfterBreak="0">
    <w:nsid w:val="7CBE4812"/>
    <w:multiLevelType w:val="singleLevel"/>
    <w:tmpl w:val="49B2AA0C"/>
    <w:name w:val="Considérant"/>
    <w:lvl w:ilvl="0">
      <w:start w:val="1"/>
      <w:numFmt w:val="decimal"/>
      <w:lvlRestart w:val="0"/>
      <w:pStyle w:val="Considrant"/>
      <w:lvlText w:val="(%1)"/>
      <w:lvlJc w:val="left"/>
      <w:pPr>
        <w:tabs>
          <w:tab w:val="num" w:pos="709"/>
        </w:tabs>
        <w:ind w:left="709" w:hanging="709"/>
      </w:pPr>
      <w:rPr>
        <w:b w:val="0"/>
        <w:bCs w:val="0"/>
      </w:rPr>
    </w:lvl>
  </w:abstractNum>
  <w:abstractNum w:abstractNumId="35" w15:restartNumberingAfterBreak="0">
    <w:nsid w:val="7DBF6E58"/>
    <w:multiLevelType w:val="multilevel"/>
    <w:tmpl w:val="CB18D38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264731833">
    <w:abstractNumId w:val="1"/>
  </w:num>
  <w:num w:numId="2" w16cid:durableId="1494948354">
    <w:abstractNumId w:val="23"/>
  </w:num>
  <w:num w:numId="3" w16cid:durableId="590894181">
    <w:abstractNumId w:val="10"/>
  </w:num>
  <w:num w:numId="4" w16cid:durableId="1463040639">
    <w:abstractNumId w:val="20"/>
  </w:num>
  <w:num w:numId="5" w16cid:durableId="886183424">
    <w:abstractNumId w:val="19"/>
  </w:num>
  <w:num w:numId="6" w16cid:durableId="1691450028">
    <w:abstractNumId w:val="31"/>
  </w:num>
  <w:num w:numId="7" w16cid:durableId="1930233583">
    <w:abstractNumId w:val="27"/>
  </w:num>
  <w:num w:numId="8" w16cid:durableId="185794805">
    <w:abstractNumId w:val="32"/>
  </w:num>
  <w:num w:numId="9" w16cid:durableId="2002930956">
    <w:abstractNumId w:val="33"/>
  </w:num>
  <w:num w:numId="10" w16cid:durableId="2016955144">
    <w:abstractNumId w:val="2"/>
  </w:num>
  <w:num w:numId="11" w16cid:durableId="1197155613">
    <w:abstractNumId w:val="12"/>
  </w:num>
  <w:num w:numId="12" w16cid:durableId="264700886">
    <w:abstractNumId w:val="3"/>
  </w:num>
  <w:num w:numId="13" w16cid:durableId="803546203">
    <w:abstractNumId w:val="14"/>
  </w:num>
  <w:num w:numId="14" w16cid:durableId="582568945">
    <w:abstractNumId w:val="11"/>
  </w:num>
  <w:num w:numId="15" w16cid:durableId="1045712858">
    <w:abstractNumId w:val="21"/>
  </w:num>
  <w:num w:numId="16" w16cid:durableId="1180658184">
    <w:abstractNumId w:val="9"/>
  </w:num>
  <w:num w:numId="17" w16cid:durableId="98154574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16225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2264598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0443203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8836504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1345970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1032714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6251178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4643758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669682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189203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9589223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94704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6183435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3075319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6702347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6670386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6022983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96026376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11622093">
    <w:abstractNumId w:val="18"/>
    <w:lvlOverride w:ilvl="0">
      <w:startOverride w:val="1"/>
    </w:lvlOverride>
  </w:num>
  <w:num w:numId="37" w16cid:durableId="39289724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9009304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890624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49078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4720655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4057634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33090708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178085179">
    <w:abstractNumId w:val="5"/>
  </w:num>
  <w:num w:numId="45" w16cid:durableId="62882070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2296081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62168827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7560959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33368460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60977569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10503158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98681498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16926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789201438">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79864975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93181465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26669249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0849599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84990684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54633674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63270947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83834874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41512468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83306396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48222912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76075638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213968569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96724764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91019546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1611930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636463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9722948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62528105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48667329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375536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66466798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85623509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81468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30746996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2957665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2856238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43354752">
    <w:abstractNumId w:val="18"/>
    <w:lvlOverride w:ilvl="0">
      <w:startOverride w:val="1"/>
    </w:lvlOverride>
  </w:num>
  <w:num w:numId="83" w16cid:durableId="156922668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2358963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3285006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5151344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98628138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151762069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14208335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702756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32205499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00994217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61232004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21124325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28246750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45934788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184157766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108707243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25861047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9718358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101681125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11444810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26426708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12961778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89123803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29375118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5899714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18128894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128978062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8303719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14643509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163140307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6198442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16cid:durableId="29152134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3735803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129197918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16cid:durableId="129232086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16cid:durableId="75340363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7668461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16cid:durableId="2755986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95541015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16cid:durableId="41767415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16cid:durableId="80762523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16cid:durableId="59313095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16cid:durableId="5668459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16cid:durableId="61016164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16cid:durableId="7370488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16cid:durableId="209894084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16cid:durableId="169299644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5178166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16cid:durableId="18802371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16cid:durableId="121812758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16cid:durableId="87368933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16cid:durableId="127987617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188575625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16cid:durableId="172143700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16cid:durableId="17512149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1924948691">
    <w:abstractNumId w:val="4"/>
    <w:lvlOverride w:ilvl="0">
      <w:startOverride w:val="1"/>
    </w:lvlOverride>
    <w:lvlOverride w:ilvl="1">
      <w:startOverride w:val="1"/>
    </w:lvlOverride>
    <w:lvlOverride w:ilvl="2">
      <w:startOverride w:val="15"/>
    </w:lvlOverride>
    <w:lvlOverride w:ilvl="3">
      <w:startOverride w:val="1"/>
    </w:lvlOverride>
    <w:lvlOverride w:ilvl="4">
      <w:startOverride w:val="1"/>
    </w:lvlOverride>
    <w:lvlOverride w:ilvl="5">
      <w:startOverride w:val="9"/>
    </w:lvlOverride>
    <w:lvlOverride w:ilvl="6">
      <w:startOverride w:val="1"/>
    </w:lvlOverride>
    <w:lvlOverride w:ilvl="7">
      <w:startOverride w:val="1"/>
    </w:lvlOverride>
    <w:lvlOverride w:ilvl="8">
      <w:startOverride w:val="1"/>
    </w:lvlOverride>
  </w:num>
  <w:num w:numId="139" w16cid:durableId="1750082141">
    <w:abstractNumId w:val="4"/>
    <w:lvlOverride w:ilvl="0">
      <w:startOverride w:val="1"/>
    </w:lvlOverride>
    <w:lvlOverride w:ilvl="1">
      <w:startOverride w:val="1"/>
    </w:lvlOverride>
    <w:lvlOverride w:ilvl="2">
      <w:startOverride w:val="15"/>
    </w:lvlOverride>
    <w:lvlOverride w:ilvl="3">
      <w:startOverride w:val="1"/>
    </w:lvlOverride>
    <w:lvlOverride w:ilvl="4">
      <w:startOverride w:val="1"/>
    </w:lvlOverride>
    <w:lvlOverride w:ilvl="5">
      <w:startOverride w:val="35"/>
    </w:lvlOverride>
    <w:lvlOverride w:ilvl="6">
      <w:startOverride w:val="1"/>
    </w:lvlOverride>
    <w:lvlOverride w:ilvl="7">
      <w:startOverride w:val="1"/>
    </w:lvlOverride>
    <w:lvlOverride w:ilvl="8">
      <w:startOverride w:val="1"/>
    </w:lvlOverride>
  </w:num>
  <w:num w:numId="140" w16cid:durableId="991176564">
    <w:abstractNumId w:val="4"/>
    <w:lvlOverride w:ilvl="0">
      <w:startOverride w:val="1"/>
    </w:lvlOverride>
    <w:lvlOverride w:ilvl="1">
      <w:startOverride w:val="1"/>
    </w:lvlOverride>
    <w:lvlOverride w:ilvl="2">
      <w:startOverride w:val="15"/>
    </w:lvlOverride>
    <w:lvlOverride w:ilvl="3">
      <w:startOverride w:val="1"/>
    </w:lvlOverride>
    <w:lvlOverride w:ilvl="4">
      <w:startOverride w:val="1"/>
    </w:lvlOverride>
    <w:lvlOverride w:ilvl="5">
      <w:startOverride w:val="61"/>
    </w:lvlOverride>
    <w:lvlOverride w:ilvl="6">
      <w:startOverride w:val="1"/>
    </w:lvlOverride>
    <w:lvlOverride w:ilvl="7">
      <w:startOverride w:val="1"/>
    </w:lvlOverride>
    <w:lvlOverride w:ilvl="8">
      <w:startOverride w:val="1"/>
    </w:lvlOverride>
  </w:num>
  <w:num w:numId="141" w16cid:durableId="259223126">
    <w:abstractNumId w:val="18"/>
    <w:lvlOverride w:ilvl="0">
      <w:startOverride w:val="1"/>
    </w:lvlOverride>
  </w:num>
  <w:num w:numId="142" w16cid:durableId="96195616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16cid:durableId="74326400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16cid:durableId="87611576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16cid:durableId="987587918">
    <w:abstractNumId w:val="24"/>
    <w:lvlOverride w:ilvl="0">
      <w:startOverride w:val="1"/>
    </w:lvlOverride>
  </w:num>
  <w:num w:numId="146" w16cid:durableId="203273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16cid:durableId="208918386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16cid:durableId="21156652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16cid:durableId="93331736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17520426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16cid:durableId="158125274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16cid:durableId="178372242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147614179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16cid:durableId="9009433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16cid:durableId="18891497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16cid:durableId="75309370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16cid:durableId="12685448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16cid:durableId="146500159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16cid:durableId="53099706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16cid:durableId="150917085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16cid:durableId="36532848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16cid:durableId="108075418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16cid:durableId="49028920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16cid:durableId="1141769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16cid:durableId="1799835765">
    <w:abstractNumId w:val="13"/>
  </w:num>
  <w:num w:numId="166" w16cid:durableId="1501002838">
    <w:abstractNumId w:val="30"/>
  </w:num>
  <w:num w:numId="167" w16cid:durableId="667443068">
    <w:abstractNumId w:val="6"/>
  </w:num>
  <w:num w:numId="168" w16cid:durableId="201939782">
    <w:abstractNumId w:val="35"/>
  </w:num>
  <w:num w:numId="169" w16cid:durableId="22645559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16cid:durableId="1098334356">
    <w:abstractNumId w:val="34"/>
    <w:lvlOverride w:ilvl="0">
      <w:startOverride w:val="128"/>
    </w:lvlOverride>
  </w:num>
  <w:num w:numId="171" w16cid:durableId="455412740">
    <w:abstractNumId w:val="4"/>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16cid:durableId="51834876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16cid:durableId="10527338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16cid:durableId="24375808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16cid:durableId="15525704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16cid:durableId="39767750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16cid:durableId="120890845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16cid:durableId="145583287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16cid:durableId="20084348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16cid:durableId="1541286353">
    <w:abstractNumId w:val="4"/>
    <w:lvlOverride w:ilvl="0">
      <w:startOverride w:val="15"/>
    </w:lvlOverride>
    <w:lvlOverride w:ilvl="1">
      <w:startOverride w:val="16"/>
    </w:lvlOverride>
    <w:lvlOverride w:ilvl="2">
      <w:startOverride w:val="1"/>
    </w:lvlOverride>
    <w:lvlOverride w:ilvl="3">
      <w:startOverride w:val="4"/>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16cid:durableId="3748896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16cid:durableId="11895598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16cid:durableId="15381624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16cid:durableId="75374529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16cid:durableId="202185120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16cid:durableId="180527357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16cid:durableId="171011016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16cid:durableId="186922209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16cid:durableId="210904260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16cid:durableId="46327703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16cid:durableId="153133177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16cid:durableId="70163499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16cid:durableId="31222209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16cid:durableId="63710725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16cid:durableId="20279033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16cid:durableId="92904375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16cid:durableId="130411729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16cid:durableId="14045711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16cid:durableId="203949995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16cid:durableId="170447547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16cid:durableId="110697194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16cid:durableId="91307859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16cid:durableId="12818347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16cid:durableId="882598549">
    <w:abstractNumId w:val="0"/>
  </w:num>
  <w:num w:numId="205" w16cid:durableId="580068979">
    <w:abstractNumId w:val="34"/>
    <w:lvlOverride w:ilvl="0">
      <w:startOverride w:val="1"/>
    </w:lvlOverride>
  </w:num>
  <w:num w:numId="206" w16cid:durableId="1092051946">
    <w:abstractNumId w:val="26"/>
  </w:num>
  <w:num w:numId="207" w16cid:durableId="835875732">
    <w:abstractNumId w:val="15"/>
  </w:num>
  <w:num w:numId="208" w16cid:durableId="1680768714">
    <w:abstractNumId w:val="29"/>
  </w:num>
  <w:num w:numId="209" w16cid:durableId="1929001246">
    <w:abstractNumId w:val="8"/>
  </w:num>
  <w:num w:numId="210" w16cid:durableId="786628992">
    <w:abstractNumId w:val="16"/>
  </w:num>
  <w:num w:numId="211" w16cid:durableId="1697347481">
    <w:abstractNumId w:val="17"/>
  </w:num>
  <w:num w:numId="212" w16cid:durableId="835070553">
    <w:abstractNumId w:val="5"/>
  </w:num>
  <w:num w:numId="213" w16cid:durableId="761950079">
    <w:abstractNumId w:val="28"/>
  </w:num>
  <w:num w:numId="214" w16cid:durableId="339816896">
    <w:abstractNumId w:val="4"/>
  </w:num>
  <w:num w:numId="215" w16cid:durableId="855190785">
    <w:abstractNumId w:val="18"/>
  </w:num>
  <w:num w:numId="216" w16cid:durableId="351567562">
    <w:abstractNumId w:val="24"/>
  </w:num>
  <w:num w:numId="217" w16cid:durableId="1055743140">
    <w:abstractNumId w:val="25"/>
  </w:num>
  <w:num w:numId="218" w16cid:durableId="251473929">
    <w:abstractNumId w:val="7"/>
  </w:num>
  <w:num w:numId="219" w16cid:durableId="912392952">
    <w:abstractNumId w:val="22"/>
  </w:num>
  <w:num w:numId="220" w16cid:durableId="1743335221">
    <w:abstractNumId w:val="34"/>
  </w:num>
  <w:numIdMacAtCleanup w:val="2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removePersonalInformation/>
  <w:removeDateAndTime/>
  <w:hideSpellingErrors/>
  <w:hideGrammaticalErrors/>
  <w:attachedTemplate r:id="rId1"/>
  <w:trackRevisions/>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R_RefLast" w:val="0"/>
    <w:docVar w:name="DQCDateTime" w:val="2026-01-19 12:27:42"/>
    <w:docVar w:name="DQCHighlighting" w:val="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CORRIGENDUM" w:val="&lt;UNUSED&gt;"/>
    <w:docVar w:name="LW_COVERPAGE_EXISTS" w:val="True"/>
    <w:docVar w:name="LW_COVERPAGE_GUID" w:val="A36132A9-B003-4F7B-AE66-CA2E56B46557"/>
    <w:docVar w:name="LW_COVERPAGE_TYPE" w:val="1"/>
    <w:docVar w:name="LW_CreatedUtc" w:val="2025-11-19T10:54:57.0250702Z"/>
    <w:docVar w:name="LW_CROSSREFERENCE" w:val="{SEC(2026) 11 final} - {SWD(2026) 11 final} - {SWD(2026) 12 final}"/>
    <w:docVar w:name="LW_DocType" w:val="COM"/>
    <w:docVar w:name="LW_EMISSION" w:val="20.1.2026"/>
    <w:docVar w:name="LW_EMISSION_ISODATE" w:val="2026-01-20"/>
    <w:docVar w:name="LW_EMISSION_LOCATION" w:val="STR"/>
    <w:docVar w:name="LW_EMISSION_PREFIX" w:val="Strasbourg,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Text with EEA relevance)"/>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COD"/>
    <w:docVar w:name="LW_REF.II.NEW.CP_NUMBER" w:val="0011"/>
    <w:docVar w:name="LW_REF.II.NEW.CP_YEAR" w:val="2026"/>
    <w:docVar w:name="LW_REF.INST.NEW" w:val="COM"/>
    <w:docVar w:name="LW_REF.INST.NEW_ADOPTED" w:val="final"/>
    <w:docVar w:name="LW_REF.INST.NEW_TEXT" w:val="(2026) 1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European Union Agency for Cybersecurity (ENISA), the European cybersecurity certification framework, and ICT supply chain security and repealing Regulation (EU) 2019/881 (The Cybersecurity Act 2)"/>
    <w:docVar w:name="LW_TYPE.DOC.CP" w:val="REGULATION OF THE EUROPEAN PARLIAMENT AND OF THE COUNCIL"/>
    <w:docVar w:name="LwApiVersions" w:val="LW4CoDe 1.24.5.0; LW 9.2, Build 20251112"/>
  </w:docVars>
  <w:rsids>
    <w:rsidRoot w:val="00A3053C"/>
    <w:rsid w:val="0000021F"/>
    <w:rsid w:val="00000253"/>
    <w:rsid w:val="000005C0"/>
    <w:rsid w:val="00000969"/>
    <w:rsid w:val="00001070"/>
    <w:rsid w:val="00001111"/>
    <w:rsid w:val="000013B9"/>
    <w:rsid w:val="00001439"/>
    <w:rsid w:val="0000144E"/>
    <w:rsid w:val="00001524"/>
    <w:rsid w:val="00001574"/>
    <w:rsid w:val="00001668"/>
    <w:rsid w:val="000018E0"/>
    <w:rsid w:val="00001C75"/>
    <w:rsid w:val="00001E7B"/>
    <w:rsid w:val="00002044"/>
    <w:rsid w:val="00002270"/>
    <w:rsid w:val="00002C76"/>
    <w:rsid w:val="00002D8E"/>
    <w:rsid w:val="00002EAC"/>
    <w:rsid w:val="00003298"/>
    <w:rsid w:val="00003369"/>
    <w:rsid w:val="00003387"/>
    <w:rsid w:val="000033A4"/>
    <w:rsid w:val="000033F2"/>
    <w:rsid w:val="0000340C"/>
    <w:rsid w:val="000034DA"/>
    <w:rsid w:val="00003A33"/>
    <w:rsid w:val="00003B6B"/>
    <w:rsid w:val="00003D12"/>
    <w:rsid w:val="00004281"/>
    <w:rsid w:val="00004677"/>
    <w:rsid w:val="000046D2"/>
    <w:rsid w:val="00004736"/>
    <w:rsid w:val="000050F0"/>
    <w:rsid w:val="00005209"/>
    <w:rsid w:val="000054F4"/>
    <w:rsid w:val="00005A1B"/>
    <w:rsid w:val="00005D75"/>
    <w:rsid w:val="000063CF"/>
    <w:rsid w:val="00006782"/>
    <w:rsid w:val="00006784"/>
    <w:rsid w:val="00006BD2"/>
    <w:rsid w:val="00006BD9"/>
    <w:rsid w:val="00006E58"/>
    <w:rsid w:val="0000712B"/>
    <w:rsid w:val="00007599"/>
    <w:rsid w:val="000075B0"/>
    <w:rsid w:val="000077F1"/>
    <w:rsid w:val="00007894"/>
    <w:rsid w:val="00007997"/>
    <w:rsid w:val="00007A31"/>
    <w:rsid w:val="00007B72"/>
    <w:rsid w:val="00007BED"/>
    <w:rsid w:val="000103BF"/>
    <w:rsid w:val="000109DD"/>
    <w:rsid w:val="00011585"/>
    <w:rsid w:val="000116B2"/>
    <w:rsid w:val="00011D4E"/>
    <w:rsid w:val="000127AE"/>
    <w:rsid w:val="00012977"/>
    <w:rsid w:val="00012AF2"/>
    <w:rsid w:val="00012B7D"/>
    <w:rsid w:val="00012BA7"/>
    <w:rsid w:val="00012D75"/>
    <w:rsid w:val="00012E49"/>
    <w:rsid w:val="00013603"/>
    <w:rsid w:val="00013FB3"/>
    <w:rsid w:val="000141EC"/>
    <w:rsid w:val="0001425F"/>
    <w:rsid w:val="000142DD"/>
    <w:rsid w:val="00014554"/>
    <w:rsid w:val="00014663"/>
    <w:rsid w:val="00014AB2"/>
    <w:rsid w:val="00014AC9"/>
    <w:rsid w:val="00014DCC"/>
    <w:rsid w:val="00014F43"/>
    <w:rsid w:val="00014FC4"/>
    <w:rsid w:val="00015347"/>
    <w:rsid w:val="00015B12"/>
    <w:rsid w:val="00015B6F"/>
    <w:rsid w:val="00015D8E"/>
    <w:rsid w:val="00015E68"/>
    <w:rsid w:val="00015EC4"/>
    <w:rsid w:val="00016052"/>
    <w:rsid w:val="000161DC"/>
    <w:rsid w:val="00016327"/>
    <w:rsid w:val="00016418"/>
    <w:rsid w:val="00016548"/>
    <w:rsid w:val="00016A28"/>
    <w:rsid w:val="00016B5E"/>
    <w:rsid w:val="00016D23"/>
    <w:rsid w:val="00016FD6"/>
    <w:rsid w:val="0001749D"/>
    <w:rsid w:val="00017524"/>
    <w:rsid w:val="000175F9"/>
    <w:rsid w:val="00017AD9"/>
    <w:rsid w:val="00017E10"/>
    <w:rsid w:val="00017FF6"/>
    <w:rsid w:val="00020069"/>
    <w:rsid w:val="00020336"/>
    <w:rsid w:val="000207F3"/>
    <w:rsid w:val="00020851"/>
    <w:rsid w:val="000208DD"/>
    <w:rsid w:val="00020B1F"/>
    <w:rsid w:val="00020DFB"/>
    <w:rsid w:val="00021011"/>
    <w:rsid w:val="000210EB"/>
    <w:rsid w:val="0002168D"/>
    <w:rsid w:val="00021B23"/>
    <w:rsid w:val="00021C10"/>
    <w:rsid w:val="00021D83"/>
    <w:rsid w:val="00021E16"/>
    <w:rsid w:val="000224CB"/>
    <w:rsid w:val="000224FE"/>
    <w:rsid w:val="0002260E"/>
    <w:rsid w:val="0002271A"/>
    <w:rsid w:val="0002289E"/>
    <w:rsid w:val="00022939"/>
    <w:rsid w:val="00022A50"/>
    <w:rsid w:val="00022AB1"/>
    <w:rsid w:val="00022BCA"/>
    <w:rsid w:val="00022DAA"/>
    <w:rsid w:val="000231CF"/>
    <w:rsid w:val="0002340E"/>
    <w:rsid w:val="00023590"/>
    <w:rsid w:val="0002365E"/>
    <w:rsid w:val="00023BC9"/>
    <w:rsid w:val="00023DAA"/>
    <w:rsid w:val="00023DED"/>
    <w:rsid w:val="000244BF"/>
    <w:rsid w:val="00024559"/>
    <w:rsid w:val="00024832"/>
    <w:rsid w:val="00024F5E"/>
    <w:rsid w:val="00024FDE"/>
    <w:rsid w:val="00024FF8"/>
    <w:rsid w:val="0002505C"/>
    <w:rsid w:val="000250C0"/>
    <w:rsid w:val="00025666"/>
    <w:rsid w:val="00025C05"/>
    <w:rsid w:val="00025D51"/>
    <w:rsid w:val="00026178"/>
    <w:rsid w:val="00026311"/>
    <w:rsid w:val="000264A6"/>
    <w:rsid w:val="00026A21"/>
    <w:rsid w:val="00026B77"/>
    <w:rsid w:val="00026CFF"/>
    <w:rsid w:val="00027044"/>
    <w:rsid w:val="000272FC"/>
    <w:rsid w:val="00027572"/>
    <w:rsid w:val="00027803"/>
    <w:rsid w:val="00027A76"/>
    <w:rsid w:val="000300ED"/>
    <w:rsid w:val="0003017C"/>
    <w:rsid w:val="000301EF"/>
    <w:rsid w:val="0003061E"/>
    <w:rsid w:val="0003071F"/>
    <w:rsid w:val="000308C0"/>
    <w:rsid w:val="00030B73"/>
    <w:rsid w:val="00030D9D"/>
    <w:rsid w:val="00030F93"/>
    <w:rsid w:val="0003134A"/>
    <w:rsid w:val="000316EF"/>
    <w:rsid w:val="00031A64"/>
    <w:rsid w:val="00031A67"/>
    <w:rsid w:val="00031A81"/>
    <w:rsid w:val="00031AD5"/>
    <w:rsid w:val="00031C6D"/>
    <w:rsid w:val="00031E20"/>
    <w:rsid w:val="00032219"/>
    <w:rsid w:val="00032A9A"/>
    <w:rsid w:val="00032C42"/>
    <w:rsid w:val="00032F94"/>
    <w:rsid w:val="000335D6"/>
    <w:rsid w:val="000336B8"/>
    <w:rsid w:val="00033B06"/>
    <w:rsid w:val="00033D41"/>
    <w:rsid w:val="00033DC5"/>
    <w:rsid w:val="00033F9D"/>
    <w:rsid w:val="000340B9"/>
    <w:rsid w:val="00034346"/>
    <w:rsid w:val="0003440D"/>
    <w:rsid w:val="000344D7"/>
    <w:rsid w:val="0003457A"/>
    <w:rsid w:val="0003458A"/>
    <w:rsid w:val="00034641"/>
    <w:rsid w:val="00034727"/>
    <w:rsid w:val="000348BE"/>
    <w:rsid w:val="00034903"/>
    <w:rsid w:val="0003497D"/>
    <w:rsid w:val="00034E19"/>
    <w:rsid w:val="00034EF8"/>
    <w:rsid w:val="00035110"/>
    <w:rsid w:val="000353E2"/>
    <w:rsid w:val="00035436"/>
    <w:rsid w:val="000354F8"/>
    <w:rsid w:val="00035549"/>
    <w:rsid w:val="000357D1"/>
    <w:rsid w:val="00035882"/>
    <w:rsid w:val="00035945"/>
    <w:rsid w:val="00035C05"/>
    <w:rsid w:val="00035E0E"/>
    <w:rsid w:val="0003604D"/>
    <w:rsid w:val="000364A8"/>
    <w:rsid w:val="000367B7"/>
    <w:rsid w:val="0003698E"/>
    <w:rsid w:val="00036AA7"/>
    <w:rsid w:val="00036BAF"/>
    <w:rsid w:val="00036BBB"/>
    <w:rsid w:val="00036D0F"/>
    <w:rsid w:val="00037149"/>
    <w:rsid w:val="0003742A"/>
    <w:rsid w:val="00037826"/>
    <w:rsid w:val="000378FC"/>
    <w:rsid w:val="00037A23"/>
    <w:rsid w:val="00037CEA"/>
    <w:rsid w:val="000407FE"/>
    <w:rsid w:val="0004083A"/>
    <w:rsid w:val="000408CD"/>
    <w:rsid w:val="00040B75"/>
    <w:rsid w:val="00040F0C"/>
    <w:rsid w:val="000410BC"/>
    <w:rsid w:val="000411AB"/>
    <w:rsid w:val="00041352"/>
    <w:rsid w:val="000420A2"/>
    <w:rsid w:val="000421B0"/>
    <w:rsid w:val="0004225E"/>
    <w:rsid w:val="00042295"/>
    <w:rsid w:val="000424F0"/>
    <w:rsid w:val="00042676"/>
    <w:rsid w:val="0004269D"/>
    <w:rsid w:val="0004278E"/>
    <w:rsid w:val="000430AF"/>
    <w:rsid w:val="00043195"/>
    <w:rsid w:val="000431B1"/>
    <w:rsid w:val="0004363F"/>
    <w:rsid w:val="0004373F"/>
    <w:rsid w:val="00043B20"/>
    <w:rsid w:val="00043B7A"/>
    <w:rsid w:val="00043C8E"/>
    <w:rsid w:val="00043D41"/>
    <w:rsid w:val="00043E85"/>
    <w:rsid w:val="000442B2"/>
    <w:rsid w:val="000442E2"/>
    <w:rsid w:val="0004456D"/>
    <w:rsid w:val="00044762"/>
    <w:rsid w:val="00044952"/>
    <w:rsid w:val="00044B24"/>
    <w:rsid w:val="00044BCB"/>
    <w:rsid w:val="00044DBC"/>
    <w:rsid w:val="00045064"/>
    <w:rsid w:val="000450DF"/>
    <w:rsid w:val="00045221"/>
    <w:rsid w:val="000452CB"/>
    <w:rsid w:val="0004544D"/>
    <w:rsid w:val="000455B9"/>
    <w:rsid w:val="00045A60"/>
    <w:rsid w:val="00045B3B"/>
    <w:rsid w:val="00045CA5"/>
    <w:rsid w:val="00046187"/>
    <w:rsid w:val="0004643B"/>
    <w:rsid w:val="00046945"/>
    <w:rsid w:val="00046EB9"/>
    <w:rsid w:val="00046F41"/>
    <w:rsid w:val="00047030"/>
    <w:rsid w:val="0004718C"/>
    <w:rsid w:val="0004750B"/>
    <w:rsid w:val="00047C4F"/>
    <w:rsid w:val="00047EA2"/>
    <w:rsid w:val="00047EC5"/>
    <w:rsid w:val="00047F4D"/>
    <w:rsid w:val="00047FA0"/>
    <w:rsid w:val="00050001"/>
    <w:rsid w:val="0005006D"/>
    <w:rsid w:val="0005038F"/>
    <w:rsid w:val="00050F27"/>
    <w:rsid w:val="00051090"/>
    <w:rsid w:val="00051159"/>
    <w:rsid w:val="000515B3"/>
    <w:rsid w:val="0005180E"/>
    <w:rsid w:val="00051A26"/>
    <w:rsid w:val="00051B8D"/>
    <w:rsid w:val="00051C0C"/>
    <w:rsid w:val="0005230A"/>
    <w:rsid w:val="00052381"/>
    <w:rsid w:val="000523D8"/>
    <w:rsid w:val="00052526"/>
    <w:rsid w:val="00052A58"/>
    <w:rsid w:val="00052C24"/>
    <w:rsid w:val="00052C7C"/>
    <w:rsid w:val="00052FAA"/>
    <w:rsid w:val="000530AE"/>
    <w:rsid w:val="00053136"/>
    <w:rsid w:val="00053232"/>
    <w:rsid w:val="00053349"/>
    <w:rsid w:val="000533EA"/>
    <w:rsid w:val="00053886"/>
    <w:rsid w:val="00053AC9"/>
    <w:rsid w:val="00053CA9"/>
    <w:rsid w:val="000540A3"/>
    <w:rsid w:val="0005418C"/>
    <w:rsid w:val="00054817"/>
    <w:rsid w:val="0005483F"/>
    <w:rsid w:val="000548CA"/>
    <w:rsid w:val="00054C9A"/>
    <w:rsid w:val="00054E7A"/>
    <w:rsid w:val="00055010"/>
    <w:rsid w:val="0005515D"/>
    <w:rsid w:val="00055245"/>
    <w:rsid w:val="00055859"/>
    <w:rsid w:val="00055ACC"/>
    <w:rsid w:val="00055C64"/>
    <w:rsid w:val="00055C8D"/>
    <w:rsid w:val="00055D2D"/>
    <w:rsid w:val="00056216"/>
    <w:rsid w:val="0005627D"/>
    <w:rsid w:val="0005630E"/>
    <w:rsid w:val="000563B0"/>
    <w:rsid w:val="0005669A"/>
    <w:rsid w:val="000566C4"/>
    <w:rsid w:val="00056A90"/>
    <w:rsid w:val="00056B29"/>
    <w:rsid w:val="00056CC8"/>
    <w:rsid w:val="00056D5C"/>
    <w:rsid w:val="000571A9"/>
    <w:rsid w:val="000572C4"/>
    <w:rsid w:val="00057826"/>
    <w:rsid w:val="00057876"/>
    <w:rsid w:val="00057964"/>
    <w:rsid w:val="000579A6"/>
    <w:rsid w:val="00057B75"/>
    <w:rsid w:val="0006008C"/>
    <w:rsid w:val="000600B3"/>
    <w:rsid w:val="000604BE"/>
    <w:rsid w:val="0006081F"/>
    <w:rsid w:val="000609BC"/>
    <w:rsid w:val="00060C86"/>
    <w:rsid w:val="00060FAC"/>
    <w:rsid w:val="00060FD7"/>
    <w:rsid w:val="00061324"/>
    <w:rsid w:val="00061564"/>
    <w:rsid w:val="0006160C"/>
    <w:rsid w:val="000617CB"/>
    <w:rsid w:val="00061DBA"/>
    <w:rsid w:val="00062254"/>
    <w:rsid w:val="00062600"/>
    <w:rsid w:val="00062A2D"/>
    <w:rsid w:val="000634F1"/>
    <w:rsid w:val="000635C0"/>
    <w:rsid w:val="00063B61"/>
    <w:rsid w:val="00064291"/>
    <w:rsid w:val="00064632"/>
    <w:rsid w:val="000646E5"/>
    <w:rsid w:val="0006486E"/>
    <w:rsid w:val="00064A9D"/>
    <w:rsid w:val="00064B40"/>
    <w:rsid w:val="00064C20"/>
    <w:rsid w:val="000650BB"/>
    <w:rsid w:val="000653C9"/>
    <w:rsid w:val="000654D8"/>
    <w:rsid w:val="000656D2"/>
    <w:rsid w:val="000658B8"/>
    <w:rsid w:val="0006598F"/>
    <w:rsid w:val="00065B4B"/>
    <w:rsid w:val="00065C25"/>
    <w:rsid w:val="00065CC2"/>
    <w:rsid w:val="00065CFC"/>
    <w:rsid w:val="00065FA2"/>
    <w:rsid w:val="000665CA"/>
    <w:rsid w:val="00066A77"/>
    <w:rsid w:val="00066A99"/>
    <w:rsid w:val="00066C0B"/>
    <w:rsid w:val="00066CEE"/>
    <w:rsid w:val="0006715D"/>
    <w:rsid w:val="000671C2"/>
    <w:rsid w:val="0006726D"/>
    <w:rsid w:val="000672F2"/>
    <w:rsid w:val="00070793"/>
    <w:rsid w:val="00070944"/>
    <w:rsid w:val="00070BD9"/>
    <w:rsid w:val="00070D3D"/>
    <w:rsid w:val="0007114E"/>
    <w:rsid w:val="000714B6"/>
    <w:rsid w:val="000717BE"/>
    <w:rsid w:val="00071A1E"/>
    <w:rsid w:val="000724B0"/>
    <w:rsid w:val="0007287C"/>
    <w:rsid w:val="000729C6"/>
    <w:rsid w:val="00072B1E"/>
    <w:rsid w:val="00072F43"/>
    <w:rsid w:val="0007318A"/>
    <w:rsid w:val="000731B1"/>
    <w:rsid w:val="0007328A"/>
    <w:rsid w:val="00073499"/>
    <w:rsid w:val="000734B0"/>
    <w:rsid w:val="000738F5"/>
    <w:rsid w:val="00073EEA"/>
    <w:rsid w:val="00073F3B"/>
    <w:rsid w:val="00074064"/>
    <w:rsid w:val="0007467F"/>
    <w:rsid w:val="00074BDC"/>
    <w:rsid w:val="00074C98"/>
    <w:rsid w:val="00074FDA"/>
    <w:rsid w:val="0007523E"/>
    <w:rsid w:val="00075719"/>
    <w:rsid w:val="00075901"/>
    <w:rsid w:val="00075E85"/>
    <w:rsid w:val="000762F1"/>
    <w:rsid w:val="000769BD"/>
    <w:rsid w:val="00076B34"/>
    <w:rsid w:val="00076BA2"/>
    <w:rsid w:val="00076E69"/>
    <w:rsid w:val="00076FC6"/>
    <w:rsid w:val="00077202"/>
    <w:rsid w:val="00077474"/>
    <w:rsid w:val="000774C0"/>
    <w:rsid w:val="00077611"/>
    <w:rsid w:val="00077BEA"/>
    <w:rsid w:val="00080551"/>
    <w:rsid w:val="00080717"/>
    <w:rsid w:val="0008076F"/>
    <w:rsid w:val="00080901"/>
    <w:rsid w:val="00080B33"/>
    <w:rsid w:val="00080F1E"/>
    <w:rsid w:val="0008105B"/>
    <w:rsid w:val="000810A6"/>
    <w:rsid w:val="000811B7"/>
    <w:rsid w:val="00081459"/>
    <w:rsid w:val="000815CA"/>
    <w:rsid w:val="00081775"/>
    <w:rsid w:val="00081817"/>
    <w:rsid w:val="00081AFA"/>
    <w:rsid w:val="00081C03"/>
    <w:rsid w:val="00081C6B"/>
    <w:rsid w:val="00081E16"/>
    <w:rsid w:val="0008244F"/>
    <w:rsid w:val="000824FE"/>
    <w:rsid w:val="0008278C"/>
    <w:rsid w:val="00082AB0"/>
    <w:rsid w:val="00082BF4"/>
    <w:rsid w:val="00082E97"/>
    <w:rsid w:val="00082F59"/>
    <w:rsid w:val="00082FCE"/>
    <w:rsid w:val="00083340"/>
    <w:rsid w:val="000838DC"/>
    <w:rsid w:val="00083C59"/>
    <w:rsid w:val="0008413A"/>
    <w:rsid w:val="00084152"/>
    <w:rsid w:val="00084455"/>
    <w:rsid w:val="00084A66"/>
    <w:rsid w:val="00084AF6"/>
    <w:rsid w:val="00084B89"/>
    <w:rsid w:val="00084C3C"/>
    <w:rsid w:val="00084CF1"/>
    <w:rsid w:val="0008513D"/>
    <w:rsid w:val="0008554E"/>
    <w:rsid w:val="00085704"/>
    <w:rsid w:val="00085776"/>
    <w:rsid w:val="00085FCF"/>
    <w:rsid w:val="000862C3"/>
    <w:rsid w:val="00086581"/>
    <w:rsid w:val="00086F4E"/>
    <w:rsid w:val="00087414"/>
    <w:rsid w:val="000875E4"/>
    <w:rsid w:val="0008776B"/>
    <w:rsid w:val="00087A73"/>
    <w:rsid w:val="00087B62"/>
    <w:rsid w:val="00087E7B"/>
    <w:rsid w:val="00087F77"/>
    <w:rsid w:val="00087FD9"/>
    <w:rsid w:val="00090008"/>
    <w:rsid w:val="00090129"/>
    <w:rsid w:val="0009055C"/>
    <w:rsid w:val="00090578"/>
    <w:rsid w:val="000905FF"/>
    <w:rsid w:val="000906A8"/>
    <w:rsid w:val="00090826"/>
    <w:rsid w:val="000908B6"/>
    <w:rsid w:val="00091043"/>
    <w:rsid w:val="000911A4"/>
    <w:rsid w:val="000912DE"/>
    <w:rsid w:val="00091556"/>
    <w:rsid w:val="00091905"/>
    <w:rsid w:val="00091AB9"/>
    <w:rsid w:val="00092841"/>
    <w:rsid w:val="00092ACB"/>
    <w:rsid w:val="00092D0F"/>
    <w:rsid w:val="00092DFC"/>
    <w:rsid w:val="00092F01"/>
    <w:rsid w:val="00093428"/>
    <w:rsid w:val="00093813"/>
    <w:rsid w:val="00093A81"/>
    <w:rsid w:val="00093BD9"/>
    <w:rsid w:val="00093E14"/>
    <w:rsid w:val="000943F7"/>
    <w:rsid w:val="000944D8"/>
    <w:rsid w:val="00094784"/>
    <w:rsid w:val="00094B2A"/>
    <w:rsid w:val="00094E5D"/>
    <w:rsid w:val="00095609"/>
    <w:rsid w:val="00095891"/>
    <w:rsid w:val="00095C63"/>
    <w:rsid w:val="000960B9"/>
    <w:rsid w:val="000960C9"/>
    <w:rsid w:val="00096443"/>
    <w:rsid w:val="00096536"/>
    <w:rsid w:val="00096A1B"/>
    <w:rsid w:val="00096B50"/>
    <w:rsid w:val="00096F53"/>
    <w:rsid w:val="00096FE3"/>
    <w:rsid w:val="000972EF"/>
    <w:rsid w:val="00097305"/>
    <w:rsid w:val="00097450"/>
    <w:rsid w:val="000976E2"/>
    <w:rsid w:val="0009774C"/>
    <w:rsid w:val="0009793B"/>
    <w:rsid w:val="000979B8"/>
    <w:rsid w:val="00097B2D"/>
    <w:rsid w:val="00097DFE"/>
    <w:rsid w:val="00097E6B"/>
    <w:rsid w:val="000A0234"/>
    <w:rsid w:val="000A05AA"/>
    <w:rsid w:val="000A05CB"/>
    <w:rsid w:val="000A09A5"/>
    <w:rsid w:val="000A0E6E"/>
    <w:rsid w:val="000A0E6F"/>
    <w:rsid w:val="000A1270"/>
    <w:rsid w:val="000A17FA"/>
    <w:rsid w:val="000A1AC5"/>
    <w:rsid w:val="000A1BA8"/>
    <w:rsid w:val="000A1F27"/>
    <w:rsid w:val="000A1FB0"/>
    <w:rsid w:val="000A2218"/>
    <w:rsid w:val="000A2267"/>
    <w:rsid w:val="000A22E3"/>
    <w:rsid w:val="000A236F"/>
    <w:rsid w:val="000A2371"/>
    <w:rsid w:val="000A249D"/>
    <w:rsid w:val="000A26E6"/>
    <w:rsid w:val="000A2835"/>
    <w:rsid w:val="000A2CB0"/>
    <w:rsid w:val="000A36B1"/>
    <w:rsid w:val="000A3D18"/>
    <w:rsid w:val="000A41FF"/>
    <w:rsid w:val="000A43A9"/>
    <w:rsid w:val="000A4500"/>
    <w:rsid w:val="000A47B1"/>
    <w:rsid w:val="000A4C50"/>
    <w:rsid w:val="000A4DDA"/>
    <w:rsid w:val="000A5113"/>
    <w:rsid w:val="000A54C7"/>
    <w:rsid w:val="000A575D"/>
    <w:rsid w:val="000A598E"/>
    <w:rsid w:val="000A5B0D"/>
    <w:rsid w:val="000A5B0E"/>
    <w:rsid w:val="000A5C6A"/>
    <w:rsid w:val="000A605E"/>
    <w:rsid w:val="000A642B"/>
    <w:rsid w:val="000A6734"/>
    <w:rsid w:val="000A685B"/>
    <w:rsid w:val="000A706B"/>
    <w:rsid w:val="000A711A"/>
    <w:rsid w:val="000A726A"/>
    <w:rsid w:val="000A7312"/>
    <w:rsid w:val="000A7412"/>
    <w:rsid w:val="000A7568"/>
    <w:rsid w:val="000A7942"/>
    <w:rsid w:val="000A795C"/>
    <w:rsid w:val="000A7B1D"/>
    <w:rsid w:val="000A7CFE"/>
    <w:rsid w:val="000A7EE3"/>
    <w:rsid w:val="000B0071"/>
    <w:rsid w:val="000B00E5"/>
    <w:rsid w:val="000B05CB"/>
    <w:rsid w:val="000B0612"/>
    <w:rsid w:val="000B07BA"/>
    <w:rsid w:val="000B08AC"/>
    <w:rsid w:val="000B094B"/>
    <w:rsid w:val="000B0B46"/>
    <w:rsid w:val="000B10C0"/>
    <w:rsid w:val="000B122E"/>
    <w:rsid w:val="000B1701"/>
    <w:rsid w:val="000B18C4"/>
    <w:rsid w:val="000B1BE1"/>
    <w:rsid w:val="000B1D92"/>
    <w:rsid w:val="000B1DFE"/>
    <w:rsid w:val="000B209C"/>
    <w:rsid w:val="000B2709"/>
    <w:rsid w:val="000B27A0"/>
    <w:rsid w:val="000B2C34"/>
    <w:rsid w:val="000B2F0F"/>
    <w:rsid w:val="000B2F12"/>
    <w:rsid w:val="000B2F88"/>
    <w:rsid w:val="000B2FDF"/>
    <w:rsid w:val="000B330F"/>
    <w:rsid w:val="000B33E3"/>
    <w:rsid w:val="000B3B3F"/>
    <w:rsid w:val="000B3E5F"/>
    <w:rsid w:val="000B3F3A"/>
    <w:rsid w:val="000B41E6"/>
    <w:rsid w:val="000B42A5"/>
    <w:rsid w:val="000B4404"/>
    <w:rsid w:val="000B4512"/>
    <w:rsid w:val="000B4BCD"/>
    <w:rsid w:val="000B5140"/>
    <w:rsid w:val="000B531C"/>
    <w:rsid w:val="000B5643"/>
    <w:rsid w:val="000B5BF0"/>
    <w:rsid w:val="000B5DB7"/>
    <w:rsid w:val="000B5FA4"/>
    <w:rsid w:val="000B642A"/>
    <w:rsid w:val="000B6915"/>
    <w:rsid w:val="000B6A48"/>
    <w:rsid w:val="000B6ED8"/>
    <w:rsid w:val="000B7325"/>
    <w:rsid w:val="000B7643"/>
    <w:rsid w:val="000B7905"/>
    <w:rsid w:val="000B79D3"/>
    <w:rsid w:val="000B7B0B"/>
    <w:rsid w:val="000C0236"/>
    <w:rsid w:val="000C02C3"/>
    <w:rsid w:val="000C0576"/>
    <w:rsid w:val="000C05A4"/>
    <w:rsid w:val="000C06C0"/>
    <w:rsid w:val="000C0B24"/>
    <w:rsid w:val="000C0C77"/>
    <w:rsid w:val="000C0CC9"/>
    <w:rsid w:val="000C1325"/>
    <w:rsid w:val="000C13A4"/>
    <w:rsid w:val="000C1536"/>
    <w:rsid w:val="000C16D8"/>
    <w:rsid w:val="000C182B"/>
    <w:rsid w:val="000C19F4"/>
    <w:rsid w:val="000C1CF8"/>
    <w:rsid w:val="000C1E14"/>
    <w:rsid w:val="000C1F49"/>
    <w:rsid w:val="000C1FE4"/>
    <w:rsid w:val="000C28C5"/>
    <w:rsid w:val="000C29BB"/>
    <w:rsid w:val="000C2A24"/>
    <w:rsid w:val="000C2F6E"/>
    <w:rsid w:val="000C3222"/>
    <w:rsid w:val="000C350D"/>
    <w:rsid w:val="000C3691"/>
    <w:rsid w:val="000C39A9"/>
    <w:rsid w:val="000C3B7F"/>
    <w:rsid w:val="000C3D2C"/>
    <w:rsid w:val="000C410C"/>
    <w:rsid w:val="000C4132"/>
    <w:rsid w:val="000C4438"/>
    <w:rsid w:val="000C44A6"/>
    <w:rsid w:val="000C48D1"/>
    <w:rsid w:val="000C4C88"/>
    <w:rsid w:val="000C4C8F"/>
    <w:rsid w:val="000C4C96"/>
    <w:rsid w:val="000C4EF1"/>
    <w:rsid w:val="000C50AC"/>
    <w:rsid w:val="000C51C3"/>
    <w:rsid w:val="000C58BA"/>
    <w:rsid w:val="000C5DFF"/>
    <w:rsid w:val="000C600A"/>
    <w:rsid w:val="000C646A"/>
    <w:rsid w:val="000C64F3"/>
    <w:rsid w:val="000C6C17"/>
    <w:rsid w:val="000C6DDC"/>
    <w:rsid w:val="000C7147"/>
    <w:rsid w:val="000C766C"/>
    <w:rsid w:val="000C769B"/>
    <w:rsid w:val="000C7F11"/>
    <w:rsid w:val="000C7FFB"/>
    <w:rsid w:val="000D08C1"/>
    <w:rsid w:val="000D09B0"/>
    <w:rsid w:val="000D0B94"/>
    <w:rsid w:val="000D0C5E"/>
    <w:rsid w:val="000D0DF3"/>
    <w:rsid w:val="000D0F0C"/>
    <w:rsid w:val="000D0F39"/>
    <w:rsid w:val="000D13C9"/>
    <w:rsid w:val="000D1457"/>
    <w:rsid w:val="000D1C2F"/>
    <w:rsid w:val="000D21BC"/>
    <w:rsid w:val="000D2495"/>
    <w:rsid w:val="000D288D"/>
    <w:rsid w:val="000D2A0C"/>
    <w:rsid w:val="000D2CFF"/>
    <w:rsid w:val="000D2D74"/>
    <w:rsid w:val="000D3157"/>
    <w:rsid w:val="000D3548"/>
    <w:rsid w:val="000D3631"/>
    <w:rsid w:val="000D38BB"/>
    <w:rsid w:val="000D3F14"/>
    <w:rsid w:val="000D4380"/>
    <w:rsid w:val="000D4CB2"/>
    <w:rsid w:val="000D5036"/>
    <w:rsid w:val="000D5090"/>
    <w:rsid w:val="000D546E"/>
    <w:rsid w:val="000D554A"/>
    <w:rsid w:val="000D5555"/>
    <w:rsid w:val="000D5889"/>
    <w:rsid w:val="000D5FD7"/>
    <w:rsid w:val="000D6259"/>
    <w:rsid w:val="000D688F"/>
    <w:rsid w:val="000D6A46"/>
    <w:rsid w:val="000D6BF5"/>
    <w:rsid w:val="000D6FA5"/>
    <w:rsid w:val="000D7118"/>
    <w:rsid w:val="000D77E7"/>
    <w:rsid w:val="000D791C"/>
    <w:rsid w:val="000D7A98"/>
    <w:rsid w:val="000D7BBF"/>
    <w:rsid w:val="000D7C20"/>
    <w:rsid w:val="000D7C47"/>
    <w:rsid w:val="000E017F"/>
    <w:rsid w:val="000E03A3"/>
    <w:rsid w:val="000E081B"/>
    <w:rsid w:val="000E087A"/>
    <w:rsid w:val="000E08FA"/>
    <w:rsid w:val="000E0A5A"/>
    <w:rsid w:val="000E0A9B"/>
    <w:rsid w:val="000E0BD4"/>
    <w:rsid w:val="000E0C00"/>
    <w:rsid w:val="000E0CC0"/>
    <w:rsid w:val="000E115C"/>
    <w:rsid w:val="000E12F2"/>
    <w:rsid w:val="000E1354"/>
    <w:rsid w:val="000E1363"/>
    <w:rsid w:val="000E1446"/>
    <w:rsid w:val="000E1642"/>
    <w:rsid w:val="000E17BB"/>
    <w:rsid w:val="000E1D83"/>
    <w:rsid w:val="000E1DAC"/>
    <w:rsid w:val="000E1E3F"/>
    <w:rsid w:val="000E2372"/>
    <w:rsid w:val="000E2663"/>
    <w:rsid w:val="000E26B0"/>
    <w:rsid w:val="000E2AC8"/>
    <w:rsid w:val="000E2B8C"/>
    <w:rsid w:val="000E2C10"/>
    <w:rsid w:val="000E2D38"/>
    <w:rsid w:val="000E2DA6"/>
    <w:rsid w:val="000E3287"/>
    <w:rsid w:val="000E347D"/>
    <w:rsid w:val="000E3491"/>
    <w:rsid w:val="000E35BC"/>
    <w:rsid w:val="000E369B"/>
    <w:rsid w:val="000E36D9"/>
    <w:rsid w:val="000E393F"/>
    <w:rsid w:val="000E3A8E"/>
    <w:rsid w:val="000E3BC3"/>
    <w:rsid w:val="000E3D12"/>
    <w:rsid w:val="000E3DB5"/>
    <w:rsid w:val="000E3E11"/>
    <w:rsid w:val="000E4087"/>
    <w:rsid w:val="000E4A03"/>
    <w:rsid w:val="000E4C99"/>
    <w:rsid w:val="000E4EF5"/>
    <w:rsid w:val="000E521A"/>
    <w:rsid w:val="000E523D"/>
    <w:rsid w:val="000E56D6"/>
    <w:rsid w:val="000E5BB5"/>
    <w:rsid w:val="000E609E"/>
    <w:rsid w:val="000E6297"/>
    <w:rsid w:val="000E630B"/>
    <w:rsid w:val="000E65DC"/>
    <w:rsid w:val="000E686C"/>
    <w:rsid w:val="000E6A3F"/>
    <w:rsid w:val="000E6BBB"/>
    <w:rsid w:val="000E705F"/>
    <w:rsid w:val="000E70CC"/>
    <w:rsid w:val="000E717B"/>
    <w:rsid w:val="000E71D9"/>
    <w:rsid w:val="000E75FD"/>
    <w:rsid w:val="000E7AFA"/>
    <w:rsid w:val="000E7D23"/>
    <w:rsid w:val="000E7D75"/>
    <w:rsid w:val="000F0518"/>
    <w:rsid w:val="000F054A"/>
    <w:rsid w:val="000F0691"/>
    <w:rsid w:val="000F0897"/>
    <w:rsid w:val="000F08C6"/>
    <w:rsid w:val="000F08F0"/>
    <w:rsid w:val="000F09F2"/>
    <w:rsid w:val="000F0AF0"/>
    <w:rsid w:val="000F0B2B"/>
    <w:rsid w:val="000F0FA2"/>
    <w:rsid w:val="000F0FCF"/>
    <w:rsid w:val="000F1467"/>
    <w:rsid w:val="000F159C"/>
    <w:rsid w:val="000F164C"/>
    <w:rsid w:val="000F16EA"/>
    <w:rsid w:val="000F16FA"/>
    <w:rsid w:val="000F1752"/>
    <w:rsid w:val="000F1989"/>
    <w:rsid w:val="000F1A04"/>
    <w:rsid w:val="000F1AF5"/>
    <w:rsid w:val="000F1E79"/>
    <w:rsid w:val="000F2001"/>
    <w:rsid w:val="000F22D4"/>
    <w:rsid w:val="000F24E4"/>
    <w:rsid w:val="000F2A2E"/>
    <w:rsid w:val="000F2BBB"/>
    <w:rsid w:val="000F2F27"/>
    <w:rsid w:val="000F3121"/>
    <w:rsid w:val="000F3130"/>
    <w:rsid w:val="000F3781"/>
    <w:rsid w:val="000F37B9"/>
    <w:rsid w:val="000F396E"/>
    <w:rsid w:val="000F3AE4"/>
    <w:rsid w:val="000F3E30"/>
    <w:rsid w:val="000F3ED3"/>
    <w:rsid w:val="000F46E3"/>
    <w:rsid w:val="000F4AA2"/>
    <w:rsid w:val="000F4B27"/>
    <w:rsid w:val="000F4C30"/>
    <w:rsid w:val="000F4EDD"/>
    <w:rsid w:val="000F506D"/>
    <w:rsid w:val="000F5089"/>
    <w:rsid w:val="000F5241"/>
    <w:rsid w:val="000F5589"/>
    <w:rsid w:val="000F594B"/>
    <w:rsid w:val="000F5B05"/>
    <w:rsid w:val="000F5EE2"/>
    <w:rsid w:val="000F6393"/>
    <w:rsid w:val="000F63F5"/>
    <w:rsid w:val="000F640B"/>
    <w:rsid w:val="000F6486"/>
    <w:rsid w:val="000F667B"/>
    <w:rsid w:val="000F6EAB"/>
    <w:rsid w:val="000F73BA"/>
    <w:rsid w:val="000F7818"/>
    <w:rsid w:val="000F78BC"/>
    <w:rsid w:val="000F78D2"/>
    <w:rsid w:val="000F796B"/>
    <w:rsid w:val="000F7D8A"/>
    <w:rsid w:val="000F7F98"/>
    <w:rsid w:val="00100407"/>
    <w:rsid w:val="00100B55"/>
    <w:rsid w:val="0010101B"/>
    <w:rsid w:val="001010E5"/>
    <w:rsid w:val="00101191"/>
    <w:rsid w:val="001013F2"/>
    <w:rsid w:val="00101467"/>
    <w:rsid w:val="001014C2"/>
    <w:rsid w:val="001015A1"/>
    <w:rsid w:val="00101615"/>
    <w:rsid w:val="001017EC"/>
    <w:rsid w:val="00101915"/>
    <w:rsid w:val="00101DC9"/>
    <w:rsid w:val="00101E8F"/>
    <w:rsid w:val="00101EAC"/>
    <w:rsid w:val="00102052"/>
    <w:rsid w:val="0010228D"/>
    <w:rsid w:val="001022B2"/>
    <w:rsid w:val="001022E8"/>
    <w:rsid w:val="0010240E"/>
    <w:rsid w:val="001025B3"/>
    <w:rsid w:val="00102A3B"/>
    <w:rsid w:val="00102D7F"/>
    <w:rsid w:val="00102E5C"/>
    <w:rsid w:val="00102FF0"/>
    <w:rsid w:val="00103408"/>
    <w:rsid w:val="001034BF"/>
    <w:rsid w:val="00103717"/>
    <w:rsid w:val="001038FF"/>
    <w:rsid w:val="00103AC2"/>
    <w:rsid w:val="00103DF4"/>
    <w:rsid w:val="001041BB"/>
    <w:rsid w:val="0010422C"/>
    <w:rsid w:val="001044CF"/>
    <w:rsid w:val="0010473B"/>
    <w:rsid w:val="001049C5"/>
    <w:rsid w:val="00104AE9"/>
    <w:rsid w:val="00104B78"/>
    <w:rsid w:val="00104BA6"/>
    <w:rsid w:val="00104D8B"/>
    <w:rsid w:val="0010536F"/>
    <w:rsid w:val="00105D41"/>
    <w:rsid w:val="001065F5"/>
    <w:rsid w:val="00106608"/>
    <w:rsid w:val="001066B5"/>
    <w:rsid w:val="00106940"/>
    <w:rsid w:val="00106979"/>
    <w:rsid w:val="00106B81"/>
    <w:rsid w:val="0010725D"/>
    <w:rsid w:val="00107794"/>
    <w:rsid w:val="00107BC4"/>
    <w:rsid w:val="00110110"/>
    <w:rsid w:val="00110139"/>
    <w:rsid w:val="001104B6"/>
    <w:rsid w:val="001106F5"/>
    <w:rsid w:val="00110787"/>
    <w:rsid w:val="001108E7"/>
    <w:rsid w:val="00110B39"/>
    <w:rsid w:val="00110FB8"/>
    <w:rsid w:val="0011105F"/>
    <w:rsid w:val="001111F7"/>
    <w:rsid w:val="00111412"/>
    <w:rsid w:val="00111441"/>
    <w:rsid w:val="00111D9B"/>
    <w:rsid w:val="0011207F"/>
    <w:rsid w:val="00112368"/>
    <w:rsid w:val="0011268D"/>
    <w:rsid w:val="00112B19"/>
    <w:rsid w:val="00112D67"/>
    <w:rsid w:val="001131A8"/>
    <w:rsid w:val="00113A84"/>
    <w:rsid w:val="00113D71"/>
    <w:rsid w:val="00113EA9"/>
    <w:rsid w:val="00113F36"/>
    <w:rsid w:val="00113FA4"/>
    <w:rsid w:val="0011477C"/>
    <w:rsid w:val="00114B6A"/>
    <w:rsid w:val="0011506B"/>
    <w:rsid w:val="00115116"/>
    <w:rsid w:val="001154CF"/>
    <w:rsid w:val="00115691"/>
    <w:rsid w:val="0011576B"/>
    <w:rsid w:val="001157E1"/>
    <w:rsid w:val="00115E41"/>
    <w:rsid w:val="001160FB"/>
    <w:rsid w:val="001162B0"/>
    <w:rsid w:val="00116421"/>
    <w:rsid w:val="0011644B"/>
    <w:rsid w:val="001165BA"/>
    <w:rsid w:val="00116B18"/>
    <w:rsid w:val="00116BB9"/>
    <w:rsid w:val="00116EA7"/>
    <w:rsid w:val="0011719B"/>
    <w:rsid w:val="001172DB"/>
    <w:rsid w:val="001176BD"/>
    <w:rsid w:val="00117C75"/>
    <w:rsid w:val="00117DBF"/>
    <w:rsid w:val="00117ED3"/>
    <w:rsid w:val="001203ED"/>
    <w:rsid w:val="00120953"/>
    <w:rsid w:val="00120A5A"/>
    <w:rsid w:val="00120AC3"/>
    <w:rsid w:val="00120BB1"/>
    <w:rsid w:val="00120C6B"/>
    <w:rsid w:val="00120C9F"/>
    <w:rsid w:val="00121156"/>
    <w:rsid w:val="001211CC"/>
    <w:rsid w:val="001215CA"/>
    <w:rsid w:val="00121880"/>
    <w:rsid w:val="00121912"/>
    <w:rsid w:val="00121A75"/>
    <w:rsid w:val="00121C33"/>
    <w:rsid w:val="00121DBD"/>
    <w:rsid w:val="00122347"/>
    <w:rsid w:val="00122811"/>
    <w:rsid w:val="001233EC"/>
    <w:rsid w:val="00123490"/>
    <w:rsid w:val="0012359F"/>
    <w:rsid w:val="0012367C"/>
    <w:rsid w:val="00123736"/>
    <w:rsid w:val="001238EF"/>
    <w:rsid w:val="00123CEC"/>
    <w:rsid w:val="00123F21"/>
    <w:rsid w:val="001242EF"/>
    <w:rsid w:val="001243FE"/>
    <w:rsid w:val="001244A0"/>
    <w:rsid w:val="00124960"/>
    <w:rsid w:val="001249BF"/>
    <w:rsid w:val="00124AB8"/>
    <w:rsid w:val="00124C8B"/>
    <w:rsid w:val="00124FA5"/>
    <w:rsid w:val="0012527A"/>
    <w:rsid w:val="0012537E"/>
    <w:rsid w:val="0012566B"/>
    <w:rsid w:val="00125903"/>
    <w:rsid w:val="00125D4E"/>
    <w:rsid w:val="00125D85"/>
    <w:rsid w:val="00125DB4"/>
    <w:rsid w:val="00126623"/>
    <w:rsid w:val="0012671C"/>
    <w:rsid w:val="001267E6"/>
    <w:rsid w:val="00126815"/>
    <w:rsid w:val="00126A2D"/>
    <w:rsid w:val="00126C84"/>
    <w:rsid w:val="00126F11"/>
    <w:rsid w:val="00126FFF"/>
    <w:rsid w:val="00127055"/>
    <w:rsid w:val="001274C1"/>
    <w:rsid w:val="0012781E"/>
    <w:rsid w:val="00127999"/>
    <w:rsid w:val="00127A55"/>
    <w:rsid w:val="00127A60"/>
    <w:rsid w:val="00127AAF"/>
    <w:rsid w:val="00127BD6"/>
    <w:rsid w:val="00127C4C"/>
    <w:rsid w:val="00127DE5"/>
    <w:rsid w:val="00127E3B"/>
    <w:rsid w:val="001300BA"/>
    <w:rsid w:val="001301CE"/>
    <w:rsid w:val="00130288"/>
    <w:rsid w:val="001303F1"/>
    <w:rsid w:val="001305E1"/>
    <w:rsid w:val="00130A0E"/>
    <w:rsid w:val="00130D3A"/>
    <w:rsid w:val="00130DAD"/>
    <w:rsid w:val="00130DC0"/>
    <w:rsid w:val="00130EA3"/>
    <w:rsid w:val="00130FBD"/>
    <w:rsid w:val="00131239"/>
    <w:rsid w:val="0013135E"/>
    <w:rsid w:val="0013185C"/>
    <w:rsid w:val="00131EAE"/>
    <w:rsid w:val="00132901"/>
    <w:rsid w:val="00132A62"/>
    <w:rsid w:val="00132D27"/>
    <w:rsid w:val="00132FA1"/>
    <w:rsid w:val="0013351B"/>
    <w:rsid w:val="0013355F"/>
    <w:rsid w:val="001335D9"/>
    <w:rsid w:val="001336AB"/>
    <w:rsid w:val="00133898"/>
    <w:rsid w:val="001339A4"/>
    <w:rsid w:val="00133EDB"/>
    <w:rsid w:val="00133EF5"/>
    <w:rsid w:val="00134147"/>
    <w:rsid w:val="00134180"/>
    <w:rsid w:val="001342F5"/>
    <w:rsid w:val="00134517"/>
    <w:rsid w:val="00134917"/>
    <w:rsid w:val="00134AB3"/>
    <w:rsid w:val="00134C39"/>
    <w:rsid w:val="00134CF9"/>
    <w:rsid w:val="00134E93"/>
    <w:rsid w:val="00134FAD"/>
    <w:rsid w:val="00135145"/>
    <w:rsid w:val="001352CA"/>
    <w:rsid w:val="0013568A"/>
    <w:rsid w:val="0013572A"/>
    <w:rsid w:val="001357C6"/>
    <w:rsid w:val="0013581C"/>
    <w:rsid w:val="00135A47"/>
    <w:rsid w:val="00135E86"/>
    <w:rsid w:val="00135F0A"/>
    <w:rsid w:val="00136073"/>
    <w:rsid w:val="0013625F"/>
    <w:rsid w:val="001366BB"/>
    <w:rsid w:val="00136772"/>
    <w:rsid w:val="00136933"/>
    <w:rsid w:val="001369D3"/>
    <w:rsid w:val="00136A67"/>
    <w:rsid w:val="00136F06"/>
    <w:rsid w:val="00136F42"/>
    <w:rsid w:val="001375AC"/>
    <w:rsid w:val="00137977"/>
    <w:rsid w:val="00137A30"/>
    <w:rsid w:val="00137AAA"/>
    <w:rsid w:val="00137D12"/>
    <w:rsid w:val="00137E07"/>
    <w:rsid w:val="00137F23"/>
    <w:rsid w:val="0014016D"/>
    <w:rsid w:val="001403D2"/>
    <w:rsid w:val="00140611"/>
    <w:rsid w:val="0014099B"/>
    <w:rsid w:val="00140C71"/>
    <w:rsid w:val="00141272"/>
    <w:rsid w:val="00141360"/>
    <w:rsid w:val="00141431"/>
    <w:rsid w:val="0014143B"/>
    <w:rsid w:val="001415AE"/>
    <w:rsid w:val="00141E47"/>
    <w:rsid w:val="00141E6F"/>
    <w:rsid w:val="001426EA"/>
    <w:rsid w:val="00142A0D"/>
    <w:rsid w:val="00142A18"/>
    <w:rsid w:val="00142B06"/>
    <w:rsid w:val="00142B6F"/>
    <w:rsid w:val="00142CFD"/>
    <w:rsid w:val="00142DB0"/>
    <w:rsid w:val="00142DF6"/>
    <w:rsid w:val="00142ED7"/>
    <w:rsid w:val="00143329"/>
    <w:rsid w:val="0014346F"/>
    <w:rsid w:val="0014362F"/>
    <w:rsid w:val="001437DA"/>
    <w:rsid w:val="00143871"/>
    <w:rsid w:val="00143C16"/>
    <w:rsid w:val="00143E14"/>
    <w:rsid w:val="00143E1C"/>
    <w:rsid w:val="00144300"/>
    <w:rsid w:val="00144527"/>
    <w:rsid w:val="00144D9C"/>
    <w:rsid w:val="00144E05"/>
    <w:rsid w:val="00145059"/>
    <w:rsid w:val="001456EE"/>
    <w:rsid w:val="00145851"/>
    <w:rsid w:val="001458BF"/>
    <w:rsid w:val="00145A1A"/>
    <w:rsid w:val="00145ABA"/>
    <w:rsid w:val="00145B3A"/>
    <w:rsid w:val="0014623E"/>
    <w:rsid w:val="00146587"/>
    <w:rsid w:val="001465A7"/>
    <w:rsid w:val="001466A4"/>
    <w:rsid w:val="001467E2"/>
    <w:rsid w:val="00146FF0"/>
    <w:rsid w:val="001470A6"/>
    <w:rsid w:val="00147136"/>
    <w:rsid w:val="0014716A"/>
    <w:rsid w:val="001478DA"/>
    <w:rsid w:val="00147AC2"/>
    <w:rsid w:val="00147BEE"/>
    <w:rsid w:val="00150187"/>
    <w:rsid w:val="001501BD"/>
    <w:rsid w:val="00150325"/>
    <w:rsid w:val="001504FC"/>
    <w:rsid w:val="001505A6"/>
    <w:rsid w:val="00150642"/>
    <w:rsid w:val="00150853"/>
    <w:rsid w:val="00150AFF"/>
    <w:rsid w:val="00150CB7"/>
    <w:rsid w:val="0015133F"/>
    <w:rsid w:val="0015155E"/>
    <w:rsid w:val="001518A2"/>
    <w:rsid w:val="00151A01"/>
    <w:rsid w:val="00151BE9"/>
    <w:rsid w:val="00151C0D"/>
    <w:rsid w:val="00151C3C"/>
    <w:rsid w:val="00151C89"/>
    <w:rsid w:val="00152082"/>
    <w:rsid w:val="001524B8"/>
    <w:rsid w:val="00152533"/>
    <w:rsid w:val="00152564"/>
    <w:rsid w:val="001528D2"/>
    <w:rsid w:val="00152994"/>
    <w:rsid w:val="00152CEA"/>
    <w:rsid w:val="00152F8F"/>
    <w:rsid w:val="00153269"/>
    <w:rsid w:val="00153306"/>
    <w:rsid w:val="00153534"/>
    <w:rsid w:val="00153585"/>
    <w:rsid w:val="00153630"/>
    <w:rsid w:val="00153C07"/>
    <w:rsid w:val="00153C0E"/>
    <w:rsid w:val="00153C3A"/>
    <w:rsid w:val="001541DD"/>
    <w:rsid w:val="00154471"/>
    <w:rsid w:val="001544A5"/>
    <w:rsid w:val="00154648"/>
    <w:rsid w:val="0015468A"/>
    <w:rsid w:val="00154808"/>
    <w:rsid w:val="00154D96"/>
    <w:rsid w:val="00154DB5"/>
    <w:rsid w:val="00155027"/>
    <w:rsid w:val="001550EE"/>
    <w:rsid w:val="00155537"/>
    <w:rsid w:val="00155BFC"/>
    <w:rsid w:val="00155DB9"/>
    <w:rsid w:val="00155E6D"/>
    <w:rsid w:val="00155FCC"/>
    <w:rsid w:val="0015627C"/>
    <w:rsid w:val="00156296"/>
    <w:rsid w:val="00156315"/>
    <w:rsid w:val="00156339"/>
    <w:rsid w:val="0015670E"/>
    <w:rsid w:val="0015699E"/>
    <w:rsid w:val="00157A7D"/>
    <w:rsid w:val="00157D13"/>
    <w:rsid w:val="00157D3F"/>
    <w:rsid w:val="00157D59"/>
    <w:rsid w:val="001602BB"/>
    <w:rsid w:val="001607A0"/>
    <w:rsid w:val="001608CF"/>
    <w:rsid w:val="00160991"/>
    <w:rsid w:val="00160D84"/>
    <w:rsid w:val="00160E3D"/>
    <w:rsid w:val="00161017"/>
    <w:rsid w:val="00161224"/>
    <w:rsid w:val="00161945"/>
    <w:rsid w:val="001619CD"/>
    <w:rsid w:val="00161F39"/>
    <w:rsid w:val="001620D7"/>
    <w:rsid w:val="0016221D"/>
    <w:rsid w:val="001622F0"/>
    <w:rsid w:val="0016240F"/>
    <w:rsid w:val="00162529"/>
    <w:rsid w:val="00162563"/>
    <w:rsid w:val="00162924"/>
    <w:rsid w:val="00162AE7"/>
    <w:rsid w:val="00162B20"/>
    <w:rsid w:val="00162D5A"/>
    <w:rsid w:val="00162FFF"/>
    <w:rsid w:val="00163070"/>
    <w:rsid w:val="001631B6"/>
    <w:rsid w:val="001631CB"/>
    <w:rsid w:val="001632A2"/>
    <w:rsid w:val="0016333D"/>
    <w:rsid w:val="0016338F"/>
    <w:rsid w:val="00163515"/>
    <w:rsid w:val="001639AE"/>
    <w:rsid w:val="00163B25"/>
    <w:rsid w:val="00163D4A"/>
    <w:rsid w:val="00163F28"/>
    <w:rsid w:val="00163FD0"/>
    <w:rsid w:val="00164117"/>
    <w:rsid w:val="0016438C"/>
    <w:rsid w:val="001644A4"/>
    <w:rsid w:val="00164707"/>
    <w:rsid w:val="001647AA"/>
    <w:rsid w:val="0016483F"/>
    <w:rsid w:val="00164852"/>
    <w:rsid w:val="001648C2"/>
    <w:rsid w:val="00164A80"/>
    <w:rsid w:val="00164BFF"/>
    <w:rsid w:val="00164DD3"/>
    <w:rsid w:val="00165108"/>
    <w:rsid w:val="00165579"/>
    <w:rsid w:val="00165752"/>
    <w:rsid w:val="001659BF"/>
    <w:rsid w:val="00165AF4"/>
    <w:rsid w:val="00165BC7"/>
    <w:rsid w:val="00165FA8"/>
    <w:rsid w:val="001661BF"/>
    <w:rsid w:val="0016674D"/>
    <w:rsid w:val="00166EB7"/>
    <w:rsid w:val="00166F92"/>
    <w:rsid w:val="00167000"/>
    <w:rsid w:val="00167581"/>
    <w:rsid w:val="00167826"/>
    <w:rsid w:val="001679F8"/>
    <w:rsid w:val="00167C81"/>
    <w:rsid w:val="00167D3C"/>
    <w:rsid w:val="00167EE7"/>
    <w:rsid w:val="00167EF2"/>
    <w:rsid w:val="00170302"/>
    <w:rsid w:val="001705E4"/>
    <w:rsid w:val="001705FC"/>
    <w:rsid w:val="00170815"/>
    <w:rsid w:val="001708CA"/>
    <w:rsid w:val="0017095F"/>
    <w:rsid w:val="00170AD7"/>
    <w:rsid w:val="00170B57"/>
    <w:rsid w:val="00170CB6"/>
    <w:rsid w:val="00170DB7"/>
    <w:rsid w:val="0017111E"/>
    <w:rsid w:val="00171424"/>
    <w:rsid w:val="0017164D"/>
    <w:rsid w:val="0017257F"/>
    <w:rsid w:val="00172631"/>
    <w:rsid w:val="0017286C"/>
    <w:rsid w:val="00172889"/>
    <w:rsid w:val="00172D95"/>
    <w:rsid w:val="0017302E"/>
    <w:rsid w:val="0017307F"/>
    <w:rsid w:val="00173433"/>
    <w:rsid w:val="0017346B"/>
    <w:rsid w:val="001736BC"/>
    <w:rsid w:val="0017370D"/>
    <w:rsid w:val="00173AC0"/>
    <w:rsid w:val="0017415D"/>
    <w:rsid w:val="00174C01"/>
    <w:rsid w:val="00174C37"/>
    <w:rsid w:val="0017543B"/>
    <w:rsid w:val="001755BD"/>
    <w:rsid w:val="00175691"/>
    <w:rsid w:val="00175812"/>
    <w:rsid w:val="00175A64"/>
    <w:rsid w:val="00175BB4"/>
    <w:rsid w:val="001760FF"/>
    <w:rsid w:val="001761A6"/>
    <w:rsid w:val="00176228"/>
    <w:rsid w:val="001762AA"/>
    <w:rsid w:val="00176377"/>
    <w:rsid w:val="00176644"/>
    <w:rsid w:val="00176B90"/>
    <w:rsid w:val="00176BA4"/>
    <w:rsid w:val="00176C69"/>
    <w:rsid w:val="00176E8F"/>
    <w:rsid w:val="001770A1"/>
    <w:rsid w:val="001775D4"/>
    <w:rsid w:val="001777E7"/>
    <w:rsid w:val="0017793F"/>
    <w:rsid w:val="001779E9"/>
    <w:rsid w:val="00177F35"/>
    <w:rsid w:val="001804AF"/>
    <w:rsid w:val="001807C9"/>
    <w:rsid w:val="00180977"/>
    <w:rsid w:val="00180A4F"/>
    <w:rsid w:val="00181217"/>
    <w:rsid w:val="001812B0"/>
    <w:rsid w:val="001816B8"/>
    <w:rsid w:val="0018179E"/>
    <w:rsid w:val="0018184F"/>
    <w:rsid w:val="001818F5"/>
    <w:rsid w:val="00181A4A"/>
    <w:rsid w:val="00181AC4"/>
    <w:rsid w:val="00181C81"/>
    <w:rsid w:val="00181DA8"/>
    <w:rsid w:val="00181DFB"/>
    <w:rsid w:val="00181FB6"/>
    <w:rsid w:val="0018206F"/>
    <w:rsid w:val="00182243"/>
    <w:rsid w:val="001822B3"/>
    <w:rsid w:val="00182408"/>
    <w:rsid w:val="00182E93"/>
    <w:rsid w:val="00182F2C"/>
    <w:rsid w:val="00182F7C"/>
    <w:rsid w:val="00183091"/>
    <w:rsid w:val="001834AC"/>
    <w:rsid w:val="00183840"/>
    <w:rsid w:val="00183BDF"/>
    <w:rsid w:val="00183C31"/>
    <w:rsid w:val="00183EDB"/>
    <w:rsid w:val="00184171"/>
    <w:rsid w:val="001843FB"/>
    <w:rsid w:val="0018502E"/>
    <w:rsid w:val="001850D0"/>
    <w:rsid w:val="00185319"/>
    <w:rsid w:val="001856F8"/>
    <w:rsid w:val="00185BF8"/>
    <w:rsid w:val="00185C0C"/>
    <w:rsid w:val="00185C64"/>
    <w:rsid w:val="001861A5"/>
    <w:rsid w:val="00186309"/>
    <w:rsid w:val="00186AAB"/>
    <w:rsid w:val="00186FCC"/>
    <w:rsid w:val="0018701C"/>
    <w:rsid w:val="0018724C"/>
    <w:rsid w:val="001877EB"/>
    <w:rsid w:val="001879CD"/>
    <w:rsid w:val="00187BDC"/>
    <w:rsid w:val="00187C27"/>
    <w:rsid w:val="00187DBF"/>
    <w:rsid w:val="00190216"/>
    <w:rsid w:val="0019059F"/>
    <w:rsid w:val="00190AC7"/>
    <w:rsid w:val="00190C5C"/>
    <w:rsid w:val="00190F42"/>
    <w:rsid w:val="001911F9"/>
    <w:rsid w:val="00191597"/>
    <w:rsid w:val="00191B79"/>
    <w:rsid w:val="00191B8D"/>
    <w:rsid w:val="00191CD7"/>
    <w:rsid w:val="00192521"/>
    <w:rsid w:val="00192BC5"/>
    <w:rsid w:val="00192BCB"/>
    <w:rsid w:val="00192D8B"/>
    <w:rsid w:val="00193086"/>
    <w:rsid w:val="001932F1"/>
    <w:rsid w:val="00193704"/>
    <w:rsid w:val="001939A2"/>
    <w:rsid w:val="00193E8E"/>
    <w:rsid w:val="00194133"/>
    <w:rsid w:val="00194143"/>
    <w:rsid w:val="00194164"/>
    <w:rsid w:val="00194304"/>
    <w:rsid w:val="001943EB"/>
    <w:rsid w:val="001946D1"/>
    <w:rsid w:val="001949DB"/>
    <w:rsid w:val="00195288"/>
    <w:rsid w:val="001952AB"/>
    <w:rsid w:val="00195755"/>
    <w:rsid w:val="001957FE"/>
    <w:rsid w:val="00195938"/>
    <w:rsid w:val="00195C08"/>
    <w:rsid w:val="00195D74"/>
    <w:rsid w:val="00195DEC"/>
    <w:rsid w:val="001961EF"/>
    <w:rsid w:val="00196414"/>
    <w:rsid w:val="00196420"/>
    <w:rsid w:val="0019660A"/>
    <w:rsid w:val="00196DA1"/>
    <w:rsid w:val="00196DB9"/>
    <w:rsid w:val="00197275"/>
    <w:rsid w:val="00197613"/>
    <w:rsid w:val="001976BF"/>
    <w:rsid w:val="0019774E"/>
    <w:rsid w:val="001977E0"/>
    <w:rsid w:val="001977E1"/>
    <w:rsid w:val="0019782E"/>
    <w:rsid w:val="00197D3D"/>
    <w:rsid w:val="00197FB1"/>
    <w:rsid w:val="001A017E"/>
    <w:rsid w:val="001A0615"/>
    <w:rsid w:val="001A068F"/>
    <w:rsid w:val="001A06C1"/>
    <w:rsid w:val="001A09B2"/>
    <w:rsid w:val="001A0EC2"/>
    <w:rsid w:val="001A133D"/>
    <w:rsid w:val="001A1387"/>
    <w:rsid w:val="001A15D2"/>
    <w:rsid w:val="001A193B"/>
    <w:rsid w:val="001A1B43"/>
    <w:rsid w:val="001A1C08"/>
    <w:rsid w:val="001A1CB2"/>
    <w:rsid w:val="001A1CBB"/>
    <w:rsid w:val="001A1CD5"/>
    <w:rsid w:val="001A22D8"/>
    <w:rsid w:val="001A2429"/>
    <w:rsid w:val="001A2BAA"/>
    <w:rsid w:val="001A2E8A"/>
    <w:rsid w:val="001A2F66"/>
    <w:rsid w:val="001A3415"/>
    <w:rsid w:val="001A3775"/>
    <w:rsid w:val="001A38A9"/>
    <w:rsid w:val="001A3925"/>
    <w:rsid w:val="001A3A7B"/>
    <w:rsid w:val="001A3C29"/>
    <w:rsid w:val="001A3D42"/>
    <w:rsid w:val="001A40B8"/>
    <w:rsid w:val="001A42A0"/>
    <w:rsid w:val="001A43EF"/>
    <w:rsid w:val="001A4629"/>
    <w:rsid w:val="001A462E"/>
    <w:rsid w:val="001A469D"/>
    <w:rsid w:val="001A4740"/>
    <w:rsid w:val="001A47D7"/>
    <w:rsid w:val="001A493A"/>
    <w:rsid w:val="001A4C86"/>
    <w:rsid w:val="001A5712"/>
    <w:rsid w:val="001A5885"/>
    <w:rsid w:val="001A5A05"/>
    <w:rsid w:val="001A5B94"/>
    <w:rsid w:val="001A5EE0"/>
    <w:rsid w:val="001A6426"/>
    <w:rsid w:val="001A6B91"/>
    <w:rsid w:val="001A72D2"/>
    <w:rsid w:val="001A7683"/>
    <w:rsid w:val="001A76D0"/>
    <w:rsid w:val="001A7E42"/>
    <w:rsid w:val="001B02AE"/>
    <w:rsid w:val="001B085B"/>
    <w:rsid w:val="001B099E"/>
    <w:rsid w:val="001B09F2"/>
    <w:rsid w:val="001B12B2"/>
    <w:rsid w:val="001B12D4"/>
    <w:rsid w:val="001B1474"/>
    <w:rsid w:val="001B17BF"/>
    <w:rsid w:val="001B1DC8"/>
    <w:rsid w:val="001B2102"/>
    <w:rsid w:val="001B2146"/>
    <w:rsid w:val="001B21CF"/>
    <w:rsid w:val="001B2346"/>
    <w:rsid w:val="001B249E"/>
    <w:rsid w:val="001B2801"/>
    <w:rsid w:val="001B2849"/>
    <w:rsid w:val="001B31E4"/>
    <w:rsid w:val="001B3490"/>
    <w:rsid w:val="001B355F"/>
    <w:rsid w:val="001B35A2"/>
    <w:rsid w:val="001B373F"/>
    <w:rsid w:val="001B3759"/>
    <w:rsid w:val="001B38E6"/>
    <w:rsid w:val="001B3A04"/>
    <w:rsid w:val="001B3ABD"/>
    <w:rsid w:val="001B3B51"/>
    <w:rsid w:val="001B3BFD"/>
    <w:rsid w:val="001B3C5C"/>
    <w:rsid w:val="001B3F5A"/>
    <w:rsid w:val="001B400B"/>
    <w:rsid w:val="001B4164"/>
    <w:rsid w:val="001B43A9"/>
    <w:rsid w:val="001B4A09"/>
    <w:rsid w:val="001B4C0E"/>
    <w:rsid w:val="001B4F0E"/>
    <w:rsid w:val="001B4FF7"/>
    <w:rsid w:val="001B5070"/>
    <w:rsid w:val="001B52F2"/>
    <w:rsid w:val="001B5800"/>
    <w:rsid w:val="001B5916"/>
    <w:rsid w:val="001B5960"/>
    <w:rsid w:val="001B5973"/>
    <w:rsid w:val="001B5D61"/>
    <w:rsid w:val="001B61FE"/>
    <w:rsid w:val="001B631B"/>
    <w:rsid w:val="001B64C1"/>
    <w:rsid w:val="001B661E"/>
    <w:rsid w:val="001B68B7"/>
    <w:rsid w:val="001B6EDE"/>
    <w:rsid w:val="001B7071"/>
    <w:rsid w:val="001B75EE"/>
    <w:rsid w:val="001C012E"/>
    <w:rsid w:val="001C0334"/>
    <w:rsid w:val="001C03B6"/>
    <w:rsid w:val="001C05BF"/>
    <w:rsid w:val="001C06B4"/>
    <w:rsid w:val="001C095D"/>
    <w:rsid w:val="001C0CAF"/>
    <w:rsid w:val="001C0E42"/>
    <w:rsid w:val="001C10C0"/>
    <w:rsid w:val="001C1437"/>
    <w:rsid w:val="001C15C6"/>
    <w:rsid w:val="001C16F0"/>
    <w:rsid w:val="001C174D"/>
    <w:rsid w:val="001C1BA5"/>
    <w:rsid w:val="001C1C0E"/>
    <w:rsid w:val="001C1D76"/>
    <w:rsid w:val="001C1E1D"/>
    <w:rsid w:val="001C2018"/>
    <w:rsid w:val="001C24AE"/>
    <w:rsid w:val="001C2664"/>
    <w:rsid w:val="001C2AB2"/>
    <w:rsid w:val="001C2D66"/>
    <w:rsid w:val="001C324E"/>
    <w:rsid w:val="001C34DC"/>
    <w:rsid w:val="001C373E"/>
    <w:rsid w:val="001C378C"/>
    <w:rsid w:val="001C3A54"/>
    <w:rsid w:val="001C3AB4"/>
    <w:rsid w:val="001C3BC3"/>
    <w:rsid w:val="001C3C88"/>
    <w:rsid w:val="001C3F15"/>
    <w:rsid w:val="001C3F21"/>
    <w:rsid w:val="001C40B0"/>
    <w:rsid w:val="001C4184"/>
    <w:rsid w:val="001C4332"/>
    <w:rsid w:val="001C45D2"/>
    <w:rsid w:val="001C468E"/>
    <w:rsid w:val="001C47B5"/>
    <w:rsid w:val="001C47FA"/>
    <w:rsid w:val="001C4931"/>
    <w:rsid w:val="001C4946"/>
    <w:rsid w:val="001C4982"/>
    <w:rsid w:val="001C4A63"/>
    <w:rsid w:val="001C4B3C"/>
    <w:rsid w:val="001C4D5E"/>
    <w:rsid w:val="001C53E3"/>
    <w:rsid w:val="001C570A"/>
    <w:rsid w:val="001C58AC"/>
    <w:rsid w:val="001C5BFE"/>
    <w:rsid w:val="001C5F74"/>
    <w:rsid w:val="001C682F"/>
    <w:rsid w:val="001C6934"/>
    <w:rsid w:val="001C6C4E"/>
    <w:rsid w:val="001C6E28"/>
    <w:rsid w:val="001C6EDA"/>
    <w:rsid w:val="001C73AC"/>
    <w:rsid w:val="001C7413"/>
    <w:rsid w:val="001C747B"/>
    <w:rsid w:val="001C756F"/>
    <w:rsid w:val="001C768B"/>
    <w:rsid w:val="001C7739"/>
    <w:rsid w:val="001C7770"/>
    <w:rsid w:val="001C79FB"/>
    <w:rsid w:val="001C7A7B"/>
    <w:rsid w:val="001D0042"/>
    <w:rsid w:val="001D0085"/>
    <w:rsid w:val="001D038A"/>
    <w:rsid w:val="001D0417"/>
    <w:rsid w:val="001D0563"/>
    <w:rsid w:val="001D064A"/>
    <w:rsid w:val="001D0A7F"/>
    <w:rsid w:val="001D0B43"/>
    <w:rsid w:val="001D0C5F"/>
    <w:rsid w:val="001D1365"/>
    <w:rsid w:val="001D16D4"/>
    <w:rsid w:val="001D1A75"/>
    <w:rsid w:val="001D1B26"/>
    <w:rsid w:val="001D1BD3"/>
    <w:rsid w:val="001D1BEF"/>
    <w:rsid w:val="001D1C93"/>
    <w:rsid w:val="001D1D5B"/>
    <w:rsid w:val="001D1EB2"/>
    <w:rsid w:val="001D1F31"/>
    <w:rsid w:val="001D23B5"/>
    <w:rsid w:val="001D28B0"/>
    <w:rsid w:val="001D29BB"/>
    <w:rsid w:val="001D2AE4"/>
    <w:rsid w:val="001D2D59"/>
    <w:rsid w:val="001D2F31"/>
    <w:rsid w:val="001D2FAA"/>
    <w:rsid w:val="001D3068"/>
    <w:rsid w:val="001D30D9"/>
    <w:rsid w:val="001D31CD"/>
    <w:rsid w:val="001D323B"/>
    <w:rsid w:val="001D363E"/>
    <w:rsid w:val="001D40E4"/>
    <w:rsid w:val="001D430B"/>
    <w:rsid w:val="001D47C8"/>
    <w:rsid w:val="001D4F0C"/>
    <w:rsid w:val="001D50D6"/>
    <w:rsid w:val="001D514D"/>
    <w:rsid w:val="001D52A8"/>
    <w:rsid w:val="001D5431"/>
    <w:rsid w:val="001D545D"/>
    <w:rsid w:val="001D575C"/>
    <w:rsid w:val="001D57AA"/>
    <w:rsid w:val="001D58BE"/>
    <w:rsid w:val="001D592D"/>
    <w:rsid w:val="001D5ADB"/>
    <w:rsid w:val="001D5CF4"/>
    <w:rsid w:val="001D5F96"/>
    <w:rsid w:val="001D62AF"/>
    <w:rsid w:val="001D6336"/>
    <w:rsid w:val="001D656D"/>
    <w:rsid w:val="001D6754"/>
    <w:rsid w:val="001D68D6"/>
    <w:rsid w:val="001D6AAE"/>
    <w:rsid w:val="001D6B36"/>
    <w:rsid w:val="001D6F1A"/>
    <w:rsid w:val="001D7058"/>
    <w:rsid w:val="001D73AD"/>
    <w:rsid w:val="001D7A33"/>
    <w:rsid w:val="001D7AB3"/>
    <w:rsid w:val="001D7CD4"/>
    <w:rsid w:val="001D7DE0"/>
    <w:rsid w:val="001D7F05"/>
    <w:rsid w:val="001D7F25"/>
    <w:rsid w:val="001E0083"/>
    <w:rsid w:val="001E02C6"/>
    <w:rsid w:val="001E095E"/>
    <w:rsid w:val="001E0A74"/>
    <w:rsid w:val="001E0AAD"/>
    <w:rsid w:val="001E0D1D"/>
    <w:rsid w:val="001E0E26"/>
    <w:rsid w:val="001E1105"/>
    <w:rsid w:val="001E1559"/>
    <w:rsid w:val="001E1D2A"/>
    <w:rsid w:val="001E1E4C"/>
    <w:rsid w:val="001E1EDB"/>
    <w:rsid w:val="001E2028"/>
    <w:rsid w:val="001E2154"/>
    <w:rsid w:val="001E2284"/>
    <w:rsid w:val="001E23AF"/>
    <w:rsid w:val="001E2702"/>
    <w:rsid w:val="001E2C42"/>
    <w:rsid w:val="001E2C71"/>
    <w:rsid w:val="001E2CF8"/>
    <w:rsid w:val="001E2D03"/>
    <w:rsid w:val="001E37E0"/>
    <w:rsid w:val="001E3808"/>
    <w:rsid w:val="001E3FE8"/>
    <w:rsid w:val="001E435C"/>
    <w:rsid w:val="001E495A"/>
    <w:rsid w:val="001E4A20"/>
    <w:rsid w:val="001E4C28"/>
    <w:rsid w:val="001E4FDD"/>
    <w:rsid w:val="001E5565"/>
    <w:rsid w:val="001E5859"/>
    <w:rsid w:val="001E5A38"/>
    <w:rsid w:val="001E5FEE"/>
    <w:rsid w:val="001E6414"/>
    <w:rsid w:val="001E6A77"/>
    <w:rsid w:val="001E6B98"/>
    <w:rsid w:val="001E6DEF"/>
    <w:rsid w:val="001E6E40"/>
    <w:rsid w:val="001E73FA"/>
    <w:rsid w:val="001E758D"/>
    <w:rsid w:val="001E7F4B"/>
    <w:rsid w:val="001F00EE"/>
    <w:rsid w:val="001F0147"/>
    <w:rsid w:val="001F04D8"/>
    <w:rsid w:val="001F05C4"/>
    <w:rsid w:val="001F0733"/>
    <w:rsid w:val="001F08F0"/>
    <w:rsid w:val="001F09F1"/>
    <w:rsid w:val="001F09FB"/>
    <w:rsid w:val="001F0E5A"/>
    <w:rsid w:val="001F0E9E"/>
    <w:rsid w:val="001F14E7"/>
    <w:rsid w:val="001F1546"/>
    <w:rsid w:val="001F172B"/>
    <w:rsid w:val="001F1766"/>
    <w:rsid w:val="001F17A1"/>
    <w:rsid w:val="001F18CF"/>
    <w:rsid w:val="001F1A52"/>
    <w:rsid w:val="001F1D82"/>
    <w:rsid w:val="001F2034"/>
    <w:rsid w:val="001F220E"/>
    <w:rsid w:val="001F277E"/>
    <w:rsid w:val="001F2ADE"/>
    <w:rsid w:val="001F2CEF"/>
    <w:rsid w:val="001F2EE7"/>
    <w:rsid w:val="001F2FD4"/>
    <w:rsid w:val="001F327C"/>
    <w:rsid w:val="001F3765"/>
    <w:rsid w:val="001F388F"/>
    <w:rsid w:val="001F3A88"/>
    <w:rsid w:val="001F3F25"/>
    <w:rsid w:val="001F3F8C"/>
    <w:rsid w:val="001F4069"/>
    <w:rsid w:val="001F423E"/>
    <w:rsid w:val="001F4457"/>
    <w:rsid w:val="001F4670"/>
    <w:rsid w:val="001F5598"/>
    <w:rsid w:val="001F5AB8"/>
    <w:rsid w:val="001F5C75"/>
    <w:rsid w:val="001F5F42"/>
    <w:rsid w:val="001F608C"/>
    <w:rsid w:val="001F60C5"/>
    <w:rsid w:val="001F615B"/>
    <w:rsid w:val="001F68CF"/>
    <w:rsid w:val="001F68E6"/>
    <w:rsid w:val="001F6957"/>
    <w:rsid w:val="001F69F2"/>
    <w:rsid w:val="001F6A58"/>
    <w:rsid w:val="001F6CCB"/>
    <w:rsid w:val="001F6D8A"/>
    <w:rsid w:val="001F6E16"/>
    <w:rsid w:val="001F73C5"/>
    <w:rsid w:val="001F76E7"/>
    <w:rsid w:val="001F7763"/>
    <w:rsid w:val="001F78EC"/>
    <w:rsid w:val="001F7A7B"/>
    <w:rsid w:val="001F7ACD"/>
    <w:rsid w:val="001F7C4E"/>
    <w:rsid w:val="001F7D71"/>
    <w:rsid w:val="001F7F20"/>
    <w:rsid w:val="002003CF"/>
    <w:rsid w:val="00200427"/>
    <w:rsid w:val="00200637"/>
    <w:rsid w:val="00200C5D"/>
    <w:rsid w:val="00200DAA"/>
    <w:rsid w:val="002010C6"/>
    <w:rsid w:val="00201371"/>
    <w:rsid w:val="0020139D"/>
    <w:rsid w:val="0020160F"/>
    <w:rsid w:val="00201748"/>
    <w:rsid w:val="002019C0"/>
    <w:rsid w:val="00201AE7"/>
    <w:rsid w:val="00202154"/>
    <w:rsid w:val="002023B3"/>
    <w:rsid w:val="00202626"/>
    <w:rsid w:val="00202AAD"/>
    <w:rsid w:val="00203129"/>
    <w:rsid w:val="002032E4"/>
    <w:rsid w:val="002033A8"/>
    <w:rsid w:val="00203DAE"/>
    <w:rsid w:val="00203EAB"/>
    <w:rsid w:val="0020400E"/>
    <w:rsid w:val="002040C2"/>
    <w:rsid w:val="00204104"/>
    <w:rsid w:val="002044D1"/>
    <w:rsid w:val="00204566"/>
    <w:rsid w:val="002047C4"/>
    <w:rsid w:val="00204BB3"/>
    <w:rsid w:val="0020513E"/>
    <w:rsid w:val="00205293"/>
    <w:rsid w:val="002053E3"/>
    <w:rsid w:val="0020564B"/>
    <w:rsid w:val="00205B2D"/>
    <w:rsid w:val="002060A1"/>
    <w:rsid w:val="0020621F"/>
    <w:rsid w:val="00206531"/>
    <w:rsid w:val="0020674E"/>
    <w:rsid w:val="00206EF9"/>
    <w:rsid w:val="0020725A"/>
    <w:rsid w:val="00207540"/>
    <w:rsid w:val="00207572"/>
    <w:rsid w:val="002076EE"/>
    <w:rsid w:val="00207995"/>
    <w:rsid w:val="00207CA5"/>
    <w:rsid w:val="00210476"/>
    <w:rsid w:val="002106C0"/>
    <w:rsid w:val="00210882"/>
    <w:rsid w:val="00210935"/>
    <w:rsid w:val="00210A10"/>
    <w:rsid w:val="00210A9C"/>
    <w:rsid w:val="00210B25"/>
    <w:rsid w:val="00210F26"/>
    <w:rsid w:val="00210FE5"/>
    <w:rsid w:val="00211217"/>
    <w:rsid w:val="00211724"/>
    <w:rsid w:val="00211916"/>
    <w:rsid w:val="00211D4A"/>
    <w:rsid w:val="00211E43"/>
    <w:rsid w:val="0021216D"/>
    <w:rsid w:val="00212280"/>
    <w:rsid w:val="0021242A"/>
    <w:rsid w:val="00212466"/>
    <w:rsid w:val="002127F7"/>
    <w:rsid w:val="00212817"/>
    <w:rsid w:val="002128DF"/>
    <w:rsid w:val="00212942"/>
    <w:rsid w:val="00212C38"/>
    <w:rsid w:val="0021300A"/>
    <w:rsid w:val="00213146"/>
    <w:rsid w:val="00213182"/>
    <w:rsid w:val="0021320F"/>
    <w:rsid w:val="00213387"/>
    <w:rsid w:val="00213734"/>
    <w:rsid w:val="0021386E"/>
    <w:rsid w:val="002139FD"/>
    <w:rsid w:val="00213BA7"/>
    <w:rsid w:val="00213D05"/>
    <w:rsid w:val="00213EC1"/>
    <w:rsid w:val="00213F12"/>
    <w:rsid w:val="00213F78"/>
    <w:rsid w:val="0021438B"/>
    <w:rsid w:val="00214B18"/>
    <w:rsid w:val="00214B6C"/>
    <w:rsid w:val="00214E6F"/>
    <w:rsid w:val="002150ED"/>
    <w:rsid w:val="002151F5"/>
    <w:rsid w:val="00215387"/>
    <w:rsid w:val="002153CC"/>
    <w:rsid w:val="00215887"/>
    <w:rsid w:val="00215DEA"/>
    <w:rsid w:val="002161D0"/>
    <w:rsid w:val="00216ACA"/>
    <w:rsid w:val="00216C27"/>
    <w:rsid w:val="00216C85"/>
    <w:rsid w:val="00217496"/>
    <w:rsid w:val="00217AB6"/>
    <w:rsid w:val="0022000B"/>
    <w:rsid w:val="002200FE"/>
    <w:rsid w:val="002201C2"/>
    <w:rsid w:val="00220370"/>
    <w:rsid w:val="002207F8"/>
    <w:rsid w:val="002207FE"/>
    <w:rsid w:val="00220976"/>
    <w:rsid w:val="00220E68"/>
    <w:rsid w:val="00221800"/>
    <w:rsid w:val="002218AC"/>
    <w:rsid w:val="00221A5C"/>
    <w:rsid w:val="00221D9E"/>
    <w:rsid w:val="00221E33"/>
    <w:rsid w:val="00221ED1"/>
    <w:rsid w:val="00222080"/>
    <w:rsid w:val="00222134"/>
    <w:rsid w:val="002223B1"/>
    <w:rsid w:val="00222CF5"/>
    <w:rsid w:val="00223193"/>
    <w:rsid w:val="002239D7"/>
    <w:rsid w:val="00223FD4"/>
    <w:rsid w:val="002241DB"/>
    <w:rsid w:val="00224240"/>
    <w:rsid w:val="0022442C"/>
    <w:rsid w:val="00224456"/>
    <w:rsid w:val="002245BC"/>
    <w:rsid w:val="00224776"/>
    <w:rsid w:val="002248D9"/>
    <w:rsid w:val="002252B9"/>
    <w:rsid w:val="002253D7"/>
    <w:rsid w:val="0022598A"/>
    <w:rsid w:val="002259B4"/>
    <w:rsid w:val="00225B62"/>
    <w:rsid w:val="00225BF7"/>
    <w:rsid w:val="00225C51"/>
    <w:rsid w:val="00225D96"/>
    <w:rsid w:val="0022632F"/>
    <w:rsid w:val="00226553"/>
    <w:rsid w:val="002267A2"/>
    <w:rsid w:val="002267E5"/>
    <w:rsid w:val="00226944"/>
    <w:rsid w:val="00226951"/>
    <w:rsid w:val="00226F8B"/>
    <w:rsid w:val="0022702E"/>
    <w:rsid w:val="00227070"/>
    <w:rsid w:val="0022727D"/>
    <w:rsid w:val="002272ED"/>
    <w:rsid w:val="00227724"/>
    <w:rsid w:val="0022787C"/>
    <w:rsid w:val="00227AE3"/>
    <w:rsid w:val="00227B5A"/>
    <w:rsid w:val="00227C4D"/>
    <w:rsid w:val="00227E02"/>
    <w:rsid w:val="00230209"/>
    <w:rsid w:val="0023025A"/>
    <w:rsid w:val="002303FA"/>
    <w:rsid w:val="002304BD"/>
    <w:rsid w:val="00230815"/>
    <w:rsid w:val="0023099F"/>
    <w:rsid w:val="002313BD"/>
    <w:rsid w:val="00231526"/>
    <w:rsid w:val="002316BF"/>
    <w:rsid w:val="002316D1"/>
    <w:rsid w:val="00231CE3"/>
    <w:rsid w:val="00231D4A"/>
    <w:rsid w:val="00231EE5"/>
    <w:rsid w:val="00232100"/>
    <w:rsid w:val="00232172"/>
    <w:rsid w:val="00232670"/>
    <w:rsid w:val="00232B57"/>
    <w:rsid w:val="002334BF"/>
    <w:rsid w:val="002337BB"/>
    <w:rsid w:val="002337ED"/>
    <w:rsid w:val="0023384A"/>
    <w:rsid w:val="00233880"/>
    <w:rsid w:val="002339B0"/>
    <w:rsid w:val="00233DC7"/>
    <w:rsid w:val="00234105"/>
    <w:rsid w:val="00234215"/>
    <w:rsid w:val="0023422E"/>
    <w:rsid w:val="00234721"/>
    <w:rsid w:val="00234C95"/>
    <w:rsid w:val="00234D9F"/>
    <w:rsid w:val="00234F3E"/>
    <w:rsid w:val="0023535D"/>
    <w:rsid w:val="0023544D"/>
    <w:rsid w:val="002357C1"/>
    <w:rsid w:val="00235A30"/>
    <w:rsid w:val="00235B06"/>
    <w:rsid w:val="00235BC3"/>
    <w:rsid w:val="00235CA5"/>
    <w:rsid w:val="00235DAC"/>
    <w:rsid w:val="00235E50"/>
    <w:rsid w:val="00235E7B"/>
    <w:rsid w:val="00235E84"/>
    <w:rsid w:val="00236067"/>
    <w:rsid w:val="002362DA"/>
    <w:rsid w:val="002364DC"/>
    <w:rsid w:val="0023654A"/>
    <w:rsid w:val="00236787"/>
    <w:rsid w:val="00236BA9"/>
    <w:rsid w:val="00236CC5"/>
    <w:rsid w:val="00237308"/>
    <w:rsid w:val="0023749B"/>
    <w:rsid w:val="00237680"/>
    <w:rsid w:val="00237694"/>
    <w:rsid w:val="002378A6"/>
    <w:rsid w:val="002378D3"/>
    <w:rsid w:val="00237BAA"/>
    <w:rsid w:val="00237C9E"/>
    <w:rsid w:val="00240291"/>
    <w:rsid w:val="002407D6"/>
    <w:rsid w:val="00240966"/>
    <w:rsid w:val="00240D8B"/>
    <w:rsid w:val="0024121A"/>
    <w:rsid w:val="002415F6"/>
    <w:rsid w:val="002419E0"/>
    <w:rsid w:val="00242183"/>
    <w:rsid w:val="00242453"/>
    <w:rsid w:val="00242470"/>
    <w:rsid w:val="00242596"/>
    <w:rsid w:val="00242669"/>
    <w:rsid w:val="002426EE"/>
    <w:rsid w:val="002427F6"/>
    <w:rsid w:val="002428E7"/>
    <w:rsid w:val="00242A55"/>
    <w:rsid w:val="00242DA9"/>
    <w:rsid w:val="00242E40"/>
    <w:rsid w:val="00243116"/>
    <w:rsid w:val="0024374B"/>
    <w:rsid w:val="002437B7"/>
    <w:rsid w:val="002439AE"/>
    <w:rsid w:val="0024400A"/>
    <w:rsid w:val="0024410C"/>
    <w:rsid w:val="0024423A"/>
    <w:rsid w:val="00244283"/>
    <w:rsid w:val="0024442D"/>
    <w:rsid w:val="00244449"/>
    <w:rsid w:val="0024468E"/>
    <w:rsid w:val="0024472A"/>
    <w:rsid w:val="00244AC6"/>
    <w:rsid w:val="00244B32"/>
    <w:rsid w:val="00245385"/>
    <w:rsid w:val="00245480"/>
    <w:rsid w:val="00245554"/>
    <w:rsid w:val="00245675"/>
    <w:rsid w:val="002456EA"/>
    <w:rsid w:val="0024575A"/>
    <w:rsid w:val="0024576A"/>
    <w:rsid w:val="002459B9"/>
    <w:rsid w:val="002460A9"/>
    <w:rsid w:val="00246117"/>
    <w:rsid w:val="002464BC"/>
    <w:rsid w:val="002464C2"/>
    <w:rsid w:val="0024664C"/>
    <w:rsid w:val="00246755"/>
    <w:rsid w:val="002469C4"/>
    <w:rsid w:val="00246E39"/>
    <w:rsid w:val="00246EDF"/>
    <w:rsid w:val="00246F61"/>
    <w:rsid w:val="00246FC3"/>
    <w:rsid w:val="0024706B"/>
    <w:rsid w:val="002470C7"/>
    <w:rsid w:val="00247169"/>
    <w:rsid w:val="00247339"/>
    <w:rsid w:val="00247579"/>
    <w:rsid w:val="002476B6"/>
    <w:rsid w:val="00247779"/>
    <w:rsid w:val="00247A7B"/>
    <w:rsid w:val="00247CEC"/>
    <w:rsid w:val="00247DA5"/>
    <w:rsid w:val="00247F6D"/>
    <w:rsid w:val="00250020"/>
    <w:rsid w:val="002502DC"/>
    <w:rsid w:val="002502DE"/>
    <w:rsid w:val="002507BD"/>
    <w:rsid w:val="0025092B"/>
    <w:rsid w:val="00250981"/>
    <w:rsid w:val="00250AA7"/>
    <w:rsid w:val="00250B21"/>
    <w:rsid w:val="002510B4"/>
    <w:rsid w:val="00251116"/>
    <w:rsid w:val="002513C9"/>
    <w:rsid w:val="002514E5"/>
    <w:rsid w:val="00251967"/>
    <w:rsid w:val="00251A65"/>
    <w:rsid w:val="002523CC"/>
    <w:rsid w:val="00252501"/>
    <w:rsid w:val="00252821"/>
    <w:rsid w:val="00252A10"/>
    <w:rsid w:val="00252B1F"/>
    <w:rsid w:val="002533D7"/>
    <w:rsid w:val="0025366D"/>
    <w:rsid w:val="00253C57"/>
    <w:rsid w:val="00253DD6"/>
    <w:rsid w:val="00253E01"/>
    <w:rsid w:val="00254072"/>
    <w:rsid w:val="00254610"/>
    <w:rsid w:val="0025469A"/>
    <w:rsid w:val="0025479B"/>
    <w:rsid w:val="00254C69"/>
    <w:rsid w:val="00254C8A"/>
    <w:rsid w:val="00254D1C"/>
    <w:rsid w:val="002550E9"/>
    <w:rsid w:val="00255A5F"/>
    <w:rsid w:val="00255B40"/>
    <w:rsid w:val="00255C95"/>
    <w:rsid w:val="002560B6"/>
    <w:rsid w:val="002565BE"/>
    <w:rsid w:val="002567A2"/>
    <w:rsid w:val="002568A9"/>
    <w:rsid w:val="00256B43"/>
    <w:rsid w:val="00256B49"/>
    <w:rsid w:val="00256F3B"/>
    <w:rsid w:val="002573F0"/>
    <w:rsid w:val="00257B19"/>
    <w:rsid w:val="00257EB8"/>
    <w:rsid w:val="00257EE9"/>
    <w:rsid w:val="00257F2A"/>
    <w:rsid w:val="00260083"/>
    <w:rsid w:val="00260480"/>
    <w:rsid w:val="002606CA"/>
    <w:rsid w:val="00260B0D"/>
    <w:rsid w:val="0026116D"/>
    <w:rsid w:val="002614F3"/>
    <w:rsid w:val="00261A5E"/>
    <w:rsid w:val="00261CD7"/>
    <w:rsid w:val="00261EEC"/>
    <w:rsid w:val="002620C1"/>
    <w:rsid w:val="00262954"/>
    <w:rsid w:val="00262A86"/>
    <w:rsid w:val="00262BDA"/>
    <w:rsid w:val="00262D3E"/>
    <w:rsid w:val="00262D94"/>
    <w:rsid w:val="00262F78"/>
    <w:rsid w:val="00263386"/>
    <w:rsid w:val="00263620"/>
    <w:rsid w:val="002637BD"/>
    <w:rsid w:val="00263941"/>
    <w:rsid w:val="00263DAF"/>
    <w:rsid w:val="00263EA3"/>
    <w:rsid w:val="00264138"/>
    <w:rsid w:val="0026444B"/>
    <w:rsid w:val="002646CE"/>
    <w:rsid w:val="00264785"/>
    <w:rsid w:val="002648D3"/>
    <w:rsid w:val="00264907"/>
    <w:rsid w:val="00264FA8"/>
    <w:rsid w:val="00265364"/>
    <w:rsid w:val="002654A2"/>
    <w:rsid w:val="002654CA"/>
    <w:rsid w:val="00265588"/>
    <w:rsid w:val="002659F8"/>
    <w:rsid w:val="00265E15"/>
    <w:rsid w:val="00265E1C"/>
    <w:rsid w:val="00265EDB"/>
    <w:rsid w:val="00266391"/>
    <w:rsid w:val="00266BB1"/>
    <w:rsid w:val="00266BDB"/>
    <w:rsid w:val="002670C4"/>
    <w:rsid w:val="0026759D"/>
    <w:rsid w:val="00267605"/>
    <w:rsid w:val="00267676"/>
    <w:rsid w:val="002677FD"/>
    <w:rsid w:val="0026783D"/>
    <w:rsid w:val="00267AFE"/>
    <w:rsid w:val="002700CD"/>
    <w:rsid w:val="00270168"/>
    <w:rsid w:val="00270272"/>
    <w:rsid w:val="002707F9"/>
    <w:rsid w:val="0027092D"/>
    <w:rsid w:val="0027094C"/>
    <w:rsid w:val="00270B91"/>
    <w:rsid w:val="00270B9C"/>
    <w:rsid w:val="00270BEC"/>
    <w:rsid w:val="00270D5C"/>
    <w:rsid w:val="00270DF9"/>
    <w:rsid w:val="00270F56"/>
    <w:rsid w:val="00271B64"/>
    <w:rsid w:val="00271C93"/>
    <w:rsid w:val="002720A5"/>
    <w:rsid w:val="002723EE"/>
    <w:rsid w:val="0027245C"/>
    <w:rsid w:val="00272545"/>
    <w:rsid w:val="002725F3"/>
    <w:rsid w:val="00272892"/>
    <w:rsid w:val="00272907"/>
    <w:rsid w:val="00272A01"/>
    <w:rsid w:val="00272F6E"/>
    <w:rsid w:val="0027344B"/>
    <w:rsid w:val="00273702"/>
    <w:rsid w:val="002738FA"/>
    <w:rsid w:val="00273C64"/>
    <w:rsid w:val="00274054"/>
    <w:rsid w:val="00274085"/>
    <w:rsid w:val="0027424E"/>
    <w:rsid w:val="00274702"/>
    <w:rsid w:val="00274D0A"/>
    <w:rsid w:val="00274E04"/>
    <w:rsid w:val="00274E7F"/>
    <w:rsid w:val="00274EDA"/>
    <w:rsid w:val="002751B9"/>
    <w:rsid w:val="002754B6"/>
    <w:rsid w:val="002754C3"/>
    <w:rsid w:val="00275663"/>
    <w:rsid w:val="00275937"/>
    <w:rsid w:val="00275B7B"/>
    <w:rsid w:val="00275C68"/>
    <w:rsid w:val="00275DAF"/>
    <w:rsid w:val="00275F46"/>
    <w:rsid w:val="00276115"/>
    <w:rsid w:val="00276190"/>
    <w:rsid w:val="002762F6"/>
    <w:rsid w:val="002764E7"/>
    <w:rsid w:val="00276884"/>
    <w:rsid w:val="00276890"/>
    <w:rsid w:val="002768C5"/>
    <w:rsid w:val="00276F99"/>
    <w:rsid w:val="002771F3"/>
    <w:rsid w:val="0027728F"/>
    <w:rsid w:val="00277344"/>
    <w:rsid w:val="002773DA"/>
    <w:rsid w:val="00277466"/>
    <w:rsid w:val="0027759B"/>
    <w:rsid w:val="002775B0"/>
    <w:rsid w:val="00277624"/>
    <w:rsid w:val="0027770C"/>
    <w:rsid w:val="00277995"/>
    <w:rsid w:val="002779D0"/>
    <w:rsid w:val="00277C26"/>
    <w:rsid w:val="00277E11"/>
    <w:rsid w:val="00277EE2"/>
    <w:rsid w:val="00277EE6"/>
    <w:rsid w:val="0028004C"/>
    <w:rsid w:val="0028042F"/>
    <w:rsid w:val="002808CA"/>
    <w:rsid w:val="00280CE4"/>
    <w:rsid w:val="00280E76"/>
    <w:rsid w:val="0028120F"/>
    <w:rsid w:val="00281338"/>
    <w:rsid w:val="0028150B"/>
    <w:rsid w:val="00281ADE"/>
    <w:rsid w:val="00281B55"/>
    <w:rsid w:val="0028203C"/>
    <w:rsid w:val="002820AA"/>
    <w:rsid w:val="00282985"/>
    <w:rsid w:val="00282A45"/>
    <w:rsid w:val="00282AEE"/>
    <w:rsid w:val="00282BB0"/>
    <w:rsid w:val="00282D36"/>
    <w:rsid w:val="00282DF2"/>
    <w:rsid w:val="00283135"/>
    <w:rsid w:val="0028318E"/>
    <w:rsid w:val="0028346C"/>
    <w:rsid w:val="0028391A"/>
    <w:rsid w:val="00283AE1"/>
    <w:rsid w:val="00283BEA"/>
    <w:rsid w:val="0028423B"/>
    <w:rsid w:val="002844F6"/>
    <w:rsid w:val="00284551"/>
    <w:rsid w:val="00284B82"/>
    <w:rsid w:val="00284CC1"/>
    <w:rsid w:val="00284D11"/>
    <w:rsid w:val="00285109"/>
    <w:rsid w:val="00285204"/>
    <w:rsid w:val="00285BEE"/>
    <w:rsid w:val="00285EFF"/>
    <w:rsid w:val="00286007"/>
    <w:rsid w:val="0028617C"/>
    <w:rsid w:val="002864DD"/>
    <w:rsid w:val="00286911"/>
    <w:rsid w:val="0028694B"/>
    <w:rsid w:val="002873E2"/>
    <w:rsid w:val="0028759D"/>
    <w:rsid w:val="0028761A"/>
    <w:rsid w:val="002878AF"/>
    <w:rsid w:val="00287AA5"/>
    <w:rsid w:val="00287E0B"/>
    <w:rsid w:val="00287F05"/>
    <w:rsid w:val="00290066"/>
    <w:rsid w:val="0029012B"/>
    <w:rsid w:val="002908E0"/>
    <w:rsid w:val="00290AD4"/>
    <w:rsid w:val="00290C65"/>
    <w:rsid w:val="00290C6A"/>
    <w:rsid w:val="00291322"/>
    <w:rsid w:val="002913A0"/>
    <w:rsid w:val="0029146B"/>
    <w:rsid w:val="002915DD"/>
    <w:rsid w:val="00291D76"/>
    <w:rsid w:val="0029249E"/>
    <w:rsid w:val="0029272D"/>
    <w:rsid w:val="00292783"/>
    <w:rsid w:val="002927F8"/>
    <w:rsid w:val="00292972"/>
    <w:rsid w:val="00292AB9"/>
    <w:rsid w:val="00292F2F"/>
    <w:rsid w:val="00292FB1"/>
    <w:rsid w:val="0029308E"/>
    <w:rsid w:val="00293194"/>
    <w:rsid w:val="00293546"/>
    <w:rsid w:val="002936A8"/>
    <w:rsid w:val="00294562"/>
    <w:rsid w:val="00294676"/>
    <w:rsid w:val="00294A1C"/>
    <w:rsid w:val="00294A26"/>
    <w:rsid w:val="00294B69"/>
    <w:rsid w:val="00294C15"/>
    <w:rsid w:val="002951D4"/>
    <w:rsid w:val="0029533F"/>
    <w:rsid w:val="00295350"/>
    <w:rsid w:val="002954A1"/>
    <w:rsid w:val="00295BF3"/>
    <w:rsid w:val="00295C0E"/>
    <w:rsid w:val="00295CAF"/>
    <w:rsid w:val="00295D1B"/>
    <w:rsid w:val="0029633B"/>
    <w:rsid w:val="002964F2"/>
    <w:rsid w:val="00296A04"/>
    <w:rsid w:val="00296A65"/>
    <w:rsid w:val="00296B3B"/>
    <w:rsid w:val="00296C71"/>
    <w:rsid w:val="00296F7A"/>
    <w:rsid w:val="00297024"/>
    <w:rsid w:val="00297070"/>
    <w:rsid w:val="002972DD"/>
    <w:rsid w:val="00297919"/>
    <w:rsid w:val="00297922"/>
    <w:rsid w:val="00297BA0"/>
    <w:rsid w:val="00297D64"/>
    <w:rsid w:val="00297EE1"/>
    <w:rsid w:val="002A038F"/>
    <w:rsid w:val="002A047C"/>
    <w:rsid w:val="002A0979"/>
    <w:rsid w:val="002A0A08"/>
    <w:rsid w:val="002A0C38"/>
    <w:rsid w:val="002A1163"/>
    <w:rsid w:val="002A182E"/>
    <w:rsid w:val="002A1A62"/>
    <w:rsid w:val="002A2090"/>
    <w:rsid w:val="002A216C"/>
    <w:rsid w:val="002A22B1"/>
    <w:rsid w:val="002A22F6"/>
    <w:rsid w:val="002A2D91"/>
    <w:rsid w:val="002A2E26"/>
    <w:rsid w:val="002A31CB"/>
    <w:rsid w:val="002A3393"/>
    <w:rsid w:val="002A3A7B"/>
    <w:rsid w:val="002A3D7E"/>
    <w:rsid w:val="002A3EC4"/>
    <w:rsid w:val="002A3F5D"/>
    <w:rsid w:val="002A40A2"/>
    <w:rsid w:val="002A41F3"/>
    <w:rsid w:val="002A4286"/>
    <w:rsid w:val="002A44EC"/>
    <w:rsid w:val="002A46F2"/>
    <w:rsid w:val="002A4C40"/>
    <w:rsid w:val="002A4F5D"/>
    <w:rsid w:val="002A5005"/>
    <w:rsid w:val="002A50E4"/>
    <w:rsid w:val="002A5192"/>
    <w:rsid w:val="002A51C8"/>
    <w:rsid w:val="002A54DE"/>
    <w:rsid w:val="002A5619"/>
    <w:rsid w:val="002A577C"/>
    <w:rsid w:val="002A5B55"/>
    <w:rsid w:val="002A5BEE"/>
    <w:rsid w:val="002A5C9B"/>
    <w:rsid w:val="002A661D"/>
    <w:rsid w:val="002A70D1"/>
    <w:rsid w:val="002A7A21"/>
    <w:rsid w:val="002A7A98"/>
    <w:rsid w:val="002A7D28"/>
    <w:rsid w:val="002A7DE6"/>
    <w:rsid w:val="002A7E36"/>
    <w:rsid w:val="002B03A7"/>
    <w:rsid w:val="002B0946"/>
    <w:rsid w:val="002B0991"/>
    <w:rsid w:val="002B0AAA"/>
    <w:rsid w:val="002B0EB3"/>
    <w:rsid w:val="002B0FD4"/>
    <w:rsid w:val="002B1207"/>
    <w:rsid w:val="002B12A3"/>
    <w:rsid w:val="002B1461"/>
    <w:rsid w:val="002B1559"/>
    <w:rsid w:val="002B171D"/>
    <w:rsid w:val="002B1A53"/>
    <w:rsid w:val="002B1A8A"/>
    <w:rsid w:val="002B1D92"/>
    <w:rsid w:val="002B1E33"/>
    <w:rsid w:val="002B2685"/>
    <w:rsid w:val="002B26DE"/>
    <w:rsid w:val="002B2867"/>
    <w:rsid w:val="002B2CFF"/>
    <w:rsid w:val="002B2D19"/>
    <w:rsid w:val="002B30AF"/>
    <w:rsid w:val="002B33F7"/>
    <w:rsid w:val="002B36E1"/>
    <w:rsid w:val="002B37AB"/>
    <w:rsid w:val="002B37CE"/>
    <w:rsid w:val="002B3899"/>
    <w:rsid w:val="002B3905"/>
    <w:rsid w:val="002B3BAF"/>
    <w:rsid w:val="002B3BC1"/>
    <w:rsid w:val="002B3D4C"/>
    <w:rsid w:val="002B3E24"/>
    <w:rsid w:val="002B3E71"/>
    <w:rsid w:val="002B3F0F"/>
    <w:rsid w:val="002B46CB"/>
    <w:rsid w:val="002B47A1"/>
    <w:rsid w:val="002B49B9"/>
    <w:rsid w:val="002B4B16"/>
    <w:rsid w:val="002B5A53"/>
    <w:rsid w:val="002B5B90"/>
    <w:rsid w:val="002B5F27"/>
    <w:rsid w:val="002B6550"/>
    <w:rsid w:val="002B659C"/>
    <w:rsid w:val="002B6E1F"/>
    <w:rsid w:val="002B7012"/>
    <w:rsid w:val="002B701E"/>
    <w:rsid w:val="002B7212"/>
    <w:rsid w:val="002B7415"/>
    <w:rsid w:val="002B7977"/>
    <w:rsid w:val="002B7CAD"/>
    <w:rsid w:val="002B7CB3"/>
    <w:rsid w:val="002B7D4C"/>
    <w:rsid w:val="002B7FEB"/>
    <w:rsid w:val="002C0677"/>
    <w:rsid w:val="002C0E34"/>
    <w:rsid w:val="002C0F9E"/>
    <w:rsid w:val="002C1523"/>
    <w:rsid w:val="002C178D"/>
    <w:rsid w:val="002C188C"/>
    <w:rsid w:val="002C1895"/>
    <w:rsid w:val="002C1CE4"/>
    <w:rsid w:val="002C1D26"/>
    <w:rsid w:val="002C1DBF"/>
    <w:rsid w:val="002C1FC8"/>
    <w:rsid w:val="002C230C"/>
    <w:rsid w:val="002C24E5"/>
    <w:rsid w:val="002C2687"/>
    <w:rsid w:val="002C26DD"/>
    <w:rsid w:val="002C28B6"/>
    <w:rsid w:val="002C2B69"/>
    <w:rsid w:val="002C2F3A"/>
    <w:rsid w:val="002C318A"/>
    <w:rsid w:val="002C31FC"/>
    <w:rsid w:val="002C3235"/>
    <w:rsid w:val="002C335E"/>
    <w:rsid w:val="002C34C6"/>
    <w:rsid w:val="002C354F"/>
    <w:rsid w:val="002C35A9"/>
    <w:rsid w:val="002C360F"/>
    <w:rsid w:val="002C36A1"/>
    <w:rsid w:val="002C3C8A"/>
    <w:rsid w:val="002C3D32"/>
    <w:rsid w:val="002C3DD4"/>
    <w:rsid w:val="002C403E"/>
    <w:rsid w:val="002C404E"/>
    <w:rsid w:val="002C4273"/>
    <w:rsid w:val="002C4349"/>
    <w:rsid w:val="002C4941"/>
    <w:rsid w:val="002C497C"/>
    <w:rsid w:val="002C4A64"/>
    <w:rsid w:val="002C4A6B"/>
    <w:rsid w:val="002C4B16"/>
    <w:rsid w:val="002C4C9C"/>
    <w:rsid w:val="002C4CCF"/>
    <w:rsid w:val="002C4DBF"/>
    <w:rsid w:val="002C4FF6"/>
    <w:rsid w:val="002C50D5"/>
    <w:rsid w:val="002C51BC"/>
    <w:rsid w:val="002C52FA"/>
    <w:rsid w:val="002C536F"/>
    <w:rsid w:val="002C586F"/>
    <w:rsid w:val="002C5C9D"/>
    <w:rsid w:val="002C5CCE"/>
    <w:rsid w:val="002C6833"/>
    <w:rsid w:val="002C6AC9"/>
    <w:rsid w:val="002C6E39"/>
    <w:rsid w:val="002C7890"/>
    <w:rsid w:val="002C78ED"/>
    <w:rsid w:val="002C796E"/>
    <w:rsid w:val="002C7EA8"/>
    <w:rsid w:val="002D008E"/>
    <w:rsid w:val="002D0275"/>
    <w:rsid w:val="002D0546"/>
    <w:rsid w:val="002D0A77"/>
    <w:rsid w:val="002D0B87"/>
    <w:rsid w:val="002D0C29"/>
    <w:rsid w:val="002D0C9F"/>
    <w:rsid w:val="002D0E31"/>
    <w:rsid w:val="002D0F20"/>
    <w:rsid w:val="002D1175"/>
    <w:rsid w:val="002D1651"/>
    <w:rsid w:val="002D17DC"/>
    <w:rsid w:val="002D1FE0"/>
    <w:rsid w:val="002D1FEA"/>
    <w:rsid w:val="002D2148"/>
    <w:rsid w:val="002D2176"/>
    <w:rsid w:val="002D2526"/>
    <w:rsid w:val="002D2598"/>
    <w:rsid w:val="002D265F"/>
    <w:rsid w:val="002D26CC"/>
    <w:rsid w:val="002D2D60"/>
    <w:rsid w:val="002D2F04"/>
    <w:rsid w:val="002D2FAA"/>
    <w:rsid w:val="002D30B9"/>
    <w:rsid w:val="002D32E5"/>
    <w:rsid w:val="002D3636"/>
    <w:rsid w:val="002D36E7"/>
    <w:rsid w:val="002D37F1"/>
    <w:rsid w:val="002D3CE3"/>
    <w:rsid w:val="002D3D0F"/>
    <w:rsid w:val="002D3F63"/>
    <w:rsid w:val="002D45A5"/>
    <w:rsid w:val="002D467F"/>
    <w:rsid w:val="002D474E"/>
    <w:rsid w:val="002D47A6"/>
    <w:rsid w:val="002D484F"/>
    <w:rsid w:val="002D4891"/>
    <w:rsid w:val="002D4B9F"/>
    <w:rsid w:val="002D506D"/>
    <w:rsid w:val="002D53FC"/>
    <w:rsid w:val="002D5490"/>
    <w:rsid w:val="002D5498"/>
    <w:rsid w:val="002D552E"/>
    <w:rsid w:val="002D5552"/>
    <w:rsid w:val="002D5636"/>
    <w:rsid w:val="002D5961"/>
    <w:rsid w:val="002D5D4A"/>
    <w:rsid w:val="002D63BD"/>
    <w:rsid w:val="002D686E"/>
    <w:rsid w:val="002D6AD6"/>
    <w:rsid w:val="002D7377"/>
    <w:rsid w:val="002D75D3"/>
    <w:rsid w:val="002D7CE4"/>
    <w:rsid w:val="002D7D51"/>
    <w:rsid w:val="002E09AF"/>
    <w:rsid w:val="002E0AE2"/>
    <w:rsid w:val="002E0E12"/>
    <w:rsid w:val="002E0E35"/>
    <w:rsid w:val="002E0FDC"/>
    <w:rsid w:val="002E103C"/>
    <w:rsid w:val="002E1238"/>
    <w:rsid w:val="002E14B2"/>
    <w:rsid w:val="002E1648"/>
    <w:rsid w:val="002E1786"/>
    <w:rsid w:val="002E1AD8"/>
    <w:rsid w:val="002E1B76"/>
    <w:rsid w:val="002E1BB8"/>
    <w:rsid w:val="002E1C39"/>
    <w:rsid w:val="002E1E0A"/>
    <w:rsid w:val="002E1EBB"/>
    <w:rsid w:val="002E1EDE"/>
    <w:rsid w:val="002E21E9"/>
    <w:rsid w:val="002E2306"/>
    <w:rsid w:val="002E26C2"/>
    <w:rsid w:val="002E2B4F"/>
    <w:rsid w:val="002E2D90"/>
    <w:rsid w:val="002E2ECE"/>
    <w:rsid w:val="002E3569"/>
    <w:rsid w:val="002E3A77"/>
    <w:rsid w:val="002E3B56"/>
    <w:rsid w:val="002E3EE8"/>
    <w:rsid w:val="002E4461"/>
    <w:rsid w:val="002E4981"/>
    <w:rsid w:val="002E4EC3"/>
    <w:rsid w:val="002E4F31"/>
    <w:rsid w:val="002E53A0"/>
    <w:rsid w:val="002E550A"/>
    <w:rsid w:val="002E56D7"/>
    <w:rsid w:val="002E5C6C"/>
    <w:rsid w:val="002E5F73"/>
    <w:rsid w:val="002E62AA"/>
    <w:rsid w:val="002E6556"/>
    <w:rsid w:val="002E6A3D"/>
    <w:rsid w:val="002E6A63"/>
    <w:rsid w:val="002E6DDD"/>
    <w:rsid w:val="002E6E08"/>
    <w:rsid w:val="002E6EF5"/>
    <w:rsid w:val="002E72B4"/>
    <w:rsid w:val="002E72FA"/>
    <w:rsid w:val="002E73B7"/>
    <w:rsid w:val="002E7930"/>
    <w:rsid w:val="002E7D7F"/>
    <w:rsid w:val="002E7E0D"/>
    <w:rsid w:val="002F0317"/>
    <w:rsid w:val="002F032C"/>
    <w:rsid w:val="002F0540"/>
    <w:rsid w:val="002F061B"/>
    <w:rsid w:val="002F0900"/>
    <w:rsid w:val="002F0D21"/>
    <w:rsid w:val="002F0DB9"/>
    <w:rsid w:val="002F0FC8"/>
    <w:rsid w:val="002F1531"/>
    <w:rsid w:val="002F1798"/>
    <w:rsid w:val="002F1890"/>
    <w:rsid w:val="002F1A2C"/>
    <w:rsid w:val="002F1C41"/>
    <w:rsid w:val="002F1C64"/>
    <w:rsid w:val="002F1CC9"/>
    <w:rsid w:val="002F1EA2"/>
    <w:rsid w:val="002F1EA5"/>
    <w:rsid w:val="002F21AE"/>
    <w:rsid w:val="002F2403"/>
    <w:rsid w:val="002F2488"/>
    <w:rsid w:val="002F25C8"/>
    <w:rsid w:val="002F2A2D"/>
    <w:rsid w:val="002F2F61"/>
    <w:rsid w:val="002F31BE"/>
    <w:rsid w:val="002F3259"/>
    <w:rsid w:val="002F3277"/>
    <w:rsid w:val="002F34CB"/>
    <w:rsid w:val="002F3529"/>
    <w:rsid w:val="002F3677"/>
    <w:rsid w:val="002F380A"/>
    <w:rsid w:val="002F3C0F"/>
    <w:rsid w:val="002F3C6E"/>
    <w:rsid w:val="002F41CD"/>
    <w:rsid w:val="002F41D2"/>
    <w:rsid w:val="002F4521"/>
    <w:rsid w:val="002F4688"/>
    <w:rsid w:val="002F479F"/>
    <w:rsid w:val="002F4956"/>
    <w:rsid w:val="002F4BB0"/>
    <w:rsid w:val="002F4F2A"/>
    <w:rsid w:val="002F5577"/>
    <w:rsid w:val="002F5A90"/>
    <w:rsid w:val="002F5AF4"/>
    <w:rsid w:val="002F5B41"/>
    <w:rsid w:val="002F5DC0"/>
    <w:rsid w:val="002F5E6C"/>
    <w:rsid w:val="002F5F1A"/>
    <w:rsid w:val="002F5FC2"/>
    <w:rsid w:val="002F636B"/>
    <w:rsid w:val="002F636F"/>
    <w:rsid w:val="002F63DC"/>
    <w:rsid w:val="002F66FE"/>
    <w:rsid w:val="002F684F"/>
    <w:rsid w:val="002F69BC"/>
    <w:rsid w:val="002F7197"/>
    <w:rsid w:val="002F71EB"/>
    <w:rsid w:val="002F722A"/>
    <w:rsid w:val="002F72D4"/>
    <w:rsid w:val="002F7488"/>
    <w:rsid w:val="002F7808"/>
    <w:rsid w:val="002F7B0D"/>
    <w:rsid w:val="002F7B52"/>
    <w:rsid w:val="002F7D6D"/>
    <w:rsid w:val="0030031E"/>
    <w:rsid w:val="003003CC"/>
    <w:rsid w:val="003005C2"/>
    <w:rsid w:val="003008D2"/>
    <w:rsid w:val="00300922"/>
    <w:rsid w:val="00300B6C"/>
    <w:rsid w:val="00300D30"/>
    <w:rsid w:val="00301177"/>
    <w:rsid w:val="00301359"/>
    <w:rsid w:val="003018AA"/>
    <w:rsid w:val="00301C6C"/>
    <w:rsid w:val="0030247E"/>
    <w:rsid w:val="00302499"/>
    <w:rsid w:val="00302A22"/>
    <w:rsid w:val="00302A37"/>
    <w:rsid w:val="00302B61"/>
    <w:rsid w:val="0030303B"/>
    <w:rsid w:val="00303294"/>
    <w:rsid w:val="00303309"/>
    <w:rsid w:val="003033BB"/>
    <w:rsid w:val="003035B3"/>
    <w:rsid w:val="00303717"/>
    <w:rsid w:val="003037AF"/>
    <w:rsid w:val="00303F4C"/>
    <w:rsid w:val="00304230"/>
    <w:rsid w:val="003042C4"/>
    <w:rsid w:val="00304572"/>
    <w:rsid w:val="0030461A"/>
    <w:rsid w:val="0030485C"/>
    <w:rsid w:val="00304992"/>
    <w:rsid w:val="00304A69"/>
    <w:rsid w:val="00304B1D"/>
    <w:rsid w:val="00304B2F"/>
    <w:rsid w:val="00304B54"/>
    <w:rsid w:val="00304C23"/>
    <w:rsid w:val="00304DA2"/>
    <w:rsid w:val="00304E0F"/>
    <w:rsid w:val="003053AA"/>
    <w:rsid w:val="003056CA"/>
    <w:rsid w:val="003058DF"/>
    <w:rsid w:val="00305962"/>
    <w:rsid w:val="00305DBD"/>
    <w:rsid w:val="00305FB9"/>
    <w:rsid w:val="003061AE"/>
    <w:rsid w:val="00306466"/>
    <w:rsid w:val="00306709"/>
    <w:rsid w:val="003069D5"/>
    <w:rsid w:val="00306B51"/>
    <w:rsid w:val="00306CE7"/>
    <w:rsid w:val="003070BB"/>
    <w:rsid w:val="00307134"/>
    <w:rsid w:val="003073DC"/>
    <w:rsid w:val="003076AE"/>
    <w:rsid w:val="003076D9"/>
    <w:rsid w:val="0030772F"/>
    <w:rsid w:val="00307823"/>
    <w:rsid w:val="00307B5E"/>
    <w:rsid w:val="003100E2"/>
    <w:rsid w:val="0031025B"/>
    <w:rsid w:val="003103F7"/>
    <w:rsid w:val="00310457"/>
    <w:rsid w:val="0031059D"/>
    <w:rsid w:val="00310624"/>
    <w:rsid w:val="003106F6"/>
    <w:rsid w:val="00310E6D"/>
    <w:rsid w:val="00310EBE"/>
    <w:rsid w:val="00310F68"/>
    <w:rsid w:val="00311177"/>
    <w:rsid w:val="003111BA"/>
    <w:rsid w:val="003111BD"/>
    <w:rsid w:val="00311240"/>
    <w:rsid w:val="0031147C"/>
    <w:rsid w:val="003115C4"/>
    <w:rsid w:val="003117D4"/>
    <w:rsid w:val="00311E1C"/>
    <w:rsid w:val="00311E99"/>
    <w:rsid w:val="00311F10"/>
    <w:rsid w:val="0031212A"/>
    <w:rsid w:val="003125D7"/>
    <w:rsid w:val="003126B9"/>
    <w:rsid w:val="00312A1F"/>
    <w:rsid w:val="00312BAD"/>
    <w:rsid w:val="00312CF6"/>
    <w:rsid w:val="00312ED0"/>
    <w:rsid w:val="00312F28"/>
    <w:rsid w:val="003130B2"/>
    <w:rsid w:val="00313535"/>
    <w:rsid w:val="00313798"/>
    <w:rsid w:val="00313A98"/>
    <w:rsid w:val="003146B1"/>
    <w:rsid w:val="003147D4"/>
    <w:rsid w:val="003147F0"/>
    <w:rsid w:val="00314A28"/>
    <w:rsid w:val="00314D5A"/>
    <w:rsid w:val="00314F47"/>
    <w:rsid w:val="003151E0"/>
    <w:rsid w:val="003153FE"/>
    <w:rsid w:val="003158D8"/>
    <w:rsid w:val="003159E7"/>
    <w:rsid w:val="00315F7E"/>
    <w:rsid w:val="00316008"/>
    <w:rsid w:val="00316293"/>
    <w:rsid w:val="003166C1"/>
    <w:rsid w:val="003168EB"/>
    <w:rsid w:val="00316930"/>
    <w:rsid w:val="00316C0A"/>
    <w:rsid w:val="00316ED6"/>
    <w:rsid w:val="00317138"/>
    <w:rsid w:val="003176F5"/>
    <w:rsid w:val="003178F4"/>
    <w:rsid w:val="00317B26"/>
    <w:rsid w:val="00317DCE"/>
    <w:rsid w:val="00317FCF"/>
    <w:rsid w:val="003204A1"/>
    <w:rsid w:val="00320592"/>
    <w:rsid w:val="00320704"/>
    <w:rsid w:val="0032077D"/>
    <w:rsid w:val="00320878"/>
    <w:rsid w:val="0032089D"/>
    <w:rsid w:val="003208B1"/>
    <w:rsid w:val="00320DF3"/>
    <w:rsid w:val="00320EFB"/>
    <w:rsid w:val="00320FAF"/>
    <w:rsid w:val="0032133B"/>
    <w:rsid w:val="00321496"/>
    <w:rsid w:val="0032162D"/>
    <w:rsid w:val="00321850"/>
    <w:rsid w:val="00321A52"/>
    <w:rsid w:val="003223A8"/>
    <w:rsid w:val="0032242A"/>
    <w:rsid w:val="00322666"/>
    <w:rsid w:val="003229C6"/>
    <w:rsid w:val="003229CD"/>
    <w:rsid w:val="00322AD5"/>
    <w:rsid w:val="00322C6E"/>
    <w:rsid w:val="00322E52"/>
    <w:rsid w:val="00322F58"/>
    <w:rsid w:val="00323217"/>
    <w:rsid w:val="0032335E"/>
    <w:rsid w:val="0032340A"/>
    <w:rsid w:val="00323464"/>
    <w:rsid w:val="0032347F"/>
    <w:rsid w:val="00323D30"/>
    <w:rsid w:val="00324057"/>
    <w:rsid w:val="00324572"/>
    <w:rsid w:val="00325020"/>
    <w:rsid w:val="003250EB"/>
    <w:rsid w:val="00325471"/>
    <w:rsid w:val="0032579E"/>
    <w:rsid w:val="003258E2"/>
    <w:rsid w:val="00325B52"/>
    <w:rsid w:val="00325CC3"/>
    <w:rsid w:val="00326068"/>
    <w:rsid w:val="003262F7"/>
    <w:rsid w:val="003264A0"/>
    <w:rsid w:val="00326783"/>
    <w:rsid w:val="00326B8E"/>
    <w:rsid w:val="00326CB6"/>
    <w:rsid w:val="00326E8F"/>
    <w:rsid w:val="00326FA4"/>
    <w:rsid w:val="00326FE1"/>
    <w:rsid w:val="003270F4"/>
    <w:rsid w:val="003273DF"/>
    <w:rsid w:val="0032773F"/>
    <w:rsid w:val="003277EC"/>
    <w:rsid w:val="00327ADA"/>
    <w:rsid w:val="00327AE9"/>
    <w:rsid w:val="00327C43"/>
    <w:rsid w:val="00327C7F"/>
    <w:rsid w:val="00327EF1"/>
    <w:rsid w:val="00327F1C"/>
    <w:rsid w:val="00327F7B"/>
    <w:rsid w:val="0033033D"/>
    <w:rsid w:val="0033034F"/>
    <w:rsid w:val="00330487"/>
    <w:rsid w:val="003304A2"/>
    <w:rsid w:val="00330DB4"/>
    <w:rsid w:val="00330E50"/>
    <w:rsid w:val="003311ED"/>
    <w:rsid w:val="00331535"/>
    <w:rsid w:val="00331DB3"/>
    <w:rsid w:val="00331DEE"/>
    <w:rsid w:val="00331E4F"/>
    <w:rsid w:val="00331E81"/>
    <w:rsid w:val="00332152"/>
    <w:rsid w:val="00332712"/>
    <w:rsid w:val="0033288C"/>
    <w:rsid w:val="00332964"/>
    <w:rsid w:val="003329DC"/>
    <w:rsid w:val="00332D16"/>
    <w:rsid w:val="00332DB5"/>
    <w:rsid w:val="00332F38"/>
    <w:rsid w:val="003333C0"/>
    <w:rsid w:val="003333EB"/>
    <w:rsid w:val="0033344A"/>
    <w:rsid w:val="0033354C"/>
    <w:rsid w:val="00333625"/>
    <w:rsid w:val="003337BB"/>
    <w:rsid w:val="00333857"/>
    <w:rsid w:val="00333B80"/>
    <w:rsid w:val="00333CB7"/>
    <w:rsid w:val="003345A3"/>
    <w:rsid w:val="003347A7"/>
    <w:rsid w:val="0033480C"/>
    <w:rsid w:val="003348CA"/>
    <w:rsid w:val="00334961"/>
    <w:rsid w:val="003349C5"/>
    <w:rsid w:val="00334D34"/>
    <w:rsid w:val="00334F03"/>
    <w:rsid w:val="0033508C"/>
    <w:rsid w:val="0033516A"/>
    <w:rsid w:val="00335465"/>
    <w:rsid w:val="003358C0"/>
    <w:rsid w:val="00335A8B"/>
    <w:rsid w:val="00335B6A"/>
    <w:rsid w:val="00335E6A"/>
    <w:rsid w:val="00335F0B"/>
    <w:rsid w:val="00336076"/>
    <w:rsid w:val="00336719"/>
    <w:rsid w:val="003367F9"/>
    <w:rsid w:val="00336826"/>
    <w:rsid w:val="0033687C"/>
    <w:rsid w:val="00336A64"/>
    <w:rsid w:val="00336B12"/>
    <w:rsid w:val="00336B38"/>
    <w:rsid w:val="003371CF"/>
    <w:rsid w:val="00337753"/>
    <w:rsid w:val="00337864"/>
    <w:rsid w:val="003379F7"/>
    <w:rsid w:val="00337C69"/>
    <w:rsid w:val="00340204"/>
    <w:rsid w:val="003408D4"/>
    <w:rsid w:val="00340E12"/>
    <w:rsid w:val="00341101"/>
    <w:rsid w:val="0034127D"/>
    <w:rsid w:val="003412C3"/>
    <w:rsid w:val="003412F4"/>
    <w:rsid w:val="003415D7"/>
    <w:rsid w:val="003417B1"/>
    <w:rsid w:val="0034185A"/>
    <w:rsid w:val="0034197E"/>
    <w:rsid w:val="00341AA0"/>
    <w:rsid w:val="00341DCA"/>
    <w:rsid w:val="00342035"/>
    <w:rsid w:val="003425FA"/>
    <w:rsid w:val="003428ED"/>
    <w:rsid w:val="00342E91"/>
    <w:rsid w:val="00342F79"/>
    <w:rsid w:val="003436ED"/>
    <w:rsid w:val="003438C5"/>
    <w:rsid w:val="0034391F"/>
    <w:rsid w:val="00343B31"/>
    <w:rsid w:val="00343BCC"/>
    <w:rsid w:val="00343D98"/>
    <w:rsid w:val="00343DFB"/>
    <w:rsid w:val="00343ED8"/>
    <w:rsid w:val="00344403"/>
    <w:rsid w:val="0034468E"/>
    <w:rsid w:val="003446C0"/>
    <w:rsid w:val="003449B0"/>
    <w:rsid w:val="00344AC9"/>
    <w:rsid w:val="00344AEB"/>
    <w:rsid w:val="00344DC9"/>
    <w:rsid w:val="00344FFD"/>
    <w:rsid w:val="00345290"/>
    <w:rsid w:val="0034539F"/>
    <w:rsid w:val="00345923"/>
    <w:rsid w:val="003459A4"/>
    <w:rsid w:val="00345B9D"/>
    <w:rsid w:val="00345D9C"/>
    <w:rsid w:val="00345F17"/>
    <w:rsid w:val="003461C6"/>
    <w:rsid w:val="0034626B"/>
    <w:rsid w:val="00346561"/>
    <w:rsid w:val="00346A22"/>
    <w:rsid w:val="00346A67"/>
    <w:rsid w:val="00346B77"/>
    <w:rsid w:val="00346BEC"/>
    <w:rsid w:val="00346C9E"/>
    <w:rsid w:val="003472FC"/>
    <w:rsid w:val="00347649"/>
    <w:rsid w:val="0034764D"/>
    <w:rsid w:val="00347838"/>
    <w:rsid w:val="00347A80"/>
    <w:rsid w:val="0035003A"/>
    <w:rsid w:val="00350102"/>
    <w:rsid w:val="00350567"/>
    <w:rsid w:val="00350B1B"/>
    <w:rsid w:val="00351188"/>
    <w:rsid w:val="00351437"/>
    <w:rsid w:val="00351503"/>
    <w:rsid w:val="00351734"/>
    <w:rsid w:val="00351808"/>
    <w:rsid w:val="0035194C"/>
    <w:rsid w:val="00351B19"/>
    <w:rsid w:val="00351C53"/>
    <w:rsid w:val="00351D75"/>
    <w:rsid w:val="00351F22"/>
    <w:rsid w:val="00352406"/>
    <w:rsid w:val="00352613"/>
    <w:rsid w:val="0035276E"/>
    <w:rsid w:val="003527AF"/>
    <w:rsid w:val="003527BC"/>
    <w:rsid w:val="00352BD7"/>
    <w:rsid w:val="00352DBD"/>
    <w:rsid w:val="00353247"/>
    <w:rsid w:val="00353D66"/>
    <w:rsid w:val="00354476"/>
    <w:rsid w:val="003544A2"/>
    <w:rsid w:val="0035463F"/>
    <w:rsid w:val="00354A74"/>
    <w:rsid w:val="00354BEC"/>
    <w:rsid w:val="00354C55"/>
    <w:rsid w:val="00354C64"/>
    <w:rsid w:val="00354D5A"/>
    <w:rsid w:val="00354E6C"/>
    <w:rsid w:val="00355622"/>
    <w:rsid w:val="0035564E"/>
    <w:rsid w:val="0035572D"/>
    <w:rsid w:val="00355A99"/>
    <w:rsid w:val="00355AA2"/>
    <w:rsid w:val="00355B15"/>
    <w:rsid w:val="00355C12"/>
    <w:rsid w:val="00355D40"/>
    <w:rsid w:val="00355DE9"/>
    <w:rsid w:val="003563FC"/>
    <w:rsid w:val="00356407"/>
    <w:rsid w:val="00356710"/>
    <w:rsid w:val="0035699A"/>
    <w:rsid w:val="00356A56"/>
    <w:rsid w:val="00356B39"/>
    <w:rsid w:val="00356D59"/>
    <w:rsid w:val="0035791D"/>
    <w:rsid w:val="00357BC7"/>
    <w:rsid w:val="003600DD"/>
    <w:rsid w:val="003601FD"/>
    <w:rsid w:val="00360525"/>
    <w:rsid w:val="0036087F"/>
    <w:rsid w:val="0036099E"/>
    <w:rsid w:val="00360A1C"/>
    <w:rsid w:val="00360AD3"/>
    <w:rsid w:val="00360AFC"/>
    <w:rsid w:val="00360B54"/>
    <w:rsid w:val="00360C30"/>
    <w:rsid w:val="00360F93"/>
    <w:rsid w:val="00360FEA"/>
    <w:rsid w:val="003610F1"/>
    <w:rsid w:val="0036138C"/>
    <w:rsid w:val="0036148F"/>
    <w:rsid w:val="0036179B"/>
    <w:rsid w:val="00361894"/>
    <w:rsid w:val="00361DEE"/>
    <w:rsid w:val="00361EC1"/>
    <w:rsid w:val="00361F84"/>
    <w:rsid w:val="00362704"/>
    <w:rsid w:val="00362735"/>
    <w:rsid w:val="003627FC"/>
    <w:rsid w:val="00362B89"/>
    <w:rsid w:val="00362BD6"/>
    <w:rsid w:val="003631FB"/>
    <w:rsid w:val="0036383D"/>
    <w:rsid w:val="00364711"/>
    <w:rsid w:val="00364730"/>
    <w:rsid w:val="00364759"/>
    <w:rsid w:val="003649FB"/>
    <w:rsid w:val="00365424"/>
    <w:rsid w:val="0036556B"/>
    <w:rsid w:val="00365724"/>
    <w:rsid w:val="0036576B"/>
    <w:rsid w:val="0036588A"/>
    <w:rsid w:val="003659C3"/>
    <w:rsid w:val="003659FC"/>
    <w:rsid w:val="00365C0C"/>
    <w:rsid w:val="00365CE5"/>
    <w:rsid w:val="00365D88"/>
    <w:rsid w:val="00366046"/>
    <w:rsid w:val="00366284"/>
    <w:rsid w:val="0036651B"/>
    <w:rsid w:val="00366671"/>
    <w:rsid w:val="00366827"/>
    <w:rsid w:val="003669B8"/>
    <w:rsid w:val="003669FE"/>
    <w:rsid w:val="00366BFE"/>
    <w:rsid w:val="00366CCB"/>
    <w:rsid w:val="00366D05"/>
    <w:rsid w:val="00366EC0"/>
    <w:rsid w:val="00366ED3"/>
    <w:rsid w:val="00366F4B"/>
    <w:rsid w:val="003673F4"/>
    <w:rsid w:val="0036756C"/>
    <w:rsid w:val="0036770E"/>
    <w:rsid w:val="00367884"/>
    <w:rsid w:val="00367A5F"/>
    <w:rsid w:val="00367B09"/>
    <w:rsid w:val="00367DDE"/>
    <w:rsid w:val="00367E40"/>
    <w:rsid w:val="00367E57"/>
    <w:rsid w:val="00367E88"/>
    <w:rsid w:val="00367F4D"/>
    <w:rsid w:val="0037034F"/>
    <w:rsid w:val="003703A2"/>
    <w:rsid w:val="003703FE"/>
    <w:rsid w:val="0037051B"/>
    <w:rsid w:val="00370D8E"/>
    <w:rsid w:val="00370DD4"/>
    <w:rsid w:val="00370E76"/>
    <w:rsid w:val="00370E79"/>
    <w:rsid w:val="003718B8"/>
    <w:rsid w:val="003719E9"/>
    <w:rsid w:val="00371CBF"/>
    <w:rsid w:val="00372262"/>
    <w:rsid w:val="003724C9"/>
    <w:rsid w:val="00372503"/>
    <w:rsid w:val="00372630"/>
    <w:rsid w:val="00372EEB"/>
    <w:rsid w:val="00372EF5"/>
    <w:rsid w:val="00372FE3"/>
    <w:rsid w:val="00373164"/>
    <w:rsid w:val="0037322A"/>
    <w:rsid w:val="00373687"/>
    <w:rsid w:val="003737F2"/>
    <w:rsid w:val="0037392F"/>
    <w:rsid w:val="003739C0"/>
    <w:rsid w:val="00373B8E"/>
    <w:rsid w:val="00373CE3"/>
    <w:rsid w:val="00373F95"/>
    <w:rsid w:val="0037421B"/>
    <w:rsid w:val="0037438B"/>
    <w:rsid w:val="003747E9"/>
    <w:rsid w:val="00374CA1"/>
    <w:rsid w:val="00374DC7"/>
    <w:rsid w:val="00374E25"/>
    <w:rsid w:val="00374FC5"/>
    <w:rsid w:val="003751A0"/>
    <w:rsid w:val="00375264"/>
    <w:rsid w:val="003755B4"/>
    <w:rsid w:val="0037566E"/>
    <w:rsid w:val="00375947"/>
    <w:rsid w:val="00375D92"/>
    <w:rsid w:val="00376050"/>
    <w:rsid w:val="003760FA"/>
    <w:rsid w:val="00376680"/>
    <w:rsid w:val="003767AC"/>
    <w:rsid w:val="003767CA"/>
    <w:rsid w:val="00376CBB"/>
    <w:rsid w:val="0037735E"/>
    <w:rsid w:val="00377512"/>
    <w:rsid w:val="003775BA"/>
    <w:rsid w:val="00377654"/>
    <w:rsid w:val="003778EE"/>
    <w:rsid w:val="003779F9"/>
    <w:rsid w:val="00377A65"/>
    <w:rsid w:val="00377D20"/>
    <w:rsid w:val="00377D86"/>
    <w:rsid w:val="00377F4B"/>
    <w:rsid w:val="003800DB"/>
    <w:rsid w:val="00380651"/>
    <w:rsid w:val="00380C3A"/>
    <w:rsid w:val="00380CAB"/>
    <w:rsid w:val="00381046"/>
    <w:rsid w:val="00381064"/>
    <w:rsid w:val="003810AC"/>
    <w:rsid w:val="0038151D"/>
    <w:rsid w:val="00381789"/>
    <w:rsid w:val="00381F0A"/>
    <w:rsid w:val="00382216"/>
    <w:rsid w:val="003822BA"/>
    <w:rsid w:val="003826A9"/>
    <w:rsid w:val="003826BD"/>
    <w:rsid w:val="0038285D"/>
    <w:rsid w:val="00382BD8"/>
    <w:rsid w:val="00382E77"/>
    <w:rsid w:val="00382F39"/>
    <w:rsid w:val="003832D7"/>
    <w:rsid w:val="00383301"/>
    <w:rsid w:val="003837F3"/>
    <w:rsid w:val="00383C1B"/>
    <w:rsid w:val="00383D65"/>
    <w:rsid w:val="00383F43"/>
    <w:rsid w:val="00383F78"/>
    <w:rsid w:val="0038463A"/>
    <w:rsid w:val="0038468C"/>
    <w:rsid w:val="00384844"/>
    <w:rsid w:val="00384C5C"/>
    <w:rsid w:val="003850D2"/>
    <w:rsid w:val="003852A6"/>
    <w:rsid w:val="00385531"/>
    <w:rsid w:val="0038590B"/>
    <w:rsid w:val="003859D6"/>
    <w:rsid w:val="00385FA9"/>
    <w:rsid w:val="0038620F"/>
    <w:rsid w:val="003865C9"/>
    <w:rsid w:val="00386F15"/>
    <w:rsid w:val="00387143"/>
    <w:rsid w:val="00387A55"/>
    <w:rsid w:val="00387C13"/>
    <w:rsid w:val="00387C9E"/>
    <w:rsid w:val="00390044"/>
    <w:rsid w:val="00390160"/>
    <w:rsid w:val="00390362"/>
    <w:rsid w:val="003903DC"/>
    <w:rsid w:val="0039042E"/>
    <w:rsid w:val="00390492"/>
    <w:rsid w:val="0039070C"/>
    <w:rsid w:val="00390A0E"/>
    <w:rsid w:val="00390A2D"/>
    <w:rsid w:val="00390BF5"/>
    <w:rsid w:val="00390F22"/>
    <w:rsid w:val="0039103B"/>
    <w:rsid w:val="003913B3"/>
    <w:rsid w:val="00391B39"/>
    <w:rsid w:val="00391DB3"/>
    <w:rsid w:val="00391DFA"/>
    <w:rsid w:val="00392243"/>
    <w:rsid w:val="00392485"/>
    <w:rsid w:val="00392684"/>
    <w:rsid w:val="0039280D"/>
    <w:rsid w:val="00392C20"/>
    <w:rsid w:val="00392C49"/>
    <w:rsid w:val="00392C94"/>
    <w:rsid w:val="00392DB0"/>
    <w:rsid w:val="00392ED4"/>
    <w:rsid w:val="00392F23"/>
    <w:rsid w:val="00393110"/>
    <w:rsid w:val="00393301"/>
    <w:rsid w:val="003933E1"/>
    <w:rsid w:val="00393425"/>
    <w:rsid w:val="00393705"/>
    <w:rsid w:val="00393842"/>
    <w:rsid w:val="0039435A"/>
    <w:rsid w:val="003944C7"/>
    <w:rsid w:val="003945A4"/>
    <w:rsid w:val="00394751"/>
    <w:rsid w:val="00394A46"/>
    <w:rsid w:val="00394C2E"/>
    <w:rsid w:val="00394D10"/>
    <w:rsid w:val="00394E75"/>
    <w:rsid w:val="00395BFD"/>
    <w:rsid w:val="00395D6E"/>
    <w:rsid w:val="00395F8C"/>
    <w:rsid w:val="003960B9"/>
    <w:rsid w:val="00396301"/>
    <w:rsid w:val="00396487"/>
    <w:rsid w:val="00396762"/>
    <w:rsid w:val="003968F2"/>
    <w:rsid w:val="00396E35"/>
    <w:rsid w:val="00396E74"/>
    <w:rsid w:val="003970F6"/>
    <w:rsid w:val="00397114"/>
    <w:rsid w:val="00397343"/>
    <w:rsid w:val="00397564"/>
    <w:rsid w:val="00397797"/>
    <w:rsid w:val="003977AB"/>
    <w:rsid w:val="003978E2"/>
    <w:rsid w:val="00397B63"/>
    <w:rsid w:val="00397CB6"/>
    <w:rsid w:val="00397F87"/>
    <w:rsid w:val="00397FE3"/>
    <w:rsid w:val="003A00E5"/>
    <w:rsid w:val="003A01F0"/>
    <w:rsid w:val="003A0336"/>
    <w:rsid w:val="003A0416"/>
    <w:rsid w:val="003A0B12"/>
    <w:rsid w:val="003A0F8B"/>
    <w:rsid w:val="003A1E6E"/>
    <w:rsid w:val="003A1FDA"/>
    <w:rsid w:val="003A223C"/>
    <w:rsid w:val="003A23AD"/>
    <w:rsid w:val="003A256B"/>
    <w:rsid w:val="003A26F8"/>
    <w:rsid w:val="003A272E"/>
    <w:rsid w:val="003A27CD"/>
    <w:rsid w:val="003A2A15"/>
    <w:rsid w:val="003A2BD2"/>
    <w:rsid w:val="003A2E97"/>
    <w:rsid w:val="003A37AB"/>
    <w:rsid w:val="003A3A3F"/>
    <w:rsid w:val="003A3CA5"/>
    <w:rsid w:val="003A3D24"/>
    <w:rsid w:val="003A400C"/>
    <w:rsid w:val="003A450A"/>
    <w:rsid w:val="003A45A0"/>
    <w:rsid w:val="003A4D05"/>
    <w:rsid w:val="003A4D28"/>
    <w:rsid w:val="003A4D69"/>
    <w:rsid w:val="003A4E4D"/>
    <w:rsid w:val="003A4EFF"/>
    <w:rsid w:val="003A54F1"/>
    <w:rsid w:val="003A591C"/>
    <w:rsid w:val="003A5ABD"/>
    <w:rsid w:val="003A5B37"/>
    <w:rsid w:val="003A5CA8"/>
    <w:rsid w:val="003A622F"/>
    <w:rsid w:val="003A6316"/>
    <w:rsid w:val="003A6498"/>
    <w:rsid w:val="003A64E4"/>
    <w:rsid w:val="003A6620"/>
    <w:rsid w:val="003A6633"/>
    <w:rsid w:val="003A6976"/>
    <w:rsid w:val="003A6D2B"/>
    <w:rsid w:val="003A6FF7"/>
    <w:rsid w:val="003A6FF9"/>
    <w:rsid w:val="003A71B6"/>
    <w:rsid w:val="003A7998"/>
    <w:rsid w:val="003B0360"/>
    <w:rsid w:val="003B0600"/>
    <w:rsid w:val="003B0791"/>
    <w:rsid w:val="003B0E79"/>
    <w:rsid w:val="003B0FFB"/>
    <w:rsid w:val="003B109A"/>
    <w:rsid w:val="003B11EB"/>
    <w:rsid w:val="003B1352"/>
    <w:rsid w:val="003B159C"/>
    <w:rsid w:val="003B16BC"/>
    <w:rsid w:val="003B172C"/>
    <w:rsid w:val="003B179A"/>
    <w:rsid w:val="003B17F9"/>
    <w:rsid w:val="003B190C"/>
    <w:rsid w:val="003B19D9"/>
    <w:rsid w:val="003B1CD0"/>
    <w:rsid w:val="003B1EEC"/>
    <w:rsid w:val="003B2324"/>
    <w:rsid w:val="003B2354"/>
    <w:rsid w:val="003B2559"/>
    <w:rsid w:val="003B266F"/>
    <w:rsid w:val="003B29CA"/>
    <w:rsid w:val="003B2BA6"/>
    <w:rsid w:val="003B2C29"/>
    <w:rsid w:val="003B3807"/>
    <w:rsid w:val="003B3C3B"/>
    <w:rsid w:val="003B3C4A"/>
    <w:rsid w:val="003B4267"/>
    <w:rsid w:val="003B43A2"/>
    <w:rsid w:val="003B4417"/>
    <w:rsid w:val="003B448D"/>
    <w:rsid w:val="003B4514"/>
    <w:rsid w:val="003B48E1"/>
    <w:rsid w:val="003B4D5D"/>
    <w:rsid w:val="003B4E0E"/>
    <w:rsid w:val="003B5270"/>
    <w:rsid w:val="003B563A"/>
    <w:rsid w:val="003B5701"/>
    <w:rsid w:val="003B5768"/>
    <w:rsid w:val="003B5AAC"/>
    <w:rsid w:val="003B5DEA"/>
    <w:rsid w:val="003B6262"/>
    <w:rsid w:val="003B6694"/>
    <w:rsid w:val="003B66F9"/>
    <w:rsid w:val="003B67E8"/>
    <w:rsid w:val="003B6807"/>
    <w:rsid w:val="003B6A5C"/>
    <w:rsid w:val="003B6AD4"/>
    <w:rsid w:val="003B7254"/>
    <w:rsid w:val="003B72DC"/>
    <w:rsid w:val="003B7444"/>
    <w:rsid w:val="003B7638"/>
    <w:rsid w:val="003B763A"/>
    <w:rsid w:val="003B769C"/>
    <w:rsid w:val="003B76F2"/>
    <w:rsid w:val="003B775D"/>
    <w:rsid w:val="003B7A3C"/>
    <w:rsid w:val="003B7AF6"/>
    <w:rsid w:val="003B7BE8"/>
    <w:rsid w:val="003B7DA0"/>
    <w:rsid w:val="003C050A"/>
    <w:rsid w:val="003C0748"/>
    <w:rsid w:val="003C094B"/>
    <w:rsid w:val="003C1209"/>
    <w:rsid w:val="003C135D"/>
    <w:rsid w:val="003C15A8"/>
    <w:rsid w:val="003C1AB3"/>
    <w:rsid w:val="003C1BA6"/>
    <w:rsid w:val="003C1CD0"/>
    <w:rsid w:val="003C1DA4"/>
    <w:rsid w:val="003C1E0C"/>
    <w:rsid w:val="003C1F38"/>
    <w:rsid w:val="003C217A"/>
    <w:rsid w:val="003C2215"/>
    <w:rsid w:val="003C24EA"/>
    <w:rsid w:val="003C2558"/>
    <w:rsid w:val="003C2766"/>
    <w:rsid w:val="003C2C6B"/>
    <w:rsid w:val="003C2F94"/>
    <w:rsid w:val="003C324A"/>
    <w:rsid w:val="003C33A3"/>
    <w:rsid w:val="003C3B32"/>
    <w:rsid w:val="003C3C00"/>
    <w:rsid w:val="003C3C04"/>
    <w:rsid w:val="003C3CE3"/>
    <w:rsid w:val="003C3D1E"/>
    <w:rsid w:val="003C3EA6"/>
    <w:rsid w:val="003C3F23"/>
    <w:rsid w:val="003C457D"/>
    <w:rsid w:val="003C467D"/>
    <w:rsid w:val="003C4997"/>
    <w:rsid w:val="003C4FFC"/>
    <w:rsid w:val="003C5052"/>
    <w:rsid w:val="003C5054"/>
    <w:rsid w:val="003C51DF"/>
    <w:rsid w:val="003C5722"/>
    <w:rsid w:val="003C5A51"/>
    <w:rsid w:val="003C5E48"/>
    <w:rsid w:val="003C5F9D"/>
    <w:rsid w:val="003C6416"/>
    <w:rsid w:val="003C643C"/>
    <w:rsid w:val="003C65A1"/>
    <w:rsid w:val="003C6A17"/>
    <w:rsid w:val="003C6BE8"/>
    <w:rsid w:val="003C6D8C"/>
    <w:rsid w:val="003C7311"/>
    <w:rsid w:val="003C78BD"/>
    <w:rsid w:val="003C78FD"/>
    <w:rsid w:val="003C7C36"/>
    <w:rsid w:val="003C7CD3"/>
    <w:rsid w:val="003D04B5"/>
    <w:rsid w:val="003D08B8"/>
    <w:rsid w:val="003D0B2E"/>
    <w:rsid w:val="003D0BE8"/>
    <w:rsid w:val="003D0C7C"/>
    <w:rsid w:val="003D0E1C"/>
    <w:rsid w:val="003D1611"/>
    <w:rsid w:val="003D17AE"/>
    <w:rsid w:val="003D18BA"/>
    <w:rsid w:val="003D1A86"/>
    <w:rsid w:val="003D1BB1"/>
    <w:rsid w:val="003D1F86"/>
    <w:rsid w:val="003D23BA"/>
    <w:rsid w:val="003D23D8"/>
    <w:rsid w:val="003D241E"/>
    <w:rsid w:val="003D2973"/>
    <w:rsid w:val="003D2BD9"/>
    <w:rsid w:val="003D2EDA"/>
    <w:rsid w:val="003D2FE6"/>
    <w:rsid w:val="003D3898"/>
    <w:rsid w:val="003D38A5"/>
    <w:rsid w:val="003D42CB"/>
    <w:rsid w:val="003D47E5"/>
    <w:rsid w:val="003D4956"/>
    <w:rsid w:val="003D4D46"/>
    <w:rsid w:val="003D4E03"/>
    <w:rsid w:val="003D4E85"/>
    <w:rsid w:val="003D4E8C"/>
    <w:rsid w:val="003D4FE5"/>
    <w:rsid w:val="003D5108"/>
    <w:rsid w:val="003D53DC"/>
    <w:rsid w:val="003D573B"/>
    <w:rsid w:val="003D58E3"/>
    <w:rsid w:val="003D5A53"/>
    <w:rsid w:val="003D5D7E"/>
    <w:rsid w:val="003D5F94"/>
    <w:rsid w:val="003D6432"/>
    <w:rsid w:val="003D64C7"/>
    <w:rsid w:val="003D6553"/>
    <w:rsid w:val="003D6593"/>
    <w:rsid w:val="003D6678"/>
    <w:rsid w:val="003D6971"/>
    <w:rsid w:val="003D69BE"/>
    <w:rsid w:val="003D6CCB"/>
    <w:rsid w:val="003D6FF3"/>
    <w:rsid w:val="003D71A6"/>
    <w:rsid w:val="003D74B6"/>
    <w:rsid w:val="003D7AA7"/>
    <w:rsid w:val="003E0566"/>
    <w:rsid w:val="003E07AB"/>
    <w:rsid w:val="003E0898"/>
    <w:rsid w:val="003E08CD"/>
    <w:rsid w:val="003E0A4F"/>
    <w:rsid w:val="003E0C00"/>
    <w:rsid w:val="003E0D29"/>
    <w:rsid w:val="003E0F0A"/>
    <w:rsid w:val="003E1185"/>
    <w:rsid w:val="003E1501"/>
    <w:rsid w:val="003E156E"/>
    <w:rsid w:val="003E1DBE"/>
    <w:rsid w:val="003E1F53"/>
    <w:rsid w:val="003E21AF"/>
    <w:rsid w:val="003E2396"/>
    <w:rsid w:val="003E2441"/>
    <w:rsid w:val="003E2603"/>
    <w:rsid w:val="003E2654"/>
    <w:rsid w:val="003E3086"/>
    <w:rsid w:val="003E3307"/>
    <w:rsid w:val="003E3529"/>
    <w:rsid w:val="003E35AF"/>
    <w:rsid w:val="003E3793"/>
    <w:rsid w:val="003E38B1"/>
    <w:rsid w:val="003E38DF"/>
    <w:rsid w:val="003E3900"/>
    <w:rsid w:val="003E3BDD"/>
    <w:rsid w:val="003E3D07"/>
    <w:rsid w:val="003E40CC"/>
    <w:rsid w:val="003E4248"/>
    <w:rsid w:val="003E45C8"/>
    <w:rsid w:val="003E4722"/>
    <w:rsid w:val="003E49C6"/>
    <w:rsid w:val="003E4D72"/>
    <w:rsid w:val="003E51AE"/>
    <w:rsid w:val="003E52BF"/>
    <w:rsid w:val="003E5379"/>
    <w:rsid w:val="003E537B"/>
    <w:rsid w:val="003E5444"/>
    <w:rsid w:val="003E569E"/>
    <w:rsid w:val="003E5C5C"/>
    <w:rsid w:val="003E5CE1"/>
    <w:rsid w:val="003E5D89"/>
    <w:rsid w:val="003E6035"/>
    <w:rsid w:val="003E63C1"/>
    <w:rsid w:val="003E6551"/>
    <w:rsid w:val="003E6584"/>
    <w:rsid w:val="003E664E"/>
    <w:rsid w:val="003E6756"/>
    <w:rsid w:val="003E682E"/>
    <w:rsid w:val="003E69FB"/>
    <w:rsid w:val="003E6CC1"/>
    <w:rsid w:val="003E6DA1"/>
    <w:rsid w:val="003E6DF0"/>
    <w:rsid w:val="003E6EFD"/>
    <w:rsid w:val="003E6F06"/>
    <w:rsid w:val="003E7198"/>
    <w:rsid w:val="003E71A5"/>
    <w:rsid w:val="003E74D0"/>
    <w:rsid w:val="003E7561"/>
    <w:rsid w:val="003E76BD"/>
    <w:rsid w:val="003E79AE"/>
    <w:rsid w:val="003E7C13"/>
    <w:rsid w:val="003E7CD2"/>
    <w:rsid w:val="003E7D87"/>
    <w:rsid w:val="003F022A"/>
    <w:rsid w:val="003F024E"/>
    <w:rsid w:val="003F0490"/>
    <w:rsid w:val="003F078F"/>
    <w:rsid w:val="003F0F9A"/>
    <w:rsid w:val="003F103E"/>
    <w:rsid w:val="003F14B6"/>
    <w:rsid w:val="003F154E"/>
    <w:rsid w:val="003F1656"/>
    <w:rsid w:val="003F1942"/>
    <w:rsid w:val="003F1CED"/>
    <w:rsid w:val="003F2226"/>
    <w:rsid w:val="003F245A"/>
    <w:rsid w:val="003F2A20"/>
    <w:rsid w:val="003F2C43"/>
    <w:rsid w:val="003F2E73"/>
    <w:rsid w:val="003F2E8F"/>
    <w:rsid w:val="003F3036"/>
    <w:rsid w:val="003F3099"/>
    <w:rsid w:val="003F31F1"/>
    <w:rsid w:val="003F328A"/>
    <w:rsid w:val="003F33D0"/>
    <w:rsid w:val="003F36AF"/>
    <w:rsid w:val="003F3847"/>
    <w:rsid w:val="003F3898"/>
    <w:rsid w:val="003F3C04"/>
    <w:rsid w:val="003F3E50"/>
    <w:rsid w:val="003F3F7A"/>
    <w:rsid w:val="003F4104"/>
    <w:rsid w:val="003F413D"/>
    <w:rsid w:val="003F4232"/>
    <w:rsid w:val="003F43A3"/>
    <w:rsid w:val="003F43D5"/>
    <w:rsid w:val="003F4471"/>
    <w:rsid w:val="003F48EF"/>
    <w:rsid w:val="003F51C8"/>
    <w:rsid w:val="003F5781"/>
    <w:rsid w:val="003F590A"/>
    <w:rsid w:val="003F5AB2"/>
    <w:rsid w:val="003F5C2B"/>
    <w:rsid w:val="003F5F3A"/>
    <w:rsid w:val="003F6044"/>
    <w:rsid w:val="003F62C6"/>
    <w:rsid w:val="003F63DB"/>
    <w:rsid w:val="003F6447"/>
    <w:rsid w:val="003F6510"/>
    <w:rsid w:val="003F6587"/>
    <w:rsid w:val="003F66AC"/>
    <w:rsid w:val="003F690C"/>
    <w:rsid w:val="003F6984"/>
    <w:rsid w:val="003F6A10"/>
    <w:rsid w:val="003F72C4"/>
    <w:rsid w:val="003F7645"/>
    <w:rsid w:val="003F76EC"/>
    <w:rsid w:val="003F776A"/>
    <w:rsid w:val="003F7780"/>
    <w:rsid w:val="003F7791"/>
    <w:rsid w:val="003F7B74"/>
    <w:rsid w:val="004003E2"/>
    <w:rsid w:val="0040045C"/>
    <w:rsid w:val="004006B9"/>
    <w:rsid w:val="00400999"/>
    <w:rsid w:val="00400DA2"/>
    <w:rsid w:val="004014A0"/>
    <w:rsid w:val="00401795"/>
    <w:rsid w:val="004019B7"/>
    <w:rsid w:val="00401E79"/>
    <w:rsid w:val="00401FEA"/>
    <w:rsid w:val="0040266E"/>
    <w:rsid w:val="0040287E"/>
    <w:rsid w:val="00402990"/>
    <w:rsid w:val="00402E5D"/>
    <w:rsid w:val="00402F96"/>
    <w:rsid w:val="004031E3"/>
    <w:rsid w:val="0040358D"/>
    <w:rsid w:val="004035C2"/>
    <w:rsid w:val="0040381B"/>
    <w:rsid w:val="00403927"/>
    <w:rsid w:val="0040399E"/>
    <w:rsid w:val="00403A16"/>
    <w:rsid w:val="00403A68"/>
    <w:rsid w:val="00403F19"/>
    <w:rsid w:val="0040401F"/>
    <w:rsid w:val="0040416E"/>
    <w:rsid w:val="004045DD"/>
    <w:rsid w:val="00404844"/>
    <w:rsid w:val="00404AC8"/>
    <w:rsid w:val="004050F5"/>
    <w:rsid w:val="0040524E"/>
    <w:rsid w:val="0040545C"/>
    <w:rsid w:val="00405540"/>
    <w:rsid w:val="004057C0"/>
    <w:rsid w:val="00405ABE"/>
    <w:rsid w:val="00405E8D"/>
    <w:rsid w:val="004062B1"/>
    <w:rsid w:val="004067E9"/>
    <w:rsid w:val="00406A25"/>
    <w:rsid w:val="00406AEF"/>
    <w:rsid w:val="00406C7F"/>
    <w:rsid w:val="00407076"/>
    <w:rsid w:val="004071AB"/>
    <w:rsid w:val="0040721F"/>
    <w:rsid w:val="004072B7"/>
    <w:rsid w:val="0040750E"/>
    <w:rsid w:val="004075AB"/>
    <w:rsid w:val="004075D0"/>
    <w:rsid w:val="00407648"/>
    <w:rsid w:val="004079CF"/>
    <w:rsid w:val="00407D2D"/>
    <w:rsid w:val="0041009D"/>
    <w:rsid w:val="004100AF"/>
    <w:rsid w:val="004100E0"/>
    <w:rsid w:val="00410319"/>
    <w:rsid w:val="0041056F"/>
    <w:rsid w:val="00410981"/>
    <w:rsid w:val="00410A35"/>
    <w:rsid w:val="00410D64"/>
    <w:rsid w:val="00411145"/>
    <w:rsid w:val="004115BD"/>
    <w:rsid w:val="00411681"/>
    <w:rsid w:val="0041214B"/>
    <w:rsid w:val="0041243C"/>
    <w:rsid w:val="004126E7"/>
    <w:rsid w:val="004127D1"/>
    <w:rsid w:val="00412912"/>
    <w:rsid w:val="00412D87"/>
    <w:rsid w:val="004131BC"/>
    <w:rsid w:val="004136E5"/>
    <w:rsid w:val="004137BA"/>
    <w:rsid w:val="00413FEC"/>
    <w:rsid w:val="0041414A"/>
    <w:rsid w:val="0041436B"/>
    <w:rsid w:val="0041440D"/>
    <w:rsid w:val="00414475"/>
    <w:rsid w:val="00414F91"/>
    <w:rsid w:val="00415121"/>
    <w:rsid w:val="004154FE"/>
    <w:rsid w:val="004155E5"/>
    <w:rsid w:val="00415731"/>
    <w:rsid w:val="0041591E"/>
    <w:rsid w:val="00415950"/>
    <w:rsid w:val="00415A1E"/>
    <w:rsid w:val="004160B3"/>
    <w:rsid w:val="00416129"/>
    <w:rsid w:val="004163AB"/>
    <w:rsid w:val="00416637"/>
    <w:rsid w:val="0041665A"/>
    <w:rsid w:val="004166C4"/>
    <w:rsid w:val="0041684F"/>
    <w:rsid w:val="0041694A"/>
    <w:rsid w:val="00416978"/>
    <w:rsid w:val="00416C63"/>
    <w:rsid w:val="00416DCC"/>
    <w:rsid w:val="00416EE9"/>
    <w:rsid w:val="004175AB"/>
    <w:rsid w:val="00417614"/>
    <w:rsid w:val="00417871"/>
    <w:rsid w:val="00417A40"/>
    <w:rsid w:val="00417B18"/>
    <w:rsid w:val="00417F35"/>
    <w:rsid w:val="004205B3"/>
    <w:rsid w:val="004206BD"/>
    <w:rsid w:val="004206C6"/>
    <w:rsid w:val="00420773"/>
    <w:rsid w:val="00420894"/>
    <w:rsid w:val="00420CBC"/>
    <w:rsid w:val="00420D8A"/>
    <w:rsid w:val="00421084"/>
    <w:rsid w:val="004211A9"/>
    <w:rsid w:val="00421293"/>
    <w:rsid w:val="00421469"/>
    <w:rsid w:val="0042157E"/>
    <w:rsid w:val="00421758"/>
    <w:rsid w:val="00421C69"/>
    <w:rsid w:val="00421D25"/>
    <w:rsid w:val="00421D89"/>
    <w:rsid w:val="00421DCA"/>
    <w:rsid w:val="004220BB"/>
    <w:rsid w:val="00422186"/>
    <w:rsid w:val="004221C9"/>
    <w:rsid w:val="00422490"/>
    <w:rsid w:val="0042258D"/>
    <w:rsid w:val="00422EDC"/>
    <w:rsid w:val="0042333A"/>
    <w:rsid w:val="004233DB"/>
    <w:rsid w:val="004235FE"/>
    <w:rsid w:val="004238BC"/>
    <w:rsid w:val="00423BCE"/>
    <w:rsid w:val="00423EDC"/>
    <w:rsid w:val="004243F1"/>
    <w:rsid w:val="004243F5"/>
    <w:rsid w:val="004244A1"/>
    <w:rsid w:val="00424551"/>
    <w:rsid w:val="00424C16"/>
    <w:rsid w:val="00424E0A"/>
    <w:rsid w:val="00424F66"/>
    <w:rsid w:val="0042527F"/>
    <w:rsid w:val="004255EF"/>
    <w:rsid w:val="00425716"/>
    <w:rsid w:val="00425791"/>
    <w:rsid w:val="00425C19"/>
    <w:rsid w:val="00425EE3"/>
    <w:rsid w:val="00426402"/>
    <w:rsid w:val="0042648E"/>
    <w:rsid w:val="004264EB"/>
    <w:rsid w:val="0042666B"/>
    <w:rsid w:val="00426858"/>
    <w:rsid w:val="00426B94"/>
    <w:rsid w:val="0042759F"/>
    <w:rsid w:val="004275B6"/>
    <w:rsid w:val="0042798B"/>
    <w:rsid w:val="00427A35"/>
    <w:rsid w:val="00430150"/>
    <w:rsid w:val="0043024B"/>
    <w:rsid w:val="00430532"/>
    <w:rsid w:val="004306BE"/>
    <w:rsid w:val="00430726"/>
    <w:rsid w:val="004309EB"/>
    <w:rsid w:val="004309EC"/>
    <w:rsid w:val="00430B3C"/>
    <w:rsid w:val="00430B99"/>
    <w:rsid w:val="00430C5B"/>
    <w:rsid w:val="00430D8A"/>
    <w:rsid w:val="00430EF3"/>
    <w:rsid w:val="004311D8"/>
    <w:rsid w:val="004312B9"/>
    <w:rsid w:val="00431492"/>
    <w:rsid w:val="00431734"/>
    <w:rsid w:val="00431CDF"/>
    <w:rsid w:val="00431DD2"/>
    <w:rsid w:val="00431E4B"/>
    <w:rsid w:val="0043238E"/>
    <w:rsid w:val="004325F9"/>
    <w:rsid w:val="004327E1"/>
    <w:rsid w:val="00432903"/>
    <w:rsid w:val="00432D6C"/>
    <w:rsid w:val="00433012"/>
    <w:rsid w:val="00433086"/>
    <w:rsid w:val="0043331E"/>
    <w:rsid w:val="00433491"/>
    <w:rsid w:val="00433551"/>
    <w:rsid w:val="00433757"/>
    <w:rsid w:val="0043389E"/>
    <w:rsid w:val="00433A53"/>
    <w:rsid w:val="00433B38"/>
    <w:rsid w:val="00433B40"/>
    <w:rsid w:val="00433B80"/>
    <w:rsid w:val="004349DE"/>
    <w:rsid w:val="00434D49"/>
    <w:rsid w:val="004353D3"/>
    <w:rsid w:val="00435B66"/>
    <w:rsid w:val="00435E3D"/>
    <w:rsid w:val="00435E8E"/>
    <w:rsid w:val="004360B5"/>
    <w:rsid w:val="00436170"/>
    <w:rsid w:val="00436204"/>
    <w:rsid w:val="0043620A"/>
    <w:rsid w:val="004362EB"/>
    <w:rsid w:val="00436462"/>
    <w:rsid w:val="0043650C"/>
    <w:rsid w:val="0043650F"/>
    <w:rsid w:val="0043670B"/>
    <w:rsid w:val="0043673B"/>
    <w:rsid w:val="004368D6"/>
    <w:rsid w:val="00436913"/>
    <w:rsid w:val="00437021"/>
    <w:rsid w:val="004375F1"/>
    <w:rsid w:val="00437EF6"/>
    <w:rsid w:val="004400D0"/>
    <w:rsid w:val="00440747"/>
    <w:rsid w:val="00440CB7"/>
    <w:rsid w:val="00440D95"/>
    <w:rsid w:val="00440E89"/>
    <w:rsid w:val="00441389"/>
    <w:rsid w:val="0044141F"/>
    <w:rsid w:val="004414B2"/>
    <w:rsid w:val="004415BD"/>
    <w:rsid w:val="00441A8F"/>
    <w:rsid w:val="00441FD4"/>
    <w:rsid w:val="00442777"/>
    <w:rsid w:val="004428E8"/>
    <w:rsid w:val="00442C85"/>
    <w:rsid w:val="004431FA"/>
    <w:rsid w:val="00443390"/>
    <w:rsid w:val="00443689"/>
    <w:rsid w:val="00443AB0"/>
    <w:rsid w:val="00443B09"/>
    <w:rsid w:val="00443B1E"/>
    <w:rsid w:val="0044475D"/>
    <w:rsid w:val="00444B43"/>
    <w:rsid w:val="00444DBE"/>
    <w:rsid w:val="00444EBB"/>
    <w:rsid w:val="004456F1"/>
    <w:rsid w:val="0044599A"/>
    <w:rsid w:val="00445CA2"/>
    <w:rsid w:val="00445D6F"/>
    <w:rsid w:val="00445F1A"/>
    <w:rsid w:val="00445F2F"/>
    <w:rsid w:val="00445FCA"/>
    <w:rsid w:val="00445FDF"/>
    <w:rsid w:val="004462D3"/>
    <w:rsid w:val="00446583"/>
    <w:rsid w:val="004467F9"/>
    <w:rsid w:val="0044683B"/>
    <w:rsid w:val="00446890"/>
    <w:rsid w:val="00446B0E"/>
    <w:rsid w:val="00446B47"/>
    <w:rsid w:val="00446D80"/>
    <w:rsid w:val="00446FFF"/>
    <w:rsid w:val="004474B4"/>
    <w:rsid w:val="00447695"/>
    <w:rsid w:val="004477B4"/>
    <w:rsid w:val="004477BE"/>
    <w:rsid w:val="00447EE6"/>
    <w:rsid w:val="00447EF1"/>
    <w:rsid w:val="00450081"/>
    <w:rsid w:val="004500BB"/>
    <w:rsid w:val="0045017B"/>
    <w:rsid w:val="004503B8"/>
    <w:rsid w:val="004506E6"/>
    <w:rsid w:val="00450709"/>
    <w:rsid w:val="00450ACC"/>
    <w:rsid w:val="00450B4A"/>
    <w:rsid w:val="00450CCC"/>
    <w:rsid w:val="00450DCB"/>
    <w:rsid w:val="00450FB5"/>
    <w:rsid w:val="004511D8"/>
    <w:rsid w:val="004511F8"/>
    <w:rsid w:val="004514FF"/>
    <w:rsid w:val="00451774"/>
    <w:rsid w:val="00451892"/>
    <w:rsid w:val="004518F5"/>
    <w:rsid w:val="004518FC"/>
    <w:rsid w:val="00451B58"/>
    <w:rsid w:val="00451BD7"/>
    <w:rsid w:val="004521A6"/>
    <w:rsid w:val="004521C6"/>
    <w:rsid w:val="004525B0"/>
    <w:rsid w:val="00452D33"/>
    <w:rsid w:val="00452ECB"/>
    <w:rsid w:val="00452F72"/>
    <w:rsid w:val="00453025"/>
    <w:rsid w:val="00453061"/>
    <w:rsid w:val="004537CA"/>
    <w:rsid w:val="00453EF4"/>
    <w:rsid w:val="00454028"/>
    <w:rsid w:val="00454213"/>
    <w:rsid w:val="00454CDF"/>
    <w:rsid w:val="00454DE4"/>
    <w:rsid w:val="00455025"/>
    <w:rsid w:val="004550A7"/>
    <w:rsid w:val="00455184"/>
    <w:rsid w:val="004553C3"/>
    <w:rsid w:val="00455541"/>
    <w:rsid w:val="00455579"/>
    <w:rsid w:val="00455677"/>
    <w:rsid w:val="0045576C"/>
    <w:rsid w:val="00455894"/>
    <w:rsid w:val="00455914"/>
    <w:rsid w:val="00455D8C"/>
    <w:rsid w:val="00455E06"/>
    <w:rsid w:val="00455E5B"/>
    <w:rsid w:val="004560E2"/>
    <w:rsid w:val="00456101"/>
    <w:rsid w:val="00456512"/>
    <w:rsid w:val="0045653F"/>
    <w:rsid w:val="00456B1A"/>
    <w:rsid w:val="00456D69"/>
    <w:rsid w:val="0045744B"/>
    <w:rsid w:val="0045757A"/>
    <w:rsid w:val="0045769C"/>
    <w:rsid w:val="0045779D"/>
    <w:rsid w:val="00457B8A"/>
    <w:rsid w:val="004601AC"/>
    <w:rsid w:val="004601C1"/>
    <w:rsid w:val="004609E1"/>
    <w:rsid w:val="00460AF6"/>
    <w:rsid w:val="00460BDF"/>
    <w:rsid w:val="00460D80"/>
    <w:rsid w:val="00461124"/>
    <w:rsid w:val="004611B5"/>
    <w:rsid w:val="0046166E"/>
    <w:rsid w:val="00461823"/>
    <w:rsid w:val="004618C1"/>
    <w:rsid w:val="004618D5"/>
    <w:rsid w:val="0046194C"/>
    <w:rsid w:val="00461AE9"/>
    <w:rsid w:val="00461DCC"/>
    <w:rsid w:val="00461DF9"/>
    <w:rsid w:val="00462357"/>
    <w:rsid w:val="00462729"/>
    <w:rsid w:val="004628E3"/>
    <w:rsid w:val="00462969"/>
    <w:rsid w:val="00462B35"/>
    <w:rsid w:val="00462BC4"/>
    <w:rsid w:val="00462C3A"/>
    <w:rsid w:val="00462C91"/>
    <w:rsid w:val="00463452"/>
    <w:rsid w:val="0046348B"/>
    <w:rsid w:val="00463831"/>
    <w:rsid w:val="00464474"/>
    <w:rsid w:val="00464527"/>
    <w:rsid w:val="0046479E"/>
    <w:rsid w:val="004648B8"/>
    <w:rsid w:val="004648DE"/>
    <w:rsid w:val="00464925"/>
    <w:rsid w:val="0046492C"/>
    <w:rsid w:val="00465121"/>
    <w:rsid w:val="004651D6"/>
    <w:rsid w:val="00465303"/>
    <w:rsid w:val="004654D9"/>
    <w:rsid w:val="00465639"/>
    <w:rsid w:val="004657D8"/>
    <w:rsid w:val="004659E0"/>
    <w:rsid w:val="004659F5"/>
    <w:rsid w:val="00465CFD"/>
    <w:rsid w:val="00465DE9"/>
    <w:rsid w:val="00465EAF"/>
    <w:rsid w:val="00465F79"/>
    <w:rsid w:val="00466076"/>
    <w:rsid w:val="00466522"/>
    <w:rsid w:val="00466610"/>
    <w:rsid w:val="00466792"/>
    <w:rsid w:val="00466DDD"/>
    <w:rsid w:val="0046715B"/>
    <w:rsid w:val="00467182"/>
    <w:rsid w:val="00467579"/>
    <w:rsid w:val="004675F7"/>
    <w:rsid w:val="004676F2"/>
    <w:rsid w:val="00467BF9"/>
    <w:rsid w:val="00467D7E"/>
    <w:rsid w:val="00467D86"/>
    <w:rsid w:val="004700E1"/>
    <w:rsid w:val="00470502"/>
    <w:rsid w:val="0047057C"/>
    <w:rsid w:val="00470597"/>
    <w:rsid w:val="0047080B"/>
    <w:rsid w:val="0047090C"/>
    <w:rsid w:val="0047090E"/>
    <w:rsid w:val="00470AFD"/>
    <w:rsid w:val="00470D4D"/>
    <w:rsid w:val="00471067"/>
    <w:rsid w:val="0047134C"/>
    <w:rsid w:val="004713EB"/>
    <w:rsid w:val="004715AE"/>
    <w:rsid w:val="00471D4F"/>
    <w:rsid w:val="00471ECC"/>
    <w:rsid w:val="004720A7"/>
    <w:rsid w:val="00472142"/>
    <w:rsid w:val="00472194"/>
    <w:rsid w:val="00472440"/>
    <w:rsid w:val="00472756"/>
    <w:rsid w:val="0047295B"/>
    <w:rsid w:val="00472BB3"/>
    <w:rsid w:val="00472C8C"/>
    <w:rsid w:val="00472E46"/>
    <w:rsid w:val="00472EE8"/>
    <w:rsid w:val="00473559"/>
    <w:rsid w:val="00473734"/>
    <w:rsid w:val="00473B8D"/>
    <w:rsid w:val="00473DE3"/>
    <w:rsid w:val="00473E82"/>
    <w:rsid w:val="00473F68"/>
    <w:rsid w:val="00473F75"/>
    <w:rsid w:val="00473FA2"/>
    <w:rsid w:val="00474164"/>
    <w:rsid w:val="00474239"/>
    <w:rsid w:val="004745B9"/>
    <w:rsid w:val="004747FB"/>
    <w:rsid w:val="00474858"/>
    <w:rsid w:val="00474A79"/>
    <w:rsid w:val="00474C28"/>
    <w:rsid w:val="00475153"/>
    <w:rsid w:val="004751E9"/>
    <w:rsid w:val="0047566E"/>
    <w:rsid w:val="0047571D"/>
    <w:rsid w:val="00475AEA"/>
    <w:rsid w:val="00475CD0"/>
    <w:rsid w:val="00476137"/>
    <w:rsid w:val="00476518"/>
    <w:rsid w:val="004765E5"/>
    <w:rsid w:val="0047669D"/>
    <w:rsid w:val="00477047"/>
    <w:rsid w:val="004770AC"/>
    <w:rsid w:val="0047731F"/>
    <w:rsid w:val="004774F5"/>
    <w:rsid w:val="004775D5"/>
    <w:rsid w:val="004776ED"/>
    <w:rsid w:val="00477BD3"/>
    <w:rsid w:val="00477F03"/>
    <w:rsid w:val="00477F67"/>
    <w:rsid w:val="00480165"/>
    <w:rsid w:val="004801C8"/>
    <w:rsid w:val="00480893"/>
    <w:rsid w:val="00480BE4"/>
    <w:rsid w:val="00480CB9"/>
    <w:rsid w:val="00480EEB"/>
    <w:rsid w:val="00481187"/>
    <w:rsid w:val="004811C8"/>
    <w:rsid w:val="00481624"/>
    <w:rsid w:val="004818CE"/>
    <w:rsid w:val="00481CF5"/>
    <w:rsid w:val="00482540"/>
    <w:rsid w:val="004825D3"/>
    <w:rsid w:val="00482663"/>
    <w:rsid w:val="00482777"/>
    <w:rsid w:val="004827B0"/>
    <w:rsid w:val="0048294C"/>
    <w:rsid w:val="00482B2E"/>
    <w:rsid w:val="00482BBD"/>
    <w:rsid w:val="00482FB3"/>
    <w:rsid w:val="00483625"/>
    <w:rsid w:val="00483739"/>
    <w:rsid w:val="004838E0"/>
    <w:rsid w:val="00483905"/>
    <w:rsid w:val="00483B7A"/>
    <w:rsid w:val="00483CBF"/>
    <w:rsid w:val="004840F1"/>
    <w:rsid w:val="0048425C"/>
    <w:rsid w:val="004842D2"/>
    <w:rsid w:val="00484870"/>
    <w:rsid w:val="00484C0B"/>
    <w:rsid w:val="00484C79"/>
    <w:rsid w:val="00484FA1"/>
    <w:rsid w:val="00485130"/>
    <w:rsid w:val="00485307"/>
    <w:rsid w:val="00485450"/>
    <w:rsid w:val="004854E5"/>
    <w:rsid w:val="00485776"/>
    <w:rsid w:val="00485C5C"/>
    <w:rsid w:val="00485E71"/>
    <w:rsid w:val="00485EAD"/>
    <w:rsid w:val="00485FF8"/>
    <w:rsid w:val="00486121"/>
    <w:rsid w:val="0048613C"/>
    <w:rsid w:val="00486201"/>
    <w:rsid w:val="00486383"/>
    <w:rsid w:val="00486BEF"/>
    <w:rsid w:val="00486E31"/>
    <w:rsid w:val="00486F8A"/>
    <w:rsid w:val="004874E4"/>
    <w:rsid w:val="004878C8"/>
    <w:rsid w:val="00487D12"/>
    <w:rsid w:val="00487E5E"/>
    <w:rsid w:val="00487FAA"/>
    <w:rsid w:val="00490018"/>
    <w:rsid w:val="004904AB"/>
    <w:rsid w:val="0049053F"/>
    <w:rsid w:val="004906BC"/>
    <w:rsid w:val="0049093C"/>
    <w:rsid w:val="00490A3F"/>
    <w:rsid w:val="00490B24"/>
    <w:rsid w:val="00490BF7"/>
    <w:rsid w:val="004911D8"/>
    <w:rsid w:val="0049133B"/>
    <w:rsid w:val="004913D8"/>
    <w:rsid w:val="0049156C"/>
    <w:rsid w:val="00491E33"/>
    <w:rsid w:val="00492309"/>
    <w:rsid w:val="00492331"/>
    <w:rsid w:val="00492374"/>
    <w:rsid w:val="004925A5"/>
    <w:rsid w:val="00493376"/>
    <w:rsid w:val="00493495"/>
    <w:rsid w:val="004935DA"/>
    <w:rsid w:val="004936D2"/>
    <w:rsid w:val="00493A86"/>
    <w:rsid w:val="00493AC9"/>
    <w:rsid w:val="00493BF1"/>
    <w:rsid w:val="00493CDB"/>
    <w:rsid w:val="00493D09"/>
    <w:rsid w:val="00493E69"/>
    <w:rsid w:val="004940FA"/>
    <w:rsid w:val="004940FF"/>
    <w:rsid w:val="0049422E"/>
    <w:rsid w:val="004944E1"/>
    <w:rsid w:val="004946D9"/>
    <w:rsid w:val="00494844"/>
    <w:rsid w:val="00494D5F"/>
    <w:rsid w:val="00494FFC"/>
    <w:rsid w:val="00495186"/>
    <w:rsid w:val="004953A3"/>
    <w:rsid w:val="004953B3"/>
    <w:rsid w:val="00495539"/>
    <w:rsid w:val="004956A6"/>
    <w:rsid w:val="00495C03"/>
    <w:rsid w:val="00495C62"/>
    <w:rsid w:val="00495F86"/>
    <w:rsid w:val="0049610F"/>
    <w:rsid w:val="004968B2"/>
    <w:rsid w:val="00496C55"/>
    <w:rsid w:val="00496E9D"/>
    <w:rsid w:val="00496ED6"/>
    <w:rsid w:val="004972C9"/>
    <w:rsid w:val="0049748D"/>
    <w:rsid w:val="00497549"/>
    <w:rsid w:val="0049791C"/>
    <w:rsid w:val="00497D4F"/>
    <w:rsid w:val="004A020B"/>
    <w:rsid w:val="004A04D1"/>
    <w:rsid w:val="004A0797"/>
    <w:rsid w:val="004A084C"/>
    <w:rsid w:val="004A0889"/>
    <w:rsid w:val="004A090D"/>
    <w:rsid w:val="004A09A4"/>
    <w:rsid w:val="004A0D45"/>
    <w:rsid w:val="004A0F6B"/>
    <w:rsid w:val="004A10A5"/>
    <w:rsid w:val="004A1261"/>
    <w:rsid w:val="004A1434"/>
    <w:rsid w:val="004A18F4"/>
    <w:rsid w:val="004A1A4A"/>
    <w:rsid w:val="004A1ABC"/>
    <w:rsid w:val="004A1BB6"/>
    <w:rsid w:val="004A1BE3"/>
    <w:rsid w:val="004A1C7F"/>
    <w:rsid w:val="004A1CD3"/>
    <w:rsid w:val="004A2231"/>
    <w:rsid w:val="004A2431"/>
    <w:rsid w:val="004A2572"/>
    <w:rsid w:val="004A2987"/>
    <w:rsid w:val="004A2A47"/>
    <w:rsid w:val="004A2ACD"/>
    <w:rsid w:val="004A2C6A"/>
    <w:rsid w:val="004A2E53"/>
    <w:rsid w:val="004A2F4E"/>
    <w:rsid w:val="004A3014"/>
    <w:rsid w:val="004A30BD"/>
    <w:rsid w:val="004A315B"/>
    <w:rsid w:val="004A3C92"/>
    <w:rsid w:val="004A3E4B"/>
    <w:rsid w:val="004A3ECC"/>
    <w:rsid w:val="004A41B1"/>
    <w:rsid w:val="004A4211"/>
    <w:rsid w:val="004A4276"/>
    <w:rsid w:val="004A43E5"/>
    <w:rsid w:val="004A44AA"/>
    <w:rsid w:val="004A452A"/>
    <w:rsid w:val="004A458F"/>
    <w:rsid w:val="004A469A"/>
    <w:rsid w:val="004A4936"/>
    <w:rsid w:val="004A4AA4"/>
    <w:rsid w:val="004A4BBA"/>
    <w:rsid w:val="004A4CA6"/>
    <w:rsid w:val="004A4E81"/>
    <w:rsid w:val="004A5241"/>
    <w:rsid w:val="004A5427"/>
    <w:rsid w:val="004A57F7"/>
    <w:rsid w:val="004A5828"/>
    <w:rsid w:val="004A5958"/>
    <w:rsid w:val="004A59E8"/>
    <w:rsid w:val="004A5AB7"/>
    <w:rsid w:val="004A5C0E"/>
    <w:rsid w:val="004A5CDA"/>
    <w:rsid w:val="004A5F2F"/>
    <w:rsid w:val="004A5F52"/>
    <w:rsid w:val="004A6558"/>
    <w:rsid w:val="004A66C7"/>
    <w:rsid w:val="004A68DD"/>
    <w:rsid w:val="004A6A69"/>
    <w:rsid w:val="004A6B35"/>
    <w:rsid w:val="004A6C0E"/>
    <w:rsid w:val="004A7233"/>
    <w:rsid w:val="004A7250"/>
    <w:rsid w:val="004A7525"/>
    <w:rsid w:val="004A7895"/>
    <w:rsid w:val="004A7ACD"/>
    <w:rsid w:val="004A7B1A"/>
    <w:rsid w:val="004A7BF7"/>
    <w:rsid w:val="004A7EE2"/>
    <w:rsid w:val="004A7EF1"/>
    <w:rsid w:val="004B01E4"/>
    <w:rsid w:val="004B0367"/>
    <w:rsid w:val="004B0455"/>
    <w:rsid w:val="004B07C1"/>
    <w:rsid w:val="004B0AE6"/>
    <w:rsid w:val="004B0CDD"/>
    <w:rsid w:val="004B0CF8"/>
    <w:rsid w:val="004B1138"/>
    <w:rsid w:val="004B114F"/>
    <w:rsid w:val="004B13AE"/>
    <w:rsid w:val="004B167D"/>
    <w:rsid w:val="004B192B"/>
    <w:rsid w:val="004B1AE7"/>
    <w:rsid w:val="004B1CF6"/>
    <w:rsid w:val="004B1E87"/>
    <w:rsid w:val="004B24A0"/>
    <w:rsid w:val="004B2660"/>
    <w:rsid w:val="004B292E"/>
    <w:rsid w:val="004B2DD5"/>
    <w:rsid w:val="004B2E43"/>
    <w:rsid w:val="004B2F36"/>
    <w:rsid w:val="004B3108"/>
    <w:rsid w:val="004B3431"/>
    <w:rsid w:val="004B366F"/>
    <w:rsid w:val="004B3F52"/>
    <w:rsid w:val="004B3FF6"/>
    <w:rsid w:val="004B447D"/>
    <w:rsid w:val="004B4614"/>
    <w:rsid w:val="004B46AC"/>
    <w:rsid w:val="004B495E"/>
    <w:rsid w:val="004B4E6F"/>
    <w:rsid w:val="004B4FCE"/>
    <w:rsid w:val="004B511D"/>
    <w:rsid w:val="004B54C9"/>
    <w:rsid w:val="004B59DA"/>
    <w:rsid w:val="004B5B36"/>
    <w:rsid w:val="004B5CDB"/>
    <w:rsid w:val="004B5E92"/>
    <w:rsid w:val="004B5F6D"/>
    <w:rsid w:val="004B61A7"/>
    <w:rsid w:val="004B62B9"/>
    <w:rsid w:val="004B6765"/>
    <w:rsid w:val="004B6834"/>
    <w:rsid w:val="004B683A"/>
    <w:rsid w:val="004B6840"/>
    <w:rsid w:val="004B689A"/>
    <w:rsid w:val="004B69E9"/>
    <w:rsid w:val="004B70D6"/>
    <w:rsid w:val="004B76B1"/>
    <w:rsid w:val="004B7DE6"/>
    <w:rsid w:val="004B7E1C"/>
    <w:rsid w:val="004C01FE"/>
    <w:rsid w:val="004C057F"/>
    <w:rsid w:val="004C05DB"/>
    <w:rsid w:val="004C0A62"/>
    <w:rsid w:val="004C1124"/>
    <w:rsid w:val="004C1271"/>
    <w:rsid w:val="004C1821"/>
    <w:rsid w:val="004C1AEB"/>
    <w:rsid w:val="004C1E60"/>
    <w:rsid w:val="004C1E9D"/>
    <w:rsid w:val="004C24AC"/>
    <w:rsid w:val="004C2BEA"/>
    <w:rsid w:val="004C2FE3"/>
    <w:rsid w:val="004C31E4"/>
    <w:rsid w:val="004C3333"/>
    <w:rsid w:val="004C34E9"/>
    <w:rsid w:val="004C34F5"/>
    <w:rsid w:val="004C4485"/>
    <w:rsid w:val="004C483C"/>
    <w:rsid w:val="004C4C19"/>
    <w:rsid w:val="004C650C"/>
    <w:rsid w:val="004C6703"/>
    <w:rsid w:val="004C6CF4"/>
    <w:rsid w:val="004C6D53"/>
    <w:rsid w:val="004C6F38"/>
    <w:rsid w:val="004C704F"/>
    <w:rsid w:val="004C7509"/>
    <w:rsid w:val="004C7644"/>
    <w:rsid w:val="004C7A49"/>
    <w:rsid w:val="004C7B43"/>
    <w:rsid w:val="004C7D02"/>
    <w:rsid w:val="004C7D5F"/>
    <w:rsid w:val="004D0678"/>
    <w:rsid w:val="004D0811"/>
    <w:rsid w:val="004D0906"/>
    <w:rsid w:val="004D09D4"/>
    <w:rsid w:val="004D0BAF"/>
    <w:rsid w:val="004D0C82"/>
    <w:rsid w:val="004D0DE1"/>
    <w:rsid w:val="004D1018"/>
    <w:rsid w:val="004D1589"/>
    <w:rsid w:val="004D1791"/>
    <w:rsid w:val="004D1881"/>
    <w:rsid w:val="004D18A5"/>
    <w:rsid w:val="004D1903"/>
    <w:rsid w:val="004D1A72"/>
    <w:rsid w:val="004D20CC"/>
    <w:rsid w:val="004D21E9"/>
    <w:rsid w:val="004D2413"/>
    <w:rsid w:val="004D27CE"/>
    <w:rsid w:val="004D27E7"/>
    <w:rsid w:val="004D28D6"/>
    <w:rsid w:val="004D2AEB"/>
    <w:rsid w:val="004D2C2D"/>
    <w:rsid w:val="004D2DCC"/>
    <w:rsid w:val="004D2E3E"/>
    <w:rsid w:val="004D2F37"/>
    <w:rsid w:val="004D34CE"/>
    <w:rsid w:val="004D3798"/>
    <w:rsid w:val="004D3A9B"/>
    <w:rsid w:val="004D42DB"/>
    <w:rsid w:val="004D445A"/>
    <w:rsid w:val="004D445F"/>
    <w:rsid w:val="004D451D"/>
    <w:rsid w:val="004D45A4"/>
    <w:rsid w:val="004D4968"/>
    <w:rsid w:val="004D4E1F"/>
    <w:rsid w:val="004D50CC"/>
    <w:rsid w:val="004D536F"/>
    <w:rsid w:val="004D5A89"/>
    <w:rsid w:val="004D5B5B"/>
    <w:rsid w:val="004D5E8E"/>
    <w:rsid w:val="004D5EB5"/>
    <w:rsid w:val="004D6026"/>
    <w:rsid w:val="004D635E"/>
    <w:rsid w:val="004D643D"/>
    <w:rsid w:val="004D6645"/>
    <w:rsid w:val="004D66B6"/>
    <w:rsid w:val="004D6D46"/>
    <w:rsid w:val="004D6DAA"/>
    <w:rsid w:val="004D7020"/>
    <w:rsid w:val="004D7494"/>
    <w:rsid w:val="004D779D"/>
    <w:rsid w:val="004D779E"/>
    <w:rsid w:val="004D7CA1"/>
    <w:rsid w:val="004D7F7A"/>
    <w:rsid w:val="004E0952"/>
    <w:rsid w:val="004E0C33"/>
    <w:rsid w:val="004E0E21"/>
    <w:rsid w:val="004E125D"/>
    <w:rsid w:val="004E13FA"/>
    <w:rsid w:val="004E186A"/>
    <w:rsid w:val="004E1DC7"/>
    <w:rsid w:val="004E1F5B"/>
    <w:rsid w:val="004E23B6"/>
    <w:rsid w:val="004E24E8"/>
    <w:rsid w:val="004E2566"/>
    <w:rsid w:val="004E25B5"/>
    <w:rsid w:val="004E29AD"/>
    <w:rsid w:val="004E2A96"/>
    <w:rsid w:val="004E2C68"/>
    <w:rsid w:val="004E2D96"/>
    <w:rsid w:val="004E3250"/>
    <w:rsid w:val="004E3284"/>
    <w:rsid w:val="004E3409"/>
    <w:rsid w:val="004E348E"/>
    <w:rsid w:val="004E3AA2"/>
    <w:rsid w:val="004E3B1A"/>
    <w:rsid w:val="004E3CE6"/>
    <w:rsid w:val="004E3CE9"/>
    <w:rsid w:val="004E42F3"/>
    <w:rsid w:val="004E450D"/>
    <w:rsid w:val="004E4669"/>
    <w:rsid w:val="004E4C8B"/>
    <w:rsid w:val="004E4CE8"/>
    <w:rsid w:val="004E522A"/>
    <w:rsid w:val="004E5252"/>
    <w:rsid w:val="004E5409"/>
    <w:rsid w:val="004E54D3"/>
    <w:rsid w:val="004E5636"/>
    <w:rsid w:val="004E578B"/>
    <w:rsid w:val="004E5A6D"/>
    <w:rsid w:val="004E5CE2"/>
    <w:rsid w:val="004E6443"/>
    <w:rsid w:val="004E6B5B"/>
    <w:rsid w:val="004E6EE4"/>
    <w:rsid w:val="004E74F4"/>
    <w:rsid w:val="004E759A"/>
    <w:rsid w:val="004E75CF"/>
    <w:rsid w:val="004E76B6"/>
    <w:rsid w:val="004E79BC"/>
    <w:rsid w:val="004E7A18"/>
    <w:rsid w:val="004E7D1F"/>
    <w:rsid w:val="004F0122"/>
    <w:rsid w:val="004F01CA"/>
    <w:rsid w:val="004F01E6"/>
    <w:rsid w:val="004F0805"/>
    <w:rsid w:val="004F0850"/>
    <w:rsid w:val="004F0A75"/>
    <w:rsid w:val="004F0C0E"/>
    <w:rsid w:val="004F0DC3"/>
    <w:rsid w:val="004F1370"/>
    <w:rsid w:val="004F174D"/>
    <w:rsid w:val="004F1870"/>
    <w:rsid w:val="004F1B8F"/>
    <w:rsid w:val="004F1B9C"/>
    <w:rsid w:val="004F1C9E"/>
    <w:rsid w:val="004F1FF7"/>
    <w:rsid w:val="004F292D"/>
    <w:rsid w:val="004F29B1"/>
    <w:rsid w:val="004F3295"/>
    <w:rsid w:val="004F3336"/>
    <w:rsid w:val="004F33E9"/>
    <w:rsid w:val="004F3436"/>
    <w:rsid w:val="004F37A8"/>
    <w:rsid w:val="004F38AC"/>
    <w:rsid w:val="004F38D4"/>
    <w:rsid w:val="004F3BAA"/>
    <w:rsid w:val="004F3DA8"/>
    <w:rsid w:val="004F3E5C"/>
    <w:rsid w:val="004F4250"/>
    <w:rsid w:val="004F429E"/>
    <w:rsid w:val="004F42C1"/>
    <w:rsid w:val="004F4333"/>
    <w:rsid w:val="004F43F7"/>
    <w:rsid w:val="004F4566"/>
    <w:rsid w:val="004F48F7"/>
    <w:rsid w:val="004F4C9B"/>
    <w:rsid w:val="004F4D45"/>
    <w:rsid w:val="004F4E99"/>
    <w:rsid w:val="004F5012"/>
    <w:rsid w:val="004F52AC"/>
    <w:rsid w:val="004F5831"/>
    <w:rsid w:val="004F5835"/>
    <w:rsid w:val="004F59DA"/>
    <w:rsid w:val="004F5B5C"/>
    <w:rsid w:val="004F5FC3"/>
    <w:rsid w:val="004F614B"/>
    <w:rsid w:val="004F6283"/>
    <w:rsid w:val="004F634E"/>
    <w:rsid w:val="004F6368"/>
    <w:rsid w:val="004F652B"/>
    <w:rsid w:val="004F6564"/>
    <w:rsid w:val="004F6A6D"/>
    <w:rsid w:val="004F6D59"/>
    <w:rsid w:val="004F6F64"/>
    <w:rsid w:val="004F702A"/>
    <w:rsid w:val="004F72A5"/>
    <w:rsid w:val="004F73AB"/>
    <w:rsid w:val="004F744F"/>
    <w:rsid w:val="004F76D0"/>
    <w:rsid w:val="004F78B5"/>
    <w:rsid w:val="004F78EB"/>
    <w:rsid w:val="004F7B0C"/>
    <w:rsid w:val="004F7B79"/>
    <w:rsid w:val="004F7C6F"/>
    <w:rsid w:val="005001D7"/>
    <w:rsid w:val="00500223"/>
    <w:rsid w:val="00500423"/>
    <w:rsid w:val="005006A1"/>
    <w:rsid w:val="00500725"/>
    <w:rsid w:val="00500A4D"/>
    <w:rsid w:val="00500AA0"/>
    <w:rsid w:val="00500C05"/>
    <w:rsid w:val="00500C45"/>
    <w:rsid w:val="00500EA4"/>
    <w:rsid w:val="00500EE1"/>
    <w:rsid w:val="00500F3C"/>
    <w:rsid w:val="00501677"/>
    <w:rsid w:val="00501894"/>
    <w:rsid w:val="00501924"/>
    <w:rsid w:val="005019D2"/>
    <w:rsid w:val="00501B6B"/>
    <w:rsid w:val="00501BEC"/>
    <w:rsid w:val="00501DCA"/>
    <w:rsid w:val="00501E9D"/>
    <w:rsid w:val="00501FFA"/>
    <w:rsid w:val="0050208C"/>
    <w:rsid w:val="0050224B"/>
    <w:rsid w:val="00502385"/>
    <w:rsid w:val="0050259D"/>
    <w:rsid w:val="005025AB"/>
    <w:rsid w:val="00502DFA"/>
    <w:rsid w:val="005030BC"/>
    <w:rsid w:val="00503281"/>
    <w:rsid w:val="005033D1"/>
    <w:rsid w:val="005034F9"/>
    <w:rsid w:val="00503953"/>
    <w:rsid w:val="00503977"/>
    <w:rsid w:val="00503A1B"/>
    <w:rsid w:val="00503FF6"/>
    <w:rsid w:val="00504075"/>
    <w:rsid w:val="005040E8"/>
    <w:rsid w:val="00504156"/>
    <w:rsid w:val="0050489C"/>
    <w:rsid w:val="00504ED4"/>
    <w:rsid w:val="005054CC"/>
    <w:rsid w:val="00505799"/>
    <w:rsid w:val="00505B5B"/>
    <w:rsid w:val="00505D1A"/>
    <w:rsid w:val="0050658C"/>
    <w:rsid w:val="005065FF"/>
    <w:rsid w:val="0050663F"/>
    <w:rsid w:val="005067B0"/>
    <w:rsid w:val="0050728D"/>
    <w:rsid w:val="005072C5"/>
    <w:rsid w:val="00507390"/>
    <w:rsid w:val="00507398"/>
    <w:rsid w:val="005078DD"/>
    <w:rsid w:val="0050795F"/>
    <w:rsid w:val="0050798F"/>
    <w:rsid w:val="0051008F"/>
    <w:rsid w:val="005102CC"/>
    <w:rsid w:val="0051033E"/>
    <w:rsid w:val="0051047A"/>
    <w:rsid w:val="0051084F"/>
    <w:rsid w:val="00510AB7"/>
    <w:rsid w:val="00510E53"/>
    <w:rsid w:val="00510F41"/>
    <w:rsid w:val="00510FE5"/>
    <w:rsid w:val="0051131F"/>
    <w:rsid w:val="005119E9"/>
    <w:rsid w:val="00511BAF"/>
    <w:rsid w:val="00511E58"/>
    <w:rsid w:val="00512102"/>
    <w:rsid w:val="00512168"/>
    <w:rsid w:val="005122B4"/>
    <w:rsid w:val="005123F4"/>
    <w:rsid w:val="0051247A"/>
    <w:rsid w:val="00512637"/>
    <w:rsid w:val="00512D4E"/>
    <w:rsid w:val="00512E95"/>
    <w:rsid w:val="005135A0"/>
    <w:rsid w:val="00513642"/>
    <w:rsid w:val="005138EC"/>
    <w:rsid w:val="00513B23"/>
    <w:rsid w:val="00513C95"/>
    <w:rsid w:val="00513F17"/>
    <w:rsid w:val="00513F87"/>
    <w:rsid w:val="005142FD"/>
    <w:rsid w:val="005144EF"/>
    <w:rsid w:val="0051450A"/>
    <w:rsid w:val="0051450C"/>
    <w:rsid w:val="00514514"/>
    <w:rsid w:val="00514536"/>
    <w:rsid w:val="005146A0"/>
    <w:rsid w:val="00514A10"/>
    <w:rsid w:val="00514C92"/>
    <w:rsid w:val="00514F02"/>
    <w:rsid w:val="00515054"/>
    <w:rsid w:val="00515186"/>
    <w:rsid w:val="005153F9"/>
    <w:rsid w:val="00515432"/>
    <w:rsid w:val="00515767"/>
    <w:rsid w:val="005159E4"/>
    <w:rsid w:val="005159FC"/>
    <w:rsid w:val="00515B13"/>
    <w:rsid w:val="00515F4F"/>
    <w:rsid w:val="005169D6"/>
    <w:rsid w:val="00516C95"/>
    <w:rsid w:val="00516D13"/>
    <w:rsid w:val="005170BE"/>
    <w:rsid w:val="00517607"/>
    <w:rsid w:val="00517853"/>
    <w:rsid w:val="0051785A"/>
    <w:rsid w:val="00517975"/>
    <w:rsid w:val="00517ED0"/>
    <w:rsid w:val="00517F84"/>
    <w:rsid w:val="00520188"/>
    <w:rsid w:val="005204C6"/>
    <w:rsid w:val="00520702"/>
    <w:rsid w:val="00520749"/>
    <w:rsid w:val="00520850"/>
    <w:rsid w:val="00520DCD"/>
    <w:rsid w:val="00521165"/>
    <w:rsid w:val="005212FC"/>
    <w:rsid w:val="005214F6"/>
    <w:rsid w:val="00521F30"/>
    <w:rsid w:val="005220F8"/>
    <w:rsid w:val="00522487"/>
    <w:rsid w:val="005224A4"/>
    <w:rsid w:val="00522611"/>
    <w:rsid w:val="00522872"/>
    <w:rsid w:val="00522C2C"/>
    <w:rsid w:val="00522F59"/>
    <w:rsid w:val="005231C4"/>
    <w:rsid w:val="005231D0"/>
    <w:rsid w:val="00523262"/>
    <w:rsid w:val="00523ADE"/>
    <w:rsid w:val="00523B23"/>
    <w:rsid w:val="00523BC4"/>
    <w:rsid w:val="00523D7A"/>
    <w:rsid w:val="00523E8C"/>
    <w:rsid w:val="0052469A"/>
    <w:rsid w:val="005249EC"/>
    <w:rsid w:val="005249F3"/>
    <w:rsid w:val="00524B06"/>
    <w:rsid w:val="00524D93"/>
    <w:rsid w:val="00525250"/>
    <w:rsid w:val="005255D0"/>
    <w:rsid w:val="005257A9"/>
    <w:rsid w:val="00525BB3"/>
    <w:rsid w:val="00525F54"/>
    <w:rsid w:val="005260F2"/>
    <w:rsid w:val="00526372"/>
    <w:rsid w:val="0052674A"/>
    <w:rsid w:val="00526D55"/>
    <w:rsid w:val="00526DC0"/>
    <w:rsid w:val="0052759F"/>
    <w:rsid w:val="00527870"/>
    <w:rsid w:val="00527DC0"/>
    <w:rsid w:val="00527E09"/>
    <w:rsid w:val="00530010"/>
    <w:rsid w:val="0053016F"/>
    <w:rsid w:val="0053018C"/>
    <w:rsid w:val="0053020C"/>
    <w:rsid w:val="00530380"/>
    <w:rsid w:val="005304F3"/>
    <w:rsid w:val="00530B05"/>
    <w:rsid w:val="00531239"/>
    <w:rsid w:val="005315D6"/>
    <w:rsid w:val="00531983"/>
    <w:rsid w:val="00531E85"/>
    <w:rsid w:val="005323CA"/>
    <w:rsid w:val="0053267F"/>
    <w:rsid w:val="00532807"/>
    <w:rsid w:val="0053285E"/>
    <w:rsid w:val="00532A7E"/>
    <w:rsid w:val="00532B0D"/>
    <w:rsid w:val="00532C1A"/>
    <w:rsid w:val="00532CBF"/>
    <w:rsid w:val="00532CF1"/>
    <w:rsid w:val="00533401"/>
    <w:rsid w:val="00533971"/>
    <w:rsid w:val="00533BCD"/>
    <w:rsid w:val="00533C0D"/>
    <w:rsid w:val="00534120"/>
    <w:rsid w:val="00534199"/>
    <w:rsid w:val="005342F8"/>
    <w:rsid w:val="005345A6"/>
    <w:rsid w:val="005346F7"/>
    <w:rsid w:val="00534EC4"/>
    <w:rsid w:val="005355F8"/>
    <w:rsid w:val="0053571F"/>
    <w:rsid w:val="005357E1"/>
    <w:rsid w:val="00535BD7"/>
    <w:rsid w:val="00535E09"/>
    <w:rsid w:val="00536102"/>
    <w:rsid w:val="005361F9"/>
    <w:rsid w:val="00536672"/>
    <w:rsid w:val="005367D3"/>
    <w:rsid w:val="00536B31"/>
    <w:rsid w:val="00536F6F"/>
    <w:rsid w:val="0053728F"/>
    <w:rsid w:val="0053744A"/>
    <w:rsid w:val="005377AF"/>
    <w:rsid w:val="005377D2"/>
    <w:rsid w:val="005377DC"/>
    <w:rsid w:val="0053780C"/>
    <w:rsid w:val="00537A01"/>
    <w:rsid w:val="00537EB6"/>
    <w:rsid w:val="00537FDD"/>
    <w:rsid w:val="00540126"/>
    <w:rsid w:val="005403E0"/>
    <w:rsid w:val="0054058A"/>
    <w:rsid w:val="00540621"/>
    <w:rsid w:val="00540AD0"/>
    <w:rsid w:val="00540AED"/>
    <w:rsid w:val="00540EAF"/>
    <w:rsid w:val="005411B8"/>
    <w:rsid w:val="00541351"/>
    <w:rsid w:val="005418C9"/>
    <w:rsid w:val="0054198B"/>
    <w:rsid w:val="0054250D"/>
    <w:rsid w:val="00542604"/>
    <w:rsid w:val="0054278F"/>
    <w:rsid w:val="00542A84"/>
    <w:rsid w:val="00542B61"/>
    <w:rsid w:val="00542D4F"/>
    <w:rsid w:val="005438CD"/>
    <w:rsid w:val="0054393D"/>
    <w:rsid w:val="00543998"/>
    <w:rsid w:val="005439EE"/>
    <w:rsid w:val="00543F63"/>
    <w:rsid w:val="00543F66"/>
    <w:rsid w:val="0054406F"/>
    <w:rsid w:val="005441A0"/>
    <w:rsid w:val="005445D6"/>
    <w:rsid w:val="00544BB1"/>
    <w:rsid w:val="00544D57"/>
    <w:rsid w:val="00544DB0"/>
    <w:rsid w:val="00544F2A"/>
    <w:rsid w:val="0054517B"/>
    <w:rsid w:val="0054573E"/>
    <w:rsid w:val="005458FB"/>
    <w:rsid w:val="00546008"/>
    <w:rsid w:val="00546243"/>
    <w:rsid w:val="00546278"/>
    <w:rsid w:val="005462AB"/>
    <w:rsid w:val="005463BF"/>
    <w:rsid w:val="005463E2"/>
    <w:rsid w:val="0054696A"/>
    <w:rsid w:val="00546F30"/>
    <w:rsid w:val="0054758E"/>
    <w:rsid w:val="005476F8"/>
    <w:rsid w:val="00547774"/>
    <w:rsid w:val="00547A83"/>
    <w:rsid w:val="0055053B"/>
    <w:rsid w:val="00550580"/>
    <w:rsid w:val="005508E0"/>
    <w:rsid w:val="00550D07"/>
    <w:rsid w:val="005511C7"/>
    <w:rsid w:val="0055137D"/>
    <w:rsid w:val="00551437"/>
    <w:rsid w:val="005515EE"/>
    <w:rsid w:val="00551973"/>
    <w:rsid w:val="00551D9A"/>
    <w:rsid w:val="00551E0B"/>
    <w:rsid w:val="00552488"/>
    <w:rsid w:val="0055260D"/>
    <w:rsid w:val="005529BB"/>
    <w:rsid w:val="005529BD"/>
    <w:rsid w:val="00552A6C"/>
    <w:rsid w:val="00552AB7"/>
    <w:rsid w:val="00552B86"/>
    <w:rsid w:val="00552D32"/>
    <w:rsid w:val="00552F26"/>
    <w:rsid w:val="00553062"/>
    <w:rsid w:val="005530A0"/>
    <w:rsid w:val="0055375E"/>
    <w:rsid w:val="005538F2"/>
    <w:rsid w:val="00553EC0"/>
    <w:rsid w:val="00554A38"/>
    <w:rsid w:val="00554A78"/>
    <w:rsid w:val="00554D61"/>
    <w:rsid w:val="00554EAB"/>
    <w:rsid w:val="00555045"/>
    <w:rsid w:val="005554E4"/>
    <w:rsid w:val="00555813"/>
    <w:rsid w:val="00556308"/>
    <w:rsid w:val="0055679C"/>
    <w:rsid w:val="00556894"/>
    <w:rsid w:val="005569CA"/>
    <w:rsid w:val="00556FE0"/>
    <w:rsid w:val="00557028"/>
    <w:rsid w:val="00557068"/>
    <w:rsid w:val="005573E9"/>
    <w:rsid w:val="005574F9"/>
    <w:rsid w:val="0055751B"/>
    <w:rsid w:val="005575D0"/>
    <w:rsid w:val="0055767F"/>
    <w:rsid w:val="005576D9"/>
    <w:rsid w:val="0055791F"/>
    <w:rsid w:val="00557B2C"/>
    <w:rsid w:val="00557FE6"/>
    <w:rsid w:val="0056068A"/>
    <w:rsid w:val="005609DD"/>
    <w:rsid w:val="00560BFA"/>
    <w:rsid w:val="00560D63"/>
    <w:rsid w:val="00560E67"/>
    <w:rsid w:val="00561035"/>
    <w:rsid w:val="005610AD"/>
    <w:rsid w:val="005610B7"/>
    <w:rsid w:val="005611A9"/>
    <w:rsid w:val="00561628"/>
    <w:rsid w:val="00561A62"/>
    <w:rsid w:val="00561F85"/>
    <w:rsid w:val="0056242E"/>
    <w:rsid w:val="00562BBE"/>
    <w:rsid w:val="00562BE9"/>
    <w:rsid w:val="00562CF6"/>
    <w:rsid w:val="00562ED7"/>
    <w:rsid w:val="00563863"/>
    <w:rsid w:val="00563A5A"/>
    <w:rsid w:val="005640D3"/>
    <w:rsid w:val="0056410F"/>
    <w:rsid w:val="0056448D"/>
    <w:rsid w:val="005644DB"/>
    <w:rsid w:val="005646E8"/>
    <w:rsid w:val="00564744"/>
    <w:rsid w:val="005647CF"/>
    <w:rsid w:val="00564849"/>
    <w:rsid w:val="00564A3B"/>
    <w:rsid w:val="00564A5C"/>
    <w:rsid w:val="005650F7"/>
    <w:rsid w:val="0056552D"/>
    <w:rsid w:val="005656B9"/>
    <w:rsid w:val="00565A45"/>
    <w:rsid w:val="00565A67"/>
    <w:rsid w:val="0056606C"/>
    <w:rsid w:val="0056636B"/>
    <w:rsid w:val="005665B3"/>
    <w:rsid w:val="0056665B"/>
    <w:rsid w:val="0056685F"/>
    <w:rsid w:val="00566978"/>
    <w:rsid w:val="00566C80"/>
    <w:rsid w:val="00566D06"/>
    <w:rsid w:val="00566D5A"/>
    <w:rsid w:val="00566D80"/>
    <w:rsid w:val="00566DD2"/>
    <w:rsid w:val="00567343"/>
    <w:rsid w:val="005673E4"/>
    <w:rsid w:val="005676F0"/>
    <w:rsid w:val="00567763"/>
    <w:rsid w:val="00567821"/>
    <w:rsid w:val="00567DCC"/>
    <w:rsid w:val="00567F07"/>
    <w:rsid w:val="00567FBA"/>
    <w:rsid w:val="005701BA"/>
    <w:rsid w:val="0057058A"/>
    <w:rsid w:val="00570877"/>
    <w:rsid w:val="00570D68"/>
    <w:rsid w:val="005712EE"/>
    <w:rsid w:val="005713E4"/>
    <w:rsid w:val="0057151F"/>
    <w:rsid w:val="0057153E"/>
    <w:rsid w:val="00571800"/>
    <w:rsid w:val="00571821"/>
    <w:rsid w:val="005719EE"/>
    <w:rsid w:val="00571C0A"/>
    <w:rsid w:val="00572108"/>
    <w:rsid w:val="005721C3"/>
    <w:rsid w:val="005722D5"/>
    <w:rsid w:val="005727AA"/>
    <w:rsid w:val="0057296B"/>
    <w:rsid w:val="00572BAE"/>
    <w:rsid w:val="00572BFE"/>
    <w:rsid w:val="00572F7C"/>
    <w:rsid w:val="00572FD1"/>
    <w:rsid w:val="00573461"/>
    <w:rsid w:val="00573B80"/>
    <w:rsid w:val="00573F6A"/>
    <w:rsid w:val="00573F87"/>
    <w:rsid w:val="005742B8"/>
    <w:rsid w:val="00574341"/>
    <w:rsid w:val="00574A43"/>
    <w:rsid w:val="00574BA8"/>
    <w:rsid w:val="00574F6F"/>
    <w:rsid w:val="0057502F"/>
    <w:rsid w:val="0057518A"/>
    <w:rsid w:val="005753A8"/>
    <w:rsid w:val="00575402"/>
    <w:rsid w:val="005757C1"/>
    <w:rsid w:val="005757D3"/>
    <w:rsid w:val="00575885"/>
    <w:rsid w:val="005759D7"/>
    <w:rsid w:val="00575ABF"/>
    <w:rsid w:val="00575B2E"/>
    <w:rsid w:val="00575C30"/>
    <w:rsid w:val="00575E10"/>
    <w:rsid w:val="00575E3E"/>
    <w:rsid w:val="0057608C"/>
    <w:rsid w:val="005760B7"/>
    <w:rsid w:val="00576271"/>
    <w:rsid w:val="00576528"/>
    <w:rsid w:val="0057652B"/>
    <w:rsid w:val="00576750"/>
    <w:rsid w:val="005768AC"/>
    <w:rsid w:val="00576BD8"/>
    <w:rsid w:val="0057788E"/>
    <w:rsid w:val="00577FCB"/>
    <w:rsid w:val="00580077"/>
    <w:rsid w:val="0058012A"/>
    <w:rsid w:val="005805C5"/>
    <w:rsid w:val="00580935"/>
    <w:rsid w:val="00580936"/>
    <w:rsid w:val="00580A03"/>
    <w:rsid w:val="00580C11"/>
    <w:rsid w:val="00580CAE"/>
    <w:rsid w:val="0058147B"/>
    <w:rsid w:val="0058184B"/>
    <w:rsid w:val="00581C11"/>
    <w:rsid w:val="00581F0F"/>
    <w:rsid w:val="00581F46"/>
    <w:rsid w:val="00582146"/>
    <w:rsid w:val="00582495"/>
    <w:rsid w:val="0058249F"/>
    <w:rsid w:val="005824AF"/>
    <w:rsid w:val="005824E0"/>
    <w:rsid w:val="00582E7E"/>
    <w:rsid w:val="00582F9E"/>
    <w:rsid w:val="00582FDC"/>
    <w:rsid w:val="0058300E"/>
    <w:rsid w:val="005830D1"/>
    <w:rsid w:val="00583195"/>
    <w:rsid w:val="0058326E"/>
    <w:rsid w:val="00583379"/>
    <w:rsid w:val="005834A7"/>
    <w:rsid w:val="00583535"/>
    <w:rsid w:val="00583AE1"/>
    <w:rsid w:val="00584028"/>
    <w:rsid w:val="005841D6"/>
    <w:rsid w:val="005844A8"/>
    <w:rsid w:val="00584537"/>
    <w:rsid w:val="0058483D"/>
    <w:rsid w:val="00584EFE"/>
    <w:rsid w:val="00585043"/>
    <w:rsid w:val="0058531C"/>
    <w:rsid w:val="00585405"/>
    <w:rsid w:val="005858D6"/>
    <w:rsid w:val="005858E1"/>
    <w:rsid w:val="00585F2B"/>
    <w:rsid w:val="00586425"/>
    <w:rsid w:val="00586BB2"/>
    <w:rsid w:val="00587211"/>
    <w:rsid w:val="00587292"/>
    <w:rsid w:val="00587353"/>
    <w:rsid w:val="00587986"/>
    <w:rsid w:val="00587ACC"/>
    <w:rsid w:val="00587CA8"/>
    <w:rsid w:val="005902EA"/>
    <w:rsid w:val="00590507"/>
    <w:rsid w:val="00590574"/>
    <w:rsid w:val="005905B1"/>
    <w:rsid w:val="00590688"/>
    <w:rsid w:val="005908DA"/>
    <w:rsid w:val="00590C1E"/>
    <w:rsid w:val="00590C28"/>
    <w:rsid w:val="00590C51"/>
    <w:rsid w:val="00590F10"/>
    <w:rsid w:val="00591626"/>
    <w:rsid w:val="005916C1"/>
    <w:rsid w:val="005916EF"/>
    <w:rsid w:val="005917D8"/>
    <w:rsid w:val="005918AC"/>
    <w:rsid w:val="00591939"/>
    <w:rsid w:val="00591E20"/>
    <w:rsid w:val="005920B5"/>
    <w:rsid w:val="005921D3"/>
    <w:rsid w:val="005922F1"/>
    <w:rsid w:val="005925BB"/>
    <w:rsid w:val="00592918"/>
    <w:rsid w:val="00592BEE"/>
    <w:rsid w:val="00592DD3"/>
    <w:rsid w:val="00593163"/>
    <w:rsid w:val="005931C9"/>
    <w:rsid w:val="00593425"/>
    <w:rsid w:val="00593680"/>
    <w:rsid w:val="005937E9"/>
    <w:rsid w:val="005939C3"/>
    <w:rsid w:val="00593ABA"/>
    <w:rsid w:val="00593CA1"/>
    <w:rsid w:val="00593D6A"/>
    <w:rsid w:val="00593E5A"/>
    <w:rsid w:val="00593F0C"/>
    <w:rsid w:val="00593FB2"/>
    <w:rsid w:val="005942AA"/>
    <w:rsid w:val="00594565"/>
    <w:rsid w:val="00594924"/>
    <w:rsid w:val="00594C09"/>
    <w:rsid w:val="00594DEA"/>
    <w:rsid w:val="0059504C"/>
    <w:rsid w:val="005950BD"/>
    <w:rsid w:val="00595112"/>
    <w:rsid w:val="005951A0"/>
    <w:rsid w:val="005951B4"/>
    <w:rsid w:val="005951C2"/>
    <w:rsid w:val="0059535B"/>
    <w:rsid w:val="0059591F"/>
    <w:rsid w:val="005959A5"/>
    <w:rsid w:val="00596592"/>
    <w:rsid w:val="005967A8"/>
    <w:rsid w:val="00596AB7"/>
    <w:rsid w:val="00596B59"/>
    <w:rsid w:val="00596D9E"/>
    <w:rsid w:val="005972DB"/>
    <w:rsid w:val="00597362"/>
    <w:rsid w:val="00597418"/>
    <w:rsid w:val="0059763F"/>
    <w:rsid w:val="005978BD"/>
    <w:rsid w:val="00597B9A"/>
    <w:rsid w:val="00597C7F"/>
    <w:rsid w:val="00597E47"/>
    <w:rsid w:val="005A0065"/>
    <w:rsid w:val="005A029D"/>
    <w:rsid w:val="005A03EB"/>
    <w:rsid w:val="005A04EE"/>
    <w:rsid w:val="005A0921"/>
    <w:rsid w:val="005A0987"/>
    <w:rsid w:val="005A0EDF"/>
    <w:rsid w:val="005A0F7A"/>
    <w:rsid w:val="005A1225"/>
    <w:rsid w:val="005A13B8"/>
    <w:rsid w:val="005A1522"/>
    <w:rsid w:val="005A1D40"/>
    <w:rsid w:val="005A1D5B"/>
    <w:rsid w:val="005A2099"/>
    <w:rsid w:val="005A20FA"/>
    <w:rsid w:val="005A219A"/>
    <w:rsid w:val="005A2740"/>
    <w:rsid w:val="005A2A21"/>
    <w:rsid w:val="005A2A73"/>
    <w:rsid w:val="005A2BED"/>
    <w:rsid w:val="005A2C5B"/>
    <w:rsid w:val="005A2CF9"/>
    <w:rsid w:val="005A2E1F"/>
    <w:rsid w:val="005A3117"/>
    <w:rsid w:val="005A3318"/>
    <w:rsid w:val="005A34A9"/>
    <w:rsid w:val="005A360D"/>
    <w:rsid w:val="005A3886"/>
    <w:rsid w:val="005A3A1C"/>
    <w:rsid w:val="005A3BA9"/>
    <w:rsid w:val="005A3D66"/>
    <w:rsid w:val="005A3F53"/>
    <w:rsid w:val="005A4233"/>
    <w:rsid w:val="005A455C"/>
    <w:rsid w:val="005A4686"/>
    <w:rsid w:val="005A476B"/>
    <w:rsid w:val="005A49F3"/>
    <w:rsid w:val="005A4BC5"/>
    <w:rsid w:val="005A52C3"/>
    <w:rsid w:val="005A53EE"/>
    <w:rsid w:val="005A5410"/>
    <w:rsid w:val="005A547E"/>
    <w:rsid w:val="005A549D"/>
    <w:rsid w:val="005A5A72"/>
    <w:rsid w:val="005A5BC8"/>
    <w:rsid w:val="005A5D51"/>
    <w:rsid w:val="005A6686"/>
    <w:rsid w:val="005A6E03"/>
    <w:rsid w:val="005A6EA8"/>
    <w:rsid w:val="005A6EE8"/>
    <w:rsid w:val="005A7121"/>
    <w:rsid w:val="005A7BF4"/>
    <w:rsid w:val="005A7CC4"/>
    <w:rsid w:val="005A7CFB"/>
    <w:rsid w:val="005B01BC"/>
    <w:rsid w:val="005B01F9"/>
    <w:rsid w:val="005B027F"/>
    <w:rsid w:val="005B0443"/>
    <w:rsid w:val="005B0512"/>
    <w:rsid w:val="005B061C"/>
    <w:rsid w:val="005B0C3A"/>
    <w:rsid w:val="005B0E36"/>
    <w:rsid w:val="005B10DD"/>
    <w:rsid w:val="005B1310"/>
    <w:rsid w:val="005B1510"/>
    <w:rsid w:val="005B18A7"/>
    <w:rsid w:val="005B1CD1"/>
    <w:rsid w:val="005B1D5D"/>
    <w:rsid w:val="005B1EB6"/>
    <w:rsid w:val="005B1F5D"/>
    <w:rsid w:val="005B1F63"/>
    <w:rsid w:val="005B1FCC"/>
    <w:rsid w:val="005B21D6"/>
    <w:rsid w:val="005B2813"/>
    <w:rsid w:val="005B2B7B"/>
    <w:rsid w:val="005B2E3C"/>
    <w:rsid w:val="005B324A"/>
    <w:rsid w:val="005B3475"/>
    <w:rsid w:val="005B37C0"/>
    <w:rsid w:val="005B3911"/>
    <w:rsid w:val="005B3EF1"/>
    <w:rsid w:val="005B457D"/>
    <w:rsid w:val="005B4681"/>
    <w:rsid w:val="005B4B7B"/>
    <w:rsid w:val="005B52B2"/>
    <w:rsid w:val="005B55B9"/>
    <w:rsid w:val="005B5A69"/>
    <w:rsid w:val="005B5B9D"/>
    <w:rsid w:val="005B5DE3"/>
    <w:rsid w:val="005B5E49"/>
    <w:rsid w:val="005B5F15"/>
    <w:rsid w:val="005B5F9A"/>
    <w:rsid w:val="005B6278"/>
    <w:rsid w:val="005B627E"/>
    <w:rsid w:val="005B6955"/>
    <w:rsid w:val="005B6A06"/>
    <w:rsid w:val="005B6D81"/>
    <w:rsid w:val="005B6F47"/>
    <w:rsid w:val="005B6FF3"/>
    <w:rsid w:val="005B7060"/>
    <w:rsid w:val="005B7142"/>
    <w:rsid w:val="005B7412"/>
    <w:rsid w:val="005B7519"/>
    <w:rsid w:val="005B7556"/>
    <w:rsid w:val="005B75A0"/>
    <w:rsid w:val="005B75E1"/>
    <w:rsid w:val="005B7740"/>
    <w:rsid w:val="005B7747"/>
    <w:rsid w:val="005B7807"/>
    <w:rsid w:val="005B7A98"/>
    <w:rsid w:val="005B7BB7"/>
    <w:rsid w:val="005B7C3F"/>
    <w:rsid w:val="005B7C5B"/>
    <w:rsid w:val="005B7CA9"/>
    <w:rsid w:val="005B7F12"/>
    <w:rsid w:val="005B7FE8"/>
    <w:rsid w:val="005C0231"/>
    <w:rsid w:val="005C0490"/>
    <w:rsid w:val="005C0868"/>
    <w:rsid w:val="005C105B"/>
    <w:rsid w:val="005C10B0"/>
    <w:rsid w:val="005C134E"/>
    <w:rsid w:val="005C13A0"/>
    <w:rsid w:val="005C1551"/>
    <w:rsid w:val="005C16AD"/>
    <w:rsid w:val="005C18EC"/>
    <w:rsid w:val="005C1C34"/>
    <w:rsid w:val="005C1F0D"/>
    <w:rsid w:val="005C1F17"/>
    <w:rsid w:val="005C24EC"/>
    <w:rsid w:val="005C26BC"/>
    <w:rsid w:val="005C27D0"/>
    <w:rsid w:val="005C29CE"/>
    <w:rsid w:val="005C29EA"/>
    <w:rsid w:val="005C2BF6"/>
    <w:rsid w:val="005C358E"/>
    <w:rsid w:val="005C377F"/>
    <w:rsid w:val="005C37C0"/>
    <w:rsid w:val="005C3F52"/>
    <w:rsid w:val="005C45F0"/>
    <w:rsid w:val="005C4657"/>
    <w:rsid w:val="005C4734"/>
    <w:rsid w:val="005C47D4"/>
    <w:rsid w:val="005C47EC"/>
    <w:rsid w:val="005C49B9"/>
    <w:rsid w:val="005C4A10"/>
    <w:rsid w:val="005C4C2C"/>
    <w:rsid w:val="005C4D7A"/>
    <w:rsid w:val="005C4F89"/>
    <w:rsid w:val="005C4F94"/>
    <w:rsid w:val="005C4FFC"/>
    <w:rsid w:val="005C510D"/>
    <w:rsid w:val="005C528A"/>
    <w:rsid w:val="005C59A8"/>
    <w:rsid w:val="005C5F8A"/>
    <w:rsid w:val="005C5FB4"/>
    <w:rsid w:val="005C6082"/>
    <w:rsid w:val="005C6605"/>
    <w:rsid w:val="005C699F"/>
    <w:rsid w:val="005C6B8A"/>
    <w:rsid w:val="005C6BD4"/>
    <w:rsid w:val="005C6BFC"/>
    <w:rsid w:val="005C6E1A"/>
    <w:rsid w:val="005C6E5C"/>
    <w:rsid w:val="005C7695"/>
    <w:rsid w:val="005C76D9"/>
    <w:rsid w:val="005C76E3"/>
    <w:rsid w:val="005C7907"/>
    <w:rsid w:val="005C7D0F"/>
    <w:rsid w:val="005D01A6"/>
    <w:rsid w:val="005D059A"/>
    <w:rsid w:val="005D061E"/>
    <w:rsid w:val="005D0802"/>
    <w:rsid w:val="005D0937"/>
    <w:rsid w:val="005D09E5"/>
    <w:rsid w:val="005D0B3A"/>
    <w:rsid w:val="005D10F0"/>
    <w:rsid w:val="005D15A1"/>
    <w:rsid w:val="005D194A"/>
    <w:rsid w:val="005D19BE"/>
    <w:rsid w:val="005D1A69"/>
    <w:rsid w:val="005D1BE5"/>
    <w:rsid w:val="005D1C96"/>
    <w:rsid w:val="005D1D80"/>
    <w:rsid w:val="005D1F5F"/>
    <w:rsid w:val="005D1F90"/>
    <w:rsid w:val="005D2363"/>
    <w:rsid w:val="005D250C"/>
    <w:rsid w:val="005D2847"/>
    <w:rsid w:val="005D2A10"/>
    <w:rsid w:val="005D2E6E"/>
    <w:rsid w:val="005D3126"/>
    <w:rsid w:val="005D3555"/>
    <w:rsid w:val="005D35AC"/>
    <w:rsid w:val="005D3AB0"/>
    <w:rsid w:val="005D3C9A"/>
    <w:rsid w:val="005D3F0D"/>
    <w:rsid w:val="005D447E"/>
    <w:rsid w:val="005D4814"/>
    <w:rsid w:val="005D52EB"/>
    <w:rsid w:val="005D593B"/>
    <w:rsid w:val="005D5A13"/>
    <w:rsid w:val="005D5ABA"/>
    <w:rsid w:val="005D5B2E"/>
    <w:rsid w:val="005D5D0D"/>
    <w:rsid w:val="005D6064"/>
    <w:rsid w:val="005D63CA"/>
    <w:rsid w:val="005D685F"/>
    <w:rsid w:val="005D68EF"/>
    <w:rsid w:val="005D6981"/>
    <w:rsid w:val="005D6B80"/>
    <w:rsid w:val="005D6F4E"/>
    <w:rsid w:val="005D6FA2"/>
    <w:rsid w:val="005D70C2"/>
    <w:rsid w:val="005D74D8"/>
    <w:rsid w:val="005D7888"/>
    <w:rsid w:val="005D7AC2"/>
    <w:rsid w:val="005D7DD7"/>
    <w:rsid w:val="005E0154"/>
    <w:rsid w:val="005E02EA"/>
    <w:rsid w:val="005E0337"/>
    <w:rsid w:val="005E03AD"/>
    <w:rsid w:val="005E08E9"/>
    <w:rsid w:val="005E14F5"/>
    <w:rsid w:val="005E15AF"/>
    <w:rsid w:val="005E1AD2"/>
    <w:rsid w:val="005E1FB7"/>
    <w:rsid w:val="005E1FCE"/>
    <w:rsid w:val="005E21E2"/>
    <w:rsid w:val="005E21E4"/>
    <w:rsid w:val="005E2927"/>
    <w:rsid w:val="005E2B5D"/>
    <w:rsid w:val="005E2F22"/>
    <w:rsid w:val="005E321A"/>
    <w:rsid w:val="005E3630"/>
    <w:rsid w:val="005E3F3F"/>
    <w:rsid w:val="005E4137"/>
    <w:rsid w:val="005E435D"/>
    <w:rsid w:val="005E459E"/>
    <w:rsid w:val="005E46FA"/>
    <w:rsid w:val="005E471D"/>
    <w:rsid w:val="005E4E05"/>
    <w:rsid w:val="005E5529"/>
    <w:rsid w:val="005E5574"/>
    <w:rsid w:val="005E59B9"/>
    <w:rsid w:val="005E59BA"/>
    <w:rsid w:val="005E5A5B"/>
    <w:rsid w:val="005E5BD0"/>
    <w:rsid w:val="005E5E28"/>
    <w:rsid w:val="005E641F"/>
    <w:rsid w:val="005E686D"/>
    <w:rsid w:val="005E697F"/>
    <w:rsid w:val="005E6A30"/>
    <w:rsid w:val="005E6A62"/>
    <w:rsid w:val="005E6E19"/>
    <w:rsid w:val="005E6EDD"/>
    <w:rsid w:val="005E6F10"/>
    <w:rsid w:val="005E704D"/>
    <w:rsid w:val="005E707F"/>
    <w:rsid w:val="005E737B"/>
    <w:rsid w:val="005E7511"/>
    <w:rsid w:val="005E756C"/>
    <w:rsid w:val="005E7B38"/>
    <w:rsid w:val="005E7BA5"/>
    <w:rsid w:val="005E7BB9"/>
    <w:rsid w:val="005E7F07"/>
    <w:rsid w:val="005F045F"/>
    <w:rsid w:val="005F05C8"/>
    <w:rsid w:val="005F089A"/>
    <w:rsid w:val="005F09BF"/>
    <w:rsid w:val="005F0C23"/>
    <w:rsid w:val="005F12AC"/>
    <w:rsid w:val="005F1420"/>
    <w:rsid w:val="005F1653"/>
    <w:rsid w:val="005F16E2"/>
    <w:rsid w:val="005F1733"/>
    <w:rsid w:val="005F19EA"/>
    <w:rsid w:val="005F1AEF"/>
    <w:rsid w:val="005F1BFC"/>
    <w:rsid w:val="005F22FF"/>
    <w:rsid w:val="005F2355"/>
    <w:rsid w:val="005F26F1"/>
    <w:rsid w:val="005F275B"/>
    <w:rsid w:val="005F2C4B"/>
    <w:rsid w:val="005F3020"/>
    <w:rsid w:val="005F3268"/>
    <w:rsid w:val="005F3794"/>
    <w:rsid w:val="005F3A26"/>
    <w:rsid w:val="005F3BBB"/>
    <w:rsid w:val="005F3C32"/>
    <w:rsid w:val="005F3D3B"/>
    <w:rsid w:val="005F43BB"/>
    <w:rsid w:val="005F43FD"/>
    <w:rsid w:val="005F480C"/>
    <w:rsid w:val="005F5610"/>
    <w:rsid w:val="005F5DA6"/>
    <w:rsid w:val="005F5E25"/>
    <w:rsid w:val="005F5EBE"/>
    <w:rsid w:val="005F6984"/>
    <w:rsid w:val="005F6A3D"/>
    <w:rsid w:val="005F6AC4"/>
    <w:rsid w:val="005F6F75"/>
    <w:rsid w:val="005F725E"/>
    <w:rsid w:val="005F73AF"/>
    <w:rsid w:val="005F742E"/>
    <w:rsid w:val="005F75F1"/>
    <w:rsid w:val="005F7664"/>
    <w:rsid w:val="005F7BA3"/>
    <w:rsid w:val="005F7C69"/>
    <w:rsid w:val="00600121"/>
    <w:rsid w:val="006004D4"/>
    <w:rsid w:val="00600605"/>
    <w:rsid w:val="00600BF3"/>
    <w:rsid w:val="00600E0E"/>
    <w:rsid w:val="0060109D"/>
    <w:rsid w:val="00601127"/>
    <w:rsid w:val="00601193"/>
    <w:rsid w:val="006011BE"/>
    <w:rsid w:val="00601351"/>
    <w:rsid w:val="006013CD"/>
    <w:rsid w:val="00601637"/>
    <w:rsid w:val="0060168A"/>
    <w:rsid w:val="00601810"/>
    <w:rsid w:val="00601ADE"/>
    <w:rsid w:val="00601F26"/>
    <w:rsid w:val="006020FB"/>
    <w:rsid w:val="006022BE"/>
    <w:rsid w:val="00602498"/>
    <w:rsid w:val="00602720"/>
    <w:rsid w:val="00602740"/>
    <w:rsid w:val="006029FA"/>
    <w:rsid w:val="00602C37"/>
    <w:rsid w:val="00602D1E"/>
    <w:rsid w:val="00603416"/>
    <w:rsid w:val="0060358E"/>
    <w:rsid w:val="00603915"/>
    <w:rsid w:val="00603B16"/>
    <w:rsid w:val="00603DDB"/>
    <w:rsid w:val="00603F69"/>
    <w:rsid w:val="00604067"/>
    <w:rsid w:val="00604082"/>
    <w:rsid w:val="006046F4"/>
    <w:rsid w:val="00604784"/>
    <w:rsid w:val="00604FA0"/>
    <w:rsid w:val="00605027"/>
    <w:rsid w:val="006051A8"/>
    <w:rsid w:val="006057E0"/>
    <w:rsid w:val="0060599C"/>
    <w:rsid w:val="00605E88"/>
    <w:rsid w:val="006061E1"/>
    <w:rsid w:val="006063BB"/>
    <w:rsid w:val="006067D7"/>
    <w:rsid w:val="00606821"/>
    <w:rsid w:val="00606891"/>
    <w:rsid w:val="006068B5"/>
    <w:rsid w:val="00606A7E"/>
    <w:rsid w:val="00606FEB"/>
    <w:rsid w:val="006071AE"/>
    <w:rsid w:val="0060751B"/>
    <w:rsid w:val="00607579"/>
    <w:rsid w:val="006077AC"/>
    <w:rsid w:val="0061002B"/>
    <w:rsid w:val="0061036D"/>
    <w:rsid w:val="006104C0"/>
    <w:rsid w:val="006106BF"/>
    <w:rsid w:val="006107C2"/>
    <w:rsid w:val="00610A2F"/>
    <w:rsid w:val="00610DF1"/>
    <w:rsid w:val="00610E5B"/>
    <w:rsid w:val="00610F95"/>
    <w:rsid w:val="0061102F"/>
    <w:rsid w:val="006110E1"/>
    <w:rsid w:val="00611165"/>
    <w:rsid w:val="00611743"/>
    <w:rsid w:val="00611AC4"/>
    <w:rsid w:val="00611E92"/>
    <w:rsid w:val="006122CC"/>
    <w:rsid w:val="00612427"/>
    <w:rsid w:val="00612627"/>
    <w:rsid w:val="0061278B"/>
    <w:rsid w:val="0061298A"/>
    <w:rsid w:val="00612A27"/>
    <w:rsid w:val="00612CE5"/>
    <w:rsid w:val="00612E97"/>
    <w:rsid w:val="00613062"/>
    <w:rsid w:val="006130DB"/>
    <w:rsid w:val="006135C0"/>
    <w:rsid w:val="00613697"/>
    <w:rsid w:val="00613931"/>
    <w:rsid w:val="00613FB1"/>
    <w:rsid w:val="0061441E"/>
    <w:rsid w:val="00614A0D"/>
    <w:rsid w:val="00614DE8"/>
    <w:rsid w:val="00614EDD"/>
    <w:rsid w:val="00616276"/>
    <w:rsid w:val="0061647E"/>
    <w:rsid w:val="00616541"/>
    <w:rsid w:val="0061686F"/>
    <w:rsid w:val="00616A21"/>
    <w:rsid w:val="00616A55"/>
    <w:rsid w:val="00616E2B"/>
    <w:rsid w:val="006171B4"/>
    <w:rsid w:val="0061732E"/>
    <w:rsid w:val="006174C8"/>
    <w:rsid w:val="0061795C"/>
    <w:rsid w:val="00617B60"/>
    <w:rsid w:val="00617E24"/>
    <w:rsid w:val="006200D8"/>
    <w:rsid w:val="006200E2"/>
    <w:rsid w:val="006202AD"/>
    <w:rsid w:val="006204A9"/>
    <w:rsid w:val="00620A51"/>
    <w:rsid w:val="00620CAD"/>
    <w:rsid w:val="00620F55"/>
    <w:rsid w:val="006211CF"/>
    <w:rsid w:val="0062165F"/>
    <w:rsid w:val="0062194A"/>
    <w:rsid w:val="006221C8"/>
    <w:rsid w:val="00622212"/>
    <w:rsid w:val="00622590"/>
    <w:rsid w:val="006227CA"/>
    <w:rsid w:val="00622B82"/>
    <w:rsid w:val="00622C91"/>
    <w:rsid w:val="0062314F"/>
    <w:rsid w:val="006239C9"/>
    <w:rsid w:val="00623A00"/>
    <w:rsid w:val="00623C2C"/>
    <w:rsid w:val="00623DAF"/>
    <w:rsid w:val="0062441D"/>
    <w:rsid w:val="006244AA"/>
    <w:rsid w:val="006244F8"/>
    <w:rsid w:val="0062464F"/>
    <w:rsid w:val="006249BC"/>
    <w:rsid w:val="00624E79"/>
    <w:rsid w:val="00625734"/>
    <w:rsid w:val="00625BD6"/>
    <w:rsid w:val="00625C2B"/>
    <w:rsid w:val="00625D52"/>
    <w:rsid w:val="00625EE0"/>
    <w:rsid w:val="00626264"/>
    <w:rsid w:val="00626780"/>
    <w:rsid w:val="00626C8B"/>
    <w:rsid w:val="006274F3"/>
    <w:rsid w:val="006275DA"/>
    <w:rsid w:val="00627767"/>
    <w:rsid w:val="00627870"/>
    <w:rsid w:val="00627D03"/>
    <w:rsid w:val="00630008"/>
    <w:rsid w:val="006300B6"/>
    <w:rsid w:val="00630149"/>
    <w:rsid w:val="006302FE"/>
    <w:rsid w:val="00630374"/>
    <w:rsid w:val="006307C1"/>
    <w:rsid w:val="00630A80"/>
    <w:rsid w:val="0063108B"/>
    <w:rsid w:val="006310A5"/>
    <w:rsid w:val="00631286"/>
    <w:rsid w:val="00631370"/>
    <w:rsid w:val="006319B9"/>
    <w:rsid w:val="00631AB2"/>
    <w:rsid w:val="00631ADE"/>
    <w:rsid w:val="00631F22"/>
    <w:rsid w:val="006325CA"/>
    <w:rsid w:val="00632796"/>
    <w:rsid w:val="00632909"/>
    <w:rsid w:val="0063296A"/>
    <w:rsid w:val="006329DF"/>
    <w:rsid w:val="00633353"/>
    <w:rsid w:val="00633A80"/>
    <w:rsid w:val="00633D37"/>
    <w:rsid w:val="006341B0"/>
    <w:rsid w:val="0063425E"/>
    <w:rsid w:val="00634360"/>
    <w:rsid w:val="00634621"/>
    <w:rsid w:val="006346BD"/>
    <w:rsid w:val="00634DC1"/>
    <w:rsid w:val="00634FD3"/>
    <w:rsid w:val="00635021"/>
    <w:rsid w:val="00635044"/>
    <w:rsid w:val="0063528D"/>
    <w:rsid w:val="006354A4"/>
    <w:rsid w:val="00635500"/>
    <w:rsid w:val="006356EA"/>
    <w:rsid w:val="006358CA"/>
    <w:rsid w:val="00635A3E"/>
    <w:rsid w:val="00635DA6"/>
    <w:rsid w:val="00635DD0"/>
    <w:rsid w:val="00636351"/>
    <w:rsid w:val="006364BB"/>
    <w:rsid w:val="00636A18"/>
    <w:rsid w:val="00636D82"/>
    <w:rsid w:val="00637708"/>
    <w:rsid w:val="00637727"/>
    <w:rsid w:val="0063791B"/>
    <w:rsid w:val="00637B3A"/>
    <w:rsid w:val="00637DEC"/>
    <w:rsid w:val="00637E56"/>
    <w:rsid w:val="00637FC7"/>
    <w:rsid w:val="00640332"/>
    <w:rsid w:val="00640341"/>
    <w:rsid w:val="00640485"/>
    <w:rsid w:val="00640B85"/>
    <w:rsid w:val="00640C5D"/>
    <w:rsid w:val="00640CC4"/>
    <w:rsid w:val="00641164"/>
    <w:rsid w:val="00641188"/>
    <w:rsid w:val="006411AB"/>
    <w:rsid w:val="00641300"/>
    <w:rsid w:val="0064191C"/>
    <w:rsid w:val="00641A77"/>
    <w:rsid w:val="00641D42"/>
    <w:rsid w:val="00641EC3"/>
    <w:rsid w:val="00642150"/>
    <w:rsid w:val="0064233E"/>
    <w:rsid w:val="00642531"/>
    <w:rsid w:val="006426E0"/>
    <w:rsid w:val="0064281B"/>
    <w:rsid w:val="00642A06"/>
    <w:rsid w:val="00642C10"/>
    <w:rsid w:val="00642CDA"/>
    <w:rsid w:val="00642FB5"/>
    <w:rsid w:val="0064301A"/>
    <w:rsid w:val="00643326"/>
    <w:rsid w:val="006437BF"/>
    <w:rsid w:val="00643D1E"/>
    <w:rsid w:val="00643DB3"/>
    <w:rsid w:val="00643E69"/>
    <w:rsid w:val="00644290"/>
    <w:rsid w:val="0064481C"/>
    <w:rsid w:val="00644BD6"/>
    <w:rsid w:val="00644F19"/>
    <w:rsid w:val="00644FAD"/>
    <w:rsid w:val="006450A2"/>
    <w:rsid w:val="006452B2"/>
    <w:rsid w:val="0064534A"/>
    <w:rsid w:val="00645838"/>
    <w:rsid w:val="00645AA3"/>
    <w:rsid w:val="00645D5B"/>
    <w:rsid w:val="00645D92"/>
    <w:rsid w:val="00645F8F"/>
    <w:rsid w:val="00645F96"/>
    <w:rsid w:val="00646153"/>
    <w:rsid w:val="006462F0"/>
    <w:rsid w:val="00646413"/>
    <w:rsid w:val="006464BE"/>
    <w:rsid w:val="006468C2"/>
    <w:rsid w:val="00646988"/>
    <w:rsid w:val="00646C05"/>
    <w:rsid w:val="00647193"/>
    <w:rsid w:val="006472AA"/>
    <w:rsid w:val="0064789C"/>
    <w:rsid w:val="00647912"/>
    <w:rsid w:val="00650119"/>
    <w:rsid w:val="0065018F"/>
    <w:rsid w:val="00650398"/>
    <w:rsid w:val="0065078D"/>
    <w:rsid w:val="0065085A"/>
    <w:rsid w:val="00650DA5"/>
    <w:rsid w:val="00650E89"/>
    <w:rsid w:val="006514B2"/>
    <w:rsid w:val="00651597"/>
    <w:rsid w:val="006515CD"/>
    <w:rsid w:val="00651961"/>
    <w:rsid w:val="00651B48"/>
    <w:rsid w:val="00651D46"/>
    <w:rsid w:val="00651F25"/>
    <w:rsid w:val="00651FAB"/>
    <w:rsid w:val="0065205A"/>
    <w:rsid w:val="00652079"/>
    <w:rsid w:val="006520D7"/>
    <w:rsid w:val="006524B3"/>
    <w:rsid w:val="0065250B"/>
    <w:rsid w:val="00652955"/>
    <w:rsid w:val="00652A92"/>
    <w:rsid w:val="00652AB7"/>
    <w:rsid w:val="00652EFB"/>
    <w:rsid w:val="00652FB4"/>
    <w:rsid w:val="0065336C"/>
    <w:rsid w:val="006533B7"/>
    <w:rsid w:val="0065345D"/>
    <w:rsid w:val="006534D3"/>
    <w:rsid w:val="0065379B"/>
    <w:rsid w:val="00653A91"/>
    <w:rsid w:val="00653CEC"/>
    <w:rsid w:val="00653EE0"/>
    <w:rsid w:val="006541E5"/>
    <w:rsid w:val="00654295"/>
    <w:rsid w:val="0065455F"/>
    <w:rsid w:val="00654874"/>
    <w:rsid w:val="00654D53"/>
    <w:rsid w:val="00654DC7"/>
    <w:rsid w:val="00654E73"/>
    <w:rsid w:val="00654F9A"/>
    <w:rsid w:val="006554ED"/>
    <w:rsid w:val="006555BA"/>
    <w:rsid w:val="0065561F"/>
    <w:rsid w:val="00655708"/>
    <w:rsid w:val="0065590E"/>
    <w:rsid w:val="00655AD4"/>
    <w:rsid w:val="00655ADF"/>
    <w:rsid w:val="00655BB2"/>
    <w:rsid w:val="00655BD3"/>
    <w:rsid w:val="00655C65"/>
    <w:rsid w:val="00655ED6"/>
    <w:rsid w:val="006563DC"/>
    <w:rsid w:val="006563E7"/>
    <w:rsid w:val="0065677E"/>
    <w:rsid w:val="00656B2B"/>
    <w:rsid w:val="00656C1B"/>
    <w:rsid w:val="00656C51"/>
    <w:rsid w:val="00656DC9"/>
    <w:rsid w:val="00656F66"/>
    <w:rsid w:val="00656FE1"/>
    <w:rsid w:val="006574F2"/>
    <w:rsid w:val="00657A21"/>
    <w:rsid w:val="00657A50"/>
    <w:rsid w:val="0066008D"/>
    <w:rsid w:val="00660335"/>
    <w:rsid w:val="00660397"/>
    <w:rsid w:val="0066053B"/>
    <w:rsid w:val="006608F7"/>
    <w:rsid w:val="0066090F"/>
    <w:rsid w:val="00660915"/>
    <w:rsid w:val="00660A64"/>
    <w:rsid w:val="00660E36"/>
    <w:rsid w:val="00661515"/>
    <w:rsid w:val="00661638"/>
    <w:rsid w:val="0066186B"/>
    <w:rsid w:val="00661B1B"/>
    <w:rsid w:val="00661CA7"/>
    <w:rsid w:val="00661E71"/>
    <w:rsid w:val="00661FED"/>
    <w:rsid w:val="00662710"/>
    <w:rsid w:val="00662A06"/>
    <w:rsid w:val="00662BAA"/>
    <w:rsid w:val="00663198"/>
    <w:rsid w:val="00663738"/>
    <w:rsid w:val="006637A2"/>
    <w:rsid w:val="0066381B"/>
    <w:rsid w:val="00663D32"/>
    <w:rsid w:val="00663DD8"/>
    <w:rsid w:val="00664103"/>
    <w:rsid w:val="00664522"/>
    <w:rsid w:val="006645BC"/>
    <w:rsid w:val="00664A85"/>
    <w:rsid w:val="00664C3B"/>
    <w:rsid w:val="00664C95"/>
    <w:rsid w:val="00664E40"/>
    <w:rsid w:val="00665064"/>
    <w:rsid w:val="006652C2"/>
    <w:rsid w:val="00665340"/>
    <w:rsid w:val="006659DF"/>
    <w:rsid w:val="00665C04"/>
    <w:rsid w:val="00665EE8"/>
    <w:rsid w:val="00665EFB"/>
    <w:rsid w:val="00666382"/>
    <w:rsid w:val="006665F4"/>
    <w:rsid w:val="0066667F"/>
    <w:rsid w:val="0066674A"/>
    <w:rsid w:val="006668F2"/>
    <w:rsid w:val="00666B39"/>
    <w:rsid w:val="00666BD8"/>
    <w:rsid w:val="00666BE7"/>
    <w:rsid w:val="00666DA9"/>
    <w:rsid w:val="00666E6B"/>
    <w:rsid w:val="006672D9"/>
    <w:rsid w:val="006674F0"/>
    <w:rsid w:val="006675D8"/>
    <w:rsid w:val="006676F5"/>
    <w:rsid w:val="0066783D"/>
    <w:rsid w:val="00667A65"/>
    <w:rsid w:val="00667C2A"/>
    <w:rsid w:val="00667CAA"/>
    <w:rsid w:val="00667ED3"/>
    <w:rsid w:val="00667F89"/>
    <w:rsid w:val="006704C0"/>
    <w:rsid w:val="00670A99"/>
    <w:rsid w:val="00670ACE"/>
    <w:rsid w:val="00670BBB"/>
    <w:rsid w:val="00671068"/>
    <w:rsid w:val="00671248"/>
    <w:rsid w:val="006712BD"/>
    <w:rsid w:val="006712D2"/>
    <w:rsid w:val="006713CC"/>
    <w:rsid w:val="006719C1"/>
    <w:rsid w:val="006720E5"/>
    <w:rsid w:val="00672158"/>
    <w:rsid w:val="006722D3"/>
    <w:rsid w:val="0067242A"/>
    <w:rsid w:val="00672728"/>
    <w:rsid w:val="00672813"/>
    <w:rsid w:val="006728BB"/>
    <w:rsid w:val="00672B78"/>
    <w:rsid w:val="006730B1"/>
    <w:rsid w:val="0067332A"/>
    <w:rsid w:val="006733E5"/>
    <w:rsid w:val="00673437"/>
    <w:rsid w:val="006739E0"/>
    <w:rsid w:val="00673EF3"/>
    <w:rsid w:val="0067401A"/>
    <w:rsid w:val="0067431C"/>
    <w:rsid w:val="006743F6"/>
    <w:rsid w:val="0067475F"/>
    <w:rsid w:val="00674B2F"/>
    <w:rsid w:val="00674DD5"/>
    <w:rsid w:val="00675161"/>
    <w:rsid w:val="006752CA"/>
    <w:rsid w:val="00675536"/>
    <w:rsid w:val="006757CD"/>
    <w:rsid w:val="00675C4B"/>
    <w:rsid w:val="00675C9A"/>
    <w:rsid w:val="00676205"/>
    <w:rsid w:val="006763C5"/>
    <w:rsid w:val="006763D1"/>
    <w:rsid w:val="00676664"/>
    <w:rsid w:val="00676834"/>
    <w:rsid w:val="0067683B"/>
    <w:rsid w:val="00676B90"/>
    <w:rsid w:val="00676C8A"/>
    <w:rsid w:val="00676DAC"/>
    <w:rsid w:val="00677007"/>
    <w:rsid w:val="006779C0"/>
    <w:rsid w:val="00677A4C"/>
    <w:rsid w:val="00677A7F"/>
    <w:rsid w:val="00677B6C"/>
    <w:rsid w:val="00677B7D"/>
    <w:rsid w:val="00677DA1"/>
    <w:rsid w:val="00677F4B"/>
    <w:rsid w:val="00677F61"/>
    <w:rsid w:val="0068059C"/>
    <w:rsid w:val="006806B9"/>
    <w:rsid w:val="00680887"/>
    <w:rsid w:val="0068088B"/>
    <w:rsid w:val="00680AA9"/>
    <w:rsid w:val="00681076"/>
    <w:rsid w:val="00681266"/>
    <w:rsid w:val="00681386"/>
    <w:rsid w:val="0068161A"/>
    <w:rsid w:val="00681B1E"/>
    <w:rsid w:val="00681F67"/>
    <w:rsid w:val="00682185"/>
    <w:rsid w:val="0068244E"/>
    <w:rsid w:val="006825E2"/>
    <w:rsid w:val="006827F2"/>
    <w:rsid w:val="006828DE"/>
    <w:rsid w:val="00682ADF"/>
    <w:rsid w:val="00682C8C"/>
    <w:rsid w:val="00683062"/>
    <w:rsid w:val="00683100"/>
    <w:rsid w:val="00683462"/>
    <w:rsid w:val="0068357C"/>
    <w:rsid w:val="0068358F"/>
    <w:rsid w:val="00683934"/>
    <w:rsid w:val="00683968"/>
    <w:rsid w:val="0068397D"/>
    <w:rsid w:val="00683D5B"/>
    <w:rsid w:val="00683FEA"/>
    <w:rsid w:val="0068423D"/>
    <w:rsid w:val="006842D7"/>
    <w:rsid w:val="006844A5"/>
    <w:rsid w:val="00684528"/>
    <w:rsid w:val="00684AB4"/>
    <w:rsid w:val="00684B0B"/>
    <w:rsid w:val="00684C52"/>
    <w:rsid w:val="0068503F"/>
    <w:rsid w:val="00685474"/>
    <w:rsid w:val="00685526"/>
    <w:rsid w:val="0068567D"/>
    <w:rsid w:val="006859E6"/>
    <w:rsid w:val="00685A7B"/>
    <w:rsid w:val="00685C36"/>
    <w:rsid w:val="00685FD6"/>
    <w:rsid w:val="006868A9"/>
    <w:rsid w:val="00686A3F"/>
    <w:rsid w:val="00686CA6"/>
    <w:rsid w:val="00686F00"/>
    <w:rsid w:val="0068723E"/>
    <w:rsid w:val="006872AD"/>
    <w:rsid w:val="00687662"/>
    <w:rsid w:val="006877C1"/>
    <w:rsid w:val="0068784B"/>
    <w:rsid w:val="00687912"/>
    <w:rsid w:val="006879B9"/>
    <w:rsid w:val="00687A32"/>
    <w:rsid w:val="00687A44"/>
    <w:rsid w:val="00687B25"/>
    <w:rsid w:val="00687B38"/>
    <w:rsid w:val="00687B3C"/>
    <w:rsid w:val="00687DCE"/>
    <w:rsid w:val="00687F1E"/>
    <w:rsid w:val="00690146"/>
    <w:rsid w:val="00690402"/>
    <w:rsid w:val="00690884"/>
    <w:rsid w:val="00690956"/>
    <w:rsid w:val="006909D9"/>
    <w:rsid w:val="00690B11"/>
    <w:rsid w:val="00690D43"/>
    <w:rsid w:val="00690DAD"/>
    <w:rsid w:val="00691183"/>
    <w:rsid w:val="00691264"/>
    <w:rsid w:val="0069157D"/>
    <w:rsid w:val="006919F1"/>
    <w:rsid w:val="00692D45"/>
    <w:rsid w:val="00693061"/>
    <w:rsid w:val="006941BA"/>
    <w:rsid w:val="006946BA"/>
    <w:rsid w:val="00694A0F"/>
    <w:rsid w:val="006955AD"/>
    <w:rsid w:val="006956AB"/>
    <w:rsid w:val="00695DD8"/>
    <w:rsid w:val="00695E47"/>
    <w:rsid w:val="00696282"/>
    <w:rsid w:val="006962D6"/>
    <w:rsid w:val="006963CB"/>
    <w:rsid w:val="006966BF"/>
    <w:rsid w:val="00696D92"/>
    <w:rsid w:val="00697127"/>
    <w:rsid w:val="00697775"/>
    <w:rsid w:val="00697810"/>
    <w:rsid w:val="00697934"/>
    <w:rsid w:val="0069797A"/>
    <w:rsid w:val="006A0111"/>
    <w:rsid w:val="006A0DAD"/>
    <w:rsid w:val="006A0DE8"/>
    <w:rsid w:val="006A0E4F"/>
    <w:rsid w:val="006A124E"/>
    <w:rsid w:val="006A148B"/>
    <w:rsid w:val="006A14FC"/>
    <w:rsid w:val="006A16F1"/>
    <w:rsid w:val="006A1E6A"/>
    <w:rsid w:val="006A1F0A"/>
    <w:rsid w:val="006A1FD0"/>
    <w:rsid w:val="006A24E4"/>
    <w:rsid w:val="006A2506"/>
    <w:rsid w:val="006A26E6"/>
    <w:rsid w:val="006A28D2"/>
    <w:rsid w:val="006A2943"/>
    <w:rsid w:val="006A2C05"/>
    <w:rsid w:val="006A2D4A"/>
    <w:rsid w:val="006A2E7C"/>
    <w:rsid w:val="006A3455"/>
    <w:rsid w:val="006A350A"/>
    <w:rsid w:val="006A38FF"/>
    <w:rsid w:val="006A3A5A"/>
    <w:rsid w:val="006A3F2B"/>
    <w:rsid w:val="006A40C3"/>
    <w:rsid w:val="006A425B"/>
    <w:rsid w:val="006A450C"/>
    <w:rsid w:val="006A4891"/>
    <w:rsid w:val="006A4A26"/>
    <w:rsid w:val="006A4B27"/>
    <w:rsid w:val="006A4C14"/>
    <w:rsid w:val="006A5231"/>
    <w:rsid w:val="006A5388"/>
    <w:rsid w:val="006A5D16"/>
    <w:rsid w:val="006A609E"/>
    <w:rsid w:val="006A637A"/>
    <w:rsid w:val="006A639E"/>
    <w:rsid w:val="006A6C0C"/>
    <w:rsid w:val="006A6F76"/>
    <w:rsid w:val="006A6FAF"/>
    <w:rsid w:val="006A7046"/>
    <w:rsid w:val="006A71C9"/>
    <w:rsid w:val="006A7609"/>
    <w:rsid w:val="006A7896"/>
    <w:rsid w:val="006A7A0B"/>
    <w:rsid w:val="006A7A56"/>
    <w:rsid w:val="006A7B73"/>
    <w:rsid w:val="006A7E3E"/>
    <w:rsid w:val="006A7F11"/>
    <w:rsid w:val="006B0410"/>
    <w:rsid w:val="006B061A"/>
    <w:rsid w:val="006B063C"/>
    <w:rsid w:val="006B065F"/>
    <w:rsid w:val="006B0AC3"/>
    <w:rsid w:val="006B0D98"/>
    <w:rsid w:val="006B1181"/>
    <w:rsid w:val="006B1224"/>
    <w:rsid w:val="006B13D8"/>
    <w:rsid w:val="006B1526"/>
    <w:rsid w:val="006B18A0"/>
    <w:rsid w:val="006B1B8C"/>
    <w:rsid w:val="006B1E56"/>
    <w:rsid w:val="006B1EF8"/>
    <w:rsid w:val="006B2149"/>
    <w:rsid w:val="006B2293"/>
    <w:rsid w:val="006B26F2"/>
    <w:rsid w:val="006B292B"/>
    <w:rsid w:val="006B29D2"/>
    <w:rsid w:val="006B2C4B"/>
    <w:rsid w:val="006B2E01"/>
    <w:rsid w:val="006B2EED"/>
    <w:rsid w:val="006B3243"/>
    <w:rsid w:val="006B33CA"/>
    <w:rsid w:val="006B35A6"/>
    <w:rsid w:val="006B39EF"/>
    <w:rsid w:val="006B3D8B"/>
    <w:rsid w:val="006B3DDA"/>
    <w:rsid w:val="006B3EAC"/>
    <w:rsid w:val="006B3F72"/>
    <w:rsid w:val="006B417F"/>
    <w:rsid w:val="006B4478"/>
    <w:rsid w:val="006B46C7"/>
    <w:rsid w:val="006B482E"/>
    <w:rsid w:val="006B494B"/>
    <w:rsid w:val="006B4E84"/>
    <w:rsid w:val="006B4FA1"/>
    <w:rsid w:val="006B50B7"/>
    <w:rsid w:val="006B551F"/>
    <w:rsid w:val="006B5715"/>
    <w:rsid w:val="006B59A4"/>
    <w:rsid w:val="006B5B3A"/>
    <w:rsid w:val="006B5E20"/>
    <w:rsid w:val="006B63EA"/>
    <w:rsid w:val="006B6852"/>
    <w:rsid w:val="006B699E"/>
    <w:rsid w:val="006B6E37"/>
    <w:rsid w:val="006B74D9"/>
    <w:rsid w:val="006B7547"/>
    <w:rsid w:val="006B79ED"/>
    <w:rsid w:val="006B7ABF"/>
    <w:rsid w:val="006B7B5B"/>
    <w:rsid w:val="006B7C21"/>
    <w:rsid w:val="006B7E47"/>
    <w:rsid w:val="006C03E8"/>
    <w:rsid w:val="006C0701"/>
    <w:rsid w:val="006C08A2"/>
    <w:rsid w:val="006C09CF"/>
    <w:rsid w:val="006C0A1C"/>
    <w:rsid w:val="006C0C1D"/>
    <w:rsid w:val="006C12E1"/>
    <w:rsid w:val="006C1398"/>
    <w:rsid w:val="006C139C"/>
    <w:rsid w:val="006C1454"/>
    <w:rsid w:val="006C1B3A"/>
    <w:rsid w:val="006C1F8D"/>
    <w:rsid w:val="006C1FA1"/>
    <w:rsid w:val="006C21A9"/>
    <w:rsid w:val="006C230C"/>
    <w:rsid w:val="006C2375"/>
    <w:rsid w:val="006C296B"/>
    <w:rsid w:val="006C29B3"/>
    <w:rsid w:val="006C2AD8"/>
    <w:rsid w:val="006C2D76"/>
    <w:rsid w:val="006C2EB6"/>
    <w:rsid w:val="006C2F37"/>
    <w:rsid w:val="006C301F"/>
    <w:rsid w:val="006C3396"/>
    <w:rsid w:val="006C341B"/>
    <w:rsid w:val="006C34E4"/>
    <w:rsid w:val="006C3740"/>
    <w:rsid w:val="006C380F"/>
    <w:rsid w:val="006C3C2A"/>
    <w:rsid w:val="006C3D65"/>
    <w:rsid w:val="006C4353"/>
    <w:rsid w:val="006C45F8"/>
    <w:rsid w:val="006C473E"/>
    <w:rsid w:val="006C487C"/>
    <w:rsid w:val="006C4990"/>
    <w:rsid w:val="006C4D5F"/>
    <w:rsid w:val="006C4E38"/>
    <w:rsid w:val="006C51DD"/>
    <w:rsid w:val="006C5C12"/>
    <w:rsid w:val="006C5E07"/>
    <w:rsid w:val="006C6023"/>
    <w:rsid w:val="006C62E8"/>
    <w:rsid w:val="006C63C6"/>
    <w:rsid w:val="006C64F5"/>
    <w:rsid w:val="006C68BB"/>
    <w:rsid w:val="006C6CCA"/>
    <w:rsid w:val="006C7041"/>
    <w:rsid w:val="006C71C3"/>
    <w:rsid w:val="006C72D3"/>
    <w:rsid w:val="006C78A3"/>
    <w:rsid w:val="006C7B09"/>
    <w:rsid w:val="006C7EF0"/>
    <w:rsid w:val="006D00E7"/>
    <w:rsid w:val="006D0122"/>
    <w:rsid w:val="006D01B8"/>
    <w:rsid w:val="006D01CD"/>
    <w:rsid w:val="006D0459"/>
    <w:rsid w:val="006D0ACA"/>
    <w:rsid w:val="006D0D79"/>
    <w:rsid w:val="006D12D7"/>
    <w:rsid w:val="006D12FA"/>
    <w:rsid w:val="006D14E9"/>
    <w:rsid w:val="006D16E2"/>
    <w:rsid w:val="006D228B"/>
    <w:rsid w:val="006D2969"/>
    <w:rsid w:val="006D29F1"/>
    <w:rsid w:val="006D29F3"/>
    <w:rsid w:val="006D2A91"/>
    <w:rsid w:val="006D2CD8"/>
    <w:rsid w:val="006D2ED7"/>
    <w:rsid w:val="006D3B52"/>
    <w:rsid w:val="006D40D7"/>
    <w:rsid w:val="006D4359"/>
    <w:rsid w:val="006D464A"/>
    <w:rsid w:val="006D4E2F"/>
    <w:rsid w:val="006D508A"/>
    <w:rsid w:val="006D509F"/>
    <w:rsid w:val="006D5563"/>
    <w:rsid w:val="006D5943"/>
    <w:rsid w:val="006D5C38"/>
    <w:rsid w:val="006D6016"/>
    <w:rsid w:val="006D61BC"/>
    <w:rsid w:val="006D6C44"/>
    <w:rsid w:val="006D6ECE"/>
    <w:rsid w:val="006D70B4"/>
    <w:rsid w:val="006D7170"/>
    <w:rsid w:val="006D7256"/>
    <w:rsid w:val="006D7301"/>
    <w:rsid w:val="006D7345"/>
    <w:rsid w:val="006D73BD"/>
    <w:rsid w:val="006D73C1"/>
    <w:rsid w:val="006D7504"/>
    <w:rsid w:val="006D7636"/>
    <w:rsid w:val="006D7694"/>
    <w:rsid w:val="006D7728"/>
    <w:rsid w:val="006D79E4"/>
    <w:rsid w:val="006D7B0B"/>
    <w:rsid w:val="006E010C"/>
    <w:rsid w:val="006E0188"/>
    <w:rsid w:val="006E0308"/>
    <w:rsid w:val="006E0572"/>
    <w:rsid w:val="006E0971"/>
    <w:rsid w:val="006E0A68"/>
    <w:rsid w:val="006E0C1B"/>
    <w:rsid w:val="006E0C3D"/>
    <w:rsid w:val="006E0C84"/>
    <w:rsid w:val="006E1390"/>
    <w:rsid w:val="006E14D0"/>
    <w:rsid w:val="006E1558"/>
    <w:rsid w:val="006E1591"/>
    <w:rsid w:val="006E1667"/>
    <w:rsid w:val="006E1748"/>
    <w:rsid w:val="006E1829"/>
    <w:rsid w:val="006E1C45"/>
    <w:rsid w:val="006E1DFC"/>
    <w:rsid w:val="006E224A"/>
    <w:rsid w:val="006E26E4"/>
    <w:rsid w:val="006E2D74"/>
    <w:rsid w:val="006E306B"/>
    <w:rsid w:val="006E30EC"/>
    <w:rsid w:val="006E3257"/>
    <w:rsid w:val="006E328C"/>
    <w:rsid w:val="006E32CF"/>
    <w:rsid w:val="006E32EF"/>
    <w:rsid w:val="006E3682"/>
    <w:rsid w:val="006E38AA"/>
    <w:rsid w:val="006E399F"/>
    <w:rsid w:val="006E3B35"/>
    <w:rsid w:val="006E4064"/>
    <w:rsid w:val="006E409B"/>
    <w:rsid w:val="006E4108"/>
    <w:rsid w:val="006E4B9C"/>
    <w:rsid w:val="006E4CDF"/>
    <w:rsid w:val="006E4CFF"/>
    <w:rsid w:val="006E4EE4"/>
    <w:rsid w:val="006E4F32"/>
    <w:rsid w:val="006E4F34"/>
    <w:rsid w:val="006E50AC"/>
    <w:rsid w:val="006E558F"/>
    <w:rsid w:val="006E55ED"/>
    <w:rsid w:val="006E575E"/>
    <w:rsid w:val="006E593B"/>
    <w:rsid w:val="006E5B73"/>
    <w:rsid w:val="006E5D5B"/>
    <w:rsid w:val="006E60B0"/>
    <w:rsid w:val="006E6368"/>
    <w:rsid w:val="006E68C3"/>
    <w:rsid w:val="006E6943"/>
    <w:rsid w:val="006E69B9"/>
    <w:rsid w:val="006E6FE0"/>
    <w:rsid w:val="006E705B"/>
    <w:rsid w:val="006E70B8"/>
    <w:rsid w:val="006E7148"/>
    <w:rsid w:val="006E72CC"/>
    <w:rsid w:val="006E7481"/>
    <w:rsid w:val="006E7927"/>
    <w:rsid w:val="006E7EB1"/>
    <w:rsid w:val="006F001C"/>
    <w:rsid w:val="006F00B0"/>
    <w:rsid w:val="006F01F6"/>
    <w:rsid w:val="006F0797"/>
    <w:rsid w:val="006F0906"/>
    <w:rsid w:val="006F0917"/>
    <w:rsid w:val="006F0D41"/>
    <w:rsid w:val="006F0D5B"/>
    <w:rsid w:val="006F1031"/>
    <w:rsid w:val="006F10BE"/>
    <w:rsid w:val="006F1193"/>
    <w:rsid w:val="006F125C"/>
    <w:rsid w:val="006F12D5"/>
    <w:rsid w:val="006F12EB"/>
    <w:rsid w:val="006F13FA"/>
    <w:rsid w:val="006F18FE"/>
    <w:rsid w:val="006F190B"/>
    <w:rsid w:val="006F1B0E"/>
    <w:rsid w:val="006F1B75"/>
    <w:rsid w:val="006F1D5F"/>
    <w:rsid w:val="006F220F"/>
    <w:rsid w:val="006F23EB"/>
    <w:rsid w:val="006F2527"/>
    <w:rsid w:val="006F2541"/>
    <w:rsid w:val="006F299F"/>
    <w:rsid w:val="006F2ADB"/>
    <w:rsid w:val="006F2BD5"/>
    <w:rsid w:val="006F2BE6"/>
    <w:rsid w:val="006F3178"/>
    <w:rsid w:val="006F3203"/>
    <w:rsid w:val="006F347C"/>
    <w:rsid w:val="006F355E"/>
    <w:rsid w:val="006F38F0"/>
    <w:rsid w:val="006F3AA9"/>
    <w:rsid w:val="006F3D8D"/>
    <w:rsid w:val="006F3E23"/>
    <w:rsid w:val="006F40EE"/>
    <w:rsid w:val="006F43C6"/>
    <w:rsid w:val="006F467E"/>
    <w:rsid w:val="006F4AA2"/>
    <w:rsid w:val="006F4BF2"/>
    <w:rsid w:val="006F5071"/>
    <w:rsid w:val="006F50D7"/>
    <w:rsid w:val="006F5604"/>
    <w:rsid w:val="006F57F7"/>
    <w:rsid w:val="006F5862"/>
    <w:rsid w:val="006F5903"/>
    <w:rsid w:val="006F5B67"/>
    <w:rsid w:val="006F5BC1"/>
    <w:rsid w:val="006F62BE"/>
    <w:rsid w:val="006F62F9"/>
    <w:rsid w:val="006F66A6"/>
    <w:rsid w:val="006F67CC"/>
    <w:rsid w:val="006F6824"/>
    <w:rsid w:val="006F6AC0"/>
    <w:rsid w:val="006F6D51"/>
    <w:rsid w:val="006F6E02"/>
    <w:rsid w:val="006F6F25"/>
    <w:rsid w:val="006F7262"/>
    <w:rsid w:val="006F732A"/>
    <w:rsid w:val="006F7367"/>
    <w:rsid w:val="006F7584"/>
    <w:rsid w:val="006F77CF"/>
    <w:rsid w:val="006F7B94"/>
    <w:rsid w:val="006F7F30"/>
    <w:rsid w:val="00700066"/>
    <w:rsid w:val="00700154"/>
    <w:rsid w:val="00700564"/>
    <w:rsid w:val="00700780"/>
    <w:rsid w:val="00700CA0"/>
    <w:rsid w:val="00701189"/>
    <w:rsid w:val="007011C7"/>
    <w:rsid w:val="007012B8"/>
    <w:rsid w:val="007012D9"/>
    <w:rsid w:val="0070134A"/>
    <w:rsid w:val="007014E6"/>
    <w:rsid w:val="0070158F"/>
    <w:rsid w:val="00701591"/>
    <w:rsid w:val="007016EF"/>
    <w:rsid w:val="007016FC"/>
    <w:rsid w:val="00701710"/>
    <w:rsid w:val="00701C75"/>
    <w:rsid w:val="00701FFE"/>
    <w:rsid w:val="0070203A"/>
    <w:rsid w:val="00702045"/>
    <w:rsid w:val="00702509"/>
    <w:rsid w:val="0070256A"/>
    <w:rsid w:val="007027EE"/>
    <w:rsid w:val="00702D8D"/>
    <w:rsid w:val="00702DCB"/>
    <w:rsid w:val="00702EAC"/>
    <w:rsid w:val="00702F7A"/>
    <w:rsid w:val="007031F2"/>
    <w:rsid w:val="0070326F"/>
    <w:rsid w:val="00703369"/>
    <w:rsid w:val="0070365B"/>
    <w:rsid w:val="007038B2"/>
    <w:rsid w:val="00703A61"/>
    <w:rsid w:val="00703F2B"/>
    <w:rsid w:val="007040B7"/>
    <w:rsid w:val="007041A3"/>
    <w:rsid w:val="00704681"/>
    <w:rsid w:val="00704787"/>
    <w:rsid w:val="00704B2F"/>
    <w:rsid w:val="00704E04"/>
    <w:rsid w:val="0070543C"/>
    <w:rsid w:val="00705813"/>
    <w:rsid w:val="00705A55"/>
    <w:rsid w:val="00705AF7"/>
    <w:rsid w:val="00705CBD"/>
    <w:rsid w:val="00705E68"/>
    <w:rsid w:val="00705EF4"/>
    <w:rsid w:val="00705EF7"/>
    <w:rsid w:val="00706407"/>
    <w:rsid w:val="00706667"/>
    <w:rsid w:val="007068D6"/>
    <w:rsid w:val="00706946"/>
    <w:rsid w:val="00706A23"/>
    <w:rsid w:val="00707668"/>
    <w:rsid w:val="00707881"/>
    <w:rsid w:val="0070794D"/>
    <w:rsid w:val="00707F3D"/>
    <w:rsid w:val="00707F86"/>
    <w:rsid w:val="0071000A"/>
    <w:rsid w:val="00710133"/>
    <w:rsid w:val="007104DF"/>
    <w:rsid w:val="00710753"/>
    <w:rsid w:val="00710A0C"/>
    <w:rsid w:val="00710A6F"/>
    <w:rsid w:val="00710D52"/>
    <w:rsid w:val="00710DE4"/>
    <w:rsid w:val="007110F3"/>
    <w:rsid w:val="00711262"/>
    <w:rsid w:val="0071158E"/>
    <w:rsid w:val="00711593"/>
    <w:rsid w:val="00711918"/>
    <w:rsid w:val="00711AB7"/>
    <w:rsid w:val="00711B88"/>
    <w:rsid w:val="00711CEC"/>
    <w:rsid w:val="00711F94"/>
    <w:rsid w:val="00712023"/>
    <w:rsid w:val="007120CA"/>
    <w:rsid w:val="0071238D"/>
    <w:rsid w:val="007123DF"/>
    <w:rsid w:val="007127B8"/>
    <w:rsid w:val="0071281F"/>
    <w:rsid w:val="007128F3"/>
    <w:rsid w:val="00712D97"/>
    <w:rsid w:val="00713B5F"/>
    <w:rsid w:val="00713DCB"/>
    <w:rsid w:val="00713DEF"/>
    <w:rsid w:val="00713E3E"/>
    <w:rsid w:val="007140FE"/>
    <w:rsid w:val="007144BD"/>
    <w:rsid w:val="00714A34"/>
    <w:rsid w:val="00714AD3"/>
    <w:rsid w:val="00714EC5"/>
    <w:rsid w:val="00715468"/>
    <w:rsid w:val="0071588D"/>
    <w:rsid w:val="00715947"/>
    <w:rsid w:val="00715A58"/>
    <w:rsid w:val="00715ED0"/>
    <w:rsid w:val="007162A1"/>
    <w:rsid w:val="00716328"/>
    <w:rsid w:val="00716512"/>
    <w:rsid w:val="0071668D"/>
    <w:rsid w:val="007168BB"/>
    <w:rsid w:val="00716DE4"/>
    <w:rsid w:val="00716E79"/>
    <w:rsid w:val="00716F32"/>
    <w:rsid w:val="007171B2"/>
    <w:rsid w:val="00717345"/>
    <w:rsid w:val="00717527"/>
    <w:rsid w:val="007178C4"/>
    <w:rsid w:val="00717970"/>
    <w:rsid w:val="00717A1D"/>
    <w:rsid w:val="00717AD3"/>
    <w:rsid w:val="00717C18"/>
    <w:rsid w:val="00720053"/>
    <w:rsid w:val="0072049C"/>
    <w:rsid w:val="007205DF"/>
    <w:rsid w:val="00720690"/>
    <w:rsid w:val="007206D9"/>
    <w:rsid w:val="00720911"/>
    <w:rsid w:val="00720930"/>
    <w:rsid w:val="00720EFF"/>
    <w:rsid w:val="0072111C"/>
    <w:rsid w:val="0072118D"/>
    <w:rsid w:val="0072156F"/>
    <w:rsid w:val="007216D1"/>
    <w:rsid w:val="00721912"/>
    <w:rsid w:val="00721ABA"/>
    <w:rsid w:val="00721C5D"/>
    <w:rsid w:val="00721F01"/>
    <w:rsid w:val="00722730"/>
    <w:rsid w:val="00722BDB"/>
    <w:rsid w:val="00722CC2"/>
    <w:rsid w:val="00722E18"/>
    <w:rsid w:val="00722EB5"/>
    <w:rsid w:val="007232E1"/>
    <w:rsid w:val="00723848"/>
    <w:rsid w:val="00723B50"/>
    <w:rsid w:val="00723B9A"/>
    <w:rsid w:val="00723BB3"/>
    <w:rsid w:val="00723D57"/>
    <w:rsid w:val="007240CB"/>
    <w:rsid w:val="007240F5"/>
    <w:rsid w:val="007244F2"/>
    <w:rsid w:val="00724771"/>
    <w:rsid w:val="00724881"/>
    <w:rsid w:val="00724B1A"/>
    <w:rsid w:val="00724CDD"/>
    <w:rsid w:val="00724E52"/>
    <w:rsid w:val="00724ED3"/>
    <w:rsid w:val="00724FFC"/>
    <w:rsid w:val="0072511E"/>
    <w:rsid w:val="00725205"/>
    <w:rsid w:val="007253CF"/>
    <w:rsid w:val="00725450"/>
    <w:rsid w:val="00725643"/>
    <w:rsid w:val="007257AC"/>
    <w:rsid w:val="0072583D"/>
    <w:rsid w:val="00725D4E"/>
    <w:rsid w:val="0072605A"/>
    <w:rsid w:val="00726162"/>
    <w:rsid w:val="00726214"/>
    <w:rsid w:val="00726242"/>
    <w:rsid w:val="007266CD"/>
    <w:rsid w:val="00726714"/>
    <w:rsid w:val="00726809"/>
    <w:rsid w:val="007269A1"/>
    <w:rsid w:val="00726AB0"/>
    <w:rsid w:val="00727489"/>
    <w:rsid w:val="00727DCD"/>
    <w:rsid w:val="00727E88"/>
    <w:rsid w:val="00730352"/>
    <w:rsid w:val="007304A1"/>
    <w:rsid w:val="007304F9"/>
    <w:rsid w:val="007305D3"/>
    <w:rsid w:val="007305FF"/>
    <w:rsid w:val="007306DB"/>
    <w:rsid w:val="0073086C"/>
    <w:rsid w:val="00730A6F"/>
    <w:rsid w:val="00730CDC"/>
    <w:rsid w:val="00730F36"/>
    <w:rsid w:val="00731056"/>
    <w:rsid w:val="00731132"/>
    <w:rsid w:val="007314F8"/>
    <w:rsid w:val="0073150C"/>
    <w:rsid w:val="00731609"/>
    <w:rsid w:val="0073184B"/>
    <w:rsid w:val="00731D30"/>
    <w:rsid w:val="00731D5F"/>
    <w:rsid w:val="00731F34"/>
    <w:rsid w:val="00731F87"/>
    <w:rsid w:val="0073218C"/>
    <w:rsid w:val="0073225D"/>
    <w:rsid w:val="007323A9"/>
    <w:rsid w:val="00732EF7"/>
    <w:rsid w:val="007330FF"/>
    <w:rsid w:val="00733176"/>
    <w:rsid w:val="00733339"/>
    <w:rsid w:val="0073333A"/>
    <w:rsid w:val="00733864"/>
    <w:rsid w:val="00733C92"/>
    <w:rsid w:val="00733F47"/>
    <w:rsid w:val="0073409D"/>
    <w:rsid w:val="00734156"/>
    <w:rsid w:val="00734162"/>
    <w:rsid w:val="007342A2"/>
    <w:rsid w:val="00734AC4"/>
    <w:rsid w:val="00735156"/>
    <w:rsid w:val="0073573D"/>
    <w:rsid w:val="0073587F"/>
    <w:rsid w:val="00735FFD"/>
    <w:rsid w:val="00736109"/>
    <w:rsid w:val="00736352"/>
    <w:rsid w:val="0073642A"/>
    <w:rsid w:val="00736726"/>
    <w:rsid w:val="00736967"/>
    <w:rsid w:val="00736CCA"/>
    <w:rsid w:val="00736D58"/>
    <w:rsid w:val="00736D75"/>
    <w:rsid w:val="00737152"/>
    <w:rsid w:val="007371C9"/>
    <w:rsid w:val="0073740F"/>
    <w:rsid w:val="007375C2"/>
    <w:rsid w:val="00737792"/>
    <w:rsid w:val="00737825"/>
    <w:rsid w:val="0073796F"/>
    <w:rsid w:val="00737DCE"/>
    <w:rsid w:val="00737E9A"/>
    <w:rsid w:val="007404B0"/>
    <w:rsid w:val="00740AE7"/>
    <w:rsid w:val="00740E3A"/>
    <w:rsid w:val="00740E99"/>
    <w:rsid w:val="00741311"/>
    <w:rsid w:val="007419B5"/>
    <w:rsid w:val="007419E2"/>
    <w:rsid w:val="00741DAC"/>
    <w:rsid w:val="00741EE3"/>
    <w:rsid w:val="007420A5"/>
    <w:rsid w:val="00742129"/>
    <w:rsid w:val="00742271"/>
    <w:rsid w:val="0074229B"/>
    <w:rsid w:val="007422A0"/>
    <w:rsid w:val="0074232D"/>
    <w:rsid w:val="0074238C"/>
    <w:rsid w:val="007425E7"/>
    <w:rsid w:val="00742DC5"/>
    <w:rsid w:val="00743060"/>
    <w:rsid w:val="007430DD"/>
    <w:rsid w:val="00743417"/>
    <w:rsid w:val="00743503"/>
    <w:rsid w:val="007436AE"/>
    <w:rsid w:val="007438D9"/>
    <w:rsid w:val="00743A17"/>
    <w:rsid w:val="00743AFC"/>
    <w:rsid w:val="00743CA8"/>
    <w:rsid w:val="00744454"/>
    <w:rsid w:val="007447C9"/>
    <w:rsid w:val="00744D10"/>
    <w:rsid w:val="0074550C"/>
    <w:rsid w:val="0074565D"/>
    <w:rsid w:val="00745DB6"/>
    <w:rsid w:val="00745DC0"/>
    <w:rsid w:val="007462BB"/>
    <w:rsid w:val="007464F8"/>
    <w:rsid w:val="00746540"/>
    <w:rsid w:val="0074685B"/>
    <w:rsid w:val="0074694E"/>
    <w:rsid w:val="00746A4B"/>
    <w:rsid w:val="00746F02"/>
    <w:rsid w:val="00747276"/>
    <w:rsid w:val="007476E9"/>
    <w:rsid w:val="007477D8"/>
    <w:rsid w:val="00747903"/>
    <w:rsid w:val="0074797A"/>
    <w:rsid w:val="0074799B"/>
    <w:rsid w:val="007503D4"/>
    <w:rsid w:val="00750468"/>
    <w:rsid w:val="00750D4D"/>
    <w:rsid w:val="00750DA5"/>
    <w:rsid w:val="00750E53"/>
    <w:rsid w:val="00751067"/>
    <w:rsid w:val="007512F4"/>
    <w:rsid w:val="00751889"/>
    <w:rsid w:val="00751DEE"/>
    <w:rsid w:val="00751FA8"/>
    <w:rsid w:val="00752127"/>
    <w:rsid w:val="00752365"/>
    <w:rsid w:val="007523CD"/>
    <w:rsid w:val="0075265C"/>
    <w:rsid w:val="007526F2"/>
    <w:rsid w:val="00752BD7"/>
    <w:rsid w:val="0075335D"/>
    <w:rsid w:val="00753791"/>
    <w:rsid w:val="00753E7B"/>
    <w:rsid w:val="0075414D"/>
    <w:rsid w:val="007542AF"/>
    <w:rsid w:val="007544D6"/>
    <w:rsid w:val="0075453B"/>
    <w:rsid w:val="007546DA"/>
    <w:rsid w:val="007548B6"/>
    <w:rsid w:val="00754938"/>
    <w:rsid w:val="00754A51"/>
    <w:rsid w:val="00754EBE"/>
    <w:rsid w:val="00754FCF"/>
    <w:rsid w:val="007552AC"/>
    <w:rsid w:val="00755335"/>
    <w:rsid w:val="007554D0"/>
    <w:rsid w:val="007556CE"/>
    <w:rsid w:val="0075579D"/>
    <w:rsid w:val="0075582A"/>
    <w:rsid w:val="007560DB"/>
    <w:rsid w:val="007561C6"/>
    <w:rsid w:val="007562D5"/>
    <w:rsid w:val="0075666F"/>
    <w:rsid w:val="007566FA"/>
    <w:rsid w:val="00756A88"/>
    <w:rsid w:val="00756B7A"/>
    <w:rsid w:val="00757048"/>
    <w:rsid w:val="007570D6"/>
    <w:rsid w:val="007572D2"/>
    <w:rsid w:val="007573ED"/>
    <w:rsid w:val="00757770"/>
    <w:rsid w:val="00757795"/>
    <w:rsid w:val="00757C14"/>
    <w:rsid w:val="00757E95"/>
    <w:rsid w:val="00757FCC"/>
    <w:rsid w:val="00760021"/>
    <w:rsid w:val="00760162"/>
    <w:rsid w:val="007603B6"/>
    <w:rsid w:val="0076084E"/>
    <w:rsid w:val="00760A16"/>
    <w:rsid w:val="00760D8F"/>
    <w:rsid w:val="00760EBB"/>
    <w:rsid w:val="00760F8C"/>
    <w:rsid w:val="00761188"/>
    <w:rsid w:val="007612F2"/>
    <w:rsid w:val="007623F0"/>
    <w:rsid w:val="007624CE"/>
    <w:rsid w:val="007629CD"/>
    <w:rsid w:val="00762AE1"/>
    <w:rsid w:val="00762C51"/>
    <w:rsid w:val="00763091"/>
    <w:rsid w:val="00763179"/>
    <w:rsid w:val="0076326A"/>
    <w:rsid w:val="007633B1"/>
    <w:rsid w:val="007634DE"/>
    <w:rsid w:val="007635EB"/>
    <w:rsid w:val="00763663"/>
    <w:rsid w:val="00763751"/>
    <w:rsid w:val="00763B9E"/>
    <w:rsid w:val="007641F7"/>
    <w:rsid w:val="00764204"/>
    <w:rsid w:val="00764773"/>
    <w:rsid w:val="007647A5"/>
    <w:rsid w:val="007648D4"/>
    <w:rsid w:val="00764CB9"/>
    <w:rsid w:val="00765F19"/>
    <w:rsid w:val="00765F38"/>
    <w:rsid w:val="007660D9"/>
    <w:rsid w:val="00766279"/>
    <w:rsid w:val="007662AF"/>
    <w:rsid w:val="007662EB"/>
    <w:rsid w:val="007666CE"/>
    <w:rsid w:val="00766834"/>
    <w:rsid w:val="00766891"/>
    <w:rsid w:val="007669AC"/>
    <w:rsid w:val="00766EA5"/>
    <w:rsid w:val="00766F26"/>
    <w:rsid w:val="00766FFE"/>
    <w:rsid w:val="00767348"/>
    <w:rsid w:val="00767409"/>
    <w:rsid w:val="0076766B"/>
    <w:rsid w:val="007678F2"/>
    <w:rsid w:val="00767BB6"/>
    <w:rsid w:val="00767D7A"/>
    <w:rsid w:val="00767ED8"/>
    <w:rsid w:val="00767F52"/>
    <w:rsid w:val="00770014"/>
    <w:rsid w:val="0077074E"/>
    <w:rsid w:val="00770824"/>
    <w:rsid w:val="00770B2B"/>
    <w:rsid w:val="00770BFB"/>
    <w:rsid w:val="00770CD7"/>
    <w:rsid w:val="00771180"/>
    <w:rsid w:val="00771276"/>
    <w:rsid w:val="0077128A"/>
    <w:rsid w:val="00771934"/>
    <w:rsid w:val="00772196"/>
    <w:rsid w:val="0077230E"/>
    <w:rsid w:val="0077232F"/>
    <w:rsid w:val="007723B3"/>
    <w:rsid w:val="0077242C"/>
    <w:rsid w:val="007727C1"/>
    <w:rsid w:val="00772E99"/>
    <w:rsid w:val="00772EC7"/>
    <w:rsid w:val="00772F4C"/>
    <w:rsid w:val="007732E7"/>
    <w:rsid w:val="00773331"/>
    <w:rsid w:val="00773392"/>
    <w:rsid w:val="007734A6"/>
    <w:rsid w:val="0077353E"/>
    <w:rsid w:val="00773A55"/>
    <w:rsid w:val="00773ADD"/>
    <w:rsid w:val="00773CC3"/>
    <w:rsid w:val="00774668"/>
    <w:rsid w:val="007746C7"/>
    <w:rsid w:val="0077482F"/>
    <w:rsid w:val="007748FF"/>
    <w:rsid w:val="00774D85"/>
    <w:rsid w:val="00774E83"/>
    <w:rsid w:val="00775202"/>
    <w:rsid w:val="0077522F"/>
    <w:rsid w:val="00775374"/>
    <w:rsid w:val="00775648"/>
    <w:rsid w:val="00775A0A"/>
    <w:rsid w:val="00775CAC"/>
    <w:rsid w:val="00775D38"/>
    <w:rsid w:val="00776997"/>
    <w:rsid w:val="00776B2B"/>
    <w:rsid w:val="00776D1B"/>
    <w:rsid w:val="00776EDB"/>
    <w:rsid w:val="00776FA0"/>
    <w:rsid w:val="007770E4"/>
    <w:rsid w:val="0077735D"/>
    <w:rsid w:val="007773F7"/>
    <w:rsid w:val="00777BC3"/>
    <w:rsid w:val="007800CC"/>
    <w:rsid w:val="007800EF"/>
    <w:rsid w:val="00780168"/>
    <w:rsid w:val="00780A9B"/>
    <w:rsid w:val="00780D2D"/>
    <w:rsid w:val="00780D41"/>
    <w:rsid w:val="00780DDE"/>
    <w:rsid w:val="00780FD0"/>
    <w:rsid w:val="0078135F"/>
    <w:rsid w:val="00781705"/>
    <w:rsid w:val="00781D4C"/>
    <w:rsid w:val="00781D6D"/>
    <w:rsid w:val="00781F07"/>
    <w:rsid w:val="007825A5"/>
    <w:rsid w:val="0078262F"/>
    <w:rsid w:val="00782A7E"/>
    <w:rsid w:val="00782FD2"/>
    <w:rsid w:val="00783223"/>
    <w:rsid w:val="00783418"/>
    <w:rsid w:val="007837DC"/>
    <w:rsid w:val="007839B4"/>
    <w:rsid w:val="00783A8D"/>
    <w:rsid w:val="00783BA3"/>
    <w:rsid w:val="00783D00"/>
    <w:rsid w:val="007840FA"/>
    <w:rsid w:val="00784240"/>
    <w:rsid w:val="007843EF"/>
    <w:rsid w:val="007847B1"/>
    <w:rsid w:val="007848A0"/>
    <w:rsid w:val="00784984"/>
    <w:rsid w:val="00784B53"/>
    <w:rsid w:val="00784F08"/>
    <w:rsid w:val="0078520B"/>
    <w:rsid w:val="0078544A"/>
    <w:rsid w:val="0078571D"/>
    <w:rsid w:val="00785750"/>
    <w:rsid w:val="007858F9"/>
    <w:rsid w:val="00785906"/>
    <w:rsid w:val="00785DDD"/>
    <w:rsid w:val="00785E13"/>
    <w:rsid w:val="00785EF2"/>
    <w:rsid w:val="00785FF4"/>
    <w:rsid w:val="007861D5"/>
    <w:rsid w:val="0078628F"/>
    <w:rsid w:val="00786327"/>
    <w:rsid w:val="00786591"/>
    <w:rsid w:val="0078672C"/>
    <w:rsid w:val="0078732E"/>
    <w:rsid w:val="0078759A"/>
    <w:rsid w:val="007876C4"/>
    <w:rsid w:val="00787856"/>
    <w:rsid w:val="00790038"/>
    <w:rsid w:val="007900D6"/>
    <w:rsid w:val="007905F9"/>
    <w:rsid w:val="00790720"/>
    <w:rsid w:val="00790934"/>
    <w:rsid w:val="00790A8A"/>
    <w:rsid w:val="00790AC1"/>
    <w:rsid w:val="00790DA2"/>
    <w:rsid w:val="00790DDA"/>
    <w:rsid w:val="00790FA4"/>
    <w:rsid w:val="00791441"/>
    <w:rsid w:val="007914C0"/>
    <w:rsid w:val="00791995"/>
    <w:rsid w:val="00791AE6"/>
    <w:rsid w:val="00791BF0"/>
    <w:rsid w:val="00791C42"/>
    <w:rsid w:val="00791FBE"/>
    <w:rsid w:val="00792218"/>
    <w:rsid w:val="007922E5"/>
    <w:rsid w:val="0079242D"/>
    <w:rsid w:val="00792499"/>
    <w:rsid w:val="0079258D"/>
    <w:rsid w:val="00792B88"/>
    <w:rsid w:val="00792C12"/>
    <w:rsid w:val="00792DBE"/>
    <w:rsid w:val="007932EF"/>
    <w:rsid w:val="00793596"/>
    <w:rsid w:val="00793672"/>
    <w:rsid w:val="007936CF"/>
    <w:rsid w:val="007936F1"/>
    <w:rsid w:val="00793C37"/>
    <w:rsid w:val="00793E66"/>
    <w:rsid w:val="00793E67"/>
    <w:rsid w:val="00793EC6"/>
    <w:rsid w:val="0079405A"/>
    <w:rsid w:val="0079405E"/>
    <w:rsid w:val="00794DAB"/>
    <w:rsid w:val="00794F22"/>
    <w:rsid w:val="0079525B"/>
    <w:rsid w:val="00795914"/>
    <w:rsid w:val="00795938"/>
    <w:rsid w:val="00795B17"/>
    <w:rsid w:val="00795C1A"/>
    <w:rsid w:val="00795DAC"/>
    <w:rsid w:val="007960F5"/>
    <w:rsid w:val="0079619F"/>
    <w:rsid w:val="0079643C"/>
    <w:rsid w:val="00796840"/>
    <w:rsid w:val="00796905"/>
    <w:rsid w:val="007969B9"/>
    <w:rsid w:val="00796B71"/>
    <w:rsid w:val="00796D81"/>
    <w:rsid w:val="00796E56"/>
    <w:rsid w:val="00796E85"/>
    <w:rsid w:val="00796F01"/>
    <w:rsid w:val="0079701A"/>
    <w:rsid w:val="007970A9"/>
    <w:rsid w:val="007970E6"/>
    <w:rsid w:val="0079723B"/>
    <w:rsid w:val="00797321"/>
    <w:rsid w:val="007974E5"/>
    <w:rsid w:val="0079772D"/>
    <w:rsid w:val="007978E0"/>
    <w:rsid w:val="00797CCF"/>
    <w:rsid w:val="007A0106"/>
    <w:rsid w:val="007A05E4"/>
    <w:rsid w:val="007A08E1"/>
    <w:rsid w:val="007A0B79"/>
    <w:rsid w:val="007A0C3C"/>
    <w:rsid w:val="007A0D93"/>
    <w:rsid w:val="007A1058"/>
    <w:rsid w:val="007A11B8"/>
    <w:rsid w:val="007A11CE"/>
    <w:rsid w:val="007A1287"/>
    <w:rsid w:val="007A140D"/>
    <w:rsid w:val="007A1482"/>
    <w:rsid w:val="007A1546"/>
    <w:rsid w:val="007A1D27"/>
    <w:rsid w:val="007A1D4C"/>
    <w:rsid w:val="007A1F45"/>
    <w:rsid w:val="007A2357"/>
    <w:rsid w:val="007A248A"/>
    <w:rsid w:val="007A27FB"/>
    <w:rsid w:val="007A284B"/>
    <w:rsid w:val="007A2AF5"/>
    <w:rsid w:val="007A2BAE"/>
    <w:rsid w:val="007A2DA3"/>
    <w:rsid w:val="007A2FF2"/>
    <w:rsid w:val="007A30AD"/>
    <w:rsid w:val="007A32FD"/>
    <w:rsid w:val="007A338E"/>
    <w:rsid w:val="007A3A3F"/>
    <w:rsid w:val="007A3FFC"/>
    <w:rsid w:val="007A45A9"/>
    <w:rsid w:val="007A45D2"/>
    <w:rsid w:val="007A4822"/>
    <w:rsid w:val="007A4845"/>
    <w:rsid w:val="007A513A"/>
    <w:rsid w:val="007A5304"/>
    <w:rsid w:val="007A569A"/>
    <w:rsid w:val="007A57A2"/>
    <w:rsid w:val="007A58D1"/>
    <w:rsid w:val="007A5DF0"/>
    <w:rsid w:val="007A5DF3"/>
    <w:rsid w:val="007A609C"/>
    <w:rsid w:val="007A634C"/>
    <w:rsid w:val="007A6718"/>
    <w:rsid w:val="007A67F5"/>
    <w:rsid w:val="007A6E51"/>
    <w:rsid w:val="007A7092"/>
    <w:rsid w:val="007A7680"/>
    <w:rsid w:val="007A7768"/>
    <w:rsid w:val="007A7ABB"/>
    <w:rsid w:val="007A7BCE"/>
    <w:rsid w:val="007A7C62"/>
    <w:rsid w:val="007A7DB4"/>
    <w:rsid w:val="007B0014"/>
    <w:rsid w:val="007B003B"/>
    <w:rsid w:val="007B01A5"/>
    <w:rsid w:val="007B03D4"/>
    <w:rsid w:val="007B057F"/>
    <w:rsid w:val="007B0AED"/>
    <w:rsid w:val="007B101A"/>
    <w:rsid w:val="007B11AF"/>
    <w:rsid w:val="007B1244"/>
    <w:rsid w:val="007B1258"/>
    <w:rsid w:val="007B15BB"/>
    <w:rsid w:val="007B15E7"/>
    <w:rsid w:val="007B17F3"/>
    <w:rsid w:val="007B1B58"/>
    <w:rsid w:val="007B1C51"/>
    <w:rsid w:val="007B1D9E"/>
    <w:rsid w:val="007B1F83"/>
    <w:rsid w:val="007B21C5"/>
    <w:rsid w:val="007B254E"/>
    <w:rsid w:val="007B280E"/>
    <w:rsid w:val="007B2AF4"/>
    <w:rsid w:val="007B2E63"/>
    <w:rsid w:val="007B33B1"/>
    <w:rsid w:val="007B3EE2"/>
    <w:rsid w:val="007B3FC0"/>
    <w:rsid w:val="007B41F2"/>
    <w:rsid w:val="007B4207"/>
    <w:rsid w:val="007B434A"/>
    <w:rsid w:val="007B46C3"/>
    <w:rsid w:val="007B49B8"/>
    <w:rsid w:val="007B4EA2"/>
    <w:rsid w:val="007B4EB8"/>
    <w:rsid w:val="007B54A4"/>
    <w:rsid w:val="007B54AB"/>
    <w:rsid w:val="007B552F"/>
    <w:rsid w:val="007B562F"/>
    <w:rsid w:val="007B5B0B"/>
    <w:rsid w:val="007B5CCC"/>
    <w:rsid w:val="007B5EE9"/>
    <w:rsid w:val="007B605B"/>
    <w:rsid w:val="007B6082"/>
    <w:rsid w:val="007B6314"/>
    <w:rsid w:val="007B6BFF"/>
    <w:rsid w:val="007B6D94"/>
    <w:rsid w:val="007B6F20"/>
    <w:rsid w:val="007B70DD"/>
    <w:rsid w:val="007B711A"/>
    <w:rsid w:val="007B7156"/>
    <w:rsid w:val="007B716D"/>
    <w:rsid w:val="007B71BD"/>
    <w:rsid w:val="007B71F0"/>
    <w:rsid w:val="007B7301"/>
    <w:rsid w:val="007B76C6"/>
    <w:rsid w:val="007B78ED"/>
    <w:rsid w:val="007B7ABD"/>
    <w:rsid w:val="007B7B51"/>
    <w:rsid w:val="007C05DA"/>
    <w:rsid w:val="007C071A"/>
    <w:rsid w:val="007C096B"/>
    <w:rsid w:val="007C0C6C"/>
    <w:rsid w:val="007C0E46"/>
    <w:rsid w:val="007C103C"/>
    <w:rsid w:val="007C1258"/>
    <w:rsid w:val="007C13EC"/>
    <w:rsid w:val="007C148B"/>
    <w:rsid w:val="007C1987"/>
    <w:rsid w:val="007C2027"/>
    <w:rsid w:val="007C223B"/>
    <w:rsid w:val="007C22BF"/>
    <w:rsid w:val="007C246A"/>
    <w:rsid w:val="007C281E"/>
    <w:rsid w:val="007C2B0D"/>
    <w:rsid w:val="007C2D37"/>
    <w:rsid w:val="007C2D82"/>
    <w:rsid w:val="007C3069"/>
    <w:rsid w:val="007C3201"/>
    <w:rsid w:val="007C3B29"/>
    <w:rsid w:val="007C3B33"/>
    <w:rsid w:val="007C3C60"/>
    <w:rsid w:val="007C3CBA"/>
    <w:rsid w:val="007C3CDC"/>
    <w:rsid w:val="007C4909"/>
    <w:rsid w:val="007C49AC"/>
    <w:rsid w:val="007C4B05"/>
    <w:rsid w:val="007C5197"/>
    <w:rsid w:val="007C519A"/>
    <w:rsid w:val="007C5650"/>
    <w:rsid w:val="007C5C6F"/>
    <w:rsid w:val="007C5F62"/>
    <w:rsid w:val="007C6217"/>
    <w:rsid w:val="007C6334"/>
    <w:rsid w:val="007C6353"/>
    <w:rsid w:val="007C64B6"/>
    <w:rsid w:val="007C65E2"/>
    <w:rsid w:val="007C6630"/>
    <w:rsid w:val="007C6906"/>
    <w:rsid w:val="007C693E"/>
    <w:rsid w:val="007C730B"/>
    <w:rsid w:val="007C73B6"/>
    <w:rsid w:val="007C74C2"/>
    <w:rsid w:val="007C756C"/>
    <w:rsid w:val="007C76BA"/>
    <w:rsid w:val="007C7B40"/>
    <w:rsid w:val="007D00A9"/>
    <w:rsid w:val="007D00CC"/>
    <w:rsid w:val="007D0470"/>
    <w:rsid w:val="007D047B"/>
    <w:rsid w:val="007D04E3"/>
    <w:rsid w:val="007D06B4"/>
    <w:rsid w:val="007D071B"/>
    <w:rsid w:val="007D0846"/>
    <w:rsid w:val="007D09A5"/>
    <w:rsid w:val="007D0C2A"/>
    <w:rsid w:val="007D119A"/>
    <w:rsid w:val="007D120A"/>
    <w:rsid w:val="007D1237"/>
    <w:rsid w:val="007D19C5"/>
    <w:rsid w:val="007D1D06"/>
    <w:rsid w:val="007D22B1"/>
    <w:rsid w:val="007D2324"/>
    <w:rsid w:val="007D23C3"/>
    <w:rsid w:val="007D265C"/>
    <w:rsid w:val="007D27B2"/>
    <w:rsid w:val="007D2EE0"/>
    <w:rsid w:val="007D378F"/>
    <w:rsid w:val="007D396E"/>
    <w:rsid w:val="007D3E39"/>
    <w:rsid w:val="007D40DF"/>
    <w:rsid w:val="007D43EA"/>
    <w:rsid w:val="007D43F9"/>
    <w:rsid w:val="007D44A1"/>
    <w:rsid w:val="007D457D"/>
    <w:rsid w:val="007D47A0"/>
    <w:rsid w:val="007D49DA"/>
    <w:rsid w:val="007D4A3D"/>
    <w:rsid w:val="007D4BFA"/>
    <w:rsid w:val="007D4CD5"/>
    <w:rsid w:val="007D525C"/>
    <w:rsid w:val="007D5412"/>
    <w:rsid w:val="007D54EE"/>
    <w:rsid w:val="007D5B6B"/>
    <w:rsid w:val="007D5B6D"/>
    <w:rsid w:val="007D5C3B"/>
    <w:rsid w:val="007D5E12"/>
    <w:rsid w:val="007D671A"/>
    <w:rsid w:val="007D68B7"/>
    <w:rsid w:val="007D6CC9"/>
    <w:rsid w:val="007D6E50"/>
    <w:rsid w:val="007D6E75"/>
    <w:rsid w:val="007D6EB7"/>
    <w:rsid w:val="007D6F38"/>
    <w:rsid w:val="007D7034"/>
    <w:rsid w:val="007D708A"/>
    <w:rsid w:val="007D72F0"/>
    <w:rsid w:val="007D748C"/>
    <w:rsid w:val="007D75C4"/>
    <w:rsid w:val="007D7748"/>
    <w:rsid w:val="007D7777"/>
    <w:rsid w:val="007D78AF"/>
    <w:rsid w:val="007D7A29"/>
    <w:rsid w:val="007D7F17"/>
    <w:rsid w:val="007D7F2E"/>
    <w:rsid w:val="007E01ED"/>
    <w:rsid w:val="007E05B0"/>
    <w:rsid w:val="007E06BE"/>
    <w:rsid w:val="007E0787"/>
    <w:rsid w:val="007E09B6"/>
    <w:rsid w:val="007E0A87"/>
    <w:rsid w:val="007E0C71"/>
    <w:rsid w:val="007E0E23"/>
    <w:rsid w:val="007E0F26"/>
    <w:rsid w:val="007E1237"/>
    <w:rsid w:val="007E136C"/>
    <w:rsid w:val="007E16F7"/>
    <w:rsid w:val="007E1787"/>
    <w:rsid w:val="007E1DAD"/>
    <w:rsid w:val="007E1E8E"/>
    <w:rsid w:val="007E1FDC"/>
    <w:rsid w:val="007E219F"/>
    <w:rsid w:val="007E278A"/>
    <w:rsid w:val="007E2941"/>
    <w:rsid w:val="007E2960"/>
    <w:rsid w:val="007E2FC8"/>
    <w:rsid w:val="007E3009"/>
    <w:rsid w:val="007E3061"/>
    <w:rsid w:val="007E3621"/>
    <w:rsid w:val="007E37A7"/>
    <w:rsid w:val="007E3AC6"/>
    <w:rsid w:val="007E3CEC"/>
    <w:rsid w:val="007E3DDD"/>
    <w:rsid w:val="007E40CF"/>
    <w:rsid w:val="007E44BC"/>
    <w:rsid w:val="007E4509"/>
    <w:rsid w:val="007E4660"/>
    <w:rsid w:val="007E4A80"/>
    <w:rsid w:val="007E4B18"/>
    <w:rsid w:val="007E4B7A"/>
    <w:rsid w:val="007E4B96"/>
    <w:rsid w:val="007E4B99"/>
    <w:rsid w:val="007E4CF2"/>
    <w:rsid w:val="007E4E1D"/>
    <w:rsid w:val="007E4E38"/>
    <w:rsid w:val="007E5115"/>
    <w:rsid w:val="007E5117"/>
    <w:rsid w:val="007E51D6"/>
    <w:rsid w:val="007E5280"/>
    <w:rsid w:val="007E5447"/>
    <w:rsid w:val="007E557B"/>
    <w:rsid w:val="007E55E2"/>
    <w:rsid w:val="007E5607"/>
    <w:rsid w:val="007E58C0"/>
    <w:rsid w:val="007E5A68"/>
    <w:rsid w:val="007E5D4F"/>
    <w:rsid w:val="007E5D50"/>
    <w:rsid w:val="007E6100"/>
    <w:rsid w:val="007E64CD"/>
    <w:rsid w:val="007E6A63"/>
    <w:rsid w:val="007E6B01"/>
    <w:rsid w:val="007E6B4C"/>
    <w:rsid w:val="007E6C38"/>
    <w:rsid w:val="007E6E0A"/>
    <w:rsid w:val="007E7A4E"/>
    <w:rsid w:val="007E7DC4"/>
    <w:rsid w:val="007E7FEF"/>
    <w:rsid w:val="007F000A"/>
    <w:rsid w:val="007F0112"/>
    <w:rsid w:val="007F0465"/>
    <w:rsid w:val="007F0B1C"/>
    <w:rsid w:val="007F0B37"/>
    <w:rsid w:val="007F0CC7"/>
    <w:rsid w:val="007F0E72"/>
    <w:rsid w:val="007F0F8E"/>
    <w:rsid w:val="007F10C5"/>
    <w:rsid w:val="007F1416"/>
    <w:rsid w:val="007F1559"/>
    <w:rsid w:val="007F15AB"/>
    <w:rsid w:val="007F191D"/>
    <w:rsid w:val="007F1A39"/>
    <w:rsid w:val="007F1CAA"/>
    <w:rsid w:val="007F2492"/>
    <w:rsid w:val="007F263D"/>
    <w:rsid w:val="007F267C"/>
    <w:rsid w:val="007F2789"/>
    <w:rsid w:val="007F2ADC"/>
    <w:rsid w:val="007F2BCB"/>
    <w:rsid w:val="007F2D57"/>
    <w:rsid w:val="007F2DB7"/>
    <w:rsid w:val="007F2E98"/>
    <w:rsid w:val="007F351B"/>
    <w:rsid w:val="007F3578"/>
    <w:rsid w:val="007F3762"/>
    <w:rsid w:val="007F3A3E"/>
    <w:rsid w:val="007F3B4D"/>
    <w:rsid w:val="007F3C6C"/>
    <w:rsid w:val="007F3E02"/>
    <w:rsid w:val="007F4269"/>
    <w:rsid w:val="007F442C"/>
    <w:rsid w:val="007F4862"/>
    <w:rsid w:val="007F4C6A"/>
    <w:rsid w:val="007F4E8B"/>
    <w:rsid w:val="007F503C"/>
    <w:rsid w:val="007F5051"/>
    <w:rsid w:val="007F50FE"/>
    <w:rsid w:val="007F5346"/>
    <w:rsid w:val="007F542E"/>
    <w:rsid w:val="007F5643"/>
    <w:rsid w:val="007F575B"/>
    <w:rsid w:val="007F5783"/>
    <w:rsid w:val="007F5863"/>
    <w:rsid w:val="007F5981"/>
    <w:rsid w:val="007F5BB6"/>
    <w:rsid w:val="007F6057"/>
    <w:rsid w:val="007F63D3"/>
    <w:rsid w:val="007F6846"/>
    <w:rsid w:val="007F68CC"/>
    <w:rsid w:val="007F6EEC"/>
    <w:rsid w:val="007F7036"/>
    <w:rsid w:val="007F72D1"/>
    <w:rsid w:val="007F7348"/>
    <w:rsid w:val="007F73A9"/>
    <w:rsid w:val="007F7477"/>
    <w:rsid w:val="007F7A7E"/>
    <w:rsid w:val="007F7FFC"/>
    <w:rsid w:val="008000FB"/>
    <w:rsid w:val="008006C3"/>
    <w:rsid w:val="00800891"/>
    <w:rsid w:val="00800DBA"/>
    <w:rsid w:val="0080109A"/>
    <w:rsid w:val="0080166C"/>
    <w:rsid w:val="008019BB"/>
    <w:rsid w:val="00801B3D"/>
    <w:rsid w:val="00801C93"/>
    <w:rsid w:val="00801D71"/>
    <w:rsid w:val="00801DDF"/>
    <w:rsid w:val="00801E5C"/>
    <w:rsid w:val="00801EAA"/>
    <w:rsid w:val="00801EF9"/>
    <w:rsid w:val="00801F33"/>
    <w:rsid w:val="008027D1"/>
    <w:rsid w:val="00802982"/>
    <w:rsid w:val="00802AAD"/>
    <w:rsid w:val="00802B5E"/>
    <w:rsid w:val="00802CB0"/>
    <w:rsid w:val="00802E3A"/>
    <w:rsid w:val="00802E86"/>
    <w:rsid w:val="00803551"/>
    <w:rsid w:val="008037A2"/>
    <w:rsid w:val="0080394F"/>
    <w:rsid w:val="00803AB7"/>
    <w:rsid w:val="00803AD9"/>
    <w:rsid w:val="00803BC9"/>
    <w:rsid w:val="00803DDE"/>
    <w:rsid w:val="00803E42"/>
    <w:rsid w:val="00804443"/>
    <w:rsid w:val="008049B4"/>
    <w:rsid w:val="00804AD6"/>
    <w:rsid w:val="00804C93"/>
    <w:rsid w:val="00804CAC"/>
    <w:rsid w:val="00804E45"/>
    <w:rsid w:val="00804EF4"/>
    <w:rsid w:val="00805109"/>
    <w:rsid w:val="0080522C"/>
    <w:rsid w:val="00805B51"/>
    <w:rsid w:val="00805D5D"/>
    <w:rsid w:val="00805FA1"/>
    <w:rsid w:val="0080622B"/>
    <w:rsid w:val="008062A4"/>
    <w:rsid w:val="008062EA"/>
    <w:rsid w:val="00806305"/>
    <w:rsid w:val="008068C0"/>
    <w:rsid w:val="0080699C"/>
    <w:rsid w:val="00806AC3"/>
    <w:rsid w:val="008073EA"/>
    <w:rsid w:val="00807533"/>
    <w:rsid w:val="00807AE9"/>
    <w:rsid w:val="00807B9B"/>
    <w:rsid w:val="00807D30"/>
    <w:rsid w:val="0081078D"/>
    <w:rsid w:val="00810FF1"/>
    <w:rsid w:val="00811512"/>
    <w:rsid w:val="00811615"/>
    <w:rsid w:val="0081169A"/>
    <w:rsid w:val="00811BC9"/>
    <w:rsid w:val="00811EF5"/>
    <w:rsid w:val="00811F3F"/>
    <w:rsid w:val="00812070"/>
    <w:rsid w:val="008122B1"/>
    <w:rsid w:val="008124C0"/>
    <w:rsid w:val="0081264F"/>
    <w:rsid w:val="008126B9"/>
    <w:rsid w:val="008126ED"/>
    <w:rsid w:val="0081278B"/>
    <w:rsid w:val="0081296E"/>
    <w:rsid w:val="00812AF9"/>
    <w:rsid w:val="00812C07"/>
    <w:rsid w:val="00812C24"/>
    <w:rsid w:val="00812E66"/>
    <w:rsid w:val="00813250"/>
    <w:rsid w:val="00813A91"/>
    <w:rsid w:val="00813C34"/>
    <w:rsid w:val="00813C78"/>
    <w:rsid w:val="00813D13"/>
    <w:rsid w:val="00813D4F"/>
    <w:rsid w:val="00813DCF"/>
    <w:rsid w:val="0081425D"/>
    <w:rsid w:val="0081429E"/>
    <w:rsid w:val="0081460B"/>
    <w:rsid w:val="00814637"/>
    <w:rsid w:val="00814834"/>
    <w:rsid w:val="00814A0B"/>
    <w:rsid w:val="00814B1F"/>
    <w:rsid w:val="00814D5F"/>
    <w:rsid w:val="00814E35"/>
    <w:rsid w:val="008154CC"/>
    <w:rsid w:val="0081560E"/>
    <w:rsid w:val="008158BB"/>
    <w:rsid w:val="00815A69"/>
    <w:rsid w:val="00815AD1"/>
    <w:rsid w:val="00815B49"/>
    <w:rsid w:val="00815DFB"/>
    <w:rsid w:val="00815FC8"/>
    <w:rsid w:val="00816726"/>
    <w:rsid w:val="008167F6"/>
    <w:rsid w:val="00816823"/>
    <w:rsid w:val="00816AB6"/>
    <w:rsid w:val="00816B16"/>
    <w:rsid w:val="00816B2B"/>
    <w:rsid w:val="00816B65"/>
    <w:rsid w:val="00816CAD"/>
    <w:rsid w:val="00816E88"/>
    <w:rsid w:val="00817301"/>
    <w:rsid w:val="00817ACD"/>
    <w:rsid w:val="00817C8D"/>
    <w:rsid w:val="00817E0B"/>
    <w:rsid w:val="00817E37"/>
    <w:rsid w:val="008203E7"/>
    <w:rsid w:val="0082058B"/>
    <w:rsid w:val="0082071A"/>
    <w:rsid w:val="00820E97"/>
    <w:rsid w:val="00820F42"/>
    <w:rsid w:val="00821051"/>
    <w:rsid w:val="0082132C"/>
    <w:rsid w:val="008213C7"/>
    <w:rsid w:val="00821457"/>
    <w:rsid w:val="00821505"/>
    <w:rsid w:val="00821695"/>
    <w:rsid w:val="008217EA"/>
    <w:rsid w:val="00821890"/>
    <w:rsid w:val="00821A77"/>
    <w:rsid w:val="00821DB7"/>
    <w:rsid w:val="00821F31"/>
    <w:rsid w:val="00822419"/>
    <w:rsid w:val="0082249C"/>
    <w:rsid w:val="00822818"/>
    <w:rsid w:val="00822C7E"/>
    <w:rsid w:val="00822D7B"/>
    <w:rsid w:val="00823189"/>
    <w:rsid w:val="0082319F"/>
    <w:rsid w:val="0082393B"/>
    <w:rsid w:val="00823D7E"/>
    <w:rsid w:val="008240B4"/>
    <w:rsid w:val="00824779"/>
    <w:rsid w:val="0082495F"/>
    <w:rsid w:val="00824B52"/>
    <w:rsid w:val="00824BC1"/>
    <w:rsid w:val="00825132"/>
    <w:rsid w:val="00825163"/>
    <w:rsid w:val="008252A9"/>
    <w:rsid w:val="008252CC"/>
    <w:rsid w:val="008256BE"/>
    <w:rsid w:val="00825C05"/>
    <w:rsid w:val="00825DC9"/>
    <w:rsid w:val="00826297"/>
    <w:rsid w:val="00826380"/>
    <w:rsid w:val="008269EB"/>
    <w:rsid w:val="00826B0B"/>
    <w:rsid w:val="00826C0F"/>
    <w:rsid w:val="00826E6A"/>
    <w:rsid w:val="00826F30"/>
    <w:rsid w:val="00826F67"/>
    <w:rsid w:val="0082705B"/>
    <w:rsid w:val="00827144"/>
    <w:rsid w:val="00827416"/>
    <w:rsid w:val="00827E49"/>
    <w:rsid w:val="00830063"/>
    <w:rsid w:val="00830567"/>
    <w:rsid w:val="0083063E"/>
    <w:rsid w:val="00830646"/>
    <w:rsid w:val="00830689"/>
    <w:rsid w:val="00830D29"/>
    <w:rsid w:val="00830D7C"/>
    <w:rsid w:val="00830E54"/>
    <w:rsid w:val="00830EC5"/>
    <w:rsid w:val="00830FDB"/>
    <w:rsid w:val="00831008"/>
    <w:rsid w:val="008311E6"/>
    <w:rsid w:val="00831334"/>
    <w:rsid w:val="008313C0"/>
    <w:rsid w:val="0083143B"/>
    <w:rsid w:val="008315AF"/>
    <w:rsid w:val="008315DA"/>
    <w:rsid w:val="00831785"/>
    <w:rsid w:val="00831D05"/>
    <w:rsid w:val="00831E63"/>
    <w:rsid w:val="00832163"/>
    <w:rsid w:val="00832510"/>
    <w:rsid w:val="008328F0"/>
    <w:rsid w:val="0083290C"/>
    <w:rsid w:val="008329B3"/>
    <w:rsid w:val="00832FE5"/>
    <w:rsid w:val="00833200"/>
    <w:rsid w:val="0083339B"/>
    <w:rsid w:val="0083383F"/>
    <w:rsid w:val="00833BF4"/>
    <w:rsid w:val="00833C61"/>
    <w:rsid w:val="00833CCA"/>
    <w:rsid w:val="00834008"/>
    <w:rsid w:val="00834064"/>
    <w:rsid w:val="008344B6"/>
    <w:rsid w:val="00834600"/>
    <w:rsid w:val="00834901"/>
    <w:rsid w:val="00834B26"/>
    <w:rsid w:val="00834E56"/>
    <w:rsid w:val="008357F8"/>
    <w:rsid w:val="00835A50"/>
    <w:rsid w:val="00835CE6"/>
    <w:rsid w:val="00836056"/>
    <w:rsid w:val="00836084"/>
    <w:rsid w:val="0083624D"/>
    <w:rsid w:val="00836251"/>
    <w:rsid w:val="008370CF"/>
    <w:rsid w:val="00837203"/>
    <w:rsid w:val="008373FE"/>
    <w:rsid w:val="008400F9"/>
    <w:rsid w:val="0084028D"/>
    <w:rsid w:val="008406F6"/>
    <w:rsid w:val="00840E73"/>
    <w:rsid w:val="00840EB2"/>
    <w:rsid w:val="008410B7"/>
    <w:rsid w:val="0084129A"/>
    <w:rsid w:val="00841742"/>
    <w:rsid w:val="00841A88"/>
    <w:rsid w:val="00841C13"/>
    <w:rsid w:val="00841E86"/>
    <w:rsid w:val="00841FB1"/>
    <w:rsid w:val="008420BA"/>
    <w:rsid w:val="00842387"/>
    <w:rsid w:val="008423F6"/>
    <w:rsid w:val="00842787"/>
    <w:rsid w:val="00842871"/>
    <w:rsid w:val="00842A52"/>
    <w:rsid w:val="00842B11"/>
    <w:rsid w:val="00842D57"/>
    <w:rsid w:val="00842D86"/>
    <w:rsid w:val="008434A1"/>
    <w:rsid w:val="008435D4"/>
    <w:rsid w:val="008436C4"/>
    <w:rsid w:val="008438D8"/>
    <w:rsid w:val="0084391C"/>
    <w:rsid w:val="00843A61"/>
    <w:rsid w:val="00843C05"/>
    <w:rsid w:val="00843C3F"/>
    <w:rsid w:val="00843E93"/>
    <w:rsid w:val="0084413A"/>
    <w:rsid w:val="00844B30"/>
    <w:rsid w:val="00844D88"/>
    <w:rsid w:val="00845190"/>
    <w:rsid w:val="008455FA"/>
    <w:rsid w:val="008456BE"/>
    <w:rsid w:val="008457CE"/>
    <w:rsid w:val="00845A45"/>
    <w:rsid w:val="00845EB5"/>
    <w:rsid w:val="00846143"/>
    <w:rsid w:val="0084634C"/>
    <w:rsid w:val="0084680A"/>
    <w:rsid w:val="008469F4"/>
    <w:rsid w:val="00846CEF"/>
    <w:rsid w:val="00846E22"/>
    <w:rsid w:val="00846E96"/>
    <w:rsid w:val="00847033"/>
    <w:rsid w:val="00847261"/>
    <w:rsid w:val="008472BA"/>
    <w:rsid w:val="00847874"/>
    <w:rsid w:val="00847A00"/>
    <w:rsid w:val="00847B67"/>
    <w:rsid w:val="00847B93"/>
    <w:rsid w:val="0085016D"/>
    <w:rsid w:val="0085064F"/>
    <w:rsid w:val="0085070E"/>
    <w:rsid w:val="008507A9"/>
    <w:rsid w:val="0085081B"/>
    <w:rsid w:val="00850C7D"/>
    <w:rsid w:val="00850DEA"/>
    <w:rsid w:val="00850E39"/>
    <w:rsid w:val="0085109A"/>
    <w:rsid w:val="00851263"/>
    <w:rsid w:val="008513DC"/>
    <w:rsid w:val="00851ABC"/>
    <w:rsid w:val="00851B6F"/>
    <w:rsid w:val="00851D1A"/>
    <w:rsid w:val="00851DCC"/>
    <w:rsid w:val="00851F5D"/>
    <w:rsid w:val="00851F92"/>
    <w:rsid w:val="0085207B"/>
    <w:rsid w:val="00852509"/>
    <w:rsid w:val="00852942"/>
    <w:rsid w:val="00852B65"/>
    <w:rsid w:val="00852DF9"/>
    <w:rsid w:val="008536F5"/>
    <w:rsid w:val="008538EF"/>
    <w:rsid w:val="0085393B"/>
    <w:rsid w:val="00853B06"/>
    <w:rsid w:val="00853D40"/>
    <w:rsid w:val="00854122"/>
    <w:rsid w:val="00854606"/>
    <w:rsid w:val="00854610"/>
    <w:rsid w:val="0085463E"/>
    <w:rsid w:val="008546C6"/>
    <w:rsid w:val="008546FD"/>
    <w:rsid w:val="0085479C"/>
    <w:rsid w:val="0085484D"/>
    <w:rsid w:val="00854912"/>
    <w:rsid w:val="00854953"/>
    <w:rsid w:val="00854985"/>
    <w:rsid w:val="00854DB8"/>
    <w:rsid w:val="00854E41"/>
    <w:rsid w:val="008551EF"/>
    <w:rsid w:val="00855313"/>
    <w:rsid w:val="008559A0"/>
    <w:rsid w:val="00855A32"/>
    <w:rsid w:val="00855EFD"/>
    <w:rsid w:val="00856841"/>
    <w:rsid w:val="00856A4A"/>
    <w:rsid w:val="00856CB7"/>
    <w:rsid w:val="00856EEF"/>
    <w:rsid w:val="00857353"/>
    <w:rsid w:val="00857602"/>
    <w:rsid w:val="008576F5"/>
    <w:rsid w:val="008579F6"/>
    <w:rsid w:val="00857A87"/>
    <w:rsid w:val="00857FF6"/>
    <w:rsid w:val="0086026B"/>
    <w:rsid w:val="00860310"/>
    <w:rsid w:val="00860658"/>
    <w:rsid w:val="008607DB"/>
    <w:rsid w:val="00860817"/>
    <w:rsid w:val="0086083D"/>
    <w:rsid w:val="00860F10"/>
    <w:rsid w:val="00860F9E"/>
    <w:rsid w:val="008611F7"/>
    <w:rsid w:val="00861434"/>
    <w:rsid w:val="008615B8"/>
    <w:rsid w:val="00861A7D"/>
    <w:rsid w:val="00861EFC"/>
    <w:rsid w:val="00861F27"/>
    <w:rsid w:val="00861F9F"/>
    <w:rsid w:val="00862970"/>
    <w:rsid w:val="00862AB5"/>
    <w:rsid w:val="00862B34"/>
    <w:rsid w:val="00862BA2"/>
    <w:rsid w:val="00862BAA"/>
    <w:rsid w:val="00862BE2"/>
    <w:rsid w:val="00862D5F"/>
    <w:rsid w:val="00862DA6"/>
    <w:rsid w:val="00862F67"/>
    <w:rsid w:val="0086303D"/>
    <w:rsid w:val="00863461"/>
    <w:rsid w:val="00863577"/>
    <w:rsid w:val="008637DB"/>
    <w:rsid w:val="008637E9"/>
    <w:rsid w:val="00863AF8"/>
    <w:rsid w:val="00863DBF"/>
    <w:rsid w:val="008649D0"/>
    <w:rsid w:val="00864C0E"/>
    <w:rsid w:val="00864C73"/>
    <w:rsid w:val="00865384"/>
    <w:rsid w:val="0086549F"/>
    <w:rsid w:val="008655B5"/>
    <w:rsid w:val="00865636"/>
    <w:rsid w:val="0086570C"/>
    <w:rsid w:val="008659F2"/>
    <w:rsid w:val="00865A50"/>
    <w:rsid w:val="00865C91"/>
    <w:rsid w:val="00866102"/>
    <w:rsid w:val="008663BF"/>
    <w:rsid w:val="0086660A"/>
    <w:rsid w:val="00866A6E"/>
    <w:rsid w:val="00866AFA"/>
    <w:rsid w:val="00866FC3"/>
    <w:rsid w:val="0086749D"/>
    <w:rsid w:val="008674BC"/>
    <w:rsid w:val="0086787D"/>
    <w:rsid w:val="00867B1D"/>
    <w:rsid w:val="00867D8E"/>
    <w:rsid w:val="00867EBB"/>
    <w:rsid w:val="00867F94"/>
    <w:rsid w:val="00870048"/>
    <w:rsid w:val="008704DE"/>
    <w:rsid w:val="008707CB"/>
    <w:rsid w:val="008710BF"/>
    <w:rsid w:val="00871B6F"/>
    <w:rsid w:val="008723BF"/>
    <w:rsid w:val="008724CA"/>
    <w:rsid w:val="00872531"/>
    <w:rsid w:val="0087277F"/>
    <w:rsid w:val="00872791"/>
    <w:rsid w:val="008728C9"/>
    <w:rsid w:val="00872A9D"/>
    <w:rsid w:val="00872C0F"/>
    <w:rsid w:val="00872F3C"/>
    <w:rsid w:val="00872F43"/>
    <w:rsid w:val="00872F5C"/>
    <w:rsid w:val="00873266"/>
    <w:rsid w:val="00873334"/>
    <w:rsid w:val="00873459"/>
    <w:rsid w:val="00873526"/>
    <w:rsid w:val="00873645"/>
    <w:rsid w:val="0087397F"/>
    <w:rsid w:val="00873CFD"/>
    <w:rsid w:val="00873DB1"/>
    <w:rsid w:val="00873EA6"/>
    <w:rsid w:val="00874120"/>
    <w:rsid w:val="00874200"/>
    <w:rsid w:val="008743A9"/>
    <w:rsid w:val="00874508"/>
    <w:rsid w:val="00874637"/>
    <w:rsid w:val="008747EB"/>
    <w:rsid w:val="00874A16"/>
    <w:rsid w:val="00874A53"/>
    <w:rsid w:val="00874AA1"/>
    <w:rsid w:val="00874C00"/>
    <w:rsid w:val="00874D22"/>
    <w:rsid w:val="00874D6C"/>
    <w:rsid w:val="00874DB1"/>
    <w:rsid w:val="00874FAF"/>
    <w:rsid w:val="00875146"/>
    <w:rsid w:val="0087533A"/>
    <w:rsid w:val="00875360"/>
    <w:rsid w:val="008753FE"/>
    <w:rsid w:val="00875871"/>
    <w:rsid w:val="00875FB7"/>
    <w:rsid w:val="00876D33"/>
    <w:rsid w:val="00876D90"/>
    <w:rsid w:val="0087701D"/>
    <w:rsid w:val="0087705B"/>
    <w:rsid w:val="00877206"/>
    <w:rsid w:val="00877209"/>
    <w:rsid w:val="00877577"/>
    <w:rsid w:val="008777FC"/>
    <w:rsid w:val="00877B13"/>
    <w:rsid w:val="00877B38"/>
    <w:rsid w:val="00877D95"/>
    <w:rsid w:val="00877F49"/>
    <w:rsid w:val="00877FE9"/>
    <w:rsid w:val="00880195"/>
    <w:rsid w:val="0088033F"/>
    <w:rsid w:val="008804E5"/>
    <w:rsid w:val="00880557"/>
    <w:rsid w:val="00880559"/>
    <w:rsid w:val="00880760"/>
    <w:rsid w:val="008808AC"/>
    <w:rsid w:val="00880C7A"/>
    <w:rsid w:val="00880DA1"/>
    <w:rsid w:val="00880FE8"/>
    <w:rsid w:val="00881256"/>
    <w:rsid w:val="00881310"/>
    <w:rsid w:val="008813F7"/>
    <w:rsid w:val="0088141C"/>
    <w:rsid w:val="0088158B"/>
    <w:rsid w:val="008815DA"/>
    <w:rsid w:val="0088196D"/>
    <w:rsid w:val="00881CEF"/>
    <w:rsid w:val="00881E84"/>
    <w:rsid w:val="00881F8C"/>
    <w:rsid w:val="008824A3"/>
    <w:rsid w:val="00882793"/>
    <w:rsid w:val="00882B5B"/>
    <w:rsid w:val="00882BDD"/>
    <w:rsid w:val="00882C26"/>
    <w:rsid w:val="00882DB1"/>
    <w:rsid w:val="00883521"/>
    <w:rsid w:val="00883786"/>
    <w:rsid w:val="00883840"/>
    <w:rsid w:val="00883A50"/>
    <w:rsid w:val="00883B35"/>
    <w:rsid w:val="00883C5C"/>
    <w:rsid w:val="00883D3F"/>
    <w:rsid w:val="00883D59"/>
    <w:rsid w:val="00883F2E"/>
    <w:rsid w:val="00883FBE"/>
    <w:rsid w:val="00884869"/>
    <w:rsid w:val="00884895"/>
    <w:rsid w:val="00884932"/>
    <w:rsid w:val="00884C42"/>
    <w:rsid w:val="00884E5B"/>
    <w:rsid w:val="00884F77"/>
    <w:rsid w:val="00884FC7"/>
    <w:rsid w:val="008850D7"/>
    <w:rsid w:val="008859BE"/>
    <w:rsid w:val="00885AFA"/>
    <w:rsid w:val="0088642B"/>
    <w:rsid w:val="008866B7"/>
    <w:rsid w:val="00886737"/>
    <w:rsid w:val="00886816"/>
    <w:rsid w:val="008869F4"/>
    <w:rsid w:val="00886A0E"/>
    <w:rsid w:val="00886B50"/>
    <w:rsid w:val="00886C14"/>
    <w:rsid w:val="00886E14"/>
    <w:rsid w:val="00886F25"/>
    <w:rsid w:val="00887177"/>
    <w:rsid w:val="0088735C"/>
    <w:rsid w:val="00887453"/>
    <w:rsid w:val="00887798"/>
    <w:rsid w:val="008877E5"/>
    <w:rsid w:val="00887B2B"/>
    <w:rsid w:val="00887C0F"/>
    <w:rsid w:val="00887E25"/>
    <w:rsid w:val="00887E53"/>
    <w:rsid w:val="00890135"/>
    <w:rsid w:val="0089089E"/>
    <w:rsid w:val="00890B5C"/>
    <w:rsid w:val="00890D9A"/>
    <w:rsid w:val="00890F54"/>
    <w:rsid w:val="0089106F"/>
    <w:rsid w:val="008913D1"/>
    <w:rsid w:val="0089184E"/>
    <w:rsid w:val="00891AEE"/>
    <w:rsid w:val="00891C7A"/>
    <w:rsid w:val="00891F3D"/>
    <w:rsid w:val="00892316"/>
    <w:rsid w:val="0089256C"/>
    <w:rsid w:val="0089264D"/>
    <w:rsid w:val="00892668"/>
    <w:rsid w:val="00892917"/>
    <w:rsid w:val="00892A86"/>
    <w:rsid w:val="00892A88"/>
    <w:rsid w:val="00892C79"/>
    <w:rsid w:val="00892DC2"/>
    <w:rsid w:val="00892E97"/>
    <w:rsid w:val="00892F04"/>
    <w:rsid w:val="008930AB"/>
    <w:rsid w:val="0089321D"/>
    <w:rsid w:val="008937B4"/>
    <w:rsid w:val="0089391D"/>
    <w:rsid w:val="00893D2F"/>
    <w:rsid w:val="00893FE3"/>
    <w:rsid w:val="008941DE"/>
    <w:rsid w:val="008943B5"/>
    <w:rsid w:val="00895111"/>
    <w:rsid w:val="0089560E"/>
    <w:rsid w:val="008958D9"/>
    <w:rsid w:val="0089594A"/>
    <w:rsid w:val="008959AB"/>
    <w:rsid w:val="00895D9E"/>
    <w:rsid w:val="00895E1D"/>
    <w:rsid w:val="00896310"/>
    <w:rsid w:val="008963F0"/>
    <w:rsid w:val="00896504"/>
    <w:rsid w:val="00896764"/>
    <w:rsid w:val="00896779"/>
    <w:rsid w:val="00896924"/>
    <w:rsid w:val="00896AD3"/>
    <w:rsid w:val="00896CAC"/>
    <w:rsid w:val="008970A3"/>
    <w:rsid w:val="00897171"/>
    <w:rsid w:val="0089718F"/>
    <w:rsid w:val="00897798"/>
    <w:rsid w:val="008977C7"/>
    <w:rsid w:val="008977E4"/>
    <w:rsid w:val="00897B16"/>
    <w:rsid w:val="00897F74"/>
    <w:rsid w:val="008A0072"/>
    <w:rsid w:val="008A028D"/>
    <w:rsid w:val="008A0544"/>
    <w:rsid w:val="008A065B"/>
    <w:rsid w:val="008A0876"/>
    <w:rsid w:val="008A0AEC"/>
    <w:rsid w:val="008A0DC7"/>
    <w:rsid w:val="008A0F01"/>
    <w:rsid w:val="008A1082"/>
    <w:rsid w:val="008A12AB"/>
    <w:rsid w:val="008A135A"/>
    <w:rsid w:val="008A18CD"/>
    <w:rsid w:val="008A18DA"/>
    <w:rsid w:val="008A1A46"/>
    <w:rsid w:val="008A1B08"/>
    <w:rsid w:val="008A22D9"/>
    <w:rsid w:val="008A2496"/>
    <w:rsid w:val="008A2751"/>
    <w:rsid w:val="008A280D"/>
    <w:rsid w:val="008A2914"/>
    <w:rsid w:val="008A2A53"/>
    <w:rsid w:val="008A2AEE"/>
    <w:rsid w:val="008A2B5B"/>
    <w:rsid w:val="008A2F7F"/>
    <w:rsid w:val="008A2FDB"/>
    <w:rsid w:val="008A33C0"/>
    <w:rsid w:val="008A346C"/>
    <w:rsid w:val="008A350E"/>
    <w:rsid w:val="008A35CF"/>
    <w:rsid w:val="008A398E"/>
    <w:rsid w:val="008A3A43"/>
    <w:rsid w:val="008A417E"/>
    <w:rsid w:val="008A42AF"/>
    <w:rsid w:val="008A43CD"/>
    <w:rsid w:val="008A4873"/>
    <w:rsid w:val="008A4BA5"/>
    <w:rsid w:val="008A4E55"/>
    <w:rsid w:val="008A542C"/>
    <w:rsid w:val="008A5509"/>
    <w:rsid w:val="008A57B2"/>
    <w:rsid w:val="008A63FB"/>
    <w:rsid w:val="008A654E"/>
    <w:rsid w:val="008A69C0"/>
    <w:rsid w:val="008A6B56"/>
    <w:rsid w:val="008A6B94"/>
    <w:rsid w:val="008A6FA2"/>
    <w:rsid w:val="008A7100"/>
    <w:rsid w:val="008A71A1"/>
    <w:rsid w:val="008A728C"/>
    <w:rsid w:val="008A763B"/>
    <w:rsid w:val="008A78E2"/>
    <w:rsid w:val="008A7BBB"/>
    <w:rsid w:val="008A7BFE"/>
    <w:rsid w:val="008B0251"/>
    <w:rsid w:val="008B0435"/>
    <w:rsid w:val="008B0679"/>
    <w:rsid w:val="008B0901"/>
    <w:rsid w:val="008B0E6C"/>
    <w:rsid w:val="008B0F15"/>
    <w:rsid w:val="008B1268"/>
    <w:rsid w:val="008B14F0"/>
    <w:rsid w:val="008B1523"/>
    <w:rsid w:val="008B1558"/>
    <w:rsid w:val="008B1826"/>
    <w:rsid w:val="008B18B3"/>
    <w:rsid w:val="008B1989"/>
    <w:rsid w:val="008B1ABC"/>
    <w:rsid w:val="008B1C46"/>
    <w:rsid w:val="008B1DBD"/>
    <w:rsid w:val="008B214F"/>
    <w:rsid w:val="008B22C0"/>
    <w:rsid w:val="008B24B6"/>
    <w:rsid w:val="008B2B06"/>
    <w:rsid w:val="008B2C3F"/>
    <w:rsid w:val="008B2F6F"/>
    <w:rsid w:val="008B3064"/>
    <w:rsid w:val="008B3197"/>
    <w:rsid w:val="008B3201"/>
    <w:rsid w:val="008B3360"/>
    <w:rsid w:val="008B340E"/>
    <w:rsid w:val="008B3725"/>
    <w:rsid w:val="008B3B10"/>
    <w:rsid w:val="008B3B46"/>
    <w:rsid w:val="008B3CEA"/>
    <w:rsid w:val="008B417A"/>
    <w:rsid w:val="008B4393"/>
    <w:rsid w:val="008B43FC"/>
    <w:rsid w:val="008B453D"/>
    <w:rsid w:val="008B45D7"/>
    <w:rsid w:val="008B49F0"/>
    <w:rsid w:val="008B4B04"/>
    <w:rsid w:val="008B4B19"/>
    <w:rsid w:val="008B4D12"/>
    <w:rsid w:val="008B5216"/>
    <w:rsid w:val="008B5365"/>
    <w:rsid w:val="008B5442"/>
    <w:rsid w:val="008B5515"/>
    <w:rsid w:val="008B5722"/>
    <w:rsid w:val="008B5924"/>
    <w:rsid w:val="008B5999"/>
    <w:rsid w:val="008B5D13"/>
    <w:rsid w:val="008B6932"/>
    <w:rsid w:val="008B6A17"/>
    <w:rsid w:val="008B6B61"/>
    <w:rsid w:val="008B70EB"/>
    <w:rsid w:val="008B7267"/>
    <w:rsid w:val="008B72F5"/>
    <w:rsid w:val="008B7350"/>
    <w:rsid w:val="008B73A4"/>
    <w:rsid w:val="008B748F"/>
    <w:rsid w:val="008B7A90"/>
    <w:rsid w:val="008B7BA3"/>
    <w:rsid w:val="008B7E28"/>
    <w:rsid w:val="008B7F6D"/>
    <w:rsid w:val="008C024E"/>
    <w:rsid w:val="008C0AC8"/>
    <w:rsid w:val="008C0CA2"/>
    <w:rsid w:val="008C0D45"/>
    <w:rsid w:val="008C0D6A"/>
    <w:rsid w:val="008C10E9"/>
    <w:rsid w:val="008C12BB"/>
    <w:rsid w:val="008C156B"/>
    <w:rsid w:val="008C160A"/>
    <w:rsid w:val="008C1790"/>
    <w:rsid w:val="008C1E38"/>
    <w:rsid w:val="008C1F5C"/>
    <w:rsid w:val="008C2287"/>
    <w:rsid w:val="008C23F6"/>
    <w:rsid w:val="008C26A1"/>
    <w:rsid w:val="008C2BDD"/>
    <w:rsid w:val="008C32B8"/>
    <w:rsid w:val="008C394E"/>
    <w:rsid w:val="008C39E8"/>
    <w:rsid w:val="008C3BEB"/>
    <w:rsid w:val="008C3BF7"/>
    <w:rsid w:val="008C40D8"/>
    <w:rsid w:val="008C42ED"/>
    <w:rsid w:val="008C432A"/>
    <w:rsid w:val="008C44E4"/>
    <w:rsid w:val="008C482E"/>
    <w:rsid w:val="008C4BBB"/>
    <w:rsid w:val="008C5115"/>
    <w:rsid w:val="008C53B5"/>
    <w:rsid w:val="008C5946"/>
    <w:rsid w:val="008C5BFB"/>
    <w:rsid w:val="008C5C75"/>
    <w:rsid w:val="008C610B"/>
    <w:rsid w:val="008C63EC"/>
    <w:rsid w:val="008C66E8"/>
    <w:rsid w:val="008C6CD7"/>
    <w:rsid w:val="008C6E61"/>
    <w:rsid w:val="008C6F56"/>
    <w:rsid w:val="008C75C9"/>
    <w:rsid w:val="008C7618"/>
    <w:rsid w:val="008C7766"/>
    <w:rsid w:val="008C78E7"/>
    <w:rsid w:val="008C7C5A"/>
    <w:rsid w:val="008D0185"/>
    <w:rsid w:val="008D0186"/>
    <w:rsid w:val="008D0A3F"/>
    <w:rsid w:val="008D0B33"/>
    <w:rsid w:val="008D119B"/>
    <w:rsid w:val="008D1306"/>
    <w:rsid w:val="008D14D4"/>
    <w:rsid w:val="008D199E"/>
    <w:rsid w:val="008D1A01"/>
    <w:rsid w:val="008D1A8E"/>
    <w:rsid w:val="008D1F89"/>
    <w:rsid w:val="008D21E9"/>
    <w:rsid w:val="008D2444"/>
    <w:rsid w:val="008D2694"/>
    <w:rsid w:val="008D2CDA"/>
    <w:rsid w:val="008D2E62"/>
    <w:rsid w:val="008D325B"/>
    <w:rsid w:val="008D32D3"/>
    <w:rsid w:val="008D332E"/>
    <w:rsid w:val="008D3453"/>
    <w:rsid w:val="008D368C"/>
    <w:rsid w:val="008D3AE7"/>
    <w:rsid w:val="008D3BAD"/>
    <w:rsid w:val="008D3BD8"/>
    <w:rsid w:val="008D3F11"/>
    <w:rsid w:val="008D4303"/>
    <w:rsid w:val="008D43E9"/>
    <w:rsid w:val="008D47AB"/>
    <w:rsid w:val="008D524F"/>
    <w:rsid w:val="008D5291"/>
    <w:rsid w:val="008D5347"/>
    <w:rsid w:val="008D55B4"/>
    <w:rsid w:val="008D5BD2"/>
    <w:rsid w:val="008D5F23"/>
    <w:rsid w:val="008D6110"/>
    <w:rsid w:val="008D61DB"/>
    <w:rsid w:val="008D637B"/>
    <w:rsid w:val="008D658B"/>
    <w:rsid w:val="008D666E"/>
    <w:rsid w:val="008D676C"/>
    <w:rsid w:val="008D6CC3"/>
    <w:rsid w:val="008D6F30"/>
    <w:rsid w:val="008D6F91"/>
    <w:rsid w:val="008D7056"/>
    <w:rsid w:val="008D705D"/>
    <w:rsid w:val="008D717B"/>
    <w:rsid w:val="008D7550"/>
    <w:rsid w:val="008D7601"/>
    <w:rsid w:val="008D7AF0"/>
    <w:rsid w:val="008D7B1B"/>
    <w:rsid w:val="008D7CDB"/>
    <w:rsid w:val="008D7D08"/>
    <w:rsid w:val="008E0309"/>
    <w:rsid w:val="008E0343"/>
    <w:rsid w:val="008E040A"/>
    <w:rsid w:val="008E078B"/>
    <w:rsid w:val="008E0A6E"/>
    <w:rsid w:val="008E0AD5"/>
    <w:rsid w:val="008E0B08"/>
    <w:rsid w:val="008E0FF8"/>
    <w:rsid w:val="008E110F"/>
    <w:rsid w:val="008E11D2"/>
    <w:rsid w:val="008E141D"/>
    <w:rsid w:val="008E150D"/>
    <w:rsid w:val="008E16D4"/>
    <w:rsid w:val="008E1C08"/>
    <w:rsid w:val="008E2496"/>
    <w:rsid w:val="008E2763"/>
    <w:rsid w:val="008E28F0"/>
    <w:rsid w:val="008E29EA"/>
    <w:rsid w:val="008E344B"/>
    <w:rsid w:val="008E3E97"/>
    <w:rsid w:val="008E3FA9"/>
    <w:rsid w:val="008E4496"/>
    <w:rsid w:val="008E4577"/>
    <w:rsid w:val="008E4CEA"/>
    <w:rsid w:val="008E4D8E"/>
    <w:rsid w:val="008E4DD1"/>
    <w:rsid w:val="008E5185"/>
    <w:rsid w:val="008E5280"/>
    <w:rsid w:val="008E54F4"/>
    <w:rsid w:val="008E58B6"/>
    <w:rsid w:val="008E58E5"/>
    <w:rsid w:val="008E602D"/>
    <w:rsid w:val="008E66B2"/>
    <w:rsid w:val="008E66C1"/>
    <w:rsid w:val="008E6FBD"/>
    <w:rsid w:val="008E7042"/>
    <w:rsid w:val="008E70B0"/>
    <w:rsid w:val="008E71E1"/>
    <w:rsid w:val="008E7309"/>
    <w:rsid w:val="008E732C"/>
    <w:rsid w:val="008E76DF"/>
    <w:rsid w:val="008E7880"/>
    <w:rsid w:val="008E79AA"/>
    <w:rsid w:val="008E7C29"/>
    <w:rsid w:val="008E7DB8"/>
    <w:rsid w:val="008E7DC1"/>
    <w:rsid w:val="008F00A8"/>
    <w:rsid w:val="008F00BB"/>
    <w:rsid w:val="008F0975"/>
    <w:rsid w:val="008F0B31"/>
    <w:rsid w:val="008F0CEB"/>
    <w:rsid w:val="008F0FC7"/>
    <w:rsid w:val="008F15AF"/>
    <w:rsid w:val="008F19CB"/>
    <w:rsid w:val="008F19F2"/>
    <w:rsid w:val="008F1A9C"/>
    <w:rsid w:val="008F1AB9"/>
    <w:rsid w:val="008F1BC5"/>
    <w:rsid w:val="008F1DEB"/>
    <w:rsid w:val="008F1EEC"/>
    <w:rsid w:val="008F2121"/>
    <w:rsid w:val="008F26E7"/>
    <w:rsid w:val="008F2798"/>
    <w:rsid w:val="008F28F3"/>
    <w:rsid w:val="008F292A"/>
    <w:rsid w:val="008F2CF9"/>
    <w:rsid w:val="008F301D"/>
    <w:rsid w:val="008F321A"/>
    <w:rsid w:val="008F3432"/>
    <w:rsid w:val="008F346E"/>
    <w:rsid w:val="008F353F"/>
    <w:rsid w:val="008F3542"/>
    <w:rsid w:val="008F3557"/>
    <w:rsid w:val="008F363C"/>
    <w:rsid w:val="008F379D"/>
    <w:rsid w:val="008F37C9"/>
    <w:rsid w:val="008F3969"/>
    <w:rsid w:val="008F3AA6"/>
    <w:rsid w:val="008F3FC8"/>
    <w:rsid w:val="008F3FDB"/>
    <w:rsid w:val="008F4307"/>
    <w:rsid w:val="008F460B"/>
    <w:rsid w:val="008F465F"/>
    <w:rsid w:val="008F5216"/>
    <w:rsid w:val="008F521E"/>
    <w:rsid w:val="008F53C8"/>
    <w:rsid w:val="008F5A15"/>
    <w:rsid w:val="008F5A6C"/>
    <w:rsid w:val="008F5AE7"/>
    <w:rsid w:val="008F5CB8"/>
    <w:rsid w:val="008F5F62"/>
    <w:rsid w:val="008F633C"/>
    <w:rsid w:val="008F6643"/>
    <w:rsid w:val="008F6718"/>
    <w:rsid w:val="008F6966"/>
    <w:rsid w:val="008F696C"/>
    <w:rsid w:val="008F7685"/>
    <w:rsid w:val="008F77C1"/>
    <w:rsid w:val="008F7FF6"/>
    <w:rsid w:val="009001B8"/>
    <w:rsid w:val="0090037A"/>
    <w:rsid w:val="009006DA"/>
    <w:rsid w:val="00900833"/>
    <w:rsid w:val="00900E9F"/>
    <w:rsid w:val="00900EEC"/>
    <w:rsid w:val="00900F23"/>
    <w:rsid w:val="0090129F"/>
    <w:rsid w:val="00901783"/>
    <w:rsid w:val="009018EF"/>
    <w:rsid w:val="00901A59"/>
    <w:rsid w:val="00901A85"/>
    <w:rsid w:val="00901E4D"/>
    <w:rsid w:val="00902A9E"/>
    <w:rsid w:val="00902CAF"/>
    <w:rsid w:val="00903128"/>
    <w:rsid w:val="00903428"/>
    <w:rsid w:val="009038DA"/>
    <w:rsid w:val="009039D5"/>
    <w:rsid w:val="00903D25"/>
    <w:rsid w:val="00903EA3"/>
    <w:rsid w:val="009042E9"/>
    <w:rsid w:val="009046B8"/>
    <w:rsid w:val="00904766"/>
    <w:rsid w:val="00904905"/>
    <w:rsid w:val="00904A99"/>
    <w:rsid w:val="00904BE3"/>
    <w:rsid w:val="00904FE9"/>
    <w:rsid w:val="00905099"/>
    <w:rsid w:val="00905227"/>
    <w:rsid w:val="00905255"/>
    <w:rsid w:val="00905516"/>
    <w:rsid w:val="00905C21"/>
    <w:rsid w:val="00905CAF"/>
    <w:rsid w:val="00906020"/>
    <w:rsid w:val="009060E9"/>
    <w:rsid w:val="00906211"/>
    <w:rsid w:val="0090658D"/>
    <w:rsid w:val="009066E5"/>
    <w:rsid w:val="00906BCE"/>
    <w:rsid w:val="00906E8C"/>
    <w:rsid w:val="00907493"/>
    <w:rsid w:val="0090756C"/>
    <w:rsid w:val="00907657"/>
    <w:rsid w:val="00907A29"/>
    <w:rsid w:val="00907AF9"/>
    <w:rsid w:val="00907D06"/>
    <w:rsid w:val="00907D0A"/>
    <w:rsid w:val="00907D11"/>
    <w:rsid w:val="00907E31"/>
    <w:rsid w:val="0091009E"/>
    <w:rsid w:val="009102F7"/>
    <w:rsid w:val="009106AC"/>
    <w:rsid w:val="009108BF"/>
    <w:rsid w:val="00910906"/>
    <w:rsid w:val="00910C9C"/>
    <w:rsid w:val="00910D01"/>
    <w:rsid w:val="00911351"/>
    <w:rsid w:val="00911354"/>
    <w:rsid w:val="00911764"/>
    <w:rsid w:val="00911851"/>
    <w:rsid w:val="00911A4A"/>
    <w:rsid w:val="00911B3A"/>
    <w:rsid w:val="00912188"/>
    <w:rsid w:val="0091272E"/>
    <w:rsid w:val="00912D7E"/>
    <w:rsid w:val="00912FB2"/>
    <w:rsid w:val="00912FB8"/>
    <w:rsid w:val="009131B8"/>
    <w:rsid w:val="009133D4"/>
    <w:rsid w:val="0091345C"/>
    <w:rsid w:val="009134D2"/>
    <w:rsid w:val="009135F2"/>
    <w:rsid w:val="00913723"/>
    <w:rsid w:val="00913753"/>
    <w:rsid w:val="009138D4"/>
    <w:rsid w:val="0091392C"/>
    <w:rsid w:val="00913ADF"/>
    <w:rsid w:val="00913B34"/>
    <w:rsid w:val="00913F0D"/>
    <w:rsid w:val="00913F65"/>
    <w:rsid w:val="00914410"/>
    <w:rsid w:val="0091444D"/>
    <w:rsid w:val="00915015"/>
    <w:rsid w:val="00915169"/>
    <w:rsid w:val="0091517B"/>
    <w:rsid w:val="0091529F"/>
    <w:rsid w:val="009152F0"/>
    <w:rsid w:val="00915381"/>
    <w:rsid w:val="0091580B"/>
    <w:rsid w:val="00915839"/>
    <w:rsid w:val="00915A60"/>
    <w:rsid w:val="0091617C"/>
    <w:rsid w:val="00916275"/>
    <w:rsid w:val="00916BEB"/>
    <w:rsid w:val="00916EF2"/>
    <w:rsid w:val="00917274"/>
    <w:rsid w:val="00917619"/>
    <w:rsid w:val="009178B1"/>
    <w:rsid w:val="009178B4"/>
    <w:rsid w:val="00917998"/>
    <w:rsid w:val="00917AD2"/>
    <w:rsid w:val="00917C5C"/>
    <w:rsid w:val="0092011B"/>
    <w:rsid w:val="00920260"/>
    <w:rsid w:val="00920315"/>
    <w:rsid w:val="009207CE"/>
    <w:rsid w:val="009209F4"/>
    <w:rsid w:val="00920D13"/>
    <w:rsid w:val="00921510"/>
    <w:rsid w:val="00921878"/>
    <w:rsid w:val="00921B82"/>
    <w:rsid w:val="00921F40"/>
    <w:rsid w:val="00921FB8"/>
    <w:rsid w:val="00922598"/>
    <w:rsid w:val="00922767"/>
    <w:rsid w:val="00922D01"/>
    <w:rsid w:val="00922D1B"/>
    <w:rsid w:val="00923052"/>
    <w:rsid w:val="009233A4"/>
    <w:rsid w:val="009233A5"/>
    <w:rsid w:val="009234E2"/>
    <w:rsid w:val="009236F1"/>
    <w:rsid w:val="009237C5"/>
    <w:rsid w:val="00923B4C"/>
    <w:rsid w:val="00923D22"/>
    <w:rsid w:val="00923D3A"/>
    <w:rsid w:val="0092477A"/>
    <w:rsid w:val="00924869"/>
    <w:rsid w:val="009248D6"/>
    <w:rsid w:val="009248DD"/>
    <w:rsid w:val="009250C7"/>
    <w:rsid w:val="00925510"/>
    <w:rsid w:val="00925516"/>
    <w:rsid w:val="00925664"/>
    <w:rsid w:val="00925797"/>
    <w:rsid w:val="00925847"/>
    <w:rsid w:val="00925B2D"/>
    <w:rsid w:val="00925D08"/>
    <w:rsid w:val="00925D0A"/>
    <w:rsid w:val="009266EB"/>
    <w:rsid w:val="00926B2A"/>
    <w:rsid w:val="00927043"/>
    <w:rsid w:val="00927246"/>
    <w:rsid w:val="009276B2"/>
    <w:rsid w:val="00927A03"/>
    <w:rsid w:val="00927A61"/>
    <w:rsid w:val="00927F40"/>
    <w:rsid w:val="0093009F"/>
    <w:rsid w:val="00930115"/>
    <w:rsid w:val="009302BC"/>
    <w:rsid w:val="0093086A"/>
    <w:rsid w:val="0093091B"/>
    <w:rsid w:val="0093099A"/>
    <w:rsid w:val="00930A41"/>
    <w:rsid w:val="00930D73"/>
    <w:rsid w:val="00931010"/>
    <w:rsid w:val="009311A8"/>
    <w:rsid w:val="0093122B"/>
    <w:rsid w:val="00931665"/>
    <w:rsid w:val="00931887"/>
    <w:rsid w:val="00931C70"/>
    <w:rsid w:val="00931E02"/>
    <w:rsid w:val="00931E75"/>
    <w:rsid w:val="0093229C"/>
    <w:rsid w:val="00932907"/>
    <w:rsid w:val="00932A6E"/>
    <w:rsid w:val="00932B3B"/>
    <w:rsid w:val="00932CAB"/>
    <w:rsid w:val="00932D84"/>
    <w:rsid w:val="00932E35"/>
    <w:rsid w:val="00932E6A"/>
    <w:rsid w:val="00932EF6"/>
    <w:rsid w:val="009335E2"/>
    <w:rsid w:val="00933676"/>
    <w:rsid w:val="009336F2"/>
    <w:rsid w:val="0093375F"/>
    <w:rsid w:val="0093392E"/>
    <w:rsid w:val="00933C66"/>
    <w:rsid w:val="00933E8C"/>
    <w:rsid w:val="00933F0E"/>
    <w:rsid w:val="00933F35"/>
    <w:rsid w:val="00933FD3"/>
    <w:rsid w:val="00934515"/>
    <w:rsid w:val="009345CC"/>
    <w:rsid w:val="00934AD5"/>
    <w:rsid w:val="00934AFC"/>
    <w:rsid w:val="00934B12"/>
    <w:rsid w:val="00934C8A"/>
    <w:rsid w:val="00934CDF"/>
    <w:rsid w:val="00935290"/>
    <w:rsid w:val="0093542C"/>
    <w:rsid w:val="00935DE1"/>
    <w:rsid w:val="00936231"/>
    <w:rsid w:val="00936271"/>
    <w:rsid w:val="0093627B"/>
    <w:rsid w:val="009363C4"/>
    <w:rsid w:val="009363F5"/>
    <w:rsid w:val="0093705A"/>
    <w:rsid w:val="00937061"/>
    <w:rsid w:val="00937565"/>
    <w:rsid w:val="00937610"/>
    <w:rsid w:val="009404AD"/>
    <w:rsid w:val="009404B9"/>
    <w:rsid w:val="00940902"/>
    <w:rsid w:val="00940C02"/>
    <w:rsid w:val="00940C14"/>
    <w:rsid w:val="00940CFB"/>
    <w:rsid w:val="00941030"/>
    <w:rsid w:val="00941055"/>
    <w:rsid w:val="00941170"/>
    <w:rsid w:val="009415D5"/>
    <w:rsid w:val="009418A3"/>
    <w:rsid w:val="00941D41"/>
    <w:rsid w:val="00941E70"/>
    <w:rsid w:val="009423B0"/>
    <w:rsid w:val="00942AD9"/>
    <w:rsid w:val="00942AF8"/>
    <w:rsid w:val="00942CC8"/>
    <w:rsid w:val="00942D7A"/>
    <w:rsid w:val="00942FA2"/>
    <w:rsid w:val="00943337"/>
    <w:rsid w:val="0094334A"/>
    <w:rsid w:val="0094354A"/>
    <w:rsid w:val="0094366E"/>
    <w:rsid w:val="009438D5"/>
    <w:rsid w:val="009439BE"/>
    <w:rsid w:val="009439D6"/>
    <w:rsid w:val="00943A85"/>
    <w:rsid w:val="00943D69"/>
    <w:rsid w:val="00943E74"/>
    <w:rsid w:val="00943F06"/>
    <w:rsid w:val="00943F3B"/>
    <w:rsid w:val="0094400D"/>
    <w:rsid w:val="0094439A"/>
    <w:rsid w:val="009446F3"/>
    <w:rsid w:val="00944950"/>
    <w:rsid w:val="00944B1B"/>
    <w:rsid w:val="009454C9"/>
    <w:rsid w:val="00945597"/>
    <w:rsid w:val="00945F3E"/>
    <w:rsid w:val="00946346"/>
    <w:rsid w:val="00946382"/>
    <w:rsid w:val="00946C89"/>
    <w:rsid w:val="00946CB2"/>
    <w:rsid w:val="00946D8C"/>
    <w:rsid w:val="009470D9"/>
    <w:rsid w:val="0094749C"/>
    <w:rsid w:val="00947753"/>
    <w:rsid w:val="00947767"/>
    <w:rsid w:val="009478AE"/>
    <w:rsid w:val="00947B27"/>
    <w:rsid w:val="00947CA8"/>
    <w:rsid w:val="00950460"/>
    <w:rsid w:val="00950572"/>
    <w:rsid w:val="00950AD8"/>
    <w:rsid w:val="00950C72"/>
    <w:rsid w:val="0095117B"/>
    <w:rsid w:val="009514A7"/>
    <w:rsid w:val="009516DF"/>
    <w:rsid w:val="00951720"/>
    <w:rsid w:val="009517D2"/>
    <w:rsid w:val="00951810"/>
    <w:rsid w:val="00951814"/>
    <w:rsid w:val="00951B03"/>
    <w:rsid w:val="00951CA1"/>
    <w:rsid w:val="00951E95"/>
    <w:rsid w:val="009520E1"/>
    <w:rsid w:val="009520EA"/>
    <w:rsid w:val="0095230A"/>
    <w:rsid w:val="009523D0"/>
    <w:rsid w:val="009525DC"/>
    <w:rsid w:val="00952AEE"/>
    <w:rsid w:val="00952D52"/>
    <w:rsid w:val="00952D6D"/>
    <w:rsid w:val="00953190"/>
    <w:rsid w:val="0095331C"/>
    <w:rsid w:val="0095377E"/>
    <w:rsid w:val="00953964"/>
    <w:rsid w:val="00953C64"/>
    <w:rsid w:val="0095424F"/>
    <w:rsid w:val="009547FB"/>
    <w:rsid w:val="009548CD"/>
    <w:rsid w:val="00954985"/>
    <w:rsid w:val="0095498E"/>
    <w:rsid w:val="00954B44"/>
    <w:rsid w:val="00954E83"/>
    <w:rsid w:val="00954F28"/>
    <w:rsid w:val="009550B0"/>
    <w:rsid w:val="0095512D"/>
    <w:rsid w:val="0095516F"/>
    <w:rsid w:val="00955194"/>
    <w:rsid w:val="00955381"/>
    <w:rsid w:val="0095574A"/>
    <w:rsid w:val="0095574C"/>
    <w:rsid w:val="0095575C"/>
    <w:rsid w:val="00955A6E"/>
    <w:rsid w:val="00955B6A"/>
    <w:rsid w:val="00955DB9"/>
    <w:rsid w:val="00956939"/>
    <w:rsid w:val="0095695B"/>
    <w:rsid w:val="00956988"/>
    <w:rsid w:val="00956F42"/>
    <w:rsid w:val="00957042"/>
    <w:rsid w:val="00957574"/>
    <w:rsid w:val="009576BA"/>
    <w:rsid w:val="00957C08"/>
    <w:rsid w:val="00957D33"/>
    <w:rsid w:val="00957FF7"/>
    <w:rsid w:val="00960266"/>
    <w:rsid w:val="00960349"/>
    <w:rsid w:val="009604A7"/>
    <w:rsid w:val="009608C0"/>
    <w:rsid w:val="00960F6C"/>
    <w:rsid w:val="00960FD5"/>
    <w:rsid w:val="00961095"/>
    <w:rsid w:val="0096163A"/>
    <w:rsid w:val="00961A75"/>
    <w:rsid w:val="00961CB0"/>
    <w:rsid w:val="00961D4F"/>
    <w:rsid w:val="00961F2E"/>
    <w:rsid w:val="00962281"/>
    <w:rsid w:val="009625D2"/>
    <w:rsid w:val="0096272C"/>
    <w:rsid w:val="0096297E"/>
    <w:rsid w:val="00962BE0"/>
    <w:rsid w:val="00962C89"/>
    <w:rsid w:val="009634BE"/>
    <w:rsid w:val="00963742"/>
    <w:rsid w:val="00963A02"/>
    <w:rsid w:val="00963DAC"/>
    <w:rsid w:val="009640F7"/>
    <w:rsid w:val="00964593"/>
    <w:rsid w:val="00964958"/>
    <w:rsid w:val="00964D78"/>
    <w:rsid w:val="009651CC"/>
    <w:rsid w:val="00965569"/>
    <w:rsid w:val="0096565C"/>
    <w:rsid w:val="00965686"/>
    <w:rsid w:val="00965772"/>
    <w:rsid w:val="00965B01"/>
    <w:rsid w:val="00965DB7"/>
    <w:rsid w:val="00966538"/>
    <w:rsid w:val="009665F0"/>
    <w:rsid w:val="00966C62"/>
    <w:rsid w:val="00966E87"/>
    <w:rsid w:val="00967368"/>
    <w:rsid w:val="00967370"/>
    <w:rsid w:val="0096751F"/>
    <w:rsid w:val="009678EA"/>
    <w:rsid w:val="00967EFA"/>
    <w:rsid w:val="00970051"/>
    <w:rsid w:val="00970076"/>
    <w:rsid w:val="009702A6"/>
    <w:rsid w:val="00970B98"/>
    <w:rsid w:val="009710AF"/>
    <w:rsid w:val="009711F1"/>
    <w:rsid w:val="009712D1"/>
    <w:rsid w:val="009713FF"/>
    <w:rsid w:val="0097150F"/>
    <w:rsid w:val="00971B9A"/>
    <w:rsid w:val="00971C16"/>
    <w:rsid w:val="009722F2"/>
    <w:rsid w:val="00972A48"/>
    <w:rsid w:val="00972E5A"/>
    <w:rsid w:val="0097303D"/>
    <w:rsid w:val="009732DE"/>
    <w:rsid w:val="009733D0"/>
    <w:rsid w:val="009734A4"/>
    <w:rsid w:val="00973DF2"/>
    <w:rsid w:val="00973E3B"/>
    <w:rsid w:val="00973F5B"/>
    <w:rsid w:val="009740ED"/>
    <w:rsid w:val="00974209"/>
    <w:rsid w:val="009743DA"/>
    <w:rsid w:val="0097486B"/>
    <w:rsid w:val="00974E6E"/>
    <w:rsid w:val="00974ED9"/>
    <w:rsid w:val="00974F0A"/>
    <w:rsid w:val="0097506B"/>
    <w:rsid w:val="009750AC"/>
    <w:rsid w:val="00975123"/>
    <w:rsid w:val="00975498"/>
    <w:rsid w:val="0097552A"/>
    <w:rsid w:val="00975990"/>
    <w:rsid w:val="00975E35"/>
    <w:rsid w:val="00976144"/>
    <w:rsid w:val="00976291"/>
    <w:rsid w:val="009762B4"/>
    <w:rsid w:val="0097630A"/>
    <w:rsid w:val="009766D6"/>
    <w:rsid w:val="00976835"/>
    <w:rsid w:val="0097685F"/>
    <w:rsid w:val="009768BA"/>
    <w:rsid w:val="009769C9"/>
    <w:rsid w:val="00976A61"/>
    <w:rsid w:val="00976C8A"/>
    <w:rsid w:val="00976CA2"/>
    <w:rsid w:val="00976E31"/>
    <w:rsid w:val="009772B1"/>
    <w:rsid w:val="00977699"/>
    <w:rsid w:val="0097776D"/>
    <w:rsid w:val="00977792"/>
    <w:rsid w:val="00977CDA"/>
    <w:rsid w:val="009800A5"/>
    <w:rsid w:val="00980120"/>
    <w:rsid w:val="009802DD"/>
    <w:rsid w:val="00980A0A"/>
    <w:rsid w:val="00980DDC"/>
    <w:rsid w:val="00980E1A"/>
    <w:rsid w:val="00980E82"/>
    <w:rsid w:val="00981577"/>
    <w:rsid w:val="00981584"/>
    <w:rsid w:val="00981790"/>
    <w:rsid w:val="009820E8"/>
    <w:rsid w:val="0098213D"/>
    <w:rsid w:val="00982315"/>
    <w:rsid w:val="0098249A"/>
    <w:rsid w:val="0098252A"/>
    <w:rsid w:val="009825F8"/>
    <w:rsid w:val="00982A0C"/>
    <w:rsid w:val="00982B2E"/>
    <w:rsid w:val="00982BA2"/>
    <w:rsid w:val="00982EB7"/>
    <w:rsid w:val="00982F40"/>
    <w:rsid w:val="009830D1"/>
    <w:rsid w:val="00983128"/>
    <w:rsid w:val="00983288"/>
    <w:rsid w:val="00983463"/>
    <w:rsid w:val="0098384D"/>
    <w:rsid w:val="00983AE8"/>
    <w:rsid w:val="00983B21"/>
    <w:rsid w:val="00984280"/>
    <w:rsid w:val="00984727"/>
    <w:rsid w:val="00984A0A"/>
    <w:rsid w:val="00984DB0"/>
    <w:rsid w:val="00984E28"/>
    <w:rsid w:val="00984E4D"/>
    <w:rsid w:val="00984E8F"/>
    <w:rsid w:val="00984EA3"/>
    <w:rsid w:val="00984F59"/>
    <w:rsid w:val="009853D5"/>
    <w:rsid w:val="009853E8"/>
    <w:rsid w:val="0098544A"/>
    <w:rsid w:val="0098567A"/>
    <w:rsid w:val="00985B37"/>
    <w:rsid w:val="00985C3E"/>
    <w:rsid w:val="00985D3A"/>
    <w:rsid w:val="00985F0B"/>
    <w:rsid w:val="00985F14"/>
    <w:rsid w:val="00985FCD"/>
    <w:rsid w:val="00986327"/>
    <w:rsid w:val="009863F6"/>
    <w:rsid w:val="00986566"/>
    <w:rsid w:val="009866A4"/>
    <w:rsid w:val="0098677B"/>
    <w:rsid w:val="0098687A"/>
    <w:rsid w:val="0098691A"/>
    <w:rsid w:val="00986C42"/>
    <w:rsid w:val="00986D43"/>
    <w:rsid w:val="00986D5E"/>
    <w:rsid w:val="0098702C"/>
    <w:rsid w:val="0098752B"/>
    <w:rsid w:val="009878EE"/>
    <w:rsid w:val="00987D5A"/>
    <w:rsid w:val="009900C3"/>
    <w:rsid w:val="00990145"/>
    <w:rsid w:val="00990169"/>
    <w:rsid w:val="009901BC"/>
    <w:rsid w:val="0099042A"/>
    <w:rsid w:val="00990487"/>
    <w:rsid w:val="00990B84"/>
    <w:rsid w:val="00990D9B"/>
    <w:rsid w:val="00990EB8"/>
    <w:rsid w:val="0099115B"/>
    <w:rsid w:val="00991535"/>
    <w:rsid w:val="009917F1"/>
    <w:rsid w:val="0099184C"/>
    <w:rsid w:val="00991A35"/>
    <w:rsid w:val="00991B24"/>
    <w:rsid w:val="00991ECB"/>
    <w:rsid w:val="0099261C"/>
    <w:rsid w:val="00992A3E"/>
    <w:rsid w:val="00992DAB"/>
    <w:rsid w:val="00992ED5"/>
    <w:rsid w:val="00993027"/>
    <w:rsid w:val="0099315C"/>
    <w:rsid w:val="0099318E"/>
    <w:rsid w:val="009937E0"/>
    <w:rsid w:val="00993B47"/>
    <w:rsid w:val="00993FAE"/>
    <w:rsid w:val="009940F5"/>
    <w:rsid w:val="00994703"/>
    <w:rsid w:val="00994CA9"/>
    <w:rsid w:val="00994D12"/>
    <w:rsid w:val="00994E66"/>
    <w:rsid w:val="00995AB4"/>
    <w:rsid w:val="00995BD3"/>
    <w:rsid w:val="00995F55"/>
    <w:rsid w:val="00995FBA"/>
    <w:rsid w:val="00995FFC"/>
    <w:rsid w:val="00996091"/>
    <w:rsid w:val="00996112"/>
    <w:rsid w:val="0099618B"/>
    <w:rsid w:val="009967DD"/>
    <w:rsid w:val="0099686D"/>
    <w:rsid w:val="009968A5"/>
    <w:rsid w:val="00996C72"/>
    <w:rsid w:val="00997346"/>
    <w:rsid w:val="00997677"/>
    <w:rsid w:val="009976B4"/>
    <w:rsid w:val="00997AF4"/>
    <w:rsid w:val="00997B42"/>
    <w:rsid w:val="00997C33"/>
    <w:rsid w:val="00997C6D"/>
    <w:rsid w:val="00997D57"/>
    <w:rsid w:val="00997E5A"/>
    <w:rsid w:val="00997E96"/>
    <w:rsid w:val="00997EC8"/>
    <w:rsid w:val="009A007F"/>
    <w:rsid w:val="009A016A"/>
    <w:rsid w:val="009A026F"/>
    <w:rsid w:val="009A0315"/>
    <w:rsid w:val="009A0325"/>
    <w:rsid w:val="009A0A9E"/>
    <w:rsid w:val="009A0BBC"/>
    <w:rsid w:val="009A0F59"/>
    <w:rsid w:val="009A107B"/>
    <w:rsid w:val="009A12AA"/>
    <w:rsid w:val="009A14F5"/>
    <w:rsid w:val="009A15D7"/>
    <w:rsid w:val="009A165D"/>
    <w:rsid w:val="009A16ED"/>
    <w:rsid w:val="009A1867"/>
    <w:rsid w:val="009A192A"/>
    <w:rsid w:val="009A1A34"/>
    <w:rsid w:val="009A1ACE"/>
    <w:rsid w:val="009A1BD8"/>
    <w:rsid w:val="009A209E"/>
    <w:rsid w:val="009A2140"/>
    <w:rsid w:val="009A21FC"/>
    <w:rsid w:val="009A2238"/>
    <w:rsid w:val="009A24C7"/>
    <w:rsid w:val="009A251F"/>
    <w:rsid w:val="009A284B"/>
    <w:rsid w:val="009A2982"/>
    <w:rsid w:val="009A29E8"/>
    <w:rsid w:val="009A2FBD"/>
    <w:rsid w:val="009A31D0"/>
    <w:rsid w:val="009A32C3"/>
    <w:rsid w:val="009A357C"/>
    <w:rsid w:val="009A3771"/>
    <w:rsid w:val="009A38D3"/>
    <w:rsid w:val="009A3967"/>
    <w:rsid w:val="009A3E66"/>
    <w:rsid w:val="009A4588"/>
    <w:rsid w:val="009A4BDE"/>
    <w:rsid w:val="009A4EE0"/>
    <w:rsid w:val="009A5230"/>
    <w:rsid w:val="009A5609"/>
    <w:rsid w:val="009A5FE2"/>
    <w:rsid w:val="009A6385"/>
    <w:rsid w:val="009A68FC"/>
    <w:rsid w:val="009A6904"/>
    <w:rsid w:val="009A6963"/>
    <w:rsid w:val="009A69EB"/>
    <w:rsid w:val="009A6A22"/>
    <w:rsid w:val="009A6AA7"/>
    <w:rsid w:val="009A712D"/>
    <w:rsid w:val="009A730A"/>
    <w:rsid w:val="009A731F"/>
    <w:rsid w:val="009A73DE"/>
    <w:rsid w:val="009A757F"/>
    <w:rsid w:val="009A75F4"/>
    <w:rsid w:val="009A76D1"/>
    <w:rsid w:val="009A7833"/>
    <w:rsid w:val="009A78A4"/>
    <w:rsid w:val="009A7934"/>
    <w:rsid w:val="009A7B33"/>
    <w:rsid w:val="009A7E78"/>
    <w:rsid w:val="009B0163"/>
    <w:rsid w:val="009B0215"/>
    <w:rsid w:val="009B04D5"/>
    <w:rsid w:val="009B087B"/>
    <w:rsid w:val="009B0C03"/>
    <w:rsid w:val="009B0CAB"/>
    <w:rsid w:val="009B0CEB"/>
    <w:rsid w:val="009B1270"/>
    <w:rsid w:val="009B1283"/>
    <w:rsid w:val="009B180E"/>
    <w:rsid w:val="009B1844"/>
    <w:rsid w:val="009B1C85"/>
    <w:rsid w:val="009B1D03"/>
    <w:rsid w:val="009B205C"/>
    <w:rsid w:val="009B2315"/>
    <w:rsid w:val="009B23A3"/>
    <w:rsid w:val="009B23DB"/>
    <w:rsid w:val="009B26E7"/>
    <w:rsid w:val="009B270C"/>
    <w:rsid w:val="009B2C43"/>
    <w:rsid w:val="009B2C96"/>
    <w:rsid w:val="009B2CDB"/>
    <w:rsid w:val="009B2F51"/>
    <w:rsid w:val="009B304C"/>
    <w:rsid w:val="009B3119"/>
    <w:rsid w:val="009B324F"/>
    <w:rsid w:val="009B33C6"/>
    <w:rsid w:val="009B3535"/>
    <w:rsid w:val="009B3748"/>
    <w:rsid w:val="009B3779"/>
    <w:rsid w:val="009B3B16"/>
    <w:rsid w:val="009B3F07"/>
    <w:rsid w:val="009B4409"/>
    <w:rsid w:val="009B48C5"/>
    <w:rsid w:val="009B48D3"/>
    <w:rsid w:val="009B4E44"/>
    <w:rsid w:val="009B536A"/>
    <w:rsid w:val="009B53F7"/>
    <w:rsid w:val="009B591E"/>
    <w:rsid w:val="009B5983"/>
    <w:rsid w:val="009B5991"/>
    <w:rsid w:val="009B5DE9"/>
    <w:rsid w:val="009B5FC6"/>
    <w:rsid w:val="009B643D"/>
    <w:rsid w:val="009B6702"/>
    <w:rsid w:val="009B6864"/>
    <w:rsid w:val="009B697B"/>
    <w:rsid w:val="009B6DFF"/>
    <w:rsid w:val="009B70EA"/>
    <w:rsid w:val="009B718F"/>
    <w:rsid w:val="009B7487"/>
    <w:rsid w:val="009B77F3"/>
    <w:rsid w:val="009B780C"/>
    <w:rsid w:val="009B7956"/>
    <w:rsid w:val="009B7FFE"/>
    <w:rsid w:val="009C0035"/>
    <w:rsid w:val="009C008C"/>
    <w:rsid w:val="009C013C"/>
    <w:rsid w:val="009C017B"/>
    <w:rsid w:val="009C01A9"/>
    <w:rsid w:val="009C089F"/>
    <w:rsid w:val="009C0E33"/>
    <w:rsid w:val="009C0E57"/>
    <w:rsid w:val="009C0E6D"/>
    <w:rsid w:val="009C0EF5"/>
    <w:rsid w:val="009C1352"/>
    <w:rsid w:val="009C1389"/>
    <w:rsid w:val="009C1390"/>
    <w:rsid w:val="009C13CC"/>
    <w:rsid w:val="009C13E1"/>
    <w:rsid w:val="009C1731"/>
    <w:rsid w:val="009C1843"/>
    <w:rsid w:val="009C18CF"/>
    <w:rsid w:val="009C1F86"/>
    <w:rsid w:val="009C23F0"/>
    <w:rsid w:val="009C25C7"/>
    <w:rsid w:val="009C3140"/>
    <w:rsid w:val="009C3319"/>
    <w:rsid w:val="009C3422"/>
    <w:rsid w:val="009C3573"/>
    <w:rsid w:val="009C3586"/>
    <w:rsid w:val="009C389B"/>
    <w:rsid w:val="009C3969"/>
    <w:rsid w:val="009C3C08"/>
    <w:rsid w:val="009C3C40"/>
    <w:rsid w:val="009C3E1A"/>
    <w:rsid w:val="009C4204"/>
    <w:rsid w:val="009C42D4"/>
    <w:rsid w:val="009C431C"/>
    <w:rsid w:val="009C435F"/>
    <w:rsid w:val="009C44BE"/>
    <w:rsid w:val="009C458D"/>
    <w:rsid w:val="009C45BB"/>
    <w:rsid w:val="009C494D"/>
    <w:rsid w:val="009C4A2E"/>
    <w:rsid w:val="009C4BD6"/>
    <w:rsid w:val="009C519E"/>
    <w:rsid w:val="009C53E5"/>
    <w:rsid w:val="009C5461"/>
    <w:rsid w:val="009C57AD"/>
    <w:rsid w:val="009C5AD6"/>
    <w:rsid w:val="009C5BD4"/>
    <w:rsid w:val="009C5C86"/>
    <w:rsid w:val="009C5D47"/>
    <w:rsid w:val="009C5E0A"/>
    <w:rsid w:val="009C604B"/>
    <w:rsid w:val="009C60E4"/>
    <w:rsid w:val="009C61D0"/>
    <w:rsid w:val="009C6C40"/>
    <w:rsid w:val="009C6DDD"/>
    <w:rsid w:val="009C6E93"/>
    <w:rsid w:val="009C70D9"/>
    <w:rsid w:val="009C72D8"/>
    <w:rsid w:val="009C758F"/>
    <w:rsid w:val="009C760D"/>
    <w:rsid w:val="009C77DF"/>
    <w:rsid w:val="009C786A"/>
    <w:rsid w:val="009C7C5E"/>
    <w:rsid w:val="009C7CAF"/>
    <w:rsid w:val="009C7FDC"/>
    <w:rsid w:val="009D0382"/>
    <w:rsid w:val="009D0694"/>
    <w:rsid w:val="009D0790"/>
    <w:rsid w:val="009D09E2"/>
    <w:rsid w:val="009D0D5A"/>
    <w:rsid w:val="009D0DCA"/>
    <w:rsid w:val="009D0E8D"/>
    <w:rsid w:val="009D155D"/>
    <w:rsid w:val="009D18BC"/>
    <w:rsid w:val="009D19B5"/>
    <w:rsid w:val="009D1B1D"/>
    <w:rsid w:val="009D1FF6"/>
    <w:rsid w:val="009D20DA"/>
    <w:rsid w:val="009D220C"/>
    <w:rsid w:val="009D26AB"/>
    <w:rsid w:val="009D2FFB"/>
    <w:rsid w:val="009D3061"/>
    <w:rsid w:val="009D3114"/>
    <w:rsid w:val="009D32BF"/>
    <w:rsid w:val="009D37D9"/>
    <w:rsid w:val="009D3AB0"/>
    <w:rsid w:val="009D4039"/>
    <w:rsid w:val="009D414B"/>
    <w:rsid w:val="009D44D6"/>
    <w:rsid w:val="009D4531"/>
    <w:rsid w:val="009D46B0"/>
    <w:rsid w:val="009D4AE4"/>
    <w:rsid w:val="009D4CCD"/>
    <w:rsid w:val="009D4F3A"/>
    <w:rsid w:val="009D50C3"/>
    <w:rsid w:val="009D50FC"/>
    <w:rsid w:val="009D5525"/>
    <w:rsid w:val="009D5725"/>
    <w:rsid w:val="009D57CD"/>
    <w:rsid w:val="009D58BD"/>
    <w:rsid w:val="009D5911"/>
    <w:rsid w:val="009D5A25"/>
    <w:rsid w:val="009D5C18"/>
    <w:rsid w:val="009D5C5C"/>
    <w:rsid w:val="009D5F04"/>
    <w:rsid w:val="009D615E"/>
    <w:rsid w:val="009D6331"/>
    <w:rsid w:val="009D6340"/>
    <w:rsid w:val="009D63B0"/>
    <w:rsid w:val="009D64C1"/>
    <w:rsid w:val="009D669F"/>
    <w:rsid w:val="009D6DC2"/>
    <w:rsid w:val="009D73AC"/>
    <w:rsid w:val="009D7667"/>
    <w:rsid w:val="009D78A3"/>
    <w:rsid w:val="009D7A59"/>
    <w:rsid w:val="009D7C5C"/>
    <w:rsid w:val="009D7F9D"/>
    <w:rsid w:val="009E03F8"/>
    <w:rsid w:val="009E0507"/>
    <w:rsid w:val="009E0933"/>
    <w:rsid w:val="009E0B79"/>
    <w:rsid w:val="009E0C0F"/>
    <w:rsid w:val="009E0E7D"/>
    <w:rsid w:val="009E0EA9"/>
    <w:rsid w:val="009E1183"/>
    <w:rsid w:val="009E1352"/>
    <w:rsid w:val="009E1567"/>
    <w:rsid w:val="009E170D"/>
    <w:rsid w:val="009E177A"/>
    <w:rsid w:val="009E2007"/>
    <w:rsid w:val="009E2089"/>
    <w:rsid w:val="009E2394"/>
    <w:rsid w:val="009E23FA"/>
    <w:rsid w:val="009E262D"/>
    <w:rsid w:val="009E29C6"/>
    <w:rsid w:val="009E2BED"/>
    <w:rsid w:val="009E2ED7"/>
    <w:rsid w:val="009E3037"/>
    <w:rsid w:val="009E3164"/>
    <w:rsid w:val="009E31EE"/>
    <w:rsid w:val="009E31FC"/>
    <w:rsid w:val="009E3283"/>
    <w:rsid w:val="009E34D8"/>
    <w:rsid w:val="009E3A99"/>
    <w:rsid w:val="009E3D20"/>
    <w:rsid w:val="009E3D7B"/>
    <w:rsid w:val="009E3D7F"/>
    <w:rsid w:val="009E40A1"/>
    <w:rsid w:val="009E40DD"/>
    <w:rsid w:val="009E42C7"/>
    <w:rsid w:val="009E4349"/>
    <w:rsid w:val="009E437D"/>
    <w:rsid w:val="009E44C2"/>
    <w:rsid w:val="009E4518"/>
    <w:rsid w:val="009E4643"/>
    <w:rsid w:val="009E46C2"/>
    <w:rsid w:val="009E4A58"/>
    <w:rsid w:val="009E4A5A"/>
    <w:rsid w:val="009E4B9B"/>
    <w:rsid w:val="009E4BE0"/>
    <w:rsid w:val="009E4E8C"/>
    <w:rsid w:val="009E4EC1"/>
    <w:rsid w:val="009E51FE"/>
    <w:rsid w:val="009E56B6"/>
    <w:rsid w:val="009E5D2E"/>
    <w:rsid w:val="009E5D60"/>
    <w:rsid w:val="009E63E8"/>
    <w:rsid w:val="009E644F"/>
    <w:rsid w:val="009E64B8"/>
    <w:rsid w:val="009E668F"/>
    <w:rsid w:val="009E6717"/>
    <w:rsid w:val="009E6807"/>
    <w:rsid w:val="009E6F03"/>
    <w:rsid w:val="009E72EB"/>
    <w:rsid w:val="009E78B6"/>
    <w:rsid w:val="009E7C24"/>
    <w:rsid w:val="009E7FAA"/>
    <w:rsid w:val="009F032B"/>
    <w:rsid w:val="009F0401"/>
    <w:rsid w:val="009F062A"/>
    <w:rsid w:val="009F0665"/>
    <w:rsid w:val="009F0702"/>
    <w:rsid w:val="009F08A4"/>
    <w:rsid w:val="009F0C1A"/>
    <w:rsid w:val="009F0C63"/>
    <w:rsid w:val="009F0D18"/>
    <w:rsid w:val="009F0E21"/>
    <w:rsid w:val="009F1101"/>
    <w:rsid w:val="009F1143"/>
    <w:rsid w:val="009F1553"/>
    <w:rsid w:val="009F1569"/>
    <w:rsid w:val="009F1893"/>
    <w:rsid w:val="009F19F8"/>
    <w:rsid w:val="009F1E54"/>
    <w:rsid w:val="009F1E9E"/>
    <w:rsid w:val="009F1FB5"/>
    <w:rsid w:val="009F2D4C"/>
    <w:rsid w:val="009F2DD4"/>
    <w:rsid w:val="009F2E17"/>
    <w:rsid w:val="009F2E70"/>
    <w:rsid w:val="009F2F2F"/>
    <w:rsid w:val="009F3260"/>
    <w:rsid w:val="009F3508"/>
    <w:rsid w:val="009F354D"/>
    <w:rsid w:val="009F35CE"/>
    <w:rsid w:val="009F362D"/>
    <w:rsid w:val="009F3803"/>
    <w:rsid w:val="009F392B"/>
    <w:rsid w:val="009F3ABC"/>
    <w:rsid w:val="009F3C74"/>
    <w:rsid w:val="009F3E70"/>
    <w:rsid w:val="009F3F4B"/>
    <w:rsid w:val="009F46D2"/>
    <w:rsid w:val="009F49B6"/>
    <w:rsid w:val="009F51DD"/>
    <w:rsid w:val="009F56AD"/>
    <w:rsid w:val="009F56EB"/>
    <w:rsid w:val="009F57F2"/>
    <w:rsid w:val="009F5D11"/>
    <w:rsid w:val="009F5D2F"/>
    <w:rsid w:val="009F5FBD"/>
    <w:rsid w:val="009F617E"/>
    <w:rsid w:val="009F6370"/>
    <w:rsid w:val="009F668E"/>
    <w:rsid w:val="009F79AB"/>
    <w:rsid w:val="009F7C24"/>
    <w:rsid w:val="009F7E3C"/>
    <w:rsid w:val="009F7E41"/>
    <w:rsid w:val="009F7E85"/>
    <w:rsid w:val="009F7EA2"/>
    <w:rsid w:val="00A0019F"/>
    <w:rsid w:val="00A002E4"/>
    <w:rsid w:val="00A003F0"/>
    <w:rsid w:val="00A00495"/>
    <w:rsid w:val="00A004B1"/>
    <w:rsid w:val="00A00532"/>
    <w:rsid w:val="00A005B5"/>
    <w:rsid w:val="00A006B5"/>
    <w:rsid w:val="00A00C17"/>
    <w:rsid w:val="00A00DE5"/>
    <w:rsid w:val="00A00F6C"/>
    <w:rsid w:val="00A00F7C"/>
    <w:rsid w:val="00A019BC"/>
    <w:rsid w:val="00A01C94"/>
    <w:rsid w:val="00A02198"/>
    <w:rsid w:val="00A026FE"/>
    <w:rsid w:val="00A02991"/>
    <w:rsid w:val="00A02D3F"/>
    <w:rsid w:val="00A031BF"/>
    <w:rsid w:val="00A03530"/>
    <w:rsid w:val="00A0363D"/>
    <w:rsid w:val="00A03DF7"/>
    <w:rsid w:val="00A03DF9"/>
    <w:rsid w:val="00A03E4A"/>
    <w:rsid w:val="00A04896"/>
    <w:rsid w:val="00A04A7B"/>
    <w:rsid w:val="00A04A9D"/>
    <w:rsid w:val="00A04C59"/>
    <w:rsid w:val="00A04D45"/>
    <w:rsid w:val="00A052B5"/>
    <w:rsid w:val="00A0536F"/>
    <w:rsid w:val="00A0538B"/>
    <w:rsid w:val="00A055B6"/>
    <w:rsid w:val="00A055B7"/>
    <w:rsid w:val="00A057F4"/>
    <w:rsid w:val="00A05A89"/>
    <w:rsid w:val="00A06165"/>
    <w:rsid w:val="00A06661"/>
    <w:rsid w:val="00A06746"/>
    <w:rsid w:val="00A06A34"/>
    <w:rsid w:val="00A06A35"/>
    <w:rsid w:val="00A06A59"/>
    <w:rsid w:val="00A06BDD"/>
    <w:rsid w:val="00A072DD"/>
    <w:rsid w:val="00A07398"/>
    <w:rsid w:val="00A076C7"/>
    <w:rsid w:val="00A076E0"/>
    <w:rsid w:val="00A07B7B"/>
    <w:rsid w:val="00A07CBC"/>
    <w:rsid w:val="00A1022C"/>
    <w:rsid w:val="00A10674"/>
    <w:rsid w:val="00A1085E"/>
    <w:rsid w:val="00A108F6"/>
    <w:rsid w:val="00A10BD0"/>
    <w:rsid w:val="00A10E55"/>
    <w:rsid w:val="00A10FFA"/>
    <w:rsid w:val="00A11230"/>
    <w:rsid w:val="00A11379"/>
    <w:rsid w:val="00A1175D"/>
    <w:rsid w:val="00A117D5"/>
    <w:rsid w:val="00A11A22"/>
    <w:rsid w:val="00A12586"/>
    <w:rsid w:val="00A127F6"/>
    <w:rsid w:val="00A12875"/>
    <w:rsid w:val="00A12A3F"/>
    <w:rsid w:val="00A12A72"/>
    <w:rsid w:val="00A12BFF"/>
    <w:rsid w:val="00A12E5E"/>
    <w:rsid w:val="00A12FE2"/>
    <w:rsid w:val="00A12FE4"/>
    <w:rsid w:val="00A13113"/>
    <w:rsid w:val="00A13293"/>
    <w:rsid w:val="00A133D2"/>
    <w:rsid w:val="00A13739"/>
    <w:rsid w:val="00A13762"/>
    <w:rsid w:val="00A137AC"/>
    <w:rsid w:val="00A1386B"/>
    <w:rsid w:val="00A13B43"/>
    <w:rsid w:val="00A13B93"/>
    <w:rsid w:val="00A13F2A"/>
    <w:rsid w:val="00A14219"/>
    <w:rsid w:val="00A14256"/>
    <w:rsid w:val="00A14343"/>
    <w:rsid w:val="00A1439C"/>
    <w:rsid w:val="00A143FC"/>
    <w:rsid w:val="00A14496"/>
    <w:rsid w:val="00A14509"/>
    <w:rsid w:val="00A145BF"/>
    <w:rsid w:val="00A14911"/>
    <w:rsid w:val="00A14996"/>
    <w:rsid w:val="00A14ACC"/>
    <w:rsid w:val="00A14ACF"/>
    <w:rsid w:val="00A14D9A"/>
    <w:rsid w:val="00A14F04"/>
    <w:rsid w:val="00A153BB"/>
    <w:rsid w:val="00A1567E"/>
    <w:rsid w:val="00A15993"/>
    <w:rsid w:val="00A15A91"/>
    <w:rsid w:val="00A15AF9"/>
    <w:rsid w:val="00A15D12"/>
    <w:rsid w:val="00A15E40"/>
    <w:rsid w:val="00A167F6"/>
    <w:rsid w:val="00A1691B"/>
    <w:rsid w:val="00A1696B"/>
    <w:rsid w:val="00A169AC"/>
    <w:rsid w:val="00A169B2"/>
    <w:rsid w:val="00A16A88"/>
    <w:rsid w:val="00A16EBC"/>
    <w:rsid w:val="00A173C5"/>
    <w:rsid w:val="00A174CF"/>
    <w:rsid w:val="00A175CE"/>
    <w:rsid w:val="00A17740"/>
    <w:rsid w:val="00A17A0C"/>
    <w:rsid w:val="00A17CA7"/>
    <w:rsid w:val="00A17CDC"/>
    <w:rsid w:val="00A17CF0"/>
    <w:rsid w:val="00A17D1D"/>
    <w:rsid w:val="00A17E7E"/>
    <w:rsid w:val="00A200B2"/>
    <w:rsid w:val="00A2017C"/>
    <w:rsid w:val="00A201DD"/>
    <w:rsid w:val="00A2021C"/>
    <w:rsid w:val="00A20D1F"/>
    <w:rsid w:val="00A20DCC"/>
    <w:rsid w:val="00A20EF4"/>
    <w:rsid w:val="00A20F82"/>
    <w:rsid w:val="00A21008"/>
    <w:rsid w:val="00A2115D"/>
    <w:rsid w:val="00A2149D"/>
    <w:rsid w:val="00A21936"/>
    <w:rsid w:val="00A21C95"/>
    <w:rsid w:val="00A21F28"/>
    <w:rsid w:val="00A22427"/>
    <w:rsid w:val="00A22572"/>
    <w:rsid w:val="00A22696"/>
    <w:rsid w:val="00A229AE"/>
    <w:rsid w:val="00A22A97"/>
    <w:rsid w:val="00A22B03"/>
    <w:rsid w:val="00A22DBC"/>
    <w:rsid w:val="00A22DC9"/>
    <w:rsid w:val="00A22DEC"/>
    <w:rsid w:val="00A23151"/>
    <w:rsid w:val="00A23215"/>
    <w:rsid w:val="00A2322B"/>
    <w:rsid w:val="00A23288"/>
    <w:rsid w:val="00A2328B"/>
    <w:rsid w:val="00A234DE"/>
    <w:rsid w:val="00A235CE"/>
    <w:rsid w:val="00A236B4"/>
    <w:rsid w:val="00A2393A"/>
    <w:rsid w:val="00A2399A"/>
    <w:rsid w:val="00A23D0D"/>
    <w:rsid w:val="00A23F27"/>
    <w:rsid w:val="00A242C6"/>
    <w:rsid w:val="00A24344"/>
    <w:rsid w:val="00A2446A"/>
    <w:rsid w:val="00A24655"/>
    <w:rsid w:val="00A2467C"/>
    <w:rsid w:val="00A24FC8"/>
    <w:rsid w:val="00A2512D"/>
    <w:rsid w:val="00A251DF"/>
    <w:rsid w:val="00A2540D"/>
    <w:rsid w:val="00A25656"/>
    <w:rsid w:val="00A25881"/>
    <w:rsid w:val="00A25894"/>
    <w:rsid w:val="00A25B21"/>
    <w:rsid w:val="00A25C24"/>
    <w:rsid w:val="00A2610A"/>
    <w:rsid w:val="00A266AB"/>
    <w:rsid w:val="00A26853"/>
    <w:rsid w:val="00A26F01"/>
    <w:rsid w:val="00A271FC"/>
    <w:rsid w:val="00A272EF"/>
    <w:rsid w:val="00A275D1"/>
    <w:rsid w:val="00A27662"/>
    <w:rsid w:val="00A2768F"/>
    <w:rsid w:val="00A27AD0"/>
    <w:rsid w:val="00A27DC9"/>
    <w:rsid w:val="00A27F5C"/>
    <w:rsid w:val="00A3053C"/>
    <w:rsid w:val="00A3097C"/>
    <w:rsid w:val="00A30B11"/>
    <w:rsid w:val="00A30BA4"/>
    <w:rsid w:val="00A30F49"/>
    <w:rsid w:val="00A31392"/>
    <w:rsid w:val="00A31409"/>
    <w:rsid w:val="00A319A0"/>
    <w:rsid w:val="00A31B64"/>
    <w:rsid w:val="00A31BE0"/>
    <w:rsid w:val="00A31C03"/>
    <w:rsid w:val="00A31C51"/>
    <w:rsid w:val="00A31C9A"/>
    <w:rsid w:val="00A31CFF"/>
    <w:rsid w:val="00A32048"/>
    <w:rsid w:val="00A32090"/>
    <w:rsid w:val="00A326AF"/>
    <w:rsid w:val="00A32AD7"/>
    <w:rsid w:val="00A32DA0"/>
    <w:rsid w:val="00A32EF5"/>
    <w:rsid w:val="00A331E5"/>
    <w:rsid w:val="00A33262"/>
    <w:rsid w:val="00A3336F"/>
    <w:rsid w:val="00A33596"/>
    <w:rsid w:val="00A33620"/>
    <w:rsid w:val="00A33721"/>
    <w:rsid w:val="00A33B46"/>
    <w:rsid w:val="00A33CF8"/>
    <w:rsid w:val="00A33E9E"/>
    <w:rsid w:val="00A34529"/>
    <w:rsid w:val="00A345A3"/>
    <w:rsid w:val="00A345A4"/>
    <w:rsid w:val="00A3473A"/>
    <w:rsid w:val="00A349C2"/>
    <w:rsid w:val="00A34ACD"/>
    <w:rsid w:val="00A350E6"/>
    <w:rsid w:val="00A352B8"/>
    <w:rsid w:val="00A3562F"/>
    <w:rsid w:val="00A357DF"/>
    <w:rsid w:val="00A3582F"/>
    <w:rsid w:val="00A358BD"/>
    <w:rsid w:val="00A35947"/>
    <w:rsid w:val="00A359D1"/>
    <w:rsid w:val="00A35C32"/>
    <w:rsid w:val="00A35F60"/>
    <w:rsid w:val="00A360BD"/>
    <w:rsid w:val="00A363A8"/>
    <w:rsid w:val="00A364AB"/>
    <w:rsid w:val="00A36545"/>
    <w:rsid w:val="00A36562"/>
    <w:rsid w:val="00A3695D"/>
    <w:rsid w:val="00A36989"/>
    <w:rsid w:val="00A36B32"/>
    <w:rsid w:val="00A36C72"/>
    <w:rsid w:val="00A36E60"/>
    <w:rsid w:val="00A37074"/>
    <w:rsid w:val="00A370C9"/>
    <w:rsid w:val="00A373FA"/>
    <w:rsid w:val="00A37448"/>
    <w:rsid w:val="00A37E14"/>
    <w:rsid w:val="00A37E51"/>
    <w:rsid w:val="00A37E91"/>
    <w:rsid w:val="00A37E94"/>
    <w:rsid w:val="00A400DE"/>
    <w:rsid w:val="00A40185"/>
    <w:rsid w:val="00A405B2"/>
    <w:rsid w:val="00A405DF"/>
    <w:rsid w:val="00A40BC5"/>
    <w:rsid w:val="00A40D41"/>
    <w:rsid w:val="00A40DCB"/>
    <w:rsid w:val="00A40E1E"/>
    <w:rsid w:val="00A40E46"/>
    <w:rsid w:val="00A4134A"/>
    <w:rsid w:val="00A41499"/>
    <w:rsid w:val="00A414A8"/>
    <w:rsid w:val="00A41B6F"/>
    <w:rsid w:val="00A41C43"/>
    <w:rsid w:val="00A41ECB"/>
    <w:rsid w:val="00A41FB3"/>
    <w:rsid w:val="00A4220E"/>
    <w:rsid w:val="00A42296"/>
    <w:rsid w:val="00A42396"/>
    <w:rsid w:val="00A424A1"/>
    <w:rsid w:val="00A425BB"/>
    <w:rsid w:val="00A425DD"/>
    <w:rsid w:val="00A42AE0"/>
    <w:rsid w:val="00A42CA7"/>
    <w:rsid w:val="00A42D96"/>
    <w:rsid w:val="00A42E4D"/>
    <w:rsid w:val="00A43101"/>
    <w:rsid w:val="00A431A5"/>
    <w:rsid w:val="00A4322A"/>
    <w:rsid w:val="00A43240"/>
    <w:rsid w:val="00A43687"/>
    <w:rsid w:val="00A43692"/>
    <w:rsid w:val="00A43C03"/>
    <w:rsid w:val="00A43C71"/>
    <w:rsid w:val="00A43D38"/>
    <w:rsid w:val="00A43D7A"/>
    <w:rsid w:val="00A442C4"/>
    <w:rsid w:val="00A443AD"/>
    <w:rsid w:val="00A4457A"/>
    <w:rsid w:val="00A448FA"/>
    <w:rsid w:val="00A44927"/>
    <w:rsid w:val="00A44B1E"/>
    <w:rsid w:val="00A4505B"/>
    <w:rsid w:val="00A452FD"/>
    <w:rsid w:val="00A45552"/>
    <w:rsid w:val="00A45867"/>
    <w:rsid w:val="00A45EB5"/>
    <w:rsid w:val="00A4611F"/>
    <w:rsid w:val="00A46859"/>
    <w:rsid w:val="00A4773B"/>
    <w:rsid w:val="00A47ABC"/>
    <w:rsid w:val="00A47D55"/>
    <w:rsid w:val="00A47F57"/>
    <w:rsid w:val="00A5024B"/>
    <w:rsid w:val="00A502C8"/>
    <w:rsid w:val="00A50487"/>
    <w:rsid w:val="00A50BAE"/>
    <w:rsid w:val="00A50C8B"/>
    <w:rsid w:val="00A512B3"/>
    <w:rsid w:val="00A51496"/>
    <w:rsid w:val="00A516C5"/>
    <w:rsid w:val="00A517EA"/>
    <w:rsid w:val="00A51ADF"/>
    <w:rsid w:val="00A52053"/>
    <w:rsid w:val="00A52141"/>
    <w:rsid w:val="00A52652"/>
    <w:rsid w:val="00A5288F"/>
    <w:rsid w:val="00A529EC"/>
    <w:rsid w:val="00A52F74"/>
    <w:rsid w:val="00A531B4"/>
    <w:rsid w:val="00A53646"/>
    <w:rsid w:val="00A538A4"/>
    <w:rsid w:val="00A5391F"/>
    <w:rsid w:val="00A53A7A"/>
    <w:rsid w:val="00A53F1C"/>
    <w:rsid w:val="00A54194"/>
    <w:rsid w:val="00A542B1"/>
    <w:rsid w:val="00A5443D"/>
    <w:rsid w:val="00A54695"/>
    <w:rsid w:val="00A54850"/>
    <w:rsid w:val="00A54C92"/>
    <w:rsid w:val="00A54E76"/>
    <w:rsid w:val="00A5502A"/>
    <w:rsid w:val="00A55393"/>
    <w:rsid w:val="00A553E5"/>
    <w:rsid w:val="00A55458"/>
    <w:rsid w:val="00A55F9A"/>
    <w:rsid w:val="00A567DA"/>
    <w:rsid w:val="00A57211"/>
    <w:rsid w:val="00A574DD"/>
    <w:rsid w:val="00A57664"/>
    <w:rsid w:val="00A5777C"/>
    <w:rsid w:val="00A57865"/>
    <w:rsid w:val="00A57901"/>
    <w:rsid w:val="00A57D56"/>
    <w:rsid w:val="00A6026C"/>
    <w:rsid w:val="00A60555"/>
    <w:rsid w:val="00A607BB"/>
    <w:rsid w:val="00A60C2B"/>
    <w:rsid w:val="00A60CEA"/>
    <w:rsid w:val="00A60F09"/>
    <w:rsid w:val="00A610C0"/>
    <w:rsid w:val="00A614C9"/>
    <w:rsid w:val="00A61695"/>
    <w:rsid w:val="00A6176D"/>
    <w:rsid w:val="00A61979"/>
    <w:rsid w:val="00A61E49"/>
    <w:rsid w:val="00A61EC9"/>
    <w:rsid w:val="00A62252"/>
    <w:rsid w:val="00A623FE"/>
    <w:rsid w:val="00A6245D"/>
    <w:rsid w:val="00A624FE"/>
    <w:rsid w:val="00A6272A"/>
    <w:rsid w:val="00A62879"/>
    <w:rsid w:val="00A629D4"/>
    <w:rsid w:val="00A62BB3"/>
    <w:rsid w:val="00A62BF6"/>
    <w:rsid w:val="00A62EF2"/>
    <w:rsid w:val="00A6309C"/>
    <w:rsid w:val="00A63A6D"/>
    <w:rsid w:val="00A642D5"/>
    <w:rsid w:val="00A643B8"/>
    <w:rsid w:val="00A643ED"/>
    <w:rsid w:val="00A645C6"/>
    <w:rsid w:val="00A648BC"/>
    <w:rsid w:val="00A649E1"/>
    <w:rsid w:val="00A64CA0"/>
    <w:rsid w:val="00A64E6F"/>
    <w:rsid w:val="00A650B7"/>
    <w:rsid w:val="00A651F4"/>
    <w:rsid w:val="00A653DC"/>
    <w:rsid w:val="00A6541C"/>
    <w:rsid w:val="00A65953"/>
    <w:rsid w:val="00A65B6A"/>
    <w:rsid w:val="00A65F57"/>
    <w:rsid w:val="00A6623F"/>
    <w:rsid w:val="00A662F2"/>
    <w:rsid w:val="00A6637A"/>
    <w:rsid w:val="00A664F9"/>
    <w:rsid w:val="00A66710"/>
    <w:rsid w:val="00A66957"/>
    <w:rsid w:val="00A66A26"/>
    <w:rsid w:val="00A6709E"/>
    <w:rsid w:val="00A670D5"/>
    <w:rsid w:val="00A6740F"/>
    <w:rsid w:val="00A674BA"/>
    <w:rsid w:val="00A6759D"/>
    <w:rsid w:val="00A675C7"/>
    <w:rsid w:val="00A678C7"/>
    <w:rsid w:val="00A67963"/>
    <w:rsid w:val="00A67C93"/>
    <w:rsid w:val="00A70209"/>
    <w:rsid w:val="00A70237"/>
    <w:rsid w:val="00A708EE"/>
    <w:rsid w:val="00A70A0C"/>
    <w:rsid w:val="00A70BA5"/>
    <w:rsid w:val="00A70C3B"/>
    <w:rsid w:val="00A70FC3"/>
    <w:rsid w:val="00A71153"/>
    <w:rsid w:val="00A712FD"/>
    <w:rsid w:val="00A715C3"/>
    <w:rsid w:val="00A7176A"/>
    <w:rsid w:val="00A71825"/>
    <w:rsid w:val="00A71912"/>
    <w:rsid w:val="00A71924"/>
    <w:rsid w:val="00A71D4D"/>
    <w:rsid w:val="00A71D93"/>
    <w:rsid w:val="00A72286"/>
    <w:rsid w:val="00A7259F"/>
    <w:rsid w:val="00A72AFA"/>
    <w:rsid w:val="00A72D26"/>
    <w:rsid w:val="00A72EE9"/>
    <w:rsid w:val="00A72FC0"/>
    <w:rsid w:val="00A73511"/>
    <w:rsid w:val="00A7354E"/>
    <w:rsid w:val="00A73CFD"/>
    <w:rsid w:val="00A73FDA"/>
    <w:rsid w:val="00A74039"/>
    <w:rsid w:val="00A740FB"/>
    <w:rsid w:val="00A7411A"/>
    <w:rsid w:val="00A7444B"/>
    <w:rsid w:val="00A74763"/>
    <w:rsid w:val="00A74934"/>
    <w:rsid w:val="00A749AB"/>
    <w:rsid w:val="00A74C72"/>
    <w:rsid w:val="00A74E73"/>
    <w:rsid w:val="00A74FCD"/>
    <w:rsid w:val="00A7530A"/>
    <w:rsid w:val="00A7533E"/>
    <w:rsid w:val="00A75738"/>
    <w:rsid w:val="00A75BCF"/>
    <w:rsid w:val="00A75C26"/>
    <w:rsid w:val="00A760B5"/>
    <w:rsid w:val="00A760CC"/>
    <w:rsid w:val="00A762AC"/>
    <w:rsid w:val="00A763BC"/>
    <w:rsid w:val="00A7647C"/>
    <w:rsid w:val="00A76549"/>
    <w:rsid w:val="00A7666F"/>
    <w:rsid w:val="00A76D15"/>
    <w:rsid w:val="00A76EC1"/>
    <w:rsid w:val="00A7706C"/>
    <w:rsid w:val="00A7707F"/>
    <w:rsid w:val="00A770DC"/>
    <w:rsid w:val="00A771FC"/>
    <w:rsid w:val="00A777F7"/>
    <w:rsid w:val="00A800D3"/>
    <w:rsid w:val="00A801B9"/>
    <w:rsid w:val="00A801DD"/>
    <w:rsid w:val="00A8048C"/>
    <w:rsid w:val="00A80C8C"/>
    <w:rsid w:val="00A810A9"/>
    <w:rsid w:val="00A810AF"/>
    <w:rsid w:val="00A81430"/>
    <w:rsid w:val="00A816B1"/>
    <w:rsid w:val="00A8186D"/>
    <w:rsid w:val="00A8198C"/>
    <w:rsid w:val="00A81ABC"/>
    <w:rsid w:val="00A81B05"/>
    <w:rsid w:val="00A81D67"/>
    <w:rsid w:val="00A81E82"/>
    <w:rsid w:val="00A8201C"/>
    <w:rsid w:val="00A820E7"/>
    <w:rsid w:val="00A821A3"/>
    <w:rsid w:val="00A822F3"/>
    <w:rsid w:val="00A826CC"/>
    <w:rsid w:val="00A8293F"/>
    <w:rsid w:val="00A82988"/>
    <w:rsid w:val="00A829FD"/>
    <w:rsid w:val="00A82C1B"/>
    <w:rsid w:val="00A82F56"/>
    <w:rsid w:val="00A833BF"/>
    <w:rsid w:val="00A833F9"/>
    <w:rsid w:val="00A83546"/>
    <w:rsid w:val="00A837A3"/>
    <w:rsid w:val="00A83ACD"/>
    <w:rsid w:val="00A83C4D"/>
    <w:rsid w:val="00A83D7F"/>
    <w:rsid w:val="00A83E7A"/>
    <w:rsid w:val="00A84259"/>
    <w:rsid w:val="00A847D0"/>
    <w:rsid w:val="00A8499F"/>
    <w:rsid w:val="00A8505B"/>
    <w:rsid w:val="00A85324"/>
    <w:rsid w:val="00A85697"/>
    <w:rsid w:val="00A856C7"/>
    <w:rsid w:val="00A85992"/>
    <w:rsid w:val="00A85A7E"/>
    <w:rsid w:val="00A85EB7"/>
    <w:rsid w:val="00A85FA1"/>
    <w:rsid w:val="00A86589"/>
    <w:rsid w:val="00A86602"/>
    <w:rsid w:val="00A8703D"/>
    <w:rsid w:val="00A87089"/>
    <w:rsid w:val="00A8726C"/>
    <w:rsid w:val="00A8749B"/>
    <w:rsid w:val="00A87886"/>
    <w:rsid w:val="00A879D2"/>
    <w:rsid w:val="00A87D33"/>
    <w:rsid w:val="00A87FFC"/>
    <w:rsid w:val="00A90075"/>
    <w:rsid w:val="00A903A3"/>
    <w:rsid w:val="00A90408"/>
    <w:rsid w:val="00A90498"/>
    <w:rsid w:val="00A904B9"/>
    <w:rsid w:val="00A90760"/>
    <w:rsid w:val="00A90A36"/>
    <w:rsid w:val="00A90EE2"/>
    <w:rsid w:val="00A9109B"/>
    <w:rsid w:val="00A910B2"/>
    <w:rsid w:val="00A9113A"/>
    <w:rsid w:val="00A912EE"/>
    <w:rsid w:val="00A913CD"/>
    <w:rsid w:val="00A914A9"/>
    <w:rsid w:val="00A918E2"/>
    <w:rsid w:val="00A919E6"/>
    <w:rsid w:val="00A92022"/>
    <w:rsid w:val="00A92026"/>
    <w:rsid w:val="00A92051"/>
    <w:rsid w:val="00A920B9"/>
    <w:rsid w:val="00A921CC"/>
    <w:rsid w:val="00A923F0"/>
    <w:rsid w:val="00A92A7E"/>
    <w:rsid w:val="00A92BC8"/>
    <w:rsid w:val="00A934BB"/>
    <w:rsid w:val="00A93839"/>
    <w:rsid w:val="00A938AA"/>
    <w:rsid w:val="00A9396C"/>
    <w:rsid w:val="00A939E5"/>
    <w:rsid w:val="00A93DA0"/>
    <w:rsid w:val="00A93E4A"/>
    <w:rsid w:val="00A9424E"/>
    <w:rsid w:val="00A945CB"/>
    <w:rsid w:val="00A94720"/>
    <w:rsid w:val="00A948DF"/>
    <w:rsid w:val="00A94AFD"/>
    <w:rsid w:val="00A94DBD"/>
    <w:rsid w:val="00A94F6B"/>
    <w:rsid w:val="00A95115"/>
    <w:rsid w:val="00A9534C"/>
    <w:rsid w:val="00A958EE"/>
    <w:rsid w:val="00A9596C"/>
    <w:rsid w:val="00A95AF1"/>
    <w:rsid w:val="00A95C4A"/>
    <w:rsid w:val="00A95F99"/>
    <w:rsid w:val="00A9643A"/>
    <w:rsid w:val="00A96512"/>
    <w:rsid w:val="00A9674C"/>
    <w:rsid w:val="00A969CB"/>
    <w:rsid w:val="00A96BAC"/>
    <w:rsid w:val="00A96CB5"/>
    <w:rsid w:val="00A96CD5"/>
    <w:rsid w:val="00A96E8D"/>
    <w:rsid w:val="00A970D9"/>
    <w:rsid w:val="00A97132"/>
    <w:rsid w:val="00A9725D"/>
    <w:rsid w:val="00A97424"/>
    <w:rsid w:val="00A9750E"/>
    <w:rsid w:val="00A9753F"/>
    <w:rsid w:val="00A975FD"/>
    <w:rsid w:val="00A9761B"/>
    <w:rsid w:val="00A976B3"/>
    <w:rsid w:val="00A97784"/>
    <w:rsid w:val="00A97AAA"/>
    <w:rsid w:val="00A97E39"/>
    <w:rsid w:val="00AA00FC"/>
    <w:rsid w:val="00AA019E"/>
    <w:rsid w:val="00AA0487"/>
    <w:rsid w:val="00AA0699"/>
    <w:rsid w:val="00AA0784"/>
    <w:rsid w:val="00AA079B"/>
    <w:rsid w:val="00AA081F"/>
    <w:rsid w:val="00AA0879"/>
    <w:rsid w:val="00AA0904"/>
    <w:rsid w:val="00AA1065"/>
    <w:rsid w:val="00AA11E4"/>
    <w:rsid w:val="00AA1622"/>
    <w:rsid w:val="00AA16D3"/>
    <w:rsid w:val="00AA1A26"/>
    <w:rsid w:val="00AA1AF9"/>
    <w:rsid w:val="00AA1CF8"/>
    <w:rsid w:val="00AA1EF3"/>
    <w:rsid w:val="00AA1F01"/>
    <w:rsid w:val="00AA20AB"/>
    <w:rsid w:val="00AA2260"/>
    <w:rsid w:val="00AA2286"/>
    <w:rsid w:val="00AA22CE"/>
    <w:rsid w:val="00AA2306"/>
    <w:rsid w:val="00AA2710"/>
    <w:rsid w:val="00AA2810"/>
    <w:rsid w:val="00AA300D"/>
    <w:rsid w:val="00AA3018"/>
    <w:rsid w:val="00AA3273"/>
    <w:rsid w:val="00AA329F"/>
    <w:rsid w:val="00AA34CB"/>
    <w:rsid w:val="00AA35FC"/>
    <w:rsid w:val="00AA393A"/>
    <w:rsid w:val="00AA436B"/>
    <w:rsid w:val="00AA4868"/>
    <w:rsid w:val="00AA4C15"/>
    <w:rsid w:val="00AA4D0E"/>
    <w:rsid w:val="00AA4DE5"/>
    <w:rsid w:val="00AA53F4"/>
    <w:rsid w:val="00AA55A8"/>
    <w:rsid w:val="00AA5883"/>
    <w:rsid w:val="00AA5A2A"/>
    <w:rsid w:val="00AA5C62"/>
    <w:rsid w:val="00AA5DBB"/>
    <w:rsid w:val="00AA62F9"/>
    <w:rsid w:val="00AA63B2"/>
    <w:rsid w:val="00AA6412"/>
    <w:rsid w:val="00AA646A"/>
    <w:rsid w:val="00AA66C1"/>
    <w:rsid w:val="00AA683C"/>
    <w:rsid w:val="00AA6A5D"/>
    <w:rsid w:val="00AA6C47"/>
    <w:rsid w:val="00AA6F3E"/>
    <w:rsid w:val="00AA7101"/>
    <w:rsid w:val="00AA7498"/>
    <w:rsid w:val="00AA79A5"/>
    <w:rsid w:val="00AA7C2D"/>
    <w:rsid w:val="00AA7DAE"/>
    <w:rsid w:val="00AB05C4"/>
    <w:rsid w:val="00AB0691"/>
    <w:rsid w:val="00AB078B"/>
    <w:rsid w:val="00AB07C4"/>
    <w:rsid w:val="00AB0825"/>
    <w:rsid w:val="00AB0A20"/>
    <w:rsid w:val="00AB0ACA"/>
    <w:rsid w:val="00AB105C"/>
    <w:rsid w:val="00AB127E"/>
    <w:rsid w:val="00AB12FB"/>
    <w:rsid w:val="00AB1368"/>
    <w:rsid w:val="00AB1439"/>
    <w:rsid w:val="00AB182A"/>
    <w:rsid w:val="00AB1A75"/>
    <w:rsid w:val="00AB1EB5"/>
    <w:rsid w:val="00AB1ED9"/>
    <w:rsid w:val="00AB2369"/>
    <w:rsid w:val="00AB24FD"/>
    <w:rsid w:val="00AB263A"/>
    <w:rsid w:val="00AB29CB"/>
    <w:rsid w:val="00AB2B17"/>
    <w:rsid w:val="00AB2C55"/>
    <w:rsid w:val="00AB2C96"/>
    <w:rsid w:val="00AB2D84"/>
    <w:rsid w:val="00AB2FD0"/>
    <w:rsid w:val="00AB31E8"/>
    <w:rsid w:val="00AB325A"/>
    <w:rsid w:val="00AB3371"/>
    <w:rsid w:val="00AB3423"/>
    <w:rsid w:val="00AB3669"/>
    <w:rsid w:val="00AB3738"/>
    <w:rsid w:val="00AB4031"/>
    <w:rsid w:val="00AB40E9"/>
    <w:rsid w:val="00AB428E"/>
    <w:rsid w:val="00AB42E1"/>
    <w:rsid w:val="00AB4E2F"/>
    <w:rsid w:val="00AB4F13"/>
    <w:rsid w:val="00AB520B"/>
    <w:rsid w:val="00AB5412"/>
    <w:rsid w:val="00AB58DE"/>
    <w:rsid w:val="00AB677D"/>
    <w:rsid w:val="00AB6BB0"/>
    <w:rsid w:val="00AB6ECB"/>
    <w:rsid w:val="00AB7256"/>
    <w:rsid w:val="00AB7469"/>
    <w:rsid w:val="00AB766C"/>
    <w:rsid w:val="00AB7998"/>
    <w:rsid w:val="00AB7C9E"/>
    <w:rsid w:val="00AB7E82"/>
    <w:rsid w:val="00AC0672"/>
    <w:rsid w:val="00AC0F3B"/>
    <w:rsid w:val="00AC1467"/>
    <w:rsid w:val="00AC1740"/>
    <w:rsid w:val="00AC1A2B"/>
    <w:rsid w:val="00AC1CE5"/>
    <w:rsid w:val="00AC1EBB"/>
    <w:rsid w:val="00AC208F"/>
    <w:rsid w:val="00AC3134"/>
    <w:rsid w:val="00AC322E"/>
    <w:rsid w:val="00AC3254"/>
    <w:rsid w:val="00AC3305"/>
    <w:rsid w:val="00AC36AD"/>
    <w:rsid w:val="00AC36AE"/>
    <w:rsid w:val="00AC3E75"/>
    <w:rsid w:val="00AC4467"/>
    <w:rsid w:val="00AC450D"/>
    <w:rsid w:val="00AC483A"/>
    <w:rsid w:val="00AC4858"/>
    <w:rsid w:val="00AC4BE0"/>
    <w:rsid w:val="00AC4C48"/>
    <w:rsid w:val="00AC4E87"/>
    <w:rsid w:val="00AC529E"/>
    <w:rsid w:val="00AC52C4"/>
    <w:rsid w:val="00AC54B8"/>
    <w:rsid w:val="00AC55F0"/>
    <w:rsid w:val="00AC5862"/>
    <w:rsid w:val="00AC6182"/>
    <w:rsid w:val="00AC61A2"/>
    <w:rsid w:val="00AC66A4"/>
    <w:rsid w:val="00AC708B"/>
    <w:rsid w:val="00AC7312"/>
    <w:rsid w:val="00AC74AA"/>
    <w:rsid w:val="00AC7847"/>
    <w:rsid w:val="00AC7B84"/>
    <w:rsid w:val="00AD010C"/>
    <w:rsid w:val="00AD0137"/>
    <w:rsid w:val="00AD02B4"/>
    <w:rsid w:val="00AD059A"/>
    <w:rsid w:val="00AD0C3F"/>
    <w:rsid w:val="00AD0E7D"/>
    <w:rsid w:val="00AD0EF1"/>
    <w:rsid w:val="00AD0FC0"/>
    <w:rsid w:val="00AD104F"/>
    <w:rsid w:val="00AD1682"/>
    <w:rsid w:val="00AD1A1F"/>
    <w:rsid w:val="00AD1C31"/>
    <w:rsid w:val="00AD1C3F"/>
    <w:rsid w:val="00AD1E76"/>
    <w:rsid w:val="00AD1F13"/>
    <w:rsid w:val="00AD1FCA"/>
    <w:rsid w:val="00AD22F5"/>
    <w:rsid w:val="00AD2425"/>
    <w:rsid w:val="00AD243A"/>
    <w:rsid w:val="00AD2889"/>
    <w:rsid w:val="00AD2BA1"/>
    <w:rsid w:val="00AD2D71"/>
    <w:rsid w:val="00AD31AD"/>
    <w:rsid w:val="00AD34DE"/>
    <w:rsid w:val="00AD352F"/>
    <w:rsid w:val="00AD3A95"/>
    <w:rsid w:val="00AD3ABB"/>
    <w:rsid w:val="00AD3B39"/>
    <w:rsid w:val="00AD414D"/>
    <w:rsid w:val="00AD41B3"/>
    <w:rsid w:val="00AD42B5"/>
    <w:rsid w:val="00AD4307"/>
    <w:rsid w:val="00AD43AF"/>
    <w:rsid w:val="00AD43C9"/>
    <w:rsid w:val="00AD44D0"/>
    <w:rsid w:val="00AD475E"/>
    <w:rsid w:val="00AD4E20"/>
    <w:rsid w:val="00AD4F71"/>
    <w:rsid w:val="00AD5042"/>
    <w:rsid w:val="00AD5273"/>
    <w:rsid w:val="00AD53A0"/>
    <w:rsid w:val="00AD53E5"/>
    <w:rsid w:val="00AD5591"/>
    <w:rsid w:val="00AD57E1"/>
    <w:rsid w:val="00AD5D47"/>
    <w:rsid w:val="00AD6083"/>
    <w:rsid w:val="00AD6112"/>
    <w:rsid w:val="00AD6189"/>
    <w:rsid w:val="00AD628E"/>
    <w:rsid w:val="00AD655A"/>
    <w:rsid w:val="00AD6591"/>
    <w:rsid w:val="00AD66FD"/>
    <w:rsid w:val="00AD698B"/>
    <w:rsid w:val="00AD6ACC"/>
    <w:rsid w:val="00AD7112"/>
    <w:rsid w:val="00AD71D7"/>
    <w:rsid w:val="00AD7203"/>
    <w:rsid w:val="00AD72CE"/>
    <w:rsid w:val="00AD73CB"/>
    <w:rsid w:val="00AD7515"/>
    <w:rsid w:val="00AD7544"/>
    <w:rsid w:val="00AD77FF"/>
    <w:rsid w:val="00AD7FFD"/>
    <w:rsid w:val="00AE0085"/>
    <w:rsid w:val="00AE09C1"/>
    <w:rsid w:val="00AE0E2C"/>
    <w:rsid w:val="00AE0F11"/>
    <w:rsid w:val="00AE10AB"/>
    <w:rsid w:val="00AE1257"/>
    <w:rsid w:val="00AE139C"/>
    <w:rsid w:val="00AE15FC"/>
    <w:rsid w:val="00AE190C"/>
    <w:rsid w:val="00AE1950"/>
    <w:rsid w:val="00AE199B"/>
    <w:rsid w:val="00AE1A10"/>
    <w:rsid w:val="00AE1D9F"/>
    <w:rsid w:val="00AE1ECA"/>
    <w:rsid w:val="00AE213F"/>
    <w:rsid w:val="00AE2533"/>
    <w:rsid w:val="00AE2552"/>
    <w:rsid w:val="00AE332A"/>
    <w:rsid w:val="00AE376F"/>
    <w:rsid w:val="00AE4157"/>
    <w:rsid w:val="00AE425F"/>
    <w:rsid w:val="00AE444B"/>
    <w:rsid w:val="00AE4761"/>
    <w:rsid w:val="00AE47C7"/>
    <w:rsid w:val="00AE4A71"/>
    <w:rsid w:val="00AE4AAE"/>
    <w:rsid w:val="00AE4AE1"/>
    <w:rsid w:val="00AE4C00"/>
    <w:rsid w:val="00AE4E39"/>
    <w:rsid w:val="00AE4FA3"/>
    <w:rsid w:val="00AE502A"/>
    <w:rsid w:val="00AE5062"/>
    <w:rsid w:val="00AE509E"/>
    <w:rsid w:val="00AE51B5"/>
    <w:rsid w:val="00AE54E2"/>
    <w:rsid w:val="00AE5A21"/>
    <w:rsid w:val="00AE5E0A"/>
    <w:rsid w:val="00AE5E2E"/>
    <w:rsid w:val="00AE60B3"/>
    <w:rsid w:val="00AE64D2"/>
    <w:rsid w:val="00AE64E0"/>
    <w:rsid w:val="00AE6734"/>
    <w:rsid w:val="00AE6CD5"/>
    <w:rsid w:val="00AE6CEE"/>
    <w:rsid w:val="00AE6E78"/>
    <w:rsid w:val="00AE6F16"/>
    <w:rsid w:val="00AE73F0"/>
    <w:rsid w:val="00AE7569"/>
    <w:rsid w:val="00AE7821"/>
    <w:rsid w:val="00AE7CAD"/>
    <w:rsid w:val="00AE7D56"/>
    <w:rsid w:val="00AE7F15"/>
    <w:rsid w:val="00AE7F61"/>
    <w:rsid w:val="00AF0120"/>
    <w:rsid w:val="00AF01E5"/>
    <w:rsid w:val="00AF049C"/>
    <w:rsid w:val="00AF07EF"/>
    <w:rsid w:val="00AF0824"/>
    <w:rsid w:val="00AF0A13"/>
    <w:rsid w:val="00AF0D8D"/>
    <w:rsid w:val="00AF0E28"/>
    <w:rsid w:val="00AF0F6F"/>
    <w:rsid w:val="00AF1186"/>
    <w:rsid w:val="00AF1302"/>
    <w:rsid w:val="00AF1466"/>
    <w:rsid w:val="00AF15E0"/>
    <w:rsid w:val="00AF1639"/>
    <w:rsid w:val="00AF1884"/>
    <w:rsid w:val="00AF1B90"/>
    <w:rsid w:val="00AF284D"/>
    <w:rsid w:val="00AF371E"/>
    <w:rsid w:val="00AF37CA"/>
    <w:rsid w:val="00AF3B22"/>
    <w:rsid w:val="00AF3B6B"/>
    <w:rsid w:val="00AF3B97"/>
    <w:rsid w:val="00AF3D68"/>
    <w:rsid w:val="00AF46E9"/>
    <w:rsid w:val="00AF4AEF"/>
    <w:rsid w:val="00AF4C97"/>
    <w:rsid w:val="00AF5069"/>
    <w:rsid w:val="00AF520C"/>
    <w:rsid w:val="00AF5750"/>
    <w:rsid w:val="00AF58B3"/>
    <w:rsid w:val="00AF59FB"/>
    <w:rsid w:val="00AF5B7A"/>
    <w:rsid w:val="00AF5E64"/>
    <w:rsid w:val="00AF5E76"/>
    <w:rsid w:val="00AF5E79"/>
    <w:rsid w:val="00AF5EFE"/>
    <w:rsid w:val="00AF63CB"/>
    <w:rsid w:val="00AF6452"/>
    <w:rsid w:val="00AF6B00"/>
    <w:rsid w:val="00AF6D73"/>
    <w:rsid w:val="00AF6FB3"/>
    <w:rsid w:val="00AF7096"/>
    <w:rsid w:val="00AF74EA"/>
    <w:rsid w:val="00AF7673"/>
    <w:rsid w:val="00AF790D"/>
    <w:rsid w:val="00AF7D40"/>
    <w:rsid w:val="00AF7D86"/>
    <w:rsid w:val="00AF7FC6"/>
    <w:rsid w:val="00B00273"/>
    <w:rsid w:val="00B0052C"/>
    <w:rsid w:val="00B0094A"/>
    <w:rsid w:val="00B0096F"/>
    <w:rsid w:val="00B00EE9"/>
    <w:rsid w:val="00B0104A"/>
    <w:rsid w:val="00B010CD"/>
    <w:rsid w:val="00B011B4"/>
    <w:rsid w:val="00B0125B"/>
    <w:rsid w:val="00B0151E"/>
    <w:rsid w:val="00B016C0"/>
    <w:rsid w:val="00B016CF"/>
    <w:rsid w:val="00B016DF"/>
    <w:rsid w:val="00B01CD5"/>
    <w:rsid w:val="00B01FDB"/>
    <w:rsid w:val="00B0235E"/>
    <w:rsid w:val="00B023D7"/>
    <w:rsid w:val="00B02D68"/>
    <w:rsid w:val="00B03002"/>
    <w:rsid w:val="00B03046"/>
    <w:rsid w:val="00B0319D"/>
    <w:rsid w:val="00B03380"/>
    <w:rsid w:val="00B034FD"/>
    <w:rsid w:val="00B038D4"/>
    <w:rsid w:val="00B03DD8"/>
    <w:rsid w:val="00B03E26"/>
    <w:rsid w:val="00B03EAC"/>
    <w:rsid w:val="00B03F26"/>
    <w:rsid w:val="00B04195"/>
    <w:rsid w:val="00B043F1"/>
    <w:rsid w:val="00B04596"/>
    <w:rsid w:val="00B04ACF"/>
    <w:rsid w:val="00B04D87"/>
    <w:rsid w:val="00B05020"/>
    <w:rsid w:val="00B052B6"/>
    <w:rsid w:val="00B0537F"/>
    <w:rsid w:val="00B058A3"/>
    <w:rsid w:val="00B05BA8"/>
    <w:rsid w:val="00B05D19"/>
    <w:rsid w:val="00B061EE"/>
    <w:rsid w:val="00B064EC"/>
    <w:rsid w:val="00B06692"/>
    <w:rsid w:val="00B06865"/>
    <w:rsid w:val="00B06989"/>
    <w:rsid w:val="00B06AB1"/>
    <w:rsid w:val="00B07668"/>
    <w:rsid w:val="00B077E4"/>
    <w:rsid w:val="00B07E93"/>
    <w:rsid w:val="00B1018E"/>
    <w:rsid w:val="00B10469"/>
    <w:rsid w:val="00B10512"/>
    <w:rsid w:val="00B1056D"/>
    <w:rsid w:val="00B108C7"/>
    <w:rsid w:val="00B10C21"/>
    <w:rsid w:val="00B10C66"/>
    <w:rsid w:val="00B10DF4"/>
    <w:rsid w:val="00B117D9"/>
    <w:rsid w:val="00B11AD1"/>
    <w:rsid w:val="00B11AF6"/>
    <w:rsid w:val="00B11C35"/>
    <w:rsid w:val="00B11C6F"/>
    <w:rsid w:val="00B11D3A"/>
    <w:rsid w:val="00B11D5A"/>
    <w:rsid w:val="00B11D5E"/>
    <w:rsid w:val="00B121BC"/>
    <w:rsid w:val="00B1221C"/>
    <w:rsid w:val="00B1248E"/>
    <w:rsid w:val="00B12946"/>
    <w:rsid w:val="00B12F23"/>
    <w:rsid w:val="00B1308A"/>
    <w:rsid w:val="00B1309A"/>
    <w:rsid w:val="00B1340D"/>
    <w:rsid w:val="00B13716"/>
    <w:rsid w:val="00B13810"/>
    <w:rsid w:val="00B13856"/>
    <w:rsid w:val="00B13A0D"/>
    <w:rsid w:val="00B14921"/>
    <w:rsid w:val="00B149D5"/>
    <w:rsid w:val="00B14DE6"/>
    <w:rsid w:val="00B14FFB"/>
    <w:rsid w:val="00B15057"/>
    <w:rsid w:val="00B15075"/>
    <w:rsid w:val="00B1513E"/>
    <w:rsid w:val="00B151D9"/>
    <w:rsid w:val="00B151E1"/>
    <w:rsid w:val="00B153BB"/>
    <w:rsid w:val="00B15569"/>
    <w:rsid w:val="00B15B93"/>
    <w:rsid w:val="00B15C2F"/>
    <w:rsid w:val="00B15C34"/>
    <w:rsid w:val="00B15D83"/>
    <w:rsid w:val="00B15DF1"/>
    <w:rsid w:val="00B15EAC"/>
    <w:rsid w:val="00B16114"/>
    <w:rsid w:val="00B16454"/>
    <w:rsid w:val="00B1686C"/>
    <w:rsid w:val="00B16920"/>
    <w:rsid w:val="00B16A1F"/>
    <w:rsid w:val="00B16B9D"/>
    <w:rsid w:val="00B16E40"/>
    <w:rsid w:val="00B16EB0"/>
    <w:rsid w:val="00B1759A"/>
    <w:rsid w:val="00B1766B"/>
    <w:rsid w:val="00B17686"/>
    <w:rsid w:val="00B17998"/>
    <w:rsid w:val="00B17AF8"/>
    <w:rsid w:val="00B17E71"/>
    <w:rsid w:val="00B200AF"/>
    <w:rsid w:val="00B20510"/>
    <w:rsid w:val="00B205B8"/>
    <w:rsid w:val="00B20C9B"/>
    <w:rsid w:val="00B21AB1"/>
    <w:rsid w:val="00B21ACE"/>
    <w:rsid w:val="00B21BF6"/>
    <w:rsid w:val="00B21F83"/>
    <w:rsid w:val="00B22269"/>
    <w:rsid w:val="00B22936"/>
    <w:rsid w:val="00B22F51"/>
    <w:rsid w:val="00B22F73"/>
    <w:rsid w:val="00B231E1"/>
    <w:rsid w:val="00B23510"/>
    <w:rsid w:val="00B236D5"/>
    <w:rsid w:val="00B23902"/>
    <w:rsid w:val="00B23BBD"/>
    <w:rsid w:val="00B23C0D"/>
    <w:rsid w:val="00B23F6B"/>
    <w:rsid w:val="00B24198"/>
    <w:rsid w:val="00B244D3"/>
    <w:rsid w:val="00B24574"/>
    <w:rsid w:val="00B245FE"/>
    <w:rsid w:val="00B24987"/>
    <w:rsid w:val="00B24BF8"/>
    <w:rsid w:val="00B24E2E"/>
    <w:rsid w:val="00B2513C"/>
    <w:rsid w:val="00B252A0"/>
    <w:rsid w:val="00B252D8"/>
    <w:rsid w:val="00B252F4"/>
    <w:rsid w:val="00B25391"/>
    <w:rsid w:val="00B253CC"/>
    <w:rsid w:val="00B25B7A"/>
    <w:rsid w:val="00B25BFD"/>
    <w:rsid w:val="00B25CB4"/>
    <w:rsid w:val="00B25E18"/>
    <w:rsid w:val="00B25FBA"/>
    <w:rsid w:val="00B26251"/>
    <w:rsid w:val="00B27169"/>
    <w:rsid w:val="00B27203"/>
    <w:rsid w:val="00B274A6"/>
    <w:rsid w:val="00B27558"/>
    <w:rsid w:val="00B276D5"/>
    <w:rsid w:val="00B27968"/>
    <w:rsid w:val="00B279D3"/>
    <w:rsid w:val="00B27BB5"/>
    <w:rsid w:val="00B27C54"/>
    <w:rsid w:val="00B27CF8"/>
    <w:rsid w:val="00B30022"/>
    <w:rsid w:val="00B30057"/>
    <w:rsid w:val="00B300FB"/>
    <w:rsid w:val="00B304A4"/>
    <w:rsid w:val="00B305BC"/>
    <w:rsid w:val="00B309E8"/>
    <w:rsid w:val="00B30B78"/>
    <w:rsid w:val="00B30BA7"/>
    <w:rsid w:val="00B30C3C"/>
    <w:rsid w:val="00B30C85"/>
    <w:rsid w:val="00B30E85"/>
    <w:rsid w:val="00B30FD9"/>
    <w:rsid w:val="00B310AD"/>
    <w:rsid w:val="00B3127A"/>
    <w:rsid w:val="00B31380"/>
    <w:rsid w:val="00B31397"/>
    <w:rsid w:val="00B314E3"/>
    <w:rsid w:val="00B317D5"/>
    <w:rsid w:val="00B3182B"/>
    <w:rsid w:val="00B31926"/>
    <w:rsid w:val="00B31AAD"/>
    <w:rsid w:val="00B31BC9"/>
    <w:rsid w:val="00B31E56"/>
    <w:rsid w:val="00B320D2"/>
    <w:rsid w:val="00B3234F"/>
    <w:rsid w:val="00B32450"/>
    <w:rsid w:val="00B324A8"/>
    <w:rsid w:val="00B32723"/>
    <w:rsid w:val="00B32AB0"/>
    <w:rsid w:val="00B3353C"/>
    <w:rsid w:val="00B33879"/>
    <w:rsid w:val="00B338CB"/>
    <w:rsid w:val="00B33AA9"/>
    <w:rsid w:val="00B33C8B"/>
    <w:rsid w:val="00B33CD6"/>
    <w:rsid w:val="00B33E75"/>
    <w:rsid w:val="00B34089"/>
    <w:rsid w:val="00B34326"/>
    <w:rsid w:val="00B3464D"/>
    <w:rsid w:val="00B35049"/>
    <w:rsid w:val="00B35061"/>
    <w:rsid w:val="00B35273"/>
    <w:rsid w:val="00B353F7"/>
    <w:rsid w:val="00B356FE"/>
    <w:rsid w:val="00B359A7"/>
    <w:rsid w:val="00B35E23"/>
    <w:rsid w:val="00B3612A"/>
    <w:rsid w:val="00B36163"/>
    <w:rsid w:val="00B36316"/>
    <w:rsid w:val="00B36BF9"/>
    <w:rsid w:val="00B36D11"/>
    <w:rsid w:val="00B36D21"/>
    <w:rsid w:val="00B36DBF"/>
    <w:rsid w:val="00B36F17"/>
    <w:rsid w:val="00B374F5"/>
    <w:rsid w:val="00B376E6"/>
    <w:rsid w:val="00B377AF"/>
    <w:rsid w:val="00B37A07"/>
    <w:rsid w:val="00B37BDA"/>
    <w:rsid w:val="00B37C1D"/>
    <w:rsid w:val="00B37F26"/>
    <w:rsid w:val="00B4025F"/>
    <w:rsid w:val="00B4042E"/>
    <w:rsid w:val="00B40735"/>
    <w:rsid w:val="00B40970"/>
    <w:rsid w:val="00B4097F"/>
    <w:rsid w:val="00B40D82"/>
    <w:rsid w:val="00B40E15"/>
    <w:rsid w:val="00B41273"/>
    <w:rsid w:val="00B4161C"/>
    <w:rsid w:val="00B41740"/>
    <w:rsid w:val="00B417E6"/>
    <w:rsid w:val="00B41C57"/>
    <w:rsid w:val="00B41CBA"/>
    <w:rsid w:val="00B41EC8"/>
    <w:rsid w:val="00B4238B"/>
    <w:rsid w:val="00B42390"/>
    <w:rsid w:val="00B42886"/>
    <w:rsid w:val="00B42B59"/>
    <w:rsid w:val="00B42CB5"/>
    <w:rsid w:val="00B43077"/>
    <w:rsid w:val="00B434CC"/>
    <w:rsid w:val="00B436FE"/>
    <w:rsid w:val="00B439F1"/>
    <w:rsid w:val="00B43AB0"/>
    <w:rsid w:val="00B43B29"/>
    <w:rsid w:val="00B43F80"/>
    <w:rsid w:val="00B43FB4"/>
    <w:rsid w:val="00B44098"/>
    <w:rsid w:val="00B44159"/>
    <w:rsid w:val="00B442FF"/>
    <w:rsid w:val="00B444A0"/>
    <w:rsid w:val="00B4463E"/>
    <w:rsid w:val="00B44810"/>
    <w:rsid w:val="00B44B52"/>
    <w:rsid w:val="00B44C1D"/>
    <w:rsid w:val="00B44C7E"/>
    <w:rsid w:val="00B44E2C"/>
    <w:rsid w:val="00B45377"/>
    <w:rsid w:val="00B456D9"/>
    <w:rsid w:val="00B45840"/>
    <w:rsid w:val="00B458DC"/>
    <w:rsid w:val="00B45B49"/>
    <w:rsid w:val="00B4602F"/>
    <w:rsid w:val="00B46623"/>
    <w:rsid w:val="00B466B0"/>
    <w:rsid w:val="00B46701"/>
    <w:rsid w:val="00B4672D"/>
    <w:rsid w:val="00B468B2"/>
    <w:rsid w:val="00B46903"/>
    <w:rsid w:val="00B46A19"/>
    <w:rsid w:val="00B46DAA"/>
    <w:rsid w:val="00B46DD7"/>
    <w:rsid w:val="00B46DE7"/>
    <w:rsid w:val="00B46ECC"/>
    <w:rsid w:val="00B47439"/>
    <w:rsid w:val="00B476D7"/>
    <w:rsid w:val="00B47B69"/>
    <w:rsid w:val="00B47C38"/>
    <w:rsid w:val="00B47D8B"/>
    <w:rsid w:val="00B47EC1"/>
    <w:rsid w:val="00B501F5"/>
    <w:rsid w:val="00B5070C"/>
    <w:rsid w:val="00B50AD2"/>
    <w:rsid w:val="00B50E4A"/>
    <w:rsid w:val="00B50F5F"/>
    <w:rsid w:val="00B51413"/>
    <w:rsid w:val="00B514F4"/>
    <w:rsid w:val="00B51AC9"/>
    <w:rsid w:val="00B51C5C"/>
    <w:rsid w:val="00B51F35"/>
    <w:rsid w:val="00B5202C"/>
    <w:rsid w:val="00B529D9"/>
    <w:rsid w:val="00B52D07"/>
    <w:rsid w:val="00B52D11"/>
    <w:rsid w:val="00B52E04"/>
    <w:rsid w:val="00B52EDF"/>
    <w:rsid w:val="00B52EF0"/>
    <w:rsid w:val="00B530E8"/>
    <w:rsid w:val="00B5315E"/>
    <w:rsid w:val="00B53327"/>
    <w:rsid w:val="00B534FD"/>
    <w:rsid w:val="00B535B4"/>
    <w:rsid w:val="00B537C4"/>
    <w:rsid w:val="00B53C27"/>
    <w:rsid w:val="00B53E76"/>
    <w:rsid w:val="00B53EC5"/>
    <w:rsid w:val="00B54EEE"/>
    <w:rsid w:val="00B54FC9"/>
    <w:rsid w:val="00B55325"/>
    <w:rsid w:val="00B55484"/>
    <w:rsid w:val="00B55B42"/>
    <w:rsid w:val="00B55C73"/>
    <w:rsid w:val="00B55ECF"/>
    <w:rsid w:val="00B56037"/>
    <w:rsid w:val="00B56187"/>
    <w:rsid w:val="00B5630A"/>
    <w:rsid w:val="00B563EE"/>
    <w:rsid w:val="00B56442"/>
    <w:rsid w:val="00B564CA"/>
    <w:rsid w:val="00B5656A"/>
    <w:rsid w:val="00B5663C"/>
    <w:rsid w:val="00B56991"/>
    <w:rsid w:val="00B56C50"/>
    <w:rsid w:val="00B56CB5"/>
    <w:rsid w:val="00B56CD0"/>
    <w:rsid w:val="00B56F1D"/>
    <w:rsid w:val="00B57010"/>
    <w:rsid w:val="00B572F3"/>
    <w:rsid w:val="00B573ED"/>
    <w:rsid w:val="00B5742A"/>
    <w:rsid w:val="00B575DC"/>
    <w:rsid w:val="00B5795F"/>
    <w:rsid w:val="00B57B84"/>
    <w:rsid w:val="00B57F0F"/>
    <w:rsid w:val="00B57F94"/>
    <w:rsid w:val="00B57FF7"/>
    <w:rsid w:val="00B601F0"/>
    <w:rsid w:val="00B60455"/>
    <w:rsid w:val="00B604C6"/>
    <w:rsid w:val="00B60570"/>
    <w:rsid w:val="00B60707"/>
    <w:rsid w:val="00B60792"/>
    <w:rsid w:val="00B608BE"/>
    <w:rsid w:val="00B609DA"/>
    <w:rsid w:val="00B609E6"/>
    <w:rsid w:val="00B60D30"/>
    <w:rsid w:val="00B60E8F"/>
    <w:rsid w:val="00B60FA8"/>
    <w:rsid w:val="00B61618"/>
    <w:rsid w:val="00B616A4"/>
    <w:rsid w:val="00B6175C"/>
    <w:rsid w:val="00B61C06"/>
    <w:rsid w:val="00B622D0"/>
    <w:rsid w:val="00B62384"/>
    <w:rsid w:val="00B626B4"/>
    <w:rsid w:val="00B62DD7"/>
    <w:rsid w:val="00B62DDF"/>
    <w:rsid w:val="00B632B2"/>
    <w:rsid w:val="00B639BF"/>
    <w:rsid w:val="00B63DDA"/>
    <w:rsid w:val="00B63F69"/>
    <w:rsid w:val="00B6451D"/>
    <w:rsid w:val="00B64623"/>
    <w:rsid w:val="00B64C15"/>
    <w:rsid w:val="00B656EF"/>
    <w:rsid w:val="00B657C7"/>
    <w:rsid w:val="00B65853"/>
    <w:rsid w:val="00B65BDE"/>
    <w:rsid w:val="00B65C7D"/>
    <w:rsid w:val="00B65CF3"/>
    <w:rsid w:val="00B65F0E"/>
    <w:rsid w:val="00B65FE9"/>
    <w:rsid w:val="00B66003"/>
    <w:rsid w:val="00B66637"/>
    <w:rsid w:val="00B66D61"/>
    <w:rsid w:val="00B66E3A"/>
    <w:rsid w:val="00B66F5A"/>
    <w:rsid w:val="00B66FB3"/>
    <w:rsid w:val="00B67343"/>
    <w:rsid w:val="00B67568"/>
    <w:rsid w:val="00B67A75"/>
    <w:rsid w:val="00B703F6"/>
    <w:rsid w:val="00B707B2"/>
    <w:rsid w:val="00B7090F"/>
    <w:rsid w:val="00B70A52"/>
    <w:rsid w:val="00B70CD7"/>
    <w:rsid w:val="00B70D9C"/>
    <w:rsid w:val="00B70F3B"/>
    <w:rsid w:val="00B70FDF"/>
    <w:rsid w:val="00B711F0"/>
    <w:rsid w:val="00B7130D"/>
    <w:rsid w:val="00B7138B"/>
    <w:rsid w:val="00B71467"/>
    <w:rsid w:val="00B71A0D"/>
    <w:rsid w:val="00B71C39"/>
    <w:rsid w:val="00B71FD8"/>
    <w:rsid w:val="00B72084"/>
    <w:rsid w:val="00B7247B"/>
    <w:rsid w:val="00B72E17"/>
    <w:rsid w:val="00B73015"/>
    <w:rsid w:val="00B736C6"/>
    <w:rsid w:val="00B737C4"/>
    <w:rsid w:val="00B738A5"/>
    <w:rsid w:val="00B7396B"/>
    <w:rsid w:val="00B739A9"/>
    <w:rsid w:val="00B739BC"/>
    <w:rsid w:val="00B73B44"/>
    <w:rsid w:val="00B73D70"/>
    <w:rsid w:val="00B743F4"/>
    <w:rsid w:val="00B74695"/>
    <w:rsid w:val="00B74814"/>
    <w:rsid w:val="00B74820"/>
    <w:rsid w:val="00B74ADB"/>
    <w:rsid w:val="00B74E35"/>
    <w:rsid w:val="00B7502B"/>
    <w:rsid w:val="00B75324"/>
    <w:rsid w:val="00B7544B"/>
    <w:rsid w:val="00B7563B"/>
    <w:rsid w:val="00B75AAC"/>
    <w:rsid w:val="00B75AF5"/>
    <w:rsid w:val="00B75F1C"/>
    <w:rsid w:val="00B75F78"/>
    <w:rsid w:val="00B76739"/>
    <w:rsid w:val="00B76C37"/>
    <w:rsid w:val="00B76D55"/>
    <w:rsid w:val="00B77963"/>
    <w:rsid w:val="00B77A8E"/>
    <w:rsid w:val="00B77AE2"/>
    <w:rsid w:val="00B77F02"/>
    <w:rsid w:val="00B8009B"/>
    <w:rsid w:val="00B80127"/>
    <w:rsid w:val="00B801A3"/>
    <w:rsid w:val="00B80274"/>
    <w:rsid w:val="00B80298"/>
    <w:rsid w:val="00B8060E"/>
    <w:rsid w:val="00B80708"/>
    <w:rsid w:val="00B8075D"/>
    <w:rsid w:val="00B809B9"/>
    <w:rsid w:val="00B80AC7"/>
    <w:rsid w:val="00B80B1D"/>
    <w:rsid w:val="00B80B26"/>
    <w:rsid w:val="00B80B46"/>
    <w:rsid w:val="00B80EF1"/>
    <w:rsid w:val="00B810DB"/>
    <w:rsid w:val="00B81151"/>
    <w:rsid w:val="00B81211"/>
    <w:rsid w:val="00B819E6"/>
    <w:rsid w:val="00B81C75"/>
    <w:rsid w:val="00B81D47"/>
    <w:rsid w:val="00B81D60"/>
    <w:rsid w:val="00B81DF6"/>
    <w:rsid w:val="00B81EFA"/>
    <w:rsid w:val="00B824EF"/>
    <w:rsid w:val="00B82C59"/>
    <w:rsid w:val="00B82D9C"/>
    <w:rsid w:val="00B830C9"/>
    <w:rsid w:val="00B83110"/>
    <w:rsid w:val="00B8325C"/>
    <w:rsid w:val="00B834DE"/>
    <w:rsid w:val="00B834F4"/>
    <w:rsid w:val="00B8351A"/>
    <w:rsid w:val="00B838D7"/>
    <w:rsid w:val="00B83A73"/>
    <w:rsid w:val="00B83CAF"/>
    <w:rsid w:val="00B83D75"/>
    <w:rsid w:val="00B83D8C"/>
    <w:rsid w:val="00B83DBB"/>
    <w:rsid w:val="00B8401F"/>
    <w:rsid w:val="00B8405D"/>
    <w:rsid w:val="00B84226"/>
    <w:rsid w:val="00B8439C"/>
    <w:rsid w:val="00B84814"/>
    <w:rsid w:val="00B849B7"/>
    <w:rsid w:val="00B84AA0"/>
    <w:rsid w:val="00B84BD1"/>
    <w:rsid w:val="00B84FAA"/>
    <w:rsid w:val="00B85036"/>
    <w:rsid w:val="00B8508B"/>
    <w:rsid w:val="00B8562B"/>
    <w:rsid w:val="00B85C8F"/>
    <w:rsid w:val="00B85F3B"/>
    <w:rsid w:val="00B863B9"/>
    <w:rsid w:val="00B8647A"/>
    <w:rsid w:val="00B86503"/>
    <w:rsid w:val="00B8656A"/>
    <w:rsid w:val="00B865B1"/>
    <w:rsid w:val="00B86644"/>
    <w:rsid w:val="00B867A7"/>
    <w:rsid w:val="00B867E5"/>
    <w:rsid w:val="00B86A34"/>
    <w:rsid w:val="00B86CDC"/>
    <w:rsid w:val="00B86D8C"/>
    <w:rsid w:val="00B870A9"/>
    <w:rsid w:val="00B871E5"/>
    <w:rsid w:val="00B87547"/>
    <w:rsid w:val="00B8788F"/>
    <w:rsid w:val="00B87966"/>
    <w:rsid w:val="00B87FFD"/>
    <w:rsid w:val="00B900DA"/>
    <w:rsid w:val="00B90579"/>
    <w:rsid w:val="00B9069F"/>
    <w:rsid w:val="00B90A78"/>
    <w:rsid w:val="00B9125B"/>
    <w:rsid w:val="00B919CA"/>
    <w:rsid w:val="00B91A0E"/>
    <w:rsid w:val="00B91AB3"/>
    <w:rsid w:val="00B91DC0"/>
    <w:rsid w:val="00B91DD2"/>
    <w:rsid w:val="00B91EE0"/>
    <w:rsid w:val="00B91F99"/>
    <w:rsid w:val="00B91FAB"/>
    <w:rsid w:val="00B9249C"/>
    <w:rsid w:val="00B925CE"/>
    <w:rsid w:val="00B925D2"/>
    <w:rsid w:val="00B9274A"/>
    <w:rsid w:val="00B929DD"/>
    <w:rsid w:val="00B92C9C"/>
    <w:rsid w:val="00B92EA5"/>
    <w:rsid w:val="00B92F80"/>
    <w:rsid w:val="00B92FE1"/>
    <w:rsid w:val="00B9303E"/>
    <w:rsid w:val="00B9328C"/>
    <w:rsid w:val="00B9383A"/>
    <w:rsid w:val="00B9390B"/>
    <w:rsid w:val="00B939C1"/>
    <w:rsid w:val="00B93AB3"/>
    <w:rsid w:val="00B93AF1"/>
    <w:rsid w:val="00B93CDE"/>
    <w:rsid w:val="00B93F8D"/>
    <w:rsid w:val="00B948E1"/>
    <w:rsid w:val="00B94917"/>
    <w:rsid w:val="00B94BF8"/>
    <w:rsid w:val="00B94C7F"/>
    <w:rsid w:val="00B95185"/>
    <w:rsid w:val="00B9523E"/>
    <w:rsid w:val="00B952E5"/>
    <w:rsid w:val="00B9559D"/>
    <w:rsid w:val="00B95734"/>
    <w:rsid w:val="00B95891"/>
    <w:rsid w:val="00B959F8"/>
    <w:rsid w:val="00B95BE1"/>
    <w:rsid w:val="00B9613A"/>
    <w:rsid w:val="00B961CD"/>
    <w:rsid w:val="00B962C2"/>
    <w:rsid w:val="00B963FA"/>
    <w:rsid w:val="00B964D1"/>
    <w:rsid w:val="00B96612"/>
    <w:rsid w:val="00B96876"/>
    <w:rsid w:val="00B96F50"/>
    <w:rsid w:val="00B97001"/>
    <w:rsid w:val="00B970F5"/>
    <w:rsid w:val="00B97213"/>
    <w:rsid w:val="00B97546"/>
    <w:rsid w:val="00B9760F"/>
    <w:rsid w:val="00B97821"/>
    <w:rsid w:val="00B97C4D"/>
    <w:rsid w:val="00B97F64"/>
    <w:rsid w:val="00BA0060"/>
    <w:rsid w:val="00BA01EE"/>
    <w:rsid w:val="00BA05A7"/>
    <w:rsid w:val="00BA0826"/>
    <w:rsid w:val="00BA0A08"/>
    <w:rsid w:val="00BA0A18"/>
    <w:rsid w:val="00BA0EAD"/>
    <w:rsid w:val="00BA0FB0"/>
    <w:rsid w:val="00BA0FBC"/>
    <w:rsid w:val="00BA11A3"/>
    <w:rsid w:val="00BA143D"/>
    <w:rsid w:val="00BA1581"/>
    <w:rsid w:val="00BA16F4"/>
    <w:rsid w:val="00BA1711"/>
    <w:rsid w:val="00BA1855"/>
    <w:rsid w:val="00BA1982"/>
    <w:rsid w:val="00BA1A79"/>
    <w:rsid w:val="00BA1E62"/>
    <w:rsid w:val="00BA1E67"/>
    <w:rsid w:val="00BA1F6E"/>
    <w:rsid w:val="00BA2393"/>
    <w:rsid w:val="00BA24DF"/>
    <w:rsid w:val="00BA26A5"/>
    <w:rsid w:val="00BA26C5"/>
    <w:rsid w:val="00BA29B4"/>
    <w:rsid w:val="00BA2A7E"/>
    <w:rsid w:val="00BA2DD8"/>
    <w:rsid w:val="00BA314D"/>
    <w:rsid w:val="00BA32BF"/>
    <w:rsid w:val="00BA33B9"/>
    <w:rsid w:val="00BA3609"/>
    <w:rsid w:val="00BA369B"/>
    <w:rsid w:val="00BA3890"/>
    <w:rsid w:val="00BA406A"/>
    <w:rsid w:val="00BA43C6"/>
    <w:rsid w:val="00BA46BD"/>
    <w:rsid w:val="00BA46D7"/>
    <w:rsid w:val="00BA4F40"/>
    <w:rsid w:val="00BA4F7A"/>
    <w:rsid w:val="00BA5255"/>
    <w:rsid w:val="00BA5650"/>
    <w:rsid w:val="00BA5680"/>
    <w:rsid w:val="00BA5BC4"/>
    <w:rsid w:val="00BA5E9F"/>
    <w:rsid w:val="00BA6223"/>
    <w:rsid w:val="00BA6A65"/>
    <w:rsid w:val="00BA6B4B"/>
    <w:rsid w:val="00BA6F9B"/>
    <w:rsid w:val="00BA6FDD"/>
    <w:rsid w:val="00BA7037"/>
    <w:rsid w:val="00BA70DF"/>
    <w:rsid w:val="00BA7152"/>
    <w:rsid w:val="00BA7275"/>
    <w:rsid w:val="00BA7656"/>
    <w:rsid w:val="00BA7C4C"/>
    <w:rsid w:val="00BA7D16"/>
    <w:rsid w:val="00BA7E3E"/>
    <w:rsid w:val="00BB00F9"/>
    <w:rsid w:val="00BB0107"/>
    <w:rsid w:val="00BB04EE"/>
    <w:rsid w:val="00BB078E"/>
    <w:rsid w:val="00BB09A0"/>
    <w:rsid w:val="00BB0BE8"/>
    <w:rsid w:val="00BB0C03"/>
    <w:rsid w:val="00BB12C0"/>
    <w:rsid w:val="00BB1433"/>
    <w:rsid w:val="00BB145F"/>
    <w:rsid w:val="00BB14A4"/>
    <w:rsid w:val="00BB1A29"/>
    <w:rsid w:val="00BB1B52"/>
    <w:rsid w:val="00BB1F56"/>
    <w:rsid w:val="00BB212C"/>
    <w:rsid w:val="00BB22AF"/>
    <w:rsid w:val="00BB24C4"/>
    <w:rsid w:val="00BB283B"/>
    <w:rsid w:val="00BB291B"/>
    <w:rsid w:val="00BB2A30"/>
    <w:rsid w:val="00BB2D03"/>
    <w:rsid w:val="00BB2EE3"/>
    <w:rsid w:val="00BB2F23"/>
    <w:rsid w:val="00BB3459"/>
    <w:rsid w:val="00BB34DA"/>
    <w:rsid w:val="00BB38FC"/>
    <w:rsid w:val="00BB4112"/>
    <w:rsid w:val="00BB435E"/>
    <w:rsid w:val="00BB4439"/>
    <w:rsid w:val="00BB4658"/>
    <w:rsid w:val="00BB4724"/>
    <w:rsid w:val="00BB4730"/>
    <w:rsid w:val="00BB4741"/>
    <w:rsid w:val="00BB47BF"/>
    <w:rsid w:val="00BB4A49"/>
    <w:rsid w:val="00BB4E98"/>
    <w:rsid w:val="00BB5190"/>
    <w:rsid w:val="00BB5347"/>
    <w:rsid w:val="00BB57C8"/>
    <w:rsid w:val="00BB5C9D"/>
    <w:rsid w:val="00BB5DC5"/>
    <w:rsid w:val="00BB5E35"/>
    <w:rsid w:val="00BB5EAB"/>
    <w:rsid w:val="00BB6614"/>
    <w:rsid w:val="00BB69B8"/>
    <w:rsid w:val="00BB6A10"/>
    <w:rsid w:val="00BB7000"/>
    <w:rsid w:val="00BB7167"/>
    <w:rsid w:val="00BB72B3"/>
    <w:rsid w:val="00BB73F6"/>
    <w:rsid w:val="00BB7DEE"/>
    <w:rsid w:val="00BB7E71"/>
    <w:rsid w:val="00BC005E"/>
    <w:rsid w:val="00BC0322"/>
    <w:rsid w:val="00BC05DC"/>
    <w:rsid w:val="00BC06A6"/>
    <w:rsid w:val="00BC06B3"/>
    <w:rsid w:val="00BC0851"/>
    <w:rsid w:val="00BC0A7F"/>
    <w:rsid w:val="00BC0ABE"/>
    <w:rsid w:val="00BC0B0D"/>
    <w:rsid w:val="00BC0BA0"/>
    <w:rsid w:val="00BC101D"/>
    <w:rsid w:val="00BC1718"/>
    <w:rsid w:val="00BC17CD"/>
    <w:rsid w:val="00BC1A92"/>
    <w:rsid w:val="00BC1F98"/>
    <w:rsid w:val="00BC2355"/>
    <w:rsid w:val="00BC241D"/>
    <w:rsid w:val="00BC24CF"/>
    <w:rsid w:val="00BC25A7"/>
    <w:rsid w:val="00BC2ACB"/>
    <w:rsid w:val="00BC2E50"/>
    <w:rsid w:val="00BC316F"/>
    <w:rsid w:val="00BC34FB"/>
    <w:rsid w:val="00BC354B"/>
    <w:rsid w:val="00BC3B8E"/>
    <w:rsid w:val="00BC42ED"/>
    <w:rsid w:val="00BC42FD"/>
    <w:rsid w:val="00BC4481"/>
    <w:rsid w:val="00BC46F5"/>
    <w:rsid w:val="00BC477C"/>
    <w:rsid w:val="00BC4A0C"/>
    <w:rsid w:val="00BC4A5D"/>
    <w:rsid w:val="00BC4B66"/>
    <w:rsid w:val="00BC5E22"/>
    <w:rsid w:val="00BC613C"/>
    <w:rsid w:val="00BC6474"/>
    <w:rsid w:val="00BC6961"/>
    <w:rsid w:val="00BC6B35"/>
    <w:rsid w:val="00BC6CF9"/>
    <w:rsid w:val="00BC6E4D"/>
    <w:rsid w:val="00BC6E6F"/>
    <w:rsid w:val="00BC710E"/>
    <w:rsid w:val="00BC711D"/>
    <w:rsid w:val="00BC7401"/>
    <w:rsid w:val="00BC7534"/>
    <w:rsid w:val="00BC7538"/>
    <w:rsid w:val="00BC77C2"/>
    <w:rsid w:val="00BC78C0"/>
    <w:rsid w:val="00BC7A51"/>
    <w:rsid w:val="00BD034F"/>
    <w:rsid w:val="00BD0806"/>
    <w:rsid w:val="00BD0D74"/>
    <w:rsid w:val="00BD0EC8"/>
    <w:rsid w:val="00BD0F83"/>
    <w:rsid w:val="00BD1591"/>
    <w:rsid w:val="00BD1869"/>
    <w:rsid w:val="00BD19B4"/>
    <w:rsid w:val="00BD1B24"/>
    <w:rsid w:val="00BD1B67"/>
    <w:rsid w:val="00BD1C11"/>
    <w:rsid w:val="00BD1ED3"/>
    <w:rsid w:val="00BD1FBC"/>
    <w:rsid w:val="00BD2002"/>
    <w:rsid w:val="00BD2089"/>
    <w:rsid w:val="00BD2392"/>
    <w:rsid w:val="00BD2854"/>
    <w:rsid w:val="00BD29CD"/>
    <w:rsid w:val="00BD29F0"/>
    <w:rsid w:val="00BD2F1E"/>
    <w:rsid w:val="00BD2F69"/>
    <w:rsid w:val="00BD3242"/>
    <w:rsid w:val="00BD338D"/>
    <w:rsid w:val="00BD363A"/>
    <w:rsid w:val="00BD378F"/>
    <w:rsid w:val="00BD37DC"/>
    <w:rsid w:val="00BD3885"/>
    <w:rsid w:val="00BD3F2A"/>
    <w:rsid w:val="00BD492D"/>
    <w:rsid w:val="00BD4F9F"/>
    <w:rsid w:val="00BD5279"/>
    <w:rsid w:val="00BD5406"/>
    <w:rsid w:val="00BD57FE"/>
    <w:rsid w:val="00BD589D"/>
    <w:rsid w:val="00BD59D1"/>
    <w:rsid w:val="00BD5BCD"/>
    <w:rsid w:val="00BD5ED6"/>
    <w:rsid w:val="00BD5FA5"/>
    <w:rsid w:val="00BD605E"/>
    <w:rsid w:val="00BD62AA"/>
    <w:rsid w:val="00BD62FE"/>
    <w:rsid w:val="00BD63CD"/>
    <w:rsid w:val="00BD6A62"/>
    <w:rsid w:val="00BD6BC8"/>
    <w:rsid w:val="00BD6C63"/>
    <w:rsid w:val="00BD6DA1"/>
    <w:rsid w:val="00BD7418"/>
    <w:rsid w:val="00BD746E"/>
    <w:rsid w:val="00BD775F"/>
    <w:rsid w:val="00BD7CCB"/>
    <w:rsid w:val="00BE02B7"/>
    <w:rsid w:val="00BE0340"/>
    <w:rsid w:val="00BE06EF"/>
    <w:rsid w:val="00BE0812"/>
    <w:rsid w:val="00BE0907"/>
    <w:rsid w:val="00BE0AD7"/>
    <w:rsid w:val="00BE11E2"/>
    <w:rsid w:val="00BE1353"/>
    <w:rsid w:val="00BE1640"/>
    <w:rsid w:val="00BE16AA"/>
    <w:rsid w:val="00BE19C8"/>
    <w:rsid w:val="00BE1C60"/>
    <w:rsid w:val="00BE1C9C"/>
    <w:rsid w:val="00BE1FD2"/>
    <w:rsid w:val="00BE20E3"/>
    <w:rsid w:val="00BE2122"/>
    <w:rsid w:val="00BE21B0"/>
    <w:rsid w:val="00BE239D"/>
    <w:rsid w:val="00BE24EF"/>
    <w:rsid w:val="00BE2584"/>
    <w:rsid w:val="00BE2945"/>
    <w:rsid w:val="00BE2B06"/>
    <w:rsid w:val="00BE305C"/>
    <w:rsid w:val="00BE390D"/>
    <w:rsid w:val="00BE3B6D"/>
    <w:rsid w:val="00BE3C81"/>
    <w:rsid w:val="00BE4457"/>
    <w:rsid w:val="00BE4626"/>
    <w:rsid w:val="00BE468C"/>
    <w:rsid w:val="00BE46C4"/>
    <w:rsid w:val="00BE4C79"/>
    <w:rsid w:val="00BE4C90"/>
    <w:rsid w:val="00BE4D6A"/>
    <w:rsid w:val="00BE5126"/>
    <w:rsid w:val="00BE5554"/>
    <w:rsid w:val="00BE59A7"/>
    <w:rsid w:val="00BE59C6"/>
    <w:rsid w:val="00BE5A3B"/>
    <w:rsid w:val="00BE5A98"/>
    <w:rsid w:val="00BE5C3E"/>
    <w:rsid w:val="00BE5E63"/>
    <w:rsid w:val="00BE5FC5"/>
    <w:rsid w:val="00BE6C0C"/>
    <w:rsid w:val="00BE718B"/>
    <w:rsid w:val="00BE742B"/>
    <w:rsid w:val="00BE7A2B"/>
    <w:rsid w:val="00BE7A68"/>
    <w:rsid w:val="00BE7AA1"/>
    <w:rsid w:val="00BE7D84"/>
    <w:rsid w:val="00BE7F9B"/>
    <w:rsid w:val="00BE7FC3"/>
    <w:rsid w:val="00BF000D"/>
    <w:rsid w:val="00BF0021"/>
    <w:rsid w:val="00BF0762"/>
    <w:rsid w:val="00BF0895"/>
    <w:rsid w:val="00BF0E85"/>
    <w:rsid w:val="00BF1259"/>
    <w:rsid w:val="00BF16E4"/>
    <w:rsid w:val="00BF1AA0"/>
    <w:rsid w:val="00BF1BFF"/>
    <w:rsid w:val="00BF1CBF"/>
    <w:rsid w:val="00BF1E0B"/>
    <w:rsid w:val="00BF1E44"/>
    <w:rsid w:val="00BF21EE"/>
    <w:rsid w:val="00BF220C"/>
    <w:rsid w:val="00BF22F7"/>
    <w:rsid w:val="00BF2599"/>
    <w:rsid w:val="00BF2AD5"/>
    <w:rsid w:val="00BF2B4C"/>
    <w:rsid w:val="00BF2B65"/>
    <w:rsid w:val="00BF2BB3"/>
    <w:rsid w:val="00BF31A2"/>
    <w:rsid w:val="00BF32B9"/>
    <w:rsid w:val="00BF33F1"/>
    <w:rsid w:val="00BF39A4"/>
    <w:rsid w:val="00BF3C6D"/>
    <w:rsid w:val="00BF3CD9"/>
    <w:rsid w:val="00BF3D59"/>
    <w:rsid w:val="00BF3F2D"/>
    <w:rsid w:val="00BF4146"/>
    <w:rsid w:val="00BF448D"/>
    <w:rsid w:val="00BF4503"/>
    <w:rsid w:val="00BF456D"/>
    <w:rsid w:val="00BF4621"/>
    <w:rsid w:val="00BF47F7"/>
    <w:rsid w:val="00BF4A6C"/>
    <w:rsid w:val="00BF4D0C"/>
    <w:rsid w:val="00BF4F1E"/>
    <w:rsid w:val="00BF5007"/>
    <w:rsid w:val="00BF5025"/>
    <w:rsid w:val="00BF5174"/>
    <w:rsid w:val="00BF53B7"/>
    <w:rsid w:val="00BF59F1"/>
    <w:rsid w:val="00BF5A4A"/>
    <w:rsid w:val="00BF5BAC"/>
    <w:rsid w:val="00BF5D5A"/>
    <w:rsid w:val="00BF609C"/>
    <w:rsid w:val="00BF653A"/>
    <w:rsid w:val="00BF6732"/>
    <w:rsid w:val="00BF67A5"/>
    <w:rsid w:val="00BF692F"/>
    <w:rsid w:val="00BF6BB8"/>
    <w:rsid w:val="00BF6C18"/>
    <w:rsid w:val="00BF6C9C"/>
    <w:rsid w:val="00BF6D77"/>
    <w:rsid w:val="00BF6EF1"/>
    <w:rsid w:val="00BF7036"/>
    <w:rsid w:val="00BF76BD"/>
    <w:rsid w:val="00BF77A5"/>
    <w:rsid w:val="00BF796F"/>
    <w:rsid w:val="00BF7D01"/>
    <w:rsid w:val="00BF7E9A"/>
    <w:rsid w:val="00C00389"/>
    <w:rsid w:val="00C00452"/>
    <w:rsid w:val="00C0077D"/>
    <w:rsid w:val="00C00808"/>
    <w:rsid w:val="00C00A81"/>
    <w:rsid w:val="00C00DF2"/>
    <w:rsid w:val="00C0124C"/>
    <w:rsid w:val="00C01688"/>
    <w:rsid w:val="00C0177F"/>
    <w:rsid w:val="00C017CF"/>
    <w:rsid w:val="00C01828"/>
    <w:rsid w:val="00C01893"/>
    <w:rsid w:val="00C01C37"/>
    <w:rsid w:val="00C01D6A"/>
    <w:rsid w:val="00C01DDE"/>
    <w:rsid w:val="00C01DEB"/>
    <w:rsid w:val="00C0257C"/>
    <w:rsid w:val="00C02830"/>
    <w:rsid w:val="00C029B8"/>
    <w:rsid w:val="00C02C3C"/>
    <w:rsid w:val="00C02CF7"/>
    <w:rsid w:val="00C03058"/>
    <w:rsid w:val="00C031CE"/>
    <w:rsid w:val="00C0321A"/>
    <w:rsid w:val="00C03435"/>
    <w:rsid w:val="00C0366C"/>
    <w:rsid w:val="00C03677"/>
    <w:rsid w:val="00C037B9"/>
    <w:rsid w:val="00C040FD"/>
    <w:rsid w:val="00C04104"/>
    <w:rsid w:val="00C04535"/>
    <w:rsid w:val="00C04566"/>
    <w:rsid w:val="00C046A7"/>
    <w:rsid w:val="00C04B15"/>
    <w:rsid w:val="00C04C71"/>
    <w:rsid w:val="00C04D93"/>
    <w:rsid w:val="00C04DDD"/>
    <w:rsid w:val="00C04FE1"/>
    <w:rsid w:val="00C05579"/>
    <w:rsid w:val="00C05ADB"/>
    <w:rsid w:val="00C05AFA"/>
    <w:rsid w:val="00C05B29"/>
    <w:rsid w:val="00C06189"/>
    <w:rsid w:val="00C06195"/>
    <w:rsid w:val="00C063BD"/>
    <w:rsid w:val="00C065B6"/>
    <w:rsid w:val="00C0660E"/>
    <w:rsid w:val="00C06733"/>
    <w:rsid w:val="00C06A99"/>
    <w:rsid w:val="00C06AC8"/>
    <w:rsid w:val="00C06F5F"/>
    <w:rsid w:val="00C06F6C"/>
    <w:rsid w:val="00C06FDA"/>
    <w:rsid w:val="00C07002"/>
    <w:rsid w:val="00C07234"/>
    <w:rsid w:val="00C07438"/>
    <w:rsid w:val="00C07451"/>
    <w:rsid w:val="00C07479"/>
    <w:rsid w:val="00C07519"/>
    <w:rsid w:val="00C07795"/>
    <w:rsid w:val="00C07971"/>
    <w:rsid w:val="00C07ACD"/>
    <w:rsid w:val="00C07B3D"/>
    <w:rsid w:val="00C10450"/>
    <w:rsid w:val="00C1045B"/>
    <w:rsid w:val="00C105E4"/>
    <w:rsid w:val="00C10929"/>
    <w:rsid w:val="00C10975"/>
    <w:rsid w:val="00C109E6"/>
    <w:rsid w:val="00C10BFA"/>
    <w:rsid w:val="00C1100B"/>
    <w:rsid w:val="00C1125A"/>
    <w:rsid w:val="00C113D9"/>
    <w:rsid w:val="00C1157A"/>
    <w:rsid w:val="00C11969"/>
    <w:rsid w:val="00C11B01"/>
    <w:rsid w:val="00C11B70"/>
    <w:rsid w:val="00C11F0C"/>
    <w:rsid w:val="00C11F3E"/>
    <w:rsid w:val="00C1206F"/>
    <w:rsid w:val="00C12301"/>
    <w:rsid w:val="00C128C8"/>
    <w:rsid w:val="00C129C1"/>
    <w:rsid w:val="00C12D60"/>
    <w:rsid w:val="00C1306B"/>
    <w:rsid w:val="00C13558"/>
    <w:rsid w:val="00C138F8"/>
    <w:rsid w:val="00C13A59"/>
    <w:rsid w:val="00C13AF0"/>
    <w:rsid w:val="00C13D6B"/>
    <w:rsid w:val="00C141D2"/>
    <w:rsid w:val="00C1439A"/>
    <w:rsid w:val="00C143D3"/>
    <w:rsid w:val="00C147ED"/>
    <w:rsid w:val="00C148EC"/>
    <w:rsid w:val="00C14B83"/>
    <w:rsid w:val="00C14E75"/>
    <w:rsid w:val="00C14F8A"/>
    <w:rsid w:val="00C15461"/>
    <w:rsid w:val="00C1571F"/>
    <w:rsid w:val="00C165EC"/>
    <w:rsid w:val="00C16845"/>
    <w:rsid w:val="00C16B06"/>
    <w:rsid w:val="00C16D18"/>
    <w:rsid w:val="00C16E29"/>
    <w:rsid w:val="00C16F05"/>
    <w:rsid w:val="00C17205"/>
    <w:rsid w:val="00C173CF"/>
    <w:rsid w:val="00C17934"/>
    <w:rsid w:val="00C1793F"/>
    <w:rsid w:val="00C17949"/>
    <w:rsid w:val="00C17A4C"/>
    <w:rsid w:val="00C17BED"/>
    <w:rsid w:val="00C201CB"/>
    <w:rsid w:val="00C2068A"/>
    <w:rsid w:val="00C206BE"/>
    <w:rsid w:val="00C20749"/>
    <w:rsid w:val="00C20859"/>
    <w:rsid w:val="00C20A99"/>
    <w:rsid w:val="00C20B4B"/>
    <w:rsid w:val="00C20BB4"/>
    <w:rsid w:val="00C20F76"/>
    <w:rsid w:val="00C211D1"/>
    <w:rsid w:val="00C21C1E"/>
    <w:rsid w:val="00C21E05"/>
    <w:rsid w:val="00C21E1D"/>
    <w:rsid w:val="00C22096"/>
    <w:rsid w:val="00C227EB"/>
    <w:rsid w:val="00C22C89"/>
    <w:rsid w:val="00C230A7"/>
    <w:rsid w:val="00C232C4"/>
    <w:rsid w:val="00C233DD"/>
    <w:rsid w:val="00C239C5"/>
    <w:rsid w:val="00C23B34"/>
    <w:rsid w:val="00C23B53"/>
    <w:rsid w:val="00C23B6F"/>
    <w:rsid w:val="00C23C78"/>
    <w:rsid w:val="00C23CD2"/>
    <w:rsid w:val="00C24064"/>
    <w:rsid w:val="00C2421E"/>
    <w:rsid w:val="00C242A2"/>
    <w:rsid w:val="00C2455E"/>
    <w:rsid w:val="00C247A1"/>
    <w:rsid w:val="00C24B5D"/>
    <w:rsid w:val="00C25364"/>
    <w:rsid w:val="00C253AA"/>
    <w:rsid w:val="00C25D15"/>
    <w:rsid w:val="00C25F34"/>
    <w:rsid w:val="00C26282"/>
    <w:rsid w:val="00C26314"/>
    <w:rsid w:val="00C26568"/>
    <w:rsid w:val="00C265E5"/>
    <w:rsid w:val="00C26612"/>
    <w:rsid w:val="00C26BCD"/>
    <w:rsid w:val="00C26D26"/>
    <w:rsid w:val="00C26D38"/>
    <w:rsid w:val="00C26E49"/>
    <w:rsid w:val="00C26F8D"/>
    <w:rsid w:val="00C2708F"/>
    <w:rsid w:val="00C276A5"/>
    <w:rsid w:val="00C27EE1"/>
    <w:rsid w:val="00C30063"/>
    <w:rsid w:val="00C306AD"/>
    <w:rsid w:val="00C3076D"/>
    <w:rsid w:val="00C30B8F"/>
    <w:rsid w:val="00C30BFC"/>
    <w:rsid w:val="00C31130"/>
    <w:rsid w:val="00C315C3"/>
    <w:rsid w:val="00C31B40"/>
    <w:rsid w:val="00C31FA7"/>
    <w:rsid w:val="00C328F1"/>
    <w:rsid w:val="00C32943"/>
    <w:rsid w:val="00C32954"/>
    <w:rsid w:val="00C329FF"/>
    <w:rsid w:val="00C32D4B"/>
    <w:rsid w:val="00C32E82"/>
    <w:rsid w:val="00C32F71"/>
    <w:rsid w:val="00C33230"/>
    <w:rsid w:val="00C335C6"/>
    <w:rsid w:val="00C33662"/>
    <w:rsid w:val="00C337B9"/>
    <w:rsid w:val="00C3383D"/>
    <w:rsid w:val="00C34020"/>
    <w:rsid w:val="00C341AB"/>
    <w:rsid w:val="00C34350"/>
    <w:rsid w:val="00C34BE0"/>
    <w:rsid w:val="00C34CBC"/>
    <w:rsid w:val="00C34E92"/>
    <w:rsid w:val="00C351C3"/>
    <w:rsid w:val="00C352F6"/>
    <w:rsid w:val="00C355DC"/>
    <w:rsid w:val="00C359FC"/>
    <w:rsid w:val="00C35AB6"/>
    <w:rsid w:val="00C35BAA"/>
    <w:rsid w:val="00C35DE2"/>
    <w:rsid w:val="00C35FC4"/>
    <w:rsid w:val="00C3632B"/>
    <w:rsid w:val="00C363BB"/>
    <w:rsid w:val="00C3666E"/>
    <w:rsid w:val="00C369E9"/>
    <w:rsid w:val="00C36CBA"/>
    <w:rsid w:val="00C3716F"/>
    <w:rsid w:val="00C373C6"/>
    <w:rsid w:val="00C37BC2"/>
    <w:rsid w:val="00C37F45"/>
    <w:rsid w:val="00C400BD"/>
    <w:rsid w:val="00C403FA"/>
    <w:rsid w:val="00C4041A"/>
    <w:rsid w:val="00C4067F"/>
    <w:rsid w:val="00C40951"/>
    <w:rsid w:val="00C40EEB"/>
    <w:rsid w:val="00C40FED"/>
    <w:rsid w:val="00C4149F"/>
    <w:rsid w:val="00C4157F"/>
    <w:rsid w:val="00C415E0"/>
    <w:rsid w:val="00C41631"/>
    <w:rsid w:val="00C41661"/>
    <w:rsid w:val="00C41672"/>
    <w:rsid w:val="00C42071"/>
    <w:rsid w:val="00C42236"/>
    <w:rsid w:val="00C42249"/>
    <w:rsid w:val="00C422B7"/>
    <w:rsid w:val="00C42A2C"/>
    <w:rsid w:val="00C42A3A"/>
    <w:rsid w:val="00C42C22"/>
    <w:rsid w:val="00C42C31"/>
    <w:rsid w:val="00C42D7B"/>
    <w:rsid w:val="00C42F61"/>
    <w:rsid w:val="00C432B7"/>
    <w:rsid w:val="00C433F9"/>
    <w:rsid w:val="00C43BB8"/>
    <w:rsid w:val="00C43E6A"/>
    <w:rsid w:val="00C440CD"/>
    <w:rsid w:val="00C44172"/>
    <w:rsid w:val="00C443BA"/>
    <w:rsid w:val="00C4467D"/>
    <w:rsid w:val="00C44776"/>
    <w:rsid w:val="00C4479F"/>
    <w:rsid w:val="00C4481F"/>
    <w:rsid w:val="00C44DCA"/>
    <w:rsid w:val="00C45117"/>
    <w:rsid w:val="00C452D3"/>
    <w:rsid w:val="00C4536F"/>
    <w:rsid w:val="00C453F9"/>
    <w:rsid w:val="00C45606"/>
    <w:rsid w:val="00C456A1"/>
    <w:rsid w:val="00C45930"/>
    <w:rsid w:val="00C45B5B"/>
    <w:rsid w:val="00C45CAE"/>
    <w:rsid w:val="00C45DB0"/>
    <w:rsid w:val="00C461EA"/>
    <w:rsid w:val="00C46239"/>
    <w:rsid w:val="00C4632C"/>
    <w:rsid w:val="00C464DE"/>
    <w:rsid w:val="00C46642"/>
    <w:rsid w:val="00C46884"/>
    <w:rsid w:val="00C46920"/>
    <w:rsid w:val="00C46D1F"/>
    <w:rsid w:val="00C47152"/>
    <w:rsid w:val="00C472B9"/>
    <w:rsid w:val="00C4737D"/>
    <w:rsid w:val="00C476DE"/>
    <w:rsid w:val="00C477FB"/>
    <w:rsid w:val="00C47AC2"/>
    <w:rsid w:val="00C47BCA"/>
    <w:rsid w:val="00C47DF7"/>
    <w:rsid w:val="00C47F74"/>
    <w:rsid w:val="00C50804"/>
    <w:rsid w:val="00C509D6"/>
    <w:rsid w:val="00C50D0C"/>
    <w:rsid w:val="00C50D58"/>
    <w:rsid w:val="00C511F0"/>
    <w:rsid w:val="00C514D1"/>
    <w:rsid w:val="00C515E3"/>
    <w:rsid w:val="00C517D7"/>
    <w:rsid w:val="00C518FA"/>
    <w:rsid w:val="00C51AC5"/>
    <w:rsid w:val="00C51B82"/>
    <w:rsid w:val="00C51BD7"/>
    <w:rsid w:val="00C51BDA"/>
    <w:rsid w:val="00C520F8"/>
    <w:rsid w:val="00C52323"/>
    <w:rsid w:val="00C52649"/>
    <w:rsid w:val="00C53029"/>
    <w:rsid w:val="00C53298"/>
    <w:rsid w:val="00C53541"/>
    <w:rsid w:val="00C53B28"/>
    <w:rsid w:val="00C54526"/>
    <w:rsid w:val="00C545D7"/>
    <w:rsid w:val="00C547D2"/>
    <w:rsid w:val="00C54A19"/>
    <w:rsid w:val="00C55025"/>
    <w:rsid w:val="00C552B1"/>
    <w:rsid w:val="00C55832"/>
    <w:rsid w:val="00C55838"/>
    <w:rsid w:val="00C5593B"/>
    <w:rsid w:val="00C55DFF"/>
    <w:rsid w:val="00C56276"/>
    <w:rsid w:val="00C56992"/>
    <w:rsid w:val="00C569E2"/>
    <w:rsid w:val="00C56C6B"/>
    <w:rsid w:val="00C56E3F"/>
    <w:rsid w:val="00C56E7A"/>
    <w:rsid w:val="00C57190"/>
    <w:rsid w:val="00C5721F"/>
    <w:rsid w:val="00C573A0"/>
    <w:rsid w:val="00C57654"/>
    <w:rsid w:val="00C57F27"/>
    <w:rsid w:val="00C600F0"/>
    <w:rsid w:val="00C6014B"/>
    <w:rsid w:val="00C6036C"/>
    <w:rsid w:val="00C60473"/>
    <w:rsid w:val="00C604C3"/>
    <w:rsid w:val="00C60509"/>
    <w:rsid w:val="00C60C35"/>
    <w:rsid w:val="00C60F5F"/>
    <w:rsid w:val="00C61382"/>
    <w:rsid w:val="00C617ED"/>
    <w:rsid w:val="00C61B76"/>
    <w:rsid w:val="00C61CC0"/>
    <w:rsid w:val="00C61EF2"/>
    <w:rsid w:val="00C621DC"/>
    <w:rsid w:val="00C62938"/>
    <w:rsid w:val="00C62B2B"/>
    <w:rsid w:val="00C62D7E"/>
    <w:rsid w:val="00C62F45"/>
    <w:rsid w:val="00C6325B"/>
    <w:rsid w:val="00C6375A"/>
    <w:rsid w:val="00C638E0"/>
    <w:rsid w:val="00C63911"/>
    <w:rsid w:val="00C63956"/>
    <w:rsid w:val="00C63DBB"/>
    <w:rsid w:val="00C63DEF"/>
    <w:rsid w:val="00C63E81"/>
    <w:rsid w:val="00C63FBA"/>
    <w:rsid w:val="00C643AA"/>
    <w:rsid w:val="00C645C7"/>
    <w:rsid w:val="00C64660"/>
    <w:rsid w:val="00C64910"/>
    <w:rsid w:val="00C64DCB"/>
    <w:rsid w:val="00C6523E"/>
    <w:rsid w:val="00C656A6"/>
    <w:rsid w:val="00C657F7"/>
    <w:rsid w:val="00C65EAB"/>
    <w:rsid w:val="00C65EB7"/>
    <w:rsid w:val="00C65F1C"/>
    <w:rsid w:val="00C66148"/>
    <w:rsid w:val="00C66326"/>
    <w:rsid w:val="00C669A8"/>
    <w:rsid w:val="00C669CC"/>
    <w:rsid w:val="00C66A4A"/>
    <w:rsid w:val="00C66DD3"/>
    <w:rsid w:val="00C6712A"/>
    <w:rsid w:val="00C674C0"/>
    <w:rsid w:val="00C6790E"/>
    <w:rsid w:val="00C679E3"/>
    <w:rsid w:val="00C67E86"/>
    <w:rsid w:val="00C67EA5"/>
    <w:rsid w:val="00C67FF3"/>
    <w:rsid w:val="00C7037B"/>
    <w:rsid w:val="00C704BC"/>
    <w:rsid w:val="00C7076C"/>
    <w:rsid w:val="00C70A12"/>
    <w:rsid w:val="00C70C8B"/>
    <w:rsid w:val="00C70DCF"/>
    <w:rsid w:val="00C70E84"/>
    <w:rsid w:val="00C717BF"/>
    <w:rsid w:val="00C718C7"/>
    <w:rsid w:val="00C719D1"/>
    <w:rsid w:val="00C71ACD"/>
    <w:rsid w:val="00C71B9F"/>
    <w:rsid w:val="00C71CD1"/>
    <w:rsid w:val="00C71D7D"/>
    <w:rsid w:val="00C72170"/>
    <w:rsid w:val="00C7230A"/>
    <w:rsid w:val="00C723B1"/>
    <w:rsid w:val="00C72429"/>
    <w:rsid w:val="00C72540"/>
    <w:rsid w:val="00C72668"/>
    <w:rsid w:val="00C72A23"/>
    <w:rsid w:val="00C72C07"/>
    <w:rsid w:val="00C72E3A"/>
    <w:rsid w:val="00C72EEC"/>
    <w:rsid w:val="00C72F4D"/>
    <w:rsid w:val="00C7328D"/>
    <w:rsid w:val="00C73AFC"/>
    <w:rsid w:val="00C73C40"/>
    <w:rsid w:val="00C73FC4"/>
    <w:rsid w:val="00C74200"/>
    <w:rsid w:val="00C742A3"/>
    <w:rsid w:val="00C74459"/>
    <w:rsid w:val="00C74792"/>
    <w:rsid w:val="00C74AD1"/>
    <w:rsid w:val="00C74ADE"/>
    <w:rsid w:val="00C75253"/>
    <w:rsid w:val="00C75502"/>
    <w:rsid w:val="00C75596"/>
    <w:rsid w:val="00C7599C"/>
    <w:rsid w:val="00C75ABE"/>
    <w:rsid w:val="00C75B5E"/>
    <w:rsid w:val="00C75D63"/>
    <w:rsid w:val="00C75D8B"/>
    <w:rsid w:val="00C75E47"/>
    <w:rsid w:val="00C7601A"/>
    <w:rsid w:val="00C760BF"/>
    <w:rsid w:val="00C769E8"/>
    <w:rsid w:val="00C76B0D"/>
    <w:rsid w:val="00C76B64"/>
    <w:rsid w:val="00C76C0F"/>
    <w:rsid w:val="00C76CF0"/>
    <w:rsid w:val="00C76F16"/>
    <w:rsid w:val="00C76F49"/>
    <w:rsid w:val="00C7722C"/>
    <w:rsid w:val="00C77253"/>
    <w:rsid w:val="00C774E9"/>
    <w:rsid w:val="00C77587"/>
    <w:rsid w:val="00C7781E"/>
    <w:rsid w:val="00C77AD5"/>
    <w:rsid w:val="00C77B1A"/>
    <w:rsid w:val="00C77C14"/>
    <w:rsid w:val="00C80446"/>
    <w:rsid w:val="00C80639"/>
    <w:rsid w:val="00C807B8"/>
    <w:rsid w:val="00C808B2"/>
    <w:rsid w:val="00C80984"/>
    <w:rsid w:val="00C80B5C"/>
    <w:rsid w:val="00C80BFF"/>
    <w:rsid w:val="00C80E15"/>
    <w:rsid w:val="00C812E5"/>
    <w:rsid w:val="00C81541"/>
    <w:rsid w:val="00C81B19"/>
    <w:rsid w:val="00C81B81"/>
    <w:rsid w:val="00C81CC1"/>
    <w:rsid w:val="00C81F1B"/>
    <w:rsid w:val="00C81FD0"/>
    <w:rsid w:val="00C820A1"/>
    <w:rsid w:val="00C825B5"/>
    <w:rsid w:val="00C83071"/>
    <w:rsid w:val="00C8335C"/>
    <w:rsid w:val="00C833CA"/>
    <w:rsid w:val="00C837F5"/>
    <w:rsid w:val="00C83A8F"/>
    <w:rsid w:val="00C83B62"/>
    <w:rsid w:val="00C83B6A"/>
    <w:rsid w:val="00C8409B"/>
    <w:rsid w:val="00C8471C"/>
    <w:rsid w:val="00C8478E"/>
    <w:rsid w:val="00C8492F"/>
    <w:rsid w:val="00C849C3"/>
    <w:rsid w:val="00C84BA3"/>
    <w:rsid w:val="00C84F31"/>
    <w:rsid w:val="00C85103"/>
    <w:rsid w:val="00C8517C"/>
    <w:rsid w:val="00C8550A"/>
    <w:rsid w:val="00C859B6"/>
    <w:rsid w:val="00C85B2A"/>
    <w:rsid w:val="00C85D66"/>
    <w:rsid w:val="00C86292"/>
    <w:rsid w:val="00C8630D"/>
    <w:rsid w:val="00C863AA"/>
    <w:rsid w:val="00C87252"/>
    <w:rsid w:val="00C8739E"/>
    <w:rsid w:val="00C8745C"/>
    <w:rsid w:val="00C876C9"/>
    <w:rsid w:val="00C879B6"/>
    <w:rsid w:val="00C87A3C"/>
    <w:rsid w:val="00C87A9A"/>
    <w:rsid w:val="00C87C49"/>
    <w:rsid w:val="00C87DAA"/>
    <w:rsid w:val="00C90748"/>
    <w:rsid w:val="00C907FB"/>
    <w:rsid w:val="00C90839"/>
    <w:rsid w:val="00C90A54"/>
    <w:rsid w:val="00C90FC7"/>
    <w:rsid w:val="00C9100A"/>
    <w:rsid w:val="00C915B0"/>
    <w:rsid w:val="00C9175F"/>
    <w:rsid w:val="00C919C4"/>
    <w:rsid w:val="00C919CB"/>
    <w:rsid w:val="00C91A64"/>
    <w:rsid w:val="00C91E05"/>
    <w:rsid w:val="00C91EB8"/>
    <w:rsid w:val="00C91FFA"/>
    <w:rsid w:val="00C92250"/>
    <w:rsid w:val="00C927CB"/>
    <w:rsid w:val="00C928BB"/>
    <w:rsid w:val="00C92BE2"/>
    <w:rsid w:val="00C92E0E"/>
    <w:rsid w:val="00C92EDA"/>
    <w:rsid w:val="00C93495"/>
    <w:rsid w:val="00C93960"/>
    <w:rsid w:val="00C93999"/>
    <w:rsid w:val="00C939FC"/>
    <w:rsid w:val="00C93D21"/>
    <w:rsid w:val="00C94135"/>
    <w:rsid w:val="00C943BD"/>
    <w:rsid w:val="00C943BE"/>
    <w:rsid w:val="00C94876"/>
    <w:rsid w:val="00C949DD"/>
    <w:rsid w:val="00C94C22"/>
    <w:rsid w:val="00C94D16"/>
    <w:rsid w:val="00C94DB7"/>
    <w:rsid w:val="00C952A1"/>
    <w:rsid w:val="00C954D8"/>
    <w:rsid w:val="00C95549"/>
    <w:rsid w:val="00C959FC"/>
    <w:rsid w:val="00C95E82"/>
    <w:rsid w:val="00C960CD"/>
    <w:rsid w:val="00C964C7"/>
    <w:rsid w:val="00C967DA"/>
    <w:rsid w:val="00C96B80"/>
    <w:rsid w:val="00C96F0D"/>
    <w:rsid w:val="00C97170"/>
    <w:rsid w:val="00C9775C"/>
    <w:rsid w:val="00C97B05"/>
    <w:rsid w:val="00C97BA4"/>
    <w:rsid w:val="00C97C44"/>
    <w:rsid w:val="00CA0069"/>
    <w:rsid w:val="00CA01C7"/>
    <w:rsid w:val="00CA073F"/>
    <w:rsid w:val="00CA08C2"/>
    <w:rsid w:val="00CA08F1"/>
    <w:rsid w:val="00CA0ACB"/>
    <w:rsid w:val="00CA0D2E"/>
    <w:rsid w:val="00CA0E4D"/>
    <w:rsid w:val="00CA0E59"/>
    <w:rsid w:val="00CA0E91"/>
    <w:rsid w:val="00CA1028"/>
    <w:rsid w:val="00CA11C2"/>
    <w:rsid w:val="00CA16AF"/>
    <w:rsid w:val="00CA16F5"/>
    <w:rsid w:val="00CA1CAA"/>
    <w:rsid w:val="00CA2127"/>
    <w:rsid w:val="00CA2144"/>
    <w:rsid w:val="00CA2397"/>
    <w:rsid w:val="00CA25EA"/>
    <w:rsid w:val="00CA2AFC"/>
    <w:rsid w:val="00CA2AFF"/>
    <w:rsid w:val="00CA2E1B"/>
    <w:rsid w:val="00CA3127"/>
    <w:rsid w:val="00CA3138"/>
    <w:rsid w:val="00CA33BB"/>
    <w:rsid w:val="00CA376D"/>
    <w:rsid w:val="00CA3977"/>
    <w:rsid w:val="00CA3AF6"/>
    <w:rsid w:val="00CA3D45"/>
    <w:rsid w:val="00CA42A2"/>
    <w:rsid w:val="00CA43C3"/>
    <w:rsid w:val="00CA480B"/>
    <w:rsid w:val="00CA4C9A"/>
    <w:rsid w:val="00CA5177"/>
    <w:rsid w:val="00CA5525"/>
    <w:rsid w:val="00CA5EB7"/>
    <w:rsid w:val="00CA5F28"/>
    <w:rsid w:val="00CA61A4"/>
    <w:rsid w:val="00CA6259"/>
    <w:rsid w:val="00CA6382"/>
    <w:rsid w:val="00CA64B0"/>
    <w:rsid w:val="00CA6639"/>
    <w:rsid w:val="00CA6645"/>
    <w:rsid w:val="00CA6A69"/>
    <w:rsid w:val="00CA6CE7"/>
    <w:rsid w:val="00CA6EC5"/>
    <w:rsid w:val="00CA7115"/>
    <w:rsid w:val="00CA7750"/>
    <w:rsid w:val="00CA7B8E"/>
    <w:rsid w:val="00CB01F1"/>
    <w:rsid w:val="00CB0A1A"/>
    <w:rsid w:val="00CB1015"/>
    <w:rsid w:val="00CB10B0"/>
    <w:rsid w:val="00CB1182"/>
    <w:rsid w:val="00CB169D"/>
    <w:rsid w:val="00CB20C5"/>
    <w:rsid w:val="00CB2800"/>
    <w:rsid w:val="00CB2AA1"/>
    <w:rsid w:val="00CB2C71"/>
    <w:rsid w:val="00CB3110"/>
    <w:rsid w:val="00CB3367"/>
    <w:rsid w:val="00CB3735"/>
    <w:rsid w:val="00CB3740"/>
    <w:rsid w:val="00CB37F7"/>
    <w:rsid w:val="00CB38E0"/>
    <w:rsid w:val="00CB3BBC"/>
    <w:rsid w:val="00CB3F15"/>
    <w:rsid w:val="00CB4256"/>
    <w:rsid w:val="00CB4263"/>
    <w:rsid w:val="00CB47CC"/>
    <w:rsid w:val="00CB4859"/>
    <w:rsid w:val="00CB49E9"/>
    <w:rsid w:val="00CB4C1C"/>
    <w:rsid w:val="00CB52A6"/>
    <w:rsid w:val="00CB52FC"/>
    <w:rsid w:val="00CB587A"/>
    <w:rsid w:val="00CB593A"/>
    <w:rsid w:val="00CB5D7E"/>
    <w:rsid w:val="00CB62D7"/>
    <w:rsid w:val="00CB6574"/>
    <w:rsid w:val="00CB66B7"/>
    <w:rsid w:val="00CB68F0"/>
    <w:rsid w:val="00CB6ACD"/>
    <w:rsid w:val="00CB6F8F"/>
    <w:rsid w:val="00CB6F9A"/>
    <w:rsid w:val="00CB7851"/>
    <w:rsid w:val="00CB7ADC"/>
    <w:rsid w:val="00CB7D1F"/>
    <w:rsid w:val="00CC0126"/>
    <w:rsid w:val="00CC0175"/>
    <w:rsid w:val="00CC06FF"/>
    <w:rsid w:val="00CC095C"/>
    <w:rsid w:val="00CC097E"/>
    <w:rsid w:val="00CC0A9C"/>
    <w:rsid w:val="00CC0D68"/>
    <w:rsid w:val="00CC124E"/>
    <w:rsid w:val="00CC1684"/>
    <w:rsid w:val="00CC16EB"/>
    <w:rsid w:val="00CC1D37"/>
    <w:rsid w:val="00CC1FD4"/>
    <w:rsid w:val="00CC2381"/>
    <w:rsid w:val="00CC291F"/>
    <w:rsid w:val="00CC2CBD"/>
    <w:rsid w:val="00CC2DA3"/>
    <w:rsid w:val="00CC2EDC"/>
    <w:rsid w:val="00CC2FFF"/>
    <w:rsid w:val="00CC30A3"/>
    <w:rsid w:val="00CC30A4"/>
    <w:rsid w:val="00CC3292"/>
    <w:rsid w:val="00CC3A7B"/>
    <w:rsid w:val="00CC3C71"/>
    <w:rsid w:val="00CC3CB8"/>
    <w:rsid w:val="00CC4043"/>
    <w:rsid w:val="00CC42ED"/>
    <w:rsid w:val="00CC48A5"/>
    <w:rsid w:val="00CC4A18"/>
    <w:rsid w:val="00CC4ABD"/>
    <w:rsid w:val="00CC4D39"/>
    <w:rsid w:val="00CC4FCA"/>
    <w:rsid w:val="00CC50F1"/>
    <w:rsid w:val="00CC513A"/>
    <w:rsid w:val="00CC5314"/>
    <w:rsid w:val="00CC533F"/>
    <w:rsid w:val="00CC55A1"/>
    <w:rsid w:val="00CC567B"/>
    <w:rsid w:val="00CC5856"/>
    <w:rsid w:val="00CC5A1A"/>
    <w:rsid w:val="00CC5A49"/>
    <w:rsid w:val="00CC5F54"/>
    <w:rsid w:val="00CC5FF0"/>
    <w:rsid w:val="00CC62EF"/>
    <w:rsid w:val="00CC63EB"/>
    <w:rsid w:val="00CC6503"/>
    <w:rsid w:val="00CC686A"/>
    <w:rsid w:val="00CC69E2"/>
    <w:rsid w:val="00CC6B78"/>
    <w:rsid w:val="00CC6BA4"/>
    <w:rsid w:val="00CC6F09"/>
    <w:rsid w:val="00CC6FA9"/>
    <w:rsid w:val="00CC768D"/>
    <w:rsid w:val="00CC76F4"/>
    <w:rsid w:val="00CC78FF"/>
    <w:rsid w:val="00CC7A15"/>
    <w:rsid w:val="00CC7B52"/>
    <w:rsid w:val="00CC7DCF"/>
    <w:rsid w:val="00CD0100"/>
    <w:rsid w:val="00CD0317"/>
    <w:rsid w:val="00CD036D"/>
    <w:rsid w:val="00CD0448"/>
    <w:rsid w:val="00CD0DB5"/>
    <w:rsid w:val="00CD0E1F"/>
    <w:rsid w:val="00CD14F2"/>
    <w:rsid w:val="00CD16D4"/>
    <w:rsid w:val="00CD1780"/>
    <w:rsid w:val="00CD1830"/>
    <w:rsid w:val="00CD1C21"/>
    <w:rsid w:val="00CD20B6"/>
    <w:rsid w:val="00CD21D1"/>
    <w:rsid w:val="00CD26AB"/>
    <w:rsid w:val="00CD2774"/>
    <w:rsid w:val="00CD27E6"/>
    <w:rsid w:val="00CD298B"/>
    <w:rsid w:val="00CD2A14"/>
    <w:rsid w:val="00CD2C5D"/>
    <w:rsid w:val="00CD2C85"/>
    <w:rsid w:val="00CD2F67"/>
    <w:rsid w:val="00CD307B"/>
    <w:rsid w:val="00CD31BF"/>
    <w:rsid w:val="00CD34A1"/>
    <w:rsid w:val="00CD3604"/>
    <w:rsid w:val="00CD361D"/>
    <w:rsid w:val="00CD369C"/>
    <w:rsid w:val="00CD37F0"/>
    <w:rsid w:val="00CD3935"/>
    <w:rsid w:val="00CD3B1C"/>
    <w:rsid w:val="00CD3B79"/>
    <w:rsid w:val="00CD3CD5"/>
    <w:rsid w:val="00CD3CF4"/>
    <w:rsid w:val="00CD3DDB"/>
    <w:rsid w:val="00CD3F17"/>
    <w:rsid w:val="00CD413C"/>
    <w:rsid w:val="00CD4292"/>
    <w:rsid w:val="00CD4542"/>
    <w:rsid w:val="00CD47D9"/>
    <w:rsid w:val="00CD485F"/>
    <w:rsid w:val="00CD48AF"/>
    <w:rsid w:val="00CD4D29"/>
    <w:rsid w:val="00CD4D90"/>
    <w:rsid w:val="00CD504E"/>
    <w:rsid w:val="00CD5068"/>
    <w:rsid w:val="00CD5493"/>
    <w:rsid w:val="00CD5980"/>
    <w:rsid w:val="00CD5E1E"/>
    <w:rsid w:val="00CD5F6D"/>
    <w:rsid w:val="00CD60E6"/>
    <w:rsid w:val="00CD669A"/>
    <w:rsid w:val="00CD66D1"/>
    <w:rsid w:val="00CD682C"/>
    <w:rsid w:val="00CD6ADD"/>
    <w:rsid w:val="00CD6C13"/>
    <w:rsid w:val="00CD6CF7"/>
    <w:rsid w:val="00CD6F66"/>
    <w:rsid w:val="00CD77AD"/>
    <w:rsid w:val="00CD7C04"/>
    <w:rsid w:val="00CD7C43"/>
    <w:rsid w:val="00CD7F09"/>
    <w:rsid w:val="00CD7F78"/>
    <w:rsid w:val="00CE00C4"/>
    <w:rsid w:val="00CE028A"/>
    <w:rsid w:val="00CE0370"/>
    <w:rsid w:val="00CE0725"/>
    <w:rsid w:val="00CE076E"/>
    <w:rsid w:val="00CE0F93"/>
    <w:rsid w:val="00CE11BB"/>
    <w:rsid w:val="00CE12D9"/>
    <w:rsid w:val="00CE1878"/>
    <w:rsid w:val="00CE1B1B"/>
    <w:rsid w:val="00CE1F11"/>
    <w:rsid w:val="00CE247D"/>
    <w:rsid w:val="00CE2519"/>
    <w:rsid w:val="00CE2760"/>
    <w:rsid w:val="00CE2C9F"/>
    <w:rsid w:val="00CE2CF8"/>
    <w:rsid w:val="00CE2D31"/>
    <w:rsid w:val="00CE2EF5"/>
    <w:rsid w:val="00CE3221"/>
    <w:rsid w:val="00CE333E"/>
    <w:rsid w:val="00CE33FD"/>
    <w:rsid w:val="00CE36E9"/>
    <w:rsid w:val="00CE38B4"/>
    <w:rsid w:val="00CE39B7"/>
    <w:rsid w:val="00CE39DA"/>
    <w:rsid w:val="00CE4072"/>
    <w:rsid w:val="00CE408A"/>
    <w:rsid w:val="00CE41AB"/>
    <w:rsid w:val="00CE48CC"/>
    <w:rsid w:val="00CE4B2F"/>
    <w:rsid w:val="00CE5074"/>
    <w:rsid w:val="00CE5559"/>
    <w:rsid w:val="00CE5907"/>
    <w:rsid w:val="00CE5CBC"/>
    <w:rsid w:val="00CE5D06"/>
    <w:rsid w:val="00CE612E"/>
    <w:rsid w:val="00CE7296"/>
    <w:rsid w:val="00CE7505"/>
    <w:rsid w:val="00CE75F3"/>
    <w:rsid w:val="00CE78FD"/>
    <w:rsid w:val="00CE7FBA"/>
    <w:rsid w:val="00CE7FBC"/>
    <w:rsid w:val="00CF02BF"/>
    <w:rsid w:val="00CF0354"/>
    <w:rsid w:val="00CF0363"/>
    <w:rsid w:val="00CF03C0"/>
    <w:rsid w:val="00CF06BE"/>
    <w:rsid w:val="00CF088C"/>
    <w:rsid w:val="00CF0EE2"/>
    <w:rsid w:val="00CF10FD"/>
    <w:rsid w:val="00CF1484"/>
    <w:rsid w:val="00CF14C3"/>
    <w:rsid w:val="00CF17B1"/>
    <w:rsid w:val="00CF1C65"/>
    <w:rsid w:val="00CF244C"/>
    <w:rsid w:val="00CF2494"/>
    <w:rsid w:val="00CF268D"/>
    <w:rsid w:val="00CF28AE"/>
    <w:rsid w:val="00CF299A"/>
    <w:rsid w:val="00CF29CB"/>
    <w:rsid w:val="00CF2D19"/>
    <w:rsid w:val="00CF2D1B"/>
    <w:rsid w:val="00CF2D6D"/>
    <w:rsid w:val="00CF2D78"/>
    <w:rsid w:val="00CF2E6C"/>
    <w:rsid w:val="00CF3382"/>
    <w:rsid w:val="00CF3678"/>
    <w:rsid w:val="00CF36DA"/>
    <w:rsid w:val="00CF3906"/>
    <w:rsid w:val="00CF39B7"/>
    <w:rsid w:val="00CF3A23"/>
    <w:rsid w:val="00CF3AA2"/>
    <w:rsid w:val="00CF3C0F"/>
    <w:rsid w:val="00CF3F74"/>
    <w:rsid w:val="00CF4340"/>
    <w:rsid w:val="00CF440E"/>
    <w:rsid w:val="00CF4437"/>
    <w:rsid w:val="00CF49CB"/>
    <w:rsid w:val="00CF4FFB"/>
    <w:rsid w:val="00CF513F"/>
    <w:rsid w:val="00CF530E"/>
    <w:rsid w:val="00CF56AD"/>
    <w:rsid w:val="00CF56DA"/>
    <w:rsid w:val="00CF5B24"/>
    <w:rsid w:val="00CF5EFA"/>
    <w:rsid w:val="00CF6219"/>
    <w:rsid w:val="00CF6508"/>
    <w:rsid w:val="00CF65C9"/>
    <w:rsid w:val="00CF6917"/>
    <w:rsid w:val="00CF729B"/>
    <w:rsid w:val="00CF72C5"/>
    <w:rsid w:val="00CF73F0"/>
    <w:rsid w:val="00CF7E0F"/>
    <w:rsid w:val="00CF7F56"/>
    <w:rsid w:val="00D00181"/>
    <w:rsid w:val="00D00237"/>
    <w:rsid w:val="00D00279"/>
    <w:rsid w:val="00D00698"/>
    <w:rsid w:val="00D00A75"/>
    <w:rsid w:val="00D00CB7"/>
    <w:rsid w:val="00D00E70"/>
    <w:rsid w:val="00D0116F"/>
    <w:rsid w:val="00D01554"/>
    <w:rsid w:val="00D01B79"/>
    <w:rsid w:val="00D01D94"/>
    <w:rsid w:val="00D02134"/>
    <w:rsid w:val="00D0217B"/>
    <w:rsid w:val="00D02242"/>
    <w:rsid w:val="00D0266D"/>
    <w:rsid w:val="00D02E04"/>
    <w:rsid w:val="00D02FCB"/>
    <w:rsid w:val="00D02FF7"/>
    <w:rsid w:val="00D03045"/>
    <w:rsid w:val="00D0331D"/>
    <w:rsid w:val="00D0343B"/>
    <w:rsid w:val="00D03483"/>
    <w:rsid w:val="00D03FEC"/>
    <w:rsid w:val="00D04673"/>
    <w:rsid w:val="00D04905"/>
    <w:rsid w:val="00D04A57"/>
    <w:rsid w:val="00D04A73"/>
    <w:rsid w:val="00D04C80"/>
    <w:rsid w:val="00D04CD3"/>
    <w:rsid w:val="00D04E23"/>
    <w:rsid w:val="00D0501B"/>
    <w:rsid w:val="00D05D45"/>
    <w:rsid w:val="00D05DE9"/>
    <w:rsid w:val="00D05EAC"/>
    <w:rsid w:val="00D0604A"/>
    <w:rsid w:val="00D06470"/>
    <w:rsid w:val="00D06734"/>
    <w:rsid w:val="00D0681B"/>
    <w:rsid w:val="00D068D9"/>
    <w:rsid w:val="00D0696A"/>
    <w:rsid w:val="00D06B9A"/>
    <w:rsid w:val="00D06BCE"/>
    <w:rsid w:val="00D06F1D"/>
    <w:rsid w:val="00D0706B"/>
    <w:rsid w:val="00D076D9"/>
    <w:rsid w:val="00D0776C"/>
    <w:rsid w:val="00D077FC"/>
    <w:rsid w:val="00D07CEB"/>
    <w:rsid w:val="00D10074"/>
    <w:rsid w:val="00D1046D"/>
    <w:rsid w:val="00D10720"/>
    <w:rsid w:val="00D10A0C"/>
    <w:rsid w:val="00D10E09"/>
    <w:rsid w:val="00D11203"/>
    <w:rsid w:val="00D115B7"/>
    <w:rsid w:val="00D1160F"/>
    <w:rsid w:val="00D11942"/>
    <w:rsid w:val="00D120FF"/>
    <w:rsid w:val="00D12194"/>
    <w:rsid w:val="00D12596"/>
    <w:rsid w:val="00D126DF"/>
    <w:rsid w:val="00D12941"/>
    <w:rsid w:val="00D12AD1"/>
    <w:rsid w:val="00D12EB3"/>
    <w:rsid w:val="00D13184"/>
    <w:rsid w:val="00D131AC"/>
    <w:rsid w:val="00D13339"/>
    <w:rsid w:val="00D134AE"/>
    <w:rsid w:val="00D13679"/>
    <w:rsid w:val="00D1378C"/>
    <w:rsid w:val="00D138CB"/>
    <w:rsid w:val="00D13CDF"/>
    <w:rsid w:val="00D13F0F"/>
    <w:rsid w:val="00D145A9"/>
    <w:rsid w:val="00D14756"/>
    <w:rsid w:val="00D14830"/>
    <w:rsid w:val="00D14F2C"/>
    <w:rsid w:val="00D14F52"/>
    <w:rsid w:val="00D1500F"/>
    <w:rsid w:val="00D15472"/>
    <w:rsid w:val="00D159DA"/>
    <w:rsid w:val="00D15B5F"/>
    <w:rsid w:val="00D15CFE"/>
    <w:rsid w:val="00D15E38"/>
    <w:rsid w:val="00D1653A"/>
    <w:rsid w:val="00D16640"/>
    <w:rsid w:val="00D168CF"/>
    <w:rsid w:val="00D16B48"/>
    <w:rsid w:val="00D16CD5"/>
    <w:rsid w:val="00D16F15"/>
    <w:rsid w:val="00D16F8C"/>
    <w:rsid w:val="00D16FB4"/>
    <w:rsid w:val="00D1702B"/>
    <w:rsid w:val="00D172E9"/>
    <w:rsid w:val="00D17958"/>
    <w:rsid w:val="00D17A96"/>
    <w:rsid w:val="00D17BE9"/>
    <w:rsid w:val="00D17CCA"/>
    <w:rsid w:val="00D2018B"/>
    <w:rsid w:val="00D202DE"/>
    <w:rsid w:val="00D20381"/>
    <w:rsid w:val="00D20926"/>
    <w:rsid w:val="00D20E0E"/>
    <w:rsid w:val="00D2105F"/>
    <w:rsid w:val="00D210E0"/>
    <w:rsid w:val="00D21204"/>
    <w:rsid w:val="00D212BB"/>
    <w:rsid w:val="00D21475"/>
    <w:rsid w:val="00D216AB"/>
    <w:rsid w:val="00D21778"/>
    <w:rsid w:val="00D21CC4"/>
    <w:rsid w:val="00D21D12"/>
    <w:rsid w:val="00D21F16"/>
    <w:rsid w:val="00D2235B"/>
    <w:rsid w:val="00D2264A"/>
    <w:rsid w:val="00D2266F"/>
    <w:rsid w:val="00D22BE9"/>
    <w:rsid w:val="00D22D81"/>
    <w:rsid w:val="00D22E75"/>
    <w:rsid w:val="00D23590"/>
    <w:rsid w:val="00D235CA"/>
    <w:rsid w:val="00D236AC"/>
    <w:rsid w:val="00D236EA"/>
    <w:rsid w:val="00D23801"/>
    <w:rsid w:val="00D2395A"/>
    <w:rsid w:val="00D243F4"/>
    <w:rsid w:val="00D245A2"/>
    <w:rsid w:val="00D24BB6"/>
    <w:rsid w:val="00D24F25"/>
    <w:rsid w:val="00D250C2"/>
    <w:rsid w:val="00D25688"/>
    <w:rsid w:val="00D2586E"/>
    <w:rsid w:val="00D26142"/>
    <w:rsid w:val="00D26977"/>
    <w:rsid w:val="00D26B54"/>
    <w:rsid w:val="00D27396"/>
    <w:rsid w:val="00D274FC"/>
    <w:rsid w:val="00D2762B"/>
    <w:rsid w:val="00D276B0"/>
    <w:rsid w:val="00D2772A"/>
    <w:rsid w:val="00D2776A"/>
    <w:rsid w:val="00D27820"/>
    <w:rsid w:val="00D279F6"/>
    <w:rsid w:val="00D27CE9"/>
    <w:rsid w:val="00D300C0"/>
    <w:rsid w:val="00D302DD"/>
    <w:rsid w:val="00D3055B"/>
    <w:rsid w:val="00D309BC"/>
    <w:rsid w:val="00D30A29"/>
    <w:rsid w:val="00D30F27"/>
    <w:rsid w:val="00D30F71"/>
    <w:rsid w:val="00D31046"/>
    <w:rsid w:val="00D311F0"/>
    <w:rsid w:val="00D312CB"/>
    <w:rsid w:val="00D31646"/>
    <w:rsid w:val="00D316E3"/>
    <w:rsid w:val="00D31793"/>
    <w:rsid w:val="00D317BF"/>
    <w:rsid w:val="00D3211A"/>
    <w:rsid w:val="00D32193"/>
    <w:rsid w:val="00D321BF"/>
    <w:rsid w:val="00D32722"/>
    <w:rsid w:val="00D32F7F"/>
    <w:rsid w:val="00D3301A"/>
    <w:rsid w:val="00D33029"/>
    <w:rsid w:val="00D33259"/>
    <w:rsid w:val="00D33689"/>
    <w:rsid w:val="00D33755"/>
    <w:rsid w:val="00D3400C"/>
    <w:rsid w:val="00D34C1D"/>
    <w:rsid w:val="00D34D2C"/>
    <w:rsid w:val="00D34EE8"/>
    <w:rsid w:val="00D34EF9"/>
    <w:rsid w:val="00D34FBE"/>
    <w:rsid w:val="00D35015"/>
    <w:rsid w:val="00D35104"/>
    <w:rsid w:val="00D35193"/>
    <w:rsid w:val="00D359CE"/>
    <w:rsid w:val="00D35C56"/>
    <w:rsid w:val="00D35D8B"/>
    <w:rsid w:val="00D35DC6"/>
    <w:rsid w:val="00D3638D"/>
    <w:rsid w:val="00D3639D"/>
    <w:rsid w:val="00D363AB"/>
    <w:rsid w:val="00D363B8"/>
    <w:rsid w:val="00D36478"/>
    <w:rsid w:val="00D368A4"/>
    <w:rsid w:val="00D3692C"/>
    <w:rsid w:val="00D36BBC"/>
    <w:rsid w:val="00D36D4F"/>
    <w:rsid w:val="00D3759E"/>
    <w:rsid w:val="00D378EA"/>
    <w:rsid w:val="00D37A8F"/>
    <w:rsid w:val="00D37C36"/>
    <w:rsid w:val="00D37D81"/>
    <w:rsid w:val="00D37F3E"/>
    <w:rsid w:val="00D37F6C"/>
    <w:rsid w:val="00D40019"/>
    <w:rsid w:val="00D400A4"/>
    <w:rsid w:val="00D40237"/>
    <w:rsid w:val="00D404F6"/>
    <w:rsid w:val="00D409C9"/>
    <w:rsid w:val="00D40A9A"/>
    <w:rsid w:val="00D40B86"/>
    <w:rsid w:val="00D40F04"/>
    <w:rsid w:val="00D40F78"/>
    <w:rsid w:val="00D40FA3"/>
    <w:rsid w:val="00D40FEA"/>
    <w:rsid w:val="00D411A4"/>
    <w:rsid w:val="00D41296"/>
    <w:rsid w:val="00D412FA"/>
    <w:rsid w:val="00D41517"/>
    <w:rsid w:val="00D41878"/>
    <w:rsid w:val="00D41F73"/>
    <w:rsid w:val="00D41F9A"/>
    <w:rsid w:val="00D41FAB"/>
    <w:rsid w:val="00D421E4"/>
    <w:rsid w:val="00D4224A"/>
    <w:rsid w:val="00D4240F"/>
    <w:rsid w:val="00D42411"/>
    <w:rsid w:val="00D42BAA"/>
    <w:rsid w:val="00D42C53"/>
    <w:rsid w:val="00D430A2"/>
    <w:rsid w:val="00D4320E"/>
    <w:rsid w:val="00D43291"/>
    <w:rsid w:val="00D4330F"/>
    <w:rsid w:val="00D435E8"/>
    <w:rsid w:val="00D43836"/>
    <w:rsid w:val="00D43CCF"/>
    <w:rsid w:val="00D445C8"/>
    <w:rsid w:val="00D44736"/>
    <w:rsid w:val="00D44AF2"/>
    <w:rsid w:val="00D452B3"/>
    <w:rsid w:val="00D4535D"/>
    <w:rsid w:val="00D45456"/>
    <w:rsid w:val="00D45CC0"/>
    <w:rsid w:val="00D45D46"/>
    <w:rsid w:val="00D45DCD"/>
    <w:rsid w:val="00D45E05"/>
    <w:rsid w:val="00D45F7B"/>
    <w:rsid w:val="00D46080"/>
    <w:rsid w:val="00D46484"/>
    <w:rsid w:val="00D46580"/>
    <w:rsid w:val="00D46600"/>
    <w:rsid w:val="00D4669C"/>
    <w:rsid w:val="00D466B0"/>
    <w:rsid w:val="00D46983"/>
    <w:rsid w:val="00D46E9D"/>
    <w:rsid w:val="00D47027"/>
    <w:rsid w:val="00D470EC"/>
    <w:rsid w:val="00D47170"/>
    <w:rsid w:val="00D47360"/>
    <w:rsid w:val="00D47509"/>
    <w:rsid w:val="00D476A6"/>
    <w:rsid w:val="00D47735"/>
    <w:rsid w:val="00D479D8"/>
    <w:rsid w:val="00D502AE"/>
    <w:rsid w:val="00D50701"/>
    <w:rsid w:val="00D50C09"/>
    <w:rsid w:val="00D50C0C"/>
    <w:rsid w:val="00D5130B"/>
    <w:rsid w:val="00D51410"/>
    <w:rsid w:val="00D51493"/>
    <w:rsid w:val="00D51886"/>
    <w:rsid w:val="00D51959"/>
    <w:rsid w:val="00D51BD8"/>
    <w:rsid w:val="00D51C49"/>
    <w:rsid w:val="00D51CC8"/>
    <w:rsid w:val="00D51E40"/>
    <w:rsid w:val="00D51F65"/>
    <w:rsid w:val="00D52221"/>
    <w:rsid w:val="00D523A6"/>
    <w:rsid w:val="00D52434"/>
    <w:rsid w:val="00D52722"/>
    <w:rsid w:val="00D529AB"/>
    <w:rsid w:val="00D529CE"/>
    <w:rsid w:val="00D530DE"/>
    <w:rsid w:val="00D5357A"/>
    <w:rsid w:val="00D539F1"/>
    <w:rsid w:val="00D53AEB"/>
    <w:rsid w:val="00D541EE"/>
    <w:rsid w:val="00D54874"/>
    <w:rsid w:val="00D54D98"/>
    <w:rsid w:val="00D550C1"/>
    <w:rsid w:val="00D5510B"/>
    <w:rsid w:val="00D5557E"/>
    <w:rsid w:val="00D55A85"/>
    <w:rsid w:val="00D55B52"/>
    <w:rsid w:val="00D56000"/>
    <w:rsid w:val="00D56480"/>
    <w:rsid w:val="00D5673C"/>
    <w:rsid w:val="00D568BB"/>
    <w:rsid w:val="00D56986"/>
    <w:rsid w:val="00D56AA3"/>
    <w:rsid w:val="00D56FE2"/>
    <w:rsid w:val="00D57406"/>
    <w:rsid w:val="00D57485"/>
    <w:rsid w:val="00D5794C"/>
    <w:rsid w:val="00D5796D"/>
    <w:rsid w:val="00D57AB3"/>
    <w:rsid w:val="00D57F2A"/>
    <w:rsid w:val="00D60104"/>
    <w:rsid w:val="00D601B4"/>
    <w:rsid w:val="00D60B19"/>
    <w:rsid w:val="00D60B69"/>
    <w:rsid w:val="00D60D6E"/>
    <w:rsid w:val="00D60E7C"/>
    <w:rsid w:val="00D61175"/>
    <w:rsid w:val="00D614E9"/>
    <w:rsid w:val="00D616FE"/>
    <w:rsid w:val="00D61D4E"/>
    <w:rsid w:val="00D61FBB"/>
    <w:rsid w:val="00D62252"/>
    <w:rsid w:val="00D624C7"/>
    <w:rsid w:val="00D62599"/>
    <w:rsid w:val="00D6271A"/>
    <w:rsid w:val="00D62ADD"/>
    <w:rsid w:val="00D62B9C"/>
    <w:rsid w:val="00D62CBF"/>
    <w:rsid w:val="00D62E6F"/>
    <w:rsid w:val="00D62F39"/>
    <w:rsid w:val="00D630C3"/>
    <w:rsid w:val="00D63109"/>
    <w:rsid w:val="00D6334C"/>
    <w:rsid w:val="00D639E1"/>
    <w:rsid w:val="00D63B5C"/>
    <w:rsid w:val="00D63BC3"/>
    <w:rsid w:val="00D63C8E"/>
    <w:rsid w:val="00D63FA3"/>
    <w:rsid w:val="00D63FFD"/>
    <w:rsid w:val="00D6417C"/>
    <w:rsid w:val="00D64244"/>
    <w:rsid w:val="00D642C5"/>
    <w:rsid w:val="00D6438A"/>
    <w:rsid w:val="00D643EB"/>
    <w:rsid w:val="00D64879"/>
    <w:rsid w:val="00D64952"/>
    <w:rsid w:val="00D64B54"/>
    <w:rsid w:val="00D64F24"/>
    <w:rsid w:val="00D65047"/>
    <w:rsid w:val="00D65332"/>
    <w:rsid w:val="00D6565D"/>
    <w:rsid w:val="00D65A96"/>
    <w:rsid w:val="00D65C5E"/>
    <w:rsid w:val="00D65ED2"/>
    <w:rsid w:val="00D65F46"/>
    <w:rsid w:val="00D65F49"/>
    <w:rsid w:val="00D66057"/>
    <w:rsid w:val="00D66281"/>
    <w:rsid w:val="00D6632A"/>
    <w:rsid w:val="00D6656C"/>
    <w:rsid w:val="00D667C1"/>
    <w:rsid w:val="00D669CA"/>
    <w:rsid w:val="00D66E2A"/>
    <w:rsid w:val="00D67116"/>
    <w:rsid w:val="00D67222"/>
    <w:rsid w:val="00D676DC"/>
    <w:rsid w:val="00D67978"/>
    <w:rsid w:val="00D67A6C"/>
    <w:rsid w:val="00D67BDD"/>
    <w:rsid w:val="00D67BE2"/>
    <w:rsid w:val="00D67D1F"/>
    <w:rsid w:val="00D67DDC"/>
    <w:rsid w:val="00D67E7F"/>
    <w:rsid w:val="00D700C9"/>
    <w:rsid w:val="00D7014D"/>
    <w:rsid w:val="00D70162"/>
    <w:rsid w:val="00D7024E"/>
    <w:rsid w:val="00D70444"/>
    <w:rsid w:val="00D70735"/>
    <w:rsid w:val="00D70A13"/>
    <w:rsid w:val="00D70A79"/>
    <w:rsid w:val="00D70A7D"/>
    <w:rsid w:val="00D70E9B"/>
    <w:rsid w:val="00D713CD"/>
    <w:rsid w:val="00D714DC"/>
    <w:rsid w:val="00D71535"/>
    <w:rsid w:val="00D715BC"/>
    <w:rsid w:val="00D71767"/>
    <w:rsid w:val="00D718AF"/>
    <w:rsid w:val="00D722F1"/>
    <w:rsid w:val="00D72526"/>
    <w:rsid w:val="00D7272D"/>
    <w:rsid w:val="00D72AA2"/>
    <w:rsid w:val="00D72E6C"/>
    <w:rsid w:val="00D734AE"/>
    <w:rsid w:val="00D734D1"/>
    <w:rsid w:val="00D736C9"/>
    <w:rsid w:val="00D736E9"/>
    <w:rsid w:val="00D73883"/>
    <w:rsid w:val="00D73D3C"/>
    <w:rsid w:val="00D73DA3"/>
    <w:rsid w:val="00D73E11"/>
    <w:rsid w:val="00D73FB2"/>
    <w:rsid w:val="00D741C6"/>
    <w:rsid w:val="00D7426C"/>
    <w:rsid w:val="00D74380"/>
    <w:rsid w:val="00D74492"/>
    <w:rsid w:val="00D74777"/>
    <w:rsid w:val="00D74F75"/>
    <w:rsid w:val="00D74FC9"/>
    <w:rsid w:val="00D75038"/>
    <w:rsid w:val="00D7507E"/>
    <w:rsid w:val="00D751E7"/>
    <w:rsid w:val="00D7539F"/>
    <w:rsid w:val="00D754E8"/>
    <w:rsid w:val="00D7589B"/>
    <w:rsid w:val="00D75D60"/>
    <w:rsid w:val="00D75F69"/>
    <w:rsid w:val="00D76104"/>
    <w:rsid w:val="00D76340"/>
    <w:rsid w:val="00D7690E"/>
    <w:rsid w:val="00D76C9D"/>
    <w:rsid w:val="00D76E49"/>
    <w:rsid w:val="00D77126"/>
    <w:rsid w:val="00D77715"/>
    <w:rsid w:val="00D778BC"/>
    <w:rsid w:val="00D77CBC"/>
    <w:rsid w:val="00D77E65"/>
    <w:rsid w:val="00D77E76"/>
    <w:rsid w:val="00D80036"/>
    <w:rsid w:val="00D80888"/>
    <w:rsid w:val="00D808A6"/>
    <w:rsid w:val="00D80986"/>
    <w:rsid w:val="00D80B77"/>
    <w:rsid w:val="00D80D19"/>
    <w:rsid w:val="00D81452"/>
    <w:rsid w:val="00D815A0"/>
    <w:rsid w:val="00D818E0"/>
    <w:rsid w:val="00D81D2D"/>
    <w:rsid w:val="00D81FE0"/>
    <w:rsid w:val="00D8206E"/>
    <w:rsid w:val="00D82224"/>
    <w:rsid w:val="00D8225C"/>
    <w:rsid w:val="00D82BA5"/>
    <w:rsid w:val="00D833E1"/>
    <w:rsid w:val="00D835E6"/>
    <w:rsid w:val="00D8376C"/>
    <w:rsid w:val="00D83A2C"/>
    <w:rsid w:val="00D83BA5"/>
    <w:rsid w:val="00D83D20"/>
    <w:rsid w:val="00D8429C"/>
    <w:rsid w:val="00D8459B"/>
    <w:rsid w:val="00D84E45"/>
    <w:rsid w:val="00D85238"/>
    <w:rsid w:val="00D85354"/>
    <w:rsid w:val="00D85724"/>
    <w:rsid w:val="00D85893"/>
    <w:rsid w:val="00D859C2"/>
    <w:rsid w:val="00D85B1D"/>
    <w:rsid w:val="00D85BC8"/>
    <w:rsid w:val="00D85C47"/>
    <w:rsid w:val="00D85D03"/>
    <w:rsid w:val="00D85E1B"/>
    <w:rsid w:val="00D864BC"/>
    <w:rsid w:val="00D86545"/>
    <w:rsid w:val="00D866E1"/>
    <w:rsid w:val="00D86B3B"/>
    <w:rsid w:val="00D86DD6"/>
    <w:rsid w:val="00D86ED8"/>
    <w:rsid w:val="00D873D2"/>
    <w:rsid w:val="00D87A5D"/>
    <w:rsid w:val="00D87B9B"/>
    <w:rsid w:val="00D87C2B"/>
    <w:rsid w:val="00D87F5F"/>
    <w:rsid w:val="00D87FB5"/>
    <w:rsid w:val="00D90667"/>
    <w:rsid w:val="00D906BC"/>
    <w:rsid w:val="00D9075C"/>
    <w:rsid w:val="00D90839"/>
    <w:rsid w:val="00D90874"/>
    <w:rsid w:val="00D909FB"/>
    <w:rsid w:val="00D90B40"/>
    <w:rsid w:val="00D90E00"/>
    <w:rsid w:val="00D90E21"/>
    <w:rsid w:val="00D90E5D"/>
    <w:rsid w:val="00D90F53"/>
    <w:rsid w:val="00D9174C"/>
    <w:rsid w:val="00D917C4"/>
    <w:rsid w:val="00D922D3"/>
    <w:rsid w:val="00D9231E"/>
    <w:rsid w:val="00D92456"/>
    <w:rsid w:val="00D92482"/>
    <w:rsid w:val="00D9268E"/>
    <w:rsid w:val="00D92B21"/>
    <w:rsid w:val="00D92B75"/>
    <w:rsid w:val="00D92F21"/>
    <w:rsid w:val="00D93456"/>
    <w:rsid w:val="00D938BC"/>
    <w:rsid w:val="00D938E5"/>
    <w:rsid w:val="00D93B9F"/>
    <w:rsid w:val="00D93D58"/>
    <w:rsid w:val="00D93DB0"/>
    <w:rsid w:val="00D93DBE"/>
    <w:rsid w:val="00D93F7A"/>
    <w:rsid w:val="00D94059"/>
    <w:rsid w:val="00D940D2"/>
    <w:rsid w:val="00D9423C"/>
    <w:rsid w:val="00D9458A"/>
    <w:rsid w:val="00D9460D"/>
    <w:rsid w:val="00D9468F"/>
    <w:rsid w:val="00D9489D"/>
    <w:rsid w:val="00D94998"/>
    <w:rsid w:val="00D94A10"/>
    <w:rsid w:val="00D9525B"/>
    <w:rsid w:val="00D952F9"/>
    <w:rsid w:val="00D953DD"/>
    <w:rsid w:val="00D9544E"/>
    <w:rsid w:val="00D9559A"/>
    <w:rsid w:val="00D95711"/>
    <w:rsid w:val="00D958FD"/>
    <w:rsid w:val="00D958FE"/>
    <w:rsid w:val="00D95F64"/>
    <w:rsid w:val="00D95FB1"/>
    <w:rsid w:val="00D96049"/>
    <w:rsid w:val="00D962AB"/>
    <w:rsid w:val="00D96729"/>
    <w:rsid w:val="00D967FF"/>
    <w:rsid w:val="00D968A3"/>
    <w:rsid w:val="00D9691A"/>
    <w:rsid w:val="00D96F49"/>
    <w:rsid w:val="00D96FBF"/>
    <w:rsid w:val="00D97021"/>
    <w:rsid w:val="00D9706E"/>
    <w:rsid w:val="00D971E0"/>
    <w:rsid w:val="00D973DD"/>
    <w:rsid w:val="00D976C7"/>
    <w:rsid w:val="00D97AF4"/>
    <w:rsid w:val="00DA07B2"/>
    <w:rsid w:val="00DA0902"/>
    <w:rsid w:val="00DA0A0B"/>
    <w:rsid w:val="00DA0E2A"/>
    <w:rsid w:val="00DA0FF1"/>
    <w:rsid w:val="00DA11BC"/>
    <w:rsid w:val="00DA16F2"/>
    <w:rsid w:val="00DA1723"/>
    <w:rsid w:val="00DA1772"/>
    <w:rsid w:val="00DA1C85"/>
    <w:rsid w:val="00DA1F24"/>
    <w:rsid w:val="00DA218B"/>
    <w:rsid w:val="00DA23D1"/>
    <w:rsid w:val="00DA256C"/>
    <w:rsid w:val="00DA2B13"/>
    <w:rsid w:val="00DA2BE5"/>
    <w:rsid w:val="00DA2D14"/>
    <w:rsid w:val="00DA2F36"/>
    <w:rsid w:val="00DA3140"/>
    <w:rsid w:val="00DA3317"/>
    <w:rsid w:val="00DA3E0F"/>
    <w:rsid w:val="00DA45CD"/>
    <w:rsid w:val="00DA48DE"/>
    <w:rsid w:val="00DA4D3A"/>
    <w:rsid w:val="00DA50BF"/>
    <w:rsid w:val="00DA5170"/>
    <w:rsid w:val="00DA54F0"/>
    <w:rsid w:val="00DA5510"/>
    <w:rsid w:val="00DA57D6"/>
    <w:rsid w:val="00DA5937"/>
    <w:rsid w:val="00DA5A2E"/>
    <w:rsid w:val="00DA5B3A"/>
    <w:rsid w:val="00DA5C92"/>
    <w:rsid w:val="00DA6356"/>
    <w:rsid w:val="00DA64B5"/>
    <w:rsid w:val="00DA6836"/>
    <w:rsid w:val="00DA69A2"/>
    <w:rsid w:val="00DA736B"/>
    <w:rsid w:val="00DA74BA"/>
    <w:rsid w:val="00DA779E"/>
    <w:rsid w:val="00DA77F2"/>
    <w:rsid w:val="00DA7B3D"/>
    <w:rsid w:val="00DA7DB4"/>
    <w:rsid w:val="00DB00BB"/>
    <w:rsid w:val="00DB02B4"/>
    <w:rsid w:val="00DB0351"/>
    <w:rsid w:val="00DB0740"/>
    <w:rsid w:val="00DB074E"/>
    <w:rsid w:val="00DB0A41"/>
    <w:rsid w:val="00DB0C06"/>
    <w:rsid w:val="00DB0CA8"/>
    <w:rsid w:val="00DB0D31"/>
    <w:rsid w:val="00DB0D55"/>
    <w:rsid w:val="00DB0F9F"/>
    <w:rsid w:val="00DB1068"/>
    <w:rsid w:val="00DB10AD"/>
    <w:rsid w:val="00DB10CE"/>
    <w:rsid w:val="00DB16C0"/>
    <w:rsid w:val="00DB1C75"/>
    <w:rsid w:val="00DB2291"/>
    <w:rsid w:val="00DB2840"/>
    <w:rsid w:val="00DB28E0"/>
    <w:rsid w:val="00DB28EB"/>
    <w:rsid w:val="00DB29E9"/>
    <w:rsid w:val="00DB2B19"/>
    <w:rsid w:val="00DB2E2A"/>
    <w:rsid w:val="00DB308C"/>
    <w:rsid w:val="00DB30CE"/>
    <w:rsid w:val="00DB3206"/>
    <w:rsid w:val="00DB3457"/>
    <w:rsid w:val="00DB3DF8"/>
    <w:rsid w:val="00DB4012"/>
    <w:rsid w:val="00DB41F9"/>
    <w:rsid w:val="00DB4265"/>
    <w:rsid w:val="00DB42A5"/>
    <w:rsid w:val="00DB431E"/>
    <w:rsid w:val="00DB4433"/>
    <w:rsid w:val="00DB44AE"/>
    <w:rsid w:val="00DB5546"/>
    <w:rsid w:val="00DB55A0"/>
    <w:rsid w:val="00DB5785"/>
    <w:rsid w:val="00DB57E5"/>
    <w:rsid w:val="00DB5854"/>
    <w:rsid w:val="00DB59BC"/>
    <w:rsid w:val="00DB5CA5"/>
    <w:rsid w:val="00DB5D3D"/>
    <w:rsid w:val="00DB5E4C"/>
    <w:rsid w:val="00DB5F98"/>
    <w:rsid w:val="00DB6621"/>
    <w:rsid w:val="00DB67A9"/>
    <w:rsid w:val="00DB6DDC"/>
    <w:rsid w:val="00DB6EE0"/>
    <w:rsid w:val="00DB700C"/>
    <w:rsid w:val="00DB7430"/>
    <w:rsid w:val="00DB78E4"/>
    <w:rsid w:val="00DB78EB"/>
    <w:rsid w:val="00DB7AF3"/>
    <w:rsid w:val="00DB7C8D"/>
    <w:rsid w:val="00DB7F86"/>
    <w:rsid w:val="00DC0221"/>
    <w:rsid w:val="00DC0252"/>
    <w:rsid w:val="00DC0348"/>
    <w:rsid w:val="00DC043D"/>
    <w:rsid w:val="00DC0574"/>
    <w:rsid w:val="00DC07C9"/>
    <w:rsid w:val="00DC0967"/>
    <w:rsid w:val="00DC0B60"/>
    <w:rsid w:val="00DC0B61"/>
    <w:rsid w:val="00DC0F54"/>
    <w:rsid w:val="00DC13A2"/>
    <w:rsid w:val="00DC17EA"/>
    <w:rsid w:val="00DC1AD9"/>
    <w:rsid w:val="00DC1D76"/>
    <w:rsid w:val="00DC218B"/>
    <w:rsid w:val="00DC24EB"/>
    <w:rsid w:val="00DC26E2"/>
    <w:rsid w:val="00DC2BC1"/>
    <w:rsid w:val="00DC2D2C"/>
    <w:rsid w:val="00DC2DB7"/>
    <w:rsid w:val="00DC30C0"/>
    <w:rsid w:val="00DC325F"/>
    <w:rsid w:val="00DC35F8"/>
    <w:rsid w:val="00DC3613"/>
    <w:rsid w:val="00DC3627"/>
    <w:rsid w:val="00DC3880"/>
    <w:rsid w:val="00DC3F37"/>
    <w:rsid w:val="00DC3FA8"/>
    <w:rsid w:val="00DC4021"/>
    <w:rsid w:val="00DC41AC"/>
    <w:rsid w:val="00DC4241"/>
    <w:rsid w:val="00DC436F"/>
    <w:rsid w:val="00DC43AB"/>
    <w:rsid w:val="00DC43E4"/>
    <w:rsid w:val="00DC460E"/>
    <w:rsid w:val="00DC4821"/>
    <w:rsid w:val="00DC4A87"/>
    <w:rsid w:val="00DC4F87"/>
    <w:rsid w:val="00DC51FE"/>
    <w:rsid w:val="00DC5288"/>
    <w:rsid w:val="00DC567A"/>
    <w:rsid w:val="00DC5887"/>
    <w:rsid w:val="00DC5A35"/>
    <w:rsid w:val="00DC5E54"/>
    <w:rsid w:val="00DC60EB"/>
    <w:rsid w:val="00DC61F8"/>
    <w:rsid w:val="00DC63EB"/>
    <w:rsid w:val="00DC64FE"/>
    <w:rsid w:val="00DC66D4"/>
    <w:rsid w:val="00DC676F"/>
    <w:rsid w:val="00DC696D"/>
    <w:rsid w:val="00DC6D51"/>
    <w:rsid w:val="00DC6F79"/>
    <w:rsid w:val="00DC737D"/>
    <w:rsid w:val="00DC761F"/>
    <w:rsid w:val="00DC7698"/>
    <w:rsid w:val="00DC77B4"/>
    <w:rsid w:val="00DC77D7"/>
    <w:rsid w:val="00DC7BA2"/>
    <w:rsid w:val="00DD032E"/>
    <w:rsid w:val="00DD0779"/>
    <w:rsid w:val="00DD086E"/>
    <w:rsid w:val="00DD0C4F"/>
    <w:rsid w:val="00DD10E5"/>
    <w:rsid w:val="00DD11E5"/>
    <w:rsid w:val="00DD12AA"/>
    <w:rsid w:val="00DD1390"/>
    <w:rsid w:val="00DD142C"/>
    <w:rsid w:val="00DD1715"/>
    <w:rsid w:val="00DD18EB"/>
    <w:rsid w:val="00DD19AE"/>
    <w:rsid w:val="00DD19EA"/>
    <w:rsid w:val="00DD1D09"/>
    <w:rsid w:val="00DD1E4C"/>
    <w:rsid w:val="00DD1FDE"/>
    <w:rsid w:val="00DD20F7"/>
    <w:rsid w:val="00DD225A"/>
    <w:rsid w:val="00DD236E"/>
    <w:rsid w:val="00DD23E8"/>
    <w:rsid w:val="00DD243F"/>
    <w:rsid w:val="00DD2A47"/>
    <w:rsid w:val="00DD2DA3"/>
    <w:rsid w:val="00DD2DF4"/>
    <w:rsid w:val="00DD2EC2"/>
    <w:rsid w:val="00DD2F6D"/>
    <w:rsid w:val="00DD2FDC"/>
    <w:rsid w:val="00DD4175"/>
    <w:rsid w:val="00DD41B2"/>
    <w:rsid w:val="00DD4293"/>
    <w:rsid w:val="00DD4344"/>
    <w:rsid w:val="00DD461C"/>
    <w:rsid w:val="00DD4967"/>
    <w:rsid w:val="00DD49FA"/>
    <w:rsid w:val="00DD4B60"/>
    <w:rsid w:val="00DD4C79"/>
    <w:rsid w:val="00DD5143"/>
    <w:rsid w:val="00DD54F8"/>
    <w:rsid w:val="00DD567E"/>
    <w:rsid w:val="00DD56E4"/>
    <w:rsid w:val="00DD57AE"/>
    <w:rsid w:val="00DD593A"/>
    <w:rsid w:val="00DD5CF9"/>
    <w:rsid w:val="00DD5D45"/>
    <w:rsid w:val="00DD5E2F"/>
    <w:rsid w:val="00DD61D9"/>
    <w:rsid w:val="00DD6438"/>
    <w:rsid w:val="00DD6699"/>
    <w:rsid w:val="00DD6960"/>
    <w:rsid w:val="00DD6F7E"/>
    <w:rsid w:val="00DD70FF"/>
    <w:rsid w:val="00DD7284"/>
    <w:rsid w:val="00DD752A"/>
    <w:rsid w:val="00DD7695"/>
    <w:rsid w:val="00DD76E2"/>
    <w:rsid w:val="00DD7BF2"/>
    <w:rsid w:val="00DD7C70"/>
    <w:rsid w:val="00DD7D04"/>
    <w:rsid w:val="00DE0081"/>
    <w:rsid w:val="00DE02C4"/>
    <w:rsid w:val="00DE08EA"/>
    <w:rsid w:val="00DE0ECD"/>
    <w:rsid w:val="00DE0EFD"/>
    <w:rsid w:val="00DE1073"/>
    <w:rsid w:val="00DE1B58"/>
    <w:rsid w:val="00DE1C94"/>
    <w:rsid w:val="00DE1CD7"/>
    <w:rsid w:val="00DE23DC"/>
    <w:rsid w:val="00DE2422"/>
    <w:rsid w:val="00DE247A"/>
    <w:rsid w:val="00DE24CA"/>
    <w:rsid w:val="00DE256F"/>
    <w:rsid w:val="00DE266C"/>
    <w:rsid w:val="00DE27B3"/>
    <w:rsid w:val="00DE27ED"/>
    <w:rsid w:val="00DE281F"/>
    <w:rsid w:val="00DE2A39"/>
    <w:rsid w:val="00DE2A4C"/>
    <w:rsid w:val="00DE2EE6"/>
    <w:rsid w:val="00DE2F07"/>
    <w:rsid w:val="00DE34EE"/>
    <w:rsid w:val="00DE3568"/>
    <w:rsid w:val="00DE361C"/>
    <w:rsid w:val="00DE3859"/>
    <w:rsid w:val="00DE393A"/>
    <w:rsid w:val="00DE3A46"/>
    <w:rsid w:val="00DE3BC0"/>
    <w:rsid w:val="00DE3D8D"/>
    <w:rsid w:val="00DE3E7F"/>
    <w:rsid w:val="00DE42DA"/>
    <w:rsid w:val="00DE4489"/>
    <w:rsid w:val="00DE470F"/>
    <w:rsid w:val="00DE47D2"/>
    <w:rsid w:val="00DE4D82"/>
    <w:rsid w:val="00DE52AC"/>
    <w:rsid w:val="00DE5346"/>
    <w:rsid w:val="00DE538A"/>
    <w:rsid w:val="00DE541A"/>
    <w:rsid w:val="00DE5479"/>
    <w:rsid w:val="00DE5591"/>
    <w:rsid w:val="00DE5720"/>
    <w:rsid w:val="00DE57D9"/>
    <w:rsid w:val="00DE58F3"/>
    <w:rsid w:val="00DE62A1"/>
    <w:rsid w:val="00DE653A"/>
    <w:rsid w:val="00DE6AB5"/>
    <w:rsid w:val="00DE6AF3"/>
    <w:rsid w:val="00DE6E82"/>
    <w:rsid w:val="00DE715B"/>
    <w:rsid w:val="00DE77CB"/>
    <w:rsid w:val="00DE78C9"/>
    <w:rsid w:val="00DE7AE4"/>
    <w:rsid w:val="00DE7B4E"/>
    <w:rsid w:val="00DE7DAA"/>
    <w:rsid w:val="00DE7DD6"/>
    <w:rsid w:val="00DE7DF3"/>
    <w:rsid w:val="00DE7FEC"/>
    <w:rsid w:val="00DF0123"/>
    <w:rsid w:val="00DF028A"/>
    <w:rsid w:val="00DF034B"/>
    <w:rsid w:val="00DF049B"/>
    <w:rsid w:val="00DF06A5"/>
    <w:rsid w:val="00DF0732"/>
    <w:rsid w:val="00DF0752"/>
    <w:rsid w:val="00DF095B"/>
    <w:rsid w:val="00DF0F17"/>
    <w:rsid w:val="00DF0FD9"/>
    <w:rsid w:val="00DF0FE8"/>
    <w:rsid w:val="00DF119E"/>
    <w:rsid w:val="00DF1228"/>
    <w:rsid w:val="00DF13D2"/>
    <w:rsid w:val="00DF1937"/>
    <w:rsid w:val="00DF1A80"/>
    <w:rsid w:val="00DF1FC6"/>
    <w:rsid w:val="00DF21B8"/>
    <w:rsid w:val="00DF2236"/>
    <w:rsid w:val="00DF23D1"/>
    <w:rsid w:val="00DF27B7"/>
    <w:rsid w:val="00DF27BE"/>
    <w:rsid w:val="00DF2AFA"/>
    <w:rsid w:val="00DF2C23"/>
    <w:rsid w:val="00DF2E39"/>
    <w:rsid w:val="00DF2EDE"/>
    <w:rsid w:val="00DF3367"/>
    <w:rsid w:val="00DF35CD"/>
    <w:rsid w:val="00DF3843"/>
    <w:rsid w:val="00DF3C7E"/>
    <w:rsid w:val="00DF3D52"/>
    <w:rsid w:val="00DF3DE4"/>
    <w:rsid w:val="00DF3E24"/>
    <w:rsid w:val="00DF3F52"/>
    <w:rsid w:val="00DF4342"/>
    <w:rsid w:val="00DF4493"/>
    <w:rsid w:val="00DF45BC"/>
    <w:rsid w:val="00DF4864"/>
    <w:rsid w:val="00DF4A84"/>
    <w:rsid w:val="00DF4DC7"/>
    <w:rsid w:val="00DF4ED1"/>
    <w:rsid w:val="00DF5242"/>
    <w:rsid w:val="00DF56D8"/>
    <w:rsid w:val="00DF5800"/>
    <w:rsid w:val="00DF5AA2"/>
    <w:rsid w:val="00DF5AF8"/>
    <w:rsid w:val="00DF5CA2"/>
    <w:rsid w:val="00DF5D3D"/>
    <w:rsid w:val="00DF5FD1"/>
    <w:rsid w:val="00DF6276"/>
    <w:rsid w:val="00DF66DF"/>
    <w:rsid w:val="00DF67F6"/>
    <w:rsid w:val="00DF6AB4"/>
    <w:rsid w:val="00DF72E6"/>
    <w:rsid w:val="00DF72FA"/>
    <w:rsid w:val="00DF76E8"/>
    <w:rsid w:val="00DF7E8D"/>
    <w:rsid w:val="00E0077F"/>
    <w:rsid w:val="00E00DB8"/>
    <w:rsid w:val="00E01013"/>
    <w:rsid w:val="00E010D3"/>
    <w:rsid w:val="00E01514"/>
    <w:rsid w:val="00E015D2"/>
    <w:rsid w:val="00E016B2"/>
    <w:rsid w:val="00E01B76"/>
    <w:rsid w:val="00E01D16"/>
    <w:rsid w:val="00E01DCC"/>
    <w:rsid w:val="00E01E89"/>
    <w:rsid w:val="00E01E91"/>
    <w:rsid w:val="00E021D1"/>
    <w:rsid w:val="00E02544"/>
    <w:rsid w:val="00E02569"/>
    <w:rsid w:val="00E02669"/>
    <w:rsid w:val="00E027F7"/>
    <w:rsid w:val="00E028B0"/>
    <w:rsid w:val="00E028BA"/>
    <w:rsid w:val="00E029BD"/>
    <w:rsid w:val="00E02B0F"/>
    <w:rsid w:val="00E030A5"/>
    <w:rsid w:val="00E03230"/>
    <w:rsid w:val="00E03523"/>
    <w:rsid w:val="00E0354E"/>
    <w:rsid w:val="00E035A2"/>
    <w:rsid w:val="00E03665"/>
    <w:rsid w:val="00E03683"/>
    <w:rsid w:val="00E036BC"/>
    <w:rsid w:val="00E03710"/>
    <w:rsid w:val="00E0382A"/>
    <w:rsid w:val="00E03F40"/>
    <w:rsid w:val="00E04000"/>
    <w:rsid w:val="00E040F6"/>
    <w:rsid w:val="00E048F5"/>
    <w:rsid w:val="00E04E6E"/>
    <w:rsid w:val="00E04F26"/>
    <w:rsid w:val="00E04F72"/>
    <w:rsid w:val="00E0546C"/>
    <w:rsid w:val="00E05601"/>
    <w:rsid w:val="00E05636"/>
    <w:rsid w:val="00E05716"/>
    <w:rsid w:val="00E05A18"/>
    <w:rsid w:val="00E05E97"/>
    <w:rsid w:val="00E05F16"/>
    <w:rsid w:val="00E0609A"/>
    <w:rsid w:val="00E06151"/>
    <w:rsid w:val="00E06428"/>
    <w:rsid w:val="00E0659B"/>
    <w:rsid w:val="00E06EA2"/>
    <w:rsid w:val="00E07AB6"/>
    <w:rsid w:val="00E07B15"/>
    <w:rsid w:val="00E10505"/>
    <w:rsid w:val="00E109B8"/>
    <w:rsid w:val="00E10A7A"/>
    <w:rsid w:val="00E10C4C"/>
    <w:rsid w:val="00E10CC4"/>
    <w:rsid w:val="00E10F0F"/>
    <w:rsid w:val="00E10F53"/>
    <w:rsid w:val="00E10FDD"/>
    <w:rsid w:val="00E11033"/>
    <w:rsid w:val="00E110E6"/>
    <w:rsid w:val="00E1151C"/>
    <w:rsid w:val="00E1175A"/>
    <w:rsid w:val="00E11790"/>
    <w:rsid w:val="00E11BD4"/>
    <w:rsid w:val="00E11C5A"/>
    <w:rsid w:val="00E11D70"/>
    <w:rsid w:val="00E11E9C"/>
    <w:rsid w:val="00E121E8"/>
    <w:rsid w:val="00E12243"/>
    <w:rsid w:val="00E12348"/>
    <w:rsid w:val="00E12387"/>
    <w:rsid w:val="00E12477"/>
    <w:rsid w:val="00E12A11"/>
    <w:rsid w:val="00E12A5F"/>
    <w:rsid w:val="00E12CED"/>
    <w:rsid w:val="00E12EE0"/>
    <w:rsid w:val="00E13103"/>
    <w:rsid w:val="00E132BC"/>
    <w:rsid w:val="00E13308"/>
    <w:rsid w:val="00E13713"/>
    <w:rsid w:val="00E138D1"/>
    <w:rsid w:val="00E13E64"/>
    <w:rsid w:val="00E13E75"/>
    <w:rsid w:val="00E14212"/>
    <w:rsid w:val="00E148A2"/>
    <w:rsid w:val="00E14B5F"/>
    <w:rsid w:val="00E14CF0"/>
    <w:rsid w:val="00E14D37"/>
    <w:rsid w:val="00E14D3D"/>
    <w:rsid w:val="00E153CD"/>
    <w:rsid w:val="00E1577F"/>
    <w:rsid w:val="00E158B5"/>
    <w:rsid w:val="00E15B30"/>
    <w:rsid w:val="00E15D46"/>
    <w:rsid w:val="00E15DB1"/>
    <w:rsid w:val="00E1603F"/>
    <w:rsid w:val="00E16124"/>
    <w:rsid w:val="00E1613D"/>
    <w:rsid w:val="00E1621C"/>
    <w:rsid w:val="00E16688"/>
    <w:rsid w:val="00E168B3"/>
    <w:rsid w:val="00E16EF9"/>
    <w:rsid w:val="00E17162"/>
    <w:rsid w:val="00E17457"/>
    <w:rsid w:val="00E1764D"/>
    <w:rsid w:val="00E178C3"/>
    <w:rsid w:val="00E178F0"/>
    <w:rsid w:val="00E17D01"/>
    <w:rsid w:val="00E17DDB"/>
    <w:rsid w:val="00E20092"/>
    <w:rsid w:val="00E200D5"/>
    <w:rsid w:val="00E20650"/>
    <w:rsid w:val="00E2079C"/>
    <w:rsid w:val="00E20909"/>
    <w:rsid w:val="00E2090F"/>
    <w:rsid w:val="00E209D8"/>
    <w:rsid w:val="00E20A2F"/>
    <w:rsid w:val="00E20CEE"/>
    <w:rsid w:val="00E20D03"/>
    <w:rsid w:val="00E20D50"/>
    <w:rsid w:val="00E20F3D"/>
    <w:rsid w:val="00E20F45"/>
    <w:rsid w:val="00E21335"/>
    <w:rsid w:val="00E218AA"/>
    <w:rsid w:val="00E219ED"/>
    <w:rsid w:val="00E21DDD"/>
    <w:rsid w:val="00E21DE6"/>
    <w:rsid w:val="00E2200C"/>
    <w:rsid w:val="00E2253C"/>
    <w:rsid w:val="00E225BB"/>
    <w:rsid w:val="00E228C9"/>
    <w:rsid w:val="00E228D3"/>
    <w:rsid w:val="00E22B6B"/>
    <w:rsid w:val="00E231C2"/>
    <w:rsid w:val="00E2323D"/>
    <w:rsid w:val="00E23525"/>
    <w:rsid w:val="00E235FF"/>
    <w:rsid w:val="00E239E3"/>
    <w:rsid w:val="00E23A6B"/>
    <w:rsid w:val="00E23B01"/>
    <w:rsid w:val="00E23B40"/>
    <w:rsid w:val="00E23BE4"/>
    <w:rsid w:val="00E23E79"/>
    <w:rsid w:val="00E240BF"/>
    <w:rsid w:val="00E240DA"/>
    <w:rsid w:val="00E24695"/>
    <w:rsid w:val="00E247F1"/>
    <w:rsid w:val="00E24B7F"/>
    <w:rsid w:val="00E24BB1"/>
    <w:rsid w:val="00E24BD3"/>
    <w:rsid w:val="00E24D13"/>
    <w:rsid w:val="00E24DAD"/>
    <w:rsid w:val="00E24E05"/>
    <w:rsid w:val="00E25086"/>
    <w:rsid w:val="00E25543"/>
    <w:rsid w:val="00E2559B"/>
    <w:rsid w:val="00E255B1"/>
    <w:rsid w:val="00E25673"/>
    <w:rsid w:val="00E258BF"/>
    <w:rsid w:val="00E25A7C"/>
    <w:rsid w:val="00E25BD7"/>
    <w:rsid w:val="00E25E0E"/>
    <w:rsid w:val="00E26202"/>
    <w:rsid w:val="00E262E0"/>
    <w:rsid w:val="00E2684D"/>
    <w:rsid w:val="00E26DC0"/>
    <w:rsid w:val="00E270C6"/>
    <w:rsid w:val="00E27330"/>
    <w:rsid w:val="00E2740E"/>
    <w:rsid w:val="00E27813"/>
    <w:rsid w:val="00E27875"/>
    <w:rsid w:val="00E279B0"/>
    <w:rsid w:val="00E279CC"/>
    <w:rsid w:val="00E27B9C"/>
    <w:rsid w:val="00E27CB7"/>
    <w:rsid w:val="00E27FAF"/>
    <w:rsid w:val="00E30795"/>
    <w:rsid w:val="00E309BD"/>
    <w:rsid w:val="00E30F7B"/>
    <w:rsid w:val="00E3131A"/>
    <w:rsid w:val="00E31686"/>
    <w:rsid w:val="00E31E7A"/>
    <w:rsid w:val="00E31FE6"/>
    <w:rsid w:val="00E321A4"/>
    <w:rsid w:val="00E32236"/>
    <w:rsid w:val="00E32649"/>
    <w:rsid w:val="00E3270E"/>
    <w:rsid w:val="00E328D9"/>
    <w:rsid w:val="00E32975"/>
    <w:rsid w:val="00E32B6E"/>
    <w:rsid w:val="00E330A3"/>
    <w:rsid w:val="00E330DC"/>
    <w:rsid w:val="00E335A1"/>
    <w:rsid w:val="00E335B9"/>
    <w:rsid w:val="00E33667"/>
    <w:rsid w:val="00E33708"/>
    <w:rsid w:val="00E3399F"/>
    <w:rsid w:val="00E33D9D"/>
    <w:rsid w:val="00E34935"/>
    <w:rsid w:val="00E34EAA"/>
    <w:rsid w:val="00E34F0F"/>
    <w:rsid w:val="00E34F3D"/>
    <w:rsid w:val="00E3506B"/>
    <w:rsid w:val="00E35151"/>
    <w:rsid w:val="00E3546C"/>
    <w:rsid w:val="00E355C1"/>
    <w:rsid w:val="00E35707"/>
    <w:rsid w:val="00E35B91"/>
    <w:rsid w:val="00E35BDD"/>
    <w:rsid w:val="00E3614A"/>
    <w:rsid w:val="00E361CE"/>
    <w:rsid w:val="00E36768"/>
    <w:rsid w:val="00E36966"/>
    <w:rsid w:val="00E3699C"/>
    <w:rsid w:val="00E36B51"/>
    <w:rsid w:val="00E37413"/>
    <w:rsid w:val="00E37775"/>
    <w:rsid w:val="00E3778C"/>
    <w:rsid w:val="00E37D82"/>
    <w:rsid w:val="00E40233"/>
    <w:rsid w:val="00E402EA"/>
    <w:rsid w:val="00E40455"/>
    <w:rsid w:val="00E404B0"/>
    <w:rsid w:val="00E40B08"/>
    <w:rsid w:val="00E40BFB"/>
    <w:rsid w:val="00E40D85"/>
    <w:rsid w:val="00E40F02"/>
    <w:rsid w:val="00E40FC3"/>
    <w:rsid w:val="00E411DE"/>
    <w:rsid w:val="00E415F6"/>
    <w:rsid w:val="00E42004"/>
    <w:rsid w:val="00E4231F"/>
    <w:rsid w:val="00E427C9"/>
    <w:rsid w:val="00E42F85"/>
    <w:rsid w:val="00E43053"/>
    <w:rsid w:val="00E43133"/>
    <w:rsid w:val="00E4314F"/>
    <w:rsid w:val="00E43766"/>
    <w:rsid w:val="00E440E4"/>
    <w:rsid w:val="00E44240"/>
    <w:rsid w:val="00E44315"/>
    <w:rsid w:val="00E4481C"/>
    <w:rsid w:val="00E44A27"/>
    <w:rsid w:val="00E45015"/>
    <w:rsid w:val="00E4501F"/>
    <w:rsid w:val="00E45308"/>
    <w:rsid w:val="00E4557B"/>
    <w:rsid w:val="00E4571E"/>
    <w:rsid w:val="00E45BDA"/>
    <w:rsid w:val="00E45BF1"/>
    <w:rsid w:val="00E45E1E"/>
    <w:rsid w:val="00E45EF3"/>
    <w:rsid w:val="00E45EF6"/>
    <w:rsid w:val="00E46026"/>
    <w:rsid w:val="00E4626C"/>
    <w:rsid w:val="00E46442"/>
    <w:rsid w:val="00E46463"/>
    <w:rsid w:val="00E46AED"/>
    <w:rsid w:val="00E46AF9"/>
    <w:rsid w:val="00E4701B"/>
    <w:rsid w:val="00E47898"/>
    <w:rsid w:val="00E479CD"/>
    <w:rsid w:val="00E47A6E"/>
    <w:rsid w:val="00E47CCF"/>
    <w:rsid w:val="00E47D47"/>
    <w:rsid w:val="00E501CA"/>
    <w:rsid w:val="00E50906"/>
    <w:rsid w:val="00E50DF9"/>
    <w:rsid w:val="00E50E18"/>
    <w:rsid w:val="00E50ED0"/>
    <w:rsid w:val="00E50EF5"/>
    <w:rsid w:val="00E51395"/>
    <w:rsid w:val="00E51489"/>
    <w:rsid w:val="00E5152F"/>
    <w:rsid w:val="00E51915"/>
    <w:rsid w:val="00E51CC8"/>
    <w:rsid w:val="00E51DCD"/>
    <w:rsid w:val="00E51FAC"/>
    <w:rsid w:val="00E52263"/>
    <w:rsid w:val="00E5235F"/>
    <w:rsid w:val="00E52717"/>
    <w:rsid w:val="00E52989"/>
    <w:rsid w:val="00E5342B"/>
    <w:rsid w:val="00E53430"/>
    <w:rsid w:val="00E537A5"/>
    <w:rsid w:val="00E537A7"/>
    <w:rsid w:val="00E53835"/>
    <w:rsid w:val="00E53CB5"/>
    <w:rsid w:val="00E53D12"/>
    <w:rsid w:val="00E53E42"/>
    <w:rsid w:val="00E53E6D"/>
    <w:rsid w:val="00E54200"/>
    <w:rsid w:val="00E5425A"/>
    <w:rsid w:val="00E542C5"/>
    <w:rsid w:val="00E544EE"/>
    <w:rsid w:val="00E545A6"/>
    <w:rsid w:val="00E546F7"/>
    <w:rsid w:val="00E54E9C"/>
    <w:rsid w:val="00E54EBC"/>
    <w:rsid w:val="00E54EDE"/>
    <w:rsid w:val="00E55599"/>
    <w:rsid w:val="00E557D6"/>
    <w:rsid w:val="00E55A05"/>
    <w:rsid w:val="00E55A1E"/>
    <w:rsid w:val="00E55BDA"/>
    <w:rsid w:val="00E55FCF"/>
    <w:rsid w:val="00E5621E"/>
    <w:rsid w:val="00E562DB"/>
    <w:rsid w:val="00E56398"/>
    <w:rsid w:val="00E565E0"/>
    <w:rsid w:val="00E5674C"/>
    <w:rsid w:val="00E56BEB"/>
    <w:rsid w:val="00E56C50"/>
    <w:rsid w:val="00E56F86"/>
    <w:rsid w:val="00E56FC7"/>
    <w:rsid w:val="00E571CF"/>
    <w:rsid w:val="00E57217"/>
    <w:rsid w:val="00E57227"/>
    <w:rsid w:val="00E573D7"/>
    <w:rsid w:val="00E574EE"/>
    <w:rsid w:val="00E575D5"/>
    <w:rsid w:val="00E578B7"/>
    <w:rsid w:val="00E6006F"/>
    <w:rsid w:val="00E6033B"/>
    <w:rsid w:val="00E604AA"/>
    <w:rsid w:val="00E608AE"/>
    <w:rsid w:val="00E608DE"/>
    <w:rsid w:val="00E60B97"/>
    <w:rsid w:val="00E60BA2"/>
    <w:rsid w:val="00E60C84"/>
    <w:rsid w:val="00E60DDF"/>
    <w:rsid w:val="00E613AD"/>
    <w:rsid w:val="00E613D9"/>
    <w:rsid w:val="00E61436"/>
    <w:rsid w:val="00E61A5D"/>
    <w:rsid w:val="00E61BF9"/>
    <w:rsid w:val="00E62073"/>
    <w:rsid w:val="00E627A8"/>
    <w:rsid w:val="00E62863"/>
    <w:rsid w:val="00E62BCC"/>
    <w:rsid w:val="00E62D89"/>
    <w:rsid w:val="00E62E80"/>
    <w:rsid w:val="00E62F2A"/>
    <w:rsid w:val="00E630DB"/>
    <w:rsid w:val="00E63104"/>
    <w:rsid w:val="00E633BE"/>
    <w:rsid w:val="00E63D71"/>
    <w:rsid w:val="00E63EF1"/>
    <w:rsid w:val="00E63FB9"/>
    <w:rsid w:val="00E63FD7"/>
    <w:rsid w:val="00E640DF"/>
    <w:rsid w:val="00E64176"/>
    <w:rsid w:val="00E642F2"/>
    <w:rsid w:val="00E64509"/>
    <w:rsid w:val="00E645FF"/>
    <w:rsid w:val="00E646E6"/>
    <w:rsid w:val="00E648ED"/>
    <w:rsid w:val="00E64A2C"/>
    <w:rsid w:val="00E64A95"/>
    <w:rsid w:val="00E64CB2"/>
    <w:rsid w:val="00E64D95"/>
    <w:rsid w:val="00E64F70"/>
    <w:rsid w:val="00E650A3"/>
    <w:rsid w:val="00E65464"/>
    <w:rsid w:val="00E6568E"/>
    <w:rsid w:val="00E65740"/>
    <w:rsid w:val="00E65A77"/>
    <w:rsid w:val="00E65C06"/>
    <w:rsid w:val="00E65E6D"/>
    <w:rsid w:val="00E660FC"/>
    <w:rsid w:val="00E662EC"/>
    <w:rsid w:val="00E66348"/>
    <w:rsid w:val="00E664ED"/>
    <w:rsid w:val="00E66807"/>
    <w:rsid w:val="00E66C69"/>
    <w:rsid w:val="00E670B6"/>
    <w:rsid w:val="00E6722A"/>
    <w:rsid w:val="00E67367"/>
    <w:rsid w:val="00E674F3"/>
    <w:rsid w:val="00E67585"/>
    <w:rsid w:val="00E67EA3"/>
    <w:rsid w:val="00E7001F"/>
    <w:rsid w:val="00E705CA"/>
    <w:rsid w:val="00E706B7"/>
    <w:rsid w:val="00E70744"/>
    <w:rsid w:val="00E7092C"/>
    <w:rsid w:val="00E7108C"/>
    <w:rsid w:val="00E71163"/>
    <w:rsid w:val="00E711EE"/>
    <w:rsid w:val="00E711FB"/>
    <w:rsid w:val="00E714C2"/>
    <w:rsid w:val="00E719CF"/>
    <w:rsid w:val="00E71A8D"/>
    <w:rsid w:val="00E71A91"/>
    <w:rsid w:val="00E71B51"/>
    <w:rsid w:val="00E71B7C"/>
    <w:rsid w:val="00E72076"/>
    <w:rsid w:val="00E72331"/>
    <w:rsid w:val="00E72537"/>
    <w:rsid w:val="00E72548"/>
    <w:rsid w:val="00E72792"/>
    <w:rsid w:val="00E72E23"/>
    <w:rsid w:val="00E72F22"/>
    <w:rsid w:val="00E73137"/>
    <w:rsid w:val="00E73268"/>
    <w:rsid w:val="00E73494"/>
    <w:rsid w:val="00E736BD"/>
    <w:rsid w:val="00E73A0E"/>
    <w:rsid w:val="00E73D39"/>
    <w:rsid w:val="00E743F2"/>
    <w:rsid w:val="00E74692"/>
    <w:rsid w:val="00E7469A"/>
    <w:rsid w:val="00E748C7"/>
    <w:rsid w:val="00E749BE"/>
    <w:rsid w:val="00E74A1E"/>
    <w:rsid w:val="00E74A4A"/>
    <w:rsid w:val="00E74BD0"/>
    <w:rsid w:val="00E74EBA"/>
    <w:rsid w:val="00E756B8"/>
    <w:rsid w:val="00E75CAB"/>
    <w:rsid w:val="00E75DD7"/>
    <w:rsid w:val="00E75E25"/>
    <w:rsid w:val="00E75E2D"/>
    <w:rsid w:val="00E75EDA"/>
    <w:rsid w:val="00E76062"/>
    <w:rsid w:val="00E7628A"/>
    <w:rsid w:val="00E762B7"/>
    <w:rsid w:val="00E76791"/>
    <w:rsid w:val="00E76C34"/>
    <w:rsid w:val="00E76EA8"/>
    <w:rsid w:val="00E76F4A"/>
    <w:rsid w:val="00E77263"/>
    <w:rsid w:val="00E77895"/>
    <w:rsid w:val="00E77ACD"/>
    <w:rsid w:val="00E77BB4"/>
    <w:rsid w:val="00E77DA9"/>
    <w:rsid w:val="00E77E13"/>
    <w:rsid w:val="00E80587"/>
    <w:rsid w:val="00E8064E"/>
    <w:rsid w:val="00E8071E"/>
    <w:rsid w:val="00E808B6"/>
    <w:rsid w:val="00E80958"/>
    <w:rsid w:val="00E80FCF"/>
    <w:rsid w:val="00E81020"/>
    <w:rsid w:val="00E8138C"/>
    <w:rsid w:val="00E81BC0"/>
    <w:rsid w:val="00E81C9A"/>
    <w:rsid w:val="00E81E11"/>
    <w:rsid w:val="00E82055"/>
    <w:rsid w:val="00E82834"/>
    <w:rsid w:val="00E829D4"/>
    <w:rsid w:val="00E82B39"/>
    <w:rsid w:val="00E82CBB"/>
    <w:rsid w:val="00E82D01"/>
    <w:rsid w:val="00E830EF"/>
    <w:rsid w:val="00E831EA"/>
    <w:rsid w:val="00E83236"/>
    <w:rsid w:val="00E83323"/>
    <w:rsid w:val="00E83372"/>
    <w:rsid w:val="00E8363A"/>
    <w:rsid w:val="00E83745"/>
    <w:rsid w:val="00E83CB2"/>
    <w:rsid w:val="00E83D24"/>
    <w:rsid w:val="00E840DC"/>
    <w:rsid w:val="00E841EF"/>
    <w:rsid w:val="00E85168"/>
    <w:rsid w:val="00E851E8"/>
    <w:rsid w:val="00E8569A"/>
    <w:rsid w:val="00E856FA"/>
    <w:rsid w:val="00E859EB"/>
    <w:rsid w:val="00E85A98"/>
    <w:rsid w:val="00E85BEF"/>
    <w:rsid w:val="00E85C63"/>
    <w:rsid w:val="00E85CA7"/>
    <w:rsid w:val="00E85EF2"/>
    <w:rsid w:val="00E8605F"/>
    <w:rsid w:val="00E8620D"/>
    <w:rsid w:val="00E864E5"/>
    <w:rsid w:val="00E86917"/>
    <w:rsid w:val="00E86B7D"/>
    <w:rsid w:val="00E8703E"/>
    <w:rsid w:val="00E872C0"/>
    <w:rsid w:val="00E8752B"/>
    <w:rsid w:val="00E879B1"/>
    <w:rsid w:val="00E87B22"/>
    <w:rsid w:val="00E90411"/>
    <w:rsid w:val="00E90832"/>
    <w:rsid w:val="00E90D86"/>
    <w:rsid w:val="00E90DD0"/>
    <w:rsid w:val="00E90ED3"/>
    <w:rsid w:val="00E911A4"/>
    <w:rsid w:val="00E91227"/>
    <w:rsid w:val="00E916B4"/>
    <w:rsid w:val="00E916E5"/>
    <w:rsid w:val="00E91734"/>
    <w:rsid w:val="00E91D8E"/>
    <w:rsid w:val="00E91F69"/>
    <w:rsid w:val="00E92520"/>
    <w:rsid w:val="00E925D1"/>
    <w:rsid w:val="00E92948"/>
    <w:rsid w:val="00E92B5E"/>
    <w:rsid w:val="00E92DAE"/>
    <w:rsid w:val="00E93197"/>
    <w:rsid w:val="00E93994"/>
    <w:rsid w:val="00E939D0"/>
    <w:rsid w:val="00E93C74"/>
    <w:rsid w:val="00E93FB9"/>
    <w:rsid w:val="00E940C3"/>
    <w:rsid w:val="00E94104"/>
    <w:rsid w:val="00E948ED"/>
    <w:rsid w:val="00E94F38"/>
    <w:rsid w:val="00E954CB"/>
    <w:rsid w:val="00E95524"/>
    <w:rsid w:val="00E95553"/>
    <w:rsid w:val="00E956DE"/>
    <w:rsid w:val="00E9582E"/>
    <w:rsid w:val="00E95A40"/>
    <w:rsid w:val="00E95A7E"/>
    <w:rsid w:val="00E95AFE"/>
    <w:rsid w:val="00E95E7E"/>
    <w:rsid w:val="00E9606C"/>
    <w:rsid w:val="00E9614F"/>
    <w:rsid w:val="00E96919"/>
    <w:rsid w:val="00E97413"/>
    <w:rsid w:val="00E9776B"/>
    <w:rsid w:val="00E97EBA"/>
    <w:rsid w:val="00E97F56"/>
    <w:rsid w:val="00E97FEF"/>
    <w:rsid w:val="00EA00D5"/>
    <w:rsid w:val="00EA01E3"/>
    <w:rsid w:val="00EA0250"/>
    <w:rsid w:val="00EA0A77"/>
    <w:rsid w:val="00EA0F6C"/>
    <w:rsid w:val="00EA1066"/>
    <w:rsid w:val="00EA1288"/>
    <w:rsid w:val="00EA1307"/>
    <w:rsid w:val="00EA1352"/>
    <w:rsid w:val="00EA13AB"/>
    <w:rsid w:val="00EA1401"/>
    <w:rsid w:val="00EA14D9"/>
    <w:rsid w:val="00EA1877"/>
    <w:rsid w:val="00EA1993"/>
    <w:rsid w:val="00EA19B6"/>
    <w:rsid w:val="00EA1B28"/>
    <w:rsid w:val="00EA1EEA"/>
    <w:rsid w:val="00EA20E1"/>
    <w:rsid w:val="00EA22F5"/>
    <w:rsid w:val="00EA2514"/>
    <w:rsid w:val="00EA2665"/>
    <w:rsid w:val="00EA26DD"/>
    <w:rsid w:val="00EA2859"/>
    <w:rsid w:val="00EA297A"/>
    <w:rsid w:val="00EA2B1A"/>
    <w:rsid w:val="00EA2C93"/>
    <w:rsid w:val="00EA2D7B"/>
    <w:rsid w:val="00EA2DB0"/>
    <w:rsid w:val="00EA2DF1"/>
    <w:rsid w:val="00EA3071"/>
    <w:rsid w:val="00EA327A"/>
    <w:rsid w:val="00EA37D9"/>
    <w:rsid w:val="00EA3AA1"/>
    <w:rsid w:val="00EA3C57"/>
    <w:rsid w:val="00EA41DD"/>
    <w:rsid w:val="00EA4595"/>
    <w:rsid w:val="00EA4668"/>
    <w:rsid w:val="00EA4C49"/>
    <w:rsid w:val="00EA567B"/>
    <w:rsid w:val="00EA57B7"/>
    <w:rsid w:val="00EA5BC2"/>
    <w:rsid w:val="00EA5C1A"/>
    <w:rsid w:val="00EA5DB6"/>
    <w:rsid w:val="00EA5ECB"/>
    <w:rsid w:val="00EA5FE5"/>
    <w:rsid w:val="00EA6205"/>
    <w:rsid w:val="00EA6256"/>
    <w:rsid w:val="00EA6E8B"/>
    <w:rsid w:val="00EA7060"/>
    <w:rsid w:val="00EA70F3"/>
    <w:rsid w:val="00EA740D"/>
    <w:rsid w:val="00EA74AC"/>
    <w:rsid w:val="00EA7648"/>
    <w:rsid w:val="00EA7775"/>
    <w:rsid w:val="00EA78D6"/>
    <w:rsid w:val="00EA790F"/>
    <w:rsid w:val="00EA7B4D"/>
    <w:rsid w:val="00EA7E0A"/>
    <w:rsid w:val="00EA7EEF"/>
    <w:rsid w:val="00EA7FF3"/>
    <w:rsid w:val="00EB0260"/>
    <w:rsid w:val="00EB09CA"/>
    <w:rsid w:val="00EB09E1"/>
    <w:rsid w:val="00EB0E7A"/>
    <w:rsid w:val="00EB1019"/>
    <w:rsid w:val="00EB1083"/>
    <w:rsid w:val="00EB11A6"/>
    <w:rsid w:val="00EB1270"/>
    <w:rsid w:val="00EB146A"/>
    <w:rsid w:val="00EB153A"/>
    <w:rsid w:val="00EB1695"/>
    <w:rsid w:val="00EB1911"/>
    <w:rsid w:val="00EB1A5A"/>
    <w:rsid w:val="00EB1C05"/>
    <w:rsid w:val="00EB1D47"/>
    <w:rsid w:val="00EB1EAF"/>
    <w:rsid w:val="00EB20CD"/>
    <w:rsid w:val="00EB22B2"/>
    <w:rsid w:val="00EB24CE"/>
    <w:rsid w:val="00EB26E4"/>
    <w:rsid w:val="00EB2A75"/>
    <w:rsid w:val="00EB2AA8"/>
    <w:rsid w:val="00EB2B32"/>
    <w:rsid w:val="00EB2C0C"/>
    <w:rsid w:val="00EB3297"/>
    <w:rsid w:val="00EB3345"/>
    <w:rsid w:val="00EB34B6"/>
    <w:rsid w:val="00EB3916"/>
    <w:rsid w:val="00EB3A46"/>
    <w:rsid w:val="00EB3FC5"/>
    <w:rsid w:val="00EB41B8"/>
    <w:rsid w:val="00EB4548"/>
    <w:rsid w:val="00EB455D"/>
    <w:rsid w:val="00EB45BD"/>
    <w:rsid w:val="00EB4995"/>
    <w:rsid w:val="00EB5098"/>
    <w:rsid w:val="00EB52A8"/>
    <w:rsid w:val="00EB56AF"/>
    <w:rsid w:val="00EB5810"/>
    <w:rsid w:val="00EB5D76"/>
    <w:rsid w:val="00EB6547"/>
    <w:rsid w:val="00EB6720"/>
    <w:rsid w:val="00EB6FE6"/>
    <w:rsid w:val="00EB7484"/>
    <w:rsid w:val="00EB75C2"/>
    <w:rsid w:val="00EB7825"/>
    <w:rsid w:val="00EB7D47"/>
    <w:rsid w:val="00EB7E14"/>
    <w:rsid w:val="00EBDC65"/>
    <w:rsid w:val="00EC0181"/>
    <w:rsid w:val="00EC0196"/>
    <w:rsid w:val="00EC03D1"/>
    <w:rsid w:val="00EC0E0E"/>
    <w:rsid w:val="00EC0EDD"/>
    <w:rsid w:val="00EC0F52"/>
    <w:rsid w:val="00EC132D"/>
    <w:rsid w:val="00EC1417"/>
    <w:rsid w:val="00EC1489"/>
    <w:rsid w:val="00EC1518"/>
    <w:rsid w:val="00EC1A6F"/>
    <w:rsid w:val="00EC2161"/>
    <w:rsid w:val="00EC22B8"/>
    <w:rsid w:val="00EC235A"/>
    <w:rsid w:val="00EC2691"/>
    <w:rsid w:val="00EC271A"/>
    <w:rsid w:val="00EC279E"/>
    <w:rsid w:val="00EC2A2F"/>
    <w:rsid w:val="00EC3073"/>
    <w:rsid w:val="00EC32AA"/>
    <w:rsid w:val="00EC330C"/>
    <w:rsid w:val="00EC36BC"/>
    <w:rsid w:val="00EC37C5"/>
    <w:rsid w:val="00EC3821"/>
    <w:rsid w:val="00EC3856"/>
    <w:rsid w:val="00EC38F6"/>
    <w:rsid w:val="00EC3C18"/>
    <w:rsid w:val="00EC411C"/>
    <w:rsid w:val="00EC414A"/>
    <w:rsid w:val="00EC4185"/>
    <w:rsid w:val="00EC4273"/>
    <w:rsid w:val="00EC4408"/>
    <w:rsid w:val="00EC4430"/>
    <w:rsid w:val="00EC45B7"/>
    <w:rsid w:val="00EC4882"/>
    <w:rsid w:val="00EC4B1C"/>
    <w:rsid w:val="00EC4BF8"/>
    <w:rsid w:val="00EC5149"/>
    <w:rsid w:val="00EC5155"/>
    <w:rsid w:val="00EC5700"/>
    <w:rsid w:val="00EC5A51"/>
    <w:rsid w:val="00EC5FD4"/>
    <w:rsid w:val="00EC6606"/>
    <w:rsid w:val="00EC671B"/>
    <w:rsid w:val="00EC67A0"/>
    <w:rsid w:val="00EC69A3"/>
    <w:rsid w:val="00EC69B8"/>
    <w:rsid w:val="00EC69C0"/>
    <w:rsid w:val="00EC69CF"/>
    <w:rsid w:val="00EC7849"/>
    <w:rsid w:val="00EC7A4D"/>
    <w:rsid w:val="00EC7C01"/>
    <w:rsid w:val="00ED05F9"/>
    <w:rsid w:val="00ED0B5D"/>
    <w:rsid w:val="00ED0BF8"/>
    <w:rsid w:val="00ED0C3F"/>
    <w:rsid w:val="00ED0D29"/>
    <w:rsid w:val="00ED0E80"/>
    <w:rsid w:val="00ED0EB9"/>
    <w:rsid w:val="00ED1361"/>
    <w:rsid w:val="00ED1674"/>
    <w:rsid w:val="00ED195F"/>
    <w:rsid w:val="00ED1CEC"/>
    <w:rsid w:val="00ED1D17"/>
    <w:rsid w:val="00ED1D5B"/>
    <w:rsid w:val="00ED1FDC"/>
    <w:rsid w:val="00ED2463"/>
    <w:rsid w:val="00ED2584"/>
    <w:rsid w:val="00ED25CD"/>
    <w:rsid w:val="00ED27CC"/>
    <w:rsid w:val="00ED27DD"/>
    <w:rsid w:val="00ED2C7B"/>
    <w:rsid w:val="00ED303C"/>
    <w:rsid w:val="00ED3126"/>
    <w:rsid w:val="00ED3389"/>
    <w:rsid w:val="00ED35DE"/>
    <w:rsid w:val="00ED365D"/>
    <w:rsid w:val="00ED3F95"/>
    <w:rsid w:val="00ED4514"/>
    <w:rsid w:val="00ED4662"/>
    <w:rsid w:val="00ED4B75"/>
    <w:rsid w:val="00ED4CF7"/>
    <w:rsid w:val="00ED5046"/>
    <w:rsid w:val="00ED5068"/>
    <w:rsid w:val="00ED506B"/>
    <w:rsid w:val="00ED5DF3"/>
    <w:rsid w:val="00ED5F9F"/>
    <w:rsid w:val="00ED62DF"/>
    <w:rsid w:val="00ED64DA"/>
    <w:rsid w:val="00ED6533"/>
    <w:rsid w:val="00ED68B9"/>
    <w:rsid w:val="00ED6A13"/>
    <w:rsid w:val="00ED6C7E"/>
    <w:rsid w:val="00ED6E66"/>
    <w:rsid w:val="00ED7010"/>
    <w:rsid w:val="00ED70BD"/>
    <w:rsid w:val="00ED7210"/>
    <w:rsid w:val="00ED73CF"/>
    <w:rsid w:val="00ED75DB"/>
    <w:rsid w:val="00ED76DC"/>
    <w:rsid w:val="00ED77E2"/>
    <w:rsid w:val="00ED7E64"/>
    <w:rsid w:val="00EE0072"/>
    <w:rsid w:val="00EE0219"/>
    <w:rsid w:val="00EE021A"/>
    <w:rsid w:val="00EE04E5"/>
    <w:rsid w:val="00EE0915"/>
    <w:rsid w:val="00EE0E7D"/>
    <w:rsid w:val="00EE1192"/>
    <w:rsid w:val="00EE11DA"/>
    <w:rsid w:val="00EE1645"/>
    <w:rsid w:val="00EE1823"/>
    <w:rsid w:val="00EE18AA"/>
    <w:rsid w:val="00EE1B6C"/>
    <w:rsid w:val="00EE1EF8"/>
    <w:rsid w:val="00EE1F48"/>
    <w:rsid w:val="00EE2602"/>
    <w:rsid w:val="00EE2768"/>
    <w:rsid w:val="00EE29C0"/>
    <w:rsid w:val="00EE29D9"/>
    <w:rsid w:val="00EE2AD1"/>
    <w:rsid w:val="00EE2BCE"/>
    <w:rsid w:val="00EE3176"/>
    <w:rsid w:val="00EE3A51"/>
    <w:rsid w:val="00EE3A73"/>
    <w:rsid w:val="00EE3C5A"/>
    <w:rsid w:val="00EE419E"/>
    <w:rsid w:val="00EE4845"/>
    <w:rsid w:val="00EE499D"/>
    <w:rsid w:val="00EE4D2F"/>
    <w:rsid w:val="00EE5755"/>
    <w:rsid w:val="00EE5CC0"/>
    <w:rsid w:val="00EE5D1A"/>
    <w:rsid w:val="00EE5F53"/>
    <w:rsid w:val="00EE604E"/>
    <w:rsid w:val="00EE6192"/>
    <w:rsid w:val="00EE638A"/>
    <w:rsid w:val="00EE63D7"/>
    <w:rsid w:val="00EE6666"/>
    <w:rsid w:val="00EE6867"/>
    <w:rsid w:val="00EE68C9"/>
    <w:rsid w:val="00EE6972"/>
    <w:rsid w:val="00EE6995"/>
    <w:rsid w:val="00EE6AFB"/>
    <w:rsid w:val="00EE6C3A"/>
    <w:rsid w:val="00EE6D66"/>
    <w:rsid w:val="00EE6EFB"/>
    <w:rsid w:val="00EE6F24"/>
    <w:rsid w:val="00EE7082"/>
    <w:rsid w:val="00EE71D1"/>
    <w:rsid w:val="00EE7427"/>
    <w:rsid w:val="00EE7712"/>
    <w:rsid w:val="00EE7A13"/>
    <w:rsid w:val="00EE7DA9"/>
    <w:rsid w:val="00EF0D20"/>
    <w:rsid w:val="00EF0F33"/>
    <w:rsid w:val="00EF0FE2"/>
    <w:rsid w:val="00EF1257"/>
    <w:rsid w:val="00EF1268"/>
    <w:rsid w:val="00EF128B"/>
    <w:rsid w:val="00EF1691"/>
    <w:rsid w:val="00EF16AD"/>
    <w:rsid w:val="00EF17E7"/>
    <w:rsid w:val="00EF18E0"/>
    <w:rsid w:val="00EF1913"/>
    <w:rsid w:val="00EF198D"/>
    <w:rsid w:val="00EF1A24"/>
    <w:rsid w:val="00EF1A9E"/>
    <w:rsid w:val="00EF1F43"/>
    <w:rsid w:val="00EF229D"/>
    <w:rsid w:val="00EF2346"/>
    <w:rsid w:val="00EF2434"/>
    <w:rsid w:val="00EF2654"/>
    <w:rsid w:val="00EF290D"/>
    <w:rsid w:val="00EF2CE3"/>
    <w:rsid w:val="00EF2E07"/>
    <w:rsid w:val="00EF30CB"/>
    <w:rsid w:val="00EF333B"/>
    <w:rsid w:val="00EF341D"/>
    <w:rsid w:val="00EF35D0"/>
    <w:rsid w:val="00EF36D3"/>
    <w:rsid w:val="00EF3A0A"/>
    <w:rsid w:val="00EF3DF2"/>
    <w:rsid w:val="00EF3E87"/>
    <w:rsid w:val="00EF4431"/>
    <w:rsid w:val="00EF4432"/>
    <w:rsid w:val="00EF446A"/>
    <w:rsid w:val="00EF4574"/>
    <w:rsid w:val="00EF4859"/>
    <w:rsid w:val="00EF4BF5"/>
    <w:rsid w:val="00EF4C42"/>
    <w:rsid w:val="00EF4D3D"/>
    <w:rsid w:val="00EF4E71"/>
    <w:rsid w:val="00EF522A"/>
    <w:rsid w:val="00EF53A6"/>
    <w:rsid w:val="00EF5639"/>
    <w:rsid w:val="00EF56E0"/>
    <w:rsid w:val="00EF58EE"/>
    <w:rsid w:val="00EF5F47"/>
    <w:rsid w:val="00EF6188"/>
    <w:rsid w:val="00EF622D"/>
    <w:rsid w:val="00EF641D"/>
    <w:rsid w:val="00EF66EA"/>
    <w:rsid w:val="00EF7170"/>
    <w:rsid w:val="00EF786F"/>
    <w:rsid w:val="00EF7AA2"/>
    <w:rsid w:val="00EF7C60"/>
    <w:rsid w:val="00F00149"/>
    <w:rsid w:val="00F00203"/>
    <w:rsid w:val="00F00210"/>
    <w:rsid w:val="00F0039E"/>
    <w:rsid w:val="00F0054B"/>
    <w:rsid w:val="00F006AE"/>
    <w:rsid w:val="00F008E6"/>
    <w:rsid w:val="00F00900"/>
    <w:rsid w:val="00F00D8E"/>
    <w:rsid w:val="00F01301"/>
    <w:rsid w:val="00F0136C"/>
    <w:rsid w:val="00F013B2"/>
    <w:rsid w:val="00F015B6"/>
    <w:rsid w:val="00F016A9"/>
    <w:rsid w:val="00F018D1"/>
    <w:rsid w:val="00F019C6"/>
    <w:rsid w:val="00F02235"/>
    <w:rsid w:val="00F024B6"/>
    <w:rsid w:val="00F02515"/>
    <w:rsid w:val="00F02592"/>
    <w:rsid w:val="00F02F00"/>
    <w:rsid w:val="00F03023"/>
    <w:rsid w:val="00F030FF"/>
    <w:rsid w:val="00F035C8"/>
    <w:rsid w:val="00F03734"/>
    <w:rsid w:val="00F03767"/>
    <w:rsid w:val="00F037DC"/>
    <w:rsid w:val="00F03CFF"/>
    <w:rsid w:val="00F04113"/>
    <w:rsid w:val="00F041B6"/>
    <w:rsid w:val="00F041D3"/>
    <w:rsid w:val="00F0443C"/>
    <w:rsid w:val="00F04784"/>
    <w:rsid w:val="00F04A39"/>
    <w:rsid w:val="00F04E35"/>
    <w:rsid w:val="00F05702"/>
    <w:rsid w:val="00F05896"/>
    <w:rsid w:val="00F05D6F"/>
    <w:rsid w:val="00F06096"/>
    <w:rsid w:val="00F065A7"/>
    <w:rsid w:val="00F06795"/>
    <w:rsid w:val="00F06815"/>
    <w:rsid w:val="00F069A6"/>
    <w:rsid w:val="00F06AD1"/>
    <w:rsid w:val="00F06D0B"/>
    <w:rsid w:val="00F06F5B"/>
    <w:rsid w:val="00F0703A"/>
    <w:rsid w:val="00F07111"/>
    <w:rsid w:val="00F072FE"/>
    <w:rsid w:val="00F07D28"/>
    <w:rsid w:val="00F07D94"/>
    <w:rsid w:val="00F07FCE"/>
    <w:rsid w:val="00F1043B"/>
    <w:rsid w:val="00F10760"/>
    <w:rsid w:val="00F10945"/>
    <w:rsid w:val="00F10992"/>
    <w:rsid w:val="00F10A96"/>
    <w:rsid w:val="00F11112"/>
    <w:rsid w:val="00F11594"/>
    <w:rsid w:val="00F1165D"/>
    <w:rsid w:val="00F11761"/>
    <w:rsid w:val="00F12071"/>
    <w:rsid w:val="00F121C9"/>
    <w:rsid w:val="00F124A6"/>
    <w:rsid w:val="00F1266E"/>
    <w:rsid w:val="00F1267D"/>
    <w:rsid w:val="00F1296B"/>
    <w:rsid w:val="00F12DA6"/>
    <w:rsid w:val="00F12F2D"/>
    <w:rsid w:val="00F13187"/>
    <w:rsid w:val="00F134BD"/>
    <w:rsid w:val="00F1374D"/>
    <w:rsid w:val="00F13826"/>
    <w:rsid w:val="00F13F8B"/>
    <w:rsid w:val="00F14086"/>
    <w:rsid w:val="00F14159"/>
    <w:rsid w:val="00F14597"/>
    <w:rsid w:val="00F14B63"/>
    <w:rsid w:val="00F14D33"/>
    <w:rsid w:val="00F14E7F"/>
    <w:rsid w:val="00F14F35"/>
    <w:rsid w:val="00F152C3"/>
    <w:rsid w:val="00F153A3"/>
    <w:rsid w:val="00F154C7"/>
    <w:rsid w:val="00F15D0A"/>
    <w:rsid w:val="00F15D1B"/>
    <w:rsid w:val="00F15E13"/>
    <w:rsid w:val="00F15F94"/>
    <w:rsid w:val="00F1620F"/>
    <w:rsid w:val="00F165DB"/>
    <w:rsid w:val="00F165F6"/>
    <w:rsid w:val="00F16B0C"/>
    <w:rsid w:val="00F16B7F"/>
    <w:rsid w:val="00F16BFD"/>
    <w:rsid w:val="00F16C5E"/>
    <w:rsid w:val="00F1736D"/>
    <w:rsid w:val="00F173C5"/>
    <w:rsid w:val="00F176AD"/>
    <w:rsid w:val="00F1796D"/>
    <w:rsid w:val="00F17AD0"/>
    <w:rsid w:val="00F17B8B"/>
    <w:rsid w:val="00F2047B"/>
    <w:rsid w:val="00F20918"/>
    <w:rsid w:val="00F209BB"/>
    <w:rsid w:val="00F20E05"/>
    <w:rsid w:val="00F20E6C"/>
    <w:rsid w:val="00F20FD5"/>
    <w:rsid w:val="00F211B7"/>
    <w:rsid w:val="00F21672"/>
    <w:rsid w:val="00F2172C"/>
    <w:rsid w:val="00F217E9"/>
    <w:rsid w:val="00F2195A"/>
    <w:rsid w:val="00F21982"/>
    <w:rsid w:val="00F225B2"/>
    <w:rsid w:val="00F22654"/>
    <w:rsid w:val="00F22BB3"/>
    <w:rsid w:val="00F22D03"/>
    <w:rsid w:val="00F22E5C"/>
    <w:rsid w:val="00F230EA"/>
    <w:rsid w:val="00F2317D"/>
    <w:rsid w:val="00F23372"/>
    <w:rsid w:val="00F23D1D"/>
    <w:rsid w:val="00F23EF1"/>
    <w:rsid w:val="00F23F09"/>
    <w:rsid w:val="00F24835"/>
    <w:rsid w:val="00F24966"/>
    <w:rsid w:val="00F24F1D"/>
    <w:rsid w:val="00F25022"/>
    <w:rsid w:val="00F2502B"/>
    <w:rsid w:val="00F25565"/>
    <w:rsid w:val="00F2594A"/>
    <w:rsid w:val="00F25CC8"/>
    <w:rsid w:val="00F25FF1"/>
    <w:rsid w:val="00F26003"/>
    <w:rsid w:val="00F263D0"/>
    <w:rsid w:val="00F2650A"/>
    <w:rsid w:val="00F2677E"/>
    <w:rsid w:val="00F26A01"/>
    <w:rsid w:val="00F26B92"/>
    <w:rsid w:val="00F26CC3"/>
    <w:rsid w:val="00F27005"/>
    <w:rsid w:val="00F271E7"/>
    <w:rsid w:val="00F27619"/>
    <w:rsid w:val="00F276B4"/>
    <w:rsid w:val="00F27A81"/>
    <w:rsid w:val="00F27C4E"/>
    <w:rsid w:val="00F27FE5"/>
    <w:rsid w:val="00F300F4"/>
    <w:rsid w:val="00F30173"/>
    <w:rsid w:val="00F3035D"/>
    <w:rsid w:val="00F306C4"/>
    <w:rsid w:val="00F30899"/>
    <w:rsid w:val="00F30CB8"/>
    <w:rsid w:val="00F30D78"/>
    <w:rsid w:val="00F30FAB"/>
    <w:rsid w:val="00F315DD"/>
    <w:rsid w:val="00F31A16"/>
    <w:rsid w:val="00F31A89"/>
    <w:rsid w:val="00F31BC9"/>
    <w:rsid w:val="00F31CE5"/>
    <w:rsid w:val="00F32132"/>
    <w:rsid w:val="00F32278"/>
    <w:rsid w:val="00F324E6"/>
    <w:rsid w:val="00F327F0"/>
    <w:rsid w:val="00F328A0"/>
    <w:rsid w:val="00F32B58"/>
    <w:rsid w:val="00F3315D"/>
    <w:rsid w:val="00F3364E"/>
    <w:rsid w:val="00F338DA"/>
    <w:rsid w:val="00F33C91"/>
    <w:rsid w:val="00F345E5"/>
    <w:rsid w:val="00F3484C"/>
    <w:rsid w:val="00F349FB"/>
    <w:rsid w:val="00F34A09"/>
    <w:rsid w:val="00F34D80"/>
    <w:rsid w:val="00F34DC8"/>
    <w:rsid w:val="00F34EFD"/>
    <w:rsid w:val="00F353ED"/>
    <w:rsid w:val="00F35DCA"/>
    <w:rsid w:val="00F35F21"/>
    <w:rsid w:val="00F3630B"/>
    <w:rsid w:val="00F3651B"/>
    <w:rsid w:val="00F36608"/>
    <w:rsid w:val="00F3686C"/>
    <w:rsid w:val="00F368E0"/>
    <w:rsid w:val="00F36949"/>
    <w:rsid w:val="00F36D0A"/>
    <w:rsid w:val="00F36FB1"/>
    <w:rsid w:val="00F372ED"/>
    <w:rsid w:val="00F3735A"/>
    <w:rsid w:val="00F374AB"/>
    <w:rsid w:val="00F37644"/>
    <w:rsid w:val="00F37689"/>
    <w:rsid w:val="00F376A8"/>
    <w:rsid w:val="00F376E8"/>
    <w:rsid w:val="00F37940"/>
    <w:rsid w:val="00F37A27"/>
    <w:rsid w:val="00F37B85"/>
    <w:rsid w:val="00F37D95"/>
    <w:rsid w:val="00F4007F"/>
    <w:rsid w:val="00F40361"/>
    <w:rsid w:val="00F40CCA"/>
    <w:rsid w:val="00F4110A"/>
    <w:rsid w:val="00F41A1A"/>
    <w:rsid w:val="00F41F98"/>
    <w:rsid w:val="00F42403"/>
    <w:rsid w:val="00F429DC"/>
    <w:rsid w:val="00F429E9"/>
    <w:rsid w:val="00F42ADE"/>
    <w:rsid w:val="00F42DB6"/>
    <w:rsid w:val="00F42DE3"/>
    <w:rsid w:val="00F43523"/>
    <w:rsid w:val="00F439D5"/>
    <w:rsid w:val="00F439FF"/>
    <w:rsid w:val="00F43BAE"/>
    <w:rsid w:val="00F43DD5"/>
    <w:rsid w:val="00F43ECB"/>
    <w:rsid w:val="00F44094"/>
    <w:rsid w:val="00F441E8"/>
    <w:rsid w:val="00F44217"/>
    <w:rsid w:val="00F442A2"/>
    <w:rsid w:val="00F44302"/>
    <w:rsid w:val="00F4436B"/>
    <w:rsid w:val="00F44CC4"/>
    <w:rsid w:val="00F44FC9"/>
    <w:rsid w:val="00F45009"/>
    <w:rsid w:val="00F45171"/>
    <w:rsid w:val="00F4533B"/>
    <w:rsid w:val="00F45BAF"/>
    <w:rsid w:val="00F45BC9"/>
    <w:rsid w:val="00F45CDC"/>
    <w:rsid w:val="00F45F74"/>
    <w:rsid w:val="00F46167"/>
    <w:rsid w:val="00F467E9"/>
    <w:rsid w:val="00F46C31"/>
    <w:rsid w:val="00F46E52"/>
    <w:rsid w:val="00F46EDF"/>
    <w:rsid w:val="00F4734E"/>
    <w:rsid w:val="00F474C2"/>
    <w:rsid w:val="00F474F4"/>
    <w:rsid w:val="00F47652"/>
    <w:rsid w:val="00F47A7F"/>
    <w:rsid w:val="00F47D0F"/>
    <w:rsid w:val="00F47E2B"/>
    <w:rsid w:val="00F47FAD"/>
    <w:rsid w:val="00F502ED"/>
    <w:rsid w:val="00F50992"/>
    <w:rsid w:val="00F509C0"/>
    <w:rsid w:val="00F51201"/>
    <w:rsid w:val="00F51554"/>
    <w:rsid w:val="00F515A7"/>
    <w:rsid w:val="00F517FE"/>
    <w:rsid w:val="00F51B4A"/>
    <w:rsid w:val="00F51FEE"/>
    <w:rsid w:val="00F52328"/>
    <w:rsid w:val="00F524A4"/>
    <w:rsid w:val="00F52836"/>
    <w:rsid w:val="00F52AC0"/>
    <w:rsid w:val="00F52B1F"/>
    <w:rsid w:val="00F5308F"/>
    <w:rsid w:val="00F5309E"/>
    <w:rsid w:val="00F53172"/>
    <w:rsid w:val="00F53847"/>
    <w:rsid w:val="00F53B90"/>
    <w:rsid w:val="00F53C77"/>
    <w:rsid w:val="00F53ED6"/>
    <w:rsid w:val="00F53F01"/>
    <w:rsid w:val="00F53F4F"/>
    <w:rsid w:val="00F54109"/>
    <w:rsid w:val="00F542AC"/>
    <w:rsid w:val="00F542CE"/>
    <w:rsid w:val="00F5437C"/>
    <w:rsid w:val="00F54483"/>
    <w:rsid w:val="00F54B1A"/>
    <w:rsid w:val="00F55279"/>
    <w:rsid w:val="00F55708"/>
    <w:rsid w:val="00F5573E"/>
    <w:rsid w:val="00F55B2B"/>
    <w:rsid w:val="00F55C2A"/>
    <w:rsid w:val="00F55C3B"/>
    <w:rsid w:val="00F55E25"/>
    <w:rsid w:val="00F561D4"/>
    <w:rsid w:val="00F5625C"/>
    <w:rsid w:val="00F56381"/>
    <w:rsid w:val="00F5648F"/>
    <w:rsid w:val="00F56632"/>
    <w:rsid w:val="00F566CA"/>
    <w:rsid w:val="00F5680B"/>
    <w:rsid w:val="00F568F6"/>
    <w:rsid w:val="00F5694D"/>
    <w:rsid w:val="00F56AD7"/>
    <w:rsid w:val="00F56F33"/>
    <w:rsid w:val="00F571A4"/>
    <w:rsid w:val="00F5723B"/>
    <w:rsid w:val="00F576F4"/>
    <w:rsid w:val="00F579EA"/>
    <w:rsid w:val="00F57AE4"/>
    <w:rsid w:val="00F57C58"/>
    <w:rsid w:val="00F6003D"/>
    <w:rsid w:val="00F60274"/>
    <w:rsid w:val="00F602B0"/>
    <w:rsid w:val="00F602DB"/>
    <w:rsid w:val="00F60301"/>
    <w:rsid w:val="00F603E2"/>
    <w:rsid w:val="00F6044D"/>
    <w:rsid w:val="00F60586"/>
    <w:rsid w:val="00F606D9"/>
    <w:rsid w:val="00F60760"/>
    <w:rsid w:val="00F60DD0"/>
    <w:rsid w:val="00F61304"/>
    <w:rsid w:val="00F613D1"/>
    <w:rsid w:val="00F615A3"/>
    <w:rsid w:val="00F6184B"/>
    <w:rsid w:val="00F618BB"/>
    <w:rsid w:val="00F618BF"/>
    <w:rsid w:val="00F61F85"/>
    <w:rsid w:val="00F624B4"/>
    <w:rsid w:val="00F624F1"/>
    <w:rsid w:val="00F62893"/>
    <w:rsid w:val="00F62910"/>
    <w:rsid w:val="00F629E0"/>
    <w:rsid w:val="00F62C72"/>
    <w:rsid w:val="00F62CD7"/>
    <w:rsid w:val="00F62D2B"/>
    <w:rsid w:val="00F62E56"/>
    <w:rsid w:val="00F62EEC"/>
    <w:rsid w:val="00F6317F"/>
    <w:rsid w:val="00F631C1"/>
    <w:rsid w:val="00F63292"/>
    <w:rsid w:val="00F63843"/>
    <w:rsid w:val="00F63860"/>
    <w:rsid w:val="00F6389F"/>
    <w:rsid w:val="00F63B79"/>
    <w:rsid w:val="00F642E5"/>
    <w:rsid w:val="00F64342"/>
    <w:rsid w:val="00F64382"/>
    <w:rsid w:val="00F644A5"/>
    <w:rsid w:val="00F64B4B"/>
    <w:rsid w:val="00F64F22"/>
    <w:rsid w:val="00F65403"/>
    <w:rsid w:val="00F65A2D"/>
    <w:rsid w:val="00F65EEE"/>
    <w:rsid w:val="00F66027"/>
    <w:rsid w:val="00F6650B"/>
    <w:rsid w:val="00F669B4"/>
    <w:rsid w:val="00F66B3C"/>
    <w:rsid w:val="00F66BA9"/>
    <w:rsid w:val="00F66D9B"/>
    <w:rsid w:val="00F66E19"/>
    <w:rsid w:val="00F67094"/>
    <w:rsid w:val="00F67207"/>
    <w:rsid w:val="00F67372"/>
    <w:rsid w:val="00F67406"/>
    <w:rsid w:val="00F67511"/>
    <w:rsid w:val="00F67AFD"/>
    <w:rsid w:val="00F67BAA"/>
    <w:rsid w:val="00F67CB5"/>
    <w:rsid w:val="00F67D5E"/>
    <w:rsid w:val="00F67F13"/>
    <w:rsid w:val="00F703C1"/>
    <w:rsid w:val="00F703DE"/>
    <w:rsid w:val="00F706D3"/>
    <w:rsid w:val="00F70B8D"/>
    <w:rsid w:val="00F70F4B"/>
    <w:rsid w:val="00F7115B"/>
    <w:rsid w:val="00F7162D"/>
    <w:rsid w:val="00F71870"/>
    <w:rsid w:val="00F71AAF"/>
    <w:rsid w:val="00F71D86"/>
    <w:rsid w:val="00F72083"/>
    <w:rsid w:val="00F720EC"/>
    <w:rsid w:val="00F72208"/>
    <w:rsid w:val="00F7228C"/>
    <w:rsid w:val="00F7238B"/>
    <w:rsid w:val="00F723B0"/>
    <w:rsid w:val="00F72B63"/>
    <w:rsid w:val="00F72C2B"/>
    <w:rsid w:val="00F730E9"/>
    <w:rsid w:val="00F73268"/>
    <w:rsid w:val="00F73276"/>
    <w:rsid w:val="00F734D5"/>
    <w:rsid w:val="00F737D0"/>
    <w:rsid w:val="00F73B0F"/>
    <w:rsid w:val="00F73D0C"/>
    <w:rsid w:val="00F73E08"/>
    <w:rsid w:val="00F7409B"/>
    <w:rsid w:val="00F740B5"/>
    <w:rsid w:val="00F74103"/>
    <w:rsid w:val="00F7435F"/>
    <w:rsid w:val="00F743CA"/>
    <w:rsid w:val="00F7487F"/>
    <w:rsid w:val="00F748C0"/>
    <w:rsid w:val="00F74AC3"/>
    <w:rsid w:val="00F74AD0"/>
    <w:rsid w:val="00F74AEF"/>
    <w:rsid w:val="00F74B72"/>
    <w:rsid w:val="00F74D65"/>
    <w:rsid w:val="00F74F32"/>
    <w:rsid w:val="00F7510B"/>
    <w:rsid w:val="00F75360"/>
    <w:rsid w:val="00F754A6"/>
    <w:rsid w:val="00F75690"/>
    <w:rsid w:val="00F757C5"/>
    <w:rsid w:val="00F75802"/>
    <w:rsid w:val="00F75A31"/>
    <w:rsid w:val="00F75EF2"/>
    <w:rsid w:val="00F76165"/>
    <w:rsid w:val="00F76523"/>
    <w:rsid w:val="00F771BE"/>
    <w:rsid w:val="00F7761F"/>
    <w:rsid w:val="00F7779C"/>
    <w:rsid w:val="00F80034"/>
    <w:rsid w:val="00F80102"/>
    <w:rsid w:val="00F802D8"/>
    <w:rsid w:val="00F80345"/>
    <w:rsid w:val="00F804FE"/>
    <w:rsid w:val="00F80513"/>
    <w:rsid w:val="00F80A77"/>
    <w:rsid w:val="00F80B9C"/>
    <w:rsid w:val="00F81077"/>
    <w:rsid w:val="00F81261"/>
    <w:rsid w:val="00F813AA"/>
    <w:rsid w:val="00F813CA"/>
    <w:rsid w:val="00F813CD"/>
    <w:rsid w:val="00F814B5"/>
    <w:rsid w:val="00F81766"/>
    <w:rsid w:val="00F81914"/>
    <w:rsid w:val="00F81937"/>
    <w:rsid w:val="00F819E4"/>
    <w:rsid w:val="00F81D26"/>
    <w:rsid w:val="00F8207D"/>
    <w:rsid w:val="00F82356"/>
    <w:rsid w:val="00F824CD"/>
    <w:rsid w:val="00F825FE"/>
    <w:rsid w:val="00F827B9"/>
    <w:rsid w:val="00F82AD8"/>
    <w:rsid w:val="00F82AE0"/>
    <w:rsid w:val="00F82C99"/>
    <w:rsid w:val="00F82D6B"/>
    <w:rsid w:val="00F83002"/>
    <w:rsid w:val="00F83255"/>
    <w:rsid w:val="00F83314"/>
    <w:rsid w:val="00F837C7"/>
    <w:rsid w:val="00F83BE8"/>
    <w:rsid w:val="00F83C66"/>
    <w:rsid w:val="00F83F3D"/>
    <w:rsid w:val="00F84068"/>
    <w:rsid w:val="00F841AC"/>
    <w:rsid w:val="00F84286"/>
    <w:rsid w:val="00F847B3"/>
    <w:rsid w:val="00F8481B"/>
    <w:rsid w:val="00F84BE8"/>
    <w:rsid w:val="00F84C14"/>
    <w:rsid w:val="00F84C4E"/>
    <w:rsid w:val="00F84D10"/>
    <w:rsid w:val="00F852DB"/>
    <w:rsid w:val="00F85391"/>
    <w:rsid w:val="00F855AD"/>
    <w:rsid w:val="00F85655"/>
    <w:rsid w:val="00F8574F"/>
    <w:rsid w:val="00F85E24"/>
    <w:rsid w:val="00F861CA"/>
    <w:rsid w:val="00F86217"/>
    <w:rsid w:val="00F86291"/>
    <w:rsid w:val="00F865BC"/>
    <w:rsid w:val="00F86954"/>
    <w:rsid w:val="00F86B1C"/>
    <w:rsid w:val="00F86CAE"/>
    <w:rsid w:val="00F86EB5"/>
    <w:rsid w:val="00F8706A"/>
    <w:rsid w:val="00F872C4"/>
    <w:rsid w:val="00F87463"/>
    <w:rsid w:val="00F87B58"/>
    <w:rsid w:val="00F87B60"/>
    <w:rsid w:val="00F9051A"/>
    <w:rsid w:val="00F905A8"/>
    <w:rsid w:val="00F9088C"/>
    <w:rsid w:val="00F909C9"/>
    <w:rsid w:val="00F90C73"/>
    <w:rsid w:val="00F90DF6"/>
    <w:rsid w:val="00F912D8"/>
    <w:rsid w:val="00F912DE"/>
    <w:rsid w:val="00F91583"/>
    <w:rsid w:val="00F91832"/>
    <w:rsid w:val="00F91D09"/>
    <w:rsid w:val="00F91E14"/>
    <w:rsid w:val="00F91EAF"/>
    <w:rsid w:val="00F91F82"/>
    <w:rsid w:val="00F921E1"/>
    <w:rsid w:val="00F92406"/>
    <w:rsid w:val="00F9278F"/>
    <w:rsid w:val="00F929B6"/>
    <w:rsid w:val="00F92A11"/>
    <w:rsid w:val="00F92C0A"/>
    <w:rsid w:val="00F92D03"/>
    <w:rsid w:val="00F93112"/>
    <w:rsid w:val="00F9367F"/>
    <w:rsid w:val="00F93C00"/>
    <w:rsid w:val="00F93E64"/>
    <w:rsid w:val="00F93EF1"/>
    <w:rsid w:val="00F94448"/>
    <w:rsid w:val="00F94489"/>
    <w:rsid w:val="00F94958"/>
    <w:rsid w:val="00F94A65"/>
    <w:rsid w:val="00F951E0"/>
    <w:rsid w:val="00F9541E"/>
    <w:rsid w:val="00F954B8"/>
    <w:rsid w:val="00F95B89"/>
    <w:rsid w:val="00F95D04"/>
    <w:rsid w:val="00F95E84"/>
    <w:rsid w:val="00F96616"/>
    <w:rsid w:val="00F96786"/>
    <w:rsid w:val="00F969D1"/>
    <w:rsid w:val="00F96B25"/>
    <w:rsid w:val="00F96C5B"/>
    <w:rsid w:val="00F970A4"/>
    <w:rsid w:val="00F97229"/>
    <w:rsid w:val="00F977BB"/>
    <w:rsid w:val="00F978CB"/>
    <w:rsid w:val="00F979C6"/>
    <w:rsid w:val="00F97B96"/>
    <w:rsid w:val="00F97C95"/>
    <w:rsid w:val="00F97CF6"/>
    <w:rsid w:val="00FA0266"/>
    <w:rsid w:val="00FA02BC"/>
    <w:rsid w:val="00FA0595"/>
    <w:rsid w:val="00FA0619"/>
    <w:rsid w:val="00FA08B0"/>
    <w:rsid w:val="00FA08EE"/>
    <w:rsid w:val="00FA099E"/>
    <w:rsid w:val="00FA0B95"/>
    <w:rsid w:val="00FA0C02"/>
    <w:rsid w:val="00FA0D49"/>
    <w:rsid w:val="00FA0E54"/>
    <w:rsid w:val="00FA0ECF"/>
    <w:rsid w:val="00FA136B"/>
    <w:rsid w:val="00FA1504"/>
    <w:rsid w:val="00FA15CF"/>
    <w:rsid w:val="00FA19EF"/>
    <w:rsid w:val="00FA1AE5"/>
    <w:rsid w:val="00FA1C4A"/>
    <w:rsid w:val="00FA1CDC"/>
    <w:rsid w:val="00FA205D"/>
    <w:rsid w:val="00FA21C9"/>
    <w:rsid w:val="00FA2366"/>
    <w:rsid w:val="00FA23B6"/>
    <w:rsid w:val="00FA2468"/>
    <w:rsid w:val="00FA26F5"/>
    <w:rsid w:val="00FA2A97"/>
    <w:rsid w:val="00FA2D6E"/>
    <w:rsid w:val="00FA2FB6"/>
    <w:rsid w:val="00FA379E"/>
    <w:rsid w:val="00FA39EE"/>
    <w:rsid w:val="00FA3AAD"/>
    <w:rsid w:val="00FA3AC5"/>
    <w:rsid w:val="00FA3E0C"/>
    <w:rsid w:val="00FA4134"/>
    <w:rsid w:val="00FA41CF"/>
    <w:rsid w:val="00FA4353"/>
    <w:rsid w:val="00FA43F1"/>
    <w:rsid w:val="00FA4420"/>
    <w:rsid w:val="00FA4714"/>
    <w:rsid w:val="00FA483A"/>
    <w:rsid w:val="00FA48B1"/>
    <w:rsid w:val="00FA4D8F"/>
    <w:rsid w:val="00FA5024"/>
    <w:rsid w:val="00FA5406"/>
    <w:rsid w:val="00FA56CE"/>
    <w:rsid w:val="00FA57C7"/>
    <w:rsid w:val="00FA645E"/>
    <w:rsid w:val="00FA6A8B"/>
    <w:rsid w:val="00FA6B05"/>
    <w:rsid w:val="00FA6B17"/>
    <w:rsid w:val="00FA6C48"/>
    <w:rsid w:val="00FA6E66"/>
    <w:rsid w:val="00FA6EAD"/>
    <w:rsid w:val="00FA713B"/>
    <w:rsid w:val="00FA744C"/>
    <w:rsid w:val="00FA74B7"/>
    <w:rsid w:val="00FA7E6F"/>
    <w:rsid w:val="00FB024D"/>
    <w:rsid w:val="00FB043C"/>
    <w:rsid w:val="00FB09E7"/>
    <w:rsid w:val="00FB0CBC"/>
    <w:rsid w:val="00FB0D34"/>
    <w:rsid w:val="00FB0E89"/>
    <w:rsid w:val="00FB0F8E"/>
    <w:rsid w:val="00FB128F"/>
    <w:rsid w:val="00FB16F4"/>
    <w:rsid w:val="00FB17E4"/>
    <w:rsid w:val="00FB184A"/>
    <w:rsid w:val="00FB1A19"/>
    <w:rsid w:val="00FB1ACB"/>
    <w:rsid w:val="00FB1DCE"/>
    <w:rsid w:val="00FB2089"/>
    <w:rsid w:val="00FB209E"/>
    <w:rsid w:val="00FB2190"/>
    <w:rsid w:val="00FB23B0"/>
    <w:rsid w:val="00FB25C9"/>
    <w:rsid w:val="00FB28C3"/>
    <w:rsid w:val="00FB28FD"/>
    <w:rsid w:val="00FB2A19"/>
    <w:rsid w:val="00FB2D56"/>
    <w:rsid w:val="00FB30E0"/>
    <w:rsid w:val="00FB320A"/>
    <w:rsid w:val="00FB32C9"/>
    <w:rsid w:val="00FB35B9"/>
    <w:rsid w:val="00FB35C8"/>
    <w:rsid w:val="00FB3DA4"/>
    <w:rsid w:val="00FB3DE1"/>
    <w:rsid w:val="00FB40B8"/>
    <w:rsid w:val="00FB4363"/>
    <w:rsid w:val="00FB468C"/>
    <w:rsid w:val="00FB48B3"/>
    <w:rsid w:val="00FB491B"/>
    <w:rsid w:val="00FB4C23"/>
    <w:rsid w:val="00FB4C6F"/>
    <w:rsid w:val="00FB4D9C"/>
    <w:rsid w:val="00FB4E88"/>
    <w:rsid w:val="00FB5821"/>
    <w:rsid w:val="00FB5840"/>
    <w:rsid w:val="00FB5A4C"/>
    <w:rsid w:val="00FB5B17"/>
    <w:rsid w:val="00FB5B79"/>
    <w:rsid w:val="00FB5DF7"/>
    <w:rsid w:val="00FB5FD1"/>
    <w:rsid w:val="00FB625D"/>
    <w:rsid w:val="00FB63D9"/>
    <w:rsid w:val="00FB63F4"/>
    <w:rsid w:val="00FB647C"/>
    <w:rsid w:val="00FB6873"/>
    <w:rsid w:val="00FB68A2"/>
    <w:rsid w:val="00FB6E5B"/>
    <w:rsid w:val="00FB74C8"/>
    <w:rsid w:val="00FB7D0B"/>
    <w:rsid w:val="00FB7EA8"/>
    <w:rsid w:val="00FB7F95"/>
    <w:rsid w:val="00FB7FB6"/>
    <w:rsid w:val="00FC01E8"/>
    <w:rsid w:val="00FC01FA"/>
    <w:rsid w:val="00FC062F"/>
    <w:rsid w:val="00FC0676"/>
    <w:rsid w:val="00FC085E"/>
    <w:rsid w:val="00FC08FD"/>
    <w:rsid w:val="00FC0C5E"/>
    <w:rsid w:val="00FC0F56"/>
    <w:rsid w:val="00FC0F79"/>
    <w:rsid w:val="00FC1277"/>
    <w:rsid w:val="00FC16F4"/>
    <w:rsid w:val="00FC18A0"/>
    <w:rsid w:val="00FC1A6C"/>
    <w:rsid w:val="00FC1BFE"/>
    <w:rsid w:val="00FC1D7F"/>
    <w:rsid w:val="00FC1FB4"/>
    <w:rsid w:val="00FC1FCA"/>
    <w:rsid w:val="00FC2597"/>
    <w:rsid w:val="00FC26E0"/>
    <w:rsid w:val="00FC2714"/>
    <w:rsid w:val="00FC288E"/>
    <w:rsid w:val="00FC2907"/>
    <w:rsid w:val="00FC2984"/>
    <w:rsid w:val="00FC35AD"/>
    <w:rsid w:val="00FC363C"/>
    <w:rsid w:val="00FC37F6"/>
    <w:rsid w:val="00FC3850"/>
    <w:rsid w:val="00FC38F8"/>
    <w:rsid w:val="00FC390F"/>
    <w:rsid w:val="00FC3A1D"/>
    <w:rsid w:val="00FC3CF3"/>
    <w:rsid w:val="00FC3E16"/>
    <w:rsid w:val="00FC40A2"/>
    <w:rsid w:val="00FC40AF"/>
    <w:rsid w:val="00FC481D"/>
    <w:rsid w:val="00FC4EF8"/>
    <w:rsid w:val="00FC54CB"/>
    <w:rsid w:val="00FC55CC"/>
    <w:rsid w:val="00FC56DA"/>
    <w:rsid w:val="00FC5926"/>
    <w:rsid w:val="00FC5A76"/>
    <w:rsid w:val="00FC5E35"/>
    <w:rsid w:val="00FC5E50"/>
    <w:rsid w:val="00FC621C"/>
    <w:rsid w:val="00FC64B8"/>
    <w:rsid w:val="00FC64B9"/>
    <w:rsid w:val="00FC6F7E"/>
    <w:rsid w:val="00FC76D6"/>
    <w:rsid w:val="00FC77B2"/>
    <w:rsid w:val="00FC7EA3"/>
    <w:rsid w:val="00FD00E6"/>
    <w:rsid w:val="00FD0890"/>
    <w:rsid w:val="00FD0F34"/>
    <w:rsid w:val="00FD0F65"/>
    <w:rsid w:val="00FD12D6"/>
    <w:rsid w:val="00FD1600"/>
    <w:rsid w:val="00FD16E6"/>
    <w:rsid w:val="00FD1753"/>
    <w:rsid w:val="00FD195B"/>
    <w:rsid w:val="00FD1BCB"/>
    <w:rsid w:val="00FD1D6C"/>
    <w:rsid w:val="00FD1DDF"/>
    <w:rsid w:val="00FD1E42"/>
    <w:rsid w:val="00FD1F5C"/>
    <w:rsid w:val="00FD1F77"/>
    <w:rsid w:val="00FD2373"/>
    <w:rsid w:val="00FD299A"/>
    <w:rsid w:val="00FD2A0E"/>
    <w:rsid w:val="00FD2A4C"/>
    <w:rsid w:val="00FD30ED"/>
    <w:rsid w:val="00FD31FA"/>
    <w:rsid w:val="00FD3298"/>
    <w:rsid w:val="00FD34C4"/>
    <w:rsid w:val="00FD3771"/>
    <w:rsid w:val="00FD3786"/>
    <w:rsid w:val="00FD3D19"/>
    <w:rsid w:val="00FD3E9E"/>
    <w:rsid w:val="00FD3F32"/>
    <w:rsid w:val="00FD40AC"/>
    <w:rsid w:val="00FD4283"/>
    <w:rsid w:val="00FD48CB"/>
    <w:rsid w:val="00FD48D6"/>
    <w:rsid w:val="00FD49BF"/>
    <w:rsid w:val="00FD4D0F"/>
    <w:rsid w:val="00FD4D83"/>
    <w:rsid w:val="00FD5318"/>
    <w:rsid w:val="00FD538F"/>
    <w:rsid w:val="00FD5524"/>
    <w:rsid w:val="00FD595D"/>
    <w:rsid w:val="00FD5B27"/>
    <w:rsid w:val="00FD5EED"/>
    <w:rsid w:val="00FD622F"/>
    <w:rsid w:val="00FD630F"/>
    <w:rsid w:val="00FD641B"/>
    <w:rsid w:val="00FD6E47"/>
    <w:rsid w:val="00FD6F92"/>
    <w:rsid w:val="00FD7963"/>
    <w:rsid w:val="00FD7BC2"/>
    <w:rsid w:val="00FD7E52"/>
    <w:rsid w:val="00FE0030"/>
    <w:rsid w:val="00FE013A"/>
    <w:rsid w:val="00FE01BD"/>
    <w:rsid w:val="00FE04C1"/>
    <w:rsid w:val="00FE081E"/>
    <w:rsid w:val="00FE0874"/>
    <w:rsid w:val="00FE0C21"/>
    <w:rsid w:val="00FE0EED"/>
    <w:rsid w:val="00FE1236"/>
    <w:rsid w:val="00FE1271"/>
    <w:rsid w:val="00FE14C2"/>
    <w:rsid w:val="00FE1660"/>
    <w:rsid w:val="00FE1B91"/>
    <w:rsid w:val="00FE1C86"/>
    <w:rsid w:val="00FE1CC7"/>
    <w:rsid w:val="00FE1D61"/>
    <w:rsid w:val="00FE1D7B"/>
    <w:rsid w:val="00FE28D2"/>
    <w:rsid w:val="00FE295E"/>
    <w:rsid w:val="00FE29A1"/>
    <w:rsid w:val="00FE3184"/>
    <w:rsid w:val="00FE34A7"/>
    <w:rsid w:val="00FE3546"/>
    <w:rsid w:val="00FE3B7B"/>
    <w:rsid w:val="00FE4271"/>
    <w:rsid w:val="00FE42F4"/>
    <w:rsid w:val="00FE4395"/>
    <w:rsid w:val="00FE4568"/>
    <w:rsid w:val="00FE4A7B"/>
    <w:rsid w:val="00FE51E5"/>
    <w:rsid w:val="00FE53EB"/>
    <w:rsid w:val="00FE5468"/>
    <w:rsid w:val="00FE54DA"/>
    <w:rsid w:val="00FE5631"/>
    <w:rsid w:val="00FE579A"/>
    <w:rsid w:val="00FE580C"/>
    <w:rsid w:val="00FE5A3A"/>
    <w:rsid w:val="00FE5B55"/>
    <w:rsid w:val="00FE5D69"/>
    <w:rsid w:val="00FE5E80"/>
    <w:rsid w:val="00FE61DA"/>
    <w:rsid w:val="00FE6533"/>
    <w:rsid w:val="00FE6864"/>
    <w:rsid w:val="00FE69A8"/>
    <w:rsid w:val="00FE7152"/>
    <w:rsid w:val="00FE756D"/>
    <w:rsid w:val="00FE79D5"/>
    <w:rsid w:val="00FE7DFE"/>
    <w:rsid w:val="00FE7F2C"/>
    <w:rsid w:val="00FF00B7"/>
    <w:rsid w:val="00FF0198"/>
    <w:rsid w:val="00FF0279"/>
    <w:rsid w:val="00FF0F70"/>
    <w:rsid w:val="00FF13A0"/>
    <w:rsid w:val="00FF151C"/>
    <w:rsid w:val="00FF1949"/>
    <w:rsid w:val="00FF1981"/>
    <w:rsid w:val="00FF1A15"/>
    <w:rsid w:val="00FF1F5D"/>
    <w:rsid w:val="00FF229E"/>
    <w:rsid w:val="00FF2468"/>
    <w:rsid w:val="00FF2A94"/>
    <w:rsid w:val="00FF2BD2"/>
    <w:rsid w:val="00FF31F2"/>
    <w:rsid w:val="00FF329A"/>
    <w:rsid w:val="00FF3615"/>
    <w:rsid w:val="00FF3672"/>
    <w:rsid w:val="00FF3A2D"/>
    <w:rsid w:val="00FF4182"/>
    <w:rsid w:val="00FF4454"/>
    <w:rsid w:val="00FF4603"/>
    <w:rsid w:val="00FF486B"/>
    <w:rsid w:val="00FF4B05"/>
    <w:rsid w:val="00FF4C8B"/>
    <w:rsid w:val="00FF4E58"/>
    <w:rsid w:val="00FF4F29"/>
    <w:rsid w:val="00FF52E3"/>
    <w:rsid w:val="00FF5694"/>
    <w:rsid w:val="00FF5967"/>
    <w:rsid w:val="00FF5B0A"/>
    <w:rsid w:val="00FF5BEF"/>
    <w:rsid w:val="00FF5F66"/>
    <w:rsid w:val="00FF5F7F"/>
    <w:rsid w:val="00FF6197"/>
    <w:rsid w:val="00FF621B"/>
    <w:rsid w:val="00FF62E8"/>
    <w:rsid w:val="00FF66B2"/>
    <w:rsid w:val="00FF6A64"/>
    <w:rsid w:val="00FF6C88"/>
    <w:rsid w:val="00FF701C"/>
    <w:rsid w:val="00FF7841"/>
    <w:rsid w:val="00FF7914"/>
    <w:rsid w:val="00FF79FA"/>
    <w:rsid w:val="00FF7D45"/>
    <w:rsid w:val="00FF7EAD"/>
    <w:rsid w:val="03A792BC"/>
    <w:rsid w:val="051A5A30"/>
    <w:rsid w:val="073080C4"/>
    <w:rsid w:val="07E70D29"/>
    <w:rsid w:val="09193F56"/>
    <w:rsid w:val="099A0D15"/>
    <w:rsid w:val="099F6C01"/>
    <w:rsid w:val="09C48D90"/>
    <w:rsid w:val="0B47870A"/>
    <w:rsid w:val="0BB6C1EA"/>
    <w:rsid w:val="0C81621E"/>
    <w:rsid w:val="0DA5802C"/>
    <w:rsid w:val="0DCCD4D0"/>
    <w:rsid w:val="0E4D4FA9"/>
    <w:rsid w:val="0E741116"/>
    <w:rsid w:val="0E9B4BDA"/>
    <w:rsid w:val="0EC67918"/>
    <w:rsid w:val="0F6D9264"/>
    <w:rsid w:val="105CDE01"/>
    <w:rsid w:val="107F44F2"/>
    <w:rsid w:val="10FA90B8"/>
    <w:rsid w:val="124F5CE0"/>
    <w:rsid w:val="12B02D9D"/>
    <w:rsid w:val="139FDB03"/>
    <w:rsid w:val="148E85E5"/>
    <w:rsid w:val="15735B75"/>
    <w:rsid w:val="1595F682"/>
    <w:rsid w:val="16368DF5"/>
    <w:rsid w:val="167D69B3"/>
    <w:rsid w:val="16F7FC76"/>
    <w:rsid w:val="196148E3"/>
    <w:rsid w:val="1981E9E3"/>
    <w:rsid w:val="1BBF98DD"/>
    <w:rsid w:val="1BE25800"/>
    <w:rsid w:val="1BF059E5"/>
    <w:rsid w:val="1C873FD6"/>
    <w:rsid w:val="1CA561A2"/>
    <w:rsid w:val="1CB2E7EA"/>
    <w:rsid w:val="1E5928E2"/>
    <w:rsid w:val="1E754E3F"/>
    <w:rsid w:val="1ED20A6D"/>
    <w:rsid w:val="1EE0CB7B"/>
    <w:rsid w:val="1F34DF4D"/>
    <w:rsid w:val="1F454E06"/>
    <w:rsid w:val="1FA7E590"/>
    <w:rsid w:val="2052F7A5"/>
    <w:rsid w:val="20F2F64F"/>
    <w:rsid w:val="2287D115"/>
    <w:rsid w:val="2331A376"/>
    <w:rsid w:val="239120F2"/>
    <w:rsid w:val="23E3DE11"/>
    <w:rsid w:val="2501643C"/>
    <w:rsid w:val="25BC159D"/>
    <w:rsid w:val="269C7185"/>
    <w:rsid w:val="27B027D2"/>
    <w:rsid w:val="29C4F174"/>
    <w:rsid w:val="29CF07B3"/>
    <w:rsid w:val="2B1D80BC"/>
    <w:rsid w:val="2C7927D5"/>
    <w:rsid w:val="2C82F09C"/>
    <w:rsid w:val="2FC31C8E"/>
    <w:rsid w:val="2FFD6CEB"/>
    <w:rsid w:val="30A93322"/>
    <w:rsid w:val="31D525B0"/>
    <w:rsid w:val="32192413"/>
    <w:rsid w:val="327853BC"/>
    <w:rsid w:val="32B9F124"/>
    <w:rsid w:val="32E8316A"/>
    <w:rsid w:val="32F6FF20"/>
    <w:rsid w:val="333BFA8D"/>
    <w:rsid w:val="34D2B9E4"/>
    <w:rsid w:val="3549F340"/>
    <w:rsid w:val="360F90AE"/>
    <w:rsid w:val="361B4264"/>
    <w:rsid w:val="362E3403"/>
    <w:rsid w:val="3639A943"/>
    <w:rsid w:val="3788969C"/>
    <w:rsid w:val="3795BF97"/>
    <w:rsid w:val="38B69BB6"/>
    <w:rsid w:val="38C0D46F"/>
    <w:rsid w:val="38CBB1B6"/>
    <w:rsid w:val="3B6AB2FD"/>
    <w:rsid w:val="3CD35AE8"/>
    <w:rsid w:val="3E337844"/>
    <w:rsid w:val="3EA09F3B"/>
    <w:rsid w:val="400E7861"/>
    <w:rsid w:val="401A80D5"/>
    <w:rsid w:val="40475F2F"/>
    <w:rsid w:val="404DE4D0"/>
    <w:rsid w:val="4165CDC9"/>
    <w:rsid w:val="418924B7"/>
    <w:rsid w:val="41A3A2B0"/>
    <w:rsid w:val="4299DC8D"/>
    <w:rsid w:val="44C4803F"/>
    <w:rsid w:val="45509FC8"/>
    <w:rsid w:val="45841AEC"/>
    <w:rsid w:val="45CAA660"/>
    <w:rsid w:val="462F617A"/>
    <w:rsid w:val="475C3074"/>
    <w:rsid w:val="4773BF63"/>
    <w:rsid w:val="483D0ED5"/>
    <w:rsid w:val="4880E065"/>
    <w:rsid w:val="48888C0C"/>
    <w:rsid w:val="49944900"/>
    <w:rsid w:val="49FEA439"/>
    <w:rsid w:val="4A6CA680"/>
    <w:rsid w:val="4A709045"/>
    <w:rsid w:val="4AFD17D9"/>
    <w:rsid w:val="4CD3E3CD"/>
    <w:rsid w:val="4E2D808B"/>
    <w:rsid w:val="4E8432BD"/>
    <w:rsid w:val="50442BD2"/>
    <w:rsid w:val="51F0FBE6"/>
    <w:rsid w:val="54CD2DD0"/>
    <w:rsid w:val="54D5C63F"/>
    <w:rsid w:val="55D8A51A"/>
    <w:rsid w:val="562A6C84"/>
    <w:rsid w:val="573BCD14"/>
    <w:rsid w:val="574B6D1B"/>
    <w:rsid w:val="57B7E08A"/>
    <w:rsid w:val="57BE9241"/>
    <w:rsid w:val="597CA160"/>
    <w:rsid w:val="5A768BFA"/>
    <w:rsid w:val="5BB3563A"/>
    <w:rsid w:val="5BD97538"/>
    <w:rsid w:val="5D89B29D"/>
    <w:rsid w:val="5DE141BE"/>
    <w:rsid w:val="5E05C75E"/>
    <w:rsid w:val="5E3BE157"/>
    <w:rsid w:val="5E6F83DB"/>
    <w:rsid w:val="5F1237E8"/>
    <w:rsid w:val="69A4A980"/>
    <w:rsid w:val="6B20B925"/>
    <w:rsid w:val="6B5E2FF8"/>
    <w:rsid w:val="6BD04EBD"/>
    <w:rsid w:val="6C8833F5"/>
    <w:rsid w:val="6C9719D0"/>
    <w:rsid w:val="6D7899C9"/>
    <w:rsid w:val="6DC3495E"/>
    <w:rsid w:val="6EE56052"/>
    <w:rsid w:val="6F6C1DF1"/>
    <w:rsid w:val="713AD05F"/>
    <w:rsid w:val="713C930E"/>
    <w:rsid w:val="71B314E0"/>
    <w:rsid w:val="71E25F13"/>
    <w:rsid w:val="72E46104"/>
    <w:rsid w:val="7307BDF0"/>
    <w:rsid w:val="736D5C31"/>
    <w:rsid w:val="746C08B8"/>
    <w:rsid w:val="747D57AB"/>
    <w:rsid w:val="7558A6DC"/>
    <w:rsid w:val="76874C8A"/>
    <w:rsid w:val="76BA0B6F"/>
    <w:rsid w:val="7730F949"/>
    <w:rsid w:val="778A7226"/>
    <w:rsid w:val="7B06602E"/>
    <w:rsid w:val="7BCAE9BA"/>
    <w:rsid w:val="7C6DD1F1"/>
    <w:rsid w:val="7C8BE394"/>
    <w:rsid w:val="7C9B4AAE"/>
    <w:rsid w:val="7CFF4321"/>
    <w:rsid w:val="7D2E12E5"/>
    <w:rsid w:val="7DFA6DBB"/>
    <w:rsid w:val="7E6029BB"/>
    <w:rsid w:val="7F54C257"/>
    <w:rsid w:val="7F5A19B2"/>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051"/>
    <o:shapelayout v:ext="edit">
      <o:idmap v:ext="edit" data="2"/>
    </o:shapelayout>
  </w:shapeDefaults>
  <w:decimalSymbol w:val=","/>
  <w:listSeparator w:val=";"/>
  <w14:docId w14:val="42BE4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1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1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1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1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1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1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13"/>
      </w:numPr>
      <w:outlineLvl w:val="6"/>
    </w:pPr>
    <w:rPr>
      <w:rFonts w:eastAsiaTheme="majorEastAsia"/>
      <w:iCs/>
    </w:rPr>
  </w:style>
  <w:style w:type="paragraph" w:styleId="Heading8">
    <w:name w:val="heading 8"/>
    <w:basedOn w:val="Normal"/>
    <w:next w:val="Normal"/>
    <w:link w:val="Heading8Char"/>
    <w:uiPriority w:val="9"/>
    <w:semiHidden/>
    <w:unhideWhenUsed/>
    <w:qFormat/>
    <w:rsid w:val="00BF3CD9"/>
    <w:pPr>
      <w:keepNext/>
      <w:keepLines/>
      <w:spacing w:after="0" w:line="259" w:lineRule="auto"/>
      <w:outlineLvl w:val="7"/>
    </w:pPr>
    <w:rPr>
      <w:rFonts w:eastAsiaTheme="majorEastAsia" w:cstheme="majorBidi"/>
      <w:i/>
      <w:iCs/>
      <w:color w:val="272727"/>
      <w:kern w:val="2"/>
      <w:szCs w:val="24"/>
      <w:lang w:val="en-IE"/>
      <w14:ligatures w14:val="standardContextual"/>
    </w:rPr>
  </w:style>
  <w:style w:type="paragraph" w:styleId="Heading9">
    <w:name w:val="heading 9"/>
    <w:basedOn w:val="Normal"/>
    <w:next w:val="Normal"/>
    <w:link w:val="Heading9Char"/>
    <w:uiPriority w:val="9"/>
    <w:semiHidden/>
    <w:unhideWhenUsed/>
    <w:qFormat/>
    <w:rsid w:val="00BF3CD9"/>
    <w:pPr>
      <w:keepNext/>
      <w:keepLines/>
      <w:spacing w:after="0" w:line="259" w:lineRule="auto"/>
      <w:outlineLvl w:val="8"/>
    </w:pPr>
    <w:rPr>
      <w:rFonts w:eastAsiaTheme="majorEastAsia" w:cstheme="majorBidi"/>
      <w:color w:val="272727"/>
      <w:kern w:val="2"/>
      <w:szCs w:val="24"/>
      <w:lang w:val="en-IE"/>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A3053C"/>
    <w:pPr>
      <w:numPr>
        <w:numId w:val="2"/>
      </w:numPr>
      <w:tabs>
        <w:tab w:val="num" w:pos="360"/>
      </w:tabs>
      <w:ind w:left="0" w:firstLine="0"/>
    </w:pPr>
    <w:rPr>
      <w:rFonts w:eastAsia="Times New Roman"/>
      <w:lang w:eastAsia="de-DE"/>
    </w:rPr>
  </w:style>
  <w:style w:type="paragraph" w:styleId="ListNumber">
    <w:name w:val="List Number"/>
    <w:basedOn w:val="Normal"/>
    <w:rsid w:val="00A3053C"/>
    <w:pPr>
      <w:numPr>
        <w:numId w:val="204"/>
      </w:numPr>
    </w:pPr>
    <w:rPr>
      <w:rFonts w:eastAsia="Times New Roman"/>
      <w:lang w:eastAsia="de-DE"/>
    </w:rPr>
  </w:style>
  <w:style w:type="paragraph" w:customStyle="1" w:styleId="ListBullet1">
    <w:name w:val="List Bullet 1"/>
    <w:basedOn w:val="Normal"/>
    <w:rsid w:val="00A3053C"/>
    <w:pPr>
      <w:numPr>
        <w:numId w:val="1"/>
      </w:numPr>
    </w:pPr>
    <w:rPr>
      <w:rFonts w:eastAsia="Times New Roman"/>
      <w:lang w:eastAsia="de-DE"/>
    </w:rPr>
  </w:style>
  <w:style w:type="paragraph" w:customStyle="1" w:styleId="ListDash">
    <w:name w:val="List Dash"/>
    <w:basedOn w:val="Normal"/>
    <w:rsid w:val="00A3053C"/>
    <w:pPr>
      <w:numPr>
        <w:numId w:val="3"/>
      </w:numPr>
    </w:pPr>
    <w:rPr>
      <w:rFonts w:eastAsia="Times New Roman"/>
      <w:lang w:eastAsia="de-DE"/>
    </w:rPr>
  </w:style>
  <w:style w:type="paragraph" w:customStyle="1" w:styleId="ListDash1">
    <w:name w:val="List Dash 1"/>
    <w:basedOn w:val="Normal"/>
    <w:rsid w:val="00A3053C"/>
    <w:pPr>
      <w:numPr>
        <w:numId w:val="4"/>
      </w:numPr>
    </w:pPr>
    <w:rPr>
      <w:rFonts w:eastAsia="Times New Roman"/>
      <w:lang w:eastAsia="de-DE"/>
    </w:rPr>
  </w:style>
  <w:style w:type="paragraph" w:customStyle="1" w:styleId="ListDash2">
    <w:name w:val="List Dash 2"/>
    <w:basedOn w:val="Normal"/>
    <w:rsid w:val="00A3053C"/>
    <w:pPr>
      <w:numPr>
        <w:numId w:val="5"/>
      </w:numPr>
    </w:pPr>
    <w:rPr>
      <w:rFonts w:eastAsia="Times New Roman"/>
      <w:lang w:eastAsia="de-DE"/>
    </w:rPr>
  </w:style>
  <w:style w:type="paragraph" w:customStyle="1" w:styleId="ListNumberLevel2">
    <w:name w:val="List Number (Level 2)"/>
    <w:basedOn w:val="Normal"/>
    <w:rsid w:val="00A3053C"/>
    <w:pPr>
      <w:numPr>
        <w:ilvl w:val="1"/>
        <w:numId w:val="6"/>
      </w:numPr>
    </w:pPr>
    <w:rPr>
      <w:rFonts w:eastAsia="Times New Roman"/>
      <w:lang w:eastAsia="de-DE"/>
    </w:rPr>
  </w:style>
  <w:style w:type="paragraph" w:customStyle="1" w:styleId="ListNumberLevel3">
    <w:name w:val="List Number (Level 3)"/>
    <w:basedOn w:val="Normal"/>
    <w:rsid w:val="00A3053C"/>
    <w:pPr>
      <w:numPr>
        <w:ilvl w:val="2"/>
        <w:numId w:val="6"/>
      </w:numPr>
    </w:pPr>
    <w:rPr>
      <w:rFonts w:eastAsia="Times New Roman"/>
      <w:lang w:eastAsia="de-DE"/>
    </w:rPr>
  </w:style>
  <w:style w:type="paragraph" w:customStyle="1" w:styleId="ListNumberLevel4">
    <w:name w:val="List Number (Level 4)"/>
    <w:basedOn w:val="Normal"/>
    <w:rsid w:val="00A3053C"/>
    <w:pPr>
      <w:numPr>
        <w:ilvl w:val="3"/>
        <w:numId w:val="6"/>
      </w:numPr>
    </w:pPr>
    <w:rPr>
      <w:rFonts w:eastAsia="Times New Roman"/>
      <w:lang w:eastAsia="de-DE"/>
    </w:rPr>
  </w:style>
  <w:style w:type="table" w:styleId="TableGrid">
    <w:name w:val="Table Grid"/>
    <w:basedOn w:val="TableNormal"/>
    <w:rsid w:val="00A3053C"/>
    <w:pPr>
      <w:spacing w:before="120" w:after="120" w:line="240" w:lineRule="auto"/>
      <w:jc w:val="both"/>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A3053C"/>
    <w:rPr>
      <w:color w:val="0000FF"/>
      <w:u w:val="single"/>
    </w:rPr>
  </w:style>
  <w:style w:type="paragraph" w:styleId="ListBullet">
    <w:name w:val="List Bullet"/>
    <w:basedOn w:val="Normal"/>
    <w:rsid w:val="00A3053C"/>
    <w:pPr>
      <w:numPr>
        <w:numId w:val="7"/>
      </w:numPr>
    </w:pPr>
    <w:rPr>
      <w:rFonts w:eastAsia="Times New Roman"/>
      <w:lang w:val="fr-FR" w:eastAsia="en-GB"/>
    </w:rPr>
  </w:style>
  <w:style w:type="paragraph" w:styleId="ListBullet2">
    <w:name w:val="List Bullet 2"/>
    <w:basedOn w:val="Normal"/>
    <w:rsid w:val="00A3053C"/>
    <w:pPr>
      <w:numPr>
        <w:numId w:val="8"/>
      </w:numPr>
    </w:pPr>
    <w:rPr>
      <w:rFonts w:eastAsia="Times New Roman"/>
      <w:lang w:val="fr-FR" w:eastAsia="en-GB"/>
    </w:rPr>
  </w:style>
  <w:style w:type="paragraph" w:styleId="ListBullet3">
    <w:name w:val="List Bullet 3"/>
    <w:basedOn w:val="Normal"/>
    <w:rsid w:val="00A3053C"/>
    <w:pPr>
      <w:numPr>
        <w:numId w:val="9"/>
      </w:numPr>
    </w:pPr>
    <w:rPr>
      <w:rFonts w:eastAsia="Times New Roman"/>
      <w:lang w:val="fr-FR" w:eastAsia="en-GB"/>
    </w:rPr>
  </w:style>
  <w:style w:type="paragraph" w:styleId="ListNumber2">
    <w:name w:val="List Number 2"/>
    <w:basedOn w:val="Normal"/>
    <w:rsid w:val="00A3053C"/>
    <w:pPr>
      <w:numPr>
        <w:numId w:val="13"/>
      </w:numPr>
    </w:pPr>
    <w:rPr>
      <w:rFonts w:eastAsia="Times New Roman"/>
      <w:lang w:val="fr-FR" w:eastAsia="en-GB"/>
    </w:rPr>
  </w:style>
  <w:style w:type="paragraph" w:styleId="ListNumber3">
    <w:name w:val="List Number 3"/>
    <w:basedOn w:val="Normal"/>
    <w:rsid w:val="00A3053C"/>
    <w:pPr>
      <w:numPr>
        <w:numId w:val="14"/>
      </w:numPr>
    </w:pPr>
    <w:rPr>
      <w:rFonts w:eastAsia="Times New Roman"/>
      <w:lang w:val="fr-FR" w:eastAsia="en-GB"/>
    </w:rPr>
  </w:style>
  <w:style w:type="paragraph" w:styleId="ListNumber4">
    <w:name w:val="List Number 4"/>
    <w:basedOn w:val="Normal"/>
    <w:rsid w:val="00A3053C"/>
    <w:pPr>
      <w:numPr>
        <w:numId w:val="15"/>
      </w:numPr>
    </w:pPr>
    <w:rPr>
      <w:rFonts w:eastAsia="Times New Roman"/>
      <w:lang w:val="fr-FR" w:eastAsia="en-GB"/>
    </w:rPr>
  </w:style>
  <w:style w:type="paragraph" w:customStyle="1" w:styleId="ListDash3">
    <w:name w:val="List Dash 3"/>
    <w:basedOn w:val="Normal"/>
    <w:rsid w:val="00A3053C"/>
    <w:pPr>
      <w:numPr>
        <w:numId w:val="10"/>
      </w:numPr>
    </w:pPr>
    <w:rPr>
      <w:rFonts w:eastAsia="Times New Roman"/>
      <w:lang w:val="fr-FR" w:eastAsia="en-GB"/>
    </w:rPr>
  </w:style>
  <w:style w:type="paragraph" w:customStyle="1" w:styleId="ListDash4">
    <w:name w:val="List Dash 4"/>
    <w:basedOn w:val="Normal"/>
    <w:rsid w:val="00A3053C"/>
    <w:pPr>
      <w:numPr>
        <w:numId w:val="11"/>
      </w:numPr>
    </w:pPr>
    <w:rPr>
      <w:rFonts w:eastAsia="Times New Roman"/>
      <w:lang w:val="fr-FR" w:eastAsia="en-GB"/>
    </w:rPr>
  </w:style>
  <w:style w:type="paragraph" w:customStyle="1" w:styleId="ListNumber1">
    <w:name w:val="List Number 1"/>
    <w:basedOn w:val="Text1"/>
    <w:rsid w:val="00A3053C"/>
    <w:pPr>
      <w:numPr>
        <w:numId w:val="12"/>
      </w:numPr>
    </w:pPr>
    <w:rPr>
      <w:rFonts w:eastAsia="Times New Roman"/>
      <w:lang w:val="fr-FR" w:eastAsia="en-GB"/>
    </w:rPr>
  </w:style>
  <w:style w:type="paragraph" w:customStyle="1" w:styleId="ListNumber1Level2">
    <w:name w:val="List Number 1 (Level 2)"/>
    <w:basedOn w:val="Text1"/>
    <w:rsid w:val="00A3053C"/>
    <w:pPr>
      <w:numPr>
        <w:ilvl w:val="1"/>
        <w:numId w:val="12"/>
      </w:numPr>
    </w:pPr>
    <w:rPr>
      <w:rFonts w:eastAsia="Times New Roman"/>
      <w:lang w:val="fr-FR" w:eastAsia="en-GB"/>
    </w:rPr>
  </w:style>
  <w:style w:type="paragraph" w:customStyle="1" w:styleId="ListNumber2Level2">
    <w:name w:val="List Number 2 (Level 2)"/>
    <w:basedOn w:val="Text2"/>
    <w:rsid w:val="00A3053C"/>
    <w:pPr>
      <w:numPr>
        <w:ilvl w:val="1"/>
        <w:numId w:val="13"/>
      </w:numPr>
    </w:pPr>
    <w:rPr>
      <w:rFonts w:eastAsia="Times New Roman"/>
      <w:lang w:val="fr-FR" w:eastAsia="en-GB"/>
    </w:rPr>
  </w:style>
  <w:style w:type="paragraph" w:customStyle="1" w:styleId="ListNumber3Level2">
    <w:name w:val="List Number 3 (Level 2)"/>
    <w:basedOn w:val="Text3"/>
    <w:rsid w:val="00A3053C"/>
    <w:pPr>
      <w:numPr>
        <w:ilvl w:val="1"/>
        <w:numId w:val="14"/>
      </w:numPr>
    </w:pPr>
    <w:rPr>
      <w:rFonts w:eastAsia="Times New Roman"/>
      <w:lang w:val="fr-FR" w:eastAsia="en-GB"/>
    </w:rPr>
  </w:style>
  <w:style w:type="paragraph" w:customStyle="1" w:styleId="ListNumber4Level2">
    <w:name w:val="List Number 4 (Level 2)"/>
    <w:basedOn w:val="Text4"/>
    <w:rsid w:val="00A3053C"/>
    <w:pPr>
      <w:numPr>
        <w:ilvl w:val="1"/>
        <w:numId w:val="15"/>
      </w:numPr>
    </w:pPr>
    <w:rPr>
      <w:rFonts w:eastAsia="Times New Roman"/>
      <w:lang w:val="fr-FR" w:eastAsia="en-GB"/>
    </w:rPr>
  </w:style>
  <w:style w:type="paragraph" w:customStyle="1" w:styleId="ListNumber1Level3">
    <w:name w:val="List Number 1 (Level 3)"/>
    <w:basedOn w:val="Text1"/>
    <w:rsid w:val="00A3053C"/>
    <w:pPr>
      <w:numPr>
        <w:ilvl w:val="2"/>
        <w:numId w:val="12"/>
      </w:numPr>
    </w:pPr>
    <w:rPr>
      <w:rFonts w:eastAsia="Times New Roman"/>
      <w:lang w:val="fr-FR" w:eastAsia="en-GB"/>
    </w:rPr>
  </w:style>
  <w:style w:type="paragraph" w:customStyle="1" w:styleId="ListNumber2Level3">
    <w:name w:val="List Number 2 (Level 3)"/>
    <w:basedOn w:val="Text2"/>
    <w:rsid w:val="00A3053C"/>
    <w:pPr>
      <w:numPr>
        <w:ilvl w:val="2"/>
        <w:numId w:val="13"/>
      </w:numPr>
    </w:pPr>
    <w:rPr>
      <w:rFonts w:eastAsia="Times New Roman"/>
      <w:lang w:val="fr-FR" w:eastAsia="en-GB"/>
    </w:rPr>
  </w:style>
  <w:style w:type="paragraph" w:customStyle="1" w:styleId="ListNumber3Level3">
    <w:name w:val="List Number 3 (Level 3)"/>
    <w:basedOn w:val="Text3"/>
    <w:rsid w:val="00A3053C"/>
    <w:pPr>
      <w:numPr>
        <w:ilvl w:val="2"/>
        <w:numId w:val="14"/>
      </w:numPr>
    </w:pPr>
    <w:rPr>
      <w:rFonts w:eastAsia="Times New Roman"/>
      <w:lang w:val="fr-FR" w:eastAsia="en-GB"/>
    </w:rPr>
  </w:style>
  <w:style w:type="paragraph" w:customStyle="1" w:styleId="ListNumber4Level3">
    <w:name w:val="List Number 4 (Level 3)"/>
    <w:basedOn w:val="Text4"/>
    <w:rsid w:val="00A3053C"/>
    <w:pPr>
      <w:numPr>
        <w:ilvl w:val="2"/>
        <w:numId w:val="15"/>
      </w:numPr>
    </w:pPr>
    <w:rPr>
      <w:rFonts w:eastAsia="Times New Roman"/>
      <w:lang w:val="fr-FR" w:eastAsia="en-GB"/>
    </w:rPr>
  </w:style>
  <w:style w:type="paragraph" w:customStyle="1" w:styleId="ListNumber1Level4">
    <w:name w:val="List Number 1 (Level 4)"/>
    <w:basedOn w:val="Text1"/>
    <w:rsid w:val="00A3053C"/>
    <w:pPr>
      <w:numPr>
        <w:ilvl w:val="3"/>
        <w:numId w:val="12"/>
      </w:numPr>
    </w:pPr>
    <w:rPr>
      <w:rFonts w:eastAsia="Times New Roman"/>
      <w:lang w:val="fr-FR" w:eastAsia="en-GB"/>
    </w:rPr>
  </w:style>
  <w:style w:type="paragraph" w:customStyle="1" w:styleId="ListNumber2Level4">
    <w:name w:val="List Number 2 (Level 4)"/>
    <w:basedOn w:val="Text2"/>
    <w:rsid w:val="00A3053C"/>
    <w:pPr>
      <w:numPr>
        <w:ilvl w:val="3"/>
        <w:numId w:val="13"/>
      </w:numPr>
    </w:pPr>
    <w:rPr>
      <w:rFonts w:eastAsia="Times New Roman"/>
      <w:lang w:val="fr-FR" w:eastAsia="en-GB"/>
    </w:rPr>
  </w:style>
  <w:style w:type="paragraph" w:customStyle="1" w:styleId="ListNumber3Level4">
    <w:name w:val="List Number 3 (Level 4)"/>
    <w:basedOn w:val="Text3"/>
    <w:rsid w:val="00A3053C"/>
    <w:pPr>
      <w:numPr>
        <w:ilvl w:val="3"/>
        <w:numId w:val="14"/>
      </w:numPr>
    </w:pPr>
    <w:rPr>
      <w:rFonts w:eastAsia="Times New Roman"/>
      <w:lang w:val="fr-FR" w:eastAsia="en-GB"/>
    </w:rPr>
  </w:style>
  <w:style w:type="paragraph" w:customStyle="1" w:styleId="ListNumber4Level4">
    <w:name w:val="List Number 4 (Level 4)"/>
    <w:basedOn w:val="Text4"/>
    <w:rsid w:val="00A3053C"/>
    <w:pPr>
      <w:numPr>
        <w:ilvl w:val="3"/>
        <w:numId w:val="15"/>
      </w:numPr>
    </w:pPr>
    <w:rPr>
      <w:rFonts w:eastAsia="Times New Roman"/>
      <w:lang w:val="fr-FR" w:eastAsia="en-GB"/>
    </w:rPr>
  </w:style>
  <w:style w:type="paragraph" w:customStyle="1" w:styleId="Annexetitreacte">
    <w:name w:val="Annexe titre (acte)"/>
    <w:basedOn w:val="Normal"/>
    <w:next w:val="Normal"/>
    <w:rsid w:val="00A3053C"/>
    <w:pPr>
      <w:jc w:val="center"/>
    </w:pPr>
    <w:rPr>
      <w:rFonts w:eastAsia="Times New Roman"/>
      <w:b/>
      <w:u w:val="single"/>
      <w:lang w:val="fr-FR" w:eastAsia="en-GB"/>
    </w:rPr>
  </w:style>
  <w:style w:type="paragraph" w:customStyle="1" w:styleId="Annexetitreexposglobal">
    <w:name w:val="Annexe titre (exposé global)"/>
    <w:basedOn w:val="Normal"/>
    <w:next w:val="Normal"/>
    <w:rsid w:val="00A3053C"/>
    <w:pPr>
      <w:jc w:val="center"/>
    </w:pPr>
    <w:rPr>
      <w:rFonts w:eastAsia="Times New Roman"/>
      <w:b/>
      <w:u w:val="single"/>
      <w:lang w:val="fr-FR" w:eastAsia="en-GB"/>
    </w:rPr>
  </w:style>
  <w:style w:type="paragraph" w:customStyle="1" w:styleId="Annexetitrefichefinacte">
    <w:name w:val="Annexe titre (fiche fin. acte)"/>
    <w:basedOn w:val="Normal"/>
    <w:next w:val="Normal"/>
    <w:rsid w:val="00A3053C"/>
    <w:pPr>
      <w:jc w:val="center"/>
    </w:pPr>
    <w:rPr>
      <w:rFonts w:eastAsia="Times New Roman"/>
      <w:b/>
      <w:u w:val="single"/>
      <w:lang w:val="fr-FR" w:eastAsia="en-GB"/>
    </w:rPr>
  </w:style>
  <w:style w:type="paragraph" w:customStyle="1" w:styleId="Annexetitrefichefinglobale">
    <w:name w:val="Annexe titre (fiche fin. globale)"/>
    <w:basedOn w:val="Normal"/>
    <w:next w:val="Normal"/>
    <w:rsid w:val="00A3053C"/>
    <w:pPr>
      <w:jc w:val="center"/>
    </w:pPr>
    <w:rPr>
      <w:rFonts w:eastAsia="Times New Roman"/>
      <w:b/>
      <w:u w:val="single"/>
      <w:lang w:val="fr-FR" w:eastAsia="en-GB"/>
    </w:rPr>
  </w:style>
  <w:style w:type="paragraph" w:customStyle="1" w:styleId="Annexetitreglobale">
    <w:name w:val="Annexe titre (globale)"/>
    <w:basedOn w:val="Normal"/>
    <w:next w:val="Normal"/>
    <w:rsid w:val="00A3053C"/>
    <w:pPr>
      <w:jc w:val="center"/>
    </w:pPr>
    <w:rPr>
      <w:rFonts w:eastAsia="Times New Roman"/>
      <w:b/>
      <w:u w:val="single"/>
      <w:lang w:val="fr-FR" w:eastAsia="en-GB"/>
    </w:rPr>
  </w:style>
  <w:style w:type="paragraph" w:customStyle="1" w:styleId="Exposdesmotifstitreglobal">
    <w:name w:val="Exposé des motifs titre (global)"/>
    <w:basedOn w:val="Normal"/>
    <w:next w:val="Normal"/>
    <w:rsid w:val="00A3053C"/>
    <w:pPr>
      <w:jc w:val="center"/>
    </w:pPr>
    <w:rPr>
      <w:rFonts w:eastAsia="Times New Roman"/>
      <w:b/>
      <w:u w:val="single"/>
      <w:lang w:val="fr-FR" w:eastAsia="en-GB"/>
    </w:rPr>
  </w:style>
  <w:style w:type="paragraph" w:customStyle="1" w:styleId="Langueoriginale">
    <w:name w:val="Langue originale"/>
    <w:basedOn w:val="Normal"/>
    <w:rsid w:val="00A3053C"/>
    <w:pPr>
      <w:spacing w:before="360"/>
      <w:jc w:val="center"/>
    </w:pPr>
    <w:rPr>
      <w:rFonts w:eastAsia="Times New Roman"/>
      <w:caps/>
      <w:lang w:val="fr-FR" w:eastAsia="en-GB"/>
    </w:rPr>
  </w:style>
  <w:style w:type="paragraph" w:customStyle="1" w:styleId="Phrasefinale">
    <w:name w:val="Phrase finale"/>
    <w:basedOn w:val="Normal"/>
    <w:next w:val="Normal"/>
    <w:rsid w:val="00A3053C"/>
    <w:pPr>
      <w:spacing w:before="360" w:after="0"/>
      <w:jc w:val="center"/>
    </w:pPr>
    <w:rPr>
      <w:rFonts w:eastAsia="Times New Roman"/>
      <w:lang w:val="fr-FR" w:eastAsia="en-GB"/>
    </w:rPr>
  </w:style>
  <w:style w:type="paragraph" w:customStyle="1" w:styleId="Prliminairetitre">
    <w:name w:val="Préliminaire titre"/>
    <w:basedOn w:val="Normal"/>
    <w:next w:val="Normal"/>
    <w:rsid w:val="00A3053C"/>
    <w:pPr>
      <w:spacing w:before="360" w:after="360"/>
      <w:jc w:val="center"/>
    </w:pPr>
    <w:rPr>
      <w:rFonts w:eastAsia="Times New Roman"/>
      <w:b/>
      <w:lang w:val="fr-FR" w:eastAsia="en-GB"/>
    </w:rPr>
  </w:style>
  <w:style w:type="paragraph" w:customStyle="1" w:styleId="Prliminairetype">
    <w:name w:val="Préliminaire type"/>
    <w:basedOn w:val="Normal"/>
    <w:next w:val="Normal"/>
    <w:rsid w:val="00A3053C"/>
    <w:pPr>
      <w:spacing w:before="360" w:after="0"/>
      <w:jc w:val="center"/>
    </w:pPr>
    <w:rPr>
      <w:rFonts w:eastAsia="Times New Roman"/>
      <w:b/>
      <w:lang w:val="fr-FR" w:eastAsia="en-GB"/>
    </w:rPr>
  </w:style>
  <w:style w:type="paragraph" w:customStyle="1" w:styleId="Rfrenceinstitutionelle">
    <w:name w:val="Référence institutionelle"/>
    <w:basedOn w:val="Normal"/>
    <w:next w:val="Statut"/>
    <w:rsid w:val="00A3053C"/>
    <w:pPr>
      <w:spacing w:before="0" w:after="240"/>
      <w:ind w:left="5103"/>
      <w:jc w:val="left"/>
    </w:pPr>
    <w:rPr>
      <w:rFonts w:eastAsia="Times New Roman"/>
      <w:lang w:val="fr-FR" w:eastAsia="en-GB"/>
    </w:rPr>
  </w:style>
  <w:style w:type="paragraph" w:customStyle="1" w:styleId="Rfrenceinterinstitutionelle">
    <w:name w:val="Référence interinstitutionelle"/>
    <w:basedOn w:val="Normal"/>
    <w:next w:val="Statut"/>
    <w:rsid w:val="00A3053C"/>
    <w:pPr>
      <w:spacing w:before="0" w:after="0"/>
      <w:ind w:left="5103"/>
      <w:jc w:val="left"/>
    </w:pPr>
    <w:rPr>
      <w:rFonts w:eastAsia="Times New Roman"/>
      <w:lang w:val="fr-FR" w:eastAsia="en-GB"/>
    </w:rPr>
  </w:style>
  <w:style w:type="paragraph" w:customStyle="1" w:styleId="Rfrenceinterinstitutionelleprliminaire">
    <w:name w:val="Référence interinstitutionelle (préliminaire)"/>
    <w:basedOn w:val="Normal"/>
    <w:next w:val="Normal"/>
    <w:rsid w:val="00A3053C"/>
    <w:pPr>
      <w:spacing w:before="0" w:after="0"/>
      <w:ind w:left="5103"/>
      <w:jc w:val="left"/>
    </w:pPr>
    <w:rPr>
      <w:rFonts w:eastAsia="Times New Roman"/>
      <w:lang w:val="fr-FR" w:eastAsia="en-GB"/>
    </w:rPr>
  </w:style>
  <w:style w:type="paragraph" w:customStyle="1" w:styleId="Sous-titreobjetprliminaire">
    <w:name w:val="Sous-titre objet (préliminaire)"/>
    <w:basedOn w:val="Normal"/>
    <w:rsid w:val="00A3053C"/>
    <w:pPr>
      <w:spacing w:before="0" w:after="0"/>
      <w:jc w:val="center"/>
    </w:pPr>
    <w:rPr>
      <w:rFonts w:eastAsia="Times New Roman"/>
      <w:b/>
      <w:lang w:val="fr-FR" w:eastAsia="en-GB"/>
    </w:rPr>
  </w:style>
  <w:style w:type="paragraph" w:customStyle="1" w:styleId="Statutprliminaire">
    <w:name w:val="Statut (préliminaire)"/>
    <w:basedOn w:val="Normal"/>
    <w:next w:val="Normal"/>
    <w:rsid w:val="00A3053C"/>
    <w:pPr>
      <w:spacing w:before="360" w:after="0"/>
      <w:jc w:val="center"/>
    </w:pPr>
    <w:rPr>
      <w:rFonts w:eastAsia="Times New Roman"/>
      <w:lang w:val="fr-FR" w:eastAsia="en-GB"/>
    </w:rPr>
  </w:style>
  <w:style w:type="paragraph" w:customStyle="1" w:styleId="Titreobjetprliminaire">
    <w:name w:val="Titre objet (préliminaire)"/>
    <w:basedOn w:val="Normal"/>
    <w:next w:val="Normal"/>
    <w:rsid w:val="00A3053C"/>
    <w:pPr>
      <w:spacing w:before="360" w:after="360"/>
      <w:jc w:val="center"/>
    </w:pPr>
    <w:rPr>
      <w:rFonts w:eastAsia="Times New Roman"/>
      <w:b/>
      <w:lang w:val="fr-FR" w:eastAsia="en-GB"/>
    </w:rPr>
  </w:style>
  <w:style w:type="paragraph" w:customStyle="1" w:styleId="Typedudocumentprliminaire">
    <w:name w:val="Type du document (préliminaire)"/>
    <w:basedOn w:val="Normal"/>
    <w:next w:val="Normal"/>
    <w:rsid w:val="00A3053C"/>
    <w:pPr>
      <w:spacing w:before="360" w:after="0"/>
      <w:jc w:val="center"/>
    </w:pPr>
    <w:rPr>
      <w:rFonts w:eastAsia="Times New Roman"/>
      <w:b/>
      <w:lang w:val="fr-FR" w:eastAsia="en-GB"/>
    </w:rPr>
  </w:style>
  <w:style w:type="paragraph" w:customStyle="1" w:styleId="Fichefinancirestandardtitre">
    <w:name w:val="Fiche financière (standard) titre"/>
    <w:basedOn w:val="Normal"/>
    <w:next w:val="Normal"/>
    <w:rsid w:val="00A3053C"/>
    <w:pPr>
      <w:jc w:val="center"/>
    </w:pPr>
    <w:rPr>
      <w:rFonts w:eastAsia="Times New Roman"/>
      <w:b/>
      <w:u w:val="single"/>
      <w:lang w:val="fr-FR" w:eastAsia="en-GB"/>
    </w:rPr>
  </w:style>
  <w:style w:type="paragraph" w:customStyle="1" w:styleId="Fichefinancirestandardtitreacte">
    <w:name w:val="Fiche financière (standard) titre (acte)"/>
    <w:basedOn w:val="Normal"/>
    <w:next w:val="Normal"/>
    <w:rsid w:val="00A3053C"/>
    <w:pPr>
      <w:jc w:val="center"/>
    </w:pPr>
    <w:rPr>
      <w:rFonts w:eastAsia="Times New Roman"/>
      <w:b/>
      <w:u w:val="single"/>
      <w:lang w:val="fr-FR" w:eastAsia="en-GB"/>
    </w:rPr>
  </w:style>
  <w:style w:type="paragraph" w:customStyle="1" w:styleId="Fichefinanciretravailtitre">
    <w:name w:val="Fiche financière (travail) titre"/>
    <w:basedOn w:val="Normal"/>
    <w:next w:val="Normal"/>
    <w:rsid w:val="00A3053C"/>
    <w:pPr>
      <w:jc w:val="center"/>
    </w:pPr>
    <w:rPr>
      <w:rFonts w:eastAsia="Times New Roman"/>
      <w:b/>
      <w:u w:val="single"/>
      <w:lang w:val="fr-FR" w:eastAsia="en-GB"/>
    </w:rPr>
  </w:style>
  <w:style w:type="paragraph" w:customStyle="1" w:styleId="Fichefinanciretravailtitreacte">
    <w:name w:val="Fiche financière (travail) titre (acte)"/>
    <w:basedOn w:val="Normal"/>
    <w:next w:val="Normal"/>
    <w:rsid w:val="00A3053C"/>
    <w:pPr>
      <w:jc w:val="center"/>
    </w:pPr>
    <w:rPr>
      <w:rFonts w:eastAsia="Times New Roman"/>
      <w:b/>
      <w:u w:val="single"/>
      <w:lang w:val="fr-FR" w:eastAsia="en-GB"/>
    </w:rPr>
  </w:style>
  <w:style w:type="paragraph" w:customStyle="1" w:styleId="Fichefinancireattributiontitre">
    <w:name w:val="Fiche financière (attribution) titre"/>
    <w:basedOn w:val="Normal"/>
    <w:next w:val="Normal"/>
    <w:rsid w:val="00A3053C"/>
    <w:pPr>
      <w:jc w:val="center"/>
    </w:pPr>
    <w:rPr>
      <w:rFonts w:eastAsia="Times New Roman"/>
      <w:b/>
      <w:u w:val="single"/>
      <w:lang w:val="fr-FR" w:eastAsia="en-GB"/>
    </w:rPr>
  </w:style>
  <w:style w:type="paragraph" w:customStyle="1" w:styleId="Fichefinancireattributiontitreacte">
    <w:name w:val="Fiche financière (attribution) titre (acte)"/>
    <w:basedOn w:val="Normal"/>
    <w:next w:val="Normal"/>
    <w:rsid w:val="00A3053C"/>
    <w:pPr>
      <w:jc w:val="center"/>
    </w:pPr>
    <w:rPr>
      <w:rFonts w:eastAsia="Times New Roman"/>
      <w:b/>
      <w:u w:val="single"/>
      <w:lang w:val="fr-FR" w:eastAsia="en-GB"/>
    </w:rPr>
  </w:style>
  <w:style w:type="character" w:styleId="CommentReference">
    <w:name w:val="annotation reference"/>
    <w:uiPriority w:val="99"/>
    <w:rsid w:val="00A3053C"/>
    <w:rPr>
      <w:rFonts w:cs="Times New Roman"/>
      <w:sz w:val="16"/>
      <w:szCs w:val="16"/>
    </w:rPr>
  </w:style>
  <w:style w:type="paragraph" w:styleId="CommentText">
    <w:name w:val="annotation text"/>
    <w:basedOn w:val="Normal"/>
    <w:link w:val="CommentTextChar"/>
    <w:uiPriority w:val="99"/>
    <w:rsid w:val="00A3053C"/>
    <w:rPr>
      <w:rFonts w:eastAsia="Times New Roman"/>
      <w:sz w:val="20"/>
      <w:szCs w:val="20"/>
      <w:lang w:val="fr-FR" w:eastAsia="en-GB"/>
    </w:rPr>
  </w:style>
  <w:style w:type="character" w:customStyle="1" w:styleId="CommentTextChar">
    <w:name w:val="Comment Text Char"/>
    <w:basedOn w:val="DefaultParagraphFont"/>
    <w:link w:val="CommentText"/>
    <w:uiPriority w:val="99"/>
    <w:rsid w:val="00A3053C"/>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uiPriority w:val="99"/>
    <w:rsid w:val="00A3053C"/>
    <w:rPr>
      <w:b/>
      <w:bCs/>
    </w:rPr>
  </w:style>
  <w:style w:type="character" w:customStyle="1" w:styleId="CommentSubjectChar">
    <w:name w:val="Comment Subject Char"/>
    <w:basedOn w:val="CommentTextChar"/>
    <w:link w:val="CommentSubject"/>
    <w:uiPriority w:val="99"/>
    <w:rsid w:val="00A3053C"/>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sid w:val="00A3053C"/>
    <w:rPr>
      <w:rFonts w:ascii="Tahoma" w:eastAsia="Times New Roman" w:hAnsi="Tahoma" w:cs="Tahoma"/>
      <w:sz w:val="16"/>
      <w:szCs w:val="16"/>
      <w:lang w:val="fr-FR" w:eastAsia="en-GB"/>
    </w:rPr>
  </w:style>
  <w:style w:type="character" w:customStyle="1" w:styleId="BalloonTextChar">
    <w:name w:val="Balloon Text Char"/>
    <w:basedOn w:val="DefaultParagraphFont"/>
    <w:link w:val="BalloonText"/>
    <w:rsid w:val="00A3053C"/>
    <w:rPr>
      <w:rFonts w:ascii="Tahoma" w:eastAsia="Times New Roman" w:hAnsi="Tahoma" w:cs="Tahoma"/>
      <w:sz w:val="16"/>
      <w:szCs w:val="16"/>
      <w:lang w:val="fr-FR" w:eastAsia="en-GB"/>
    </w:rPr>
  </w:style>
  <w:style w:type="paragraph" w:styleId="Caption">
    <w:name w:val="caption"/>
    <w:basedOn w:val="Normal"/>
    <w:next w:val="Normal"/>
    <w:uiPriority w:val="35"/>
    <w:qFormat/>
    <w:rsid w:val="00A3053C"/>
    <w:rPr>
      <w:rFonts w:eastAsia="Times New Roman"/>
      <w:b/>
      <w:bCs/>
      <w:sz w:val="20"/>
      <w:szCs w:val="20"/>
      <w:lang w:val="fr-FR" w:eastAsia="en-GB"/>
    </w:rPr>
  </w:style>
  <w:style w:type="paragraph" w:styleId="TableofFigures">
    <w:name w:val="table of figures"/>
    <w:basedOn w:val="Normal"/>
    <w:next w:val="Normal"/>
    <w:rsid w:val="00A3053C"/>
    <w:rPr>
      <w:rFonts w:eastAsia="Times New Roman"/>
      <w:lang w:val="fr-FR" w:eastAsia="en-GB"/>
    </w:rPr>
  </w:style>
  <w:style w:type="character" w:styleId="PageNumber">
    <w:name w:val="page number"/>
    <w:rsid w:val="00A3053C"/>
  </w:style>
  <w:style w:type="character" w:customStyle="1" w:styleId="tw4winMark">
    <w:name w:val="tw4winMark"/>
    <w:rsid w:val="00A3053C"/>
    <w:rPr>
      <w:vanish/>
      <w:color w:val="800080"/>
      <w:vertAlign w:val="subscript"/>
    </w:rPr>
  </w:style>
  <w:style w:type="character" w:styleId="FollowedHyperlink">
    <w:name w:val="FollowedHyperlink"/>
    <w:uiPriority w:val="99"/>
    <w:rsid w:val="00A3053C"/>
    <w:rPr>
      <w:color w:val="800080"/>
      <w:u w:val="single"/>
    </w:rPr>
  </w:style>
  <w:style w:type="paragraph" w:customStyle="1" w:styleId="Sous-titreobjet">
    <w:name w:val="Sous-titre objet"/>
    <w:basedOn w:val="Normal"/>
    <w:rsid w:val="00A3053C"/>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A3053C"/>
  </w:style>
  <w:style w:type="paragraph" w:styleId="Revision">
    <w:name w:val="Revision"/>
    <w:hidden/>
    <w:uiPriority w:val="99"/>
    <w:semiHidden/>
    <w:rsid w:val="00A3053C"/>
    <w:rPr>
      <w:rFonts w:ascii="Calibri" w:eastAsia="Calibri" w:hAnsi="Calibri" w:cs="Times New Roman"/>
      <w:sz w:val="24"/>
      <w:lang w:val="en-GB" w:eastAsia="en-GB"/>
    </w:rPr>
  </w:style>
  <w:style w:type="paragraph" w:customStyle="1" w:styleId="FooterCoverPage">
    <w:name w:val="Footer Cover Page"/>
    <w:basedOn w:val="Normal"/>
    <w:link w:val="FooterCoverPageChar"/>
    <w:rsid w:val="00A3053C"/>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A3053C"/>
    <w:rPr>
      <w:rFonts w:ascii="Times New Roman" w:hAnsi="Times New Roman" w:cs="Times New Roman"/>
      <w:b/>
      <w:sz w:val="28"/>
      <w:lang w:val="en-GB"/>
    </w:rPr>
  </w:style>
  <w:style w:type="character" w:customStyle="1" w:styleId="FooterCoverPageChar">
    <w:name w:val="Footer Cover Page Char"/>
    <w:link w:val="FooterCoverPage"/>
    <w:rsid w:val="00A3053C"/>
    <w:rPr>
      <w:rFonts w:ascii="Times New Roman" w:eastAsia="Calibri" w:hAnsi="Times New Roman" w:cs="Times New Roman"/>
      <w:sz w:val="24"/>
      <w:lang w:val="en-GB" w:eastAsia="en-GB"/>
    </w:rPr>
  </w:style>
  <w:style w:type="paragraph" w:customStyle="1" w:styleId="HeaderCoverPage">
    <w:name w:val="Header Cover Page"/>
    <w:basedOn w:val="Normal"/>
    <w:link w:val="HeaderCoverPageChar"/>
    <w:rsid w:val="00A3053C"/>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A3053C"/>
    <w:rPr>
      <w:rFonts w:ascii="Times New Roman" w:eastAsia="Calibri" w:hAnsi="Times New Roman" w:cs="Times New Roman"/>
      <w:sz w:val="24"/>
      <w:lang w:val="en-GB" w:eastAsia="en-GB"/>
    </w:rPr>
  </w:style>
  <w:style w:type="character" w:customStyle="1" w:styleId="FooterSensitivityChar">
    <w:name w:val="Footer Sensitivity Char"/>
    <w:rsid w:val="00A3053C"/>
    <w:rPr>
      <w:rFonts w:ascii="Times New Roman" w:hAnsi="Times New Roman" w:cs="Times New Roman"/>
      <w:b/>
      <w:sz w:val="32"/>
      <w:lang w:val="en-GB"/>
    </w:rPr>
  </w:style>
  <w:style w:type="character" w:customStyle="1" w:styleId="HeaderSensitivityChar">
    <w:name w:val="Header Sensitivity Char"/>
    <w:rsid w:val="00A3053C"/>
    <w:rPr>
      <w:rFonts w:ascii="Times New Roman" w:hAnsi="Times New Roman" w:cs="Times New Roman"/>
      <w:b/>
      <w:sz w:val="32"/>
      <w:lang w:val="en-GB"/>
    </w:rPr>
  </w:style>
  <w:style w:type="character" w:customStyle="1" w:styleId="HeaderSensitivityRightChar">
    <w:name w:val="Header Sensitivity Right Char"/>
    <w:rsid w:val="00A3053C"/>
    <w:rPr>
      <w:rFonts w:ascii="Times New Roman" w:hAnsi="Times New Roman" w:cs="Times New Roman"/>
      <w:sz w:val="28"/>
      <w:lang w:val="en-GB"/>
    </w:rPr>
  </w:style>
  <w:style w:type="paragraph" w:customStyle="1" w:styleId="LegalNumPar">
    <w:name w:val="LegalNumPar"/>
    <w:basedOn w:val="Normal"/>
    <w:uiPriority w:val="1"/>
    <w:qFormat/>
    <w:rsid w:val="00A3053C"/>
    <w:pPr>
      <w:numPr>
        <w:numId w:val="16"/>
      </w:numPr>
      <w:spacing w:line="360" w:lineRule="auto"/>
    </w:pPr>
    <w:rPr>
      <w:rFonts w:eastAsia="Times New Roman"/>
      <w:lang w:eastAsia="en-GB"/>
    </w:rPr>
  </w:style>
  <w:style w:type="paragraph" w:customStyle="1" w:styleId="LegalNumPar2">
    <w:name w:val="LegalNumPar2"/>
    <w:basedOn w:val="Normal"/>
    <w:uiPriority w:val="1"/>
    <w:rsid w:val="00A3053C"/>
    <w:pPr>
      <w:spacing w:line="360" w:lineRule="auto"/>
      <w:ind w:left="953" w:hanging="477"/>
    </w:pPr>
    <w:rPr>
      <w:rFonts w:eastAsia="Times New Roman"/>
      <w:lang w:eastAsia="en-GB"/>
    </w:rPr>
  </w:style>
  <w:style w:type="paragraph" w:customStyle="1" w:styleId="LegalNumPar3">
    <w:name w:val="LegalNumPar3"/>
    <w:basedOn w:val="Normal"/>
    <w:uiPriority w:val="1"/>
    <w:rsid w:val="00A3053C"/>
    <w:pPr>
      <w:spacing w:line="360" w:lineRule="auto"/>
      <w:ind w:left="1429" w:hanging="476"/>
    </w:pPr>
    <w:rPr>
      <w:rFonts w:eastAsia="Times New Roman"/>
      <w:lang w:eastAsia="en-GB"/>
    </w:rPr>
  </w:style>
  <w:style w:type="paragraph" w:styleId="ListParagraph">
    <w:name w:val="List Paragraph"/>
    <w:aliases w:val="Normal bullet 2,Bullet list,List Paragraph1,1st level - Bullet List Paragraph,Lettre d'introduction,Paragraph,Bullet EY,List Paragraph11,Normal bullet 21,List Paragraph111,Bullet list1,Bullet point 1,List1,List11,List111,Bullet points,EC"/>
    <w:basedOn w:val="Normal"/>
    <w:link w:val="ListParagraphChar"/>
    <w:uiPriority w:val="34"/>
    <w:qFormat/>
    <w:rsid w:val="00A3053C"/>
    <w:pPr>
      <w:ind w:left="720"/>
      <w:contextualSpacing/>
    </w:pPr>
    <w:rPr>
      <w:rFonts w:eastAsia="Times New Roman"/>
      <w:lang w:eastAsia="en-GB"/>
    </w:rPr>
  </w:style>
  <w:style w:type="character" w:customStyle="1" w:styleId="UnresolvedMention1">
    <w:name w:val="Unresolved Mention1"/>
    <w:basedOn w:val="DefaultParagraphFont"/>
    <w:uiPriority w:val="99"/>
    <w:semiHidden/>
    <w:unhideWhenUsed/>
    <w:rsid w:val="00A3053C"/>
    <w:rPr>
      <w:color w:val="605E5C"/>
      <w:shd w:val="clear" w:color="auto" w:fill="E1DFDD"/>
    </w:rPr>
  </w:style>
  <w:style w:type="character" w:styleId="Strong">
    <w:name w:val="Strong"/>
    <w:basedOn w:val="DefaultParagraphFont"/>
    <w:qFormat/>
    <w:rsid w:val="00A3053C"/>
    <w:rPr>
      <w:b/>
      <w:bCs/>
    </w:rPr>
  </w:style>
  <w:style w:type="character" w:styleId="Emphasis">
    <w:name w:val="Emphasis"/>
    <w:basedOn w:val="DefaultParagraphFont"/>
    <w:qFormat/>
    <w:rsid w:val="00A3053C"/>
    <w:rPr>
      <w:i/>
      <w:iCs/>
    </w:rPr>
  </w:style>
  <w:style w:type="character" w:customStyle="1" w:styleId="Mention1">
    <w:name w:val="Mention1"/>
    <w:basedOn w:val="DefaultParagraphFont"/>
    <w:uiPriority w:val="99"/>
    <w:unhideWhenUsed/>
    <w:rsid w:val="00A3053C"/>
    <w:rPr>
      <w:color w:val="2B579A"/>
      <w:shd w:val="clear" w:color="auto" w:fill="E1DFDD"/>
    </w:rPr>
  </w:style>
  <w:style w:type="character" w:customStyle="1" w:styleId="normaltextrun">
    <w:name w:val="normaltextrun"/>
    <w:basedOn w:val="DefaultParagraphFont"/>
    <w:rsid w:val="00A3053C"/>
  </w:style>
  <w:style w:type="character" w:customStyle="1" w:styleId="eop">
    <w:name w:val="eop"/>
    <w:basedOn w:val="DefaultParagraphFont"/>
    <w:rsid w:val="00A3053C"/>
  </w:style>
  <w:style w:type="character" w:customStyle="1" w:styleId="ListParagraphChar">
    <w:name w:val="List Paragraph Char"/>
    <w:aliases w:val="Normal bullet 2 Char,Bullet list Char,List Paragraph1 Char,1st level - Bullet List Paragraph Char,Lettre d'introduction Char,Paragraph Char,Bullet EY Char,List Paragraph11 Char,Normal bullet 21 Char,List Paragraph111 Char,List1 Char"/>
    <w:basedOn w:val="DefaultParagraphFont"/>
    <w:link w:val="ListParagraph"/>
    <w:uiPriority w:val="34"/>
    <w:qFormat/>
    <w:rsid w:val="00354C64"/>
    <w:rPr>
      <w:rFonts w:ascii="Times New Roman" w:eastAsia="Times New Roman" w:hAnsi="Times New Roman" w:cs="Times New Roman"/>
      <w:sz w:val="24"/>
      <w:lang w:val="en-GB" w:eastAsia="en-GB"/>
    </w:rPr>
  </w:style>
  <w:style w:type="character" w:customStyle="1" w:styleId="cf01">
    <w:name w:val="cf01"/>
    <w:basedOn w:val="DefaultParagraphFont"/>
    <w:rsid w:val="00720690"/>
    <w:rPr>
      <w:rFonts w:ascii="Segoe UI" w:hAnsi="Segoe UI" w:cs="Segoe UI" w:hint="default"/>
      <w:sz w:val="18"/>
      <w:szCs w:val="18"/>
    </w:rPr>
  </w:style>
  <w:style w:type="paragraph" w:customStyle="1" w:styleId="CharCharChar1">
    <w:name w:val="Char Char Char1"/>
    <w:basedOn w:val="Normal"/>
    <w:link w:val="FootnoteReference"/>
    <w:uiPriority w:val="99"/>
    <w:rsid w:val="00AB7469"/>
    <w:pPr>
      <w:spacing w:before="0" w:after="160" w:line="240" w:lineRule="exact"/>
    </w:pPr>
    <w:rPr>
      <w:rFonts w:asciiTheme="minorHAnsi" w:hAnsiTheme="minorHAnsi" w:cstheme="minorBidi"/>
      <w:sz w:val="22"/>
      <w:vertAlign w:val="superscript"/>
      <w:lang w:val="en-US"/>
    </w:rPr>
  </w:style>
  <w:style w:type="paragraph" w:customStyle="1" w:styleId="paragraph">
    <w:name w:val="paragraph"/>
    <w:basedOn w:val="Normal"/>
    <w:rsid w:val="00AB7469"/>
    <w:pPr>
      <w:spacing w:before="100" w:beforeAutospacing="1" w:after="100" w:afterAutospacing="1"/>
      <w:jc w:val="left"/>
    </w:pPr>
    <w:rPr>
      <w:rFonts w:eastAsia="Times New Roman"/>
      <w:szCs w:val="24"/>
      <w:lang w:eastAsia="en-GB"/>
    </w:rPr>
  </w:style>
  <w:style w:type="character" w:customStyle="1" w:styleId="Heading8Char">
    <w:name w:val="Heading 8 Char"/>
    <w:basedOn w:val="DefaultParagraphFont"/>
    <w:link w:val="Heading8"/>
    <w:uiPriority w:val="9"/>
    <w:semiHidden/>
    <w:rsid w:val="00BF3CD9"/>
    <w:rPr>
      <w:rFonts w:ascii="Times New Roman" w:eastAsiaTheme="majorEastAsia" w:hAnsi="Times New Roman" w:cstheme="majorBidi"/>
      <w:i/>
      <w:iCs/>
      <w:color w:val="272727"/>
      <w:kern w:val="2"/>
      <w:sz w:val="24"/>
      <w:szCs w:val="24"/>
      <w:lang w:val="en-IE"/>
      <w14:ligatures w14:val="standardContextual"/>
    </w:rPr>
  </w:style>
  <w:style w:type="character" w:customStyle="1" w:styleId="Heading9Char">
    <w:name w:val="Heading 9 Char"/>
    <w:basedOn w:val="DefaultParagraphFont"/>
    <w:link w:val="Heading9"/>
    <w:uiPriority w:val="9"/>
    <w:semiHidden/>
    <w:rsid w:val="00BF3CD9"/>
    <w:rPr>
      <w:rFonts w:ascii="Times New Roman" w:eastAsiaTheme="majorEastAsia" w:hAnsi="Times New Roman" w:cstheme="majorBidi"/>
      <w:color w:val="272727"/>
      <w:kern w:val="2"/>
      <w:sz w:val="24"/>
      <w:szCs w:val="24"/>
      <w:lang w:val="en-IE"/>
      <w14:ligatures w14:val="standardContextual"/>
    </w:rPr>
  </w:style>
  <w:style w:type="paragraph" w:styleId="Title">
    <w:name w:val="Title"/>
    <w:basedOn w:val="Normal"/>
    <w:next w:val="Normal"/>
    <w:link w:val="TitleChar"/>
    <w:uiPriority w:val="10"/>
    <w:qFormat/>
    <w:rsid w:val="00BF3CD9"/>
    <w:pPr>
      <w:spacing w:after="80" w:line="259" w:lineRule="auto"/>
      <w:contextualSpacing/>
    </w:pPr>
    <w:rPr>
      <w:rFonts w:asciiTheme="majorHAnsi" w:eastAsiaTheme="majorEastAsia" w:hAnsiTheme="majorHAnsi" w:cstheme="majorBidi"/>
      <w:kern w:val="2"/>
      <w:sz w:val="56"/>
      <w:szCs w:val="56"/>
      <w:lang w:val="en-IE"/>
      <w14:ligatures w14:val="standardContextual"/>
    </w:rPr>
  </w:style>
  <w:style w:type="character" w:customStyle="1" w:styleId="TitleChar">
    <w:name w:val="Title Char"/>
    <w:basedOn w:val="DefaultParagraphFont"/>
    <w:link w:val="Title"/>
    <w:uiPriority w:val="10"/>
    <w:rsid w:val="00BF3CD9"/>
    <w:rPr>
      <w:rFonts w:asciiTheme="majorHAnsi" w:eastAsiaTheme="majorEastAsia" w:hAnsiTheme="majorHAnsi" w:cstheme="majorBidi"/>
      <w:kern w:val="2"/>
      <w:sz w:val="56"/>
      <w:szCs w:val="56"/>
      <w:lang w:val="en-IE"/>
      <w14:ligatures w14:val="standardContextual"/>
    </w:rPr>
  </w:style>
  <w:style w:type="paragraph" w:styleId="Subtitle">
    <w:name w:val="Subtitle"/>
    <w:basedOn w:val="Normal"/>
    <w:next w:val="Normal"/>
    <w:link w:val="SubtitleChar"/>
    <w:uiPriority w:val="11"/>
    <w:qFormat/>
    <w:rsid w:val="00BF3CD9"/>
    <w:pPr>
      <w:spacing w:line="259" w:lineRule="auto"/>
    </w:pPr>
    <w:rPr>
      <w:rFonts w:eastAsiaTheme="majorEastAsia" w:cstheme="majorBidi"/>
      <w:color w:val="595959" w:themeColor="text1" w:themeTint="A6"/>
      <w:kern w:val="2"/>
      <w:sz w:val="28"/>
      <w:szCs w:val="28"/>
      <w:lang w:val="en-IE"/>
      <w14:ligatures w14:val="standardContextual"/>
    </w:rPr>
  </w:style>
  <w:style w:type="character" w:customStyle="1" w:styleId="SubtitleChar">
    <w:name w:val="Subtitle Char"/>
    <w:basedOn w:val="DefaultParagraphFont"/>
    <w:link w:val="Subtitle"/>
    <w:uiPriority w:val="11"/>
    <w:rsid w:val="00BF3CD9"/>
    <w:rPr>
      <w:rFonts w:ascii="Times New Roman" w:eastAsiaTheme="majorEastAsia" w:hAnsi="Times New Roman" w:cstheme="majorBidi"/>
      <w:color w:val="595959" w:themeColor="text1" w:themeTint="A6"/>
      <w:kern w:val="2"/>
      <w:sz w:val="28"/>
      <w:szCs w:val="28"/>
      <w:lang w:val="en-IE"/>
      <w14:ligatures w14:val="standardContextual"/>
    </w:rPr>
  </w:style>
  <w:style w:type="paragraph" w:styleId="Quote">
    <w:name w:val="Quote"/>
    <w:basedOn w:val="Normal"/>
    <w:next w:val="Normal"/>
    <w:link w:val="QuoteChar"/>
    <w:uiPriority w:val="29"/>
    <w:qFormat/>
    <w:rsid w:val="00BF3CD9"/>
    <w:pPr>
      <w:spacing w:before="160" w:line="259" w:lineRule="auto"/>
      <w:jc w:val="center"/>
    </w:pPr>
    <w:rPr>
      <w:i/>
      <w:iCs/>
      <w:color w:val="404040" w:themeColor="text1" w:themeTint="BF"/>
      <w:kern w:val="2"/>
      <w:szCs w:val="24"/>
      <w:lang w:val="en-IE"/>
      <w14:ligatures w14:val="standardContextual"/>
    </w:rPr>
  </w:style>
  <w:style w:type="character" w:customStyle="1" w:styleId="QuoteChar">
    <w:name w:val="Quote Char"/>
    <w:basedOn w:val="DefaultParagraphFont"/>
    <w:link w:val="Quote"/>
    <w:uiPriority w:val="29"/>
    <w:rsid w:val="00BF3CD9"/>
    <w:rPr>
      <w:rFonts w:ascii="Times New Roman" w:hAnsi="Times New Roman" w:cs="Times New Roman"/>
      <w:i/>
      <w:iCs/>
      <w:color w:val="404040" w:themeColor="text1" w:themeTint="BF"/>
      <w:kern w:val="2"/>
      <w:sz w:val="24"/>
      <w:szCs w:val="24"/>
      <w:lang w:val="en-IE"/>
      <w14:ligatures w14:val="standardContextual"/>
    </w:rPr>
  </w:style>
  <w:style w:type="character" w:styleId="IntenseEmphasis">
    <w:name w:val="Intense Emphasis"/>
    <w:basedOn w:val="DefaultParagraphFont"/>
    <w:uiPriority w:val="21"/>
    <w:qFormat/>
    <w:rsid w:val="00BF3CD9"/>
    <w:rPr>
      <w:i/>
      <w:iCs/>
      <w:color w:val="365F91" w:themeColor="accent1" w:themeShade="BF"/>
    </w:rPr>
  </w:style>
  <w:style w:type="paragraph" w:styleId="IntenseQuote">
    <w:name w:val="Intense Quote"/>
    <w:basedOn w:val="Normal"/>
    <w:next w:val="Normal"/>
    <w:link w:val="IntenseQuoteChar"/>
    <w:uiPriority w:val="30"/>
    <w:qFormat/>
    <w:rsid w:val="00BF3CD9"/>
    <w:pPr>
      <w:pBdr>
        <w:top w:val="single" w:sz="4" w:space="10" w:color="365F91" w:themeColor="accent1" w:themeShade="BF"/>
        <w:bottom w:val="single" w:sz="4" w:space="10" w:color="365F91" w:themeColor="accent1" w:themeShade="BF"/>
      </w:pBdr>
      <w:spacing w:before="360" w:after="360" w:line="259" w:lineRule="auto"/>
      <w:ind w:left="864" w:right="864"/>
      <w:jc w:val="center"/>
    </w:pPr>
    <w:rPr>
      <w:i/>
      <w:iCs/>
      <w:color w:val="365F91" w:themeColor="accent1" w:themeShade="BF"/>
      <w:kern w:val="2"/>
      <w:szCs w:val="24"/>
      <w:lang w:val="en-IE"/>
      <w14:ligatures w14:val="standardContextual"/>
    </w:rPr>
  </w:style>
  <w:style w:type="character" w:customStyle="1" w:styleId="IntenseQuoteChar">
    <w:name w:val="Intense Quote Char"/>
    <w:basedOn w:val="DefaultParagraphFont"/>
    <w:link w:val="IntenseQuote"/>
    <w:uiPriority w:val="30"/>
    <w:rsid w:val="00BF3CD9"/>
    <w:rPr>
      <w:rFonts w:ascii="Times New Roman" w:hAnsi="Times New Roman" w:cs="Times New Roman"/>
      <w:i/>
      <w:iCs/>
      <w:color w:val="365F91" w:themeColor="accent1" w:themeShade="BF"/>
      <w:kern w:val="2"/>
      <w:sz w:val="24"/>
      <w:szCs w:val="24"/>
      <w:lang w:val="en-IE"/>
      <w14:ligatures w14:val="standardContextual"/>
    </w:rPr>
  </w:style>
  <w:style w:type="character" w:styleId="IntenseReference">
    <w:name w:val="Intense Reference"/>
    <w:basedOn w:val="DefaultParagraphFont"/>
    <w:uiPriority w:val="32"/>
    <w:qFormat/>
    <w:rsid w:val="00BF3CD9"/>
    <w:rPr>
      <w:b/>
      <w:bCs/>
      <w:smallCaps/>
      <w:color w:val="365F91" w:themeColor="accent1" w:themeShade="BF"/>
      <w:spacing w:val="5"/>
    </w:rPr>
  </w:style>
  <w:style w:type="paragraph" w:customStyle="1" w:styleId="oj-normal">
    <w:name w:val="oj-normal"/>
    <w:basedOn w:val="Normal"/>
    <w:rsid w:val="00BF3CD9"/>
    <w:pPr>
      <w:spacing w:beforeAutospacing="1" w:afterAutospacing="1" w:line="259" w:lineRule="auto"/>
      <w:jc w:val="left"/>
    </w:pPr>
    <w:rPr>
      <w:rFonts w:eastAsia="Times New Roman"/>
      <w:kern w:val="2"/>
      <w:szCs w:val="24"/>
      <w:lang w:val="en-IE" w:eastAsia="en-IE"/>
      <w14:ligatures w14:val="standardContextual"/>
    </w:rPr>
  </w:style>
  <w:style w:type="paragraph" w:customStyle="1" w:styleId="oj-ti-art">
    <w:name w:val="oj-ti-art"/>
    <w:basedOn w:val="Normal"/>
    <w:rsid w:val="00BF3CD9"/>
    <w:pPr>
      <w:spacing w:before="100" w:beforeAutospacing="1" w:after="100" w:afterAutospacing="1"/>
      <w:jc w:val="left"/>
    </w:pPr>
    <w:rPr>
      <w:rFonts w:eastAsia="Times New Roman"/>
      <w:szCs w:val="24"/>
      <w:lang w:val="en-IE" w:eastAsia="en-IE"/>
    </w:rPr>
  </w:style>
  <w:style w:type="paragraph" w:customStyle="1" w:styleId="oj-sti-art">
    <w:name w:val="oj-sti-art"/>
    <w:basedOn w:val="Normal"/>
    <w:rsid w:val="00BF3CD9"/>
    <w:pPr>
      <w:spacing w:before="100" w:beforeAutospacing="1" w:after="100" w:afterAutospacing="1"/>
      <w:jc w:val="left"/>
    </w:pPr>
    <w:rPr>
      <w:rFonts w:eastAsia="Times New Roman"/>
      <w:szCs w:val="24"/>
      <w:lang w:val="en-IE" w:eastAsia="en-IE"/>
    </w:rPr>
  </w:style>
  <w:style w:type="paragraph" w:customStyle="1" w:styleId="pf0">
    <w:name w:val="pf0"/>
    <w:basedOn w:val="Normal"/>
    <w:rsid w:val="00BF3CD9"/>
    <w:pPr>
      <w:spacing w:before="100" w:beforeAutospacing="1" w:after="100" w:afterAutospacing="1"/>
      <w:jc w:val="left"/>
    </w:pPr>
    <w:rPr>
      <w:rFonts w:eastAsia="Times New Roman"/>
      <w:szCs w:val="24"/>
      <w:lang w:val="en-IE" w:eastAsia="en-IE"/>
    </w:rPr>
  </w:style>
  <w:style w:type="paragraph" w:customStyle="1" w:styleId="Annexe">
    <w:name w:val="Annexe"/>
    <w:basedOn w:val="Annexetitre"/>
    <w:rsid w:val="00BF3CD9"/>
    <w:rPr>
      <w:lang w:val="en-IE"/>
    </w:rPr>
  </w:style>
  <w:style w:type="character" w:customStyle="1" w:styleId="oj-super">
    <w:name w:val="oj-super"/>
    <w:basedOn w:val="DefaultParagraphFont"/>
    <w:rsid w:val="00BF3CD9"/>
  </w:style>
  <w:style w:type="paragraph" w:styleId="NormalWeb">
    <w:name w:val="Normal (Web)"/>
    <w:basedOn w:val="Normal"/>
    <w:uiPriority w:val="99"/>
    <w:unhideWhenUsed/>
    <w:rsid w:val="00BF3CD9"/>
    <w:pPr>
      <w:spacing w:before="100" w:beforeAutospacing="1" w:after="100" w:afterAutospacing="1"/>
      <w:jc w:val="left"/>
    </w:pPr>
    <w:rPr>
      <w:rFonts w:eastAsia="Times New Roman"/>
      <w:szCs w:val="24"/>
      <w:lang w:val="en-IE" w:eastAsia="en-IE"/>
    </w:rPr>
  </w:style>
  <w:style w:type="paragraph" w:styleId="PlainText">
    <w:name w:val="Plain Text"/>
    <w:basedOn w:val="Normal"/>
    <w:link w:val="PlainTextChar"/>
    <w:uiPriority w:val="99"/>
    <w:semiHidden/>
    <w:unhideWhenUsed/>
    <w:rsid w:val="00BF3CD9"/>
    <w:pPr>
      <w:spacing w:before="0" w:after="0"/>
    </w:pPr>
    <w:rPr>
      <w:rFonts w:ascii="Consolas" w:hAnsi="Consolas"/>
      <w:kern w:val="2"/>
      <w:sz w:val="21"/>
      <w:szCs w:val="21"/>
      <w:lang w:val="en-IE"/>
      <w14:ligatures w14:val="standardContextual"/>
    </w:rPr>
  </w:style>
  <w:style w:type="character" w:customStyle="1" w:styleId="PlainTextChar">
    <w:name w:val="Plain Text Char"/>
    <w:basedOn w:val="DefaultParagraphFont"/>
    <w:link w:val="PlainText"/>
    <w:uiPriority w:val="99"/>
    <w:semiHidden/>
    <w:rsid w:val="00BF3CD9"/>
    <w:rPr>
      <w:rFonts w:ascii="Consolas" w:hAnsi="Consolas" w:cs="Times New Roman"/>
      <w:kern w:val="2"/>
      <w:sz w:val="21"/>
      <w:szCs w:val="21"/>
      <w:lang w:val="en-IE"/>
      <w14:ligatures w14:val="standardContextual"/>
    </w:rPr>
  </w:style>
  <w:style w:type="paragraph" w:customStyle="1" w:styleId="li">
    <w:name w:val="li"/>
    <w:basedOn w:val="Normal"/>
    <w:rsid w:val="00BF3CD9"/>
    <w:pPr>
      <w:spacing w:before="100" w:beforeAutospacing="1" w:after="100" w:afterAutospacing="1"/>
      <w:jc w:val="left"/>
    </w:pPr>
    <w:rPr>
      <w:rFonts w:eastAsia="Times New Roman"/>
      <w:szCs w:val="24"/>
      <w:lang w:val="en-IE" w:eastAsia="en-IE"/>
    </w:rPr>
  </w:style>
  <w:style w:type="character" w:customStyle="1" w:styleId="num">
    <w:name w:val="num"/>
    <w:basedOn w:val="DefaultParagraphFont"/>
    <w:rsid w:val="00BF3CD9"/>
  </w:style>
  <w:style w:type="character" w:customStyle="1" w:styleId="cf11">
    <w:name w:val="cf11"/>
    <w:basedOn w:val="DefaultParagraphFont"/>
    <w:rsid w:val="00BF3CD9"/>
    <w:rPr>
      <w:rFonts w:ascii="Segoe UI" w:hAnsi="Segoe UI" w:cs="Segoe UI" w:hint="default"/>
      <w:sz w:val="18"/>
      <w:szCs w:val="18"/>
    </w:rPr>
  </w:style>
  <w:style w:type="character" w:customStyle="1" w:styleId="no-parag">
    <w:name w:val="no-parag"/>
    <w:basedOn w:val="DefaultParagraphFont"/>
    <w:rsid w:val="00BF3CD9"/>
  </w:style>
  <w:style w:type="table" w:customStyle="1" w:styleId="TableGrid1">
    <w:name w:val="Table Grid1"/>
    <w:basedOn w:val="TableNormal"/>
    <w:next w:val="TableGrid"/>
    <w:uiPriority w:val="39"/>
    <w:rsid w:val="00E83236"/>
    <w:pPr>
      <w:spacing w:before="120" w:after="120" w:line="240" w:lineRule="auto"/>
      <w:jc w:val="both"/>
    </w:pPr>
    <w:rPr>
      <w:rFonts w:ascii="Times New Roman" w:eastAsia="Times New Roman" w:hAnsi="Times New Roman" w:cs="Times New Roman"/>
      <w:sz w:val="20"/>
      <w:szCs w:val="20"/>
      <w:lang w:val="en-IE" w:eastAsia="en-IE"/>
    </w:rPr>
    <w:tblPr/>
  </w:style>
  <w:style w:type="paragraph" w:customStyle="1" w:styleId="msonormal0">
    <w:name w:val="msonormal"/>
    <w:basedOn w:val="Normal"/>
    <w:rsid w:val="006F001C"/>
    <w:pPr>
      <w:spacing w:before="100" w:beforeAutospacing="1" w:after="100" w:afterAutospacing="1"/>
      <w:jc w:val="left"/>
    </w:pPr>
    <w:rPr>
      <w:rFonts w:eastAsia="Times New Roman"/>
      <w:szCs w:val="24"/>
      <w:lang w:val="en-IE" w:eastAsia="en-IE"/>
    </w:rPr>
  </w:style>
  <w:style w:type="character" w:customStyle="1" w:styleId="textrun">
    <w:name w:val="textrun"/>
    <w:basedOn w:val="DefaultParagraphFont"/>
    <w:rsid w:val="006F001C"/>
  </w:style>
  <w:style w:type="character" w:customStyle="1" w:styleId="tabrun">
    <w:name w:val="tabrun"/>
    <w:basedOn w:val="DefaultParagraphFont"/>
    <w:rsid w:val="006F001C"/>
  </w:style>
  <w:style w:type="character" w:customStyle="1" w:styleId="tabchar">
    <w:name w:val="tabchar"/>
    <w:basedOn w:val="DefaultParagraphFont"/>
    <w:rsid w:val="006F001C"/>
  </w:style>
  <w:style w:type="paragraph" w:customStyle="1" w:styleId="outlineelement">
    <w:name w:val="outlineelement"/>
    <w:basedOn w:val="Normal"/>
    <w:rsid w:val="006F001C"/>
    <w:pPr>
      <w:spacing w:before="100" w:beforeAutospacing="1" w:after="100" w:afterAutospacing="1"/>
      <w:jc w:val="left"/>
    </w:pPr>
    <w:rPr>
      <w:rFonts w:eastAsia="Times New Roman"/>
      <w:szCs w:val="24"/>
      <w:lang w:val="en-IE" w:eastAsia="en-IE"/>
    </w:rPr>
  </w:style>
  <w:style w:type="paragraph" w:styleId="List">
    <w:name w:val="List"/>
    <w:basedOn w:val="Normal"/>
    <w:uiPriority w:val="99"/>
    <w:unhideWhenUsed/>
    <w:rsid w:val="005255D0"/>
    <w:pPr>
      <w:ind w:left="283" w:hanging="283"/>
      <w:contextualSpacing/>
    </w:pPr>
  </w:style>
  <w:style w:type="character" w:customStyle="1" w:styleId="HeaderChar">
    <w:name w:val="Header Char"/>
    <w:basedOn w:val="DefaultParagraphFont"/>
    <w:link w:val="Header"/>
    <w:uiPriority w:val="99"/>
    <w:rsid w:val="000033F2"/>
    <w:rPr>
      <w:rFonts w:ascii="Times New Roman" w:hAnsi="Times New Roman" w:cs="Times New Roman"/>
      <w:sz w:val="24"/>
      <w:lang w:val="en-GB"/>
    </w:rPr>
  </w:style>
  <w:style w:type="character" w:customStyle="1" w:styleId="FooterChar">
    <w:name w:val="Footer Char"/>
    <w:basedOn w:val="DefaultParagraphFont"/>
    <w:link w:val="Footer"/>
    <w:uiPriority w:val="99"/>
    <w:rsid w:val="000033F2"/>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CharCharChar1"/>
    <w:uiPriority w:val="99"/>
    <w:semiHidden/>
    <w:unhideWhenUsed/>
    <w:rPr>
      <w:shd w:val="clear" w:color="auto" w:fill="auto"/>
      <w:vertAlign w:val="superscript"/>
    </w:rPr>
  </w:style>
  <w:style w:type="paragraph" w:customStyle="1" w:styleId="HeaderSensitivity">
    <w:name w:val="Header Sensitivity"/>
    <w:basedOn w:val="Normal"/>
    <w:rsid w:val="000033F2"/>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0033F2"/>
    <w:pPr>
      <w:spacing w:before="0"/>
      <w:jc w:val="right"/>
    </w:pPr>
    <w:rPr>
      <w:sz w:val="28"/>
    </w:rPr>
  </w:style>
  <w:style w:type="paragraph" w:customStyle="1" w:styleId="FooterSensitivity">
    <w:name w:val="Footer Sensitivity"/>
    <w:basedOn w:val="Normal"/>
    <w:rsid w:val="000033F2"/>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06"/>
      </w:numPr>
    </w:pPr>
  </w:style>
  <w:style w:type="paragraph" w:customStyle="1" w:styleId="Tiret1">
    <w:name w:val="Tiret 1"/>
    <w:basedOn w:val="Point1"/>
    <w:pPr>
      <w:numPr>
        <w:numId w:val="207"/>
      </w:numPr>
    </w:pPr>
  </w:style>
  <w:style w:type="paragraph" w:customStyle="1" w:styleId="Tiret2">
    <w:name w:val="Tiret 2"/>
    <w:basedOn w:val="Point2"/>
    <w:pPr>
      <w:numPr>
        <w:numId w:val="208"/>
      </w:numPr>
    </w:pPr>
  </w:style>
  <w:style w:type="paragraph" w:customStyle="1" w:styleId="Tiret3">
    <w:name w:val="Tiret 3"/>
    <w:basedOn w:val="Point3"/>
    <w:pPr>
      <w:numPr>
        <w:numId w:val="209"/>
      </w:numPr>
    </w:pPr>
  </w:style>
  <w:style w:type="paragraph" w:customStyle="1" w:styleId="Tiret4">
    <w:name w:val="Tiret 4"/>
    <w:basedOn w:val="Point4"/>
    <w:pPr>
      <w:numPr>
        <w:numId w:val="210"/>
      </w:numPr>
    </w:pPr>
  </w:style>
  <w:style w:type="paragraph" w:customStyle="1" w:styleId="Tiret5">
    <w:name w:val="Tiret 5"/>
    <w:basedOn w:val="Point5"/>
    <w:pPr>
      <w:numPr>
        <w:numId w:val="21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12"/>
      </w:numPr>
    </w:pPr>
  </w:style>
  <w:style w:type="paragraph" w:customStyle="1" w:styleId="NumPar2">
    <w:name w:val="NumPar 2"/>
    <w:basedOn w:val="Normal"/>
    <w:next w:val="Text1"/>
    <w:pPr>
      <w:numPr>
        <w:ilvl w:val="1"/>
        <w:numId w:val="212"/>
      </w:numPr>
    </w:pPr>
  </w:style>
  <w:style w:type="paragraph" w:customStyle="1" w:styleId="NumPar3">
    <w:name w:val="NumPar 3"/>
    <w:basedOn w:val="Normal"/>
    <w:next w:val="Text1"/>
    <w:pPr>
      <w:numPr>
        <w:ilvl w:val="2"/>
        <w:numId w:val="212"/>
      </w:numPr>
    </w:pPr>
  </w:style>
  <w:style w:type="paragraph" w:customStyle="1" w:styleId="NumPar4">
    <w:name w:val="NumPar 4"/>
    <w:basedOn w:val="Normal"/>
    <w:next w:val="Text1"/>
    <w:pPr>
      <w:numPr>
        <w:ilvl w:val="3"/>
        <w:numId w:val="212"/>
      </w:numPr>
    </w:pPr>
  </w:style>
  <w:style w:type="paragraph" w:customStyle="1" w:styleId="NumPar5">
    <w:name w:val="NumPar 5"/>
    <w:basedOn w:val="Normal"/>
    <w:next w:val="Text2"/>
    <w:pPr>
      <w:numPr>
        <w:ilvl w:val="4"/>
        <w:numId w:val="212"/>
      </w:numPr>
    </w:pPr>
  </w:style>
  <w:style w:type="paragraph" w:customStyle="1" w:styleId="NumPar6">
    <w:name w:val="NumPar 6"/>
    <w:basedOn w:val="Normal"/>
    <w:next w:val="Text2"/>
    <w:pPr>
      <w:numPr>
        <w:ilvl w:val="5"/>
        <w:numId w:val="212"/>
      </w:numPr>
    </w:pPr>
  </w:style>
  <w:style w:type="paragraph" w:customStyle="1" w:styleId="NumPar7">
    <w:name w:val="NumPar 7"/>
    <w:basedOn w:val="Normal"/>
    <w:next w:val="Text2"/>
    <w:pPr>
      <w:numPr>
        <w:ilvl w:val="6"/>
        <w:numId w:val="21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14"/>
      </w:numPr>
    </w:pPr>
  </w:style>
  <w:style w:type="paragraph" w:customStyle="1" w:styleId="Point1number">
    <w:name w:val="Point 1 (number)"/>
    <w:basedOn w:val="Normal"/>
    <w:pPr>
      <w:numPr>
        <w:ilvl w:val="2"/>
        <w:numId w:val="214"/>
      </w:numPr>
    </w:pPr>
  </w:style>
  <w:style w:type="paragraph" w:customStyle="1" w:styleId="Point2number">
    <w:name w:val="Point 2 (number)"/>
    <w:basedOn w:val="Normal"/>
    <w:pPr>
      <w:numPr>
        <w:ilvl w:val="4"/>
        <w:numId w:val="214"/>
      </w:numPr>
    </w:pPr>
  </w:style>
  <w:style w:type="paragraph" w:customStyle="1" w:styleId="Point3number">
    <w:name w:val="Point 3 (number)"/>
    <w:basedOn w:val="Normal"/>
    <w:pPr>
      <w:numPr>
        <w:ilvl w:val="6"/>
        <w:numId w:val="214"/>
      </w:numPr>
    </w:pPr>
  </w:style>
  <w:style w:type="paragraph" w:customStyle="1" w:styleId="Point0letter">
    <w:name w:val="Point 0 (letter)"/>
    <w:basedOn w:val="Normal"/>
    <w:pPr>
      <w:numPr>
        <w:ilvl w:val="1"/>
        <w:numId w:val="214"/>
      </w:numPr>
    </w:pPr>
  </w:style>
  <w:style w:type="paragraph" w:customStyle="1" w:styleId="Point1letter">
    <w:name w:val="Point 1 (letter)"/>
    <w:basedOn w:val="Normal"/>
    <w:pPr>
      <w:numPr>
        <w:ilvl w:val="3"/>
        <w:numId w:val="214"/>
      </w:numPr>
    </w:pPr>
  </w:style>
  <w:style w:type="paragraph" w:customStyle="1" w:styleId="Point2letter">
    <w:name w:val="Point 2 (letter)"/>
    <w:basedOn w:val="Normal"/>
    <w:pPr>
      <w:numPr>
        <w:ilvl w:val="5"/>
        <w:numId w:val="214"/>
      </w:numPr>
    </w:pPr>
  </w:style>
  <w:style w:type="paragraph" w:customStyle="1" w:styleId="Point3letter">
    <w:name w:val="Point 3 (letter)"/>
    <w:basedOn w:val="Normal"/>
    <w:pPr>
      <w:numPr>
        <w:ilvl w:val="7"/>
        <w:numId w:val="214"/>
      </w:numPr>
    </w:pPr>
  </w:style>
  <w:style w:type="paragraph" w:customStyle="1" w:styleId="Point4letter">
    <w:name w:val="Point 4 (letter)"/>
    <w:basedOn w:val="Normal"/>
    <w:pPr>
      <w:numPr>
        <w:ilvl w:val="8"/>
        <w:numId w:val="214"/>
      </w:numPr>
    </w:pPr>
  </w:style>
  <w:style w:type="paragraph" w:customStyle="1" w:styleId="Bullet0">
    <w:name w:val="Bullet 0"/>
    <w:basedOn w:val="Normal"/>
    <w:pPr>
      <w:numPr>
        <w:numId w:val="215"/>
      </w:numPr>
    </w:pPr>
  </w:style>
  <w:style w:type="paragraph" w:customStyle="1" w:styleId="Bullet1">
    <w:name w:val="Bullet 1"/>
    <w:basedOn w:val="Normal"/>
    <w:pPr>
      <w:numPr>
        <w:numId w:val="216"/>
      </w:numPr>
    </w:pPr>
  </w:style>
  <w:style w:type="paragraph" w:customStyle="1" w:styleId="Bullet2">
    <w:name w:val="Bullet 2"/>
    <w:basedOn w:val="Normal"/>
    <w:pPr>
      <w:numPr>
        <w:numId w:val="217"/>
      </w:numPr>
    </w:pPr>
  </w:style>
  <w:style w:type="paragraph" w:customStyle="1" w:styleId="Bullet3">
    <w:name w:val="Bullet 3"/>
    <w:basedOn w:val="Normal"/>
    <w:pPr>
      <w:numPr>
        <w:numId w:val="218"/>
      </w:numPr>
    </w:pPr>
  </w:style>
  <w:style w:type="paragraph" w:customStyle="1" w:styleId="Bullet4">
    <w:name w:val="Bullet 4"/>
    <w:basedOn w:val="Normal"/>
    <w:pPr>
      <w:numPr>
        <w:numId w:val="21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2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0033F2"/>
    <w:pPr>
      <w:tabs>
        <w:tab w:val="center" w:pos="4535"/>
        <w:tab w:val="right" w:pos="9071"/>
      </w:tabs>
      <w:spacing w:before="0"/>
    </w:pPr>
  </w:style>
  <w:style w:type="paragraph" w:customStyle="1" w:styleId="HeaderLandscape">
    <w:name w:val="HeaderLandscape"/>
    <w:basedOn w:val="Normal"/>
    <w:rsid w:val="000033F2"/>
    <w:pPr>
      <w:tabs>
        <w:tab w:val="center" w:pos="7285"/>
        <w:tab w:val="right" w:pos="14003"/>
      </w:tabs>
      <w:spacing w:before="0"/>
    </w:pPr>
  </w:style>
  <w:style w:type="paragraph" w:styleId="Footer">
    <w:name w:val="footer"/>
    <w:basedOn w:val="Normal"/>
    <w:link w:val="FooterChar"/>
    <w:uiPriority w:val="99"/>
    <w:unhideWhenUsed/>
    <w:rsid w:val="000033F2"/>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0033F2"/>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993673">
      <w:bodyDiv w:val="1"/>
      <w:marLeft w:val="0"/>
      <w:marRight w:val="0"/>
      <w:marTop w:val="0"/>
      <w:marBottom w:val="0"/>
      <w:divBdr>
        <w:top w:val="none" w:sz="0" w:space="0" w:color="auto"/>
        <w:left w:val="none" w:sz="0" w:space="0" w:color="auto"/>
        <w:bottom w:val="none" w:sz="0" w:space="0" w:color="auto"/>
        <w:right w:val="none" w:sz="0" w:space="0" w:color="auto"/>
      </w:divBdr>
      <w:divsChild>
        <w:div w:id="339938686">
          <w:marLeft w:val="0"/>
          <w:marRight w:val="0"/>
          <w:marTop w:val="0"/>
          <w:marBottom w:val="0"/>
          <w:divBdr>
            <w:top w:val="none" w:sz="0" w:space="0" w:color="auto"/>
            <w:left w:val="none" w:sz="0" w:space="0" w:color="auto"/>
            <w:bottom w:val="none" w:sz="0" w:space="0" w:color="auto"/>
            <w:right w:val="none" w:sz="0" w:space="0" w:color="auto"/>
          </w:divBdr>
          <w:divsChild>
            <w:div w:id="175466877">
              <w:marLeft w:val="0"/>
              <w:marRight w:val="0"/>
              <w:marTop w:val="0"/>
              <w:marBottom w:val="0"/>
              <w:divBdr>
                <w:top w:val="none" w:sz="0" w:space="0" w:color="auto"/>
                <w:left w:val="none" w:sz="0" w:space="0" w:color="auto"/>
                <w:bottom w:val="none" w:sz="0" w:space="0" w:color="auto"/>
                <w:right w:val="none" w:sz="0" w:space="0" w:color="auto"/>
              </w:divBdr>
            </w:div>
          </w:divsChild>
        </w:div>
        <w:div w:id="719860875">
          <w:marLeft w:val="0"/>
          <w:marRight w:val="0"/>
          <w:marTop w:val="0"/>
          <w:marBottom w:val="0"/>
          <w:divBdr>
            <w:top w:val="none" w:sz="0" w:space="0" w:color="auto"/>
            <w:left w:val="none" w:sz="0" w:space="0" w:color="auto"/>
            <w:bottom w:val="none" w:sz="0" w:space="0" w:color="auto"/>
            <w:right w:val="none" w:sz="0" w:space="0" w:color="auto"/>
          </w:divBdr>
          <w:divsChild>
            <w:div w:id="305204696">
              <w:marLeft w:val="0"/>
              <w:marRight w:val="0"/>
              <w:marTop w:val="0"/>
              <w:marBottom w:val="0"/>
              <w:divBdr>
                <w:top w:val="none" w:sz="0" w:space="0" w:color="auto"/>
                <w:left w:val="none" w:sz="0" w:space="0" w:color="auto"/>
                <w:bottom w:val="none" w:sz="0" w:space="0" w:color="auto"/>
                <w:right w:val="none" w:sz="0" w:space="0" w:color="auto"/>
              </w:divBdr>
            </w:div>
          </w:divsChild>
        </w:div>
        <w:div w:id="726538013">
          <w:marLeft w:val="0"/>
          <w:marRight w:val="0"/>
          <w:marTop w:val="0"/>
          <w:marBottom w:val="0"/>
          <w:divBdr>
            <w:top w:val="none" w:sz="0" w:space="0" w:color="auto"/>
            <w:left w:val="none" w:sz="0" w:space="0" w:color="auto"/>
            <w:bottom w:val="none" w:sz="0" w:space="0" w:color="auto"/>
            <w:right w:val="none" w:sz="0" w:space="0" w:color="auto"/>
          </w:divBdr>
          <w:divsChild>
            <w:div w:id="775641362">
              <w:marLeft w:val="0"/>
              <w:marRight w:val="0"/>
              <w:marTop w:val="0"/>
              <w:marBottom w:val="0"/>
              <w:divBdr>
                <w:top w:val="none" w:sz="0" w:space="0" w:color="auto"/>
                <w:left w:val="none" w:sz="0" w:space="0" w:color="auto"/>
                <w:bottom w:val="none" w:sz="0" w:space="0" w:color="auto"/>
                <w:right w:val="none" w:sz="0" w:space="0" w:color="auto"/>
              </w:divBdr>
            </w:div>
            <w:div w:id="1056323269">
              <w:marLeft w:val="0"/>
              <w:marRight w:val="0"/>
              <w:marTop w:val="0"/>
              <w:marBottom w:val="0"/>
              <w:divBdr>
                <w:top w:val="none" w:sz="0" w:space="0" w:color="auto"/>
                <w:left w:val="none" w:sz="0" w:space="0" w:color="auto"/>
                <w:bottom w:val="none" w:sz="0" w:space="0" w:color="auto"/>
                <w:right w:val="none" w:sz="0" w:space="0" w:color="auto"/>
              </w:divBdr>
            </w:div>
          </w:divsChild>
        </w:div>
        <w:div w:id="745348463">
          <w:marLeft w:val="0"/>
          <w:marRight w:val="0"/>
          <w:marTop w:val="0"/>
          <w:marBottom w:val="0"/>
          <w:divBdr>
            <w:top w:val="none" w:sz="0" w:space="0" w:color="auto"/>
            <w:left w:val="none" w:sz="0" w:space="0" w:color="auto"/>
            <w:bottom w:val="none" w:sz="0" w:space="0" w:color="auto"/>
            <w:right w:val="none" w:sz="0" w:space="0" w:color="auto"/>
          </w:divBdr>
          <w:divsChild>
            <w:div w:id="1725718032">
              <w:marLeft w:val="0"/>
              <w:marRight w:val="0"/>
              <w:marTop w:val="0"/>
              <w:marBottom w:val="0"/>
              <w:divBdr>
                <w:top w:val="none" w:sz="0" w:space="0" w:color="auto"/>
                <w:left w:val="none" w:sz="0" w:space="0" w:color="auto"/>
                <w:bottom w:val="none" w:sz="0" w:space="0" w:color="auto"/>
                <w:right w:val="none" w:sz="0" w:space="0" w:color="auto"/>
              </w:divBdr>
            </w:div>
          </w:divsChild>
        </w:div>
        <w:div w:id="796870967">
          <w:marLeft w:val="0"/>
          <w:marRight w:val="0"/>
          <w:marTop w:val="0"/>
          <w:marBottom w:val="0"/>
          <w:divBdr>
            <w:top w:val="none" w:sz="0" w:space="0" w:color="auto"/>
            <w:left w:val="none" w:sz="0" w:space="0" w:color="auto"/>
            <w:bottom w:val="none" w:sz="0" w:space="0" w:color="auto"/>
            <w:right w:val="none" w:sz="0" w:space="0" w:color="auto"/>
          </w:divBdr>
          <w:divsChild>
            <w:div w:id="254872565">
              <w:marLeft w:val="0"/>
              <w:marRight w:val="0"/>
              <w:marTop w:val="0"/>
              <w:marBottom w:val="0"/>
              <w:divBdr>
                <w:top w:val="none" w:sz="0" w:space="0" w:color="auto"/>
                <w:left w:val="none" w:sz="0" w:space="0" w:color="auto"/>
                <w:bottom w:val="none" w:sz="0" w:space="0" w:color="auto"/>
                <w:right w:val="none" w:sz="0" w:space="0" w:color="auto"/>
              </w:divBdr>
            </w:div>
            <w:div w:id="613484770">
              <w:marLeft w:val="0"/>
              <w:marRight w:val="0"/>
              <w:marTop w:val="0"/>
              <w:marBottom w:val="0"/>
              <w:divBdr>
                <w:top w:val="none" w:sz="0" w:space="0" w:color="auto"/>
                <w:left w:val="none" w:sz="0" w:space="0" w:color="auto"/>
                <w:bottom w:val="none" w:sz="0" w:space="0" w:color="auto"/>
                <w:right w:val="none" w:sz="0" w:space="0" w:color="auto"/>
              </w:divBdr>
            </w:div>
            <w:div w:id="776295111">
              <w:marLeft w:val="0"/>
              <w:marRight w:val="0"/>
              <w:marTop w:val="0"/>
              <w:marBottom w:val="0"/>
              <w:divBdr>
                <w:top w:val="none" w:sz="0" w:space="0" w:color="auto"/>
                <w:left w:val="none" w:sz="0" w:space="0" w:color="auto"/>
                <w:bottom w:val="none" w:sz="0" w:space="0" w:color="auto"/>
                <w:right w:val="none" w:sz="0" w:space="0" w:color="auto"/>
              </w:divBdr>
            </w:div>
            <w:div w:id="1829132899">
              <w:marLeft w:val="0"/>
              <w:marRight w:val="0"/>
              <w:marTop w:val="0"/>
              <w:marBottom w:val="0"/>
              <w:divBdr>
                <w:top w:val="none" w:sz="0" w:space="0" w:color="auto"/>
                <w:left w:val="none" w:sz="0" w:space="0" w:color="auto"/>
                <w:bottom w:val="none" w:sz="0" w:space="0" w:color="auto"/>
                <w:right w:val="none" w:sz="0" w:space="0" w:color="auto"/>
              </w:divBdr>
            </w:div>
            <w:div w:id="1913420427">
              <w:marLeft w:val="0"/>
              <w:marRight w:val="0"/>
              <w:marTop w:val="0"/>
              <w:marBottom w:val="0"/>
              <w:divBdr>
                <w:top w:val="none" w:sz="0" w:space="0" w:color="auto"/>
                <w:left w:val="none" w:sz="0" w:space="0" w:color="auto"/>
                <w:bottom w:val="none" w:sz="0" w:space="0" w:color="auto"/>
                <w:right w:val="none" w:sz="0" w:space="0" w:color="auto"/>
              </w:divBdr>
            </w:div>
            <w:div w:id="2129078925">
              <w:marLeft w:val="0"/>
              <w:marRight w:val="0"/>
              <w:marTop w:val="0"/>
              <w:marBottom w:val="0"/>
              <w:divBdr>
                <w:top w:val="none" w:sz="0" w:space="0" w:color="auto"/>
                <w:left w:val="none" w:sz="0" w:space="0" w:color="auto"/>
                <w:bottom w:val="none" w:sz="0" w:space="0" w:color="auto"/>
                <w:right w:val="none" w:sz="0" w:space="0" w:color="auto"/>
              </w:divBdr>
            </w:div>
          </w:divsChild>
        </w:div>
        <w:div w:id="868682053">
          <w:marLeft w:val="0"/>
          <w:marRight w:val="0"/>
          <w:marTop w:val="0"/>
          <w:marBottom w:val="0"/>
          <w:divBdr>
            <w:top w:val="none" w:sz="0" w:space="0" w:color="auto"/>
            <w:left w:val="none" w:sz="0" w:space="0" w:color="auto"/>
            <w:bottom w:val="none" w:sz="0" w:space="0" w:color="auto"/>
            <w:right w:val="none" w:sz="0" w:space="0" w:color="auto"/>
          </w:divBdr>
          <w:divsChild>
            <w:div w:id="589237350">
              <w:marLeft w:val="0"/>
              <w:marRight w:val="0"/>
              <w:marTop w:val="0"/>
              <w:marBottom w:val="0"/>
              <w:divBdr>
                <w:top w:val="none" w:sz="0" w:space="0" w:color="auto"/>
                <w:left w:val="none" w:sz="0" w:space="0" w:color="auto"/>
                <w:bottom w:val="none" w:sz="0" w:space="0" w:color="auto"/>
                <w:right w:val="none" w:sz="0" w:space="0" w:color="auto"/>
              </w:divBdr>
            </w:div>
            <w:div w:id="645620964">
              <w:marLeft w:val="0"/>
              <w:marRight w:val="0"/>
              <w:marTop w:val="0"/>
              <w:marBottom w:val="0"/>
              <w:divBdr>
                <w:top w:val="none" w:sz="0" w:space="0" w:color="auto"/>
                <w:left w:val="none" w:sz="0" w:space="0" w:color="auto"/>
                <w:bottom w:val="none" w:sz="0" w:space="0" w:color="auto"/>
                <w:right w:val="none" w:sz="0" w:space="0" w:color="auto"/>
              </w:divBdr>
            </w:div>
            <w:div w:id="876695379">
              <w:marLeft w:val="0"/>
              <w:marRight w:val="0"/>
              <w:marTop w:val="0"/>
              <w:marBottom w:val="0"/>
              <w:divBdr>
                <w:top w:val="none" w:sz="0" w:space="0" w:color="auto"/>
                <w:left w:val="none" w:sz="0" w:space="0" w:color="auto"/>
                <w:bottom w:val="none" w:sz="0" w:space="0" w:color="auto"/>
                <w:right w:val="none" w:sz="0" w:space="0" w:color="auto"/>
              </w:divBdr>
            </w:div>
          </w:divsChild>
        </w:div>
        <w:div w:id="926420619">
          <w:marLeft w:val="0"/>
          <w:marRight w:val="0"/>
          <w:marTop w:val="0"/>
          <w:marBottom w:val="0"/>
          <w:divBdr>
            <w:top w:val="none" w:sz="0" w:space="0" w:color="auto"/>
            <w:left w:val="none" w:sz="0" w:space="0" w:color="auto"/>
            <w:bottom w:val="none" w:sz="0" w:space="0" w:color="auto"/>
            <w:right w:val="none" w:sz="0" w:space="0" w:color="auto"/>
          </w:divBdr>
          <w:divsChild>
            <w:div w:id="1164976832">
              <w:marLeft w:val="0"/>
              <w:marRight w:val="0"/>
              <w:marTop w:val="0"/>
              <w:marBottom w:val="0"/>
              <w:divBdr>
                <w:top w:val="none" w:sz="0" w:space="0" w:color="auto"/>
                <w:left w:val="none" w:sz="0" w:space="0" w:color="auto"/>
                <w:bottom w:val="none" w:sz="0" w:space="0" w:color="auto"/>
                <w:right w:val="none" w:sz="0" w:space="0" w:color="auto"/>
              </w:divBdr>
            </w:div>
          </w:divsChild>
        </w:div>
        <w:div w:id="1157770319">
          <w:marLeft w:val="0"/>
          <w:marRight w:val="0"/>
          <w:marTop w:val="0"/>
          <w:marBottom w:val="0"/>
          <w:divBdr>
            <w:top w:val="none" w:sz="0" w:space="0" w:color="auto"/>
            <w:left w:val="none" w:sz="0" w:space="0" w:color="auto"/>
            <w:bottom w:val="none" w:sz="0" w:space="0" w:color="auto"/>
            <w:right w:val="none" w:sz="0" w:space="0" w:color="auto"/>
          </w:divBdr>
          <w:divsChild>
            <w:div w:id="1138688882">
              <w:marLeft w:val="0"/>
              <w:marRight w:val="0"/>
              <w:marTop w:val="0"/>
              <w:marBottom w:val="0"/>
              <w:divBdr>
                <w:top w:val="none" w:sz="0" w:space="0" w:color="auto"/>
                <w:left w:val="none" w:sz="0" w:space="0" w:color="auto"/>
                <w:bottom w:val="none" w:sz="0" w:space="0" w:color="auto"/>
                <w:right w:val="none" w:sz="0" w:space="0" w:color="auto"/>
              </w:divBdr>
            </w:div>
          </w:divsChild>
        </w:div>
        <w:div w:id="1477842689">
          <w:marLeft w:val="0"/>
          <w:marRight w:val="0"/>
          <w:marTop w:val="0"/>
          <w:marBottom w:val="0"/>
          <w:divBdr>
            <w:top w:val="none" w:sz="0" w:space="0" w:color="auto"/>
            <w:left w:val="none" w:sz="0" w:space="0" w:color="auto"/>
            <w:bottom w:val="none" w:sz="0" w:space="0" w:color="auto"/>
            <w:right w:val="none" w:sz="0" w:space="0" w:color="auto"/>
          </w:divBdr>
          <w:divsChild>
            <w:div w:id="348531247">
              <w:marLeft w:val="0"/>
              <w:marRight w:val="0"/>
              <w:marTop w:val="0"/>
              <w:marBottom w:val="0"/>
              <w:divBdr>
                <w:top w:val="none" w:sz="0" w:space="0" w:color="auto"/>
                <w:left w:val="none" w:sz="0" w:space="0" w:color="auto"/>
                <w:bottom w:val="none" w:sz="0" w:space="0" w:color="auto"/>
                <w:right w:val="none" w:sz="0" w:space="0" w:color="auto"/>
              </w:divBdr>
            </w:div>
          </w:divsChild>
        </w:div>
        <w:div w:id="1576666565">
          <w:marLeft w:val="0"/>
          <w:marRight w:val="0"/>
          <w:marTop w:val="0"/>
          <w:marBottom w:val="0"/>
          <w:divBdr>
            <w:top w:val="none" w:sz="0" w:space="0" w:color="auto"/>
            <w:left w:val="none" w:sz="0" w:space="0" w:color="auto"/>
            <w:bottom w:val="none" w:sz="0" w:space="0" w:color="auto"/>
            <w:right w:val="none" w:sz="0" w:space="0" w:color="auto"/>
          </w:divBdr>
          <w:divsChild>
            <w:div w:id="366218263">
              <w:marLeft w:val="0"/>
              <w:marRight w:val="0"/>
              <w:marTop w:val="0"/>
              <w:marBottom w:val="0"/>
              <w:divBdr>
                <w:top w:val="none" w:sz="0" w:space="0" w:color="auto"/>
                <w:left w:val="none" w:sz="0" w:space="0" w:color="auto"/>
                <w:bottom w:val="none" w:sz="0" w:space="0" w:color="auto"/>
                <w:right w:val="none" w:sz="0" w:space="0" w:color="auto"/>
              </w:divBdr>
            </w:div>
            <w:div w:id="1802336769">
              <w:marLeft w:val="0"/>
              <w:marRight w:val="0"/>
              <w:marTop w:val="0"/>
              <w:marBottom w:val="0"/>
              <w:divBdr>
                <w:top w:val="none" w:sz="0" w:space="0" w:color="auto"/>
                <w:left w:val="none" w:sz="0" w:space="0" w:color="auto"/>
                <w:bottom w:val="none" w:sz="0" w:space="0" w:color="auto"/>
                <w:right w:val="none" w:sz="0" w:space="0" w:color="auto"/>
              </w:divBdr>
            </w:div>
          </w:divsChild>
        </w:div>
        <w:div w:id="1650476643">
          <w:marLeft w:val="0"/>
          <w:marRight w:val="0"/>
          <w:marTop w:val="0"/>
          <w:marBottom w:val="0"/>
          <w:divBdr>
            <w:top w:val="none" w:sz="0" w:space="0" w:color="auto"/>
            <w:left w:val="none" w:sz="0" w:space="0" w:color="auto"/>
            <w:bottom w:val="none" w:sz="0" w:space="0" w:color="auto"/>
            <w:right w:val="none" w:sz="0" w:space="0" w:color="auto"/>
          </w:divBdr>
          <w:divsChild>
            <w:div w:id="1438595746">
              <w:marLeft w:val="0"/>
              <w:marRight w:val="0"/>
              <w:marTop w:val="0"/>
              <w:marBottom w:val="0"/>
              <w:divBdr>
                <w:top w:val="none" w:sz="0" w:space="0" w:color="auto"/>
                <w:left w:val="none" w:sz="0" w:space="0" w:color="auto"/>
                <w:bottom w:val="none" w:sz="0" w:space="0" w:color="auto"/>
                <w:right w:val="none" w:sz="0" w:space="0" w:color="auto"/>
              </w:divBdr>
            </w:div>
            <w:div w:id="1780828718">
              <w:marLeft w:val="0"/>
              <w:marRight w:val="0"/>
              <w:marTop w:val="0"/>
              <w:marBottom w:val="0"/>
              <w:divBdr>
                <w:top w:val="none" w:sz="0" w:space="0" w:color="auto"/>
                <w:left w:val="none" w:sz="0" w:space="0" w:color="auto"/>
                <w:bottom w:val="none" w:sz="0" w:space="0" w:color="auto"/>
                <w:right w:val="none" w:sz="0" w:space="0" w:color="auto"/>
              </w:divBdr>
            </w:div>
            <w:div w:id="1886943780">
              <w:marLeft w:val="0"/>
              <w:marRight w:val="0"/>
              <w:marTop w:val="0"/>
              <w:marBottom w:val="0"/>
              <w:divBdr>
                <w:top w:val="none" w:sz="0" w:space="0" w:color="auto"/>
                <w:left w:val="none" w:sz="0" w:space="0" w:color="auto"/>
                <w:bottom w:val="none" w:sz="0" w:space="0" w:color="auto"/>
                <w:right w:val="none" w:sz="0" w:space="0" w:color="auto"/>
              </w:divBdr>
            </w:div>
          </w:divsChild>
        </w:div>
        <w:div w:id="1698971306">
          <w:marLeft w:val="0"/>
          <w:marRight w:val="0"/>
          <w:marTop w:val="0"/>
          <w:marBottom w:val="0"/>
          <w:divBdr>
            <w:top w:val="none" w:sz="0" w:space="0" w:color="auto"/>
            <w:left w:val="none" w:sz="0" w:space="0" w:color="auto"/>
            <w:bottom w:val="none" w:sz="0" w:space="0" w:color="auto"/>
            <w:right w:val="none" w:sz="0" w:space="0" w:color="auto"/>
          </w:divBdr>
          <w:divsChild>
            <w:div w:id="1919512847">
              <w:marLeft w:val="0"/>
              <w:marRight w:val="0"/>
              <w:marTop w:val="0"/>
              <w:marBottom w:val="0"/>
              <w:divBdr>
                <w:top w:val="none" w:sz="0" w:space="0" w:color="auto"/>
                <w:left w:val="none" w:sz="0" w:space="0" w:color="auto"/>
                <w:bottom w:val="none" w:sz="0" w:space="0" w:color="auto"/>
                <w:right w:val="none" w:sz="0" w:space="0" w:color="auto"/>
              </w:divBdr>
            </w:div>
          </w:divsChild>
        </w:div>
        <w:div w:id="1752462441">
          <w:marLeft w:val="0"/>
          <w:marRight w:val="0"/>
          <w:marTop w:val="0"/>
          <w:marBottom w:val="0"/>
          <w:divBdr>
            <w:top w:val="none" w:sz="0" w:space="0" w:color="auto"/>
            <w:left w:val="none" w:sz="0" w:space="0" w:color="auto"/>
            <w:bottom w:val="none" w:sz="0" w:space="0" w:color="auto"/>
            <w:right w:val="none" w:sz="0" w:space="0" w:color="auto"/>
          </w:divBdr>
          <w:divsChild>
            <w:div w:id="1663772581">
              <w:marLeft w:val="0"/>
              <w:marRight w:val="0"/>
              <w:marTop w:val="0"/>
              <w:marBottom w:val="0"/>
              <w:divBdr>
                <w:top w:val="none" w:sz="0" w:space="0" w:color="auto"/>
                <w:left w:val="none" w:sz="0" w:space="0" w:color="auto"/>
                <w:bottom w:val="none" w:sz="0" w:space="0" w:color="auto"/>
                <w:right w:val="none" w:sz="0" w:space="0" w:color="auto"/>
              </w:divBdr>
            </w:div>
          </w:divsChild>
        </w:div>
        <w:div w:id="1763062214">
          <w:marLeft w:val="0"/>
          <w:marRight w:val="0"/>
          <w:marTop w:val="0"/>
          <w:marBottom w:val="0"/>
          <w:divBdr>
            <w:top w:val="none" w:sz="0" w:space="0" w:color="auto"/>
            <w:left w:val="none" w:sz="0" w:space="0" w:color="auto"/>
            <w:bottom w:val="none" w:sz="0" w:space="0" w:color="auto"/>
            <w:right w:val="none" w:sz="0" w:space="0" w:color="auto"/>
          </w:divBdr>
          <w:divsChild>
            <w:div w:id="718170349">
              <w:marLeft w:val="0"/>
              <w:marRight w:val="0"/>
              <w:marTop w:val="0"/>
              <w:marBottom w:val="0"/>
              <w:divBdr>
                <w:top w:val="none" w:sz="0" w:space="0" w:color="auto"/>
                <w:left w:val="none" w:sz="0" w:space="0" w:color="auto"/>
                <w:bottom w:val="none" w:sz="0" w:space="0" w:color="auto"/>
                <w:right w:val="none" w:sz="0" w:space="0" w:color="auto"/>
              </w:divBdr>
            </w:div>
            <w:div w:id="1898275079">
              <w:marLeft w:val="0"/>
              <w:marRight w:val="0"/>
              <w:marTop w:val="0"/>
              <w:marBottom w:val="0"/>
              <w:divBdr>
                <w:top w:val="none" w:sz="0" w:space="0" w:color="auto"/>
                <w:left w:val="none" w:sz="0" w:space="0" w:color="auto"/>
                <w:bottom w:val="none" w:sz="0" w:space="0" w:color="auto"/>
                <w:right w:val="none" w:sz="0" w:space="0" w:color="auto"/>
              </w:divBdr>
            </w:div>
          </w:divsChild>
        </w:div>
        <w:div w:id="1928727345">
          <w:marLeft w:val="0"/>
          <w:marRight w:val="0"/>
          <w:marTop w:val="0"/>
          <w:marBottom w:val="0"/>
          <w:divBdr>
            <w:top w:val="none" w:sz="0" w:space="0" w:color="auto"/>
            <w:left w:val="none" w:sz="0" w:space="0" w:color="auto"/>
            <w:bottom w:val="none" w:sz="0" w:space="0" w:color="auto"/>
            <w:right w:val="none" w:sz="0" w:space="0" w:color="auto"/>
          </w:divBdr>
          <w:divsChild>
            <w:div w:id="663701098">
              <w:marLeft w:val="0"/>
              <w:marRight w:val="0"/>
              <w:marTop w:val="0"/>
              <w:marBottom w:val="0"/>
              <w:divBdr>
                <w:top w:val="none" w:sz="0" w:space="0" w:color="auto"/>
                <w:left w:val="none" w:sz="0" w:space="0" w:color="auto"/>
                <w:bottom w:val="none" w:sz="0" w:space="0" w:color="auto"/>
                <w:right w:val="none" w:sz="0" w:space="0" w:color="auto"/>
              </w:divBdr>
            </w:div>
            <w:div w:id="674117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45049">
      <w:bodyDiv w:val="1"/>
      <w:marLeft w:val="0"/>
      <w:marRight w:val="0"/>
      <w:marTop w:val="0"/>
      <w:marBottom w:val="0"/>
      <w:divBdr>
        <w:top w:val="none" w:sz="0" w:space="0" w:color="auto"/>
        <w:left w:val="none" w:sz="0" w:space="0" w:color="auto"/>
        <w:bottom w:val="none" w:sz="0" w:space="0" w:color="auto"/>
        <w:right w:val="none" w:sz="0" w:space="0" w:color="auto"/>
      </w:divBdr>
      <w:divsChild>
        <w:div w:id="4867043">
          <w:marLeft w:val="0"/>
          <w:marRight w:val="0"/>
          <w:marTop w:val="0"/>
          <w:marBottom w:val="0"/>
          <w:divBdr>
            <w:top w:val="none" w:sz="0" w:space="0" w:color="auto"/>
            <w:left w:val="none" w:sz="0" w:space="0" w:color="auto"/>
            <w:bottom w:val="none" w:sz="0" w:space="0" w:color="auto"/>
            <w:right w:val="none" w:sz="0" w:space="0" w:color="auto"/>
          </w:divBdr>
          <w:divsChild>
            <w:div w:id="402215251">
              <w:marLeft w:val="0"/>
              <w:marRight w:val="0"/>
              <w:marTop w:val="0"/>
              <w:marBottom w:val="0"/>
              <w:divBdr>
                <w:top w:val="none" w:sz="0" w:space="0" w:color="auto"/>
                <w:left w:val="none" w:sz="0" w:space="0" w:color="auto"/>
                <w:bottom w:val="none" w:sz="0" w:space="0" w:color="auto"/>
                <w:right w:val="none" w:sz="0" w:space="0" w:color="auto"/>
              </w:divBdr>
            </w:div>
          </w:divsChild>
        </w:div>
        <w:div w:id="54552121">
          <w:marLeft w:val="0"/>
          <w:marRight w:val="0"/>
          <w:marTop w:val="0"/>
          <w:marBottom w:val="0"/>
          <w:divBdr>
            <w:top w:val="none" w:sz="0" w:space="0" w:color="auto"/>
            <w:left w:val="none" w:sz="0" w:space="0" w:color="auto"/>
            <w:bottom w:val="none" w:sz="0" w:space="0" w:color="auto"/>
            <w:right w:val="none" w:sz="0" w:space="0" w:color="auto"/>
          </w:divBdr>
          <w:divsChild>
            <w:div w:id="130485712">
              <w:marLeft w:val="0"/>
              <w:marRight w:val="0"/>
              <w:marTop w:val="0"/>
              <w:marBottom w:val="0"/>
              <w:divBdr>
                <w:top w:val="none" w:sz="0" w:space="0" w:color="auto"/>
                <w:left w:val="none" w:sz="0" w:space="0" w:color="auto"/>
                <w:bottom w:val="none" w:sz="0" w:space="0" w:color="auto"/>
                <w:right w:val="none" w:sz="0" w:space="0" w:color="auto"/>
              </w:divBdr>
            </w:div>
          </w:divsChild>
        </w:div>
        <w:div w:id="77142453">
          <w:marLeft w:val="0"/>
          <w:marRight w:val="0"/>
          <w:marTop w:val="0"/>
          <w:marBottom w:val="0"/>
          <w:divBdr>
            <w:top w:val="none" w:sz="0" w:space="0" w:color="auto"/>
            <w:left w:val="none" w:sz="0" w:space="0" w:color="auto"/>
            <w:bottom w:val="none" w:sz="0" w:space="0" w:color="auto"/>
            <w:right w:val="none" w:sz="0" w:space="0" w:color="auto"/>
          </w:divBdr>
          <w:divsChild>
            <w:div w:id="937492743">
              <w:marLeft w:val="0"/>
              <w:marRight w:val="0"/>
              <w:marTop w:val="0"/>
              <w:marBottom w:val="0"/>
              <w:divBdr>
                <w:top w:val="none" w:sz="0" w:space="0" w:color="auto"/>
                <w:left w:val="none" w:sz="0" w:space="0" w:color="auto"/>
                <w:bottom w:val="none" w:sz="0" w:space="0" w:color="auto"/>
                <w:right w:val="none" w:sz="0" w:space="0" w:color="auto"/>
              </w:divBdr>
            </w:div>
            <w:div w:id="1817917040">
              <w:marLeft w:val="0"/>
              <w:marRight w:val="0"/>
              <w:marTop w:val="0"/>
              <w:marBottom w:val="0"/>
              <w:divBdr>
                <w:top w:val="none" w:sz="0" w:space="0" w:color="auto"/>
                <w:left w:val="none" w:sz="0" w:space="0" w:color="auto"/>
                <w:bottom w:val="none" w:sz="0" w:space="0" w:color="auto"/>
                <w:right w:val="none" w:sz="0" w:space="0" w:color="auto"/>
              </w:divBdr>
            </w:div>
          </w:divsChild>
        </w:div>
        <w:div w:id="121703457">
          <w:marLeft w:val="0"/>
          <w:marRight w:val="0"/>
          <w:marTop w:val="0"/>
          <w:marBottom w:val="0"/>
          <w:divBdr>
            <w:top w:val="none" w:sz="0" w:space="0" w:color="auto"/>
            <w:left w:val="none" w:sz="0" w:space="0" w:color="auto"/>
            <w:bottom w:val="none" w:sz="0" w:space="0" w:color="auto"/>
            <w:right w:val="none" w:sz="0" w:space="0" w:color="auto"/>
          </w:divBdr>
          <w:divsChild>
            <w:div w:id="336157991">
              <w:marLeft w:val="0"/>
              <w:marRight w:val="0"/>
              <w:marTop w:val="0"/>
              <w:marBottom w:val="0"/>
              <w:divBdr>
                <w:top w:val="none" w:sz="0" w:space="0" w:color="auto"/>
                <w:left w:val="none" w:sz="0" w:space="0" w:color="auto"/>
                <w:bottom w:val="none" w:sz="0" w:space="0" w:color="auto"/>
                <w:right w:val="none" w:sz="0" w:space="0" w:color="auto"/>
              </w:divBdr>
            </w:div>
            <w:div w:id="1085033674">
              <w:marLeft w:val="0"/>
              <w:marRight w:val="0"/>
              <w:marTop w:val="0"/>
              <w:marBottom w:val="0"/>
              <w:divBdr>
                <w:top w:val="none" w:sz="0" w:space="0" w:color="auto"/>
                <w:left w:val="none" w:sz="0" w:space="0" w:color="auto"/>
                <w:bottom w:val="none" w:sz="0" w:space="0" w:color="auto"/>
                <w:right w:val="none" w:sz="0" w:space="0" w:color="auto"/>
              </w:divBdr>
            </w:div>
          </w:divsChild>
        </w:div>
        <w:div w:id="141585283">
          <w:marLeft w:val="0"/>
          <w:marRight w:val="0"/>
          <w:marTop w:val="0"/>
          <w:marBottom w:val="0"/>
          <w:divBdr>
            <w:top w:val="none" w:sz="0" w:space="0" w:color="auto"/>
            <w:left w:val="none" w:sz="0" w:space="0" w:color="auto"/>
            <w:bottom w:val="none" w:sz="0" w:space="0" w:color="auto"/>
            <w:right w:val="none" w:sz="0" w:space="0" w:color="auto"/>
          </w:divBdr>
          <w:divsChild>
            <w:div w:id="574360106">
              <w:marLeft w:val="0"/>
              <w:marRight w:val="0"/>
              <w:marTop w:val="0"/>
              <w:marBottom w:val="0"/>
              <w:divBdr>
                <w:top w:val="none" w:sz="0" w:space="0" w:color="auto"/>
                <w:left w:val="none" w:sz="0" w:space="0" w:color="auto"/>
                <w:bottom w:val="none" w:sz="0" w:space="0" w:color="auto"/>
                <w:right w:val="none" w:sz="0" w:space="0" w:color="auto"/>
              </w:divBdr>
            </w:div>
            <w:div w:id="627780105">
              <w:marLeft w:val="0"/>
              <w:marRight w:val="0"/>
              <w:marTop w:val="0"/>
              <w:marBottom w:val="0"/>
              <w:divBdr>
                <w:top w:val="none" w:sz="0" w:space="0" w:color="auto"/>
                <w:left w:val="none" w:sz="0" w:space="0" w:color="auto"/>
                <w:bottom w:val="none" w:sz="0" w:space="0" w:color="auto"/>
                <w:right w:val="none" w:sz="0" w:space="0" w:color="auto"/>
              </w:divBdr>
            </w:div>
            <w:div w:id="770323580">
              <w:marLeft w:val="0"/>
              <w:marRight w:val="0"/>
              <w:marTop w:val="0"/>
              <w:marBottom w:val="0"/>
              <w:divBdr>
                <w:top w:val="none" w:sz="0" w:space="0" w:color="auto"/>
                <w:left w:val="none" w:sz="0" w:space="0" w:color="auto"/>
                <w:bottom w:val="none" w:sz="0" w:space="0" w:color="auto"/>
                <w:right w:val="none" w:sz="0" w:space="0" w:color="auto"/>
              </w:divBdr>
            </w:div>
            <w:div w:id="1402869873">
              <w:marLeft w:val="0"/>
              <w:marRight w:val="0"/>
              <w:marTop w:val="0"/>
              <w:marBottom w:val="0"/>
              <w:divBdr>
                <w:top w:val="none" w:sz="0" w:space="0" w:color="auto"/>
                <w:left w:val="none" w:sz="0" w:space="0" w:color="auto"/>
                <w:bottom w:val="none" w:sz="0" w:space="0" w:color="auto"/>
                <w:right w:val="none" w:sz="0" w:space="0" w:color="auto"/>
              </w:divBdr>
            </w:div>
          </w:divsChild>
        </w:div>
        <w:div w:id="647056412">
          <w:marLeft w:val="0"/>
          <w:marRight w:val="0"/>
          <w:marTop w:val="0"/>
          <w:marBottom w:val="0"/>
          <w:divBdr>
            <w:top w:val="none" w:sz="0" w:space="0" w:color="auto"/>
            <w:left w:val="none" w:sz="0" w:space="0" w:color="auto"/>
            <w:bottom w:val="none" w:sz="0" w:space="0" w:color="auto"/>
            <w:right w:val="none" w:sz="0" w:space="0" w:color="auto"/>
          </w:divBdr>
          <w:divsChild>
            <w:div w:id="769467375">
              <w:marLeft w:val="0"/>
              <w:marRight w:val="0"/>
              <w:marTop w:val="0"/>
              <w:marBottom w:val="0"/>
              <w:divBdr>
                <w:top w:val="none" w:sz="0" w:space="0" w:color="auto"/>
                <w:left w:val="none" w:sz="0" w:space="0" w:color="auto"/>
                <w:bottom w:val="none" w:sz="0" w:space="0" w:color="auto"/>
                <w:right w:val="none" w:sz="0" w:space="0" w:color="auto"/>
              </w:divBdr>
            </w:div>
            <w:div w:id="1427964556">
              <w:marLeft w:val="0"/>
              <w:marRight w:val="0"/>
              <w:marTop w:val="0"/>
              <w:marBottom w:val="0"/>
              <w:divBdr>
                <w:top w:val="none" w:sz="0" w:space="0" w:color="auto"/>
                <w:left w:val="none" w:sz="0" w:space="0" w:color="auto"/>
                <w:bottom w:val="none" w:sz="0" w:space="0" w:color="auto"/>
                <w:right w:val="none" w:sz="0" w:space="0" w:color="auto"/>
              </w:divBdr>
            </w:div>
          </w:divsChild>
        </w:div>
        <w:div w:id="718019663">
          <w:marLeft w:val="0"/>
          <w:marRight w:val="0"/>
          <w:marTop w:val="0"/>
          <w:marBottom w:val="0"/>
          <w:divBdr>
            <w:top w:val="none" w:sz="0" w:space="0" w:color="auto"/>
            <w:left w:val="none" w:sz="0" w:space="0" w:color="auto"/>
            <w:bottom w:val="none" w:sz="0" w:space="0" w:color="auto"/>
            <w:right w:val="none" w:sz="0" w:space="0" w:color="auto"/>
          </w:divBdr>
          <w:divsChild>
            <w:div w:id="1389720125">
              <w:marLeft w:val="0"/>
              <w:marRight w:val="0"/>
              <w:marTop w:val="0"/>
              <w:marBottom w:val="0"/>
              <w:divBdr>
                <w:top w:val="none" w:sz="0" w:space="0" w:color="auto"/>
                <w:left w:val="none" w:sz="0" w:space="0" w:color="auto"/>
                <w:bottom w:val="none" w:sz="0" w:space="0" w:color="auto"/>
                <w:right w:val="none" w:sz="0" w:space="0" w:color="auto"/>
              </w:divBdr>
            </w:div>
            <w:div w:id="2065441249">
              <w:marLeft w:val="0"/>
              <w:marRight w:val="0"/>
              <w:marTop w:val="0"/>
              <w:marBottom w:val="0"/>
              <w:divBdr>
                <w:top w:val="none" w:sz="0" w:space="0" w:color="auto"/>
                <w:left w:val="none" w:sz="0" w:space="0" w:color="auto"/>
                <w:bottom w:val="none" w:sz="0" w:space="0" w:color="auto"/>
                <w:right w:val="none" w:sz="0" w:space="0" w:color="auto"/>
              </w:divBdr>
            </w:div>
          </w:divsChild>
        </w:div>
        <w:div w:id="841508322">
          <w:marLeft w:val="0"/>
          <w:marRight w:val="0"/>
          <w:marTop w:val="0"/>
          <w:marBottom w:val="0"/>
          <w:divBdr>
            <w:top w:val="none" w:sz="0" w:space="0" w:color="auto"/>
            <w:left w:val="none" w:sz="0" w:space="0" w:color="auto"/>
            <w:bottom w:val="none" w:sz="0" w:space="0" w:color="auto"/>
            <w:right w:val="none" w:sz="0" w:space="0" w:color="auto"/>
          </w:divBdr>
          <w:divsChild>
            <w:div w:id="1368485907">
              <w:marLeft w:val="0"/>
              <w:marRight w:val="0"/>
              <w:marTop w:val="0"/>
              <w:marBottom w:val="0"/>
              <w:divBdr>
                <w:top w:val="none" w:sz="0" w:space="0" w:color="auto"/>
                <w:left w:val="none" w:sz="0" w:space="0" w:color="auto"/>
                <w:bottom w:val="none" w:sz="0" w:space="0" w:color="auto"/>
                <w:right w:val="none" w:sz="0" w:space="0" w:color="auto"/>
              </w:divBdr>
            </w:div>
          </w:divsChild>
        </w:div>
        <w:div w:id="983122293">
          <w:marLeft w:val="0"/>
          <w:marRight w:val="0"/>
          <w:marTop w:val="0"/>
          <w:marBottom w:val="0"/>
          <w:divBdr>
            <w:top w:val="none" w:sz="0" w:space="0" w:color="auto"/>
            <w:left w:val="none" w:sz="0" w:space="0" w:color="auto"/>
            <w:bottom w:val="none" w:sz="0" w:space="0" w:color="auto"/>
            <w:right w:val="none" w:sz="0" w:space="0" w:color="auto"/>
          </w:divBdr>
          <w:divsChild>
            <w:div w:id="1773239873">
              <w:marLeft w:val="0"/>
              <w:marRight w:val="0"/>
              <w:marTop w:val="0"/>
              <w:marBottom w:val="0"/>
              <w:divBdr>
                <w:top w:val="none" w:sz="0" w:space="0" w:color="auto"/>
                <w:left w:val="none" w:sz="0" w:space="0" w:color="auto"/>
                <w:bottom w:val="none" w:sz="0" w:space="0" w:color="auto"/>
                <w:right w:val="none" w:sz="0" w:space="0" w:color="auto"/>
              </w:divBdr>
            </w:div>
          </w:divsChild>
        </w:div>
        <w:div w:id="1260678080">
          <w:marLeft w:val="0"/>
          <w:marRight w:val="0"/>
          <w:marTop w:val="0"/>
          <w:marBottom w:val="0"/>
          <w:divBdr>
            <w:top w:val="none" w:sz="0" w:space="0" w:color="auto"/>
            <w:left w:val="none" w:sz="0" w:space="0" w:color="auto"/>
            <w:bottom w:val="none" w:sz="0" w:space="0" w:color="auto"/>
            <w:right w:val="none" w:sz="0" w:space="0" w:color="auto"/>
          </w:divBdr>
          <w:divsChild>
            <w:div w:id="371662265">
              <w:marLeft w:val="0"/>
              <w:marRight w:val="0"/>
              <w:marTop w:val="0"/>
              <w:marBottom w:val="0"/>
              <w:divBdr>
                <w:top w:val="none" w:sz="0" w:space="0" w:color="auto"/>
                <w:left w:val="none" w:sz="0" w:space="0" w:color="auto"/>
                <w:bottom w:val="none" w:sz="0" w:space="0" w:color="auto"/>
                <w:right w:val="none" w:sz="0" w:space="0" w:color="auto"/>
              </w:divBdr>
            </w:div>
            <w:div w:id="691884498">
              <w:marLeft w:val="0"/>
              <w:marRight w:val="0"/>
              <w:marTop w:val="0"/>
              <w:marBottom w:val="0"/>
              <w:divBdr>
                <w:top w:val="none" w:sz="0" w:space="0" w:color="auto"/>
                <w:left w:val="none" w:sz="0" w:space="0" w:color="auto"/>
                <w:bottom w:val="none" w:sz="0" w:space="0" w:color="auto"/>
                <w:right w:val="none" w:sz="0" w:space="0" w:color="auto"/>
              </w:divBdr>
            </w:div>
          </w:divsChild>
        </w:div>
        <w:div w:id="1361778019">
          <w:marLeft w:val="0"/>
          <w:marRight w:val="0"/>
          <w:marTop w:val="0"/>
          <w:marBottom w:val="0"/>
          <w:divBdr>
            <w:top w:val="none" w:sz="0" w:space="0" w:color="auto"/>
            <w:left w:val="none" w:sz="0" w:space="0" w:color="auto"/>
            <w:bottom w:val="none" w:sz="0" w:space="0" w:color="auto"/>
            <w:right w:val="none" w:sz="0" w:space="0" w:color="auto"/>
          </w:divBdr>
          <w:divsChild>
            <w:div w:id="406146476">
              <w:marLeft w:val="0"/>
              <w:marRight w:val="0"/>
              <w:marTop w:val="0"/>
              <w:marBottom w:val="0"/>
              <w:divBdr>
                <w:top w:val="none" w:sz="0" w:space="0" w:color="auto"/>
                <w:left w:val="none" w:sz="0" w:space="0" w:color="auto"/>
                <w:bottom w:val="none" w:sz="0" w:space="0" w:color="auto"/>
                <w:right w:val="none" w:sz="0" w:space="0" w:color="auto"/>
              </w:divBdr>
            </w:div>
            <w:div w:id="1133720537">
              <w:marLeft w:val="0"/>
              <w:marRight w:val="0"/>
              <w:marTop w:val="0"/>
              <w:marBottom w:val="0"/>
              <w:divBdr>
                <w:top w:val="none" w:sz="0" w:space="0" w:color="auto"/>
                <w:left w:val="none" w:sz="0" w:space="0" w:color="auto"/>
                <w:bottom w:val="none" w:sz="0" w:space="0" w:color="auto"/>
                <w:right w:val="none" w:sz="0" w:space="0" w:color="auto"/>
              </w:divBdr>
            </w:div>
            <w:div w:id="1325619574">
              <w:marLeft w:val="0"/>
              <w:marRight w:val="0"/>
              <w:marTop w:val="0"/>
              <w:marBottom w:val="0"/>
              <w:divBdr>
                <w:top w:val="none" w:sz="0" w:space="0" w:color="auto"/>
                <w:left w:val="none" w:sz="0" w:space="0" w:color="auto"/>
                <w:bottom w:val="none" w:sz="0" w:space="0" w:color="auto"/>
                <w:right w:val="none" w:sz="0" w:space="0" w:color="auto"/>
              </w:divBdr>
            </w:div>
          </w:divsChild>
        </w:div>
        <w:div w:id="1602638322">
          <w:marLeft w:val="0"/>
          <w:marRight w:val="0"/>
          <w:marTop w:val="0"/>
          <w:marBottom w:val="0"/>
          <w:divBdr>
            <w:top w:val="none" w:sz="0" w:space="0" w:color="auto"/>
            <w:left w:val="none" w:sz="0" w:space="0" w:color="auto"/>
            <w:bottom w:val="none" w:sz="0" w:space="0" w:color="auto"/>
            <w:right w:val="none" w:sz="0" w:space="0" w:color="auto"/>
          </w:divBdr>
          <w:divsChild>
            <w:div w:id="549154317">
              <w:marLeft w:val="0"/>
              <w:marRight w:val="0"/>
              <w:marTop w:val="0"/>
              <w:marBottom w:val="0"/>
              <w:divBdr>
                <w:top w:val="none" w:sz="0" w:space="0" w:color="auto"/>
                <w:left w:val="none" w:sz="0" w:space="0" w:color="auto"/>
                <w:bottom w:val="none" w:sz="0" w:space="0" w:color="auto"/>
                <w:right w:val="none" w:sz="0" w:space="0" w:color="auto"/>
              </w:divBdr>
            </w:div>
            <w:div w:id="1020163673">
              <w:marLeft w:val="0"/>
              <w:marRight w:val="0"/>
              <w:marTop w:val="0"/>
              <w:marBottom w:val="0"/>
              <w:divBdr>
                <w:top w:val="none" w:sz="0" w:space="0" w:color="auto"/>
                <w:left w:val="none" w:sz="0" w:space="0" w:color="auto"/>
                <w:bottom w:val="none" w:sz="0" w:space="0" w:color="auto"/>
                <w:right w:val="none" w:sz="0" w:space="0" w:color="auto"/>
              </w:divBdr>
            </w:div>
            <w:div w:id="1077629539">
              <w:marLeft w:val="0"/>
              <w:marRight w:val="0"/>
              <w:marTop w:val="0"/>
              <w:marBottom w:val="0"/>
              <w:divBdr>
                <w:top w:val="none" w:sz="0" w:space="0" w:color="auto"/>
                <w:left w:val="none" w:sz="0" w:space="0" w:color="auto"/>
                <w:bottom w:val="none" w:sz="0" w:space="0" w:color="auto"/>
                <w:right w:val="none" w:sz="0" w:space="0" w:color="auto"/>
              </w:divBdr>
            </w:div>
            <w:div w:id="1138499909">
              <w:marLeft w:val="0"/>
              <w:marRight w:val="0"/>
              <w:marTop w:val="0"/>
              <w:marBottom w:val="0"/>
              <w:divBdr>
                <w:top w:val="none" w:sz="0" w:space="0" w:color="auto"/>
                <w:left w:val="none" w:sz="0" w:space="0" w:color="auto"/>
                <w:bottom w:val="none" w:sz="0" w:space="0" w:color="auto"/>
                <w:right w:val="none" w:sz="0" w:space="0" w:color="auto"/>
              </w:divBdr>
            </w:div>
            <w:div w:id="1303075979">
              <w:marLeft w:val="0"/>
              <w:marRight w:val="0"/>
              <w:marTop w:val="0"/>
              <w:marBottom w:val="0"/>
              <w:divBdr>
                <w:top w:val="none" w:sz="0" w:space="0" w:color="auto"/>
                <w:left w:val="none" w:sz="0" w:space="0" w:color="auto"/>
                <w:bottom w:val="none" w:sz="0" w:space="0" w:color="auto"/>
                <w:right w:val="none" w:sz="0" w:space="0" w:color="auto"/>
              </w:divBdr>
            </w:div>
            <w:div w:id="1665013129">
              <w:marLeft w:val="0"/>
              <w:marRight w:val="0"/>
              <w:marTop w:val="0"/>
              <w:marBottom w:val="0"/>
              <w:divBdr>
                <w:top w:val="none" w:sz="0" w:space="0" w:color="auto"/>
                <w:left w:val="none" w:sz="0" w:space="0" w:color="auto"/>
                <w:bottom w:val="none" w:sz="0" w:space="0" w:color="auto"/>
                <w:right w:val="none" w:sz="0" w:space="0" w:color="auto"/>
              </w:divBdr>
            </w:div>
            <w:div w:id="2094156483">
              <w:marLeft w:val="0"/>
              <w:marRight w:val="0"/>
              <w:marTop w:val="0"/>
              <w:marBottom w:val="0"/>
              <w:divBdr>
                <w:top w:val="none" w:sz="0" w:space="0" w:color="auto"/>
                <w:left w:val="none" w:sz="0" w:space="0" w:color="auto"/>
                <w:bottom w:val="none" w:sz="0" w:space="0" w:color="auto"/>
                <w:right w:val="none" w:sz="0" w:space="0" w:color="auto"/>
              </w:divBdr>
            </w:div>
          </w:divsChild>
        </w:div>
        <w:div w:id="1666321269">
          <w:marLeft w:val="0"/>
          <w:marRight w:val="0"/>
          <w:marTop w:val="0"/>
          <w:marBottom w:val="0"/>
          <w:divBdr>
            <w:top w:val="none" w:sz="0" w:space="0" w:color="auto"/>
            <w:left w:val="none" w:sz="0" w:space="0" w:color="auto"/>
            <w:bottom w:val="none" w:sz="0" w:space="0" w:color="auto"/>
            <w:right w:val="none" w:sz="0" w:space="0" w:color="auto"/>
          </w:divBdr>
          <w:divsChild>
            <w:div w:id="1329745601">
              <w:marLeft w:val="0"/>
              <w:marRight w:val="0"/>
              <w:marTop w:val="0"/>
              <w:marBottom w:val="0"/>
              <w:divBdr>
                <w:top w:val="none" w:sz="0" w:space="0" w:color="auto"/>
                <w:left w:val="none" w:sz="0" w:space="0" w:color="auto"/>
                <w:bottom w:val="none" w:sz="0" w:space="0" w:color="auto"/>
                <w:right w:val="none" w:sz="0" w:space="0" w:color="auto"/>
              </w:divBdr>
            </w:div>
          </w:divsChild>
        </w:div>
        <w:div w:id="2118327337">
          <w:marLeft w:val="0"/>
          <w:marRight w:val="0"/>
          <w:marTop w:val="0"/>
          <w:marBottom w:val="0"/>
          <w:divBdr>
            <w:top w:val="none" w:sz="0" w:space="0" w:color="auto"/>
            <w:left w:val="none" w:sz="0" w:space="0" w:color="auto"/>
            <w:bottom w:val="none" w:sz="0" w:space="0" w:color="auto"/>
            <w:right w:val="none" w:sz="0" w:space="0" w:color="auto"/>
          </w:divBdr>
          <w:divsChild>
            <w:div w:id="363989630">
              <w:marLeft w:val="0"/>
              <w:marRight w:val="0"/>
              <w:marTop w:val="0"/>
              <w:marBottom w:val="0"/>
              <w:divBdr>
                <w:top w:val="none" w:sz="0" w:space="0" w:color="auto"/>
                <w:left w:val="none" w:sz="0" w:space="0" w:color="auto"/>
                <w:bottom w:val="none" w:sz="0" w:space="0" w:color="auto"/>
                <w:right w:val="none" w:sz="0" w:space="0" w:color="auto"/>
              </w:divBdr>
            </w:div>
            <w:div w:id="1100639540">
              <w:marLeft w:val="0"/>
              <w:marRight w:val="0"/>
              <w:marTop w:val="0"/>
              <w:marBottom w:val="0"/>
              <w:divBdr>
                <w:top w:val="none" w:sz="0" w:space="0" w:color="auto"/>
                <w:left w:val="none" w:sz="0" w:space="0" w:color="auto"/>
                <w:bottom w:val="none" w:sz="0" w:space="0" w:color="auto"/>
                <w:right w:val="none" w:sz="0" w:space="0" w:color="auto"/>
              </w:divBdr>
            </w:div>
            <w:div w:id="1508867610">
              <w:marLeft w:val="0"/>
              <w:marRight w:val="0"/>
              <w:marTop w:val="0"/>
              <w:marBottom w:val="0"/>
              <w:divBdr>
                <w:top w:val="none" w:sz="0" w:space="0" w:color="auto"/>
                <w:left w:val="none" w:sz="0" w:space="0" w:color="auto"/>
                <w:bottom w:val="none" w:sz="0" w:space="0" w:color="auto"/>
                <w:right w:val="none" w:sz="0" w:space="0" w:color="auto"/>
              </w:divBdr>
            </w:div>
            <w:div w:id="1883051560">
              <w:marLeft w:val="0"/>
              <w:marRight w:val="0"/>
              <w:marTop w:val="0"/>
              <w:marBottom w:val="0"/>
              <w:divBdr>
                <w:top w:val="none" w:sz="0" w:space="0" w:color="auto"/>
                <w:left w:val="none" w:sz="0" w:space="0" w:color="auto"/>
                <w:bottom w:val="none" w:sz="0" w:space="0" w:color="auto"/>
                <w:right w:val="none" w:sz="0" w:space="0" w:color="auto"/>
              </w:divBdr>
            </w:div>
          </w:divsChild>
        </w:div>
        <w:div w:id="2124571323">
          <w:marLeft w:val="0"/>
          <w:marRight w:val="0"/>
          <w:marTop w:val="0"/>
          <w:marBottom w:val="0"/>
          <w:divBdr>
            <w:top w:val="none" w:sz="0" w:space="0" w:color="auto"/>
            <w:left w:val="none" w:sz="0" w:space="0" w:color="auto"/>
            <w:bottom w:val="none" w:sz="0" w:space="0" w:color="auto"/>
            <w:right w:val="none" w:sz="0" w:space="0" w:color="auto"/>
          </w:divBdr>
          <w:divsChild>
            <w:div w:id="81043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344115">
      <w:bodyDiv w:val="1"/>
      <w:marLeft w:val="0"/>
      <w:marRight w:val="0"/>
      <w:marTop w:val="0"/>
      <w:marBottom w:val="0"/>
      <w:divBdr>
        <w:top w:val="none" w:sz="0" w:space="0" w:color="auto"/>
        <w:left w:val="none" w:sz="0" w:space="0" w:color="auto"/>
        <w:bottom w:val="none" w:sz="0" w:space="0" w:color="auto"/>
        <w:right w:val="none" w:sz="0" w:space="0" w:color="auto"/>
      </w:divBdr>
      <w:divsChild>
        <w:div w:id="535895729">
          <w:marLeft w:val="0"/>
          <w:marRight w:val="0"/>
          <w:marTop w:val="0"/>
          <w:marBottom w:val="0"/>
          <w:divBdr>
            <w:top w:val="none" w:sz="0" w:space="0" w:color="auto"/>
            <w:left w:val="none" w:sz="0" w:space="0" w:color="auto"/>
            <w:bottom w:val="none" w:sz="0" w:space="0" w:color="auto"/>
            <w:right w:val="none" w:sz="0" w:space="0" w:color="auto"/>
          </w:divBdr>
        </w:div>
        <w:div w:id="2132432889">
          <w:marLeft w:val="0"/>
          <w:marRight w:val="0"/>
          <w:marTop w:val="0"/>
          <w:marBottom w:val="0"/>
          <w:divBdr>
            <w:top w:val="none" w:sz="0" w:space="0" w:color="auto"/>
            <w:left w:val="none" w:sz="0" w:space="0" w:color="auto"/>
            <w:bottom w:val="none" w:sz="0" w:space="0" w:color="auto"/>
            <w:right w:val="none" w:sz="0" w:space="0" w:color="auto"/>
          </w:divBdr>
        </w:div>
      </w:divsChild>
    </w:div>
    <w:div w:id="241794242">
      <w:bodyDiv w:val="1"/>
      <w:marLeft w:val="0"/>
      <w:marRight w:val="0"/>
      <w:marTop w:val="0"/>
      <w:marBottom w:val="0"/>
      <w:divBdr>
        <w:top w:val="none" w:sz="0" w:space="0" w:color="auto"/>
        <w:left w:val="none" w:sz="0" w:space="0" w:color="auto"/>
        <w:bottom w:val="none" w:sz="0" w:space="0" w:color="auto"/>
        <w:right w:val="none" w:sz="0" w:space="0" w:color="auto"/>
      </w:divBdr>
    </w:div>
    <w:div w:id="284315813">
      <w:bodyDiv w:val="1"/>
      <w:marLeft w:val="0"/>
      <w:marRight w:val="0"/>
      <w:marTop w:val="0"/>
      <w:marBottom w:val="0"/>
      <w:divBdr>
        <w:top w:val="none" w:sz="0" w:space="0" w:color="auto"/>
        <w:left w:val="none" w:sz="0" w:space="0" w:color="auto"/>
        <w:bottom w:val="none" w:sz="0" w:space="0" w:color="auto"/>
        <w:right w:val="none" w:sz="0" w:space="0" w:color="auto"/>
      </w:divBdr>
      <w:divsChild>
        <w:div w:id="1051541579">
          <w:marLeft w:val="0"/>
          <w:marRight w:val="0"/>
          <w:marTop w:val="0"/>
          <w:marBottom w:val="0"/>
          <w:divBdr>
            <w:top w:val="none" w:sz="0" w:space="0" w:color="auto"/>
            <w:left w:val="none" w:sz="0" w:space="0" w:color="auto"/>
            <w:bottom w:val="none" w:sz="0" w:space="0" w:color="auto"/>
            <w:right w:val="none" w:sz="0" w:space="0" w:color="auto"/>
          </w:divBdr>
          <w:divsChild>
            <w:div w:id="266740974">
              <w:marLeft w:val="-75"/>
              <w:marRight w:val="0"/>
              <w:marTop w:val="30"/>
              <w:marBottom w:val="30"/>
              <w:divBdr>
                <w:top w:val="none" w:sz="0" w:space="0" w:color="auto"/>
                <w:left w:val="none" w:sz="0" w:space="0" w:color="auto"/>
                <w:bottom w:val="none" w:sz="0" w:space="0" w:color="auto"/>
                <w:right w:val="none" w:sz="0" w:space="0" w:color="auto"/>
              </w:divBdr>
              <w:divsChild>
                <w:div w:id="310645130">
                  <w:marLeft w:val="0"/>
                  <w:marRight w:val="0"/>
                  <w:marTop w:val="0"/>
                  <w:marBottom w:val="0"/>
                  <w:divBdr>
                    <w:top w:val="none" w:sz="0" w:space="0" w:color="auto"/>
                    <w:left w:val="none" w:sz="0" w:space="0" w:color="auto"/>
                    <w:bottom w:val="none" w:sz="0" w:space="0" w:color="auto"/>
                    <w:right w:val="none" w:sz="0" w:space="0" w:color="auto"/>
                  </w:divBdr>
                  <w:divsChild>
                    <w:div w:id="1870529777">
                      <w:marLeft w:val="0"/>
                      <w:marRight w:val="0"/>
                      <w:marTop w:val="0"/>
                      <w:marBottom w:val="0"/>
                      <w:divBdr>
                        <w:top w:val="none" w:sz="0" w:space="0" w:color="auto"/>
                        <w:left w:val="none" w:sz="0" w:space="0" w:color="auto"/>
                        <w:bottom w:val="none" w:sz="0" w:space="0" w:color="auto"/>
                        <w:right w:val="none" w:sz="0" w:space="0" w:color="auto"/>
                      </w:divBdr>
                    </w:div>
                  </w:divsChild>
                </w:div>
                <w:div w:id="1057777797">
                  <w:marLeft w:val="0"/>
                  <w:marRight w:val="0"/>
                  <w:marTop w:val="0"/>
                  <w:marBottom w:val="0"/>
                  <w:divBdr>
                    <w:top w:val="none" w:sz="0" w:space="0" w:color="auto"/>
                    <w:left w:val="none" w:sz="0" w:space="0" w:color="auto"/>
                    <w:bottom w:val="none" w:sz="0" w:space="0" w:color="auto"/>
                    <w:right w:val="none" w:sz="0" w:space="0" w:color="auto"/>
                  </w:divBdr>
                  <w:divsChild>
                    <w:div w:id="1135298056">
                      <w:marLeft w:val="0"/>
                      <w:marRight w:val="0"/>
                      <w:marTop w:val="0"/>
                      <w:marBottom w:val="0"/>
                      <w:divBdr>
                        <w:top w:val="none" w:sz="0" w:space="0" w:color="auto"/>
                        <w:left w:val="none" w:sz="0" w:space="0" w:color="auto"/>
                        <w:bottom w:val="none" w:sz="0" w:space="0" w:color="auto"/>
                        <w:right w:val="none" w:sz="0" w:space="0" w:color="auto"/>
                      </w:divBdr>
                    </w:div>
                    <w:div w:id="2123718094">
                      <w:marLeft w:val="0"/>
                      <w:marRight w:val="0"/>
                      <w:marTop w:val="0"/>
                      <w:marBottom w:val="0"/>
                      <w:divBdr>
                        <w:top w:val="none" w:sz="0" w:space="0" w:color="auto"/>
                        <w:left w:val="none" w:sz="0" w:space="0" w:color="auto"/>
                        <w:bottom w:val="none" w:sz="0" w:space="0" w:color="auto"/>
                        <w:right w:val="none" w:sz="0" w:space="0" w:color="auto"/>
                      </w:divBdr>
                    </w:div>
                  </w:divsChild>
                </w:div>
                <w:div w:id="1119689913">
                  <w:marLeft w:val="0"/>
                  <w:marRight w:val="0"/>
                  <w:marTop w:val="0"/>
                  <w:marBottom w:val="0"/>
                  <w:divBdr>
                    <w:top w:val="none" w:sz="0" w:space="0" w:color="auto"/>
                    <w:left w:val="none" w:sz="0" w:space="0" w:color="auto"/>
                    <w:bottom w:val="none" w:sz="0" w:space="0" w:color="auto"/>
                    <w:right w:val="none" w:sz="0" w:space="0" w:color="auto"/>
                  </w:divBdr>
                  <w:divsChild>
                    <w:div w:id="1220507801">
                      <w:marLeft w:val="0"/>
                      <w:marRight w:val="0"/>
                      <w:marTop w:val="0"/>
                      <w:marBottom w:val="0"/>
                      <w:divBdr>
                        <w:top w:val="none" w:sz="0" w:space="0" w:color="auto"/>
                        <w:left w:val="none" w:sz="0" w:space="0" w:color="auto"/>
                        <w:bottom w:val="none" w:sz="0" w:space="0" w:color="auto"/>
                        <w:right w:val="none" w:sz="0" w:space="0" w:color="auto"/>
                      </w:divBdr>
                    </w:div>
                  </w:divsChild>
                </w:div>
                <w:div w:id="1758290189">
                  <w:marLeft w:val="0"/>
                  <w:marRight w:val="0"/>
                  <w:marTop w:val="0"/>
                  <w:marBottom w:val="0"/>
                  <w:divBdr>
                    <w:top w:val="none" w:sz="0" w:space="0" w:color="auto"/>
                    <w:left w:val="none" w:sz="0" w:space="0" w:color="auto"/>
                    <w:bottom w:val="none" w:sz="0" w:space="0" w:color="auto"/>
                    <w:right w:val="none" w:sz="0" w:space="0" w:color="auto"/>
                  </w:divBdr>
                  <w:divsChild>
                    <w:div w:id="1094327701">
                      <w:marLeft w:val="0"/>
                      <w:marRight w:val="0"/>
                      <w:marTop w:val="0"/>
                      <w:marBottom w:val="0"/>
                      <w:divBdr>
                        <w:top w:val="none" w:sz="0" w:space="0" w:color="auto"/>
                        <w:left w:val="none" w:sz="0" w:space="0" w:color="auto"/>
                        <w:bottom w:val="none" w:sz="0" w:space="0" w:color="auto"/>
                        <w:right w:val="none" w:sz="0" w:space="0" w:color="auto"/>
                      </w:divBdr>
                    </w:div>
                    <w:div w:id="1845053140">
                      <w:marLeft w:val="0"/>
                      <w:marRight w:val="0"/>
                      <w:marTop w:val="0"/>
                      <w:marBottom w:val="0"/>
                      <w:divBdr>
                        <w:top w:val="none" w:sz="0" w:space="0" w:color="auto"/>
                        <w:left w:val="none" w:sz="0" w:space="0" w:color="auto"/>
                        <w:bottom w:val="none" w:sz="0" w:space="0" w:color="auto"/>
                        <w:right w:val="none" w:sz="0" w:space="0" w:color="auto"/>
                      </w:divBdr>
                    </w:div>
                  </w:divsChild>
                </w:div>
                <w:div w:id="2046175635">
                  <w:marLeft w:val="0"/>
                  <w:marRight w:val="0"/>
                  <w:marTop w:val="0"/>
                  <w:marBottom w:val="0"/>
                  <w:divBdr>
                    <w:top w:val="none" w:sz="0" w:space="0" w:color="auto"/>
                    <w:left w:val="none" w:sz="0" w:space="0" w:color="auto"/>
                    <w:bottom w:val="none" w:sz="0" w:space="0" w:color="auto"/>
                    <w:right w:val="none" w:sz="0" w:space="0" w:color="auto"/>
                  </w:divBdr>
                  <w:divsChild>
                    <w:div w:id="802695220">
                      <w:marLeft w:val="0"/>
                      <w:marRight w:val="0"/>
                      <w:marTop w:val="0"/>
                      <w:marBottom w:val="0"/>
                      <w:divBdr>
                        <w:top w:val="none" w:sz="0" w:space="0" w:color="auto"/>
                        <w:left w:val="none" w:sz="0" w:space="0" w:color="auto"/>
                        <w:bottom w:val="none" w:sz="0" w:space="0" w:color="auto"/>
                        <w:right w:val="none" w:sz="0" w:space="0" w:color="auto"/>
                      </w:divBdr>
                    </w:div>
                    <w:div w:id="192860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4019390">
          <w:marLeft w:val="0"/>
          <w:marRight w:val="0"/>
          <w:marTop w:val="0"/>
          <w:marBottom w:val="0"/>
          <w:divBdr>
            <w:top w:val="none" w:sz="0" w:space="0" w:color="auto"/>
            <w:left w:val="none" w:sz="0" w:space="0" w:color="auto"/>
            <w:bottom w:val="none" w:sz="0" w:space="0" w:color="auto"/>
            <w:right w:val="none" w:sz="0" w:space="0" w:color="auto"/>
          </w:divBdr>
        </w:div>
      </w:divsChild>
    </w:div>
    <w:div w:id="301544181">
      <w:bodyDiv w:val="1"/>
      <w:marLeft w:val="0"/>
      <w:marRight w:val="0"/>
      <w:marTop w:val="0"/>
      <w:marBottom w:val="0"/>
      <w:divBdr>
        <w:top w:val="none" w:sz="0" w:space="0" w:color="auto"/>
        <w:left w:val="none" w:sz="0" w:space="0" w:color="auto"/>
        <w:bottom w:val="none" w:sz="0" w:space="0" w:color="auto"/>
        <w:right w:val="none" w:sz="0" w:space="0" w:color="auto"/>
      </w:divBdr>
    </w:div>
    <w:div w:id="346249689">
      <w:bodyDiv w:val="1"/>
      <w:marLeft w:val="0"/>
      <w:marRight w:val="0"/>
      <w:marTop w:val="0"/>
      <w:marBottom w:val="0"/>
      <w:divBdr>
        <w:top w:val="none" w:sz="0" w:space="0" w:color="auto"/>
        <w:left w:val="none" w:sz="0" w:space="0" w:color="auto"/>
        <w:bottom w:val="none" w:sz="0" w:space="0" w:color="auto"/>
        <w:right w:val="none" w:sz="0" w:space="0" w:color="auto"/>
      </w:divBdr>
    </w:div>
    <w:div w:id="414783762">
      <w:bodyDiv w:val="1"/>
      <w:marLeft w:val="0"/>
      <w:marRight w:val="0"/>
      <w:marTop w:val="0"/>
      <w:marBottom w:val="0"/>
      <w:divBdr>
        <w:top w:val="none" w:sz="0" w:space="0" w:color="auto"/>
        <w:left w:val="none" w:sz="0" w:space="0" w:color="auto"/>
        <w:bottom w:val="none" w:sz="0" w:space="0" w:color="auto"/>
        <w:right w:val="none" w:sz="0" w:space="0" w:color="auto"/>
      </w:divBdr>
      <w:divsChild>
        <w:div w:id="12541247">
          <w:marLeft w:val="0"/>
          <w:marRight w:val="0"/>
          <w:marTop w:val="0"/>
          <w:marBottom w:val="0"/>
          <w:divBdr>
            <w:top w:val="none" w:sz="0" w:space="0" w:color="auto"/>
            <w:left w:val="none" w:sz="0" w:space="0" w:color="auto"/>
            <w:bottom w:val="none" w:sz="0" w:space="0" w:color="auto"/>
            <w:right w:val="none" w:sz="0" w:space="0" w:color="auto"/>
          </w:divBdr>
          <w:divsChild>
            <w:div w:id="1258906254">
              <w:marLeft w:val="0"/>
              <w:marRight w:val="0"/>
              <w:marTop w:val="0"/>
              <w:marBottom w:val="0"/>
              <w:divBdr>
                <w:top w:val="none" w:sz="0" w:space="0" w:color="auto"/>
                <w:left w:val="none" w:sz="0" w:space="0" w:color="auto"/>
                <w:bottom w:val="none" w:sz="0" w:space="0" w:color="auto"/>
                <w:right w:val="none" w:sz="0" w:space="0" w:color="auto"/>
              </w:divBdr>
            </w:div>
          </w:divsChild>
        </w:div>
        <w:div w:id="179391437">
          <w:marLeft w:val="0"/>
          <w:marRight w:val="0"/>
          <w:marTop w:val="0"/>
          <w:marBottom w:val="0"/>
          <w:divBdr>
            <w:top w:val="none" w:sz="0" w:space="0" w:color="auto"/>
            <w:left w:val="none" w:sz="0" w:space="0" w:color="auto"/>
            <w:bottom w:val="none" w:sz="0" w:space="0" w:color="auto"/>
            <w:right w:val="none" w:sz="0" w:space="0" w:color="auto"/>
          </w:divBdr>
          <w:divsChild>
            <w:div w:id="427694663">
              <w:marLeft w:val="0"/>
              <w:marRight w:val="0"/>
              <w:marTop w:val="0"/>
              <w:marBottom w:val="0"/>
              <w:divBdr>
                <w:top w:val="none" w:sz="0" w:space="0" w:color="auto"/>
                <w:left w:val="none" w:sz="0" w:space="0" w:color="auto"/>
                <w:bottom w:val="none" w:sz="0" w:space="0" w:color="auto"/>
                <w:right w:val="none" w:sz="0" w:space="0" w:color="auto"/>
              </w:divBdr>
            </w:div>
            <w:div w:id="490027381">
              <w:marLeft w:val="0"/>
              <w:marRight w:val="0"/>
              <w:marTop w:val="0"/>
              <w:marBottom w:val="0"/>
              <w:divBdr>
                <w:top w:val="none" w:sz="0" w:space="0" w:color="auto"/>
                <w:left w:val="none" w:sz="0" w:space="0" w:color="auto"/>
                <w:bottom w:val="none" w:sz="0" w:space="0" w:color="auto"/>
                <w:right w:val="none" w:sz="0" w:space="0" w:color="auto"/>
              </w:divBdr>
            </w:div>
            <w:div w:id="721103391">
              <w:marLeft w:val="0"/>
              <w:marRight w:val="0"/>
              <w:marTop w:val="0"/>
              <w:marBottom w:val="0"/>
              <w:divBdr>
                <w:top w:val="none" w:sz="0" w:space="0" w:color="auto"/>
                <w:left w:val="none" w:sz="0" w:space="0" w:color="auto"/>
                <w:bottom w:val="none" w:sz="0" w:space="0" w:color="auto"/>
                <w:right w:val="none" w:sz="0" w:space="0" w:color="auto"/>
              </w:divBdr>
            </w:div>
            <w:div w:id="845480825">
              <w:marLeft w:val="0"/>
              <w:marRight w:val="0"/>
              <w:marTop w:val="0"/>
              <w:marBottom w:val="0"/>
              <w:divBdr>
                <w:top w:val="none" w:sz="0" w:space="0" w:color="auto"/>
                <w:left w:val="none" w:sz="0" w:space="0" w:color="auto"/>
                <w:bottom w:val="none" w:sz="0" w:space="0" w:color="auto"/>
                <w:right w:val="none" w:sz="0" w:space="0" w:color="auto"/>
              </w:divBdr>
            </w:div>
            <w:div w:id="904295740">
              <w:marLeft w:val="0"/>
              <w:marRight w:val="0"/>
              <w:marTop w:val="0"/>
              <w:marBottom w:val="0"/>
              <w:divBdr>
                <w:top w:val="none" w:sz="0" w:space="0" w:color="auto"/>
                <w:left w:val="none" w:sz="0" w:space="0" w:color="auto"/>
                <w:bottom w:val="none" w:sz="0" w:space="0" w:color="auto"/>
                <w:right w:val="none" w:sz="0" w:space="0" w:color="auto"/>
              </w:divBdr>
            </w:div>
            <w:div w:id="1098717949">
              <w:marLeft w:val="0"/>
              <w:marRight w:val="0"/>
              <w:marTop w:val="0"/>
              <w:marBottom w:val="0"/>
              <w:divBdr>
                <w:top w:val="none" w:sz="0" w:space="0" w:color="auto"/>
                <w:left w:val="none" w:sz="0" w:space="0" w:color="auto"/>
                <w:bottom w:val="none" w:sz="0" w:space="0" w:color="auto"/>
                <w:right w:val="none" w:sz="0" w:space="0" w:color="auto"/>
              </w:divBdr>
            </w:div>
            <w:div w:id="1286041608">
              <w:marLeft w:val="0"/>
              <w:marRight w:val="0"/>
              <w:marTop w:val="0"/>
              <w:marBottom w:val="0"/>
              <w:divBdr>
                <w:top w:val="none" w:sz="0" w:space="0" w:color="auto"/>
                <w:left w:val="none" w:sz="0" w:space="0" w:color="auto"/>
                <w:bottom w:val="none" w:sz="0" w:space="0" w:color="auto"/>
                <w:right w:val="none" w:sz="0" w:space="0" w:color="auto"/>
              </w:divBdr>
            </w:div>
            <w:div w:id="1718621540">
              <w:marLeft w:val="0"/>
              <w:marRight w:val="0"/>
              <w:marTop w:val="0"/>
              <w:marBottom w:val="0"/>
              <w:divBdr>
                <w:top w:val="none" w:sz="0" w:space="0" w:color="auto"/>
                <w:left w:val="none" w:sz="0" w:space="0" w:color="auto"/>
                <w:bottom w:val="none" w:sz="0" w:space="0" w:color="auto"/>
                <w:right w:val="none" w:sz="0" w:space="0" w:color="auto"/>
              </w:divBdr>
            </w:div>
            <w:div w:id="1779837762">
              <w:marLeft w:val="0"/>
              <w:marRight w:val="0"/>
              <w:marTop w:val="0"/>
              <w:marBottom w:val="0"/>
              <w:divBdr>
                <w:top w:val="none" w:sz="0" w:space="0" w:color="auto"/>
                <w:left w:val="none" w:sz="0" w:space="0" w:color="auto"/>
                <w:bottom w:val="none" w:sz="0" w:space="0" w:color="auto"/>
                <w:right w:val="none" w:sz="0" w:space="0" w:color="auto"/>
              </w:divBdr>
            </w:div>
          </w:divsChild>
        </w:div>
        <w:div w:id="300040919">
          <w:marLeft w:val="0"/>
          <w:marRight w:val="0"/>
          <w:marTop w:val="0"/>
          <w:marBottom w:val="0"/>
          <w:divBdr>
            <w:top w:val="none" w:sz="0" w:space="0" w:color="auto"/>
            <w:left w:val="none" w:sz="0" w:space="0" w:color="auto"/>
            <w:bottom w:val="none" w:sz="0" w:space="0" w:color="auto"/>
            <w:right w:val="none" w:sz="0" w:space="0" w:color="auto"/>
          </w:divBdr>
          <w:divsChild>
            <w:div w:id="1337465324">
              <w:marLeft w:val="0"/>
              <w:marRight w:val="0"/>
              <w:marTop w:val="0"/>
              <w:marBottom w:val="0"/>
              <w:divBdr>
                <w:top w:val="none" w:sz="0" w:space="0" w:color="auto"/>
                <w:left w:val="none" w:sz="0" w:space="0" w:color="auto"/>
                <w:bottom w:val="none" w:sz="0" w:space="0" w:color="auto"/>
                <w:right w:val="none" w:sz="0" w:space="0" w:color="auto"/>
              </w:divBdr>
            </w:div>
          </w:divsChild>
        </w:div>
        <w:div w:id="308553703">
          <w:marLeft w:val="0"/>
          <w:marRight w:val="0"/>
          <w:marTop w:val="0"/>
          <w:marBottom w:val="0"/>
          <w:divBdr>
            <w:top w:val="none" w:sz="0" w:space="0" w:color="auto"/>
            <w:left w:val="none" w:sz="0" w:space="0" w:color="auto"/>
            <w:bottom w:val="none" w:sz="0" w:space="0" w:color="auto"/>
            <w:right w:val="none" w:sz="0" w:space="0" w:color="auto"/>
          </w:divBdr>
          <w:divsChild>
            <w:div w:id="337732049">
              <w:marLeft w:val="0"/>
              <w:marRight w:val="0"/>
              <w:marTop w:val="0"/>
              <w:marBottom w:val="0"/>
              <w:divBdr>
                <w:top w:val="none" w:sz="0" w:space="0" w:color="auto"/>
                <w:left w:val="none" w:sz="0" w:space="0" w:color="auto"/>
                <w:bottom w:val="none" w:sz="0" w:space="0" w:color="auto"/>
                <w:right w:val="none" w:sz="0" w:space="0" w:color="auto"/>
              </w:divBdr>
            </w:div>
            <w:div w:id="506672814">
              <w:marLeft w:val="0"/>
              <w:marRight w:val="0"/>
              <w:marTop w:val="0"/>
              <w:marBottom w:val="0"/>
              <w:divBdr>
                <w:top w:val="none" w:sz="0" w:space="0" w:color="auto"/>
                <w:left w:val="none" w:sz="0" w:space="0" w:color="auto"/>
                <w:bottom w:val="none" w:sz="0" w:space="0" w:color="auto"/>
                <w:right w:val="none" w:sz="0" w:space="0" w:color="auto"/>
              </w:divBdr>
            </w:div>
            <w:div w:id="519322194">
              <w:marLeft w:val="0"/>
              <w:marRight w:val="0"/>
              <w:marTop w:val="0"/>
              <w:marBottom w:val="0"/>
              <w:divBdr>
                <w:top w:val="none" w:sz="0" w:space="0" w:color="auto"/>
                <w:left w:val="none" w:sz="0" w:space="0" w:color="auto"/>
                <w:bottom w:val="none" w:sz="0" w:space="0" w:color="auto"/>
                <w:right w:val="none" w:sz="0" w:space="0" w:color="auto"/>
              </w:divBdr>
            </w:div>
            <w:div w:id="700711999">
              <w:marLeft w:val="0"/>
              <w:marRight w:val="0"/>
              <w:marTop w:val="0"/>
              <w:marBottom w:val="0"/>
              <w:divBdr>
                <w:top w:val="none" w:sz="0" w:space="0" w:color="auto"/>
                <w:left w:val="none" w:sz="0" w:space="0" w:color="auto"/>
                <w:bottom w:val="none" w:sz="0" w:space="0" w:color="auto"/>
                <w:right w:val="none" w:sz="0" w:space="0" w:color="auto"/>
              </w:divBdr>
            </w:div>
            <w:div w:id="714699711">
              <w:marLeft w:val="0"/>
              <w:marRight w:val="0"/>
              <w:marTop w:val="0"/>
              <w:marBottom w:val="0"/>
              <w:divBdr>
                <w:top w:val="none" w:sz="0" w:space="0" w:color="auto"/>
                <w:left w:val="none" w:sz="0" w:space="0" w:color="auto"/>
                <w:bottom w:val="none" w:sz="0" w:space="0" w:color="auto"/>
                <w:right w:val="none" w:sz="0" w:space="0" w:color="auto"/>
              </w:divBdr>
            </w:div>
            <w:div w:id="731662937">
              <w:marLeft w:val="0"/>
              <w:marRight w:val="0"/>
              <w:marTop w:val="0"/>
              <w:marBottom w:val="0"/>
              <w:divBdr>
                <w:top w:val="none" w:sz="0" w:space="0" w:color="auto"/>
                <w:left w:val="none" w:sz="0" w:space="0" w:color="auto"/>
                <w:bottom w:val="none" w:sz="0" w:space="0" w:color="auto"/>
                <w:right w:val="none" w:sz="0" w:space="0" w:color="auto"/>
              </w:divBdr>
            </w:div>
            <w:div w:id="865293773">
              <w:marLeft w:val="0"/>
              <w:marRight w:val="0"/>
              <w:marTop w:val="0"/>
              <w:marBottom w:val="0"/>
              <w:divBdr>
                <w:top w:val="none" w:sz="0" w:space="0" w:color="auto"/>
                <w:left w:val="none" w:sz="0" w:space="0" w:color="auto"/>
                <w:bottom w:val="none" w:sz="0" w:space="0" w:color="auto"/>
                <w:right w:val="none" w:sz="0" w:space="0" w:color="auto"/>
              </w:divBdr>
            </w:div>
            <w:div w:id="943656438">
              <w:marLeft w:val="0"/>
              <w:marRight w:val="0"/>
              <w:marTop w:val="0"/>
              <w:marBottom w:val="0"/>
              <w:divBdr>
                <w:top w:val="none" w:sz="0" w:space="0" w:color="auto"/>
                <w:left w:val="none" w:sz="0" w:space="0" w:color="auto"/>
                <w:bottom w:val="none" w:sz="0" w:space="0" w:color="auto"/>
                <w:right w:val="none" w:sz="0" w:space="0" w:color="auto"/>
              </w:divBdr>
            </w:div>
            <w:div w:id="1045713586">
              <w:marLeft w:val="0"/>
              <w:marRight w:val="0"/>
              <w:marTop w:val="0"/>
              <w:marBottom w:val="0"/>
              <w:divBdr>
                <w:top w:val="none" w:sz="0" w:space="0" w:color="auto"/>
                <w:left w:val="none" w:sz="0" w:space="0" w:color="auto"/>
                <w:bottom w:val="none" w:sz="0" w:space="0" w:color="auto"/>
                <w:right w:val="none" w:sz="0" w:space="0" w:color="auto"/>
              </w:divBdr>
            </w:div>
            <w:div w:id="1254242165">
              <w:marLeft w:val="0"/>
              <w:marRight w:val="0"/>
              <w:marTop w:val="0"/>
              <w:marBottom w:val="0"/>
              <w:divBdr>
                <w:top w:val="none" w:sz="0" w:space="0" w:color="auto"/>
                <w:left w:val="none" w:sz="0" w:space="0" w:color="auto"/>
                <w:bottom w:val="none" w:sz="0" w:space="0" w:color="auto"/>
                <w:right w:val="none" w:sz="0" w:space="0" w:color="auto"/>
              </w:divBdr>
            </w:div>
            <w:div w:id="1699894235">
              <w:marLeft w:val="0"/>
              <w:marRight w:val="0"/>
              <w:marTop w:val="0"/>
              <w:marBottom w:val="0"/>
              <w:divBdr>
                <w:top w:val="none" w:sz="0" w:space="0" w:color="auto"/>
                <w:left w:val="none" w:sz="0" w:space="0" w:color="auto"/>
                <w:bottom w:val="none" w:sz="0" w:space="0" w:color="auto"/>
                <w:right w:val="none" w:sz="0" w:space="0" w:color="auto"/>
              </w:divBdr>
            </w:div>
            <w:div w:id="2099673356">
              <w:marLeft w:val="0"/>
              <w:marRight w:val="0"/>
              <w:marTop w:val="0"/>
              <w:marBottom w:val="0"/>
              <w:divBdr>
                <w:top w:val="none" w:sz="0" w:space="0" w:color="auto"/>
                <w:left w:val="none" w:sz="0" w:space="0" w:color="auto"/>
                <w:bottom w:val="none" w:sz="0" w:space="0" w:color="auto"/>
                <w:right w:val="none" w:sz="0" w:space="0" w:color="auto"/>
              </w:divBdr>
            </w:div>
            <w:div w:id="2132283227">
              <w:marLeft w:val="0"/>
              <w:marRight w:val="0"/>
              <w:marTop w:val="0"/>
              <w:marBottom w:val="0"/>
              <w:divBdr>
                <w:top w:val="none" w:sz="0" w:space="0" w:color="auto"/>
                <w:left w:val="none" w:sz="0" w:space="0" w:color="auto"/>
                <w:bottom w:val="none" w:sz="0" w:space="0" w:color="auto"/>
                <w:right w:val="none" w:sz="0" w:space="0" w:color="auto"/>
              </w:divBdr>
            </w:div>
          </w:divsChild>
        </w:div>
        <w:div w:id="419376790">
          <w:marLeft w:val="0"/>
          <w:marRight w:val="0"/>
          <w:marTop w:val="0"/>
          <w:marBottom w:val="0"/>
          <w:divBdr>
            <w:top w:val="none" w:sz="0" w:space="0" w:color="auto"/>
            <w:left w:val="none" w:sz="0" w:space="0" w:color="auto"/>
            <w:bottom w:val="none" w:sz="0" w:space="0" w:color="auto"/>
            <w:right w:val="none" w:sz="0" w:space="0" w:color="auto"/>
          </w:divBdr>
          <w:divsChild>
            <w:div w:id="282157824">
              <w:marLeft w:val="0"/>
              <w:marRight w:val="0"/>
              <w:marTop w:val="0"/>
              <w:marBottom w:val="0"/>
              <w:divBdr>
                <w:top w:val="none" w:sz="0" w:space="0" w:color="auto"/>
                <w:left w:val="none" w:sz="0" w:space="0" w:color="auto"/>
                <w:bottom w:val="none" w:sz="0" w:space="0" w:color="auto"/>
                <w:right w:val="none" w:sz="0" w:space="0" w:color="auto"/>
              </w:divBdr>
            </w:div>
          </w:divsChild>
        </w:div>
        <w:div w:id="439227681">
          <w:marLeft w:val="0"/>
          <w:marRight w:val="0"/>
          <w:marTop w:val="0"/>
          <w:marBottom w:val="0"/>
          <w:divBdr>
            <w:top w:val="none" w:sz="0" w:space="0" w:color="auto"/>
            <w:left w:val="none" w:sz="0" w:space="0" w:color="auto"/>
            <w:bottom w:val="none" w:sz="0" w:space="0" w:color="auto"/>
            <w:right w:val="none" w:sz="0" w:space="0" w:color="auto"/>
          </w:divBdr>
          <w:divsChild>
            <w:div w:id="180320562">
              <w:marLeft w:val="0"/>
              <w:marRight w:val="0"/>
              <w:marTop w:val="0"/>
              <w:marBottom w:val="0"/>
              <w:divBdr>
                <w:top w:val="none" w:sz="0" w:space="0" w:color="auto"/>
                <w:left w:val="none" w:sz="0" w:space="0" w:color="auto"/>
                <w:bottom w:val="none" w:sz="0" w:space="0" w:color="auto"/>
                <w:right w:val="none" w:sz="0" w:space="0" w:color="auto"/>
              </w:divBdr>
            </w:div>
          </w:divsChild>
        </w:div>
        <w:div w:id="491336793">
          <w:marLeft w:val="0"/>
          <w:marRight w:val="0"/>
          <w:marTop w:val="0"/>
          <w:marBottom w:val="0"/>
          <w:divBdr>
            <w:top w:val="none" w:sz="0" w:space="0" w:color="auto"/>
            <w:left w:val="none" w:sz="0" w:space="0" w:color="auto"/>
            <w:bottom w:val="none" w:sz="0" w:space="0" w:color="auto"/>
            <w:right w:val="none" w:sz="0" w:space="0" w:color="auto"/>
          </w:divBdr>
          <w:divsChild>
            <w:div w:id="84956841">
              <w:marLeft w:val="0"/>
              <w:marRight w:val="0"/>
              <w:marTop w:val="0"/>
              <w:marBottom w:val="0"/>
              <w:divBdr>
                <w:top w:val="none" w:sz="0" w:space="0" w:color="auto"/>
                <w:left w:val="none" w:sz="0" w:space="0" w:color="auto"/>
                <w:bottom w:val="none" w:sz="0" w:space="0" w:color="auto"/>
                <w:right w:val="none" w:sz="0" w:space="0" w:color="auto"/>
              </w:divBdr>
            </w:div>
            <w:div w:id="719551196">
              <w:marLeft w:val="0"/>
              <w:marRight w:val="0"/>
              <w:marTop w:val="0"/>
              <w:marBottom w:val="0"/>
              <w:divBdr>
                <w:top w:val="none" w:sz="0" w:space="0" w:color="auto"/>
                <w:left w:val="none" w:sz="0" w:space="0" w:color="auto"/>
                <w:bottom w:val="none" w:sz="0" w:space="0" w:color="auto"/>
                <w:right w:val="none" w:sz="0" w:space="0" w:color="auto"/>
              </w:divBdr>
            </w:div>
            <w:div w:id="1809278947">
              <w:marLeft w:val="0"/>
              <w:marRight w:val="0"/>
              <w:marTop w:val="0"/>
              <w:marBottom w:val="0"/>
              <w:divBdr>
                <w:top w:val="none" w:sz="0" w:space="0" w:color="auto"/>
                <w:left w:val="none" w:sz="0" w:space="0" w:color="auto"/>
                <w:bottom w:val="none" w:sz="0" w:space="0" w:color="auto"/>
                <w:right w:val="none" w:sz="0" w:space="0" w:color="auto"/>
              </w:divBdr>
            </w:div>
            <w:div w:id="1867595059">
              <w:marLeft w:val="0"/>
              <w:marRight w:val="0"/>
              <w:marTop w:val="0"/>
              <w:marBottom w:val="0"/>
              <w:divBdr>
                <w:top w:val="none" w:sz="0" w:space="0" w:color="auto"/>
                <w:left w:val="none" w:sz="0" w:space="0" w:color="auto"/>
                <w:bottom w:val="none" w:sz="0" w:space="0" w:color="auto"/>
                <w:right w:val="none" w:sz="0" w:space="0" w:color="auto"/>
              </w:divBdr>
            </w:div>
          </w:divsChild>
        </w:div>
        <w:div w:id="509181460">
          <w:marLeft w:val="0"/>
          <w:marRight w:val="0"/>
          <w:marTop w:val="0"/>
          <w:marBottom w:val="0"/>
          <w:divBdr>
            <w:top w:val="none" w:sz="0" w:space="0" w:color="auto"/>
            <w:left w:val="none" w:sz="0" w:space="0" w:color="auto"/>
            <w:bottom w:val="none" w:sz="0" w:space="0" w:color="auto"/>
            <w:right w:val="none" w:sz="0" w:space="0" w:color="auto"/>
          </w:divBdr>
          <w:divsChild>
            <w:div w:id="706682297">
              <w:marLeft w:val="0"/>
              <w:marRight w:val="0"/>
              <w:marTop w:val="0"/>
              <w:marBottom w:val="0"/>
              <w:divBdr>
                <w:top w:val="none" w:sz="0" w:space="0" w:color="auto"/>
                <w:left w:val="none" w:sz="0" w:space="0" w:color="auto"/>
                <w:bottom w:val="none" w:sz="0" w:space="0" w:color="auto"/>
                <w:right w:val="none" w:sz="0" w:space="0" w:color="auto"/>
              </w:divBdr>
            </w:div>
            <w:div w:id="1116757702">
              <w:marLeft w:val="0"/>
              <w:marRight w:val="0"/>
              <w:marTop w:val="0"/>
              <w:marBottom w:val="0"/>
              <w:divBdr>
                <w:top w:val="none" w:sz="0" w:space="0" w:color="auto"/>
                <w:left w:val="none" w:sz="0" w:space="0" w:color="auto"/>
                <w:bottom w:val="none" w:sz="0" w:space="0" w:color="auto"/>
                <w:right w:val="none" w:sz="0" w:space="0" w:color="auto"/>
              </w:divBdr>
            </w:div>
            <w:div w:id="1212302926">
              <w:marLeft w:val="0"/>
              <w:marRight w:val="0"/>
              <w:marTop w:val="0"/>
              <w:marBottom w:val="0"/>
              <w:divBdr>
                <w:top w:val="none" w:sz="0" w:space="0" w:color="auto"/>
                <w:left w:val="none" w:sz="0" w:space="0" w:color="auto"/>
                <w:bottom w:val="none" w:sz="0" w:space="0" w:color="auto"/>
                <w:right w:val="none" w:sz="0" w:space="0" w:color="auto"/>
              </w:divBdr>
            </w:div>
            <w:div w:id="1309093403">
              <w:marLeft w:val="0"/>
              <w:marRight w:val="0"/>
              <w:marTop w:val="0"/>
              <w:marBottom w:val="0"/>
              <w:divBdr>
                <w:top w:val="none" w:sz="0" w:space="0" w:color="auto"/>
                <w:left w:val="none" w:sz="0" w:space="0" w:color="auto"/>
                <w:bottom w:val="none" w:sz="0" w:space="0" w:color="auto"/>
                <w:right w:val="none" w:sz="0" w:space="0" w:color="auto"/>
              </w:divBdr>
            </w:div>
            <w:div w:id="1498229061">
              <w:marLeft w:val="0"/>
              <w:marRight w:val="0"/>
              <w:marTop w:val="0"/>
              <w:marBottom w:val="0"/>
              <w:divBdr>
                <w:top w:val="none" w:sz="0" w:space="0" w:color="auto"/>
                <w:left w:val="none" w:sz="0" w:space="0" w:color="auto"/>
                <w:bottom w:val="none" w:sz="0" w:space="0" w:color="auto"/>
                <w:right w:val="none" w:sz="0" w:space="0" w:color="auto"/>
              </w:divBdr>
            </w:div>
            <w:div w:id="1571454234">
              <w:marLeft w:val="0"/>
              <w:marRight w:val="0"/>
              <w:marTop w:val="0"/>
              <w:marBottom w:val="0"/>
              <w:divBdr>
                <w:top w:val="none" w:sz="0" w:space="0" w:color="auto"/>
                <w:left w:val="none" w:sz="0" w:space="0" w:color="auto"/>
                <w:bottom w:val="none" w:sz="0" w:space="0" w:color="auto"/>
                <w:right w:val="none" w:sz="0" w:space="0" w:color="auto"/>
              </w:divBdr>
            </w:div>
            <w:div w:id="1651641161">
              <w:marLeft w:val="0"/>
              <w:marRight w:val="0"/>
              <w:marTop w:val="0"/>
              <w:marBottom w:val="0"/>
              <w:divBdr>
                <w:top w:val="none" w:sz="0" w:space="0" w:color="auto"/>
                <w:left w:val="none" w:sz="0" w:space="0" w:color="auto"/>
                <w:bottom w:val="none" w:sz="0" w:space="0" w:color="auto"/>
                <w:right w:val="none" w:sz="0" w:space="0" w:color="auto"/>
              </w:divBdr>
            </w:div>
            <w:div w:id="1791780833">
              <w:marLeft w:val="0"/>
              <w:marRight w:val="0"/>
              <w:marTop w:val="0"/>
              <w:marBottom w:val="0"/>
              <w:divBdr>
                <w:top w:val="none" w:sz="0" w:space="0" w:color="auto"/>
                <w:left w:val="none" w:sz="0" w:space="0" w:color="auto"/>
                <w:bottom w:val="none" w:sz="0" w:space="0" w:color="auto"/>
                <w:right w:val="none" w:sz="0" w:space="0" w:color="auto"/>
              </w:divBdr>
            </w:div>
            <w:div w:id="1866363723">
              <w:marLeft w:val="0"/>
              <w:marRight w:val="0"/>
              <w:marTop w:val="0"/>
              <w:marBottom w:val="0"/>
              <w:divBdr>
                <w:top w:val="none" w:sz="0" w:space="0" w:color="auto"/>
                <w:left w:val="none" w:sz="0" w:space="0" w:color="auto"/>
                <w:bottom w:val="none" w:sz="0" w:space="0" w:color="auto"/>
                <w:right w:val="none" w:sz="0" w:space="0" w:color="auto"/>
              </w:divBdr>
            </w:div>
            <w:div w:id="1961260729">
              <w:marLeft w:val="0"/>
              <w:marRight w:val="0"/>
              <w:marTop w:val="0"/>
              <w:marBottom w:val="0"/>
              <w:divBdr>
                <w:top w:val="none" w:sz="0" w:space="0" w:color="auto"/>
                <w:left w:val="none" w:sz="0" w:space="0" w:color="auto"/>
                <w:bottom w:val="none" w:sz="0" w:space="0" w:color="auto"/>
                <w:right w:val="none" w:sz="0" w:space="0" w:color="auto"/>
              </w:divBdr>
            </w:div>
            <w:div w:id="2089421332">
              <w:marLeft w:val="0"/>
              <w:marRight w:val="0"/>
              <w:marTop w:val="0"/>
              <w:marBottom w:val="0"/>
              <w:divBdr>
                <w:top w:val="none" w:sz="0" w:space="0" w:color="auto"/>
                <w:left w:val="none" w:sz="0" w:space="0" w:color="auto"/>
                <w:bottom w:val="none" w:sz="0" w:space="0" w:color="auto"/>
                <w:right w:val="none" w:sz="0" w:space="0" w:color="auto"/>
              </w:divBdr>
            </w:div>
          </w:divsChild>
        </w:div>
        <w:div w:id="528033452">
          <w:marLeft w:val="0"/>
          <w:marRight w:val="0"/>
          <w:marTop w:val="0"/>
          <w:marBottom w:val="0"/>
          <w:divBdr>
            <w:top w:val="none" w:sz="0" w:space="0" w:color="auto"/>
            <w:left w:val="none" w:sz="0" w:space="0" w:color="auto"/>
            <w:bottom w:val="none" w:sz="0" w:space="0" w:color="auto"/>
            <w:right w:val="none" w:sz="0" w:space="0" w:color="auto"/>
          </w:divBdr>
          <w:divsChild>
            <w:div w:id="366490294">
              <w:marLeft w:val="0"/>
              <w:marRight w:val="0"/>
              <w:marTop w:val="0"/>
              <w:marBottom w:val="0"/>
              <w:divBdr>
                <w:top w:val="none" w:sz="0" w:space="0" w:color="auto"/>
                <w:left w:val="none" w:sz="0" w:space="0" w:color="auto"/>
                <w:bottom w:val="none" w:sz="0" w:space="0" w:color="auto"/>
                <w:right w:val="none" w:sz="0" w:space="0" w:color="auto"/>
              </w:divBdr>
            </w:div>
            <w:div w:id="401102134">
              <w:marLeft w:val="0"/>
              <w:marRight w:val="0"/>
              <w:marTop w:val="0"/>
              <w:marBottom w:val="0"/>
              <w:divBdr>
                <w:top w:val="none" w:sz="0" w:space="0" w:color="auto"/>
                <w:left w:val="none" w:sz="0" w:space="0" w:color="auto"/>
                <w:bottom w:val="none" w:sz="0" w:space="0" w:color="auto"/>
                <w:right w:val="none" w:sz="0" w:space="0" w:color="auto"/>
              </w:divBdr>
            </w:div>
            <w:div w:id="1433404580">
              <w:marLeft w:val="0"/>
              <w:marRight w:val="0"/>
              <w:marTop w:val="0"/>
              <w:marBottom w:val="0"/>
              <w:divBdr>
                <w:top w:val="none" w:sz="0" w:space="0" w:color="auto"/>
                <w:left w:val="none" w:sz="0" w:space="0" w:color="auto"/>
                <w:bottom w:val="none" w:sz="0" w:space="0" w:color="auto"/>
                <w:right w:val="none" w:sz="0" w:space="0" w:color="auto"/>
              </w:divBdr>
            </w:div>
          </w:divsChild>
        </w:div>
        <w:div w:id="559830264">
          <w:marLeft w:val="0"/>
          <w:marRight w:val="0"/>
          <w:marTop w:val="0"/>
          <w:marBottom w:val="0"/>
          <w:divBdr>
            <w:top w:val="none" w:sz="0" w:space="0" w:color="auto"/>
            <w:left w:val="none" w:sz="0" w:space="0" w:color="auto"/>
            <w:bottom w:val="none" w:sz="0" w:space="0" w:color="auto"/>
            <w:right w:val="none" w:sz="0" w:space="0" w:color="auto"/>
          </w:divBdr>
          <w:divsChild>
            <w:div w:id="342514558">
              <w:marLeft w:val="0"/>
              <w:marRight w:val="0"/>
              <w:marTop w:val="0"/>
              <w:marBottom w:val="0"/>
              <w:divBdr>
                <w:top w:val="none" w:sz="0" w:space="0" w:color="auto"/>
                <w:left w:val="none" w:sz="0" w:space="0" w:color="auto"/>
                <w:bottom w:val="none" w:sz="0" w:space="0" w:color="auto"/>
                <w:right w:val="none" w:sz="0" w:space="0" w:color="auto"/>
              </w:divBdr>
            </w:div>
          </w:divsChild>
        </w:div>
        <w:div w:id="634918821">
          <w:marLeft w:val="0"/>
          <w:marRight w:val="0"/>
          <w:marTop w:val="0"/>
          <w:marBottom w:val="0"/>
          <w:divBdr>
            <w:top w:val="none" w:sz="0" w:space="0" w:color="auto"/>
            <w:left w:val="none" w:sz="0" w:space="0" w:color="auto"/>
            <w:bottom w:val="none" w:sz="0" w:space="0" w:color="auto"/>
            <w:right w:val="none" w:sz="0" w:space="0" w:color="auto"/>
          </w:divBdr>
          <w:divsChild>
            <w:div w:id="823547453">
              <w:marLeft w:val="0"/>
              <w:marRight w:val="0"/>
              <w:marTop w:val="0"/>
              <w:marBottom w:val="0"/>
              <w:divBdr>
                <w:top w:val="none" w:sz="0" w:space="0" w:color="auto"/>
                <w:left w:val="none" w:sz="0" w:space="0" w:color="auto"/>
                <w:bottom w:val="none" w:sz="0" w:space="0" w:color="auto"/>
                <w:right w:val="none" w:sz="0" w:space="0" w:color="auto"/>
              </w:divBdr>
            </w:div>
            <w:div w:id="1926381366">
              <w:marLeft w:val="0"/>
              <w:marRight w:val="0"/>
              <w:marTop w:val="0"/>
              <w:marBottom w:val="0"/>
              <w:divBdr>
                <w:top w:val="none" w:sz="0" w:space="0" w:color="auto"/>
                <w:left w:val="none" w:sz="0" w:space="0" w:color="auto"/>
                <w:bottom w:val="none" w:sz="0" w:space="0" w:color="auto"/>
                <w:right w:val="none" w:sz="0" w:space="0" w:color="auto"/>
              </w:divBdr>
            </w:div>
          </w:divsChild>
        </w:div>
        <w:div w:id="689182391">
          <w:marLeft w:val="0"/>
          <w:marRight w:val="0"/>
          <w:marTop w:val="0"/>
          <w:marBottom w:val="0"/>
          <w:divBdr>
            <w:top w:val="none" w:sz="0" w:space="0" w:color="auto"/>
            <w:left w:val="none" w:sz="0" w:space="0" w:color="auto"/>
            <w:bottom w:val="none" w:sz="0" w:space="0" w:color="auto"/>
            <w:right w:val="none" w:sz="0" w:space="0" w:color="auto"/>
          </w:divBdr>
          <w:divsChild>
            <w:div w:id="474416336">
              <w:marLeft w:val="0"/>
              <w:marRight w:val="0"/>
              <w:marTop w:val="0"/>
              <w:marBottom w:val="0"/>
              <w:divBdr>
                <w:top w:val="none" w:sz="0" w:space="0" w:color="auto"/>
                <w:left w:val="none" w:sz="0" w:space="0" w:color="auto"/>
                <w:bottom w:val="none" w:sz="0" w:space="0" w:color="auto"/>
                <w:right w:val="none" w:sz="0" w:space="0" w:color="auto"/>
              </w:divBdr>
            </w:div>
          </w:divsChild>
        </w:div>
        <w:div w:id="715931787">
          <w:marLeft w:val="0"/>
          <w:marRight w:val="0"/>
          <w:marTop w:val="0"/>
          <w:marBottom w:val="0"/>
          <w:divBdr>
            <w:top w:val="none" w:sz="0" w:space="0" w:color="auto"/>
            <w:left w:val="none" w:sz="0" w:space="0" w:color="auto"/>
            <w:bottom w:val="none" w:sz="0" w:space="0" w:color="auto"/>
            <w:right w:val="none" w:sz="0" w:space="0" w:color="auto"/>
          </w:divBdr>
          <w:divsChild>
            <w:div w:id="803500181">
              <w:marLeft w:val="0"/>
              <w:marRight w:val="0"/>
              <w:marTop w:val="0"/>
              <w:marBottom w:val="0"/>
              <w:divBdr>
                <w:top w:val="none" w:sz="0" w:space="0" w:color="auto"/>
                <w:left w:val="none" w:sz="0" w:space="0" w:color="auto"/>
                <w:bottom w:val="none" w:sz="0" w:space="0" w:color="auto"/>
                <w:right w:val="none" w:sz="0" w:space="0" w:color="auto"/>
              </w:divBdr>
            </w:div>
          </w:divsChild>
        </w:div>
        <w:div w:id="786628913">
          <w:marLeft w:val="0"/>
          <w:marRight w:val="0"/>
          <w:marTop w:val="0"/>
          <w:marBottom w:val="0"/>
          <w:divBdr>
            <w:top w:val="none" w:sz="0" w:space="0" w:color="auto"/>
            <w:left w:val="none" w:sz="0" w:space="0" w:color="auto"/>
            <w:bottom w:val="none" w:sz="0" w:space="0" w:color="auto"/>
            <w:right w:val="none" w:sz="0" w:space="0" w:color="auto"/>
          </w:divBdr>
          <w:divsChild>
            <w:div w:id="1288118886">
              <w:marLeft w:val="0"/>
              <w:marRight w:val="0"/>
              <w:marTop w:val="0"/>
              <w:marBottom w:val="0"/>
              <w:divBdr>
                <w:top w:val="none" w:sz="0" w:space="0" w:color="auto"/>
                <w:left w:val="none" w:sz="0" w:space="0" w:color="auto"/>
                <w:bottom w:val="none" w:sz="0" w:space="0" w:color="auto"/>
                <w:right w:val="none" w:sz="0" w:space="0" w:color="auto"/>
              </w:divBdr>
            </w:div>
          </w:divsChild>
        </w:div>
        <w:div w:id="858664932">
          <w:marLeft w:val="0"/>
          <w:marRight w:val="0"/>
          <w:marTop w:val="0"/>
          <w:marBottom w:val="0"/>
          <w:divBdr>
            <w:top w:val="none" w:sz="0" w:space="0" w:color="auto"/>
            <w:left w:val="none" w:sz="0" w:space="0" w:color="auto"/>
            <w:bottom w:val="none" w:sz="0" w:space="0" w:color="auto"/>
            <w:right w:val="none" w:sz="0" w:space="0" w:color="auto"/>
          </w:divBdr>
          <w:divsChild>
            <w:div w:id="1296445218">
              <w:marLeft w:val="0"/>
              <w:marRight w:val="0"/>
              <w:marTop w:val="0"/>
              <w:marBottom w:val="0"/>
              <w:divBdr>
                <w:top w:val="none" w:sz="0" w:space="0" w:color="auto"/>
                <w:left w:val="none" w:sz="0" w:space="0" w:color="auto"/>
                <w:bottom w:val="none" w:sz="0" w:space="0" w:color="auto"/>
                <w:right w:val="none" w:sz="0" w:space="0" w:color="auto"/>
              </w:divBdr>
            </w:div>
          </w:divsChild>
        </w:div>
        <w:div w:id="878250775">
          <w:marLeft w:val="0"/>
          <w:marRight w:val="0"/>
          <w:marTop w:val="0"/>
          <w:marBottom w:val="0"/>
          <w:divBdr>
            <w:top w:val="none" w:sz="0" w:space="0" w:color="auto"/>
            <w:left w:val="none" w:sz="0" w:space="0" w:color="auto"/>
            <w:bottom w:val="none" w:sz="0" w:space="0" w:color="auto"/>
            <w:right w:val="none" w:sz="0" w:space="0" w:color="auto"/>
          </w:divBdr>
          <w:divsChild>
            <w:div w:id="459492857">
              <w:marLeft w:val="0"/>
              <w:marRight w:val="0"/>
              <w:marTop w:val="0"/>
              <w:marBottom w:val="0"/>
              <w:divBdr>
                <w:top w:val="none" w:sz="0" w:space="0" w:color="auto"/>
                <w:left w:val="none" w:sz="0" w:space="0" w:color="auto"/>
                <w:bottom w:val="none" w:sz="0" w:space="0" w:color="auto"/>
                <w:right w:val="none" w:sz="0" w:space="0" w:color="auto"/>
              </w:divBdr>
            </w:div>
            <w:div w:id="1867326460">
              <w:marLeft w:val="0"/>
              <w:marRight w:val="0"/>
              <w:marTop w:val="0"/>
              <w:marBottom w:val="0"/>
              <w:divBdr>
                <w:top w:val="none" w:sz="0" w:space="0" w:color="auto"/>
                <w:left w:val="none" w:sz="0" w:space="0" w:color="auto"/>
                <w:bottom w:val="none" w:sz="0" w:space="0" w:color="auto"/>
                <w:right w:val="none" w:sz="0" w:space="0" w:color="auto"/>
              </w:divBdr>
            </w:div>
            <w:div w:id="2081824647">
              <w:marLeft w:val="0"/>
              <w:marRight w:val="0"/>
              <w:marTop w:val="0"/>
              <w:marBottom w:val="0"/>
              <w:divBdr>
                <w:top w:val="none" w:sz="0" w:space="0" w:color="auto"/>
                <w:left w:val="none" w:sz="0" w:space="0" w:color="auto"/>
                <w:bottom w:val="none" w:sz="0" w:space="0" w:color="auto"/>
                <w:right w:val="none" w:sz="0" w:space="0" w:color="auto"/>
              </w:divBdr>
            </w:div>
            <w:div w:id="2141720922">
              <w:marLeft w:val="0"/>
              <w:marRight w:val="0"/>
              <w:marTop w:val="0"/>
              <w:marBottom w:val="0"/>
              <w:divBdr>
                <w:top w:val="none" w:sz="0" w:space="0" w:color="auto"/>
                <w:left w:val="none" w:sz="0" w:space="0" w:color="auto"/>
                <w:bottom w:val="none" w:sz="0" w:space="0" w:color="auto"/>
                <w:right w:val="none" w:sz="0" w:space="0" w:color="auto"/>
              </w:divBdr>
            </w:div>
          </w:divsChild>
        </w:div>
        <w:div w:id="1070349058">
          <w:marLeft w:val="0"/>
          <w:marRight w:val="0"/>
          <w:marTop w:val="0"/>
          <w:marBottom w:val="0"/>
          <w:divBdr>
            <w:top w:val="none" w:sz="0" w:space="0" w:color="auto"/>
            <w:left w:val="none" w:sz="0" w:space="0" w:color="auto"/>
            <w:bottom w:val="none" w:sz="0" w:space="0" w:color="auto"/>
            <w:right w:val="none" w:sz="0" w:space="0" w:color="auto"/>
          </w:divBdr>
          <w:divsChild>
            <w:div w:id="831607645">
              <w:marLeft w:val="0"/>
              <w:marRight w:val="0"/>
              <w:marTop w:val="0"/>
              <w:marBottom w:val="0"/>
              <w:divBdr>
                <w:top w:val="none" w:sz="0" w:space="0" w:color="auto"/>
                <w:left w:val="none" w:sz="0" w:space="0" w:color="auto"/>
                <w:bottom w:val="none" w:sz="0" w:space="0" w:color="auto"/>
                <w:right w:val="none" w:sz="0" w:space="0" w:color="auto"/>
              </w:divBdr>
            </w:div>
          </w:divsChild>
        </w:div>
        <w:div w:id="1103913010">
          <w:marLeft w:val="0"/>
          <w:marRight w:val="0"/>
          <w:marTop w:val="0"/>
          <w:marBottom w:val="0"/>
          <w:divBdr>
            <w:top w:val="none" w:sz="0" w:space="0" w:color="auto"/>
            <w:left w:val="none" w:sz="0" w:space="0" w:color="auto"/>
            <w:bottom w:val="none" w:sz="0" w:space="0" w:color="auto"/>
            <w:right w:val="none" w:sz="0" w:space="0" w:color="auto"/>
          </w:divBdr>
          <w:divsChild>
            <w:div w:id="1583028911">
              <w:marLeft w:val="0"/>
              <w:marRight w:val="0"/>
              <w:marTop w:val="0"/>
              <w:marBottom w:val="0"/>
              <w:divBdr>
                <w:top w:val="none" w:sz="0" w:space="0" w:color="auto"/>
                <w:left w:val="none" w:sz="0" w:space="0" w:color="auto"/>
                <w:bottom w:val="none" w:sz="0" w:space="0" w:color="auto"/>
                <w:right w:val="none" w:sz="0" w:space="0" w:color="auto"/>
              </w:divBdr>
            </w:div>
          </w:divsChild>
        </w:div>
        <w:div w:id="1141732202">
          <w:marLeft w:val="0"/>
          <w:marRight w:val="0"/>
          <w:marTop w:val="0"/>
          <w:marBottom w:val="0"/>
          <w:divBdr>
            <w:top w:val="none" w:sz="0" w:space="0" w:color="auto"/>
            <w:left w:val="none" w:sz="0" w:space="0" w:color="auto"/>
            <w:bottom w:val="none" w:sz="0" w:space="0" w:color="auto"/>
            <w:right w:val="none" w:sz="0" w:space="0" w:color="auto"/>
          </w:divBdr>
          <w:divsChild>
            <w:div w:id="26101823">
              <w:marLeft w:val="0"/>
              <w:marRight w:val="0"/>
              <w:marTop w:val="0"/>
              <w:marBottom w:val="0"/>
              <w:divBdr>
                <w:top w:val="none" w:sz="0" w:space="0" w:color="auto"/>
                <w:left w:val="none" w:sz="0" w:space="0" w:color="auto"/>
                <w:bottom w:val="none" w:sz="0" w:space="0" w:color="auto"/>
                <w:right w:val="none" w:sz="0" w:space="0" w:color="auto"/>
              </w:divBdr>
            </w:div>
            <w:div w:id="157116987">
              <w:marLeft w:val="0"/>
              <w:marRight w:val="0"/>
              <w:marTop w:val="0"/>
              <w:marBottom w:val="0"/>
              <w:divBdr>
                <w:top w:val="none" w:sz="0" w:space="0" w:color="auto"/>
                <w:left w:val="none" w:sz="0" w:space="0" w:color="auto"/>
                <w:bottom w:val="none" w:sz="0" w:space="0" w:color="auto"/>
                <w:right w:val="none" w:sz="0" w:space="0" w:color="auto"/>
              </w:divBdr>
            </w:div>
            <w:div w:id="383870818">
              <w:marLeft w:val="0"/>
              <w:marRight w:val="0"/>
              <w:marTop w:val="0"/>
              <w:marBottom w:val="0"/>
              <w:divBdr>
                <w:top w:val="none" w:sz="0" w:space="0" w:color="auto"/>
                <w:left w:val="none" w:sz="0" w:space="0" w:color="auto"/>
                <w:bottom w:val="none" w:sz="0" w:space="0" w:color="auto"/>
                <w:right w:val="none" w:sz="0" w:space="0" w:color="auto"/>
              </w:divBdr>
            </w:div>
            <w:div w:id="1052314635">
              <w:marLeft w:val="0"/>
              <w:marRight w:val="0"/>
              <w:marTop w:val="0"/>
              <w:marBottom w:val="0"/>
              <w:divBdr>
                <w:top w:val="none" w:sz="0" w:space="0" w:color="auto"/>
                <w:left w:val="none" w:sz="0" w:space="0" w:color="auto"/>
                <w:bottom w:val="none" w:sz="0" w:space="0" w:color="auto"/>
                <w:right w:val="none" w:sz="0" w:space="0" w:color="auto"/>
              </w:divBdr>
            </w:div>
          </w:divsChild>
        </w:div>
        <w:div w:id="1310205335">
          <w:marLeft w:val="0"/>
          <w:marRight w:val="0"/>
          <w:marTop w:val="0"/>
          <w:marBottom w:val="0"/>
          <w:divBdr>
            <w:top w:val="none" w:sz="0" w:space="0" w:color="auto"/>
            <w:left w:val="none" w:sz="0" w:space="0" w:color="auto"/>
            <w:bottom w:val="none" w:sz="0" w:space="0" w:color="auto"/>
            <w:right w:val="none" w:sz="0" w:space="0" w:color="auto"/>
          </w:divBdr>
          <w:divsChild>
            <w:div w:id="642151601">
              <w:marLeft w:val="0"/>
              <w:marRight w:val="0"/>
              <w:marTop w:val="0"/>
              <w:marBottom w:val="0"/>
              <w:divBdr>
                <w:top w:val="none" w:sz="0" w:space="0" w:color="auto"/>
                <w:left w:val="none" w:sz="0" w:space="0" w:color="auto"/>
                <w:bottom w:val="none" w:sz="0" w:space="0" w:color="auto"/>
                <w:right w:val="none" w:sz="0" w:space="0" w:color="auto"/>
              </w:divBdr>
            </w:div>
            <w:div w:id="1651864212">
              <w:marLeft w:val="0"/>
              <w:marRight w:val="0"/>
              <w:marTop w:val="0"/>
              <w:marBottom w:val="0"/>
              <w:divBdr>
                <w:top w:val="none" w:sz="0" w:space="0" w:color="auto"/>
                <w:left w:val="none" w:sz="0" w:space="0" w:color="auto"/>
                <w:bottom w:val="none" w:sz="0" w:space="0" w:color="auto"/>
                <w:right w:val="none" w:sz="0" w:space="0" w:color="auto"/>
              </w:divBdr>
            </w:div>
          </w:divsChild>
        </w:div>
        <w:div w:id="1534222162">
          <w:marLeft w:val="0"/>
          <w:marRight w:val="0"/>
          <w:marTop w:val="0"/>
          <w:marBottom w:val="0"/>
          <w:divBdr>
            <w:top w:val="none" w:sz="0" w:space="0" w:color="auto"/>
            <w:left w:val="none" w:sz="0" w:space="0" w:color="auto"/>
            <w:bottom w:val="none" w:sz="0" w:space="0" w:color="auto"/>
            <w:right w:val="none" w:sz="0" w:space="0" w:color="auto"/>
          </w:divBdr>
          <w:divsChild>
            <w:div w:id="1576669788">
              <w:marLeft w:val="0"/>
              <w:marRight w:val="0"/>
              <w:marTop w:val="0"/>
              <w:marBottom w:val="0"/>
              <w:divBdr>
                <w:top w:val="none" w:sz="0" w:space="0" w:color="auto"/>
                <w:left w:val="none" w:sz="0" w:space="0" w:color="auto"/>
                <w:bottom w:val="none" w:sz="0" w:space="0" w:color="auto"/>
                <w:right w:val="none" w:sz="0" w:space="0" w:color="auto"/>
              </w:divBdr>
            </w:div>
          </w:divsChild>
        </w:div>
        <w:div w:id="1552837867">
          <w:marLeft w:val="0"/>
          <w:marRight w:val="0"/>
          <w:marTop w:val="0"/>
          <w:marBottom w:val="0"/>
          <w:divBdr>
            <w:top w:val="none" w:sz="0" w:space="0" w:color="auto"/>
            <w:left w:val="none" w:sz="0" w:space="0" w:color="auto"/>
            <w:bottom w:val="none" w:sz="0" w:space="0" w:color="auto"/>
            <w:right w:val="none" w:sz="0" w:space="0" w:color="auto"/>
          </w:divBdr>
          <w:divsChild>
            <w:div w:id="609552687">
              <w:marLeft w:val="0"/>
              <w:marRight w:val="0"/>
              <w:marTop w:val="0"/>
              <w:marBottom w:val="0"/>
              <w:divBdr>
                <w:top w:val="none" w:sz="0" w:space="0" w:color="auto"/>
                <w:left w:val="none" w:sz="0" w:space="0" w:color="auto"/>
                <w:bottom w:val="none" w:sz="0" w:space="0" w:color="auto"/>
                <w:right w:val="none" w:sz="0" w:space="0" w:color="auto"/>
              </w:divBdr>
            </w:div>
            <w:div w:id="1676957569">
              <w:marLeft w:val="0"/>
              <w:marRight w:val="0"/>
              <w:marTop w:val="0"/>
              <w:marBottom w:val="0"/>
              <w:divBdr>
                <w:top w:val="none" w:sz="0" w:space="0" w:color="auto"/>
                <w:left w:val="none" w:sz="0" w:space="0" w:color="auto"/>
                <w:bottom w:val="none" w:sz="0" w:space="0" w:color="auto"/>
                <w:right w:val="none" w:sz="0" w:space="0" w:color="auto"/>
              </w:divBdr>
            </w:div>
          </w:divsChild>
        </w:div>
        <w:div w:id="1607496203">
          <w:marLeft w:val="0"/>
          <w:marRight w:val="0"/>
          <w:marTop w:val="0"/>
          <w:marBottom w:val="0"/>
          <w:divBdr>
            <w:top w:val="none" w:sz="0" w:space="0" w:color="auto"/>
            <w:left w:val="none" w:sz="0" w:space="0" w:color="auto"/>
            <w:bottom w:val="none" w:sz="0" w:space="0" w:color="auto"/>
            <w:right w:val="none" w:sz="0" w:space="0" w:color="auto"/>
          </w:divBdr>
          <w:divsChild>
            <w:div w:id="833182011">
              <w:marLeft w:val="0"/>
              <w:marRight w:val="0"/>
              <w:marTop w:val="0"/>
              <w:marBottom w:val="0"/>
              <w:divBdr>
                <w:top w:val="none" w:sz="0" w:space="0" w:color="auto"/>
                <w:left w:val="none" w:sz="0" w:space="0" w:color="auto"/>
                <w:bottom w:val="none" w:sz="0" w:space="0" w:color="auto"/>
                <w:right w:val="none" w:sz="0" w:space="0" w:color="auto"/>
              </w:divBdr>
            </w:div>
          </w:divsChild>
        </w:div>
        <w:div w:id="1771394088">
          <w:marLeft w:val="0"/>
          <w:marRight w:val="0"/>
          <w:marTop w:val="0"/>
          <w:marBottom w:val="0"/>
          <w:divBdr>
            <w:top w:val="none" w:sz="0" w:space="0" w:color="auto"/>
            <w:left w:val="none" w:sz="0" w:space="0" w:color="auto"/>
            <w:bottom w:val="none" w:sz="0" w:space="0" w:color="auto"/>
            <w:right w:val="none" w:sz="0" w:space="0" w:color="auto"/>
          </w:divBdr>
          <w:divsChild>
            <w:div w:id="434907650">
              <w:marLeft w:val="0"/>
              <w:marRight w:val="0"/>
              <w:marTop w:val="0"/>
              <w:marBottom w:val="0"/>
              <w:divBdr>
                <w:top w:val="none" w:sz="0" w:space="0" w:color="auto"/>
                <w:left w:val="none" w:sz="0" w:space="0" w:color="auto"/>
                <w:bottom w:val="none" w:sz="0" w:space="0" w:color="auto"/>
                <w:right w:val="none" w:sz="0" w:space="0" w:color="auto"/>
              </w:divBdr>
            </w:div>
            <w:div w:id="442041497">
              <w:marLeft w:val="0"/>
              <w:marRight w:val="0"/>
              <w:marTop w:val="0"/>
              <w:marBottom w:val="0"/>
              <w:divBdr>
                <w:top w:val="none" w:sz="0" w:space="0" w:color="auto"/>
                <w:left w:val="none" w:sz="0" w:space="0" w:color="auto"/>
                <w:bottom w:val="none" w:sz="0" w:space="0" w:color="auto"/>
                <w:right w:val="none" w:sz="0" w:space="0" w:color="auto"/>
              </w:divBdr>
            </w:div>
            <w:div w:id="991758162">
              <w:marLeft w:val="0"/>
              <w:marRight w:val="0"/>
              <w:marTop w:val="0"/>
              <w:marBottom w:val="0"/>
              <w:divBdr>
                <w:top w:val="none" w:sz="0" w:space="0" w:color="auto"/>
                <w:left w:val="none" w:sz="0" w:space="0" w:color="auto"/>
                <w:bottom w:val="none" w:sz="0" w:space="0" w:color="auto"/>
                <w:right w:val="none" w:sz="0" w:space="0" w:color="auto"/>
              </w:divBdr>
            </w:div>
            <w:div w:id="1578242136">
              <w:marLeft w:val="0"/>
              <w:marRight w:val="0"/>
              <w:marTop w:val="0"/>
              <w:marBottom w:val="0"/>
              <w:divBdr>
                <w:top w:val="none" w:sz="0" w:space="0" w:color="auto"/>
                <w:left w:val="none" w:sz="0" w:space="0" w:color="auto"/>
                <w:bottom w:val="none" w:sz="0" w:space="0" w:color="auto"/>
                <w:right w:val="none" w:sz="0" w:space="0" w:color="auto"/>
              </w:divBdr>
            </w:div>
            <w:div w:id="1583370138">
              <w:marLeft w:val="0"/>
              <w:marRight w:val="0"/>
              <w:marTop w:val="0"/>
              <w:marBottom w:val="0"/>
              <w:divBdr>
                <w:top w:val="none" w:sz="0" w:space="0" w:color="auto"/>
                <w:left w:val="none" w:sz="0" w:space="0" w:color="auto"/>
                <w:bottom w:val="none" w:sz="0" w:space="0" w:color="auto"/>
                <w:right w:val="none" w:sz="0" w:space="0" w:color="auto"/>
              </w:divBdr>
            </w:div>
            <w:div w:id="1946032930">
              <w:marLeft w:val="0"/>
              <w:marRight w:val="0"/>
              <w:marTop w:val="0"/>
              <w:marBottom w:val="0"/>
              <w:divBdr>
                <w:top w:val="none" w:sz="0" w:space="0" w:color="auto"/>
                <w:left w:val="none" w:sz="0" w:space="0" w:color="auto"/>
                <w:bottom w:val="none" w:sz="0" w:space="0" w:color="auto"/>
                <w:right w:val="none" w:sz="0" w:space="0" w:color="auto"/>
              </w:divBdr>
            </w:div>
            <w:div w:id="1962225020">
              <w:marLeft w:val="0"/>
              <w:marRight w:val="0"/>
              <w:marTop w:val="0"/>
              <w:marBottom w:val="0"/>
              <w:divBdr>
                <w:top w:val="none" w:sz="0" w:space="0" w:color="auto"/>
                <w:left w:val="none" w:sz="0" w:space="0" w:color="auto"/>
                <w:bottom w:val="none" w:sz="0" w:space="0" w:color="auto"/>
                <w:right w:val="none" w:sz="0" w:space="0" w:color="auto"/>
              </w:divBdr>
            </w:div>
            <w:div w:id="2078047692">
              <w:marLeft w:val="0"/>
              <w:marRight w:val="0"/>
              <w:marTop w:val="0"/>
              <w:marBottom w:val="0"/>
              <w:divBdr>
                <w:top w:val="none" w:sz="0" w:space="0" w:color="auto"/>
                <w:left w:val="none" w:sz="0" w:space="0" w:color="auto"/>
                <w:bottom w:val="none" w:sz="0" w:space="0" w:color="auto"/>
                <w:right w:val="none" w:sz="0" w:space="0" w:color="auto"/>
              </w:divBdr>
            </w:div>
          </w:divsChild>
        </w:div>
        <w:div w:id="1798914035">
          <w:marLeft w:val="0"/>
          <w:marRight w:val="0"/>
          <w:marTop w:val="0"/>
          <w:marBottom w:val="0"/>
          <w:divBdr>
            <w:top w:val="none" w:sz="0" w:space="0" w:color="auto"/>
            <w:left w:val="none" w:sz="0" w:space="0" w:color="auto"/>
            <w:bottom w:val="none" w:sz="0" w:space="0" w:color="auto"/>
            <w:right w:val="none" w:sz="0" w:space="0" w:color="auto"/>
          </w:divBdr>
          <w:divsChild>
            <w:div w:id="1537424478">
              <w:marLeft w:val="0"/>
              <w:marRight w:val="0"/>
              <w:marTop w:val="0"/>
              <w:marBottom w:val="0"/>
              <w:divBdr>
                <w:top w:val="none" w:sz="0" w:space="0" w:color="auto"/>
                <w:left w:val="none" w:sz="0" w:space="0" w:color="auto"/>
                <w:bottom w:val="none" w:sz="0" w:space="0" w:color="auto"/>
                <w:right w:val="none" w:sz="0" w:space="0" w:color="auto"/>
              </w:divBdr>
            </w:div>
          </w:divsChild>
        </w:div>
        <w:div w:id="2012218116">
          <w:marLeft w:val="0"/>
          <w:marRight w:val="0"/>
          <w:marTop w:val="0"/>
          <w:marBottom w:val="0"/>
          <w:divBdr>
            <w:top w:val="none" w:sz="0" w:space="0" w:color="auto"/>
            <w:left w:val="none" w:sz="0" w:space="0" w:color="auto"/>
            <w:bottom w:val="none" w:sz="0" w:space="0" w:color="auto"/>
            <w:right w:val="none" w:sz="0" w:space="0" w:color="auto"/>
          </w:divBdr>
          <w:divsChild>
            <w:div w:id="331033716">
              <w:marLeft w:val="0"/>
              <w:marRight w:val="0"/>
              <w:marTop w:val="0"/>
              <w:marBottom w:val="0"/>
              <w:divBdr>
                <w:top w:val="none" w:sz="0" w:space="0" w:color="auto"/>
                <w:left w:val="none" w:sz="0" w:space="0" w:color="auto"/>
                <w:bottom w:val="none" w:sz="0" w:space="0" w:color="auto"/>
                <w:right w:val="none" w:sz="0" w:space="0" w:color="auto"/>
              </w:divBdr>
            </w:div>
            <w:div w:id="1828668591">
              <w:marLeft w:val="0"/>
              <w:marRight w:val="0"/>
              <w:marTop w:val="0"/>
              <w:marBottom w:val="0"/>
              <w:divBdr>
                <w:top w:val="none" w:sz="0" w:space="0" w:color="auto"/>
                <w:left w:val="none" w:sz="0" w:space="0" w:color="auto"/>
                <w:bottom w:val="none" w:sz="0" w:space="0" w:color="auto"/>
                <w:right w:val="none" w:sz="0" w:space="0" w:color="auto"/>
              </w:divBdr>
            </w:div>
            <w:div w:id="1985499181">
              <w:marLeft w:val="0"/>
              <w:marRight w:val="0"/>
              <w:marTop w:val="0"/>
              <w:marBottom w:val="0"/>
              <w:divBdr>
                <w:top w:val="none" w:sz="0" w:space="0" w:color="auto"/>
                <w:left w:val="none" w:sz="0" w:space="0" w:color="auto"/>
                <w:bottom w:val="none" w:sz="0" w:space="0" w:color="auto"/>
                <w:right w:val="none" w:sz="0" w:space="0" w:color="auto"/>
              </w:divBdr>
            </w:div>
            <w:div w:id="2104641494">
              <w:marLeft w:val="0"/>
              <w:marRight w:val="0"/>
              <w:marTop w:val="0"/>
              <w:marBottom w:val="0"/>
              <w:divBdr>
                <w:top w:val="none" w:sz="0" w:space="0" w:color="auto"/>
                <w:left w:val="none" w:sz="0" w:space="0" w:color="auto"/>
                <w:bottom w:val="none" w:sz="0" w:space="0" w:color="auto"/>
                <w:right w:val="none" w:sz="0" w:space="0" w:color="auto"/>
              </w:divBdr>
            </w:div>
          </w:divsChild>
        </w:div>
        <w:div w:id="2128045263">
          <w:marLeft w:val="0"/>
          <w:marRight w:val="0"/>
          <w:marTop w:val="0"/>
          <w:marBottom w:val="0"/>
          <w:divBdr>
            <w:top w:val="none" w:sz="0" w:space="0" w:color="auto"/>
            <w:left w:val="none" w:sz="0" w:space="0" w:color="auto"/>
            <w:bottom w:val="none" w:sz="0" w:space="0" w:color="auto"/>
            <w:right w:val="none" w:sz="0" w:space="0" w:color="auto"/>
          </w:divBdr>
          <w:divsChild>
            <w:div w:id="114952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202901">
      <w:bodyDiv w:val="1"/>
      <w:marLeft w:val="0"/>
      <w:marRight w:val="0"/>
      <w:marTop w:val="0"/>
      <w:marBottom w:val="0"/>
      <w:divBdr>
        <w:top w:val="none" w:sz="0" w:space="0" w:color="auto"/>
        <w:left w:val="none" w:sz="0" w:space="0" w:color="auto"/>
        <w:bottom w:val="none" w:sz="0" w:space="0" w:color="auto"/>
        <w:right w:val="none" w:sz="0" w:space="0" w:color="auto"/>
      </w:divBdr>
    </w:div>
    <w:div w:id="468285356">
      <w:bodyDiv w:val="1"/>
      <w:marLeft w:val="0"/>
      <w:marRight w:val="0"/>
      <w:marTop w:val="0"/>
      <w:marBottom w:val="0"/>
      <w:divBdr>
        <w:top w:val="none" w:sz="0" w:space="0" w:color="auto"/>
        <w:left w:val="none" w:sz="0" w:space="0" w:color="auto"/>
        <w:bottom w:val="none" w:sz="0" w:space="0" w:color="auto"/>
        <w:right w:val="none" w:sz="0" w:space="0" w:color="auto"/>
      </w:divBdr>
      <w:divsChild>
        <w:div w:id="1982115">
          <w:marLeft w:val="0"/>
          <w:marRight w:val="0"/>
          <w:marTop w:val="0"/>
          <w:marBottom w:val="0"/>
          <w:divBdr>
            <w:top w:val="none" w:sz="0" w:space="0" w:color="auto"/>
            <w:left w:val="none" w:sz="0" w:space="0" w:color="auto"/>
            <w:bottom w:val="none" w:sz="0" w:space="0" w:color="auto"/>
            <w:right w:val="none" w:sz="0" w:space="0" w:color="auto"/>
          </w:divBdr>
          <w:divsChild>
            <w:div w:id="1329475671">
              <w:marLeft w:val="0"/>
              <w:marRight w:val="0"/>
              <w:marTop w:val="0"/>
              <w:marBottom w:val="0"/>
              <w:divBdr>
                <w:top w:val="none" w:sz="0" w:space="0" w:color="auto"/>
                <w:left w:val="none" w:sz="0" w:space="0" w:color="auto"/>
                <w:bottom w:val="none" w:sz="0" w:space="0" w:color="auto"/>
                <w:right w:val="none" w:sz="0" w:space="0" w:color="auto"/>
              </w:divBdr>
            </w:div>
          </w:divsChild>
        </w:div>
        <w:div w:id="380787809">
          <w:marLeft w:val="0"/>
          <w:marRight w:val="0"/>
          <w:marTop w:val="0"/>
          <w:marBottom w:val="0"/>
          <w:divBdr>
            <w:top w:val="none" w:sz="0" w:space="0" w:color="auto"/>
            <w:left w:val="none" w:sz="0" w:space="0" w:color="auto"/>
            <w:bottom w:val="none" w:sz="0" w:space="0" w:color="auto"/>
            <w:right w:val="none" w:sz="0" w:space="0" w:color="auto"/>
          </w:divBdr>
          <w:divsChild>
            <w:div w:id="1596591449">
              <w:marLeft w:val="0"/>
              <w:marRight w:val="0"/>
              <w:marTop w:val="0"/>
              <w:marBottom w:val="0"/>
              <w:divBdr>
                <w:top w:val="none" w:sz="0" w:space="0" w:color="auto"/>
                <w:left w:val="none" w:sz="0" w:space="0" w:color="auto"/>
                <w:bottom w:val="none" w:sz="0" w:space="0" w:color="auto"/>
                <w:right w:val="none" w:sz="0" w:space="0" w:color="auto"/>
              </w:divBdr>
            </w:div>
          </w:divsChild>
        </w:div>
        <w:div w:id="415515441">
          <w:marLeft w:val="0"/>
          <w:marRight w:val="0"/>
          <w:marTop w:val="0"/>
          <w:marBottom w:val="0"/>
          <w:divBdr>
            <w:top w:val="none" w:sz="0" w:space="0" w:color="auto"/>
            <w:left w:val="none" w:sz="0" w:space="0" w:color="auto"/>
            <w:bottom w:val="none" w:sz="0" w:space="0" w:color="auto"/>
            <w:right w:val="none" w:sz="0" w:space="0" w:color="auto"/>
          </w:divBdr>
          <w:divsChild>
            <w:div w:id="182939227">
              <w:marLeft w:val="0"/>
              <w:marRight w:val="0"/>
              <w:marTop w:val="0"/>
              <w:marBottom w:val="0"/>
              <w:divBdr>
                <w:top w:val="none" w:sz="0" w:space="0" w:color="auto"/>
                <w:left w:val="none" w:sz="0" w:space="0" w:color="auto"/>
                <w:bottom w:val="none" w:sz="0" w:space="0" w:color="auto"/>
                <w:right w:val="none" w:sz="0" w:space="0" w:color="auto"/>
              </w:divBdr>
            </w:div>
            <w:div w:id="802239095">
              <w:marLeft w:val="0"/>
              <w:marRight w:val="0"/>
              <w:marTop w:val="0"/>
              <w:marBottom w:val="0"/>
              <w:divBdr>
                <w:top w:val="none" w:sz="0" w:space="0" w:color="auto"/>
                <w:left w:val="none" w:sz="0" w:space="0" w:color="auto"/>
                <w:bottom w:val="none" w:sz="0" w:space="0" w:color="auto"/>
                <w:right w:val="none" w:sz="0" w:space="0" w:color="auto"/>
              </w:divBdr>
            </w:div>
          </w:divsChild>
        </w:div>
        <w:div w:id="705643354">
          <w:marLeft w:val="0"/>
          <w:marRight w:val="0"/>
          <w:marTop w:val="0"/>
          <w:marBottom w:val="0"/>
          <w:divBdr>
            <w:top w:val="none" w:sz="0" w:space="0" w:color="auto"/>
            <w:left w:val="none" w:sz="0" w:space="0" w:color="auto"/>
            <w:bottom w:val="none" w:sz="0" w:space="0" w:color="auto"/>
            <w:right w:val="none" w:sz="0" w:space="0" w:color="auto"/>
          </w:divBdr>
          <w:divsChild>
            <w:div w:id="1444299728">
              <w:marLeft w:val="0"/>
              <w:marRight w:val="0"/>
              <w:marTop w:val="0"/>
              <w:marBottom w:val="0"/>
              <w:divBdr>
                <w:top w:val="none" w:sz="0" w:space="0" w:color="auto"/>
                <w:left w:val="none" w:sz="0" w:space="0" w:color="auto"/>
                <w:bottom w:val="none" w:sz="0" w:space="0" w:color="auto"/>
                <w:right w:val="none" w:sz="0" w:space="0" w:color="auto"/>
              </w:divBdr>
            </w:div>
          </w:divsChild>
        </w:div>
        <w:div w:id="921255885">
          <w:marLeft w:val="0"/>
          <w:marRight w:val="0"/>
          <w:marTop w:val="0"/>
          <w:marBottom w:val="0"/>
          <w:divBdr>
            <w:top w:val="none" w:sz="0" w:space="0" w:color="auto"/>
            <w:left w:val="none" w:sz="0" w:space="0" w:color="auto"/>
            <w:bottom w:val="none" w:sz="0" w:space="0" w:color="auto"/>
            <w:right w:val="none" w:sz="0" w:space="0" w:color="auto"/>
          </w:divBdr>
          <w:divsChild>
            <w:div w:id="1166166908">
              <w:marLeft w:val="0"/>
              <w:marRight w:val="0"/>
              <w:marTop w:val="0"/>
              <w:marBottom w:val="0"/>
              <w:divBdr>
                <w:top w:val="none" w:sz="0" w:space="0" w:color="auto"/>
                <w:left w:val="none" w:sz="0" w:space="0" w:color="auto"/>
                <w:bottom w:val="none" w:sz="0" w:space="0" w:color="auto"/>
                <w:right w:val="none" w:sz="0" w:space="0" w:color="auto"/>
              </w:divBdr>
            </w:div>
            <w:div w:id="1694302693">
              <w:marLeft w:val="0"/>
              <w:marRight w:val="0"/>
              <w:marTop w:val="0"/>
              <w:marBottom w:val="0"/>
              <w:divBdr>
                <w:top w:val="none" w:sz="0" w:space="0" w:color="auto"/>
                <w:left w:val="none" w:sz="0" w:space="0" w:color="auto"/>
                <w:bottom w:val="none" w:sz="0" w:space="0" w:color="auto"/>
                <w:right w:val="none" w:sz="0" w:space="0" w:color="auto"/>
              </w:divBdr>
            </w:div>
          </w:divsChild>
        </w:div>
        <w:div w:id="951715527">
          <w:marLeft w:val="0"/>
          <w:marRight w:val="0"/>
          <w:marTop w:val="0"/>
          <w:marBottom w:val="0"/>
          <w:divBdr>
            <w:top w:val="none" w:sz="0" w:space="0" w:color="auto"/>
            <w:left w:val="none" w:sz="0" w:space="0" w:color="auto"/>
            <w:bottom w:val="none" w:sz="0" w:space="0" w:color="auto"/>
            <w:right w:val="none" w:sz="0" w:space="0" w:color="auto"/>
          </w:divBdr>
          <w:divsChild>
            <w:div w:id="751004671">
              <w:marLeft w:val="0"/>
              <w:marRight w:val="0"/>
              <w:marTop w:val="0"/>
              <w:marBottom w:val="0"/>
              <w:divBdr>
                <w:top w:val="none" w:sz="0" w:space="0" w:color="auto"/>
                <w:left w:val="none" w:sz="0" w:space="0" w:color="auto"/>
                <w:bottom w:val="none" w:sz="0" w:space="0" w:color="auto"/>
                <w:right w:val="none" w:sz="0" w:space="0" w:color="auto"/>
              </w:divBdr>
            </w:div>
            <w:div w:id="819463210">
              <w:marLeft w:val="0"/>
              <w:marRight w:val="0"/>
              <w:marTop w:val="0"/>
              <w:marBottom w:val="0"/>
              <w:divBdr>
                <w:top w:val="none" w:sz="0" w:space="0" w:color="auto"/>
                <w:left w:val="none" w:sz="0" w:space="0" w:color="auto"/>
                <w:bottom w:val="none" w:sz="0" w:space="0" w:color="auto"/>
                <w:right w:val="none" w:sz="0" w:space="0" w:color="auto"/>
              </w:divBdr>
            </w:div>
          </w:divsChild>
        </w:div>
        <w:div w:id="1027440321">
          <w:marLeft w:val="0"/>
          <w:marRight w:val="0"/>
          <w:marTop w:val="0"/>
          <w:marBottom w:val="0"/>
          <w:divBdr>
            <w:top w:val="none" w:sz="0" w:space="0" w:color="auto"/>
            <w:left w:val="none" w:sz="0" w:space="0" w:color="auto"/>
            <w:bottom w:val="none" w:sz="0" w:space="0" w:color="auto"/>
            <w:right w:val="none" w:sz="0" w:space="0" w:color="auto"/>
          </w:divBdr>
          <w:divsChild>
            <w:div w:id="75637351">
              <w:marLeft w:val="0"/>
              <w:marRight w:val="0"/>
              <w:marTop w:val="0"/>
              <w:marBottom w:val="0"/>
              <w:divBdr>
                <w:top w:val="none" w:sz="0" w:space="0" w:color="auto"/>
                <w:left w:val="none" w:sz="0" w:space="0" w:color="auto"/>
                <w:bottom w:val="none" w:sz="0" w:space="0" w:color="auto"/>
                <w:right w:val="none" w:sz="0" w:space="0" w:color="auto"/>
              </w:divBdr>
            </w:div>
            <w:div w:id="1280139466">
              <w:marLeft w:val="0"/>
              <w:marRight w:val="0"/>
              <w:marTop w:val="0"/>
              <w:marBottom w:val="0"/>
              <w:divBdr>
                <w:top w:val="none" w:sz="0" w:space="0" w:color="auto"/>
                <w:left w:val="none" w:sz="0" w:space="0" w:color="auto"/>
                <w:bottom w:val="none" w:sz="0" w:space="0" w:color="auto"/>
                <w:right w:val="none" w:sz="0" w:space="0" w:color="auto"/>
              </w:divBdr>
            </w:div>
          </w:divsChild>
        </w:div>
        <w:div w:id="1052197512">
          <w:marLeft w:val="0"/>
          <w:marRight w:val="0"/>
          <w:marTop w:val="0"/>
          <w:marBottom w:val="0"/>
          <w:divBdr>
            <w:top w:val="none" w:sz="0" w:space="0" w:color="auto"/>
            <w:left w:val="none" w:sz="0" w:space="0" w:color="auto"/>
            <w:bottom w:val="none" w:sz="0" w:space="0" w:color="auto"/>
            <w:right w:val="none" w:sz="0" w:space="0" w:color="auto"/>
          </w:divBdr>
          <w:divsChild>
            <w:div w:id="1214855701">
              <w:marLeft w:val="0"/>
              <w:marRight w:val="0"/>
              <w:marTop w:val="0"/>
              <w:marBottom w:val="0"/>
              <w:divBdr>
                <w:top w:val="none" w:sz="0" w:space="0" w:color="auto"/>
                <w:left w:val="none" w:sz="0" w:space="0" w:color="auto"/>
                <w:bottom w:val="none" w:sz="0" w:space="0" w:color="auto"/>
                <w:right w:val="none" w:sz="0" w:space="0" w:color="auto"/>
              </w:divBdr>
            </w:div>
            <w:div w:id="1704089338">
              <w:marLeft w:val="0"/>
              <w:marRight w:val="0"/>
              <w:marTop w:val="0"/>
              <w:marBottom w:val="0"/>
              <w:divBdr>
                <w:top w:val="none" w:sz="0" w:space="0" w:color="auto"/>
                <w:left w:val="none" w:sz="0" w:space="0" w:color="auto"/>
                <w:bottom w:val="none" w:sz="0" w:space="0" w:color="auto"/>
                <w:right w:val="none" w:sz="0" w:space="0" w:color="auto"/>
              </w:divBdr>
            </w:div>
            <w:div w:id="1938781223">
              <w:marLeft w:val="0"/>
              <w:marRight w:val="0"/>
              <w:marTop w:val="0"/>
              <w:marBottom w:val="0"/>
              <w:divBdr>
                <w:top w:val="none" w:sz="0" w:space="0" w:color="auto"/>
                <w:left w:val="none" w:sz="0" w:space="0" w:color="auto"/>
                <w:bottom w:val="none" w:sz="0" w:space="0" w:color="auto"/>
                <w:right w:val="none" w:sz="0" w:space="0" w:color="auto"/>
              </w:divBdr>
            </w:div>
          </w:divsChild>
        </w:div>
        <w:div w:id="1145467109">
          <w:marLeft w:val="0"/>
          <w:marRight w:val="0"/>
          <w:marTop w:val="0"/>
          <w:marBottom w:val="0"/>
          <w:divBdr>
            <w:top w:val="none" w:sz="0" w:space="0" w:color="auto"/>
            <w:left w:val="none" w:sz="0" w:space="0" w:color="auto"/>
            <w:bottom w:val="none" w:sz="0" w:space="0" w:color="auto"/>
            <w:right w:val="none" w:sz="0" w:space="0" w:color="auto"/>
          </w:divBdr>
          <w:divsChild>
            <w:div w:id="151802040">
              <w:marLeft w:val="0"/>
              <w:marRight w:val="0"/>
              <w:marTop w:val="0"/>
              <w:marBottom w:val="0"/>
              <w:divBdr>
                <w:top w:val="none" w:sz="0" w:space="0" w:color="auto"/>
                <w:left w:val="none" w:sz="0" w:space="0" w:color="auto"/>
                <w:bottom w:val="none" w:sz="0" w:space="0" w:color="auto"/>
                <w:right w:val="none" w:sz="0" w:space="0" w:color="auto"/>
              </w:divBdr>
            </w:div>
          </w:divsChild>
        </w:div>
        <w:div w:id="1222787999">
          <w:marLeft w:val="0"/>
          <w:marRight w:val="0"/>
          <w:marTop w:val="0"/>
          <w:marBottom w:val="0"/>
          <w:divBdr>
            <w:top w:val="none" w:sz="0" w:space="0" w:color="auto"/>
            <w:left w:val="none" w:sz="0" w:space="0" w:color="auto"/>
            <w:bottom w:val="none" w:sz="0" w:space="0" w:color="auto"/>
            <w:right w:val="none" w:sz="0" w:space="0" w:color="auto"/>
          </w:divBdr>
          <w:divsChild>
            <w:div w:id="952589967">
              <w:marLeft w:val="0"/>
              <w:marRight w:val="0"/>
              <w:marTop w:val="0"/>
              <w:marBottom w:val="0"/>
              <w:divBdr>
                <w:top w:val="none" w:sz="0" w:space="0" w:color="auto"/>
                <w:left w:val="none" w:sz="0" w:space="0" w:color="auto"/>
                <w:bottom w:val="none" w:sz="0" w:space="0" w:color="auto"/>
                <w:right w:val="none" w:sz="0" w:space="0" w:color="auto"/>
              </w:divBdr>
            </w:div>
            <w:div w:id="988095695">
              <w:marLeft w:val="0"/>
              <w:marRight w:val="0"/>
              <w:marTop w:val="0"/>
              <w:marBottom w:val="0"/>
              <w:divBdr>
                <w:top w:val="none" w:sz="0" w:space="0" w:color="auto"/>
                <w:left w:val="none" w:sz="0" w:space="0" w:color="auto"/>
                <w:bottom w:val="none" w:sz="0" w:space="0" w:color="auto"/>
                <w:right w:val="none" w:sz="0" w:space="0" w:color="auto"/>
              </w:divBdr>
            </w:div>
          </w:divsChild>
        </w:div>
        <w:div w:id="1380932605">
          <w:marLeft w:val="0"/>
          <w:marRight w:val="0"/>
          <w:marTop w:val="0"/>
          <w:marBottom w:val="0"/>
          <w:divBdr>
            <w:top w:val="none" w:sz="0" w:space="0" w:color="auto"/>
            <w:left w:val="none" w:sz="0" w:space="0" w:color="auto"/>
            <w:bottom w:val="none" w:sz="0" w:space="0" w:color="auto"/>
            <w:right w:val="none" w:sz="0" w:space="0" w:color="auto"/>
          </w:divBdr>
          <w:divsChild>
            <w:div w:id="1090539334">
              <w:marLeft w:val="0"/>
              <w:marRight w:val="0"/>
              <w:marTop w:val="0"/>
              <w:marBottom w:val="0"/>
              <w:divBdr>
                <w:top w:val="none" w:sz="0" w:space="0" w:color="auto"/>
                <w:left w:val="none" w:sz="0" w:space="0" w:color="auto"/>
                <w:bottom w:val="none" w:sz="0" w:space="0" w:color="auto"/>
                <w:right w:val="none" w:sz="0" w:space="0" w:color="auto"/>
              </w:divBdr>
            </w:div>
            <w:div w:id="1246453919">
              <w:marLeft w:val="0"/>
              <w:marRight w:val="0"/>
              <w:marTop w:val="0"/>
              <w:marBottom w:val="0"/>
              <w:divBdr>
                <w:top w:val="none" w:sz="0" w:space="0" w:color="auto"/>
                <w:left w:val="none" w:sz="0" w:space="0" w:color="auto"/>
                <w:bottom w:val="none" w:sz="0" w:space="0" w:color="auto"/>
                <w:right w:val="none" w:sz="0" w:space="0" w:color="auto"/>
              </w:divBdr>
            </w:div>
          </w:divsChild>
        </w:div>
        <w:div w:id="1482431345">
          <w:marLeft w:val="0"/>
          <w:marRight w:val="0"/>
          <w:marTop w:val="0"/>
          <w:marBottom w:val="0"/>
          <w:divBdr>
            <w:top w:val="none" w:sz="0" w:space="0" w:color="auto"/>
            <w:left w:val="none" w:sz="0" w:space="0" w:color="auto"/>
            <w:bottom w:val="none" w:sz="0" w:space="0" w:color="auto"/>
            <w:right w:val="none" w:sz="0" w:space="0" w:color="auto"/>
          </w:divBdr>
          <w:divsChild>
            <w:div w:id="1431506635">
              <w:marLeft w:val="0"/>
              <w:marRight w:val="0"/>
              <w:marTop w:val="0"/>
              <w:marBottom w:val="0"/>
              <w:divBdr>
                <w:top w:val="none" w:sz="0" w:space="0" w:color="auto"/>
                <w:left w:val="none" w:sz="0" w:space="0" w:color="auto"/>
                <w:bottom w:val="none" w:sz="0" w:space="0" w:color="auto"/>
                <w:right w:val="none" w:sz="0" w:space="0" w:color="auto"/>
              </w:divBdr>
            </w:div>
            <w:div w:id="1835561734">
              <w:marLeft w:val="0"/>
              <w:marRight w:val="0"/>
              <w:marTop w:val="0"/>
              <w:marBottom w:val="0"/>
              <w:divBdr>
                <w:top w:val="none" w:sz="0" w:space="0" w:color="auto"/>
                <w:left w:val="none" w:sz="0" w:space="0" w:color="auto"/>
                <w:bottom w:val="none" w:sz="0" w:space="0" w:color="auto"/>
                <w:right w:val="none" w:sz="0" w:space="0" w:color="auto"/>
              </w:divBdr>
            </w:div>
          </w:divsChild>
        </w:div>
        <w:div w:id="1657611678">
          <w:marLeft w:val="0"/>
          <w:marRight w:val="0"/>
          <w:marTop w:val="0"/>
          <w:marBottom w:val="0"/>
          <w:divBdr>
            <w:top w:val="none" w:sz="0" w:space="0" w:color="auto"/>
            <w:left w:val="none" w:sz="0" w:space="0" w:color="auto"/>
            <w:bottom w:val="none" w:sz="0" w:space="0" w:color="auto"/>
            <w:right w:val="none" w:sz="0" w:space="0" w:color="auto"/>
          </w:divBdr>
          <w:divsChild>
            <w:div w:id="1266693587">
              <w:marLeft w:val="0"/>
              <w:marRight w:val="0"/>
              <w:marTop w:val="0"/>
              <w:marBottom w:val="0"/>
              <w:divBdr>
                <w:top w:val="none" w:sz="0" w:space="0" w:color="auto"/>
                <w:left w:val="none" w:sz="0" w:space="0" w:color="auto"/>
                <w:bottom w:val="none" w:sz="0" w:space="0" w:color="auto"/>
                <w:right w:val="none" w:sz="0" w:space="0" w:color="auto"/>
              </w:divBdr>
            </w:div>
            <w:div w:id="2133597695">
              <w:marLeft w:val="0"/>
              <w:marRight w:val="0"/>
              <w:marTop w:val="0"/>
              <w:marBottom w:val="0"/>
              <w:divBdr>
                <w:top w:val="none" w:sz="0" w:space="0" w:color="auto"/>
                <w:left w:val="none" w:sz="0" w:space="0" w:color="auto"/>
                <w:bottom w:val="none" w:sz="0" w:space="0" w:color="auto"/>
                <w:right w:val="none" w:sz="0" w:space="0" w:color="auto"/>
              </w:divBdr>
            </w:div>
          </w:divsChild>
        </w:div>
        <w:div w:id="1735348529">
          <w:marLeft w:val="0"/>
          <w:marRight w:val="0"/>
          <w:marTop w:val="0"/>
          <w:marBottom w:val="0"/>
          <w:divBdr>
            <w:top w:val="none" w:sz="0" w:space="0" w:color="auto"/>
            <w:left w:val="none" w:sz="0" w:space="0" w:color="auto"/>
            <w:bottom w:val="none" w:sz="0" w:space="0" w:color="auto"/>
            <w:right w:val="none" w:sz="0" w:space="0" w:color="auto"/>
          </w:divBdr>
          <w:divsChild>
            <w:div w:id="959412655">
              <w:marLeft w:val="0"/>
              <w:marRight w:val="0"/>
              <w:marTop w:val="0"/>
              <w:marBottom w:val="0"/>
              <w:divBdr>
                <w:top w:val="none" w:sz="0" w:space="0" w:color="auto"/>
                <w:left w:val="none" w:sz="0" w:space="0" w:color="auto"/>
                <w:bottom w:val="none" w:sz="0" w:space="0" w:color="auto"/>
                <w:right w:val="none" w:sz="0" w:space="0" w:color="auto"/>
              </w:divBdr>
            </w:div>
            <w:div w:id="1772625998">
              <w:marLeft w:val="0"/>
              <w:marRight w:val="0"/>
              <w:marTop w:val="0"/>
              <w:marBottom w:val="0"/>
              <w:divBdr>
                <w:top w:val="none" w:sz="0" w:space="0" w:color="auto"/>
                <w:left w:val="none" w:sz="0" w:space="0" w:color="auto"/>
                <w:bottom w:val="none" w:sz="0" w:space="0" w:color="auto"/>
                <w:right w:val="none" w:sz="0" w:space="0" w:color="auto"/>
              </w:divBdr>
            </w:div>
          </w:divsChild>
        </w:div>
        <w:div w:id="2018732188">
          <w:marLeft w:val="0"/>
          <w:marRight w:val="0"/>
          <w:marTop w:val="0"/>
          <w:marBottom w:val="0"/>
          <w:divBdr>
            <w:top w:val="none" w:sz="0" w:space="0" w:color="auto"/>
            <w:left w:val="none" w:sz="0" w:space="0" w:color="auto"/>
            <w:bottom w:val="none" w:sz="0" w:space="0" w:color="auto"/>
            <w:right w:val="none" w:sz="0" w:space="0" w:color="auto"/>
          </w:divBdr>
          <w:divsChild>
            <w:div w:id="1684476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040257">
      <w:bodyDiv w:val="1"/>
      <w:marLeft w:val="0"/>
      <w:marRight w:val="0"/>
      <w:marTop w:val="0"/>
      <w:marBottom w:val="0"/>
      <w:divBdr>
        <w:top w:val="none" w:sz="0" w:space="0" w:color="auto"/>
        <w:left w:val="none" w:sz="0" w:space="0" w:color="auto"/>
        <w:bottom w:val="none" w:sz="0" w:space="0" w:color="auto"/>
        <w:right w:val="none" w:sz="0" w:space="0" w:color="auto"/>
      </w:divBdr>
      <w:divsChild>
        <w:div w:id="987824686">
          <w:marLeft w:val="0"/>
          <w:marRight w:val="0"/>
          <w:marTop w:val="0"/>
          <w:marBottom w:val="0"/>
          <w:divBdr>
            <w:top w:val="none" w:sz="0" w:space="0" w:color="auto"/>
            <w:left w:val="none" w:sz="0" w:space="0" w:color="auto"/>
            <w:bottom w:val="none" w:sz="0" w:space="0" w:color="auto"/>
            <w:right w:val="none" w:sz="0" w:space="0" w:color="auto"/>
          </w:divBdr>
        </w:div>
        <w:div w:id="1164736589">
          <w:marLeft w:val="0"/>
          <w:marRight w:val="0"/>
          <w:marTop w:val="0"/>
          <w:marBottom w:val="0"/>
          <w:divBdr>
            <w:top w:val="none" w:sz="0" w:space="0" w:color="auto"/>
            <w:left w:val="none" w:sz="0" w:space="0" w:color="auto"/>
            <w:bottom w:val="none" w:sz="0" w:space="0" w:color="auto"/>
            <w:right w:val="none" w:sz="0" w:space="0" w:color="auto"/>
          </w:divBdr>
        </w:div>
      </w:divsChild>
    </w:div>
    <w:div w:id="610551627">
      <w:bodyDiv w:val="1"/>
      <w:marLeft w:val="0"/>
      <w:marRight w:val="0"/>
      <w:marTop w:val="0"/>
      <w:marBottom w:val="0"/>
      <w:divBdr>
        <w:top w:val="none" w:sz="0" w:space="0" w:color="auto"/>
        <w:left w:val="none" w:sz="0" w:space="0" w:color="auto"/>
        <w:bottom w:val="none" w:sz="0" w:space="0" w:color="auto"/>
        <w:right w:val="none" w:sz="0" w:space="0" w:color="auto"/>
      </w:divBdr>
      <w:divsChild>
        <w:div w:id="925461080">
          <w:marLeft w:val="0"/>
          <w:marRight w:val="0"/>
          <w:marTop w:val="0"/>
          <w:marBottom w:val="0"/>
          <w:divBdr>
            <w:top w:val="none" w:sz="0" w:space="0" w:color="auto"/>
            <w:left w:val="none" w:sz="0" w:space="0" w:color="auto"/>
            <w:bottom w:val="none" w:sz="0" w:space="0" w:color="auto"/>
            <w:right w:val="none" w:sz="0" w:space="0" w:color="auto"/>
          </w:divBdr>
        </w:div>
        <w:div w:id="1590312572">
          <w:marLeft w:val="0"/>
          <w:marRight w:val="0"/>
          <w:marTop w:val="0"/>
          <w:marBottom w:val="0"/>
          <w:divBdr>
            <w:top w:val="none" w:sz="0" w:space="0" w:color="auto"/>
            <w:left w:val="none" w:sz="0" w:space="0" w:color="auto"/>
            <w:bottom w:val="none" w:sz="0" w:space="0" w:color="auto"/>
            <w:right w:val="none" w:sz="0" w:space="0" w:color="auto"/>
          </w:divBdr>
        </w:div>
      </w:divsChild>
    </w:div>
    <w:div w:id="732966900">
      <w:bodyDiv w:val="1"/>
      <w:marLeft w:val="0"/>
      <w:marRight w:val="0"/>
      <w:marTop w:val="0"/>
      <w:marBottom w:val="0"/>
      <w:divBdr>
        <w:top w:val="none" w:sz="0" w:space="0" w:color="auto"/>
        <w:left w:val="none" w:sz="0" w:space="0" w:color="auto"/>
        <w:bottom w:val="none" w:sz="0" w:space="0" w:color="auto"/>
        <w:right w:val="none" w:sz="0" w:space="0" w:color="auto"/>
      </w:divBdr>
      <w:divsChild>
        <w:div w:id="9374572">
          <w:marLeft w:val="0"/>
          <w:marRight w:val="0"/>
          <w:marTop w:val="0"/>
          <w:marBottom w:val="0"/>
          <w:divBdr>
            <w:top w:val="none" w:sz="0" w:space="0" w:color="auto"/>
            <w:left w:val="none" w:sz="0" w:space="0" w:color="auto"/>
            <w:bottom w:val="none" w:sz="0" w:space="0" w:color="auto"/>
            <w:right w:val="none" w:sz="0" w:space="0" w:color="auto"/>
          </w:divBdr>
          <w:divsChild>
            <w:div w:id="1483693793">
              <w:marLeft w:val="0"/>
              <w:marRight w:val="0"/>
              <w:marTop w:val="0"/>
              <w:marBottom w:val="0"/>
              <w:divBdr>
                <w:top w:val="none" w:sz="0" w:space="0" w:color="auto"/>
                <w:left w:val="none" w:sz="0" w:space="0" w:color="auto"/>
                <w:bottom w:val="none" w:sz="0" w:space="0" w:color="auto"/>
                <w:right w:val="none" w:sz="0" w:space="0" w:color="auto"/>
              </w:divBdr>
            </w:div>
          </w:divsChild>
        </w:div>
        <w:div w:id="49577390">
          <w:marLeft w:val="0"/>
          <w:marRight w:val="0"/>
          <w:marTop w:val="0"/>
          <w:marBottom w:val="0"/>
          <w:divBdr>
            <w:top w:val="none" w:sz="0" w:space="0" w:color="auto"/>
            <w:left w:val="none" w:sz="0" w:space="0" w:color="auto"/>
            <w:bottom w:val="none" w:sz="0" w:space="0" w:color="auto"/>
            <w:right w:val="none" w:sz="0" w:space="0" w:color="auto"/>
          </w:divBdr>
          <w:divsChild>
            <w:div w:id="609240061">
              <w:marLeft w:val="0"/>
              <w:marRight w:val="0"/>
              <w:marTop w:val="0"/>
              <w:marBottom w:val="0"/>
              <w:divBdr>
                <w:top w:val="none" w:sz="0" w:space="0" w:color="auto"/>
                <w:left w:val="none" w:sz="0" w:space="0" w:color="auto"/>
                <w:bottom w:val="none" w:sz="0" w:space="0" w:color="auto"/>
                <w:right w:val="none" w:sz="0" w:space="0" w:color="auto"/>
              </w:divBdr>
            </w:div>
            <w:div w:id="616331775">
              <w:marLeft w:val="0"/>
              <w:marRight w:val="0"/>
              <w:marTop w:val="0"/>
              <w:marBottom w:val="0"/>
              <w:divBdr>
                <w:top w:val="none" w:sz="0" w:space="0" w:color="auto"/>
                <w:left w:val="none" w:sz="0" w:space="0" w:color="auto"/>
                <w:bottom w:val="none" w:sz="0" w:space="0" w:color="auto"/>
                <w:right w:val="none" w:sz="0" w:space="0" w:color="auto"/>
              </w:divBdr>
            </w:div>
            <w:div w:id="920412087">
              <w:marLeft w:val="0"/>
              <w:marRight w:val="0"/>
              <w:marTop w:val="0"/>
              <w:marBottom w:val="0"/>
              <w:divBdr>
                <w:top w:val="none" w:sz="0" w:space="0" w:color="auto"/>
                <w:left w:val="none" w:sz="0" w:space="0" w:color="auto"/>
                <w:bottom w:val="none" w:sz="0" w:space="0" w:color="auto"/>
                <w:right w:val="none" w:sz="0" w:space="0" w:color="auto"/>
              </w:divBdr>
            </w:div>
            <w:div w:id="1190679153">
              <w:marLeft w:val="0"/>
              <w:marRight w:val="0"/>
              <w:marTop w:val="0"/>
              <w:marBottom w:val="0"/>
              <w:divBdr>
                <w:top w:val="none" w:sz="0" w:space="0" w:color="auto"/>
                <w:left w:val="none" w:sz="0" w:space="0" w:color="auto"/>
                <w:bottom w:val="none" w:sz="0" w:space="0" w:color="auto"/>
                <w:right w:val="none" w:sz="0" w:space="0" w:color="auto"/>
              </w:divBdr>
            </w:div>
            <w:div w:id="1263492125">
              <w:marLeft w:val="0"/>
              <w:marRight w:val="0"/>
              <w:marTop w:val="0"/>
              <w:marBottom w:val="0"/>
              <w:divBdr>
                <w:top w:val="none" w:sz="0" w:space="0" w:color="auto"/>
                <w:left w:val="none" w:sz="0" w:space="0" w:color="auto"/>
                <w:bottom w:val="none" w:sz="0" w:space="0" w:color="auto"/>
                <w:right w:val="none" w:sz="0" w:space="0" w:color="auto"/>
              </w:divBdr>
            </w:div>
            <w:div w:id="1500273719">
              <w:marLeft w:val="0"/>
              <w:marRight w:val="0"/>
              <w:marTop w:val="0"/>
              <w:marBottom w:val="0"/>
              <w:divBdr>
                <w:top w:val="none" w:sz="0" w:space="0" w:color="auto"/>
                <w:left w:val="none" w:sz="0" w:space="0" w:color="auto"/>
                <w:bottom w:val="none" w:sz="0" w:space="0" w:color="auto"/>
                <w:right w:val="none" w:sz="0" w:space="0" w:color="auto"/>
              </w:divBdr>
            </w:div>
            <w:div w:id="1595550030">
              <w:marLeft w:val="0"/>
              <w:marRight w:val="0"/>
              <w:marTop w:val="0"/>
              <w:marBottom w:val="0"/>
              <w:divBdr>
                <w:top w:val="none" w:sz="0" w:space="0" w:color="auto"/>
                <w:left w:val="none" w:sz="0" w:space="0" w:color="auto"/>
                <w:bottom w:val="none" w:sz="0" w:space="0" w:color="auto"/>
                <w:right w:val="none" w:sz="0" w:space="0" w:color="auto"/>
              </w:divBdr>
            </w:div>
            <w:div w:id="1600870591">
              <w:marLeft w:val="0"/>
              <w:marRight w:val="0"/>
              <w:marTop w:val="0"/>
              <w:marBottom w:val="0"/>
              <w:divBdr>
                <w:top w:val="none" w:sz="0" w:space="0" w:color="auto"/>
                <w:left w:val="none" w:sz="0" w:space="0" w:color="auto"/>
                <w:bottom w:val="none" w:sz="0" w:space="0" w:color="auto"/>
                <w:right w:val="none" w:sz="0" w:space="0" w:color="auto"/>
              </w:divBdr>
            </w:div>
            <w:div w:id="1638142406">
              <w:marLeft w:val="0"/>
              <w:marRight w:val="0"/>
              <w:marTop w:val="0"/>
              <w:marBottom w:val="0"/>
              <w:divBdr>
                <w:top w:val="none" w:sz="0" w:space="0" w:color="auto"/>
                <w:left w:val="none" w:sz="0" w:space="0" w:color="auto"/>
                <w:bottom w:val="none" w:sz="0" w:space="0" w:color="auto"/>
                <w:right w:val="none" w:sz="0" w:space="0" w:color="auto"/>
              </w:divBdr>
            </w:div>
            <w:div w:id="1689867757">
              <w:marLeft w:val="0"/>
              <w:marRight w:val="0"/>
              <w:marTop w:val="0"/>
              <w:marBottom w:val="0"/>
              <w:divBdr>
                <w:top w:val="none" w:sz="0" w:space="0" w:color="auto"/>
                <w:left w:val="none" w:sz="0" w:space="0" w:color="auto"/>
                <w:bottom w:val="none" w:sz="0" w:space="0" w:color="auto"/>
                <w:right w:val="none" w:sz="0" w:space="0" w:color="auto"/>
              </w:divBdr>
            </w:div>
          </w:divsChild>
        </w:div>
        <w:div w:id="132911474">
          <w:marLeft w:val="0"/>
          <w:marRight w:val="0"/>
          <w:marTop w:val="0"/>
          <w:marBottom w:val="0"/>
          <w:divBdr>
            <w:top w:val="none" w:sz="0" w:space="0" w:color="auto"/>
            <w:left w:val="none" w:sz="0" w:space="0" w:color="auto"/>
            <w:bottom w:val="none" w:sz="0" w:space="0" w:color="auto"/>
            <w:right w:val="none" w:sz="0" w:space="0" w:color="auto"/>
          </w:divBdr>
          <w:divsChild>
            <w:div w:id="396055151">
              <w:marLeft w:val="0"/>
              <w:marRight w:val="0"/>
              <w:marTop w:val="0"/>
              <w:marBottom w:val="0"/>
              <w:divBdr>
                <w:top w:val="none" w:sz="0" w:space="0" w:color="auto"/>
                <w:left w:val="none" w:sz="0" w:space="0" w:color="auto"/>
                <w:bottom w:val="none" w:sz="0" w:space="0" w:color="auto"/>
                <w:right w:val="none" w:sz="0" w:space="0" w:color="auto"/>
              </w:divBdr>
            </w:div>
          </w:divsChild>
        </w:div>
        <w:div w:id="188418631">
          <w:marLeft w:val="0"/>
          <w:marRight w:val="0"/>
          <w:marTop w:val="0"/>
          <w:marBottom w:val="0"/>
          <w:divBdr>
            <w:top w:val="none" w:sz="0" w:space="0" w:color="auto"/>
            <w:left w:val="none" w:sz="0" w:space="0" w:color="auto"/>
            <w:bottom w:val="none" w:sz="0" w:space="0" w:color="auto"/>
            <w:right w:val="none" w:sz="0" w:space="0" w:color="auto"/>
          </w:divBdr>
          <w:divsChild>
            <w:div w:id="750196728">
              <w:marLeft w:val="0"/>
              <w:marRight w:val="0"/>
              <w:marTop w:val="0"/>
              <w:marBottom w:val="0"/>
              <w:divBdr>
                <w:top w:val="none" w:sz="0" w:space="0" w:color="auto"/>
                <w:left w:val="none" w:sz="0" w:space="0" w:color="auto"/>
                <w:bottom w:val="none" w:sz="0" w:space="0" w:color="auto"/>
                <w:right w:val="none" w:sz="0" w:space="0" w:color="auto"/>
              </w:divBdr>
            </w:div>
          </w:divsChild>
        </w:div>
        <w:div w:id="323164515">
          <w:marLeft w:val="0"/>
          <w:marRight w:val="0"/>
          <w:marTop w:val="0"/>
          <w:marBottom w:val="0"/>
          <w:divBdr>
            <w:top w:val="none" w:sz="0" w:space="0" w:color="auto"/>
            <w:left w:val="none" w:sz="0" w:space="0" w:color="auto"/>
            <w:bottom w:val="none" w:sz="0" w:space="0" w:color="auto"/>
            <w:right w:val="none" w:sz="0" w:space="0" w:color="auto"/>
          </w:divBdr>
          <w:divsChild>
            <w:div w:id="187181379">
              <w:marLeft w:val="0"/>
              <w:marRight w:val="0"/>
              <w:marTop w:val="0"/>
              <w:marBottom w:val="0"/>
              <w:divBdr>
                <w:top w:val="none" w:sz="0" w:space="0" w:color="auto"/>
                <w:left w:val="none" w:sz="0" w:space="0" w:color="auto"/>
                <w:bottom w:val="none" w:sz="0" w:space="0" w:color="auto"/>
                <w:right w:val="none" w:sz="0" w:space="0" w:color="auto"/>
              </w:divBdr>
            </w:div>
          </w:divsChild>
        </w:div>
        <w:div w:id="367068511">
          <w:marLeft w:val="0"/>
          <w:marRight w:val="0"/>
          <w:marTop w:val="0"/>
          <w:marBottom w:val="0"/>
          <w:divBdr>
            <w:top w:val="none" w:sz="0" w:space="0" w:color="auto"/>
            <w:left w:val="none" w:sz="0" w:space="0" w:color="auto"/>
            <w:bottom w:val="none" w:sz="0" w:space="0" w:color="auto"/>
            <w:right w:val="none" w:sz="0" w:space="0" w:color="auto"/>
          </w:divBdr>
          <w:divsChild>
            <w:div w:id="44068383">
              <w:marLeft w:val="0"/>
              <w:marRight w:val="0"/>
              <w:marTop w:val="0"/>
              <w:marBottom w:val="0"/>
              <w:divBdr>
                <w:top w:val="none" w:sz="0" w:space="0" w:color="auto"/>
                <w:left w:val="none" w:sz="0" w:space="0" w:color="auto"/>
                <w:bottom w:val="none" w:sz="0" w:space="0" w:color="auto"/>
                <w:right w:val="none" w:sz="0" w:space="0" w:color="auto"/>
              </w:divBdr>
            </w:div>
            <w:div w:id="843125845">
              <w:marLeft w:val="0"/>
              <w:marRight w:val="0"/>
              <w:marTop w:val="0"/>
              <w:marBottom w:val="0"/>
              <w:divBdr>
                <w:top w:val="none" w:sz="0" w:space="0" w:color="auto"/>
                <w:left w:val="none" w:sz="0" w:space="0" w:color="auto"/>
                <w:bottom w:val="none" w:sz="0" w:space="0" w:color="auto"/>
                <w:right w:val="none" w:sz="0" w:space="0" w:color="auto"/>
              </w:divBdr>
            </w:div>
          </w:divsChild>
        </w:div>
        <w:div w:id="408582083">
          <w:marLeft w:val="0"/>
          <w:marRight w:val="0"/>
          <w:marTop w:val="0"/>
          <w:marBottom w:val="0"/>
          <w:divBdr>
            <w:top w:val="none" w:sz="0" w:space="0" w:color="auto"/>
            <w:left w:val="none" w:sz="0" w:space="0" w:color="auto"/>
            <w:bottom w:val="none" w:sz="0" w:space="0" w:color="auto"/>
            <w:right w:val="none" w:sz="0" w:space="0" w:color="auto"/>
          </w:divBdr>
          <w:divsChild>
            <w:div w:id="853960125">
              <w:marLeft w:val="0"/>
              <w:marRight w:val="0"/>
              <w:marTop w:val="0"/>
              <w:marBottom w:val="0"/>
              <w:divBdr>
                <w:top w:val="none" w:sz="0" w:space="0" w:color="auto"/>
                <w:left w:val="none" w:sz="0" w:space="0" w:color="auto"/>
                <w:bottom w:val="none" w:sz="0" w:space="0" w:color="auto"/>
                <w:right w:val="none" w:sz="0" w:space="0" w:color="auto"/>
              </w:divBdr>
            </w:div>
          </w:divsChild>
        </w:div>
        <w:div w:id="682128893">
          <w:marLeft w:val="0"/>
          <w:marRight w:val="0"/>
          <w:marTop w:val="0"/>
          <w:marBottom w:val="0"/>
          <w:divBdr>
            <w:top w:val="none" w:sz="0" w:space="0" w:color="auto"/>
            <w:left w:val="none" w:sz="0" w:space="0" w:color="auto"/>
            <w:bottom w:val="none" w:sz="0" w:space="0" w:color="auto"/>
            <w:right w:val="none" w:sz="0" w:space="0" w:color="auto"/>
          </w:divBdr>
          <w:divsChild>
            <w:div w:id="987368376">
              <w:marLeft w:val="0"/>
              <w:marRight w:val="0"/>
              <w:marTop w:val="0"/>
              <w:marBottom w:val="0"/>
              <w:divBdr>
                <w:top w:val="none" w:sz="0" w:space="0" w:color="auto"/>
                <w:left w:val="none" w:sz="0" w:space="0" w:color="auto"/>
                <w:bottom w:val="none" w:sz="0" w:space="0" w:color="auto"/>
                <w:right w:val="none" w:sz="0" w:space="0" w:color="auto"/>
              </w:divBdr>
            </w:div>
          </w:divsChild>
        </w:div>
        <w:div w:id="701054366">
          <w:marLeft w:val="0"/>
          <w:marRight w:val="0"/>
          <w:marTop w:val="0"/>
          <w:marBottom w:val="0"/>
          <w:divBdr>
            <w:top w:val="none" w:sz="0" w:space="0" w:color="auto"/>
            <w:left w:val="none" w:sz="0" w:space="0" w:color="auto"/>
            <w:bottom w:val="none" w:sz="0" w:space="0" w:color="auto"/>
            <w:right w:val="none" w:sz="0" w:space="0" w:color="auto"/>
          </w:divBdr>
          <w:divsChild>
            <w:div w:id="109399590">
              <w:marLeft w:val="0"/>
              <w:marRight w:val="0"/>
              <w:marTop w:val="0"/>
              <w:marBottom w:val="0"/>
              <w:divBdr>
                <w:top w:val="none" w:sz="0" w:space="0" w:color="auto"/>
                <w:left w:val="none" w:sz="0" w:space="0" w:color="auto"/>
                <w:bottom w:val="none" w:sz="0" w:space="0" w:color="auto"/>
                <w:right w:val="none" w:sz="0" w:space="0" w:color="auto"/>
              </w:divBdr>
            </w:div>
            <w:div w:id="451364166">
              <w:marLeft w:val="0"/>
              <w:marRight w:val="0"/>
              <w:marTop w:val="0"/>
              <w:marBottom w:val="0"/>
              <w:divBdr>
                <w:top w:val="none" w:sz="0" w:space="0" w:color="auto"/>
                <w:left w:val="none" w:sz="0" w:space="0" w:color="auto"/>
                <w:bottom w:val="none" w:sz="0" w:space="0" w:color="auto"/>
                <w:right w:val="none" w:sz="0" w:space="0" w:color="auto"/>
              </w:divBdr>
            </w:div>
            <w:div w:id="597911172">
              <w:marLeft w:val="0"/>
              <w:marRight w:val="0"/>
              <w:marTop w:val="0"/>
              <w:marBottom w:val="0"/>
              <w:divBdr>
                <w:top w:val="none" w:sz="0" w:space="0" w:color="auto"/>
                <w:left w:val="none" w:sz="0" w:space="0" w:color="auto"/>
                <w:bottom w:val="none" w:sz="0" w:space="0" w:color="auto"/>
                <w:right w:val="none" w:sz="0" w:space="0" w:color="auto"/>
              </w:divBdr>
            </w:div>
          </w:divsChild>
        </w:div>
        <w:div w:id="807161478">
          <w:marLeft w:val="0"/>
          <w:marRight w:val="0"/>
          <w:marTop w:val="0"/>
          <w:marBottom w:val="0"/>
          <w:divBdr>
            <w:top w:val="none" w:sz="0" w:space="0" w:color="auto"/>
            <w:left w:val="none" w:sz="0" w:space="0" w:color="auto"/>
            <w:bottom w:val="none" w:sz="0" w:space="0" w:color="auto"/>
            <w:right w:val="none" w:sz="0" w:space="0" w:color="auto"/>
          </w:divBdr>
          <w:divsChild>
            <w:div w:id="9574750">
              <w:marLeft w:val="0"/>
              <w:marRight w:val="0"/>
              <w:marTop w:val="0"/>
              <w:marBottom w:val="0"/>
              <w:divBdr>
                <w:top w:val="none" w:sz="0" w:space="0" w:color="auto"/>
                <w:left w:val="none" w:sz="0" w:space="0" w:color="auto"/>
                <w:bottom w:val="none" w:sz="0" w:space="0" w:color="auto"/>
                <w:right w:val="none" w:sz="0" w:space="0" w:color="auto"/>
              </w:divBdr>
            </w:div>
            <w:div w:id="1183743039">
              <w:marLeft w:val="0"/>
              <w:marRight w:val="0"/>
              <w:marTop w:val="0"/>
              <w:marBottom w:val="0"/>
              <w:divBdr>
                <w:top w:val="none" w:sz="0" w:space="0" w:color="auto"/>
                <w:left w:val="none" w:sz="0" w:space="0" w:color="auto"/>
                <w:bottom w:val="none" w:sz="0" w:space="0" w:color="auto"/>
                <w:right w:val="none" w:sz="0" w:space="0" w:color="auto"/>
              </w:divBdr>
            </w:div>
            <w:div w:id="1503079984">
              <w:marLeft w:val="0"/>
              <w:marRight w:val="0"/>
              <w:marTop w:val="0"/>
              <w:marBottom w:val="0"/>
              <w:divBdr>
                <w:top w:val="none" w:sz="0" w:space="0" w:color="auto"/>
                <w:left w:val="none" w:sz="0" w:space="0" w:color="auto"/>
                <w:bottom w:val="none" w:sz="0" w:space="0" w:color="auto"/>
                <w:right w:val="none" w:sz="0" w:space="0" w:color="auto"/>
              </w:divBdr>
            </w:div>
            <w:div w:id="1954097544">
              <w:marLeft w:val="0"/>
              <w:marRight w:val="0"/>
              <w:marTop w:val="0"/>
              <w:marBottom w:val="0"/>
              <w:divBdr>
                <w:top w:val="none" w:sz="0" w:space="0" w:color="auto"/>
                <w:left w:val="none" w:sz="0" w:space="0" w:color="auto"/>
                <w:bottom w:val="none" w:sz="0" w:space="0" w:color="auto"/>
                <w:right w:val="none" w:sz="0" w:space="0" w:color="auto"/>
              </w:divBdr>
            </w:div>
          </w:divsChild>
        </w:div>
        <w:div w:id="848065688">
          <w:marLeft w:val="0"/>
          <w:marRight w:val="0"/>
          <w:marTop w:val="0"/>
          <w:marBottom w:val="0"/>
          <w:divBdr>
            <w:top w:val="none" w:sz="0" w:space="0" w:color="auto"/>
            <w:left w:val="none" w:sz="0" w:space="0" w:color="auto"/>
            <w:bottom w:val="none" w:sz="0" w:space="0" w:color="auto"/>
            <w:right w:val="none" w:sz="0" w:space="0" w:color="auto"/>
          </w:divBdr>
          <w:divsChild>
            <w:div w:id="253326155">
              <w:marLeft w:val="0"/>
              <w:marRight w:val="0"/>
              <w:marTop w:val="0"/>
              <w:marBottom w:val="0"/>
              <w:divBdr>
                <w:top w:val="none" w:sz="0" w:space="0" w:color="auto"/>
                <w:left w:val="none" w:sz="0" w:space="0" w:color="auto"/>
                <w:bottom w:val="none" w:sz="0" w:space="0" w:color="auto"/>
                <w:right w:val="none" w:sz="0" w:space="0" w:color="auto"/>
              </w:divBdr>
            </w:div>
          </w:divsChild>
        </w:div>
        <w:div w:id="872764433">
          <w:marLeft w:val="0"/>
          <w:marRight w:val="0"/>
          <w:marTop w:val="0"/>
          <w:marBottom w:val="0"/>
          <w:divBdr>
            <w:top w:val="none" w:sz="0" w:space="0" w:color="auto"/>
            <w:left w:val="none" w:sz="0" w:space="0" w:color="auto"/>
            <w:bottom w:val="none" w:sz="0" w:space="0" w:color="auto"/>
            <w:right w:val="none" w:sz="0" w:space="0" w:color="auto"/>
          </w:divBdr>
          <w:divsChild>
            <w:div w:id="1106536947">
              <w:marLeft w:val="0"/>
              <w:marRight w:val="0"/>
              <w:marTop w:val="0"/>
              <w:marBottom w:val="0"/>
              <w:divBdr>
                <w:top w:val="none" w:sz="0" w:space="0" w:color="auto"/>
                <w:left w:val="none" w:sz="0" w:space="0" w:color="auto"/>
                <w:bottom w:val="none" w:sz="0" w:space="0" w:color="auto"/>
                <w:right w:val="none" w:sz="0" w:space="0" w:color="auto"/>
              </w:divBdr>
            </w:div>
          </w:divsChild>
        </w:div>
        <w:div w:id="884441014">
          <w:marLeft w:val="0"/>
          <w:marRight w:val="0"/>
          <w:marTop w:val="0"/>
          <w:marBottom w:val="0"/>
          <w:divBdr>
            <w:top w:val="none" w:sz="0" w:space="0" w:color="auto"/>
            <w:left w:val="none" w:sz="0" w:space="0" w:color="auto"/>
            <w:bottom w:val="none" w:sz="0" w:space="0" w:color="auto"/>
            <w:right w:val="none" w:sz="0" w:space="0" w:color="auto"/>
          </w:divBdr>
          <w:divsChild>
            <w:div w:id="1368212106">
              <w:marLeft w:val="0"/>
              <w:marRight w:val="0"/>
              <w:marTop w:val="0"/>
              <w:marBottom w:val="0"/>
              <w:divBdr>
                <w:top w:val="none" w:sz="0" w:space="0" w:color="auto"/>
                <w:left w:val="none" w:sz="0" w:space="0" w:color="auto"/>
                <w:bottom w:val="none" w:sz="0" w:space="0" w:color="auto"/>
                <w:right w:val="none" w:sz="0" w:space="0" w:color="auto"/>
              </w:divBdr>
            </w:div>
          </w:divsChild>
        </w:div>
        <w:div w:id="946156907">
          <w:marLeft w:val="0"/>
          <w:marRight w:val="0"/>
          <w:marTop w:val="0"/>
          <w:marBottom w:val="0"/>
          <w:divBdr>
            <w:top w:val="none" w:sz="0" w:space="0" w:color="auto"/>
            <w:left w:val="none" w:sz="0" w:space="0" w:color="auto"/>
            <w:bottom w:val="none" w:sz="0" w:space="0" w:color="auto"/>
            <w:right w:val="none" w:sz="0" w:space="0" w:color="auto"/>
          </w:divBdr>
          <w:divsChild>
            <w:div w:id="946809837">
              <w:marLeft w:val="0"/>
              <w:marRight w:val="0"/>
              <w:marTop w:val="0"/>
              <w:marBottom w:val="0"/>
              <w:divBdr>
                <w:top w:val="none" w:sz="0" w:space="0" w:color="auto"/>
                <w:left w:val="none" w:sz="0" w:space="0" w:color="auto"/>
                <w:bottom w:val="none" w:sz="0" w:space="0" w:color="auto"/>
                <w:right w:val="none" w:sz="0" w:space="0" w:color="auto"/>
              </w:divBdr>
            </w:div>
          </w:divsChild>
        </w:div>
        <w:div w:id="1041174476">
          <w:marLeft w:val="0"/>
          <w:marRight w:val="0"/>
          <w:marTop w:val="0"/>
          <w:marBottom w:val="0"/>
          <w:divBdr>
            <w:top w:val="none" w:sz="0" w:space="0" w:color="auto"/>
            <w:left w:val="none" w:sz="0" w:space="0" w:color="auto"/>
            <w:bottom w:val="none" w:sz="0" w:space="0" w:color="auto"/>
            <w:right w:val="none" w:sz="0" w:space="0" w:color="auto"/>
          </w:divBdr>
          <w:divsChild>
            <w:div w:id="224877769">
              <w:marLeft w:val="0"/>
              <w:marRight w:val="0"/>
              <w:marTop w:val="0"/>
              <w:marBottom w:val="0"/>
              <w:divBdr>
                <w:top w:val="none" w:sz="0" w:space="0" w:color="auto"/>
                <w:left w:val="none" w:sz="0" w:space="0" w:color="auto"/>
                <w:bottom w:val="none" w:sz="0" w:space="0" w:color="auto"/>
                <w:right w:val="none" w:sz="0" w:space="0" w:color="auto"/>
              </w:divBdr>
            </w:div>
            <w:div w:id="294413523">
              <w:marLeft w:val="0"/>
              <w:marRight w:val="0"/>
              <w:marTop w:val="0"/>
              <w:marBottom w:val="0"/>
              <w:divBdr>
                <w:top w:val="none" w:sz="0" w:space="0" w:color="auto"/>
                <w:left w:val="none" w:sz="0" w:space="0" w:color="auto"/>
                <w:bottom w:val="none" w:sz="0" w:space="0" w:color="auto"/>
                <w:right w:val="none" w:sz="0" w:space="0" w:color="auto"/>
              </w:divBdr>
            </w:div>
            <w:div w:id="298809138">
              <w:marLeft w:val="0"/>
              <w:marRight w:val="0"/>
              <w:marTop w:val="0"/>
              <w:marBottom w:val="0"/>
              <w:divBdr>
                <w:top w:val="none" w:sz="0" w:space="0" w:color="auto"/>
                <w:left w:val="none" w:sz="0" w:space="0" w:color="auto"/>
                <w:bottom w:val="none" w:sz="0" w:space="0" w:color="auto"/>
                <w:right w:val="none" w:sz="0" w:space="0" w:color="auto"/>
              </w:divBdr>
            </w:div>
            <w:div w:id="1002700955">
              <w:marLeft w:val="0"/>
              <w:marRight w:val="0"/>
              <w:marTop w:val="0"/>
              <w:marBottom w:val="0"/>
              <w:divBdr>
                <w:top w:val="none" w:sz="0" w:space="0" w:color="auto"/>
                <w:left w:val="none" w:sz="0" w:space="0" w:color="auto"/>
                <w:bottom w:val="none" w:sz="0" w:space="0" w:color="auto"/>
                <w:right w:val="none" w:sz="0" w:space="0" w:color="auto"/>
              </w:divBdr>
            </w:div>
            <w:div w:id="1373186717">
              <w:marLeft w:val="0"/>
              <w:marRight w:val="0"/>
              <w:marTop w:val="0"/>
              <w:marBottom w:val="0"/>
              <w:divBdr>
                <w:top w:val="none" w:sz="0" w:space="0" w:color="auto"/>
                <w:left w:val="none" w:sz="0" w:space="0" w:color="auto"/>
                <w:bottom w:val="none" w:sz="0" w:space="0" w:color="auto"/>
                <w:right w:val="none" w:sz="0" w:space="0" w:color="auto"/>
              </w:divBdr>
            </w:div>
            <w:div w:id="1384521657">
              <w:marLeft w:val="0"/>
              <w:marRight w:val="0"/>
              <w:marTop w:val="0"/>
              <w:marBottom w:val="0"/>
              <w:divBdr>
                <w:top w:val="none" w:sz="0" w:space="0" w:color="auto"/>
                <w:left w:val="none" w:sz="0" w:space="0" w:color="auto"/>
                <w:bottom w:val="none" w:sz="0" w:space="0" w:color="auto"/>
                <w:right w:val="none" w:sz="0" w:space="0" w:color="auto"/>
              </w:divBdr>
            </w:div>
            <w:div w:id="1385718736">
              <w:marLeft w:val="0"/>
              <w:marRight w:val="0"/>
              <w:marTop w:val="0"/>
              <w:marBottom w:val="0"/>
              <w:divBdr>
                <w:top w:val="none" w:sz="0" w:space="0" w:color="auto"/>
                <w:left w:val="none" w:sz="0" w:space="0" w:color="auto"/>
                <w:bottom w:val="none" w:sz="0" w:space="0" w:color="auto"/>
                <w:right w:val="none" w:sz="0" w:space="0" w:color="auto"/>
              </w:divBdr>
            </w:div>
            <w:div w:id="1693260215">
              <w:marLeft w:val="0"/>
              <w:marRight w:val="0"/>
              <w:marTop w:val="0"/>
              <w:marBottom w:val="0"/>
              <w:divBdr>
                <w:top w:val="none" w:sz="0" w:space="0" w:color="auto"/>
                <w:left w:val="none" w:sz="0" w:space="0" w:color="auto"/>
                <w:bottom w:val="none" w:sz="0" w:space="0" w:color="auto"/>
                <w:right w:val="none" w:sz="0" w:space="0" w:color="auto"/>
              </w:divBdr>
            </w:div>
            <w:div w:id="1694920383">
              <w:marLeft w:val="0"/>
              <w:marRight w:val="0"/>
              <w:marTop w:val="0"/>
              <w:marBottom w:val="0"/>
              <w:divBdr>
                <w:top w:val="none" w:sz="0" w:space="0" w:color="auto"/>
                <w:left w:val="none" w:sz="0" w:space="0" w:color="auto"/>
                <w:bottom w:val="none" w:sz="0" w:space="0" w:color="auto"/>
                <w:right w:val="none" w:sz="0" w:space="0" w:color="auto"/>
              </w:divBdr>
            </w:div>
            <w:div w:id="1836456004">
              <w:marLeft w:val="0"/>
              <w:marRight w:val="0"/>
              <w:marTop w:val="0"/>
              <w:marBottom w:val="0"/>
              <w:divBdr>
                <w:top w:val="none" w:sz="0" w:space="0" w:color="auto"/>
                <w:left w:val="none" w:sz="0" w:space="0" w:color="auto"/>
                <w:bottom w:val="none" w:sz="0" w:space="0" w:color="auto"/>
                <w:right w:val="none" w:sz="0" w:space="0" w:color="auto"/>
              </w:divBdr>
            </w:div>
          </w:divsChild>
        </w:div>
        <w:div w:id="1173951944">
          <w:marLeft w:val="0"/>
          <w:marRight w:val="0"/>
          <w:marTop w:val="0"/>
          <w:marBottom w:val="0"/>
          <w:divBdr>
            <w:top w:val="none" w:sz="0" w:space="0" w:color="auto"/>
            <w:left w:val="none" w:sz="0" w:space="0" w:color="auto"/>
            <w:bottom w:val="none" w:sz="0" w:space="0" w:color="auto"/>
            <w:right w:val="none" w:sz="0" w:space="0" w:color="auto"/>
          </w:divBdr>
          <w:divsChild>
            <w:div w:id="333186467">
              <w:marLeft w:val="0"/>
              <w:marRight w:val="0"/>
              <w:marTop w:val="0"/>
              <w:marBottom w:val="0"/>
              <w:divBdr>
                <w:top w:val="none" w:sz="0" w:space="0" w:color="auto"/>
                <w:left w:val="none" w:sz="0" w:space="0" w:color="auto"/>
                <w:bottom w:val="none" w:sz="0" w:space="0" w:color="auto"/>
                <w:right w:val="none" w:sz="0" w:space="0" w:color="auto"/>
              </w:divBdr>
            </w:div>
          </w:divsChild>
        </w:div>
        <w:div w:id="1273054581">
          <w:marLeft w:val="0"/>
          <w:marRight w:val="0"/>
          <w:marTop w:val="0"/>
          <w:marBottom w:val="0"/>
          <w:divBdr>
            <w:top w:val="none" w:sz="0" w:space="0" w:color="auto"/>
            <w:left w:val="none" w:sz="0" w:space="0" w:color="auto"/>
            <w:bottom w:val="none" w:sz="0" w:space="0" w:color="auto"/>
            <w:right w:val="none" w:sz="0" w:space="0" w:color="auto"/>
          </w:divBdr>
          <w:divsChild>
            <w:div w:id="797383290">
              <w:marLeft w:val="0"/>
              <w:marRight w:val="0"/>
              <w:marTop w:val="0"/>
              <w:marBottom w:val="0"/>
              <w:divBdr>
                <w:top w:val="none" w:sz="0" w:space="0" w:color="auto"/>
                <w:left w:val="none" w:sz="0" w:space="0" w:color="auto"/>
                <w:bottom w:val="none" w:sz="0" w:space="0" w:color="auto"/>
                <w:right w:val="none" w:sz="0" w:space="0" w:color="auto"/>
              </w:divBdr>
            </w:div>
            <w:div w:id="797573878">
              <w:marLeft w:val="0"/>
              <w:marRight w:val="0"/>
              <w:marTop w:val="0"/>
              <w:marBottom w:val="0"/>
              <w:divBdr>
                <w:top w:val="none" w:sz="0" w:space="0" w:color="auto"/>
                <w:left w:val="none" w:sz="0" w:space="0" w:color="auto"/>
                <w:bottom w:val="none" w:sz="0" w:space="0" w:color="auto"/>
                <w:right w:val="none" w:sz="0" w:space="0" w:color="auto"/>
              </w:divBdr>
            </w:div>
            <w:div w:id="1676181027">
              <w:marLeft w:val="0"/>
              <w:marRight w:val="0"/>
              <w:marTop w:val="0"/>
              <w:marBottom w:val="0"/>
              <w:divBdr>
                <w:top w:val="none" w:sz="0" w:space="0" w:color="auto"/>
                <w:left w:val="none" w:sz="0" w:space="0" w:color="auto"/>
                <w:bottom w:val="none" w:sz="0" w:space="0" w:color="auto"/>
                <w:right w:val="none" w:sz="0" w:space="0" w:color="auto"/>
              </w:divBdr>
            </w:div>
          </w:divsChild>
        </w:div>
        <w:div w:id="1276670820">
          <w:marLeft w:val="0"/>
          <w:marRight w:val="0"/>
          <w:marTop w:val="0"/>
          <w:marBottom w:val="0"/>
          <w:divBdr>
            <w:top w:val="none" w:sz="0" w:space="0" w:color="auto"/>
            <w:left w:val="none" w:sz="0" w:space="0" w:color="auto"/>
            <w:bottom w:val="none" w:sz="0" w:space="0" w:color="auto"/>
            <w:right w:val="none" w:sz="0" w:space="0" w:color="auto"/>
          </w:divBdr>
          <w:divsChild>
            <w:div w:id="2083016748">
              <w:marLeft w:val="0"/>
              <w:marRight w:val="0"/>
              <w:marTop w:val="0"/>
              <w:marBottom w:val="0"/>
              <w:divBdr>
                <w:top w:val="none" w:sz="0" w:space="0" w:color="auto"/>
                <w:left w:val="none" w:sz="0" w:space="0" w:color="auto"/>
                <w:bottom w:val="none" w:sz="0" w:space="0" w:color="auto"/>
                <w:right w:val="none" w:sz="0" w:space="0" w:color="auto"/>
              </w:divBdr>
            </w:div>
          </w:divsChild>
        </w:div>
        <w:div w:id="1381901334">
          <w:marLeft w:val="0"/>
          <w:marRight w:val="0"/>
          <w:marTop w:val="0"/>
          <w:marBottom w:val="0"/>
          <w:divBdr>
            <w:top w:val="none" w:sz="0" w:space="0" w:color="auto"/>
            <w:left w:val="none" w:sz="0" w:space="0" w:color="auto"/>
            <w:bottom w:val="none" w:sz="0" w:space="0" w:color="auto"/>
            <w:right w:val="none" w:sz="0" w:space="0" w:color="auto"/>
          </w:divBdr>
          <w:divsChild>
            <w:div w:id="1697345723">
              <w:marLeft w:val="0"/>
              <w:marRight w:val="0"/>
              <w:marTop w:val="0"/>
              <w:marBottom w:val="0"/>
              <w:divBdr>
                <w:top w:val="none" w:sz="0" w:space="0" w:color="auto"/>
                <w:left w:val="none" w:sz="0" w:space="0" w:color="auto"/>
                <w:bottom w:val="none" w:sz="0" w:space="0" w:color="auto"/>
                <w:right w:val="none" w:sz="0" w:space="0" w:color="auto"/>
              </w:divBdr>
            </w:div>
          </w:divsChild>
        </w:div>
        <w:div w:id="1388073061">
          <w:marLeft w:val="0"/>
          <w:marRight w:val="0"/>
          <w:marTop w:val="0"/>
          <w:marBottom w:val="0"/>
          <w:divBdr>
            <w:top w:val="none" w:sz="0" w:space="0" w:color="auto"/>
            <w:left w:val="none" w:sz="0" w:space="0" w:color="auto"/>
            <w:bottom w:val="none" w:sz="0" w:space="0" w:color="auto"/>
            <w:right w:val="none" w:sz="0" w:space="0" w:color="auto"/>
          </w:divBdr>
          <w:divsChild>
            <w:div w:id="1675956170">
              <w:marLeft w:val="0"/>
              <w:marRight w:val="0"/>
              <w:marTop w:val="0"/>
              <w:marBottom w:val="0"/>
              <w:divBdr>
                <w:top w:val="none" w:sz="0" w:space="0" w:color="auto"/>
                <w:left w:val="none" w:sz="0" w:space="0" w:color="auto"/>
                <w:bottom w:val="none" w:sz="0" w:space="0" w:color="auto"/>
                <w:right w:val="none" w:sz="0" w:space="0" w:color="auto"/>
              </w:divBdr>
            </w:div>
          </w:divsChild>
        </w:div>
        <w:div w:id="1400323575">
          <w:marLeft w:val="0"/>
          <w:marRight w:val="0"/>
          <w:marTop w:val="0"/>
          <w:marBottom w:val="0"/>
          <w:divBdr>
            <w:top w:val="none" w:sz="0" w:space="0" w:color="auto"/>
            <w:left w:val="none" w:sz="0" w:space="0" w:color="auto"/>
            <w:bottom w:val="none" w:sz="0" w:space="0" w:color="auto"/>
            <w:right w:val="none" w:sz="0" w:space="0" w:color="auto"/>
          </w:divBdr>
          <w:divsChild>
            <w:div w:id="1489860925">
              <w:marLeft w:val="0"/>
              <w:marRight w:val="0"/>
              <w:marTop w:val="0"/>
              <w:marBottom w:val="0"/>
              <w:divBdr>
                <w:top w:val="none" w:sz="0" w:space="0" w:color="auto"/>
                <w:left w:val="none" w:sz="0" w:space="0" w:color="auto"/>
                <w:bottom w:val="none" w:sz="0" w:space="0" w:color="auto"/>
                <w:right w:val="none" w:sz="0" w:space="0" w:color="auto"/>
              </w:divBdr>
            </w:div>
          </w:divsChild>
        </w:div>
        <w:div w:id="1428387894">
          <w:marLeft w:val="0"/>
          <w:marRight w:val="0"/>
          <w:marTop w:val="0"/>
          <w:marBottom w:val="0"/>
          <w:divBdr>
            <w:top w:val="none" w:sz="0" w:space="0" w:color="auto"/>
            <w:left w:val="none" w:sz="0" w:space="0" w:color="auto"/>
            <w:bottom w:val="none" w:sz="0" w:space="0" w:color="auto"/>
            <w:right w:val="none" w:sz="0" w:space="0" w:color="auto"/>
          </w:divBdr>
          <w:divsChild>
            <w:div w:id="804660455">
              <w:marLeft w:val="0"/>
              <w:marRight w:val="0"/>
              <w:marTop w:val="0"/>
              <w:marBottom w:val="0"/>
              <w:divBdr>
                <w:top w:val="none" w:sz="0" w:space="0" w:color="auto"/>
                <w:left w:val="none" w:sz="0" w:space="0" w:color="auto"/>
                <w:bottom w:val="none" w:sz="0" w:space="0" w:color="auto"/>
                <w:right w:val="none" w:sz="0" w:space="0" w:color="auto"/>
              </w:divBdr>
            </w:div>
          </w:divsChild>
        </w:div>
        <w:div w:id="1532375840">
          <w:marLeft w:val="0"/>
          <w:marRight w:val="0"/>
          <w:marTop w:val="0"/>
          <w:marBottom w:val="0"/>
          <w:divBdr>
            <w:top w:val="none" w:sz="0" w:space="0" w:color="auto"/>
            <w:left w:val="none" w:sz="0" w:space="0" w:color="auto"/>
            <w:bottom w:val="none" w:sz="0" w:space="0" w:color="auto"/>
            <w:right w:val="none" w:sz="0" w:space="0" w:color="auto"/>
          </w:divBdr>
          <w:divsChild>
            <w:div w:id="54478557">
              <w:marLeft w:val="0"/>
              <w:marRight w:val="0"/>
              <w:marTop w:val="0"/>
              <w:marBottom w:val="0"/>
              <w:divBdr>
                <w:top w:val="none" w:sz="0" w:space="0" w:color="auto"/>
                <w:left w:val="none" w:sz="0" w:space="0" w:color="auto"/>
                <w:bottom w:val="none" w:sz="0" w:space="0" w:color="auto"/>
                <w:right w:val="none" w:sz="0" w:space="0" w:color="auto"/>
              </w:divBdr>
            </w:div>
            <w:div w:id="576676053">
              <w:marLeft w:val="0"/>
              <w:marRight w:val="0"/>
              <w:marTop w:val="0"/>
              <w:marBottom w:val="0"/>
              <w:divBdr>
                <w:top w:val="none" w:sz="0" w:space="0" w:color="auto"/>
                <w:left w:val="none" w:sz="0" w:space="0" w:color="auto"/>
                <w:bottom w:val="none" w:sz="0" w:space="0" w:color="auto"/>
                <w:right w:val="none" w:sz="0" w:space="0" w:color="auto"/>
              </w:divBdr>
            </w:div>
            <w:div w:id="1582988920">
              <w:marLeft w:val="0"/>
              <w:marRight w:val="0"/>
              <w:marTop w:val="0"/>
              <w:marBottom w:val="0"/>
              <w:divBdr>
                <w:top w:val="none" w:sz="0" w:space="0" w:color="auto"/>
                <w:left w:val="none" w:sz="0" w:space="0" w:color="auto"/>
                <w:bottom w:val="none" w:sz="0" w:space="0" w:color="auto"/>
                <w:right w:val="none" w:sz="0" w:space="0" w:color="auto"/>
              </w:divBdr>
            </w:div>
            <w:div w:id="1600065713">
              <w:marLeft w:val="0"/>
              <w:marRight w:val="0"/>
              <w:marTop w:val="0"/>
              <w:marBottom w:val="0"/>
              <w:divBdr>
                <w:top w:val="none" w:sz="0" w:space="0" w:color="auto"/>
                <w:left w:val="none" w:sz="0" w:space="0" w:color="auto"/>
                <w:bottom w:val="none" w:sz="0" w:space="0" w:color="auto"/>
                <w:right w:val="none" w:sz="0" w:space="0" w:color="auto"/>
              </w:divBdr>
            </w:div>
            <w:div w:id="2085182600">
              <w:marLeft w:val="0"/>
              <w:marRight w:val="0"/>
              <w:marTop w:val="0"/>
              <w:marBottom w:val="0"/>
              <w:divBdr>
                <w:top w:val="none" w:sz="0" w:space="0" w:color="auto"/>
                <w:left w:val="none" w:sz="0" w:space="0" w:color="auto"/>
                <w:bottom w:val="none" w:sz="0" w:space="0" w:color="auto"/>
                <w:right w:val="none" w:sz="0" w:space="0" w:color="auto"/>
              </w:divBdr>
            </w:div>
          </w:divsChild>
        </w:div>
        <w:div w:id="1559900996">
          <w:marLeft w:val="0"/>
          <w:marRight w:val="0"/>
          <w:marTop w:val="0"/>
          <w:marBottom w:val="0"/>
          <w:divBdr>
            <w:top w:val="none" w:sz="0" w:space="0" w:color="auto"/>
            <w:left w:val="none" w:sz="0" w:space="0" w:color="auto"/>
            <w:bottom w:val="none" w:sz="0" w:space="0" w:color="auto"/>
            <w:right w:val="none" w:sz="0" w:space="0" w:color="auto"/>
          </w:divBdr>
          <w:divsChild>
            <w:div w:id="1360276105">
              <w:marLeft w:val="0"/>
              <w:marRight w:val="0"/>
              <w:marTop w:val="0"/>
              <w:marBottom w:val="0"/>
              <w:divBdr>
                <w:top w:val="none" w:sz="0" w:space="0" w:color="auto"/>
                <w:left w:val="none" w:sz="0" w:space="0" w:color="auto"/>
                <w:bottom w:val="none" w:sz="0" w:space="0" w:color="auto"/>
                <w:right w:val="none" w:sz="0" w:space="0" w:color="auto"/>
              </w:divBdr>
            </w:div>
          </w:divsChild>
        </w:div>
        <w:div w:id="1591699580">
          <w:marLeft w:val="0"/>
          <w:marRight w:val="0"/>
          <w:marTop w:val="0"/>
          <w:marBottom w:val="0"/>
          <w:divBdr>
            <w:top w:val="none" w:sz="0" w:space="0" w:color="auto"/>
            <w:left w:val="none" w:sz="0" w:space="0" w:color="auto"/>
            <w:bottom w:val="none" w:sz="0" w:space="0" w:color="auto"/>
            <w:right w:val="none" w:sz="0" w:space="0" w:color="auto"/>
          </w:divBdr>
          <w:divsChild>
            <w:div w:id="863134229">
              <w:marLeft w:val="0"/>
              <w:marRight w:val="0"/>
              <w:marTop w:val="0"/>
              <w:marBottom w:val="0"/>
              <w:divBdr>
                <w:top w:val="none" w:sz="0" w:space="0" w:color="auto"/>
                <w:left w:val="none" w:sz="0" w:space="0" w:color="auto"/>
                <w:bottom w:val="none" w:sz="0" w:space="0" w:color="auto"/>
                <w:right w:val="none" w:sz="0" w:space="0" w:color="auto"/>
              </w:divBdr>
            </w:div>
            <w:div w:id="959648647">
              <w:marLeft w:val="0"/>
              <w:marRight w:val="0"/>
              <w:marTop w:val="0"/>
              <w:marBottom w:val="0"/>
              <w:divBdr>
                <w:top w:val="none" w:sz="0" w:space="0" w:color="auto"/>
                <w:left w:val="none" w:sz="0" w:space="0" w:color="auto"/>
                <w:bottom w:val="none" w:sz="0" w:space="0" w:color="auto"/>
                <w:right w:val="none" w:sz="0" w:space="0" w:color="auto"/>
              </w:divBdr>
            </w:div>
            <w:div w:id="1620338357">
              <w:marLeft w:val="0"/>
              <w:marRight w:val="0"/>
              <w:marTop w:val="0"/>
              <w:marBottom w:val="0"/>
              <w:divBdr>
                <w:top w:val="none" w:sz="0" w:space="0" w:color="auto"/>
                <w:left w:val="none" w:sz="0" w:space="0" w:color="auto"/>
                <w:bottom w:val="none" w:sz="0" w:space="0" w:color="auto"/>
                <w:right w:val="none" w:sz="0" w:space="0" w:color="auto"/>
              </w:divBdr>
            </w:div>
          </w:divsChild>
        </w:div>
        <w:div w:id="1714189001">
          <w:marLeft w:val="0"/>
          <w:marRight w:val="0"/>
          <w:marTop w:val="0"/>
          <w:marBottom w:val="0"/>
          <w:divBdr>
            <w:top w:val="none" w:sz="0" w:space="0" w:color="auto"/>
            <w:left w:val="none" w:sz="0" w:space="0" w:color="auto"/>
            <w:bottom w:val="none" w:sz="0" w:space="0" w:color="auto"/>
            <w:right w:val="none" w:sz="0" w:space="0" w:color="auto"/>
          </w:divBdr>
          <w:divsChild>
            <w:div w:id="1125735259">
              <w:marLeft w:val="0"/>
              <w:marRight w:val="0"/>
              <w:marTop w:val="0"/>
              <w:marBottom w:val="0"/>
              <w:divBdr>
                <w:top w:val="none" w:sz="0" w:space="0" w:color="auto"/>
                <w:left w:val="none" w:sz="0" w:space="0" w:color="auto"/>
                <w:bottom w:val="none" w:sz="0" w:space="0" w:color="auto"/>
                <w:right w:val="none" w:sz="0" w:space="0" w:color="auto"/>
              </w:divBdr>
            </w:div>
            <w:div w:id="1462114281">
              <w:marLeft w:val="0"/>
              <w:marRight w:val="0"/>
              <w:marTop w:val="0"/>
              <w:marBottom w:val="0"/>
              <w:divBdr>
                <w:top w:val="none" w:sz="0" w:space="0" w:color="auto"/>
                <w:left w:val="none" w:sz="0" w:space="0" w:color="auto"/>
                <w:bottom w:val="none" w:sz="0" w:space="0" w:color="auto"/>
                <w:right w:val="none" w:sz="0" w:space="0" w:color="auto"/>
              </w:divBdr>
            </w:div>
          </w:divsChild>
        </w:div>
        <w:div w:id="1797674015">
          <w:marLeft w:val="0"/>
          <w:marRight w:val="0"/>
          <w:marTop w:val="0"/>
          <w:marBottom w:val="0"/>
          <w:divBdr>
            <w:top w:val="none" w:sz="0" w:space="0" w:color="auto"/>
            <w:left w:val="none" w:sz="0" w:space="0" w:color="auto"/>
            <w:bottom w:val="none" w:sz="0" w:space="0" w:color="auto"/>
            <w:right w:val="none" w:sz="0" w:space="0" w:color="auto"/>
          </w:divBdr>
          <w:divsChild>
            <w:div w:id="745568307">
              <w:marLeft w:val="0"/>
              <w:marRight w:val="0"/>
              <w:marTop w:val="0"/>
              <w:marBottom w:val="0"/>
              <w:divBdr>
                <w:top w:val="none" w:sz="0" w:space="0" w:color="auto"/>
                <w:left w:val="none" w:sz="0" w:space="0" w:color="auto"/>
                <w:bottom w:val="none" w:sz="0" w:space="0" w:color="auto"/>
                <w:right w:val="none" w:sz="0" w:space="0" w:color="auto"/>
              </w:divBdr>
            </w:div>
            <w:div w:id="1152915002">
              <w:marLeft w:val="0"/>
              <w:marRight w:val="0"/>
              <w:marTop w:val="0"/>
              <w:marBottom w:val="0"/>
              <w:divBdr>
                <w:top w:val="none" w:sz="0" w:space="0" w:color="auto"/>
                <w:left w:val="none" w:sz="0" w:space="0" w:color="auto"/>
                <w:bottom w:val="none" w:sz="0" w:space="0" w:color="auto"/>
                <w:right w:val="none" w:sz="0" w:space="0" w:color="auto"/>
              </w:divBdr>
            </w:div>
            <w:div w:id="1330131938">
              <w:marLeft w:val="0"/>
              <w:marRight w:val="0"/>
              <w:marTop w:val="0"/>
              <w:marBottom w:val="0"/>
              <w:divBdr>
                <w:top w:val="none" w:sz="0" w:space="0" w:color="auto"/>
                <w:left w:val="none" w:sz="0" w:space="0" w:color="auto"/>
                <w:bottom w:val="none" w:sz="0" w:space="0" w:color="auto"/>
                <w:right w:val="none" w:sz="0" w:space="0" w:color="auto"/>
              </w:divBdr>
            </w:div>
            <w:div w:id="1353920067">
              <w:marLeft w:val="0"/>
              <w:marRight w:val="0"/>
              <w:marTop w:val="0"/>
              <w:marBottom w:val="0"/>
              <w:divBdr>
                <w:top w:val="none" w:sz="0" w:space="0" w:color="auto"/>
                <w:left w:val="none" w:sz="0" w:space="0" w:color="auto"/>
                <w:bottom w:val="none" w:sz="0" w:space="0" w:color="auto"/>
                <w:right w:val="none" w:sz="0" w:space="0" w:color="auto"/>
              </w:divBdr>
            </w:div>
            <w:div w:id="1543251098">
              <w:marLeft w:val="0"/>
              <w:marRight w:val="0"/>
              <w:marTop w:val="0"/>
              <w:marBottom w:val="0"/>
              <w:divBdr>
                <w:top w:val="none" w:sz="0" w:space="0" w:color="auto"/>
                <w:left w:val="none" w:sz="0" w:space="0" w:color="auto"/>
                <w:bottom w:val="none" w:sz="0" w:space="0" w:color="auto"/>
                <w:right w:val="none" w:sz="0" w:space="0" w:color="auto"/>
              </w:divBdr>
            </w:div>
            <w:div w:id="1797943466">
              <w:marLeft w:val="0"/>
              <w:marRight w:val="0"/>
              <w:marTop w:val="0"/>
              <w:marBottom w:val="0"/>
              <w:divBdr>
                <w:top w:val="none" w:sz="0" w:space="0" w:color="auto"/>
                <w:left w:val="none" w:sz="0" w:space="0" w:color="auto"/>
                <w:bottom w:val="none" w:sz="0" w:space="0" w:color="auto"/>
                <w:right w:val="none" w:sz="0" w:space="0" w:color="auto"/>
              </w:divBdr>
            </w:div>
          </w:divsChild>
        </w:div>
        <w:div w:id="1811940660">
          <w:marLeft w:val="0"/>
          <w:marRight w:val="0"/>
          <w:marTop w:val="0"/>
          <w:marBottom w:val="0"/>
          <w:divBdr>
            <w:top w:val="none" w:sz="0" w:space="0" w:color="auto"/>
            <w:left w:val="none" w:sz="0" w:space="0" w:color="auto"/>
            <w:bottom w:val="none" w:sz="0" w:space="0" w:color="auto"/>
            <w:right w:val="none" w:sz="0" w:space="0" w:color="auto"/>
          </w:divBdr>
          <w:divsChild>
            <w:div w:id="206643542">
              <w:marLeft w:val="0"/>
              <w:marRight w:val="0"/>
              <w:marTop w:val="0"/>
              <w:marBottom w:val="0"/>
              <w:divBdr>
                <w:top w:val="none" w:sz="0" w:space="0" w:color="auto"/>
                <w:left w:val="none" w:sz="0" w:space="0" w:color="auto"/>
                <w:bottom w:val="none" w:sz="0" w:space="0" w:color="auto"/>
                <w:right w:val="none" w:sz="0" w:space="0" w:color="auto"/>
              </w:divBdr>
            </w:div>
          </w:divsChild>
        </w:div>
        <w:div w:id="1832604296">
          <w:marLeft w:val="0"/>
          <w:marRight w:val="0"/>
          <w:marTop w:val="0"/>
          <w:marBottom w:val="0"/>
          <w:divBdr>
            <w:top w:val="none" w:sz="0" w:space="0" w:color="auto"/>
            <w:left w:val="none" w:sz="0" w:space="0" w:color="auto"/>
            <w:bottom w:val="none" w:sz="0" w:space="0" w:color="auto"/>
            <w:right w:val="none" w:sz="0" w:space="0" w:color="auto"/>
          </w:divBdr>
          <w:divsChild>
            <w:div w:id="721443762">
              <w:marLeft w:val="0"/>
              <w:marRight w:val="0"/>
              <w:marTop w:val="0"/>
              <w:marBottom w:val="0"/>
              <w:divBdr>
                <w:top w:val="none" w:sz="0" w:space="0" w:color="auto"/>
                <w:left w:val="none" w:sz="0" w:space="0" w:color="auto"/>
                <w:bottom w:val="none" w:sz="0" w:space="0" w:color="auto"/>
                <w:right w:val="none" w:sz="0" w:space="0" w:color="auto"/>
              </w:divBdr>
            </w:div>
          </w:divsChild>
        </w:div>
        <w:div w:id="1835684021">
          <w:marLeft w:val="0"/>
          <w:marRight w:val="0"/>
          <w:marTop w:val="0"/>
          <w:marBottom w:val="0"/>
          <w:divBdr>
            <w:top w:val="none" w:sz="0" w:space="0" w:color="auto"/>
            <w:left w:val="none" w:sz="0" w:space="0" w:color="auto"/>
            <w:bottom w:val="none" w:sz="0" w:space="0" w:color="auto"/>
            <w:right w:val="none" w:sz="0" w:space="0" w:color="auto"/>
          </w:divBdr>
          <w:divsChild>
            <w:div w:id="563374107">
              <w:marLeft w:val="0"/>
              <w:marRight w:val="0"/>
              <w:marTop w:val="0"/>
              <w:marBottom w:val="0"/>
              <w:divBdr>
                <w:top w:val="none" w:sz="0" w:space="0" w:color="auto"/>
                <w:left w:val="none" w:sz="0" w:space="0" w:color="auto"/>
                <w:bottom w:val="none" w:sz="0" w:space="0" w:color="auto"/>
                <w:right w:val="none" w:sz="0" w:space="0" w:color="auto"/>
              </w:divBdr>
            </w:div>
          </w:divsChild>
        </w:div>
        <w:div w:id="1859850993">
          <w:marLeft w:val="0"/>
          <w:marRight w:val="0"/>
          <w:marTop w:val="0"/>
          <w:marBottom w:val="0"/>
          <w:divBdr>
            <w:top w:val="none" w:sz="0" w:space="0" w:color="auto"/>
            <w:left w:val="none" w:sz="0" w:space="0" w:color="auto"/>
            <w:bottom w:val="none" w:sz="0" w:space="0" w:color="auto"/>
            <w:right w:val="none" w:sz="0" w:space="0" w:color="auto"/>
          </w:divBdr>
          <w:divsChild>
            <w:div w:id="987637552">
              <w:marLeft w:val="0"/>
              <w:marRight w:val="0"/>
              <w:marTop w:val="0"/>
              <w:marBottom w:val="0"/>
              <w:divBdr>
                <w:top w:val="none" w:sz="0" w:space="0" w:color="auto"/>
                <w:left w:val="none" w:sz="0" w:space="0" w:color="auto"/>
                <w:bottom w:val="none" w:sz="0" w:space="0" w:color="auto"/>
                <w:right w:val="none" w:sz="0" w:space="0" w:color="auto"/>
              </w:divBdr>
            </w:div>
          </w:divsChild>
        </w:div>
        <w:div w:id="2043359943">
          <w:marLeft w:val="0"/>
          <w:marRight w:val="0"/>
          <w:marTop w:val="0"/>
          <w:marBottom w:val="0"/>
          <w:divBdr>
            <w:top w:val="none" w:sz="0" w:space="0" w:color="auto"/>
            <w:left w:val="none" w:sz="0" w:space="0" w:color="auto"/>
            <w:bottom w:val="none" w:sz="0" w:space="0" w:color="auto"/>
            <w:right w:val="none" w:sz="0" w:space="0" w:color="auto"/>
          </w:divBdr>
          <w:divsChild>
            <w:div w:id="2138523483">
              <w:marLeft w:val="0"/>
              <w:marRight w:val="0"/>
              <w:marTop w:val="0"/>
              <w:marBottom w:val="0"/>
              <w:divBdr>
                <w:top w:val="none" w:sz="0" w:space="0" w:color="auto"/>
                <w:left w:val="none" w:sz="0" w:space="0" w:color="auto"/>
                <w:bottom w:val="none" w:sz="0" w:space="0" w:color="auto"/>
                <w:right w:val="none" w:sz="0" w:space="0" w:color="auto"/>
              </w:divBdr>
            </w:div>
          </w:divsChild>
        </w:div>
        <w:div w:id="2114006674">
          <w:marLeft w:val="0"/>
          <w:marRight w:val="0"/>
          <w:marTop w:val="0"/>
          <w:marBottom w:val="0"/>
          <w:divBdr>
            <w:top w:val="none" w:sz="0" w:space="0" w:color="auto"/>
            <w:left w:val="none" w:sz="0" w:space="0" w:color="auto"/>
            <w:bottom w:val="none" w:sz="0" w:space="0" w:color="auto"/>
            <w:right w:val="none" w:sz="0" w:space="0" w:color="auto"/>
          </w:divBdr>
          <w:divsChild>
            <w:div w:id="1104689112">
              <w:marLeft w:val="0"/>
              <w:marRight w:val="0"/>
              <w:marTop w:val="0"/>
              <w:marBottom w:val="0"/>
              <w:divBdr>
                <w:top w:val="none" w:sz="0" w:space="0" w:color="auto"/>
                <w:left w:val="none" w:sz="0" w:space="0" w:color="auto"/>
                <w:bottom w:val="none" w:sz="0" w:space="0" w:color="auto"/>
                <w:right w:val="none" w:sz="0" w:space="0" w:color="auto"/>
              </w:divBdr>
            </w:div>
            <w:div w:id="1617443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411390">
      <w:bodyDiv w:val="1"/>
      <w:marLeft w:val="0"/>
      <w:marRight w:val="0"/>
      <w:marTop w:val="0"/>
      <w:marBottom w:val="0"/>
      <w:divBdr>
        <w:top w:val="none" w:sz="0" w:space="0" w:color="auto"/>
        <w:left w:val="none" w:sz="0" w:space="0" w:color="auto"/>
        <w:bottom w:val="none" w:sz="0" w:space="0" w:color="auto"/>
        <w:right w:val="none" w:sz="0" w:space="0" w:color="auto"/>
      </w:divBdr>
    </w:div>
    <w:div w:id="1005014610">
      <w:bodyDiv w:val="1"/>
      <w:marLeft w:val="0"/>
      <w:marRight w:val="0"/>
      <w:marTop w:val="0"/>
      <w:marBottom w:val="0"/>
      <w:divBdr>
        <w:top w:val="none" w:sz="0" w:space="0" w:color="auto"/>
        <w:left w:val="none" w:sz="0" w:space="0" w:color="auto"/>
        <w:bottom w:val="none" w:sz="0" w:space="0" w:color="auto"/>
        <w:right w:val="none" w:sz="0" w:space="0" w:color="auto"/>
      </w:divBdr>
    </w:div>
    <w:div w:id="1178353733">
      <w:bodyDiv w:val="1"/>
      <w:marLeft w:val="0"/>
      <w:marRight w:val="0"/>
      <w:marTop w:val="0"/>
      <w:marBottom w:val="0"/>
      <w:divBdr>
        <w:top w:val="none" w:sz="0" w:space="0" w:color="auto"/>
        <w:left w:val="none" w:sz="0" w:space="0" w:color="auto"/>
        <w:bottom w:val="none" w:sz="0" w:space="0" w:color="auto"/>
        <w:right w:val="none" w:sz="0" w:space="0" w:color="auto"/>
      </w:divBdr>
      <w:divsChild>
        <w:div w:id="2975254">
          <w:marLeft w:val="0"/>
          <w:marRight w:val="0"/>
          <w:marTop w:val="0"/>
          <w:marBottom w:val="0"/>
          <w:divBdr>
            <w:top w:val="none" w:sz="0" w:space="0" w:color="auto"/>
            <w:left w:val="none" w:sz="0" w:space="0" w:color="auto"/>
            <w:bottom w:val="none" w:sz="0" w:space="0" w:color="auto"/>
            <w:right w:val="none" w:sz="0" w:space="0" w:color="auto"/>
          </w:divBdr>
          <w:divsChild>
            <w:div w:id="891187958">
              <w:marLeft w:val="0"/>
              <w:marRight w:val="0"/>
              <w:marTop w:val="0"/>
              <w:marBottom w:val="0"/>
              <w:divBdr>
                <w:top w:val="none" w:sz="0" w:space="0" w:color="auto"/>
                <w:left w:val="none" w:sz="0" w:space="0" w:color="auto"/>
                <w:bottom w:val="none" w:sz="0" w:space="0" w:color="auto"/>
                <w:right w:val="none" w:sz="0" w:space="0" w:color="auto"/>
              </w:divBdr>
            </w:div>
          </w:divsChild>
        </w:div>
        <w:div w:id="123355929">
          <w:marLeft w:val="0"/>
          <w:marRight w:val="0"/>
          <w:marTop w:val="0"/>
          <w:marBottom w:val="0"/>
          <w:divBdr>
            <w:top w:val="none" w:sz="0" w:space="0" w:color="auto"/>
            <w:left w:val="none" w:sz="0" w:space="0" w:color="auto"/>
            <w:bottom w:val="none" w:sz="0" w:space="0" w:color="auto"/>
            <w:right w:val="none" w:sz="0" w:space="0" w:color="auto"/>
          </w:divBdr>
          <w:divsChild>
            <w:div w:id="608506274">
              <w:marLeft w:val="0"/>
              <w:marRight w:val="0"/>
              <w:marTop w:val="0"/>
              <w:marBottom w:val="0"/>
              <w:divBdr>
                <w:top w:val="none" w:sz="0" w:space="0" w:color="auto"/>
                <w:left w:val="none" w:sz="0" w:space="0" w:color="auto"/>
                <w:bottom w:val="none" w:sz="0" w:space="0" w:color="auto"/>
                <w:right w:val="none" w:sz="0" w:space="0" w:color="auto"/>
              </w:divBdr>
            </w:div>
            <w:div w:id="1911698550">
              <w:marLeft w:val="0"/>
              <w:marRight w:val="0"/>
              <w:marTop w:val="0"/>
              <w:marBottom w:val="0"/>
              <w:divBdr>
                <w:top w:val="none" w:sz="0" w:space="0" w:color="auto"/>
                <w:left w:val="none" w:sz="0" w:space="0" w:color="auto"/>
                <w:bottom w:val="none" w:sz="0" w:space="0" w:color="auto"/>
                <w:right w:val="none" w:sz="0" w:space="0" w:color="auto"/>
              </w:divBdr>
            </w:div>
          </w:divsChild>
        </w:div>
        <w:div w:id="386030779">
          <w:marLeft w:val="0"/>
          <w:marRight w:val="0"/>
          <w:marTop w:val="0"/>
          <w:marBottom w:val="0"/>
          <w:divBdr>
            <w:top w:val="none" w:sz="0" w:space="0" w:color="auto"/>
            <w:left w:val="none" w:sz="0" w:space="0" w:color="auto"/>
            <w:bottom w:val="none" w:sz="0" w:space="0" w:color="auto"/>
            <w:right w:val="none" w:sz="0" w:space="0" w:color="auto"/>
          </w:divBdr>
          <w:divsChild>
            <w:div w:id="924193383">
              <w:marLeft w:val="0"/>
              <w:marRight w:val="0"/>
              <w:marTop w:val="0"/>
              <w:marBottom w:val="0"/>
              <w:divBdr>
                <w:top w:val="none" w:sz="0" w:space="0" w:color="auto"/>
                <w:left w:val="none" w:sz="0" w:space="0" w:color="auto"/>
                <w:bottom w:val="none" w:sz="0" w:space="0" w:color="auto"/>
                <w:right w:val="none" w:sz="0" w:space="0" w:color="auto"/>
              </w:divBdr>
            </w:div>
          </w:divsChild>
        </w:div>
        <w:div w:id="400828750">
          <w:marLeft w:val="0"/>
          <w:marRight w:val="0"/>
          <w:marTop w:val="0"/>
          <w:marBottom w:val="0"/>
          <w:divBdr>
            <w:top w:val="none" w:sz="0" w:space="0" w:color="auto"/>
            <w:left w:val="none" w:sz="0" w:space="0" w:color="auto"/>
            <w:bottom w:val="none" w:sz="0" w:space="0" w:color="auto"/>
            <w:right w:val="none" w:sz="0" w:space="0" w:color="auto"/>
          </w:divBdr>
          <w:divsChild>
            <w:div w:id="134446016">
              <w:marLeft w:val="0"/>
              <w:marRight w:val="0"/>
              <w:marTop w:val="0"/>
              <w:marBottom w:val="0"/>
              <w:divBdr>
                <w:top w:val="none" w:sz="0" w:space="0" w:color="auto"/>
                <w:left w:val="none" w:sz="0" w:space="0" w:color="auto"/>
                <w:bottom w:val="none" w:sz="0" w:space="0" w:color="auto"/>
                <w:right w:val="none" w:sz="0" w:space="0" w:color="auto"/>
              </w:divBdr>
            </w:div>
            <w:div w:id="846404523">
              <w:marLeft w:val="0"/>
              <w:marRight w:val="0"/>
              <w:marTop w:val="0"/>
              <w:marBottom w:val="0"/>
              <w:divBdr>
                <w:top w:val="none" w:sz="0" w:space="0" w:color="auto"/>
                <w:left w:val="none" w:sz="0" w:space="0" w:color="auto"/>
                <w:bottom w:val="none" w:sz="0" w:space="0" w:color="auto"/>
                <w:right w:val="none" w:sz="0" w:space="0" w:color="auto"/>
              </w:divBdr>
            </w:div>
            <w:div w:id="1259873138">
              <w:marLeft w:val="0"/>
              <w:marRight w:val="0"/>
              <w:marTop w:val="0"/>
              <w:marBottom w:val="0"/>
              <w:divBdr>
                <w:top w:val="none" w:sz="0" w:space="0" w:color="auto"/>
                <w:left w:val="none" w:sz="0" w:space="0" w:color="auto"/>
                <w:bottom w:val="none" w:sz="0" w:space="0" w:color="auto"/>
                <w:right w:val="none" w:sz="0" w:space="0" w:color="auto"/>
              </w:divBdr>
            </w:div>
            <w:div w:id="1264925037">
              <w:marLeft w:val="0"/>
              <w:marRight w:val="0"/>
              <w:marTop w:val="0"/>
              <w:marBottom w:val="0"/>
              <w:divBdr>
                <w:top w:val="none" w:sz="0" w:space="0" w:color="auto"/>
                <w:left w:val="none" w:sz="0" w:space="0" w:color="auto"/>
                <w:bottom w:val="none" w:sz="0" w:space="0" w:color="auto"/>
                <w:right w:val="none" w:sz="0" w:space="0" w:color="auto"/>
              </w:divBdr>
            </w:div>
            <w:div w:id="1388801862">
              <w:marLeft w:val="0"/>
              <w:marRight w:val="0"/>
              <w:marTop w:val="0"/>
              <w:marBottom w:val="0"/>
              <w:divBdr>
                <w:top w:val="none" w:sz="0" w:space="0" w:color="auto"/>
                <w:left w:val="none" w:sz="0" w:space="0" w:color="auto"/>
                <w:bottom w:val="none" w:sz="0" w:space="0" w:color="auto"/>
                <w:right w:val="none" w:sz="0" w:space="0" w:color="auto"/>
              </w:divBdr>
            </w:div>
            <w:div w:id="1567833219">
              <w:marLeft w:val="0"/>
              <w:marRight w:val="0"/>
              <w:marTop w:val="0"/>
              <w:marBottom w:val="0"/>
              <w:divBdr>
                <w:top w:val="none" w:sz="0" w:space="0" w:color="auto"/>
                <w:left w:val="none" w:sz="0" w:space="0" w:color="auto"/>
                <w:bottom w:val="none" w:sz="0" w:space="0" w:color="auto"/>
                <w:right w:val="none" w:sz="0" w:space="0" w:color="auto"/>
              </w:divBdr>
            </w:div>
          </w:divsChild>
        </w:div>
        <w:div w:id="439300694">
          <w:marLeft w:val="0"/>
          <w:marRight w:val="0"/>
          <w:marTop w:val="0"/>
          <w:marBottom w:val="0"/>
          <w:divBdr>
            <w:top w:val="none" w:sz="0" w:space="0" w:color="auto"/>
            <w:left w:val="none" w:sz="0" w:space="0" w:color="auto"/>
            <w:bottom w:val="none" w:sz="0" w:space="0" w:color="auto"/>
            <w:right w:val="none" w:sz="0" w:space="0" w:color="auto"/>
          </w:divBdr>
          <w:divsChild>
            <w:div w:id="664748321">
              <w:marLeft w:val="0"/>
              <w:marRight w:val="0"/>
              <w:marTop w:val="0"/>
              <w:marBottom w:val="0"/>
              <w:divBdr>
                <w:top w:val="none" w:sz="0" w:space="0" w:color="auto"/>
                <w:left w:val="none" w:sz="0" w:space="0" w:color="auto"/>
                <w:bottom w:val="none" w:sz="0" w:space="0" w:color="auto"/>
                <w:right w:val="none" w:sz="0" w:space="0" w:color="auto"/>
              </w:divBdr>
            </w:div>
            <w:div w:id="697897456">
              <w:marLeft w:val="0"/>
              <w:marRight w:val="0"/>
              <w:marTop w:val="0"/>
              <w:marBottom w:val="0"/>
              <w:divBdr>
                <w:top w:val="none" w:sz="0" w:space="0" w:color="auto"/>
                <w:left w:val="none" w:sz="0" w:space="0" w:color="auto"/>
                <w:bottom w:val="none" w:sz="0" w:space="0" w:color="auto"/>
                <w:right w:val="none" w:sz="0" w:space="0" w:color="auto"/>
              </w:divBdr>
            </w:div>
          </w:divsChild>
        </w:div>
        <w:div w:id="578057110">
          <w:marLeft w:val="0"/>
          <w:marRight w:val="0"/>
          <w:marTop w:val="0"/>
          <w:marBottom w:val="0"/>
          <w:divBdr>
            <w:top w:val="none" w:sz="0" w:space="0" w:color="auto"/>
            <w:left w:val="none" w:sz="0" w:space="0" w:color="auto"/>
            <w:bottom w:val="none" w:sz="0" w:space="0" w:color="auto"/>
            <w:right w:val="none" w:sz="0" w:space="0" w:color="auto"/>
          </w:divBdr>
          <w:divsChild>
            <w:div w:id="640578045">
              <w:marLeft w:val="0"/>
              <w:marRight w:val="0"/>
              <w:marTop w:val="0"/>
              <w:marBottom w:val="0"/>
              <w:divBdr>
                <w:top w:val="none" w:sz="0" w:space="0" w:color="auto"/>
                <w:left w:val="none" w:sz="0" w:space="0" w:color="auto"/>
                <w:bottom w:val="none" w:sz="0" w:space="0" w:color="auto"/>
                <w:right w:val="none" w:sz="0" w:space="0" w:color="auto"/>
              </w:divBdr>
            </w:div>
            <w:div w:id="916400922">
              <w:marLeft w:val="0"/>
              <w:marRight w:val="0"/>
              <w:marTop w:val="0"/>
              <w:marBottom w:val="0"/>
              <w:divBdr>
                <w:top w:val="none" w:sz="0" w:space="0" w:color="auto"/>
                <w:left w:val="none" w:sz="0" w:space="0" w:color="auto"/>
                <w:bottom w:val="none" w:sz="0" w:space="0" w:color="auto"/>
                <w:right w:val="none" w:sz="0" w:space="0" w:color="auto"/>
              </w:divBdr>
            </w:div>
          </w:divsChild>
        </w:div>
        <w:div w:id="729767934">
          <w:marLeft w:val="0"/>
          <w:marRight w:val="0"/>
          <w:marTop w:val="0"/>
          <w:marBottom w:val="0"/>
          <w:divBdr>
            <w:top w:val="none" w:sz="0" w:space="0" w:color="auto"/>
            <w:left w:val="none" w:sz="0" w:space="0" w:color="auto"/>
            <w:bottom w:val="none" w:sz="0" w:space="0" w:color="auto"/>
            <w:right w:val="none" w:sz="0" w:space="0" w:color="auto"/>
          </w:divBdr>
          <w:divsChild>
            <w:div w:id="1322149940">
              <w:marLeft w:val="0"/>
              <w:marRight w:val="0"/>
              <w:marTop w:val="0"/>
              <w:marBottom w:val="0"/>
              <w:divBdr>
                <w:top w:val="none" w:sz="0" w:space="0" w:color="auto"/>
                <w:left w:val="none" w:sz="0" w:space="0" w:color="auto"/>
                <w:bottom w:val="none" w:sz="0" w:space="0" w:color="auto"/>
                <w:right w:val="none" w:sz="0" w:space="0" w:color="auto"/>
              </w:divBdr>
            </w:div>
          </w:divsChild>
        </w:div>
        <w:div w:id="772166148">
          <w:marLeft w:val="0"/>
          <w:marRight w:val="0"/>
          <w:marTop w:val="0"/>
          <w:marBottom w:val="0"/>
          <w:divBdr>
            <w:top w:val="none" w:sz="0" w:space="0" w:color="auto"/>
            <w:left w:val="none" w:sz="0" w:space="0" w:color="auto"/>
            <w:bottom w:val="none" w:sz="0" w:space="0" w:color="auto"/>
            <w:right w:val="none" w:sz="0" w:space="0" w:color="auto"/>
          </w:divBdr>
          <w:divsChild>
            <w:div w:id="38013000">
              <w:marLeft w:val="0"/>
              <w:marRight w:val="0"/>
              <w:marTop w:val="0"/>
              <w:marBottom w:val="0"/>
              <w:divBdr>
                <w:top w:val="none" w:sz="0" w:space="0" w:color="auto"/>
                <w:left w:val="none" w:sz="0" w:space="0" w:color="auto"/>
                <w:bottom w:val="none" w:sz="0" w:space="0" w:color="auto"/>
                <w:right w:val="none" w:sz="0" w:space="0" w:color="auto"/>
              </w:divBdr>
            </w:div>
            <w:div w:id="1156841943">
              <w:marLeft w:val="0"/>
              <w:marRight w:val="0"/>
              <w:marTop w:val="0"/>
              <w:marBottom w:val="0"/>
              <w:divBdr>
                <w:top w:val="none" w:sz="0" w:space="0" w:color="auto"/>
                <w:left w:val="none" w:sz="0" w:space="0" w:color="auto"/>
                <w:bottom w:val="none" w:sz="0" w:space="0" w:color="auto"/>
                <w:right w:val="none" w:sz="0" w:space="0" w:color="auto"/>
              </w:divBdr>
            </w:div>
          </w:divsChild>
        </w:div>
        <w:div w:id="870218485">
          <w:marLeft w:val="0"/>
          <w:marRight w:val="0"/>
          <w:marTop w:val="0"/>
          <w:marBottom w:val="0"/>
          <w:divBdr>
            <w:top w:val="none" w:sz="0" w:space="0" w:color="auto"/>
            <w:left w:val="none" w:sz="0" w:space="0" w:color="auto"/>
            <w:bottom w:val="none" w:sz="0" w:space="0" w:color="auto"/>
            <w:right w:val="none" w:sz="0" w:space="0" w:color="auto"/>
          </w:divBdr>
          <w:divsChild>
            <w:div w:id="1572348476">
              <w:marLeft w:val="0"/>
              <w:marRight w:val="0"/>
              <w:marTop w:val="0"/>
              <w:marBottom w:val="0"/>
              <w:divBdr>
                <w:top w:val="none" w:sz="0" w:space="0" w:color="auto"/>
                <w:left w:val="none" w:sz="0" w:space="0" w:color="auto"/>
                <w:bottom w:val="none" w:sz="0" w:space="0" w:color="auto"/>
                <w:right w:val="none" w:sz="0" w:space="0" w:color="auto"/>
              </w:divBdr>
            </w:div>
            <w:div w:id="2012026673">
              <w:marLeft w:val="0"/>
              <w:marRight w:val="0"/>
              <w:marTop w:val="0"/>
              <w:marBottom w:val="0"/>
              <w:divBdr>
                <w:top w:val="none" w:sz="0" w:space="0" w:color="auto"/>
                <w:left w:val="none" w:sz="0" w:space="0" w:color="auto"/>
                <w:bottom w:val="none" w:sz="0" w:space="0" w:color="auto"/>
                <w:right w:val="none" w:sz="0" w:space="0" w:color="auto"/>
              </w:divBdr>
            </w:div>
          </w:divsChild>
        </w:div>
        <w:div w:id="909845984">
          <w:marLeft w:val="0"/>
          <w:marRight w:val="0"/>
          <w:marTop w:val="0"/>
          <w:marBottom w:val="0"/>
          <w:divBdr>
            <w:top w:val="none" w:sz="0" w:space="0" w:color="auto"/>
            <w:left w:val="none" w:sz="0" w:space="0" w:color="auto"/>
            <w:bottom w:val="none" w:sz="0" w:space="0" w:color="auto"/>
            <w:right w:val="none" w:sz="0" w:space="0" w:color="auto"/>
          </w:divBdr>
          <w:divsChild>
            <w:div w:id="934825507">
              <w:marLeft w:val="0"/>
              <w:marRight w:val="0"/>
              <w:marTop w:val="0"/>
              <w:marBottom w:val="0"/>
              <w:divBdr>
                <w:top w:val="none" w:sz="0" w:space="0" w:color="auto"/>
                <w:left w:val="none" w:sz="0" w:space="0" w:color="auto"/>
                <w:bottom w:val="none" w:sz="0" w:space="0" w:color="auto"/>
                <w:right w:val="none" w:sz="0" w:space="0" w:color="auto"/>
              </w:divBdr>
            </w:div>
          </w:divsChild>
        </w:div>
        <w:div w:id="1558396022">
          <w:marLeft w:val="0"/>
          <w:marRight w:val="0"/>
          <w:marTop w:val="0"/>
          <w:marBottom w:val="0"/>
          <w:divBdr>
            <w:top w:val="none" w:sz="0" w:space="0" w:color="auto"/>
            <w:left w:val="none" w:sz="0" w:space="0" w:color="auto"/>
            <w:bottom w:val="none" w:sz="0" w:space="0" w:color="auto"/>
            <w:right w:val="none" w:sz="0" w:space="0" w:color="auto"/>
          </w:divBdr>
          <w:divsChild>
            <w:div w:id="235169838">
              <w:marLeft w:val="0"/>
              <w:marRight w:val="0"/>
              <w:marTop w:val="0"/>
              <w:marBottom w:val="0"/>
              <w:divBdr>
                <w:top w:val="none" w:sz="0" w:space="0" w:color="auto"/>
                <w:left w:val="none" w:sz="0" w:space="0" w:color="auto"/>
                <w:bottom w:val="none" w:sz="0" w:space="0" w:color="auto"/>
                <w:right w:val="none" w:sz="0" w:space="0" w:color="auto"/>
              </w:divBdr>
            </w:div>
            <w:div w:id="619192549">
              <w:marLeft w:val="0"/>
              <w:marRight w:val="0"/>
              <w:marTop w:val="0"/>
              <w:marBottom w:val="0"/>
              <w:divBdr>
                <w:top w:val="none" w:sz="0" w:space="0" w:color="auto"/>
                <w:left w:val="none" w:sz="0" w:space="0" w:color="auto"/>
                <w:bottom w:val="none" w:sz="0" w:space="0" w:color="auto"/>
                <w:right w:val="none" w:sz="0" w:space="0" w:color="auto"/>
              </w:divBdr>
            </w:div>
          </w:divsChild>
        </w:div>
        <w:div w:id="1679577158">
          <w:marLeft w:val="0"/>
          <w:marRight w:val="0"/>
          <w:marTop w:val="0"/>
          <w:marBottom w:val="0"/>
          <w:divBdr>
            <w:top w:val="none" w:sz="0" w:space="0" w:color="auto"/>
            <w:left w:val="none" w:sz="0" w:space="0" w:color="auto"/>
            <w:bottom w:val="none" w:sz="0" w:space="0" w:color="auto"/>
            <w:right w:val="none" w:sz="0" w:space="0" w:color="auto"/>
          </w:divBdr>
          <w:divsChild>
            <w:div w:id="211889024">
              <w:marLeft w:val="0"/>
              <w:marRight w:val="0"/>
              <w:marTop w:val="0"/>
              <w:marBottom w:val="0"/>
              <w:divBdr>
                <w:top w:val="none" w:sz="0" w:space="0" w:color="auto"/>
                <w:left w:val="none" w:sz="0" w:space="0" w:color="auto"/>
                <w:bottom w:val="none" w:sz="0" w:space="0" w:color="auto"/>
                <w:right w:val="none" w:sz="0" w:space="0" w:color="auto"/>
              </w:divBdr>
            </w:div>
            <w:div w:id="273176459">
              <w:marLeft w:val="0"/>
              <w:marRight w:val="0"/>
              <w:marTop w:val="0"/>
              <w:marBottom w:val="0"/>
              <w:divBdr>
                <w:top w:val="none" w:sz="0" w:space="0" w:color="auto"/>
                <w:left w:val="none" w:sz="0" w:space="0" w:color="auto"/>
                <w:bottom w:val="none" w:sz="0" w:space="0" w:color="auto"/>
                <w:right w:val="none" w:sz="0" w:space="0" w:color="auto"/>
              </w:divBdr>
            </w:div>
          </w:divsChild>
        </w:div>
        <w:div w:id="1800223815">
          <w:marLeft w:val="0"/>
          <w:marRight w:val="0"/>
          <w:marTop w:val="0"/>
          <w:marBottom w:val="0"/>
          <w:divBdr>
            <w:top w:val="none" w:sz="0" w:space="0" w:color="auto"/>
            <w:left w:val="none" w:sz="0" w:space="0" w:color="auto"/>
            <w:bottom w:val="none" w:sz="0" w:space="0" w:color="auto"/>
            <w:right w:val="none" w:sz="0" w:space="0" w:color="auto"/>
          </w:divBdr>
          <w:divsChild>
            <w:div w:id="576206568">
              <w:marLeft w:val="0"/>
              <w:marRight w:val="0"/>
              <w:marTop w:val="0"/>
              <w:marBottom w:val="0"/>
              <w:divBdr>
                <w:top w:val="none" w:sz="0" w:space="0" w:color="auto"/>
                <w:left w:val="none" w:sz="0" w:space="0" w:color="auto"/>
                <w:bottom w:val="none" w:sz="0" w:space="0" w:color="auto"/>
                <w:right w:val="none" w:sz="0" w:space="0" w:color="auto"/>
              </w:divBdr>
            </w:div>
          </w:divsChild>
        </w:div>
        <w:div w:id="1818455731">
          <w:marLeft w:val="0"/>
          <w:marRight w:val="0"/>
          <w:marTop w:val="0"/>
          <w:marBottom w:val="0"/>
          <w:divBdr>
            <w:top w:val="none" w:sz="0" w:space="0" w:color="auto"/>
            <w:left w:val="none" w:sz="0" w:space="0" w:color="auto"/>
            <w:bottom w:val="none" w:sz="0" w:space="0" w:color="auto"/>
            <w:right w:val="none" w:sz="0" w:space="0" w:color="auto"/>
          </w:divBdr>
          <w:divsChild>
            <w:div w:id="321127162">
              <w:marLeft w:val="0"/>
              <w:marRight w:val="0"/>
              <w:marTop w:val="0"/>
              <w:marBottom w:val="0"/>
              <w:divBdr>
                <w:top w:val="none" w:sz="0" w:space="0" w:color="auto"/>
                <w:left w:val="none" w:sz="0" w:space="0" w:color="auto"/>
                <w:bottom w:val="none" w:sz="0" w:space="0" w:color="auto"/>
                <w:right w:val="none" w:sz="0" w:space="0" w:color="auto"/>
              </w:divBdr>
            </w:div>
            <w:div w:id="1110273388">
              <w:marLeft w:val="0"/>
              <w:marRight w:val="0"/>
              <w:marTop w:val="0"/>
              <w:marBottom w:val="0"/>
              <w:divBdr>
                <w:top w:val="none" w:sz="0" w:space="0" w:color="auto"/>
                <w:left w:val="none" w:sz="0" w:space="0" w:color="auto"/>
                <w:bottom w:val="none" w:sz="0" w:space="0" w:color="auto"/>
                <w:right w:val="none" w:sz="0" w:space="0" w:color="auto"/>
              </w:divBdr>
            </w:div>
          </w:divsChild>
        </w:div>
        <w:div w:id="1925801573">
          <w:marLeft w:val="0"/>
          <w:marRight w:val="0"/>
          <w:marTop w:val="0"/>
          <w:marBottom w:val="0"/>
          <w:divBdr>
            <w:top w:val="none" w:sz="0" w:space="0" w:color="auto"/>
            <w:left w:val="none" w:sz="0" w:space="0" w:color="auto"/>
            <w:bottom w:val="none" w:sz="0" w:space="0" w:color="auto"/>
            <w:right w:val="none" w:sz="0" w:space="0" w:color="auto"/>
          </w:divBdr>
          <w:divsChild>
            <w:div w:id="667446611">
              <w:marLeft w:val="0"/>
              <w:marRight w:val="0"/>
              <w:marTop w:val="0"/>
              <w:marBottom w:val="0"/>
              <w:divBdr>
                <w:top w:val="none" w:sz="0" w:space="0" w:color="auto"/>
                <w:left w:val="none" w:sz="0" w:space="0" w:color="auto"/>
                <w:bottom w:val="none" w:sz="0" w:space="0" w:color="auto"/>
                <w:right w:val="none" w:sz="0" w:space="0" w:color="auto"/>
              </w:divBdr>
            </w:div>
            <w:div w:id="96019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339074">
      <w:bodyDiv w:val="1"/>
      <w:marLeft w:val="0"/>
      <w:marRight w:val="0"/>
      <w:marTop w:val="0"/>
      <w:marBottom w:val="0"/>
      <w:divBdr>
        <w:top w:val="none" w:sz="0" w:space="0" w:color="auto"/>
        <w:left w:val="none" w:sz="0" w:space="0" w:color="auto"/>
        <w:bottom w:val="none" w:sz="0" w:space="0" w:color="auto"/>
        <w:right w:val="none" w:sz="0" w:space="0" w:color="auto"/>
      </w:divBdr>
      <w:divsChild>
        <w:div w:id="553351247">
          <w:marLeft w:val="0"/>
          <w:marRight w:val="0"/>
          <w:marTop w:val="0"/>
          <w:marBottom w:val="0"/>
          <w:divBdr>
            <w:top w:val="none" w:sz="0" w:space="0" w:color="auto"/>
            <w:left w:val="none" w:sz="0" w:space="0" w:color="auto"/>
            <w:bottom w:val="none" w:sz="0" w:space="0" w:color="auto"/>
            <w:right w:val="none" w:sz="0" w:space="0" w:color="auto"/>
          </w:divBdr>
        </w:div>
        <w:div w:id="709306182">
          <w:marLeft w:val="0"/>
          <w:marRight w:val="0"/>
          <w:marTop w:val="0"/>
          <w:marBottom w:val="0"/>
          <w:divBdr>
            <w:top w:val="none" w:sz="0" w:space="0" w:color="auto"/>
            <w:left w:val="none" w:sz="0" w:space="0" w:color="auto"/>
            <w:bottom w:val="none" w:sz="0" w:space="0" w:color="auto"/>
            <w:right w:val="none" w:sz="0" w:space="0" w:color="auto"/>
          </w:divBdr>
        </w:div>
      </w:divsChild>
    </w:div>
    <w:div w:id="1357190683">
      <w:bodyDiv w:val="1"/>
      <w:marLeft w:val="0"/>
      <w:marRight w:val="0"/>
      <w:marTop w:val="0"/>
      <w:marBottom w:val="0"/>
      <w:divBdr>
        <w:top w:val="none" w:sz="0" w:space="0" w:color="auto"/>
        <w:left w:val="none" w:sz="0" w:space="0" w:color="auto"/>
        <w:bottom w:val="none" w:sz="0" w:space="0" w:color="auto"/>
        <w:right w:val="none" w:sz="0" w:space="0" w:color="auto"/>
      </w:divBdr>
      <w:divsChild>
        <w:div w:id="35736418">
          <w:marLeft w:val="0"/>
          <w:marRight w:val="0"/>
          <w:marTop w:val="0"/>
          <w:marBottom w:val="0"/>
          <w:divBdr>
            <w:top w:val="none" w:sz="0" w:space="0" w:color="auto"/>
            <w:left w:val="none" w:sz="0" w:space="0" w:color="auto"/>
            <w:bottom w:val="none" w:sz="0" w:space="0" w:color="auto"/>
            <w:right w:val="none" w:sz="0" w:space="0" w:color="auto"/>
          </w:divBdr>
          <w:divsChild>
            <w:div w:id="1708262697">
              <w:marLeft w:val="0"/>
              <w:marRight w:val="0"/>
              <w:marTop w:val="0"/>
              <w:marBottom w:val="0"/>
              <w:divBdr>
                <w:top w:val="none" w:sz="0" w:space="0" w:color="auto"/>
                <w:left w:val="none" w:sz="0" w:space="0" w:color="auto"/>
                <w:bottom w:val="none" w:sz="0" w:space="0" w:color="auto"/>
                <w:right w:val="none" w:sz="0" w:space="0" w:color="auto"/>
              </w:divBdr>
            </w:div>
          </w:divsChild>
        </w:div>
        <w:div w:id="89394182">
          <w:marLeft w:val="0"/>
          <w:marRight w:val="0"/>
          <w:marTop w:val="0"/>
          <w:marBottom w:val="0"/>
          <w:divBdr>
            <w:top w:val="none" w:sz="0" w:space="0" w:color="auto"/>
            <w:left w:val="none" w:sz="0" w:space="0" w:color="auto"/>
            <w:bottom w:val="none" w:sz="0" w:space="0" w:color="auto"/>
            <w:right w:val="none" w:sz="0" w:space="0" w:color="auto"/>
          </w:divBdr>
          <w:divsChild>
            <w:div w:id="451898212">
              <w:marLeft w:val="0"/>
              <w:marRight w:val="0"/>
              <w:marTop w:val="0"/>
              <w:marBottom w:val="0"/>
              <w:divBdr>
                <w:top w:val="none" w:sz="0" w:space="0" w:color="auto"/>
                <w:left w:val="none" w:sz="0" w:space="0" w:color="auto"/>
                <w:bottom w:val="none" w:sz="0" w:space="0" w:color="auto"/>
                <w:right w:val="none" w:sz="0" w:space="0" w:color="auto"/>
              </w:divBdr>
            </w:div>
          </w:divsChild>
        </w:div>
        <w:div w:id="193423045">
          <w:marLeft w:val="0"/>
          <w:marRight w:val="0"/>
          <w:marTop w:val="0"/>
          <w:marBottom w:val="0"/>
          <w:divBdr>
            <w:top w:val="none" w:sz="0" w:space="0" w:color="auto"/>
            <w:left w:val="none" w:sz="0" w:space="0" w:color="auto"/>
            <w:bottom w:val="none" w:sz="0" w:space="0" w:color="auto"/>
            <w:right w:val="none" w:sz="0" w:space="0" w:color="auto"/>
          </w:divBdr>
          <w:divsChild>
            <w:div w:id="630987438">
              <w:marLeft w:val="0"/>
              <w:marRight w:val="0"/>
              <w:marTop w:val="0"/>
              <w:marBottom w:val="0"/>
              <w:divBdr>
                <w:top w:val="none" w:sz="0" w:space="0" w:color="auto"/>
                <w:left w:val="none" w:sz="0" w:space="0" w:color="auto"/>
                <w:bottom w:val="none" w:sz="0" w:space="0" w:color="auto"/>
                <w:right w:val="none" w:sz="0" w:space="0" w:color="auto"/>
              </w:divBdr>
            </w:div>
          </w:divsChild>
        </w:div>
        <w:div w:id="226305657">
          <w:marLeft w:val="0"/>
          <w:marRight w:val="0"/>
          <w:marTop w:val="0"/>
          <w:marBottom w:val="0"/>
          <w:divBdr>
            <w:top w:val="none" w:sz="0" w:space="0" w:color="auto"/>
            <w:left w:val="none" w:sz="0" w:space="0" w:color="auto"/>
            <w:bottom w:val="none" w:sz="0" w:space="0" w:color="auto"/>
            <w:right w:val="none" w:sz="0" w:space="0" w:color="auto"/>
          </w:divBdr>
          <w:divsChild>
            <w:div w:id="250046056">
              <w:marLeft w:val="0"/>
              <w:marRight w:val="0"/>
              <w:marTop w:val="0"/>
              <w:marBottom w:val="0"/>
              <w:divBdr>
                <w:top w:val="none" w:sz="0" w:space="0" w:color="auto"/>
                <w:left w:val="none" w:sz="0" w:space="0" w:color="auto"/>
                <w:bottom w:val="none" w:sz="0" w:space="0" w:color="auto"/>
                <w:right w:val="none" w:sz="0" w:space="0" w:color="auto"/>
              </w:divBdr>
            </w:div>
            <w:div w:id="877357529">
              <w:marLeft w:val="0"/>
              <w:marRight w:val="0"/>
              <w:marTop w:val="0"/>
              <w:marBottom w:val="0"/>
              <w:divBdr>
                <w:top w:val="none" w:sz="0" w:space="0" w:color="auto"/>
                <w:left w:val="none" w:sz="0" w:space="0" w:color="auto"/>
                <w:bottom w:val="none" w:sz="0" w:space="0" w:color="auto"/>
                <w:right w:val="none" w:sz="0" w:space="0" w:color="auto"/>
              </w:divBdr>
            </w:div>
            <w:div w:id="960919533">
              <w:marLeft w:val="0"/>
              <w:marRight w:val="0"/>
              <w:marTop w:val="0"/>
              <w:marBottom w:val="0"/>
              <w:divBdr>
                <w:top w:val="none" w:sz="0" w:space="0" w:color="auto"/>
                <w:left w:val="none" w:sz="0" w:space="0" w:color="auto"/>
                <w:bottom w:val="none" w:sz="0" w:space="0" w:color="auto"/>
                <w:right w:val="none" w:sz="0" w:space="0" w:color="auto"/>
              </w:divBdr>
            </w:div>
            <w:div w:id="1246719919">
              <w:marLeft w:val="0"/>
              <w:marRight w:val="0"/>
              <w:marTop w:val="0"/>
              <w:marBottom w:val="0"/>
              <w:divBdr>
                <w:top w:val="none" w:sz="0" w:space="0" w:color="auto"/>
                <w:left w:val="none" w:sz="0" w:space="0" w:color="auto"/>
                <w:bottom w:val="none" w:sz="0" w:space="0" w:color="auto"/>
                <w:right w:val="none" w:sz="0" w:space="0" w:color="auto"/>
              </w:divBdr>
            </w:div>
            <w:div w:id="1424449756">
              <w:marLeft w:val="0"/>
              <w:marRight w:val="0"/>
              <w:marTop w:val="0"/>
              <w:marBottom w:val="0"/>
              <w:divBdr>
                <w:top w:val="none" w:sz="0" w:space="0" w:color="auto"/>
                <w:left w:val="none" w:sz="0" w:space="0" w:color="auto"/>
                <w:bottom w:val="none" w:sz="0" w:space="0" w:color="auto"/>
                <w:right w:val="none" w:sz="0" w:space="0" w:color="auto"/>
              </w:divBdr>
            </w:div>
            <w:div w:id="1438134255">
              <w:marLeft w:val="0"/>
              <w:marRight w:val="0"/>
              <w:marTop w:val="0"/>
              <w:marBottom w:val="0"/>
              <w:divBdr>
                <w:top w:val="none" w:sz="0" w:space="0" w:color="auto"/>
                <w:left w:val="none" w:sz="0" w:space="0" w:color="auto"/>
                <w:bottom w:val="none" w:sz="0" w:space="0" w:color="auto"/>
                <w:right w:val="none" w:sz="0" w:space="0" w:color="auto"/>
              </w:divBdr>
            </w:div>
            <w:div w:id="1860191536">
              <w:marLeft w:val="0"/>
              <w:marRight w:val="0"/>
              <w:marTop w:val="0"/>
              <w:marBottom w:val="0"/>
              <w:divBdr>
                <w:top w:val="none" w:sz="0" w:space="0" w:color="auto"/>
                <w:left w:val="none" w:sz="0" w:space="0" w:color="auto"/>
                <w:bottom w:val="none" w:sz="0" w:space="0" w:color="auto"/>
                <w:right w:val="none" w:sz="0" w:space="0" w:color="auto"/>
              </w:divBdr>
            </w:div>
          </w:divsChild>
        </w:div>
        <w:div w:id="249892374">
          <w:marLeft w:val="0"/>
          <w:marRight w:val="0"/>
          <w:marTop w:val="0"/>
          <w:marBottom w:val="0"/>
          <w:divBdr>
            <w:top w:val="none" w:sz="0" w:space="0" w:color="auto"/>
            <w:left w:val="none" w:sz="0" w:space="0" w:color="auto"/>
            <w:bottom w:val="none" w:sz="0" w:space="0" w:color="auto"/>
            <w:right w:val="none" w:sz="0" w:space="0" w:color="auto"/>
          </w:divBdr>
          <w:divsChild>
            <w:div w:id="899900163">
              <w:marLeft w:val="0"/>
              <w:marRight w:val="0"/>
              <w:marTop w:val="0"/>
              <w:marBottom w:val="0"/>
              <w:divBdr>
                <w:top w:val="none" w:sz="0" w:space="0" w:color="auto"/>
                <w:left w:val="none" w:sz="0" w:space="0" w:color="auto"/>
                <w:bottom w:val="none" w:sz="0" w:space="0" w:color="auto"/>
                <w:right w:val="none" w:sz="0" w:space="0" w:color="auto"/>
              </w:divBdr>
            </w:div>
          </w:divsChild>
        </w:div>
        <w:div w:id="250628464">
          <w:marLeft w:val="0"/>
          <w:marRight w:val="0"/>
          <w:marTop w:val="0"/>
          <w:marBottom w:val="0"/>
          <w:divBdr>
            <w:top w:val="none" w:sz="0" w:space="0" w:color="auto"/>
            <w:left w:val="none" w:sz="0" w:space="0" w:color="auto"/>
            <w:bottom w:val="none" w:sz="0" w:space="0" w:color="auto"/>
            <w:right w:val="none" w:sz="0" w:space="0" w:color="auto"/>
          </w:divBdr>
          <w:divsChild>
            <w:div w:id="21513271">
              <w:marLeft w:val="0"/>
              <w:marRight w:val="0"/>
              <w:marTop w:val="0"/>
              <w:marBottom w:val="0"/>
              <w:divBdr>
                <w:top w:val="none" w:sz="0" w:space="0" w:color="auto"/>
                <w:left w:val="none" w:sz="0" w:space="0" w:color="auto"/>
                <w:bottom w:val="none" w:sz="0" w:space="0" w:color="auto"/>
                <w:right w:val="none" w:sz="0" w:space="0" w:color="auto"/>
              </w:divBdr>
            </w:div>
          </w:divsChild>
        </w:div>
        <w:div w:id="256596714">
          <w:marLeft w:val="0"/>
          <w:marRight w:val="0"/>
          <w:marTop w:val="0"/>
          <w:marBottom w:val="0"/>
          <w:divBdr>
            <w:top w:val="none" w:sz="0" w:space="0" w:color="auto"/>
            <w:left w:val="none" w:sz="0" w:space="0" w:color="auto"/>
            <w:bottom w:val="none" w:sz="0" w:space="0" w:color="auto"/>
            <w:right w:val="none" w:sz="0" w:space="0" w:color="auto"/>
          </w:divBdr>
          <w:divsChild>
            <w:div w:id="249774425">
              <w:marLeft w:val="0"/>
              <w:marRight w:val="0"/>
              <w:marTop w:val="0"/>
              <w:marBottom w:val="0"/>
              <w:divBdr>
                <w:top w:val="none" w:sz="0" w:space="0" w:color="auto"/>
                <w:left w:val="none" w:sz="0" w:space="0" w:color="auto"/>
                <w:bottom w:val="none" w:sz="0" w:space="0" w:color="auto"/>
                <w:right w:val="none" w:sz="0" w:space="0" w:color="auto"/>
              </w:divBdr>
            </w:div>
          </w:divsChild>
        </w:div>
        <w:div w:id="316960643">
          <w:marLeft w:val="0"/>
          <w:marRight w:val="0"/>
          <w:marTop w:val="0"/>
          <w:marBottom w:val="0"/>
          <w:divBdr>
            <w:top w:val="none" w:sz="0" w:space="0" w:color="auto"/>
            <w:left w:val="none" w:sz="0" w:space="0" w:color="auto"/>
            <w:bottom w:val="none" w:sz="0" w:space="0" w:color="auto"/>
            <w:right w:val="none" w:sz="0" w:space="0" w:color="auto"/>
          </w:divBdr>
          <w:divsChild>
            <w:div w:id="742802624">
              <w:marLeft w:val="0"/>
              <w:marRight w:val="0"/>
              <w:marTop w:val="0"/>
              <w:marBottom w:val="0"/>
              <w:divBdr>
                <w:top w:val="none" w:sz="0" w:space="0" w:color="auto"/>
                <w:left w:val="none" w:sz="0" w:space="0" w:color="auto"/>
                <w:bottom w:val="none" w:sz="0" w:space="0" w:color="auto"/>
                <w:right w:val="none" w:sz="0" w:space="0" w:color="auto"/>
              </w:divBdr>
            </w:div>
          </w:divsChild>
        </w:div>
        <w:div w:id="351106834">
          <w:marLeft w:val="0"/>
          <w:marRight w:val="0"/>
          <w:marTop w:val="0"/>
          <w:marBottom w:val="0"/>
          <w:divBdr>
            <w:top w:val="none" w:sz="0" w:space="0" w:color="auto"/>
            <w:left w:val="none" w:sz="0" w:space="0" w:color="auto"/>
            <w:bottom w:val="none" w:sz="0" w:space="0" w:color="auto"/>
            <w:right w:val="none" w:sz="0" w:space="0" w:color="auto"/>
          </w:divBdr>
          <w:divsChild>
            <w:div w:id="186530694">
              <w:marLeft w:val="0"/>
              <w:marRight w:val="0"/>
              <w:marTop w:val="0"/>
              <w:marBottom w:val="0"/>
              <w:divBdr>
                <w:top w:val="none" w:sz="0" w:space="0" w:color="auto"/>
                <w:left w:val="none" w:sz="0" w:space="0" w:color="auto"/>
                <w:bottom w:val="none" w:sz="0" w:space="0" w:color="auto"/>
                <w:right w:val="none" w:sz="0" w:space="0" w:color="auto"/>
              </w:divBdr>
            </w:div>
          </w:divsChild>
        </w:div>
        <w:div w:id="367069920">
          <w:marLeft w:val="0"/>
          <w:marRight w:val="0"/>
          <w:marTop w:val="0"/>
          <w:marBottom w:val="0"/>
          <w:divBdr>
            <w:top w:val="none" w:sz="0" w:space="0" w:color="auto"/>
            <w:left w:val="none" w:sz="0" w:space="0" w:color="auto"/>
            <w:bottom w:val="none" w:sz="0" w:space="0" w:color="auto"/>
            <w:right w:val="none" w:sz="0" w:space="0" w:color="auto"/>
          </w:divBdr>
          <w:divsChild>
            <w:div w:id="456725282">
              <w:marLeft w:val="0"/>
              <w:marRight w:val="0"/>
              <w:marTop w:val="0"/>
              <w:marBottom w:val="0"/>
              <w:divBdr>
                <w:top w:val="none" w:sz="0" w:space="0" w:color="auto"/>
                <w:left w:val="none" w:sz="0" w:space="0" w:color="auto"/>
                <w:bottom w:val="none" w:sz="0" w:space="0" w:color="auto"/>
                <w:right w:val="none" w:sz="0" w:space="0" w:color="auto"/>
              </w:divBdr>
            </w:div>
          </w:divsChild>
        </w:div>
        <w:div w:id="372730626">
          <w:marLeft w:val="0"/>
          <w:marRight w:val="0"/>
          <w:marTop w:val="0"/>
          <w:marBottom w:val="0"/>
          <w:divBdr>
            <w:top w:val="none" w:sz="0" w:space="0" w:color="auto"/>
            <w:left w:val="none" w:sz="0" w:space="0" w:color="auto"/>
            <w:bottom w:val="none" w:sz="0" w:space="0" w:color="auto"/>
            <w:right w:val="none" w:sz="0" w:space="0" w:color="auto"/>
          </w:divBdr>
          <w:divsChild>
            <w:div w:id="1075660577">
              <w:marLeft w:val="0"/>
              <w:marRight w:val="0"/>
              <w:marTop w:val="0"/>
              <w:marBottom w:val="0"/>
              <w:divBdr>
                <w:top w:val="none" w:sz="0" w:space="0" w:color="auto"/>
                <w:left w:val="none" w:sz="0" w:space="0" w:color="auto"/>
                <w:bottom w:val="none" w:sz="0" w:space="0" w:color="auto"/>
                <w:right w:val="none" w:sz="0" w:space="0" w:color="auto"/>
              </w:divBdr>
            </w:div>
            <w:div w:id="1246453454">
              <w:marLeft w:val="0"/>
              <w:marRight w:val="0"/>
              <w:marTop w:val="0"/>
              <w:marBottom w:val="0"/>
              <w:divBdr>
                <w:top w:val="none" w:sz="0" w:space="0" w:color="auto"/>
                <w:left w:val="none" w:sz="0" w:space="0" w:color="auto"/>
                <w:bottom w:val="none" w:sz="0" w:space="0" w:color="auto"/>
                <w:right w:val="none" w:sz="0" w:space="0" w:color="auto"/>
              </w:divBdr>
            </w:div>
          </w:divsChild>
        </w:div>
        <w:div w:id="396321753">
          <w:marLeft w:val="0"/>
          <w:marRight w:val="0"/>
          <w:marTop w:val="0"/>
          <w:marBottom w:val="0"/>
          <w:divBdr>
            <w:top w:val="none" w:sz="0" w:space="0" w:color="auto"/>
            <w:left w:val="none" w:sz="0" w:space="0" w:color="auto"/>
            <w:bottom w:val="none" w:sz="0" w:space="0" w:color="auto"/>
            <w:right w:val="none" w:sz="0" w:space="0" w:color="auto"/>
          </w:divBdr>
          <w:divsChild>
            <w:div w:id="1011252804">
              <w:marLeft w:val="0"/>
              <w:marRight w:val="0"/>
              <w:marTop w:val="0"/>
              <w:marBottom w:val="0"/>
              <w:divBdr>
                <w:top w:val="none" w:sz="0" w:space="0" w:color="auto"/>
                <w:left w:val="none" w:sz="0" w:space="0" w:color="auto"/>
                <w:bottom w:val="none" w:sz="0" w:space="0" w:color="auto"/>
                <w:right w:val="none" w:sz="0" w:space="0" w:color="auto"/>
              </w:divBdr>
            </w:div>
          </w:divsChild>
        </w:div>
        <w:div w:id="443616885">
          <w:marLeft w:val="0"/>
          <w:marRight w:val="0"/>
          <w:marTop w:val="0"/>
          <w:marBottom w:val="0"/>
          <w:divBdr>
            <w:top w:val="none" w:sz="0" w:space="0" w:color="auto"/>
            <w:left w:val="none" w:sz="0" w:space="0" w:color="auto"/>
            <w:bottom w:val="none" w:sz="0" w:space="0" w:color="auto"/>
            <w:right w:val="none" w:sz="0" w:space="0" w:color="auto"/>
          </w:divBdr>
          <w:divsChild>
            <w:div w:id="777484500">
              <w:marLeft w:val="0"/>
              <w:marRight w:val="0"/>
              <w:marTop w:val="0"/>
              <w:marBottom w:val="0"/>
              <w:divBdr>
                <w:top w:val="none" w:sz="0" w:space="0" w:color="auto"/>
                <w:left w:val="none" w:sz="0" w:space="0" w:color="auto"/>
                <w:bottom w:val="none" w:sz="0" w:space="0" w:color="auto"/>
                <w:right w:val="none" w:sz="0" w:space="0" w:color="auto"/>
              </w:divBdr>
            </w:div>
          </w:divsChild>
        </w:div>
        <w:div w:id="443967716">
          <w:marLeft w:val="0"/>
          <w:marRight w:val="0"/>
          <w:marTop w:val="0"/>
          <w:marBottom w:val="0"/>
          <w:divBdr>
            <w:top w:val="none" w:sz="0" w:space="0" w:color="auto"/>
            <w:left w:val="none" w:sz="0" w:space="0" w:color="auto"/>
            <w:bottom w:val="none" w:sz="0" w:space="0" w:color="auto"/>
            <w:right w:val="none" w:sz="0" w:space="0" w:color="auto"/>
          </w:divBdr>
          <w:divsChild>
            <w:div w:id="1272665347">
              <w:marLeft w:val="0"/>
              <w:marRight w:val="0"/>
              <w:marTop w:val="0"/>
              <w:marBottom w:val="0"/>
              <w:divBdr>
                <w:top w:val="none" w:sz="0" w:space="0" w:color="auto"/>
                <w:left w:val="none" w:sz="0" w:space="0" w:color="auto"/>
                <w:bottom w:val="none" w:sz="0" w:space="0" w:color="auto"/>
                <w:right w:val="none" w:sz="0" w:space="0" w:color="auto"/>
              </w:divBdr>
            </w:div>
            <w:div w:id="1365903998">
              <w:marLeft w:val="0"/>
              <w:marRight w:val="0"/>
              <w:marTop w:val="0"/>
              <w:marBottom w:val="0"/>
              <w:divBdr>
                <w:top w:val="none" w:sz="0" w:space="0" w:color="auto"/>
                <w:left w:val="none" w:sz="0" w:space="0" w:color="auto"/>
                <w:bottom w:val="none" w:sz="0" w:space="0" w:color="auto"/>
                <w:right w:val="none" w:sz="0" w:space="0" w:color="auto"/>
              </w:divBdr>
            </w:div>
            <w:div w:id="2065642091">
              <w:marLeft w:val="0"/>
              <w:marRight w:val="0"/>
              <w:marTop w:val="0"/>
              <w:marBottom w:val="0"/>
              <w:divBdr>
                <w:top w:val="none" w:sz="0" w:space="0" w:color="auto"/>
                <w:left w:val="none" w:sz="0" w:space="0" w:color="auto"/>
                <w:bottom w:val="none" w:sz="0" w:space="0" w:color="auto"/>
                <w:right w:val="none" w:sz="0" w:space="0" w:color="auto"/>
              </w:divBdr>
            </w:div>
          </w:divsChild>
        </w:div>
        <w:div w:id="478964313">
          <w:marLeft w:val="0"/>
          <w:marRight w:val="0"/>
          <w:marTop w:val="0"/>
          <w:marBottom w:val="0"/>
          <w:divBdr>
            <w:top w:val="none" w:sz="0" w:space="0" w:color="auto"/>
            <w:left w:val="none" w:sz="0" w:space="0" w:color="auto"/>
            <w:bottom w:val="none" w:sz="0" w:space="0" w:color="auto"/>
            <w:right w:val="none" w:sz="0" w:space="0" w:color="auto"/>
          </w:divBdr>
          <w:divsChild>
            <w:div w:id="1357081174">
              <w:marLeft w:val="0"/>
              <w:marRight w:val="0"/>
              <w:marTop w:val="0"/>
              <w:marBottom w:val="0"/>
              <w:divBdr>
                <w:top w:val="none" w:sz="0" w:space="0" w:color="auto"/>
                <w:left w:val="none" w:sz="0" w:space="0" w:color="auto"/>
                <w:bottom w:val="none" w:sz="0" w:space="0" w:color="auto"/>
                <w:right w:val="none" w:sz="0" w:space="0" w:color="auto"/>
              </w:divBdr>
            </w:div>
          </w:divsChild>
        </w:div>
        <w:div w:id="495003527">
          <w:marLeft w:val="0"/>
          <w:marRight w:val="0"/>
          <w:marTop w:val="0"/>
          <w:marBottom w:val="0"/>
          <w:divBdr>
            <w:top w:val="none" w:sz="0" w:space="0" w:color="auto"/>
            <w:left w:val="none" w:sz="0" w:space="0" w:color="auto"/>
            <w:bottom w:val="none" w:sz="0" w:space="0" w:color="auto"/>
            <w:right w:val="none" w:sz="0" w:space="0" w:color="auto"/>
          </w:divBdr>
          <w:divsChild>
            <w:div w:id="1564366658">
              <w:marLeft w:val="0"/>
              <w:marRight w:val="0"/>
              <w:marTop w:val="0"/>
              <w:marBottom w:val="0"/>
              <w:divBdr>
                <w:top w:val="none" w:sz="0" w:space="0" w:color="auto"/>
                <w:left w:val="none" w:sz="0" w:space="0" w:color="auto"/>
                <w:bottom w:val="none" w:sz="0" w:space="0" w:color="auto"/>
                <w:right w:val="none" w:sz="0" w:space="0" w:color="auto"/>
              </w:divBdr>
            </w:div>
          </w:divsChild>
        </w:div>
        <w:div w:id="525101724">
          <w:marLeft w:val="0"/>
          <w:marRight w:val="0"/>
          <w:marTop w:val="0"/>
          <w:marBottom w:val="0"/>
          <w:divBdr>
            <w:top w:val="none" w:sz="0" w:space="0" w:color="auto"/>
            <w:left w:val="none" w:sz="0" w:space="0" w:color="auto"/>
            <w:bottom w:val="none" w:sz="0" w:space="0" w:color="auto"/>
            <w:right w:val="none" w:sz="0" w:space="0" w:color="auto"/>
          </w:divBdr>
          <w:divsChild>
            <w:div w:id="1446387204">
              <w:marLeft w:val="0"/>
              <w:marRight w:val="0"/>
              <w:marTop w:val="0"/>
              <w:marBottom w:val="0"/>
              <w:divBdr>
                <w:top w:val="none" w:sz="0" w:space="0" w:color="auto"/>
                <w:left w:val="none" w:sz="0" w:space="0" w:color="auto"/>
                <w:bottom w:val="none" w:sz="0" w:space="0" w:color="auto"/>
                <w:right w:val="none" w:sz="0" w:space="0" w:color="auto"/>
              </w:divBdr>
            </w:div>
          </w:divsChild>
        </w:div>
        <w:div w:id="534657571">
          <w:marLeft w:val="0"/>
          <w:marRight w:val="0"/>
          <w:marTop w:val="0"/>
          <w:marBottom w:val="0"/>
          <w:divBdr>
            <w:top w:val="none" w:sz="0" w:space="0" w:color="auto"/>
            <w:left w:val="none" w:sz="0" w:space="0" w:color="auto"/>
            <w:bottom w:val="none" w:sz="0" w:space="0" w:color="auto"/>
            <w:right w:val="none" w:sz="0" w:space="0" w:color="auto"/>
          </w:divBdr>
          <w:divsChild>
            <w:div w:id="2084720963">
              <w:marLeft w:val="0"/>
              <w:marRight w:val="0"/>
              <w:marTop w:val="0"/>
              <w:marBottom w:val="0"/>
              <w:divBdr>
                <w:top w:val="none" w:sz="0" w:space="0" w:color="auto"/>
                <w:left w:val="none" w:sz="0" w:space="0" w:color="auto"/>
                <w:bottom w:val="none" w:sz="0" w:space="0" w:color="auto"/>
                <w:right w:val="none" w:sz="0" w:space="0" w:color="auto"/>
              </w:divBdr>
            </w:div>
          </w:divsChild>
        </w:div>
        <w:div w:id="573928965">
          <w:marLeft w:val="0"/>
          <w:marRight w:val="0"/>
          <w:marTop w:val="0"/>
          <w:marBottom w:val="0"/>
          <w:divBdr>
            <w:top w:val="none" w:sz="0" w:space="0" w:color="auto"/>
            <w:left w:val="none" w:sz="0" w:space="0" w:color="auto"/>
            <w:bottom w:val="none" w:sz="0" w:space="0" w:color="auto"/>
            <w:right w:val="none" w:sz="0" w:space="0" w:color="auto"/>
          </w:divBdr>
          <w:divsChild>
            <w:div w:id="148598069">
              <w:marLeft w:val="0"/>
              <w:marRight w:val="0"/>
              <w:marTop w:val="0"/>
              <w:marBottom w:val="0"/>
              <w:divBdr>
                <w:top w:val="none" w:sz="0" w:space="0" w:color="auto"/>
                <w:left w:val="none" w:sz="0" w:space="0" w:color="auto"/>
                <w:bottom w:val="none" w:sz="0" w:space="0" w:color="auto"/>
                <w:right w:val="none" w:sz="0" w:space="0" w:color="auto"/>
              </w:divBdr>
            </w:div>
          </w:divsChild>
        </w:div>
        <w:div w:id="587421005">
          <w:marLeft w:val="0"/>
          <w:marRight w:val="0"/>
          <w:marTop w:val="0"/>
          <w:marBottom w:val="0"/>
          <w:divBdr>
            <w:top w:val="none" w:sz="0" w:space="0" w:color="auto"/>
            <w:left w:val="none" w:sz="0" w:space="0" w:color="auto"/>
            <w:bottom w:val="none" w:sz="0" w:space="0" w:color="auto"/>
            <w:right w:val="none" w:sz="0" w:space="0" w:color="auto"/>
          </w:divBdr>
          <w:divsChild>
            <w:div w:id="1253856112">
              <w:marLeft w:val="0"/>
              <w:marRight w:val="0"/>
              <w:marTop w:val="0"/>
              <w:marBottom w:val="0"/>
              <w:divBdr>
                <w:top w:val="none" w:sz="0" w:space="0" w:color="auto"/>
                <w:left w:val="none" w:sz="0" w:space="0" w:color="auto"/>
                <w:bottom w:val="none" w:sz="0" w:space="0" w:color="auto"/>
                <w:right w:val="none" w:sz="0" w:space="0" w:color="auto"/>
              </w:divBdr>
            </w:div>
          </w:divsChild>
        </w:div>
        <w:div w:id="651837299">
          <w:marLeft w:val="0"/>
          <w:marRight w:val="0"/>
          <w:marTop w:val="0"/>
          <w:marBottom w:val="0"/>
          <w:divBdr>
            <w:top w:val="none" w:sz="0" w:space="0" w:color="auto"/>
            <w:left w:val="none" w:sz="0" w:space="0" w:color="auto"/>
            <w:bottom w:val="none" w:sz="0" w:space="0" w:color="auto"/>
            <w:right w:val="none" w:sz="0" w:space="0" w:color="auto"/>
          </w:divBdr>
          <w:divsChild>
            <w:div w:id="786001332">
              <w:marLeft w:val="0"/>
              <w:marRight w:val="0"/>
              <w:marTop w:val="0"/>
              <w:marBottom w:val="0"/>
              <w:divBdr>
                <w:top w:val="none" w:sz="0" w:space="0" w:color="auto"/>
                <w:left w:val="none" w:sz="0" w:space="0" w:color="auto"/>
                <w:bottom w:val="none" w:sz="0" w:space="0" w:color="auto"/>
                <w:right w:val="none" w:sz="0" w:space="0" w:color="auto"/>
              </w:divBdr>
            </w:div>
            <w:div w:id="1039011875">
              <w:marLeft w:val="0"/>
              <w:marRight w:val="0"/>
              <w:marTop w:val="0"/>
              <w:marBottom w:val="0"/>
              <w:divBdr>
                <w:top w:val="none" w:sz="0" w:space="0" w:color="auto"/>
                <w:left w:val="none" w:sz="0" w:space="0" w:color="auto"/>
                <w:bottom w:val="none" w:sz="0" w:space="0" w:color="auto"/>
                <w:right w:val="none" w:sz="0" w:space="0" w:color="auto"/>
              </w:divBdr>
            </w:div>
          </w:divsChild>
        </w:div>
        <w:div w:id="659504417">
          <w:marLeft w:val="0"/>
          <w:marRight w:val="0"/>
          <w:marTop w:val="0"/>
          <w:marBottom w:val="0"/>
          <w:divBdr>
            <w:top w:val="none" w:sz="0" w:space="0" w:color="auto"/>
            <w:left w:val="none" w:sz="0" w:space="0" w:color="auto"/>
            <w:bottom w:val="none" w:sz="0" w:space="0" w:color="auto"/>
            <w:right w:val="none" w:sz="0" w:space="0" w:color="auto"/>
          </w:divBdr>
          <w:divsChild>
            <w:div w:id="1614240705">
              <w:marLeft w:val="0"/>
              <w:marRight w:val="0"/>
              <w:marTop w:val="0"/>
              <w:marBottom w:val="0"/>
              <w:divBdr>
                <w:top w:val="none" w:sz="0" w:space="0" w:color="auto"/>
                <w:left w:val="none" w:sz="0" w:space="0" w:color="auto"/>
                <w:bottom w:val="none" w:sz="0" w:space="0" w:color="auto"/>
                <w:right w:val="none" w:sz="0" w:space="0" w:color="auto"/>
              </w:divBdr>
            </w:div>
          </w:divsChild>
        </w:div>
        <w:div w:id="669941459">
          <w:marLeft w:val="0"/>
          <w:marRight w:val="0"/>
          <w:marTop w:val="0"/>
          <w:marBottom w:val="0"/>
          <w:divBdr>
            <w:top w:val="none" w:sz="0" w:space="0" w:color="auto"/>
            <w:left w:val="none" w:sz="0" w:space="0" w:color="auto"/>
            <w:bottom w:val="none" w:sz="0" w:space="0" w:color="auto"/>
            <w:right w:val="none" w:sz="0" w:space="0" w:color="auto"/>
          </w:divBdr>
          <w:divsChild>
            <w:div w:id="1766416739">
              <w:marLeft w:val="0"/>
              <w:marRight w:val="0"/>
              <w:marTop w:val="0"/>
              <w:marBottom w:val="0"/>
              <w:divBdr>
                <w:top w:val="none" w:sz="0" w:space="0" w:color="auto"/>
                <w:left w:val="none" w:sz="0" w:space="0" w:color="auto"/>
                <w:bottom w:val="none" w:sz="0" w:space="0" w:color="auto"/>
                <w:right w:val="none" w:sz="0" w:space="0" w:color="auto"/>
              </w:divBdr>
            </w:div>
          </w:divsChild>
        </w:div>
        <w:div w:id="696665476">
          <w:marLeft w:val="0"/>
          <w:marRight w:val="0"/>
          <w:marTop w:val="0"/>
          <w:marBottom w:val="0"/>
          <w:divBdr>
            <w:top w:val="none" w:sz="0" w:space="0" w:color="auto"/>
            <w:left w:val="none" w:sz="0" w:space="0" w:color="auto"/>
            <w:bottom w:val="none" w:sz="0" w:space="0" w:color="auto"/>
            <w:right w:val="none" w:sz="0" w:space="0" w:color="auto"/>
          </w:divBdr>
          <w:divsChild>
            <w:div w:id="784037427">
              <w:marLeft w:val="0"/>
              <w:marRight w:val="0"/>
              <w:marTop w:val="0"/>
              <w:marBottom w:val="0"/>
              <w:divBdr>
                <w:top w:val="none" w:sz="0" w:space="0" w:color="auto"/>
                <w:left w:val="none" w:sz="0" w:space="0" w:color="auto"/>
                <w:bottom w:val="none" w:sz="0" w:space="0" w:color="auto"/>
                <w:right w:val="none" w:sz="0" w:space="0" w:color="auto"/>
              </w:divBdr>
            </w:div>
          </w:divsChild>
        </w:div>
        <w:div w:id="708843849">
          <w:marLeft w:val="0"/>
          <w:marRight w:val="0"/>
          <w:marTop w:val="0"/>
          <w:marBottom w:val="0"/>
          <w:divBdr>
            <w:top w:val="none" w:sz="0" w:space="0" w:color="auto"/>
            <w:left w:val="none" w:sz="0" w:space="0" w:color="auto"/>
            <w:bottom w:val="none" w:sz="0" w:space="0" w:color="auto"/>
            <w:right w:val="none" w:sz="0" w:space="0" w:color="auto"/>
          </w:divBdr>
          <w:divsChild>
            <w:div w:id="1537081735">
              <w:marLeft w:val="0"/>
              <w:marRight w:val="0"/>
              <w:marTop w:val="0"/>
              <w:marBottom w:val="0"/>
              <w:divBdr>
                <w:top w:val="none" w:sz="0" w:space="0" w:color="auto"/>
                <w:left w:val="none" w:sz="0" w:space="0" w:color="auto"/>
                <w:bottom w:val="none" w:sz="0" w:space="0" w:color="auto"/>
                <w:right w:val="none" w:sz="0" w:space="0" w:color="auto"/>
              </w:divBdr>
            </w:div>
          </w:divsChild>
        </w:div>
        <w:div w:id="714159457">
          <w:marLeft w:val="0"/>
          <w:marRight w:val="0"/>
          <w:marTop w:val="0"/>
          <w:marBottom w:val="0"/>
          <w:divBdr>
            <w:top w:val="none" w:sz="0" w:space="0" w:color="auto"/>
            <w:left w:val="none" w:sz="0" w:space="0" w:color="auto"/>
            <w:bottom w:val="none" w:sz="0" w:space="0" w:color="auto"/>
            <w:right w:val="none" w:sz="0" w:space="0" w:color="auto"/>
          </w:divBdr>
          <w:divsChild>
            <w:div w:id="587542092">
              <w:marLeft w:val="0"/>
              <w:marRight w:val="0"/>
              <w:marTop w:val="0"/>
              <w:marBottom w:val="0"/>
              <w:divBdr>
                <w:top w:val="none" w:sz="0" w:space="0" w:color="auto"/>
                <w:left w:val="none" w:sz="0" w:space="0" w:color="auto"/>
                <w:bottom w:val="none" w:sz="0" w:space="0" w:color="auto"/>
                <w:right w:val="none" w:sz="0" w:space="0" w:color="auto"/>
              </w:divBdr>
            </w:div>
          </w:divsChild>
        </w:div>
        <w:div w:id="750589263">
          <w:marLeft w:val="0"/>
          <w:marRight w:val="0"/>
          <w:marTop w:val="0"/>
          <w:marBottom w:val="0"/>
          <w:divBdr>
            <w:top w:val="none" w:sz="0" w:space="0" w:color="auto"/>
            <w:left w:val="none" w:sz="0" w:space="0" w:color="auto"/>
            <w:bottom w:val="none" w:sz="0" w:space="0" w:color="auto"/>
            <w:right w:val="none" w:sz="0" w:space="0" w:color="auto"/>
          </w:divBdr>
          <w:divsChild>
            <w:div w:id="311563346">
              <w:marLeft w:val="0"/>
              <w:marRight w:val="0"/>
              <w:marTop w:val="0"/>
              <w:marBottom w:val="0"/>
              <w:divBdr>
                <w:top w:val="none" w:sz="0" w:space="0" w:color="auto"/>
                <w:left w:val="none" w:sz="0" w:space="0" w:color="auto"/>
                <w:bottom w:val="none" w:sz="0" w:space="0" w:color="auto"/>
                <w:right w:val="none" w:sz="0" w:space="0" w:color="auto"/>
              </w:divBdr>
            </w:div>
          </w:divsChild>
        </w:div>
        <w:div w:id="766583300">
          <w:marLeft w:val="0"/>
          <w:marRight w:val="0"/>
          <w:marTop w:val="0"/>
          <w:marBottom w:val="0"/>
          <w:divBdr>
            <w:top w:val="none" w:sz="0" w:space="0" w:color="auto"/>
            <w:left w:val="none" w:sz="0" w:space="0" w:color="auto"/>
            <w:bottom w:val="none" w:sz="0" w:space="0" w:color="auto"/>
            <w:right w:val="none" w:sz="0" w:space="0" w:color="auto"/>
          </w:divBdr>
          <w:divsChild>
            <w:div w:id="736325060">
              <w:marLeft w:val="0"/>
              <w:marRight w:val="0"/>
              <w:marTop w:val="0"/>
              <w:marBottom w:val="0"/>
              <w:divBdr>
                <w:top w:val="none" w:sz="0" w:space="0" w:color="auto"/>
                <w:left w:val="none" w:sz="0" w:space="0" w:color="auto"/>
                <w:bottom w:val="none" w:sz="0" w:space="0" w:color="auto"/>
                <w:right w:val="none" w:sz="0" w:space="0" w:color="auto"/>
              </w:divBdr>
            </w:div>
          </w:divsChild>
        </w:div>
        <w:div w:id="788594959">
          <w:marLeft w:val="0"/>
          <w:marRight w:val="0"/>
          <w:marTop w:val="0"/>
          <w:marBottom w:val="0"/>
          <w:divBdr>
            <w:top w:val="none" w:sz="0" w:space="0" w:color="auto"/>
            <w:left w:val="none" w:sz="0" w:space="0" w:color="auto"/>
            <w:bottom w:val="none" w:sz="0" w:space="0" w:color="auto"/>
            <w:right w:val="none" w:sz="0" w:space="0" w:color="auto"/>
          </w:divBdr>
          <w:divsChild>
            <w:div w:id="572352410">
              <w:marLeft w:val="0"/>
              <w:marRight w:val="0"/>
              <w:marTop w:val="0"/>
              <w:marBottom w:val="0"/>
              <w:divBdr>
                <w:top w:val="none" w:sz="0" w:space="0" w:color="auto"/>
                <w:left w:val="none" w:sz="0" w:space="0" w:color="auto"/>
                <w:bottom w:val="none" w:sz="0" w:space="0" w:color="auto"/>
                <w:right w:val="none" w:sz="0" w:space="0" w:color="auto"/>
              </w:divBdr>
            </w:div>
            <w:div w:id="781650652">
              <w:marLeft w:val="0"/>
              <w:marRight w:val="0"/>
              <w:marTop w:val="0"/>
              <w:marBottom w:val="0"/>
              <w:divBdr>
                <w:top w:val="none" w:sz="0" w:space="0" w:color="auto"/>
                <w:left w:val="none" w:sz="0" w:space="0" w:color="auto"/>
                <w:bottom w:val="none" w:sz="0" w:space="0" w:color="auto"/>
                <w:right w:val="none" w:sz="0" w:space="0" w:color="auto"/>
              </w:divBdr>
            </w:div>
          </w:divsChild>
        </w:div>
        <w:div w:id="792871149">
          <w:marLeft w:val="0"/>
          <w:marRight w:val="0"/>
          <w:marTop w:val="0"/>
          <w:marBottom w:val="0"/>
          <w:divBdr>
            <w:top w:val="none" w:sz="0" w:space="0" w:color="auto"/>
            <w:left w:val="none" w:sz="0" w:space="0" w:color="auto"/>
            <w:bottom w:val="none" w:sz="0" w:space="0" w:color="auto"/>
            <w:right w:val="none" w:sz="0" w:space="0" w:color="auto"/>
          </w:divBdr>
          <w:divsChild>
            <w:div w:id="1667785870">
              <w:marLeft w:val="0"/>
              <w:marRight w:val="0"/>
              <w:marTop w:val="0"/>
              <w:marBottom w:val="0"/>
              <w:divBdr>
                <w:top w:val="none" w:sz="0" w:space="0" w:color="auto"/>
                <w:left w:val="none" w:sz="0" w:space="0" w:color="auto"/>
                <w:bottom w:val="none" w:sz="0" w:space="0" w:color="auto"/>
                <w:right w:val="none" w:sz="0" w:space="0" w:color="auto"/>
              </w:divBdr>
            </w:div>
          </w:divsChild>
        </w:div>
        <w:div w:id="860388968">
          <w:marLeft w:val="0"/>
          <w:marRight w:val="0"/>
          <w:marTop w:val="0"/>
          <w:marBottom w:val="0"/>
          <w:divBdr>
            <w:top w:val="none" w:sz="0" w:space="0" w:color="auto"/>
            <w:left w:val="none" w:sz="0" w:space="0" w:color="auto"/>
            <w:bottom w:val="none" w:sz="0" w:space="0" w:color="auto"/>
            <w:right w:val="none" w:sz="0" w:space="0" w:color="auto"/>
          </w:divBdr>
          <w:divsChild>
            <w:div w:id="2098477341">
              <w:marLeft w:val="0"/>
              <w:marRight w:val="0"/>
              <w:marTop w:val="0"/>
              <w:marBottom w:val="0"/>
              <w:divBdr>
                <w:top w:val="none" w:sz="0" w:space="0" w:color="auto"/>
                <w:left w:val="none" w:sz="0" w:space="0" w:color="auto"/>
                <w:bottom w:val="none" w:sz="0" w:space="0" w:color="auto"/>
                <w:right w:val="none" w:sz="0" w:space="0" w:color="auto"/>
              </w:divBdr>
            </w:div>
          </w:divsChild>
        </w:div>
        <w:div w:id="868294782">
          <w:marLeft w:val="0"/>
          <w:marRight w:val="0"/>
          <w:marTop w:val="0"/>
          <w:marBottom w:val="0"/>
          <w:divBdr>
            <w:top w:val="none" w:sz="0" w:space="0" w:color="auto"/>
            <w:left w:val="none" w:sz="0" w:space="0" w:color="auto"/>
            <w:bottom w:val="none" w:sz="0" w:space="0" w:color="auto"/>
            <w:right w:val="none" w:sz="0" w:space="0" w:color="auto"/>
          </w:divBdr>
          <w:divsChild>
            <w:div w:id="1096906161">
              <w:marLeft w:val="0"/>
              <w:marRight w:val="0"/>
              <w:marTop w:val="0"/>
              <w:marBottom w:val="0"/>
              <w:divBdr>
                <w:top w:val="none" w:sz="0" w:space="0" w:color="auto"/>
                <w:left w:val="none" w:sz="0" w:space="0" w:color="auto"/>
                <w:bottom w:val="none" w:sz="0" w:space="0" w:color="auto"/>
                <w:right w:val="none" w:sz="0" w:space="0" w:color="auto"/>
              </w:divBdr>
            </w:div>
          </w:divsChild>
        </w:div>
        <w:div w:id="879975001">
          <w:marLeft w:val="0"/>
          <w:marRight w:val="0"/>
          <w:marTop w:val="0"/>
          <w:marBottom w:val="0"/>
          <w:divBdr>
            <w:top w:val="none" w:sz="0" w:space="0" w:color="auto"/>
            <w:left w:val="none" w:sz="0" w:space="0" w:color="auto"/>
            <w:bottom w:val="none" w:sz="0" w:space="0" w:color="auto"/>
            <w:right w:val="none" w:sz="0" w:space="0" w:color="auto"/>
          </w:divBdr>
          <w:divsChild>
            <w:div w:id="1764372965">
              <w:marLeft w:val="0"/>
              <w:marRight w:val="0"/>
              <w:marTop w:val="0"/>
              <w:marBottom w:val="0"/>
              <w:divBdr>
                <w:top w:val="none" w:sz="0" w:space="0" w:color="auto"/>
                <w:left w:val="none" w:sz="0" w:space="0" w:color="auto"/>
                <w:bottom w:val="none" w:sz="0" w:space="0" w:color="auto"/>
                <w:right w:val="none" w:sz="0" w:space="0" w:color="auto"/>
              </w:divBdr>
            </w:div>
          </w:divsChild>
        </w:div>
        <w:div w:id="923339049">
          <w:marLeft w:val="0"/>
          <w:marRight w:val="0"/>
          <w:marTop w:val="0"/>
          <w:marBottom w:val="0"/>
          <w:divBdr>
            <w:top w:val="none" w:sz="0" w:space="0" w:color="auto"/>
            <w:left w:val="none" w:sz="0" w:space="0" w:color="auto"/>
            <w:bottom w:val="none" w:sz="0" w:space="0" w:color="auto"/>
            <w:right w:val="none" w:sz="0" w:space="0" w:color="auto"/>
          </w:divBdr>
          <w:divsChild>
            <w:div w:id="137260606">
              <w:marLeft w:val="0"/>
              <w:marRight w:val="0"/>
              <w:marTop w:val="0"/>
              <w:marBottom w:val="0"/>
              <w:divBdr>
                <w:top w:val="none" w:sz="0" w:space="0" w:color="auto"/>
                <w:left w:val="none" w:sz="0" w:space="0" w:color="auto"/>
                <w:bottom w:val="none" w:sz="0" w:space="0" w:color="auto"/>
                <w:right w:val="none" w:sz="0" w:space="0" w:color="auto"/>
              </w:divBdr>
            </w:div>
            <w:div w:id="787626662">
              <w:marLeft w:val="0"/>
              <w:marRight w:val="0"/>
              <w:marTop w:val="0"/>
              <w:marBottom w:val="0"/>
              <w:divBdr>
                <w:top w:val="none" w:sz="0" w:space="0" w:color="auto"/>
                <w:left w:val="none" w:sz="0" w:space="0" w:color="auto"/>
                <w:bottom w:val="none" w:sz="0" w:space="0" w:color="auto"/>
                <w:right w:val="none" w:sz="0" w:space="0" w:color="auto"/>
              </w:divBdr>
            </w:div>
            <w:div w:id="1465582674">
              <w:marLeft w:val="0"/>
              <w:marRight w:val="0"/>
              <w:marTop w:val="0"/>
              <w:marBottom w:val="0"/>
              <w:divBdr>
                <w:top w:val="none" w:sz="0" w:space="0" w:color="auto"/>
                <w:left w:val="none" w:sz="0" w:space="0" w:color="auto"/>
                <w:bottom w:val="none" w:sz="0" w:space="0" w:color="auto"/>
                <w:right w:val="none" w:sz="0" w:space="0" w:color="auto"/>
              </w:divBdr>
            </w:div>
          </w:divsChild>
        </w:div>
        <w:div w:id="939799509">
          <w:marLeft w:val="0"/>
          <w:marRight w:val="0"/>
          <w:marTop w:val="0"/>
          <w:marBottom w:val="0"/>
          <w:divBdr>
            <w:top w:val="none" w:sz="0" w:space="0" w:color="auto"/>
            <w:left w:val="none" w:sz="0" w:space="0" w:color="auto"/>
            <w:bottom w:val="none" w:sz="0" w:space="0" w:color="auto"/>
            <w:right w:val="none" w:sz="0" w:space="0" w:color="auto"/>
          </w:divBdr>
          <w:divsChild>
            <w:div w:id="1394698979">
              <w:marLeft w:val="0"/>
              <w:marRight w:val="0"/>
              <w:marTop w:val="0"/>
              <w:marBottom w:val="0"/>
              <w:divBdr>
                <w:top w:val="none" w:sz="0" w:space="0" w:color="auto"/>
                <w:left w:val="none" w:sz="0" w:space="0" w:color="auto"/>
                <w:bottom w:val="none" w:sz="0" w:space="0" w:color="auto"/>
                <w:right w:val="none" w:sz="0" w:space="0" w:color="auto"/>
              </w:divBdr>
            </w:div>
          </w:divsChild>
        </w:div>
        <w:div w:id="942693221">
          <w:marLeft w:val="0"/>
          <w:marRight w:val="0"/>
          <w:marTop w:val="0"/>
          <w:marBottom w:val="0"/>
          <w:divBdr>
            <w:top w:val="none" w:sz="0" w:space="0" w:color="auto"/>
            <w:left w:val="none" w:sz="0" w:space="0" w:color="auto"/>
            <w:bottom w:val="none" w:sz="0" w:space="0" w:color="auto"/>
            <w:right w:val="none" w:sz="0" w:space="0" w:color="auto"/>
          </w:divBdr>
          <w:divsChild>
            <w:div w:id="864517214">
              <w:marLeft w:val="0"/>
              <w:marRight w:val="0"/>
              <w:marTop w:val="0"/>
              <w:marBottom w:val="0"/>
              <w:divBdr>
                <w:top w:val="none" w:sz="0" w:space="0" w:color="auto"/>
                <w:left w:val="none" w:sz="0" w:space="0" w:color="auto"/>
                <w:bottom w:val="none" w:sz="0" w:space="0" w:color="auto"/>
                <w:right w:val="none" w:sz="0" w:space="0" w:color="auto"/>
              </w:divBdr>
            </w:div>
            <w:div w:id="1256591005">
              <w:marLeft w:val="0"/>
              <w:marRight w:val="0"/>
              <w:marTop w:val="0"/>
              <w:marBottom w:val="0"/>
              <w:divBdr>
                <w:top w:val="none" w:sz="0" w:space="0" w:color="auto"/>
                <w:left w:val="none" w:sz="0" w:space="0" w:color="auto"/>
                <w:bottom w:val="none" w:sz="0" w:space="0" w:color="auto"/>
                <w:right w:val="none" w:sz="0" w:space="0" w:color="auto"/>
              </w:divBdr>
            </w:div>
          </w:divsChild>
        </w:div>
        <w:div w:id="958340734">
          <w:marLeft w:val="0"/>
          <w:marRight w:val="0"/>
          <w:marTop w:val="0"/>
          <w:marBottom w:val="0"/>
          <w:divBdr>
            <w:top w:val="none" w:sz="0" w:space="0" w:color="auto"/>
            <w:left w:val="none" w:sz="0" w:space="0" w:color="auto"/>
            <w:bottom w:val="none" w:sz="0" w:space="0" w:color="auto"/>
            <w:right w:val="none" w:sz="0" w:space="0" w:color="auto"/>
          </w:divBdr>
          <w:divsChild>
            <w:div w:id="1205754030">
              <w:marLeft w:val="0"/>
              <w:marRight w:val="0"/>
              <w:marTop w:val="0"/>
              <w:marBottom w:val="0"/>
              <w:divBdr>
                <w:top w:val="none" w:sz="0" w:space="0" w:color="auto"/>
                <w:left w:val="none" w:sz="0" w:space="0" w:color="auto"/>
                <w:bottom w:val="none" w:sz="0" w:space="0" w:color="auto"/>
                <w:right w:val="none" w:sz="0" w:space="0" w:color="auto"/>
              </w:divBdr>
            </w:div>
          </w:divsChild>
        </w:div>
        <w:div w:id="1032415602">
          <w:marLeft w:val="0"/>
          <w:marRight w:val="0"/>
          <w:marTop w:val="0"/>
          <w:marBottom w:val="0"/>
          <w:divBdr>
            <w:top w:val="none" w:sz="0" w:space="0" w:color="auto"/>
            <w:left w:val="none" w:sz="0" w:space="0" w:color="auto"/>
            <w:bottom w:val="none" w:sz="0" w:space="0" w:color="auto"/>
            <w:right w:val="none" w:sz="0" w:space="0" w:color="auto"/>
          </w:divBdr>
          <w:divsChild>
            <w:div w:id="417754425">
              <w:marLeft w:val="0"/>
              <w:marRight w:val="0"/>
              <w:marTop w:val="0"/>
              <w:marBottom w:val="0"/>
              <w:divBdr>
                <w:top w:val="none" w:sz="0" w:space="0" w:color="auto"/>
                <w:left w:val="none" w:sz="0" w:space="0" w:color="auto"/>
                <w:bottom w:val="none" w:sz="0" w:space="0" w:color="auto"/>
                <w:right w:val="none" w:sz="0" w:space="0" w:color="auto"/>
              </w:divBdr>
            </w:div>
          </w:divsChild>
        </w:div>
        <w:div w:id="1056586218">
          <w:marLeft w:val="0"/>
          <w:marRight w:val="0"/>
          <w:marTop w:val="0"/>
          <w:marBottom w:val="0"/>
          <w:divBdr>
            <w:top w:val="none" w:sz="0" w:space="0" w:color="auto"/>
            <w:left w:val="none" w:sz="0" w:space="0" w:color="auto"/>
            <w:bottom w:val="none" w:sz="0" w:space="0" w:color="auto"/>
            <w:right w:val="none" w:sz="0" w:space="0" w:color="auto"/>
          </w:divBdr>
          <w:divsChild>
            <w:div w:id="1968465525">
              <w:marLeft w:val="0"/>
              <w:marRight w:val="0"/>
              <w:marTop w:val="0"/>
              <w:marBottom w:val="0"/>
              <w:divBdr>
                <w:top w:val="none" w:sz="0" w:space="0" w:color="auto"/>
                <w:left w:val="none" w:sz="0" w:space="0" w:color="auto"/>
                <w:bottom w:val="none" w:sz="0" w:space="0" w:color="auto"/>
                <w:right w:val="none" w:sz="0" w:space="0" w:color="auto"/>
              </w:divBdr>
            </w:div>
          </w:divsChild>
        </w:div>
        <w:div w:id="1083185025">
          <w:marLeft w:val="0"/>
          <w:marRight w:val="0"/>
          <w:marTop w:val="0"/>
          <w:marBottom w:val="0"/>
          <w:divBdr>
            <w:top w:val="none" w:sz="0" w:space="0" w:color="auto"/>
            <w:left w:val="none" w:sz="0" w:space="0" w:color="auto"/>
            <w:bottom w:val="none" w:sz="0" w:space="0" w:color="auto"/>
            <w:right w:val="none" w:sz="0" w:space="0" w:color="auto"/>
          </w:divBdr>
          <w:divsChild>
            <w:div w:id="1414740881">
              <w:marLeft w:val="0"/>
              <w:marRight w:val="0"/>
              <w:marTop w:val="0"/>
              <w:marBottom w:val="0"/>
              <w:divBdr>
                <w:top w:val="none" w:sz="0" w:space="0" w:color="auto"/>
                <w:left w:val="none" w:sz="0" w:space="0" w:color="auto"/>
                <w:bottom w:val="none" w:sz="0" w:space="0" w:color="auto"/>
                <w:right w:val="none" w:sz="0" w:space="0" w:color="auto"/>
              </w:divBdr>
            </w:div>
          </w:divsChild>
        </w:div>
        <w:div w:id="1084492383">
          <w:marLeft w:val="0"/>
          <w:marRight w:val="0"/>
          <w:marTop w:val="0"/>
          <w:marBottom w:val="0"/>
          <w:divBdr>
            <w:top w:val="none" w:sz="0" w:space="0" w:color="auto"/>
            <w:left w:val="none" w:sz="0" w:space="0" w:color="auto"/>
            <w:bottom w:val="none" w:sz="0" w:space="0" w:color="auto"/>
            <w:right w:val="none" w:sz="0" w:space="0" w:color="auto"/>
          </w:divBdr>
          <w:divsChild>
            <w:div w:id="2118063330">
              <w:marLeft w:val="0"/>
              <w:marRight w:val="0"/>
              <w:marTop w:val="0"/>
              <w:marBottom w:val="0"/>
              <w:divBdr>
                <w:top w:val="none" w:sz="0" w:space="0" w:color="auto"/>
                <w:left w:val="none" w:sz="0" w:space="0" w:color="auto"/>
                <w:bottom w:val="none" w:sz="0" w:space="0" w:color="auto"/>
                <w:right w:val="none" w:sz="0" w:space="0" w:color="auto"/>
              </w:divBdr>
            </w:div>
          </w:divsChild>
        </w:div>
        <w:div w:id="1096560319">
          <w:marLeft w:val="0"/>
          <w:marRight w:val="0"/>
          <w:marTop w:val="0"/>
          <w:marBottom w:val="0"/>
          <w:divBdr>
            <w:top w:val="none" w:sz="0" w:space="0" w:color="auto"/>
            <w:left w:val="none" w:sz="0" w:space="0" w:color="auto"/>
            <w:bottom w:val="none" w:sz="0" w:space="0" w:color="auto"/>
            <w:right w:val="none" w:sz="0" w:space="0" w:color="auto"/>
          </w:divBdr>
          <w:divsChild>
            <w:div w:id="19208949">
              <w:marLeft w:val="0"/>
              <w:marRight w:val="0"/>
              <w:marTop w:val="0"/>
              <w:marBottom w:val="0"/>
              <w:divBdr>
                <w:top w:val="none" w:sz="0" w:space="0" w:color="auto"/>
                <w:left w:val="none" w:sz="0" w:space="0" w:color="auto"/>
                <w:bottom w:val="none" w:sz="0" w:space="0" w:color="auto"/>
                <w:right w:val="none" w:sz="0" w:space="0" w:color="auto"/>
              </w:divBdr>
            </w:div>
          </w:divsChild>
        </w:div>
        <w:div w:id="1113750286">
          <w:marLeft w:val="0"/>
          <w:marRight w:val="0"/>
          <w:marTop w:val="0"/>
          <w:marBottom w:val="0"/>
          <w:divBdr>
            <w:top w:val="none" w:sz="0" w:space="0" w:color="auto"/>
            <w:left w:val="none" w:sz="0" w:space="0" w:color="auto"/>
            <w:bottom w:val="none" w:sz="0" w:space="0" w:color="auto"/>
            <w:right w:val="none" w:sz="0" w:space="0" w:color="auto"/>
          </w:divBdr>
          <w:divsChild>
            <w:div w:id="1994143029">
              <w:marLeft w:val="0"/>
              <w:marRight w:val="0"/>
              <w:marTop w:val="0"/>
              <w:marBottom w:val="0"/>
              <w:divBdr>
                <w:top w:val="none" w:sz="0" w:space="0" w:color="auto"/>
                <w:left w:val="none" w:sz="0" w:space="0" w:color="auto"/>
                <w:bottom w:val="none" w:sz="0" w:space="0" w:color="auto"/>
                <w:right w:val="none" w:sz="0" w:space="0" w:color="auto"/>
              </w:divBdr>
            </w:div>
          </w:divsChild>
        </w:div>
        <w:div w:id="1227835759">
          <w:marLeft w:val="0"/>
          <w:marRight w:val="0"/>
          <w:marTop w:val="0"/>
          <w:marBottom w:val="0"/>
          <w:divBdr>
            <w:top w:val="none" w:sz="0" w:space="0" w:color="auto"/>
            <w:left w:val="none" w:sz="0" w:space="0" w:color="auto"/>
            <w:bottom w:val="none" w:sz="0" w:space="0" w:color="auto"/>
            <w:right w:val="none" w:sz="0" w:space="0" w:color="auto"/>
          </w:divBdr>
          <w:divsChild>
            <w:div w:id="1828939845">
              <w:marLeft w:val="0"/>
              <w:marRight w:val="0"/>
              <w:marTop w:val="0"/>
              <w:marBottom w:val="0"/>
              <w:divBdr>
                <w:top w:val="none" w:sz="0" w:space="0" w:color="auto"/>
                <w:left w:val="none" w:sz="0" w:space="0" w:color="auto"/>
                <w:bottom w:val="none" w:sz="0" w:space="0" w:color="auto"/>
                <w:right w:val="none" w:sz="0" w:space="0" w:color="auto"/>
              </w:divBdr>
            </w:div>
          </w:divsChild>
        </w:div>
        <w:div w:id="1233126374">
          <w:marLeft w:val="0"/>
          <w:marRight w:val="0"/>
          <w:marTop w:val="0"/>
          <w:marBottom w:val="0"/>
          <w:divBdr>
            <w:top w:val="none" w:sz="0" w:space="0" w:color="auto"/>
            <w:left w:val="none" w:sz="0" w:space="0" w:color="auto"/>
            <w:bottom w:val="none" w:sz="0" w:space="0" w:color="auto"/>
            <w:right w:val="none" w:sz="0" w:space="0" w:color="auto"/>
          </w:divBdr>
          <w:divsChild>
            <w:div w:id="1588147309">
              <w:marLeft w:val="0"/>
              <w:marRight w:val="0"/>
              <w:marTop w:val="0"/>
              <w:marBottom w:val="0"/>
              <w:divBdr>
                <w:top w:val="none" w:sz="0" w:space="0" w:color="auto"/>
                <w:left w:val="none" w:sz="0" w:space="0" w:color="auto"/>
                <w:bottom w:val="none" w:sz="0" w:space="0" w:color="auto"/>
                <w:right w:val="none" w:sz="0" w:space="0" w:color="auto"/>
              </w:divBdr>
            </w:div>
          </w:divsChild>
        </w:div>
        <w:div w:id="1239025088">
          <w:marLeft w:val="0"/>
          <w:marRight w:val="0"/>
          <w:marTop w:val="0"/>
          <w:marBottom w:val="0"/>
          <w:divBdr>
            <w:top w:val="none" w:sz="0" w:space="0" w:color="auto"/>
            <w:left w:val="none" w:sz="0" w:space="0" w:color="auto"/>
            <w:bottom w:val="none" w:sz="0" w:space="0" w:color="auto"/>
            <w:right w:val="none" w:sz="0" w:space="0" w:color="auto"/>
          </w:divBdr>
          <w:divsChild>
            <w:div w:id="949506943">
              <w:marLeft w:val="0"/>
              <w:marRight w:val="0"/>
              <w:marTop w:val="0"/>
              <w:marBottom w:val="0"/>
              <w:divBdr>
                <w:top w:val="none" w:sz="0" w:space="0" w:color="auto"/>
                <w:left w:val="none" w:sz="0" w:space="0" w:color="auto"/>
                <w:bottom w:val="none" w:sz="0" w:space="0" w:color="auto"/>
                <w:right w:val="none" w:sz="0" w:space="0" w:color="auto"/>
              </w:divBdr>
            </w:div>
          </w:divsChild>
        </w:div>
        <w:div w:id="1255474034">
          <w:marLeft w:val="0"/>
          <w:marRight w:val="0"/>
          <w:marTop w:val="0"/>
          <w:marBottom w:val="0"/>
          <w:divBdr>
            <w:top w:val="none" w:sz="0" w:space="0" w:color="auto"/>
            <w:left w:val="none" w:sz="0" w:space="0" w:color="auto"/>
            <w:bottom w:val="none" w:sz="0" w:space="0" w:color="auto"/>
            <w:right w:val="none" w:sz="0" w:space="0" w:color="auto"/>
          </w:divBdr>
          <w:divsChild>
            <w:div w:id="1345203148">
              <w:marLeft w:val="0"/>
              <w:marRight w:val="0"/>
              <w:marTop w:val="0"/>
              <w:marBottom w:val="0"/>
              <w:divBdr>
                <w:top w:val="none" w:sz="0" w:space="0" w:color="auto"/>
                <w:left w:val="none" w:sz="0" w:space="0" w:color="auto"/>
                <w:bottom w:val="none" w:sz="0" w:space="0" w:color="auto"/>
                <w:right w:val="none" w:sz="0" w:space="0" w:color="auto"/>
              </w:divBdr>
            </w:div>
          </w:divsChild>
        </w:div>
        <w:div w:id="1260064386">
          <w:marLeft w:val="0"/>
          <w:marRight w:val="0"/>
          <w:marTop w:val="0"/>
          <w:marBottom w:val="0"/>
          <w:divBdr>
            <w:top w:val="none" w:sz="0" w:space="0" w:color="auto"/>
            <w:left w:val="none" w:sz="0" w:space="0" w:color="auto"/>
            <w:bottom w:val="none" w:sz="0" w:space="0" w:color="auto"/>
            <w:right w:val="none" w:sz="0" w:space="0" w:color="auto"/>
          </w:divBdr>
          <w:divsChild>
            <w:div w:id="1941060644">
              <w:marLeft w:val="0"/>
              <w:marRight w:val="0"/>
              <w:marTop w:val="0"/>
              <w:marBottom w:val="0"/>
              <w:divBdr>
                <w:top w:val="none" w:sz="0" w:space="0" w:color="auto"/>
                <w:left w:val="none" w:sz="0" w:space="0" w:color="auto"/>
                <w:bottom w:val="none" w:sz="0" w:space="0" w:color="auto"/>
                <w:right w:val="none" w:sz="0" w:space="0" w:color="auto"/>
              </w:divBdr>
            </w:div>
          </w:divsChild>
        </w:div>
        <w:div w:id="1274288386">
          <w:marLeft w:val="0"/>
          <w:marRight w:val="0"/>
          <w:marTop w:val="0"/>
          <w:marBottom w:val="0"/>
          <w:divBdr>
            <w:top w:val="none" w:sz="0" w:space="0" w:color="auto"/>
            <w:left w:val="none" w:sz="0" w:space="0" w:color="auto"/>
            <w:bottom w:val="none" w:sz="0" w:space="0" w:color="auto"/>
            <w:right w:val="none" w:sz="0" w:space="0" w:color="auto"/>
          </w:divBdr>
          <w:divsChild>
            <w:div w:id="1380669294">
              <w:marLeft w:val="0"/>
              <w:marRight w:val="0"/>
              <w:marTop w:val="0"/>
              <w:marBottom w:val="0"/>
              <w:divBdr>
                <w:top w:val="none" w:sz="0" w:space="0" w:color="auto"/>
                <w:left w:val="none" w:sz="0" w:space="0" w:color="auto"/>
                <w:bottom w:val="none" w:sz="0" w:space="0" w:color="auto"/>
                <w:right w:val="none" w:sz="0" w:space="0" w:color="auto"/>
              </w:divBdr>
            </w:div>
          </w:divsChild>
        </w:div>
        <w:div w:id="1294362156">
          <w:marLeft w:val="0"/>
          <w:marRight w:val="0"/>
          <w:marTop w:val="0"/>
          <w:marBottom w:val="0"/>
          <w:divBdr>
            <w:top w:val="none" w:sz="0" w:space="0" w:color="auto"/>
            <w:left w:val="none" w:sz="0" w:space="0" w:color="auto"/>
            <w:bottom w:val="none" w:sz="0" w:space="0" w:color="auto"/>
            <w:right w:val="none" w:sz="0" w:space="0" w:color="auto"/>
          </w:divBdr>
          <w:divsChild>
            <w:div w:id="1053849824">
              <w:marLeft w:val="0"/>
              <w:marRight w:val="0"/>
              <w:marTop w:val="0"/>
              <w:marBottom w:val="0"/>
              <w:divBdr>
                <w:top w:val="none" w:sz="0" w:space="0" w:color="auto"/>
                <w:left w:val="none" w:sz="0" w:space="0" w:color="auto"/>
                <w:bottom w:val="none" w:sz="0" w:space="0" w:color="auto"/>
                <w:right w:val="none" w:sz="0" w:space="0" w:color="auto"/>
              </w:divBdr>
            </w:div>
          </w:divsChild>
        </w:div>
        <w:div w:id="1362853392">
          <w:marLeft w:val="0"/>
          <w:marRight w:val="0"/>
          <w:marTop w:val="0"/>
          <w:marBottom w:val="0"/>
          <w:divBdr>
            <w:top w:val="none" w:sz="0" w:space="0" w:color="auto"/>
            <w:left w:val="none" w:sz="0" w:space="0" w:color="auto"/>
            <w:bottom w:val="none" w:sz="0" w:space="0" w:color="auto"/>
            <w:right w:val="none" w:sz="0" w:space="0" w:color="auto"/>
          </w:divBdr>
          <w:divsChild>
            <w:div w:id="1539514406">
              <w:marLeft w:val="0"/>
              <w:marRight w:val="0"/>
              <w:marTop w:val="0"/>
              <w:marBottom w:val="0"/>
              <w:divBdr>
                <w:top w:val="none" w:sz="0" w:space="0" w:color="auto"/>
                <w:left w:val="none" w:sz="0" w:space="0" w:color="auto"/>
                <w:bottom w:val="none" w:sz="0" w:space="0" w:color="auto"/>
                <w:right w:val="none" w:sz="0" w:space="0" w:color="auto"/>
              </w:divBdr>
            </w:div>
          </w:divsChild>
        </w:div>
        <w:div w:id="1382241622">
          <w:marLeft w:val="0"/>
          <w:marRight w:val="0"/>
          <w:marTop w:val="0"/>
          <w:marBottom w:val="0"/>
          <w:divBdr>
            <w:top w:val="none" w:sz="0" w:space="0" w:color="auto"/>
            <w:left w:val="none" w:sz="0" w:space="0" w:color="auto"/>
            <w:bottom w:val="none" w:sz="0" w:space="0" w:color="auto"/>
            <w:right w:val="none" w:sz="0" w:space="0" w:color="auto"/>
          </w:divBdr>
          <w:divsChild>
            <w:div w:id="226110566">
              <w:marLeft w:val="0"/>
              <w:marRight w:val="0"/>
              <w:marTop w:val="0"/>
              <w:marBottom w:val="0"/>
              <w:divBdr>
                <w:top w:val="none" w:sz="0" w:space="0" w:color="auto"/>
                <w:left w:val="none" w:sz="0" w:space="0" w:color="auto"/>
                <w:bottom w:val="none" w:sz="0" w:space="0" w:color="auto"/>
                <w:right w:val="none" w:sz="0" w:space="0" w:color="auto"/>
              </w:divBdr>
            </w:div>
          </w:divsChild>
        </w:div>
        <w:div w:id="1382707801">
          <w:marLeft w:val="0"/>
          <w:marRight w:val="0"/>
          <w:marTop w:val="0"/>
          <w:marBottom w:val="0"/>
          <w:divBdr>
            <w:top w:val="none" w:sz="0" w:space="0" w:color="auto"/>
            <w:left w:val="none" w:sz="0" w:space="0" w:color="auto"/>
            <w:bottom w:val="none" w:sz="0" w:space="0" w:color="auto"/>
            <w:right w:val="none" w:sz="0" w:space="0" w:color="auto"/>
          </w:divBdr>
          <w:divsChild>
            <w:div w:id="919602308">
              <w:marLeft w:val="0"/>
              <w:marRight w:val="0"/>
              <w:marTop w:val="0"/>
              <w:marBottom w:val="0"/>
              <w:divBdr>
                <w:top w:val="none" w:sz="0" w:space="0" w:color="auto"/>
                <w:left w:val="none" w:sz="0" w:space="0" w:color="auto"/>
                <w:bottom w:val="none" w:sz="0" w:space="0" w:color="auto"/>
                <w:right w:val="none" w:sz="0" w:space="0" w:color="auto"/>
              </w:divBdr>
            </w:div>
          </w:divsChild>
        </w:div>
        <w:div w:id="1402098710">
          <w:marLeft w:val="0"/>
          <w:marRight w:val="0"/>
          <w:marTop w:val="0"/>
          <w:marBottom w:val="0"/>
          <w:divBdr>
            <w:top w:val="none" w:sz="0" w:space="0" w:color="auto"/>
            <w:left w:val="none" w:sz="0" w:space="0" w:color="auto"/>
            <w:bottom w:val="none" w:sz="0" w:space="0" w:color="auto"/>
            <w:right w:val="none" w:sz="0" w:space="0" w:color="auto"/>
          </w:divBdr>
          <w:divsChild>
            <w:div w:id="1419252169">
              <w:marLeft w:val="0"/>
              <w:marRight w:val="0"/>
              <w:marTop w:val="0"/>
              <w:marBottom w:val="0"/>
              <w:divBdr>
                <w:top w:val="none" w:sz="0" w:space="0" w:color="auto"/>
                <w:left w:val="none" w:sz="0" w:space="0" w:color="auto"/>
                <w:bottom w:val="none" w:sz="0" w:space="0" w:color="auto"/>
                <w:right w:val="none" w:sz="0" w:space="0" w:color="auto"/>
              </w:divBdr>
            </w:div>
          </w:divsChild>
        </w:div>
        <w:div w:id="1470241169">
          <w:marLeft w:val="0"/>
          <w:marRight w:val="0"/>
          <w:marTop w:val="0"/>
          <w:marBottom w:val="0"/>
          <w:divBdr>
            <w:top w:val="none" w:sz="0" w:space="0" w:color="auto"/>
            <w:left w:val="none" w:sz="0" w:space="0" w:color="auto"/>
            <w:bottom w:val="none" w:sz="0" w:space="0" w:color="auto"/>
            <w:right w:val="none" w:sz="0" w:space="0" w:color="auto"/>
          </w:divBdr>
          <w:divsChild>
            <w:div w:id="1092512804">
              <w:marLeft w:val="0"/>
              <w:marRight w:val="0"/>
              <w:marTop w:val="0"/>
              <w:marBottom w:val="0"/>
              <w:divBdr>
                <w:top w:val="none" w:sz="0" w:space="0" w:color="auto"/>
                <w:left w:val="none" w:sz="0" w:space="0" w:color="auto"/>
                <w:bottom w:val="none" w:sz="0" w:space="0" w:color="auto"/>
                <w:right w:val="none" w:sz="0" w:space="0" w:color="auto"/>
              </w:divBdr>
            </w:div>
          </w:divsChild>
        </w:div>
        <w:div w:id="1477840393">
          <w:marLeft w:val="0"/>
          <w:marRight w:val="0"/>
          <w:marTop w:val="0"/>
          <w:marBottom w:val="0"/>
          <w:divBdr>
            <w:top w:val="none" w:sz="0" w:space="0" w:color="auto"/>
            <w:left w:val="none" w:sz="0" w:space="0" w:color="auto"/>
            <w:bottom w:val="none" w:sz="0" w:space="0" w:color="auto"/>
            <w:right w:val="none" w:sz="0" w:space="0" w:color="auto"/>
          </w:divBdr>
          <w:divsChild>
            <w:div w:id="753550643">
              <w:marLeft w:val="0"/>
              <w:marRight w:val="0"/>
              <w:marTop w:val="0"/>
              <w:marBottom w:val="0"/>
              <w:divBdr>
                <w:top w:val="none" w:sz="0" w:space="0" w:color="auto"/>
                <w:left w:val="none" w:sz="0" w:space="0" w:color="auto"/>
                <w:bottom w:val="none" w:sz="0" w:space="0" w:color="auto"/>
                <w:right w:val="none" w:sz="0" w:space="0" w:color="auto"/>
              </w:divBdr>
            </w:div>
          </w:divsChild>
        </w:div>
        <w:div w:id="1505975738">
          <w:marLeft w:val="0"/>
          <w:marRight w:val="0"/>
          <w:marTop w:val="0"/>
          <w:marBottom w:val="0"/>
          <w:divBdr>
            <w:top w:val="none" w:sz="0" w:space="0" w:color="auto"/>
            <w:left w:val="none" w:sz="0" w:space="0" w:color="auto"/>
            <w:bottom w:val="none" w:sz="0" w:space="0" w:color="auto"/>
            <w:right w:val="none" w:sz="0" w:space="0" w:color="auto"/>
          </w:divBdr>
          <w:divsChild>
            <w:div w:id="457452249">
              <w:marLeft w:val="0"/>
              <w:marRight w:val="0"/>
              <w:marTop w:val="0"/>
              <w:marBottom w:val="0"/>
              <w:divBdr>
                <w:top w:val="none" w:sz="0" w:space="0" w:color="auto"/>
                <w:left w:val="none" w:sz="0" w:space="0" w:color="auto"/>
                <w:bottom w:val="none" w:sz="0" w:space="0" w:color="auto"/>
                <w:right w:val="none" w:sz="0" w:space="0" w:color="auto"/>
              </w:divBdr>
            </w:div>
          </w:divsChild>
        </w:div>
        <w:div w:id="1527675097">
          <w:marLeft w:val="0"/>
          <w:marRight w:val="0"/>
          <w:marTop w:val="0"/>
          <w:marBottom w:val="0"/>
          <w:divBdr>
            <w:top w:val="none" w:sz="0" w:space="0" w:color="auto"/>
            <w:left w:val="none" w:sz="0" w:space="0" w:color="auto"/>
            <w:bottom w:val="none" w:sz="0" w:space="0" w:color="auto"/>
            <w:right w:val="none" w:sz="0" w:space="0" w:color="auto"/>
          </w:divBdr>
          <w:divsChild>
            <w:div w:id="2048985598">
              <w:marLeft w:val="0"/>
              <w:marRight w:val="0"/>
              <w:marTop w:val="0"/>
              <w:marBottom w:val="0"/>
              <w:divBdr>
                <w:top w:val="none" w:sz="0" w:space="0" w:color="auto"/>
                <w:left w:val="none" w:sz="0" w:space="0" w:color="auto"/>
                <w:bottom w:val="none" w:sz="0" w:space="0" w:color="auto"/>
                <w:right w:val="none" w:sz="0" w:space="0" w:color="auto"/>
              </w:divBdr>
            </w:div>
          </w:divsChild>
        </w:div>
        <w:div w:id="1543133421">
          <w:marLeft w:val="0"/>
          <w:marRight w:val="0"/>
          <w:marTop w:val="0"/>
          <w:marBottom w:val="0"/>
          <w:divBdr>
            <w:top w:val="none" w:sz="0" w:space="0" w:color="auto"/>
            <w:left w:val="none" w:sz="0" w:space="0" w:color="auto"/>
            <w:bottom w:val="none" w:sz="0" w:space="0" w:color="auto"/>
            <w:right w:val="none" w:sz="0" w:space="0" w:color="auto"/>
          </w:divBdr>
          <w:divsChild>
            <w:div w:id="602883783">
              <w:marLeft w:val="0"/>
              <w:marRight w:val="0"/>
              <w:marTop w:val="0"/>
              <w:marBottom w:val="0"/>
              <w:divBdr>
                <w:top w:val="none" w:sz="0" w:space="0" w:color="auto"/>
                <w:left w:val="none" w:sz="0" w:space="0" w:color="auto"/>
                <w:bottom w:val="none" w:sz="0" w:space="0" w:color="auto"/>
                <w:right w:val="none" w:sz="0" w:space="0" w:color="auto"/>
              </w:divBdr>
            </w:div>
          </w:divsChild>
        </w:div>
        <w:div w:id="1567376559">
          <w:marLeft w:val="0"/>
          <w:marRight w:val="0"/>
          <w:marTop w:val="0"/>
          <w:marBottom w:val="0"/>
          <w:divBdr>
            <w:top w:val="none" w:sz="0" w:space="0" w:color="auto"/>
            <w:left w:val="none" w:sz="0" w:space="0" w:color="auto"/>
            <w:bottom w:val="none" w:sz="0" w:space="0" w:color="auto"/>
            <w:right w:val="none" w:sz="0" w:space="0" w:color="auto"/>
          </w:divBdr>
          <w:divsChild>
            <w:div w:id="1376345781">
              <w:marLeft w:val="0"/>
              <w:marRight w:val="0"/>
              <w:marTop w:val="0"/>
              <w:marBottom w:val="0"/>
              <w:divBdr>
                <w:top w:val="none" w:sz="0" w:space="0" w:color="auto"/>
                <w:left w:val="none" w:sz="0" w:space="0" w:color="auto"/>
                <w:bottom w:val="none" w:sz="0" w:space="0" w:color="auto"/>
                <w:right w:val="none" w:sz="0" w:space="0" w:color="auto"/>
              </w:divBdr>
            </w:div>
          </w:divsChild>
        </w:div>
        <w:div w:id="1578520076">
          <w:marLeft w:val="0"/>
          <w:marRight w:val="0"/>
          <w:marTop w:val="0"/>
          <w:marBottom w:val="0"/>
          <w:divBdr>
            <w:top w:val="none" w:sz="0" w:space="0" w:color="auto"/>
            <w:left w:val="none" w:sz="0" w:space="0" w:color="auto"/>
            <w:bottom w:val="none" w:sz="0" w:space="0" w:color="auto"/>
            <w:right w:val="none" w:sz="0" w:space="0" w:color="auto"/>
          </w:divBdr>
          <w:divsChild>
            <w:div w:id="684552719">
              <w:marLeft w:val="0"/>
              <w:marRight w:val="0"/>
              <w:marTop w:val="0"/>
              <w:marBottom w:val="0"/>
              <w:divBdr>
                <w:top w:val="none" w:sz="0" w:space="0" w:color="auto"/>
                <w:left w:val="none" w:sz="0" w:space="0" w:color="auto"/>
                <w:bottom w:val="none" w:sz="0" w:space="0" w:color="auto"/>
                <w:right w:val="none" w:sz="0" w:space="0" w:color="auto"/>
              </w:divBdr>
            </w:div>
          </w:divsChild>
        </w:div>
        <w:div w:id="1587811985">
          <w:marLeft w:val="0"/>
          <w:marRight w:val="0"/>
          <w:marTop w:val="0"/>
          <w:marBottom w:val="0"/>
          <w:divBdr>
            <w:top w:val="none" w:sz="0" w:space="0" w:color="auto"/>
            <w:left w:val="none" w:sz="0" w:space="0" w:color="auto"/>
            <w:bottom w:val="none" w:sz="0" w:space="0" w:color="auto"/>
            <w:right w:val="none" w:sz="0" w:space="0" w:color="auto"/>
          </w:divBdr>
          <w:divsChild>
            <w:div w:id="909580042">
              <w:marLeft w:val="0"/>
              <w:marRight w:val="0"/>
              <w:marTop w:val="0"/>
              <w:marBottom w:val="0"/>
              <w:divBdr>
                <w:top w:val="none" w:sz="0" w:space="0" w:color="auto"/>
                <w:left w:val="none" w:sz="0" w:space="0" w:color="auto"/>
                <w:bottom w:val="none" w:sz="0" w:space="0" w:color="auto"/>
                <w:right w:val="none" w:sz="0" w:space="0" w:color="auto"/>
              </w:divBdr>
            </w:div>
          </w:divsChild>
        </w:div>
        <w:div w:id="1601909890">
          <w:marLeft w:val="0"/>
          <w:marRight w:val="0"/>
          <w:marTop w:val="0"/>
          <w:marBottom w:val="0"/>
          <w:divBdr>
            <w:top w:val="none" w:sz="0" w:space="0" w:color="auto"/>
            <w:left w:val="none" w:sz="0" w:space="0" w:color="auto"/>
            <w:bottom w:val="none" w:sz="0" w:space="0" w:color="auto"/>
            <w:right w:val="none" w:sz="0" w:space="0" w:color="auto"/>
          </w:divBdr>
          <w:divsChild>
            <w:div w:id="1098599051">
              <w:marLeft w:val="0"/>
              <w:marRight w:val="0"/>
              <w:marTop w:val="0"/>
              <w:marBottom w:val="0"/>
              <w:divBdr>
                <w:top w:val="none" w:sz="0" w:space="0" w:color="auto"/>
                <w:left w:val="none" w:sz="0" w:space="0" w:color="auto"/>
                <w:bottom w:val="none" w:sz="0" w:space="0" w:color="auto"/>
                <w:right w:val="none" w:sz="0" w:space="0" w:color="auto"/>
              </w:divBdr>
            </w:div>
          </w:divsChild>
        </w:div>
        <w:div w:id="1615596319">
          <w:marLeft w:val="0"/>
          <w:marRight w:val="0"/>
          <w:marTop w:val="0"/>
          <w:marBottom w:val="0"/>
          <w:divBdr>
            <w:top w:val="none" w:sz="0" w:space="0" w:color="auto"/>
            <w:left w:val="none" w:sz="0" w:space="0" w:color="auto"/>
            <w:bottom w:val="none" w:sz="0" w:space="0" w:color="auto"/>
            <w:right w:val="none" w:sz="0" w:space="0" w:color="auto"/>
          </w:divBdr>
          <w:divsChild>
            <w:div w:id="2039961211">
              <w:marLeft w:val="0"/>
              <w:marRight w:val="0"/>
              <w:marTop w:val="0"/>
              <w:marBottom w:val="0"/>
              <w:divBdr>
                <w:top w:val="none" w:sz="0" w:space="0" w:color="auto"/>
                <w:left w:val="none" w:sz="0" w:space="0" w:color="auto"/>
                <w:bottom w:val="none" w:sz="0" w:space="0" w:color="auto"/>
                <w:right w:val="none" w:sz="0" w:space="0" w:color="auto"/>
              </w:divBdr>
            </w:div>
          </w:divsChild>
        </w:div>
        <w:div w:id="1634948598">
          <w:marLeft w:val="0"/>
          <w:marRight w:val="0"/>
          <w:marTop w:val="0"/>
          <w:marBottom w:val="0"/>
          <w:divBdr>
            <w:top w:val="none" w:sz="0" w:space="0" w:color="auto"/>
            <w:left w:val="none" w:sz="0" w:space="0" w:color="auto"/>
            <w:bottom w:val="none" w:sz="0" w:space="0" w:color="auto"/>
            <w:right w:val="none" w:sz="0" w:space="0" w:color="auto"/>
          </w:divBdr>
          <w:divsChild>
            <w:div w:id="43870605">
              <w:marLeft w:val="0"/>
              <w:marRight w:val="0"/>
              <w:marTop w:val="0"/>
              <w:marBottom w:val="0"/>
              <w:divBdr>
                <w:top w:val="none" w:sz="0" w:space="0" w:color="auto"/>
                <w:left w:val="none" w:sz="0" w:space="0" w:color="auto"/>
                <w:bottom w:val="none" w:sz="0" w:space="0" w:color="auto"/>
                <w:right w:val="none" w:sz="0" w:space="0" w:color="auto"/>
              </w:divBdr>
            </w:div>
            <w:div w:id="116074235">
              <w:marLeft w:val="0"/>
              <w:marRight w:val="0"/>
              <w:marTop w:val="0"/>
              <w:marBottom w:val="0"/>
              <w:divBdr>
                <w:top w:val="none" w:sz="0" w:space="0" w:color="auto"/>
                <w:left w:val="none" w:sz="0" w:space="0" w:color="auto"/>
                <w:bottom w:val="none" w:sz="0" w:space="0" w:color="auto"/>
                <w:right w:val="none" w:sz="0" w:space="0" w:color="auto"/>
              </w:divBdr>
            </w:div>
            <w:div w:id="1214077838">
              <w:marLeft w:val="0"/>
              <w:marRight w:val="0"/>
              <w:marTop w:val="0"/>
              <w:marBottom w:val="0"/>
              <w:divBdr>
                <w:top w:val="none" w:sz="0" w:space="0" w:color="auto"/>
                <w:left w:val="none" w:sz="0" w:space="0" w:color="auto"/>
                <w:bottom w:val="none" w:sz="0" w:space="0" w:color="auto"/>
                <w:right w:val="none" w:sz="0" w:space="0" w:color="auto"/>
              </w:divBdr>
            </w:div>
            <w:div w:id="1804886805">
              <w:marLeft w:val="0"/>
              <w:marRight w:val="0"/>
              <w:marTop w:val="0"/>
              <w:marBottom w:val="0"/>
              <w:divBdr>
                <w:top w:val="none" w:sz="0" w:space="0" w:color="auto"/>
                <w:left w:val="none" w:sz="0" w:space="0" w:color="auto"/>
                <w:bottom w:val="none" w:sz="0" w:space="0" w:color="auto"/>
                <w:right w:val="none" w:sz="0" w:space="0" w:color="auto"/>
              </w:divBdr>
            </w:div>
          </w:divsChild>
        </w:div>
        <w:div w:id="1672026574">
          <w:marLeft w:val="0"/>
          <w:marRight w:val="0"/>
          <w:marTop w:val="0"/>
          <w:marBottom w:val="0"/>
          <w:divBdr>
            <w:top w:val="none" w:sz="0" w:space="0" w:color="auto"/>
            <w:left w:val="none" w:sz="0" w:space="0" w:color="auto"/>
            <w:bottom w:val="none" w:sz="0" w:space="0" w:color="auto"/>
            <w:right w:val="none" w:sz="0" w:space="0" w:color="auto"/>
          </w:divBdr>
          <w:divsChild>
            <w:div w:id="846746145">
              <w:marLeft w:val="0"/>
              <w:marRight w:val="0"/>
              <w:marTop w:val="0"/>
              <w:marBottom w:val="0"/>
              <w:divBdr>
                <w:top w:val="none" w:sz="0" w:space="0" w:color="auto"/>
                <w:left w:val="none" w:sz="0" w:space="0" w:color="auto"/>
                <w:bottom w:val="none" w:sz="0" w:space="0" w:color="auto"/>
                <w:right w:val="none" w:sz="0" w:space="0" w:color="auto"/>
              </w:divBdr>
            </w:div>
          </w:divsChild>
        </w:div>
        <w:div w:id="1719665747">
          <w:marLeft w:val="0"/>
          <w:marRight w:val="0"/>
          <w:marTop w:val="0"/>
          <w:marBottom w:val="0"/>
          <w:divBdr>
            <w:top w:val="none" w:sz="0" w:space="0" w:color="auto"/>
            <w:left w:val="none" w:sz="0" w:space="0" w:color="auto"/>
            <w:bottom w:val="none" w:sz="0" w:space="0" w:color="auto"/>
            <w:right w:val="none" w:sz="0" w:space="0" w:color="auto"/>
          </w:divBdr>
          <w:divsChild>
            <w:div w:id="1297292532">
              <w:marLeft w:val="0"/>
              <w:marRight w:val="0"/>
              <w:marTop w:val="0"/>
              <w:marBottom w:val="0"/>
              <w:divBdr>
                <w:top w:val="none" w:sz="0" w:space="0" w:color="auto"/>
                <w:left w:val="none" w:sz="0" w:space="0" w:color="auto"/>
                <w:bottom w:val="none" w:sz="0" w:space="0" w:color="auto"/>
                <w:right w:val="none" w:sz="0" w:space="0" w:color="auto"/>
              </w:divBdr>
            </w:div>
            <w:div w:id="1356421819">
              <w:marLeft w:val="0"/>
              <w:marRight w:val="0"/>
              <w:marTop w:val="0"/>
              <w:marBottom w:val="0"/>
              <w:divBdr>
                <w:top w:val="none" w:sz="0" w:space="0" w:color="auto"/>
                <w:left w:val="none" w:sz="0" w:space="0" w:color="auto"/>
                <w:bottom w:val="none" w:sz="0" w:space="0" w:color="auto"/>
                <w:right w:val="none" w:sz="0" w:space="0" w:color="auto"/>
              </w:divBdr>
            </w:div>
            <w:div w:id="1612014090">
              <w:marLeft w:val="0"/>
              <w:marRight w:val="0"/>
              <w:marTop w:val="0"/>
              <w:marBottom w:val="0"/>
              <w:divBdr>
                <w:top w:val="none" w:sz="0" w:space="0" w:color="auto"/>
                <w:left w:val="none" w:sz="0" w:space="0" w:color="auto"/>
                <w:bottom w:val="none" w:sz="0" w:space="0" w:color="auto"/>
                <w:right w:val="none" w:sz="0" w:space="0" w:color="auto"/>
              </w:divBdr>
            </w:div>
            <w:div w:id="1816070734">
              <w:marLeft w:val="0"/>
              <w:marRight w:val="0"/>
              <w:marTop w:val="0"/>
              <w:marBottom w:val="0"/>
              <w:divBdr>
                <w:top w:val="none" w:sz="0" w:space="0" w:color="auto"/>
                <w:left w:val="none" w:sz="0" w:space="0" w:color="auto"/>
                <w:bottom w:val="none" w:sz="0" w:space="0" w:color="auto"/>
                <w:right w:val="none" w:sz="0" w:space="0" w:color="auto"/>
              </w:divBdr>
            </w:div>
          </w:divsChild>
        </w:div>
        <w:div w:id="1774126410">
          <w:marLeft w:val="0"/>
          <w:marRight w:val="0"/>
          <w:marTop w:val="0"/>
          <w:marBottom w:val="0"/>
          <w:divBdr>
            <w:top w:val="none" w:sz="0" w:space="0" w:color="auto"/>
            <w:left w:val="none" w:sz="0" w:space="0" w:color="auto"/>
            <w:bottom w:val="none" w:sz="0" w:space="0" w:color="auto"/>
            <w:right w:val="none" w:sz="0" w:space="0" w:color="auto"/>
          </w:divBdr>
          <w:divsChild>
            <w:div w:id="2143767013">
              <w:marLeft w:val="0"/>
              <w:marRight w:val="0"/>
              <w:marTop w:val="0"/>
              <w:marBottom w:val="0"/>
              <w:divBdr>
                <w:top w:val="none" w:sz="0" w:space="0" w:color="auto"/>
                <w:left w:val="none" w:sz="0" w:space="0" w:color="auto"/>
                <w:bottom w:val="none" w:sz="0" w:space="0" w:color="auto"/>
                <w:right w:val="none" w:sz="0" w:space="0" w:color="auto"/>
              </w:divBdr>
            </w:div>
          </w:divsChild>
        </w:div>
        <w:div w:id="1843814429">
          <w:marLeft w:val="0"/>
          <w:marRight w:val="0"/>
          <w:marTop w:val="0"/>
          <w:marBottom w:val="0"/>
          <w:divBdr>
            <w:top w:val="none" w:sz="0" w:space="0" w:color="auto"/>
            <w:left w:val="none" w:sz="0" w:space="0" w:color="auto"/>
            <w:bottom w:val="none" w:sz="0" w:space="0" w:color="auto"/>
            <w:right w:val="none" w:sz="0" w:space="0" w:color="auto"/>
          </w:divBdr>
          <w:divsChild>
            <w:div w:id="1845436965">
              <w:marLeft w:val="0"/>
              <w:marRight w:val="0"/>
              <w:marTop w:val="0"/>
              <w:marBottom w:val="0"/>
              <w:divBdr>
                <w:top w:val="none" w:sz="0" w:space="0" w:color="auto"/>
                <w:left w:val="none" w:sz="0" w:space="0" w:color="auto"/>
                <w:bottom w:val="none" w:sz="0" w:space="0" w:color="auto"/>
                <w:right w:val="none" w:sz="0" w:space="0" w:color="auto"/>
              </w:divBdr>
            </w:div>
          </w:divsChild>
        </w:div>
        <w:div w:id="1893033905">
          <w:marLeft w:val="0"/>
          <w:marRight w:val="0"/>
          <w:marTop w:val="0"/>
          <w:marBottom w:val="0"/>
          <w:divBdr>
            <w:top w:val="none" w:sz="0" w:space="0" w:color="auto"/>
            <w:left w:val="none" w:sz="0" w:space="0" w:color="auto"/>
            <w:bottom w:val="none" w:sz="0" w:space="0" w:color="auto"/>
            <w:right w:val="none" w:sz="0" w:space="0" w:color="auto"/>
          </w:divBdr>
          <w:divsChild>
            <w:div w:id="1163202764">
              <w:marLeft w:val="0"/>
              <w:marRight w:val="0"/>
              <w:marTop w:val="0"/>
              <w:marBottom w:val="0"/>
              <w:divBdr>
                <w:top w:val="none" w:sz="0" w:space="0" w:color="auto"/>
                <w:left w:val="none" w:sz="0" w:space="0" w:color="auto"/>
                <w:bottom w:val="none" w:sz="0" w:space="0" w:color="auto"/>
                <w:right w:val="none" w:sz="0" w:space="0" w:color="auto"/>
              </w:divBdr>
            </w:div>
            <w:div w:id="1759253617">
              <w:marLeft w:val="0"/>
              <w:marRight w:val="0"/>
              <w:marTop w:val="0"/>
              <w:marBottom w:val="0"/>
              <w:divBdr>
                <w:top w:val="none" w:sz="0" w:space="0" w:color="auto"/>
                <w:left w:val="none" w:sz="0" w:space="0" w:color="auto"/>
                <w:bottom w:val="none" w:sz="0" w:space="0" w:color="auto"/>
                <w:right w:val="none" w:sz="0" w:space="0" w:color="auto"/>
              </w:divBdr>
            </w:div>
          </w:divsChild>
        </w:div>
        <w:div w:id="1903128336">
          <w:marLeft w:val="0"/>
          <w:marRight w:val="0"/>
          <w:marTop w:val="0"/>
          <w:marBottom w:val="0"/>
          <w:divBdr>
            <w:top w:val="none" w:sz="0" w:space="0" w:color="auto"/>
            <w:left w:val="none" w:sz="0" w:space="0" w:color="auto"/>
            <w:bottom w:val="none" w:sz="0" w:space="0" w:color="auto"/>
            <w:right w:val="none" w:sz="0" w:space="0" w:color="auto"/>
          </w:divBdr>
          <w:divsChild>
            <w:div w:id="350838653">
              <w:marLeft w:val="0"/>
              <w:marRight w:val="0"/>
              <w:marTop w:val="0"/>
              <w:marBottom w:val="0"/>
              <w:divBdr>
                <w:top w:val="none" w:sz="0" w:space="0" w:color="auto"/>
                <w:left w:val="none" w:sz="0" w:space="0" w:color="auto"/>
                <w:bottom w:val="none" w:sz="0" w:space="0" w:color="auto"/>
                <w:right w:val="none" w:sz="0" w:space="0" w:color="auto"/>
              </w:divBdr>
            </w:div>
          </w:divsChild>
        </w:div>
        <w:div w:id="1929149327">
          <w:marLeft w:val="0"/>
          <w:marRight w:val="0"/>
          <w:marTop w:val="0"/>
          <w:marBottom w:val="0"/>
          <w:divBdr>
            <w:top w:val="none" w:sz="0" w:space="0" w:color="auto"/>
            <w:left w:val="none" w:sz="0" w:space="0" w:color="auto"/>
            <w:bottom w:val="none" w:sz="0" w:space="0" w:color="auto"/>
            <w:right w:val="none" w:sz="0" w:space="0" w:color="auto"/>
          </w:divBdr>
          <w:divsChild>
            <w:div w:id="1598245195">
              <w:marLeft w:val="0"/>
              <w:marRight w:val="0"/>
              <w:marTop w:val="0"/>
              <w:marBottom w:val="0"/>
              <w:divBdr>
                <w:top w:val="none" w:sz="0" w:space="0" w:color="auto"/>
                <w:left w:val="none" w:sz="0" w:space="0" w:color="auto"/>
                <w:bottom w:val="none" w:sz="0" w:space="0" w:color="auto"/>
                <w:right w:val="none" w:sz="0" w:space="0" w:color="auto"/>
              </w:divBdr>
            </w:div>
          </w:divsChild>
        </w:div>
        <w:div w:id="1946646969">
          <w:marLeft w:val="0"/>
          <w:marRight w:val="0"/>
          <w:marTop w:val="0"/>
          <w:marBottom w:val="0"/>
          <w:divBdr>
            <w:top w:val="none" w:sz="0" w:space="0" w:color="auto"/>
            <w:left w:val="none" w:sz="0" w:space="0" w:color="auto"/>
            <w:bottom w:val="none" w:sz="0" w:space="0" w:color="auto"/>
            <w:right w:val="none" w:sz="0" w:space="0" w:color="auto"/>
          </w:divBdr>
          <w:divsChild>
            <w:div w:id="1093819992">
              <w:marLeft w:val="0"/>
              <w:marRight w:val="0"/>
              <w:marTop w:val="0"/>
              <w:marBottom w:val="0"/>
              <w:divBdr>
                <w:top w:val="none" w:sz="0" w:space="0" w:color="auto"/>
                <w:left w:val="none" w:sz="0" w:space="0" w:color="auto"/>
                <w:bottom w:val="none" w:sz="0" w:space="0" w:color="auto"/>
                <w:right w:val="none" w:sz="0" w:space="0" w:color="auto"/>
              </w:divBdr>
            </w:div>
          </w:divsChild>
        </w:div>
        <w:div w:id="1962296269">
          <w:marLeft w:val="0"/>
          <w:marRight w:val="0"/>
          <w:marTop w:val="0"/>
          <w:marBottom w:val="0"/>
          <w:divBdr>
            <w:top w:val="none" w:sz="0" w:space="0" w:color="auto"/>
            <w:left w:val="none" w:sz="0" w:space="0" w:color="auto"/>
            <w:bottom w:val="none" w:sz="0" w:space="0" w:color="auto"/>
            <w:right w:val="none" w:sz="0" w:space="0" w:color="auto"/>
          </w:divBdr>
          <w:divsChild>
            <w:div w:id="359282865">
              <w:marLeft w:val="0"/>
              <w:marRight w:val="0"/>
              <w:marTop w:val="0"/>
              <w:marBottom w:val="0"/>
              <w:divBdr>
                <w:top w:val="none" w:sz="0" w:space="0" w:color="auto"/>
                <w:left w:val="none" w:sz="0" w:space="0" w:color="auto"/>
                <w:bottom w:val="none" w:sz="0" w:space="0" w:color="auto"/>
                <w:right w:val="none" w:sz="0" w:space="0" w:color="auto"/>
              </w:divBdr>
            </w:div>
          </w:divsChild>
        </w:div>
        <w:div w:id="1965228810">
          <w:marLeft w:val="0"/>
          <w:marRight w:val="0"/>
          <w:marTop w:val="0"/>
          <w:marBottom w:val="0"/>
          <w:divBdr>
            <w:top w:val="none" w:sz="0" w:space="0" w:color="auto"/>
            <w:left w:val="none" w:sz="0" w:space="0" w:color="auto"/>
            <w:bottom w:val="none" w:sz="0" w:space="0" w:color="auto"/>
            <w:right w:val="none" w:sz="0" w:space="0" w:color="auto"/>
          </w:divBdr>
          <w:divsChild>
            <w:div w:id="612250287">
              <w:marLeft w:val="0"/>
              <w:marRight w:val="0"/>
              <w:marTop w:val="0"/>
              <w:marBottom w:val="0"/>
              <w:divBdr>
                <w:top w:val="none" w:sz="0" w:space="0" w:color="auto"/>
                <w:left w:val="none" w:sz="0" w:space="0" w:color="auto"/>
                <w:bottom w:val="none" w:sz="0" w:space="0" w:color="auto"/>
                <w:right w:val="none" w:sz="0" w:space="0" w:color="auto"/>
              </w:divBdr>
            </w:div>
          </w:divsChild>
        </w:div>
        <w:div w:id="2044212486">
          <w:marLeft w:val="0"/>
          <w:marRight w:val="0"/>
          <w:marTop w:val="0"/>
          <w:marBottom w:val="0"/>
          <w:divBdr>
            <w:top w:val="none" w:sz="0" w:space="0" w:color="auto"/>
            <w:left w:val="none" w:sz="0" w:space="0" w:color="auto"/>
            <w:bottom w:val="none" w:sz="0" w:space="0" w:color="auto"/>
            <w:right w:val="none" w:sz="0" w:space="0" w:color="auto"/>
          </w:divBdr>
          <w:divsChild>
            <w:div w:id="1750423871">
              <w:marLeft w:val="0"/>
              <w:marRight w:val="0"/>
              <w:marTop w:val="0"/>
              <w:marBottom w:val="0"/>
              <w:divBdr>
                <w:top w:val="none" w:sz="0" w:space="0" w:color="auto"/>
                <w:left w:val="none" w:sz="0" w:space="0" w:color="auto"/>
                <w:bottom w:val="none" w:sz="0" w:space="0" w:color="auto"/>
                <w:right w:val="none" w:sz="0" w:space="0" w:color="auto"/>
              </w:divBdr>
            </w:div>
          </w:divsChild>
        </w:div>
        <w:div w:id="2051569679">
          <w:marLeft w:val="0"/>
          <w:marRight w:val="0"/>
          <w:marTop w:val="0"/>
          <w:marBottom w:val="0"/>
          <w:divBdr>
            <w:top w:val="none" w:sz="0" w:space="0" w:color="auto"/>
            <w:left w:val="none" w:sz="0" w:space="0" w:color="auto"/>
            <w:bottom w:val="none" w:sz="0" w:space="0" w:color="auto"/>
            <w:right w:val="none" w:sz="0" w:space="0" w:color="auto"/>
          </w:divBdr>
          <w:divsChild>
            <w:div w:id="1964342394">
              <w:marLeft w:val="0"/>
              <w:marRight w:val="0"/>
              <w:marTop w:val="0"/>
              <w:marBottom w:val="0"/>
              <w:divBdr>
                <w:top w:val="none" w:sz="0" w:space="0" w:color="auto"/>
                <w:left w:val="none" w:sz="0" w:space="0" w:color="auto"/>
                <w:bottom w:val="none" w:sz="0" w:space="0" w:color="auto"/>
                <w:right w:val="none" w:sz="0" w:space="0" w:color="auto"/>
              </w:divBdr>
            </w:div>
          </w:divsChild>
        </w:div>
        <w:div w:id="2058385818">
          <w:marLeft w:val="0"/>
          <w:marRight w:val="0"/>
          <w:marTop w:val="0"/>
          <w:marBottom w:val="0"/>
          <w:divBdr>
            <w:top w:val="none" w:sz="0" w:space="0" w:color="auto"/>
            <w:left w:val="none" w:sz="0" w:space="0" w:color="auto"/>
            <w:bottom w:val="none" w:sz="0" w:space="0" w:color="auto"/>
            <w:right w:val="none" w:sz="0" w:space="0" w:color="auto"/>
          </w:divBdr>
          <w:divsChild>
            <w:div w:id="1194463446">
              <w:marLeft w:val="0"/>
              <w:marRight w:val="0"/>
              <w:marTop w:val="0"/>
              <w:marBottom w:val="0"/>
              <w:divBdr>
                <w:top w:val="none" w:sz="0" w:space="0" w:color="auto"/>
                <w:left w:val="none" w:sz="0" w:space="0" w:color="auto"/>
                <w:bottom w:val="none" w:sz="0" w:space="0" w:color="auto"/>
                <w:right w:val="none" w:sz="0" w:space="0" w:color="auto"/>
              </w:divBdr>
            </w:div>
          </w:divsChild>
        </w:div>
        <w:div w:id="2078431904">
          <w:marLeft w:val="0"/>
          <w:marRight w:val="0"/>
          <w:marTop w:val="0"/>
          <w:marBottom w:val="0"/>
          <w:divBdr>
            <w:top w:val="none" w:sz="0" w:space="0" w:color="auto"/>
            <w:left w:val="none" w:sz="0" w:space="0" w:color="auto"/>
            <w:bottom w:val="none" w:sz="0" w:space="0" w:color="auto"/>
            <w:right w:val="none" w:sz="0" w:space="0" w:color="auto"/>
          </w:divBdr>
          <w:divsChild>
            <w:div w:id="2015918272">
              <w:marLeft w:val="0"/>
              <w:marRight w:val="0"/>
              <w:marTop w:val="0"/>
              <w:marBottom w:val="0"/>
              <w:divBdr>
                <w:top w:val="none" w:sz="0" w:space="0" w:color="auto"/>
                <w:left w:val="none" w:sz="0" w:space="0" w:color="auto"/>
                <w:bottom w:val="none" w:sz="0" w:space="0" w:color="auto"/>
                <w:right w:val="none" w:sz="0" w:space="0" w:color="auto"/>
              </w:divBdr>
            </w:div>
          </w:divsChild>
        </w:div>
        <w:div w:id="2099130750">
          <w:marLeft w:val="0"/>
          <w:marRight w:val="0"/>
          <w:marTop w:val="0"/>
          <w:marBottom w:val="0"/>
          <w:divBdr>
            <w:top w:val="none" w:sz="0" w:space="0" w:color="auto"/>
            <w:left w:val="none" w:sz="0" w:space="0" w:color="auto"/>
            <w:bottom w:val="none" w:sz="0" w:space="0" w:color="auto"/>
            <w:right w:val="none" w:sz="0" w:space="0" w:color="auto"/>
          </w:divBdr>
          <w:divsChild>
            <w:div w:id="1682124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130303">
      <w:bodyDiv w:val="1"/>
      <w:marLeft w:val="0"/>
      <w:marRight w:val="0"/>
      <w:marTop w:val="0"/>
      <w:marBottom w:val="0"/>
      <w:divBdr>
        <w:top w:val="none" w:sz="0" w:space="0" w:color="auto"/>
        <w:left w:val="none" w:sz="0" w:space="0" w:color="auto"/>
        <w:bottom w:val="none" w:sz="0" w:space="0" w:color="auto"/>
        <w:right w:val="none" w:sz="0" w:space="0" w:color="auto"/>
      </w:divBdr>
    </w:div>
    <w:div w:id="1393387377">
      <w:bodyDiv w:val="1"/>
      <w:marLeft w:val="0"/>
      <w:marRight w:val="0"/>
      <w:marTop w:val="0"/>
      <w:marBottom w:val="0"/>
      <w:divBdr>
        <w:top w:val="none" w:sz="0" w:space="0" w:color="auto"/>
        <w:left w:val="none" w:sz="0" w:space="0" w:color="auto"/>
        <w:bottom w:val="none" w:sz="0" w:space="0" w:color="auto"/>
        <w:right w:val="none" w:sz="0" w:space="0" w:color="auto"/>
      </w:divBdr>
      <w:divsChild>
        <w:div w:id="2514115">
          <w:marLeft w:val="0"/>
          <w:marRight w:val="0"/>
          <w:marTop w:val="0"/>
          <w:marBottom w:val="0"/>
          <w:divBdr>
            <w:top w:val="none" w:sz="0" w:space="0" w:color="auto"/>
            <w:left w:val="none" w:sz="0" w:space="0" w:color="auto"/>
            <w:bottom w:val="none" w:sz="0" w:space="0" w:color="auto"/>
            <w:right w:val="none" w:sz="0" w:space="0" w:color="auto"/>
          </w:divBdr>
          <w:divsChild>
            <w:div w:id="331764444">
              <w:marLeft w:val="0"/>
              <w:marRight w:val="0"/>
              <w:marTop w:val="0"/>
              <w:marBottom w:val="0"/>
              <w:divBdr>
                <w:top w:val="none" w:sz="0" w:space="0" w:color="auto"/>
                <w:left w:val="none" w:sz="0" w:space="0" w:color="auto"/>
                <w:bottom w:val="none" w:sz="0" w:space="0" w:color="auto"/>
                <w:right w:val="none" w:sz="0" w:space="0" w:color="auto"/>
              </w:divBdr>
            </w:div>
            <w:div w:id="1426658168">
              <w:marLeft w:val="0"/>
              <w:marRight w:val="0"/>
              <w:marTop w:val="0"/>
              <w:marBottom w:val="0"/>
              <w:divBdr>
                <w:top w:val="none" w:sz="0" w:space="0" w:color="auto"/>
                <w:left w:val="none" w:sz="0" w:space="0" w:color="auto"/>
                <w:bottom w:val="none" w:sz="0" w:space="0" w:color="auto"/>
                <w:right w:val="none" w:sz="0" w:space="0" w:color="auto"/>
              </w:divBdr>
            </w:div>
            <w:div w:id="1463108631">
              <w:marLeft w:val="0"/>
              <w:marRight w:val="0"/>
              <w:marTop w:val="0"/>
              <w:marBottom w:val="0"/>
              <w:divBdr>
                <w:top w:val="none" w:sz="0" w:space="0" w:color="auto"/>
                <w:left w:val="none" w:sz="0" w:space="0" w:color="auto"/>
                <w:bottom w:val="none" w:sz="0" w:space="0" w:color="auto"/>
                <w:right w:val="none" w:sz="0" w:space="0" w:color="auto"/>
              </w:divBdr>
            </w:div>
          </w:divsChild>
        </w:div>
        <w:div w:id="7484462">
          <w:marLeft w:val="0"/>
          <w:marRight w:val="0"/>
          <w:marTop w:val="0"/>
          <w:marBottom w:val="0"/>
          <w:divBdr>
            <w:top w:val="none" w:sz="0" w:space="0" w:color="auto"/>
            <w:left w:val="none" w:sz="0" w:space="0" w:color="auto"/>
            <w:bottom w:val="none" w:sz="0" w:space="0" w:color="auto"/>
            <w:right w:val="none" w:sz="0" w:space="0" w:color="auto"/>
          </w:divBdr>
          <w:divsChild>
            <w:div w:id="180509255">
              <w:marLeft w:val="0"/>
              <w:marRight w:val="0"/>
              <w:marTop w:val="0"/>
              <w:marBottom w:val="0"/>
              <w:divBdr>
                <w:top w:val="none" w:sz="0" w:space="0" w:color="auto"/>
                <w:left w:val="none" w:sz="0" w:space="0" w:color="auto"/>
                <w:bottom w:val="none" w:sz="0" w:space="0" w:color="auto"/>
                <w:right w:val="none" w:sz="0" w:space="0" w:color="auto"/>
              </w:divBdr>
            </w:div>
          </w:divsChild>
        </w:div>
        <w:div w:id="11808591">
          <w:marLeft w:val="0"/>
          <w:marRight w:val="0"/>
          <w:marTop w:val="0"/>
          <w:marBottom w:val="0"/>
          <w:divBdr>
            <w:top w:val="none" w:sz="0" w:space="0" w:color="auto"/>
            <w:left w:val="none" w:sz="0" w:space="0" w:color="auto"/>
            <w:bottom w:val="none" w:sz="0" w:space="0" w:color="auto"/>
            <w:right w:val="none" w:sz="0" w:space="0" w:color="auto"/>
          </w:divBdr>
          <w:divsChild>
            <w:div w:id="1169171712">
              <w:marLeft w:val="0"/>
              <w:marRight w:val="0"/>
              <w:marTop w:val="0"/>
              <w:marBottom w:val="0"/>
              <w:divBdr>
                <w:top w:val="none" w:sz="0" w:space="0" w:color="auto"/>
                <w:left w:val="none" w:sz="0" w:space="0" w:color="auto"/>
                <w:bottom w:val="none" w:sz="0" w:space="0" w:color="auto"/>
                <w:right w:val="none" w:sz="0" w:space="0" w:color="auto"/>
              </w:divBdr>
            </w:div>
          </w:divsChild>
        </w:div>
        <w:div w:id="12804457">
          <w:marLeft w:val="0"/>
          <w:marRight w:val="0"/>
          <w:marTop w:val="0"/>
          <w:marBottom w:val="0"/>
          <w:divBdr>
            <w:top w:val="none" w:sz="0" w:space="0" w:color="auto"/>
            <w:left w:val="none" w:sz="0" w:space="0" w:color="auto"/>
            <w:bottom w:val="none" w:sz="0" w:space="0" w:color="auto"/>
            <w:right w:val="none" w:sz="0" w:space="0" w:color="auto"/>
          </w:divBdr>
          <w:divsChild>
            <w:div w:id="2128156844">
              <w:marLeft w:val="0"/>
              <w:marRight w:val="0"/>
              <w:marTop w:val="0"/>
              <w:marBottom w:val="0"/>
              <w:divBdr>
                <w:top w:val="none" w:sz="0" w:space="0" w:color="auto"/>
                <w:left w:val="none" w:sz="0" w:space="0" w:color="auto"/>
                <w:bottom w:val="none" w:sz="0" w:space="0" w:color="auto"/>
                <w:right w:val="none" w:sz="0" w:space="0" w:color="auto"/>
              </w:divBdr>
            </w:div>
          </w:divsChild>
        </w:div>
        <w:div w:id="13381626">
          <w:marLeft w:val="0"/>
          <w:marRight w:val="0"/>
          <w:marTop w:val="0"/>
          <w:marBottom w:val="0"/>
          <w:divBdr>
            <w:top w:val="none" w:sz="0" w:space="0" w:color="auto"/>
            <w:left w:val="none" w:sz="0" w:space="0" w:color="auto"/>
            <w:bottom w:val="none" w:sz="0" w:space="0" w:color="auto"/>
            <w:right w:val="none" w:sz="0" w:space="0" w:color="auto"/>
          </w:divBdr>
          <w:divsChild>
            <w:div w:id="1584296534">
              <w:marLeft w:val="0"/>
              <w:marRight w:val="0"/>
              <w:marTop w:val="0"/>
              <w:marBottom w:val="0"/>
              <w:divBdr>
                <w:top w:val="none" w:sz="0" w:space="0" w:color="auto"/>
                <w:left w:val="none" w:sz="0" w:space="0" w:color="auto"/>
                <w:bottom w:val="none" w:sz="0" w:space="0" w:color="auto"/>
                <w:right w:val="none" w:sz="0" w:space="0" w:color="auto"/>
              </w:divBdr>
            </w:div>
          </w:divsChild>
        </w:div>
        <w:div w:id="21325042">
          <w:marLeft w:val="0"/>
          <w:marRight w:val="0"/>
          <w:marTop w:val="0"/>
          <w:marBottom w:val="0"/>
          <w:divBdr>
            <w:top w:val="none" w:sz="0" w:space="0" w:color="auto"/>
            <w:left w:val="none" w:sz="0" w:space="0" w:color="auto"/>
            <w:bottom w:val="none" w:sz="0" w:space="0" w:color="auto"/>
            <w:right w:val="none" w:sz="0" w:space="0" w:color="auto"/>
          </w:divBdr>
          <w:divsChild>
            <w:div w:id="820390638">
              <w:marLeft w:val="0"/>
              <w:marRight w:val="0"/>
              <w:marTop w:val="0"/>
              <w:marBottom w:val="0"/>
              <w:divBdr>
                <w:top w:val="none" w:sz="0" w:space="0" w:color="auto"/>
                <w:left w:val="none" w:sz="0" w:space="0" w:color="auto"/>
                <w:bottom w:val="none" w:sz="0" w:space="0" w:color="auto"/>
                <w:right w:val="none" w:sz="0" w:space="0" w:color="auto"/>
              </w:divBdr>
            </w:div>
          </w:divsChild>
        </w:div>
        <w:div w:id="22678926">
          <w:marLeft w:val="0"/>
          <w:marRight w:val="0"/>
          <w:marTop w:val="0"/>
          <w:marBottom w:val="0"/>
          <w:divBdr>
            <w:top w:val="none" w:sz="0" w:space="0" w:color="auto"/>
            <w:left w:val="none" w:sz="0" w:space="0" w:color="auto"/>
            <w:bottom w:val="none" w:sz="0" w:space="0" w:color="auto"/>
            <w:right w:val="none" w:sz="0" w:space="0" w:color="auto"/>
          </w:divBdr>
          <w:divsChild>
            <w:div w:id="513228914">
              <w:marLeft w:val="0"/>
              <w:marRight w:val="0"/>
              <w:marTop w:val="0"/>
              <w:marBottom w:val="0"/>
              <w:divBdr>
                <w:top w:val="none" w:sz="0" w:space="0" w:color="auto"/>
                <w:left w:val="none" w:sz="0" w:space="0" w:color="auto"/>
                <w:bottom w:val="none" w:sz="0" w:space="0" w:color="auto"/>
                <w:right w:val="none" w:sz="0" w:space="0" w:color="auto"/>
              </w:divBdr>
            </w:div>
            <w:div w:id="815024274">
              <w:marLeft w:val="0"/>
              <w:marRight w:val="0"/>
              <w:marTop w:val="0"/>
              <w:marBottom w:val="0"/>
              <w:divBdr>
                <w:top w:val="none" w:sz="0" w:space="0" w:color="auto"/>
                <w:left w:val="none" w:sz="0" w:space="0" w:color="auto"/>
                <w:bottom w:val="none" w:sz="0" w:space="0" w:color="auto"/>
                <w:right w:val="none" w:sz="0" w:space="0" w:color="auto"/>
              </w:divBdr>
            </w:div>
          </w:divsChild>
        </w:div>
        <w:div w:id="28796435">
          <w:marLeft w:val="0"/>
          <w:marRight w:val="0"/>
          <w:marTop w:val="0"/>
          <w:marBottom w:val="0"/>
          <w:divBdr>
            <w:top w:val="none" w:sz="0" w:space="0" w:color="auto"/>
            <w:left w:val="none" w:sz="0" w:space="0" w:color="auto"/>
            <w:bottom w:val="none" w:sz="0" w:space="0" w:color="auto"/>
            <w:right w:val="none" w:sz="0" w:space="0" w:color="auto"/>
          </w:divBdr>
          <w:divsChild>
            <w:div w:id="1132409893">
              <w:marLeft w:val="0"/>
              <w:marRight w:val="0"/>
              <w:marTop w:val="0"/>
              <w:marBottom w:val="0"/>
              <w:divBdr>
                <w:top w:val="none" w:sz="0" w:space="0" w:color="auto"/>
                <w:left w:val="none" w:sz="0" w:space="0" w:color="auto"/>
                <w:bottom w:val="none" w:sz="0" w:space="0" w:color="auto"/>
                <w:right w:val="none" w:sz="0" w:space="0" w:color="auto"/>
              </w:divBdr>
            </w:div>
            <w:div w:id="1224414739">
              <w:marLeft w:val="0"/>
              <w:marRight w:val="0"/>
              <w:marTop w:val="0"/>
              <w:marBottom w:val="0"/>
              <w:divBdr>
                <w:top w:val="none" w:sz="0" w:space="0" w:color="auto"/>
                <w:left w:val="none" w:sz="0" w:space="0" w:color="auto"/>
                <w:bottom w:val="none" w:sz="0" w:space="0" w:color="auto"/>
                <w:right w:val="none" w:sz="0" w:space="0" w:color="auto"/>
              </w:divBdr>
            </w:div>
            <w:div w:id="1389920137">
              <w:marLeft w:val="0"/>
              <w:marRight w:val="0"/>
              <w:marTop w:val="0"/>
              <w:marBottom w:val="0"/>
              <w:divBdr>
                <w:top w:val="none" w:sz="0" w:space="0" w:color="auto"/>
                <w:left w:val="none" w:sz="0" w:space="0" w:color="auto"/>
                <w:bottom w:val="none" w:sz="0" w:space="0" w:color="auto"/>
                <w:right w:val="none" w:sz="0" w:space="0" w:color="auto"/>
              </w:divBdr>
            </w:div>
            <w:div w:id="1982928149">
              <w:marLeft w:val="0"/>
              <w:marRight w:val="0"/>
              <w:marTop w:val="0"/>
              <w:marBottom w:val="0"/>
              <w:divBdr>
                <w:top w:val="none" w:sz="0" w:space="0" w:color="auto"/>
                <w:left w:val="none" w:sz="0" w:space="0" w:color="auto"/>
                <w:bottom w:val="none" w:sz="0" w:space="0" w:color="auto"/>
                <w:right w:val="none" w:sz="0" w:space="0" w:color="auto"/>
              </w:divBdr>
            </w:div>
          </w:divsChild>
        </w:div>
        <w:div w:id="29647862">
          <w:marLeft w:val="0"/>
          <w:marRight w:val="0"/>
          <w:marTop w:val="0"/>
          <w:marBottom w:val="0"/>
          <w:divBdr>
            <w:top w:val="none" w:sz="0" w:space="0" w:color="auto"/>
            <w:left w:val="none" w:sz="0" w:space="0" w:color="auto"/>
            <w:bottom w:val="none" w:sz="0" w:space="0" w:color="auto"/>
            <w:right w:val="none" w:sz="0" w:space="0" w:color="auto"/>
          </w:divBdr>
          <w:divsChild>
            <w:div w:id="2022051698">
              <w:marLeft w:val="0"/>
              <w:marRight w:val="0"/>
              <w:marTop w:val="0"/>
              <w:marBottom w:val="0"/>
              <w:divBdr>
                <w:top w:val="none" w:sz="0" w:space="0" w:color="auto"/>
                <w:left w:val="none" w:sz="0" w:space="0" w:color="auto"/>
                <w:bottom w:val="none" w:sz="0" w:space="0" w:color="auto"/>
                <w:right w:val="none" w:sz="0" w:space="0" w:color="auto"/>
              </w:divBdr>
            </w:div>
          </w:divsChild>
        </w:div>
        <w:div w:id="34357910">
          <w:marLeft w:val="0"/>
          <w:marRight w:val="0"/>
          <w:marTop w:val="0"/>
          <w:marBottom w:val="0"/>
          <w:divBdr>
            <w:top w:val="none" w:sz="0" w:space="0" w:color="auto"/>
            <w:left w:val="none" w:sz="0" w:space="0" w:color="auto"/>
            <w:bottom w:val="none" w:sz="0" w:space="0" w:color="auto"/>
            <w:right w:val="none" w:sz="0" w:space="0" w:color="auto"/>
          </w:divBdr>
          <w:divsChild>
            <w:div w:id="189103827">
              <w:marLeft w:val="0"/>
              <w:marRight w:val="0"/>
              <w:marTop w:val="0"/>
              <w:marBottom w:val="0"/>
              <w:divBdr>
                <w:top w:val="none" w:sz="0" w:space="0" w:color="auto"/>
                <w:left w:val="none" w:sz="0" w:space="0" w:color="auto"/>
                <w:bottom w:val="none" w:sz="0" w:space="0" w:color="auto"/>
                <w:right w:val="none" w:sz="0" w:space="0" w:color="auto"/>
              </w:divBdr>
            </w:div>
            <w:div w:id="551422433">
              <w:marLeft w:val="0"/>
              <w:marRight w:val="0"/>
              <w:marTop w:val="0"/>
              <w:marBottom w:val="0"/>
              <w:divBdr>
                <w:top w:val="none" w:sz="0" w:space="0" w:color="auto"/>
                <w:left w:val="none" w:sz="0" w:space="0" w:color="auto"/>
                <w:bottom w:val="none" w:sz="0" w:space="0" w:color="auto"/>
                <w:right w:val="none" w:sz="0" w:space="0" w:color="auto"/>
              </w:divBdr>
            </w:div>
            <w:div w:id="2077437102">
              <w:marLeft w:val="0"/>
              <w:marRight w:val="0"/>
              <w:marTop w:val="0"/>
              <w:marBottom w:val="0"/>
              <w:divBdr>
                <w:top w:val="none" w:sz="0" w:space="0" w:color="auto"/>
                <w:left w:val="none" w:sz="0" w:space="0" w:color="auto"/>
                <w:bottom w:val="none" w:sz="0" w:space="0" w:color="auto"/>
                <w:right w:val="none" w:sz="0" w:space="0" w:color="auto"/>
              </w:divBdr>
            </w:div>
          </w:divsChild>
        </w:div>
        <w:div w:id="39978838">
          <w:marLeft w:val="0"/>
          <w:marRight w:val="0"/>
          <w:marTop w:val="0"/>
          <w:marBottom w:val="0"/>
          <w:divBdr>
            <w:top w:val="none" w:sz="0" w:space="0" w:color="auto"/>
            <w:left w:val="none" w:sz="0" w:space="0" w:color="auto"/>
            <w:bottom w:val="none" w:sz="0" w:space="0" w:color="auto"/>
            <w:right w:val="none" w:sz="0" w:space="0" w:color="auto"/>
          </w:divBdr>
          <w:divsChild>
            <w:div w:id="53311764">
              <w:marLeft w:val="0"/>
              <w:marRight w:val="0"/>
              <w:marTop w:val="0"/>
              <w:marBottom w:val="0"/>
              <w:divBdr>
                <w:top w:val="none" w:sz="0" w:space="0" w:color="auto"/>
                <w:left w:val="none" w:sz="0" w:space="0" w:color="auto"/>
                <w:bottom w:val="none" w:sz="0" w:space="0" w:color="auto"/>
                <w:right w:val="none" w:sz="0" w:space="0" w:color="auto"/>
              </w:divBdr>
            </w:div>
            <w:div w:id="93790390">
              <w:marLeft w:val="0"/>
              <w:marRight w:val="0"/>
              <w:marTop w:val="0"/>
              <w:marBottom w:val="0"/>
              <w:divBdr>
                <w:top w:val="none" w:sz="0" w:space="0" w:color="auto"/>
                <w:left w:val="none" w:sz="0" w:space="0" w:color="auto"/>
                <w:bottom w:val="none" w:sz="0" w:space="0" w:color="auto"/>
                <w:right w:val="none" w:sz="0" w:space="0" w:color="auto"/>
              </w:divBdr>
            </w:div>
            <w:div w:id="129712638">
              <w:marLeft w:val="0"/>
              <w:marRight w:val="0"/>
              <w:marTop w:val="0"/>
              <w:marBottom w:val="0"/>
              <w:divBdr>
                <w:top w:val="none" w:sz="0" w:space="0" w:color="auto"/>
                <w:left w:val="none" w:sz="0" w:space="0" w:color="auto"/>
                <w:bottom w:val="none" w:sz="0" w:space="0" w:color="auto"/>
                <w:right w:val="none" w:sz="0" w:space="0" w:color="auto"/>
              </w:divBdr>
            </w:div>
            <w:div w:id="376510133">
              <w:marLeft w:val="0"/>
              <w:marRight w:val="0"/>
              <w:marTop w:val="0"/>
              <w:marBottom w:val="0"/>
              <w:divBdr>
                <w:top w:val="none" w:sz="0" w:space="0" w:color="auto"/>
                <w:left w:val="none" w:sz="0" w:space="0" w:color="auto"/>
                <w:bottom w:val="none" w:sz="0" w:space="0" w:color="auto"/>
                <w:right w:val="none" w:sz="0" w:space="0" w:color="auto"/>
              </w:divBdr>
            </w:div>
            <w:div w:id="763458575">
              <w:marLeft w:val="0"/>
              <w:marRight w:val="0"/>
              <w:marTop w:val="0"/>
              <w:marBottom w:val="0"/>
              <w:divBdr>
                <w:top w:val="none" w:sz="0" w:space="0" w:color="auto"/>
                <w:left w:val="none" w:sz="0" w:space="0" w:color="auto"/>
                <w:bottom w:val="none" w:sz="0" w:space="0" w:color="auto"/>
                <w:right w:val="none" w:sz="0" w:space="0" w:color="auto"/>
              </w:divBdr>
            </w:div>
            <w:div w:id="1269464226">
              <w:marLeft w:val="0"/>
              <w:marRight w:val="0"/>
              <w:marTop w:val="0"/>
              <w:marBottom w:val="0"/>
              <w:divBdr>
                <w:top w:val="none" w:sz="0" w:space="0" w:color="auto"/>
                <w:left w:val="none" w:sz="0" w:space="0" w:color="auto"/>
                <w:bottom w:val="none" w:sz="0" w:space="0" w:color="auto"/>
                <w:right w:val="none" w:sz="0" w:space="0" w:color="auto"/>
              </w:divBdr>
            </w:div>
            <w:div w:id="1514033918">
              <w:marLeft w:val="0"/>
              <w:marRight w:val="0"/>
              <w:marTop w:val="0"/>
              <w:marBottom w:val="0"/>
              <w:divBdr>
                <w:top w:val="none" w:sz="0" w:space="0" w:color="auto"/>
                <w:left w:val="none" w:sz="0" w:space="0" w:color="auto"/>
                <w:bottom w:val="none" w:sz="0" w:space="0" w:color="auto"/>
                <w:right w:val="none" w:sz="0" w:space="0" w:color="auto"/>
              </w:divBdr>
            </w:div>
          </w:divsChild>
        </w:div>
        <w:div w:id="40179265">
          <w:marLeft w:val="0"/>
          <w:marRight w:val="0"/>
          <w:marTop w:val="0"/>
          <w:marBottom w:val="0"/>
          <w:divBdr>
            <w:top w:val="none" w:sz="0" w:space="0" w:color="auto"/>
            <w:left w:val="none" w:sz="0" w:space="0" w:color="auto"/>
            <w:bottom w:val="none" w:sz="0" w:space="0" w:color="auto"/>
            <w:right w:val="none" w:sz="0" w:space="0" w:color="auto"/>
          </w:divBdr>
          <w:divsChild>
            <w:div w:id="2111732251">
              <w:marLeft w:val="0"/>
              <w:marRight w:val="0"/>
              <w:marTop w:val="0"/>
              <w:marBottom w:val="0"/>
              <w:divBdr>
                <w:top w:val="none" w:sz="0" w:space="0" w:color="auto"/>
                <w:left w:val="none" w:sz="0" w:space="0" w:color="auto"/>
                <w:bottom w:val="none" w:sz="0" w:space="0" w:color="auto"/>
                <w:right w:val="none" w:sz="0" w:space="0" w:color="auto"/>
              </w:divBdr>
            </w:div>
          </w:divsChild>
        </w:div>
        <w:div w:id="43068183">
          <w:marLeft w:val="0"/>
          <w:marRight w:val="0"/>
          <w:marTop w:val="0"/>
          <w:marBottom w:val="0"/>
          <w:divBdr>
            <w:top w:val="none" w:sz="0" w:space="0" w:color="auto"/>
            <w:left w:val="none" w:sz="0" w:space="0" w:color="auto"/>
            <w:bottom w:val="none" w:sz="0" w:space="0" w:color="auto"/>
            <w:right w:val="none" w:sz="0" w:space="0" w:color="auto"/>
          </w:divBdr>
          <w:divsChild>
            <w:div w:id="454447889">
              <w:marLeft w:val="0"/>
              <w:marRight w:val="0"/>
              <w:marTop w:val="0"/>
              <w:marBottom w:val="0"/>
              <w:divBdr>
                <w:top w:val="none" w:sz="0" w:space="0" w:color="auto"/>
                <w:left w:val="none" w:sz="0" w:space="0" w:color="auto"/>
                <w:bottom w:val="none" w:sz="0" w:space="0" w:color="auto"/>
                <w:right w:val="none" w:sz="0" w:space="0" w:color="auto"/>
              </w:divBdr>
            </w:div>
            <w:div w:id="1605847809">
              <w:marLeft w:val="0"/>
              <w:marRight w:val="0"/>
              <w:marTop w:val="0"/>
              <w:marBottom w:val="0"/>
              <w:divBdr>
                <w:top w:val="none" w:sz="0" w:space="0" w:color="auto"/>
                <w:left w:val="none" w:sz="0" w:space="0" w:color="auto"/>
                <w:bottom w:val="none" w:sz="0" w:space="0" w:color="auto"/>
                <w:right w:val="none" w:sz="0" w:space="0" w:color="auto"/>
              </w:divBdr>
            </w:div>
            <w:div w:id="1985969812">
              <w:marLeft w:val="0"/>
              <w:marRight w:val="0"/>
              <w:marTop w:val="0"/>
              <w:marBottom w:val="0"/>
              <w:divBdr>
                <w:top w:val="none" w:sz="0" w:space="0" w:color="auto"/>
                <w:left w:val="none" w:sz="0" w:space="0" w:color="auto"/>
                <w:bottom w:val="none" w:sz="0" w:space="0" w:color="auto"/>
                <w:right w:val="none" w:sz="0" w:space="0" w:color="auto"/>
              </w:divBdr>
            </w:div>
          </w:divsChild>
        </w:div>
        <w:div w:id="48503935">
          <w:marLeft w:val="0"/>
          <w:marRight w:val="0"/>
          <w:marTop w:val="0"/>
          <w:marBottom w:val="0"/>
          <w:divBdr>
            <w:top w:val="none" w:sz="0" w:space="0" w:color="auto"/>
            <w:left w:val="none" w:sz="0" w:space="0" w:color="auto"/>
            <w:bottom w:val="none" w:sz="0" w:space="0" w:color="auto"/>
            <w:right w:val="none" w:sz="0" w:space="0" w:color="auto"/>
          </w:divBdr>
          <w:divsChild>
            <w:div w:id="204175492">
              <w:marLeft w:val="0"/>
              <w:marRight w:val="0"/>
              <w:marTop w:val="0"/>
              <w:marBottom w:val="0"/>
              <w:divBdr>
                <w:top w:val="none" w:sz="0" w:space="0" w:color="auto"/>
                <w:left w:val="none" w:sz="0" w:space="0" w:color="auto"/>
                <w:bottom w:val="none" w:sz="0" w:space="0" w:color="auto"/>
                <w:right w:val="none" w:sz="0" w:space="0" w:color="auto"/>
              </w:divBdr>
            </w:div>
          </w:divsChild>
        </w:div>
        <w:div w:id="52773955">
          <w:marLeft w:val="0"/>
          <w:marRight w:val="0"/>
          <w:marTop w:val="0"/>
          <w:marBottom w:val="0"/>
          <w:divBdr>
            <w:top w:val="none" w:sz="0" w:space="0" w:color="auto"/>
            <w:left w:val="none" w:sz="0" w:space="0" w:color="auto"/>
            <w:bottom w:val="none" w:sz="0" w:space="0" w:color="auto"/>
            <w:right w:val="none" w:sz="0" w:space="0" w:color="auto"/>
          </w:divBdr>
          <w:divsChild>
            <w:div w:id="530143847">
              <w:marLeft w:val="0"/>
              <w:marRight w:val="0"/>
              <w:marTop w:val="0"/>
              <w:marBottom w:val="0"/>
              <w:divBdr>
                <w:top w:val="none" w:sz="0" w:space="0" w:color="auto"/>
                <w:left w:val="none" w:sz="0" w:space="0" w:color="auto"/>
                <w:bottom w:val="none" w:sz="0" w:space="0" w:color="auto"/>
                <w:right w:val="none" w:sz="0" w:space="0" w:color="auto"/>
              </w:divBdr>
            </w:div>
            <w:div w:id="852261444">
              <w:marLeft w:val="0"/>
              <w:marRight w:val="0"/>
              <w:marTop w:val="0"/>
              <w:marBottom w:val="0"/>
              <w:divBdr>
                <w:top w:val="none" w:sz="0" w:space="0" w:color="auto"/>
                <w:left w:val="none" w:sz="0" w:space="0" w:color="auto"/>
                <w:bottom w:val="none" w:sz="0" w:space="0" w:color="auto"/>
                <w:right w:val="none" w:sz="0" w:space="0" w:color="auto"/>
              </w:divBdr>
            </w:div>
            <w:div w:id="872156211">
              <w:marLeft w:val="0"/>
              <w:marRight w:val="0"/>
              <w:marTop w:val="0"/>
              <w:marBottom w:val="0"/>
              <w:divBdr>
                <w:top w:val="none" w:sz="0" w:space="0" w:color="auto"/>
                <w:left w:val="none" w:sz="0" w:space="0" w:color="auto"/>
                <w:bottom w:val="none" w:sz="0" w:space="0" w:color="auto"/>
                <w:right w:val="none" w:sz="0" w:space="0" w:color="auto"/>
              </w:divBdr>
            </w:div>
          </w:divsChild>
        </w:div>
        <w:div w:id="53816123">
          <w:marLeft w:val="0"/>
          <w:marRight w:val="0"/>
          <w:marTop w:val="0"/>
          <w:marBottom w:val="0"/>
          <w:divBdr>
            <w:top w:val="none" w:sz="0" w:space="0" w:color="auto"/>
            <w:left w:val="none" w:sz="0" w:space="0" w:color="auto"/>
            <w:bottom w:val="none" w:sz="0" w:space="0" w:color="auto"/>
            <w:right w:val="none" w:sz="0" w:space="0" w:color="auto"/>
          </w:divBdr>
          <w:divsChild>
            <w:div w:id="683095530">
              <w:marLeft w:val="0"/>
              <w:marRight w:val="0"/>
              <w:marTop w:val="0"/>
              <w:marBottom w:val="0"/>
              <w:divBdr>
                <w:top w:val="none" w:sz="0" w:space="0" w:color="auto"/>
                <w:left w:val="none" w:sz="0" w:space="0" w:color="auto"/>
                <w:bottom w:val="none" w:sz="0" w:space="0" w:color="auto"/>
                <w:right w:val="none" w:sz="0" w:space="0" w:color="auto"/>
              </w:divBdr>
            </w:div>
            <w:div w:id="1020743464">
              <w:marLeft w:val="0"/>
              <w:marRight w:val="0"/>
              <w:marTop w:val="0"/>
              <w:marBottom w:val="0"/>
              <w:divBdr>
                <w:top w:val="none" w:sz="0" w:space="0" w:color="auto"/>
                <w:left w:val="none" w:sz="0" w:space="0" w:color="auto"/>
                <w:bottom w:val="none" w:sz="0" w:space="0" w:color="auto"/>
                <w:right w:val="none" w:sz="0" w:space="0" w:color="auto"/>
              </w:divBdr>
            </w:div>
            <w:div w:id="1191647886">
              <w:marLeft w:val="0"/>
              <w:marRight w:val="0"/>
              <w:marTop w:val="0"/>
              <w:marBottom w:val="0"/>
              <w:divBdr>
                <w:top w:val="none" w:sz="0" w:space="0" w:color="auto"/>
                <w:left w:val="none" w:sz="0" w:space="0" w:color="auto"/>
                <w:bottom w:val="none" w:sz="0" w:space="0" w:color="auto"/>
                <w:right w:val="none" w:sz="0" w:space="0" w:color="auto"/>
              </w:divBdr>
            </w:div>
            <w:div w:id="1504739240">
              <w:marLeft w:val="0"/>
              <w:marRight w:val="0"/>
              <w:marTop w:val="0"/>
              <w:marBottom w:val="0"/>
              <w:divBdr>
                <w:top w:val="none" w:sz="0" w:space="0" w:color="auto"/>
                <w:left w:val="none" w:sz="0" w:space="0" w:color="auto"/>
                <w:bottom w:val="none" w:sz="0" w:space="0" w:color="auto"/>
                <w:right w:val="none" w:sz="0" w:space="0" w:color="auto"/>
              </w:divBdr>
            </w:div>
            <w:div w:id="1746682743">
              <w:marLeft w:val="0"/>
              <w:marRight w:val="0"/>
              <w:marTop w:val="0"/>
              <w:marBottom w:val="0"/>
              <w:divBdr>
                <w:top w:val="none" w:sz="0" w:space="0" w:color="auto"/>
                <w:left w:val="none" w:sz="0" w:space="0" w:color="auto"/>
                <w:bottom w:val="none" w:sz="0" w:space="0" w:color="auto"/>
                <w:right w:val="none" w:sz="0" w:space="0" w:color="auto"/>
              </w:divBdr>
            </w:div>
          </w:divsChild>
        </w:div>
        <w:div w:id="58673816">
          <w:marLeft w:val="0"/>
          <w:marRight w:val="0"/>
          <w:marTop w:val="0"/>
          <w:marBottom w:val="0"/>
          <w:divBdr>
            <w:top w:val="none" w:sz="0" w:space="0" w:color="auto"/>
            <w:left w:val="none" w:sz="0" w:space="0" w:color="auto"/>
            <w:bottom w:val="none" w:sz="0" w:space="0" w:color="auto"/>
            <w:right w:val="none" w:sz="0" w:space="0" w:color="auto"/>
          </w:divBdr>
          <w:divsChild>
            <w:div w:id="1200702641">
              <w:marLeft w:val="0"/>
              <w:marRight w:val="0"/>
              <w:marTop w:val="0"/>
              <w:marBottom w:val="0"/>
              <w:divBdr>
                <w:top w:val="none" w:sz="0" w:space="0" w:color="auto"/>
                <w:left w:val="none" w:sz="0" w:space="0" w:color="auto"/>
                <w:bottom w:val="none" w:sz="0" w:space="0" w:color="auto"/>
                <w:right w:val="none" w:sz="0" w:space="0" w:color="auto"/>
              </w:divBdr>
            </w:div>
            <w:div w:id="1271468834">
              <w:marLeft w:val="0"/>
              <w:marRight w:val="0"/>
              <w:marTop w:val="0"/>
              <w:marBottom w:val="0"/>
              <w:divBdr>
                <w:top w:val="none" w:sz="0" w:space="0" w:color="auto"/>
                <w:left w:val="none" w:sz="0" w:space="0" w:color="auto"/>
                <w:bottom w:val="none" w:sz="0" w:space="0" w:color="auto"/>
                <w:right w:val="none" w:sz="0" w:space="0" w:color="auto"/>
              </w:divBdr>
            </w:div>
          </w:divsChild>
        </w:div>
        <w:div w:id="60301174">
          <w:marLeft w:val="0"/>
          <w:marRight w:val="0"/>
          <w:marTop w:val="0"/>
          <w:marBottom w:val="0"/>
          <w:divBdr>
            <w:top w:val="none" w:sz="0" w:space="0" w:color="auto"/>
            <w:left w:val="none" w:sz="0" w:space="0" w:color="auto"/>
            <w:bottom w:val="none" w:sz="0" w:space="0" w:color="auto"/>
            <w:right w:val="none" w:sz="0" w:space="0" w:color="auto"/>
          </w:divBdr>
          <w:divsChild>
            <w:div w:id="1999915146">
              <w:marLeft w:val="0"/>
              <w:marRight w:val="0"/>
              <w:marTop w:val="0"/>
              <w:marBottom w:val="0"/>
              <w:divBdr>
                <w:top w:val="none" w:sz="0" w:space="0" w:color="auto"/>
                <w:left w:val="none" w:sz="0" w:space="0" w:color="auto"/>
                <w:bottom w:val="none" w:sz="0" w:space="0" w:color="auto"/>
                <w:right w:val="none" w:sz="0" w:space="0" w:color="auto"/>
              </w:divBdr>
            </w:div>
          </w:divsChild>
        </w:div>
        <w:div w:id="62219311">
          <w:marLeft w:val="0"/>
          <w:marRight w:val="0"/>
          <w:marTop w:val="0"/>
          <w:marBottom w:val="0"/>
          <w:divBdr>
            <w:top w:val="none" w:sz="0" w:space="0" w:color="auto"/>
            <w:left w:val="none" w:sz="0" w:space="0" w:color="auto"/>
            <w:bottom w:val="none" w:sz="0" w:space="0" w:color="auto"/>
            <w:right w:val="none" w:sz="0" w:space="0" w:color="auto"/>
          </w:divBdr>
          <w:divsChild>
            <w:div w:id="29689066">
              <w:marLeft w:val="0"/>
              <w:marRight w:val="0"/>
              <w:marTop w:val="0"/>
              <w:marBottom w:val="0"/>
              <w:divBdr>
                <w:top w:val="none" w:sz="0" w:space="0" w:color="auto"/>
                <w:left w:val="none" w:sz="0" w:space="0" w:color="auto"/>
                <w:bottom w:val="none" w:sz="0" w:space="0" w:color="auto"/>
                <w:right w:val="none" w:sz="0" w:space="0" w:color="auto"/>
              </w:divBdr>
            </w:div>
            <w:div w:id="1289051870">
              <w:marLeft w:val="0"/>
              <w:marRight w:val="0"/>
              <w:marTop w:val="0"/>
              <w:marBottom w:val="0"/>
              <w:divBdr>
                <w:top w:val="none" w:sz="0" w:space="0" w:color="auto"/>
                <w:left w:val="none" w:sz="0" w:space="0" w:color="auto"/>
                <w:bottom w:val="none" w:sz="0" w:space="0" w:color="auto"/>
                <w:right w:val="none" w:sz="0" w:space="0" w:color="auto"/>
              </w:divBdr>
            </w:div>
          </w:divsChild>
        </w:div>
        <w:div w:id="65809602">
          <w:marLeft w:val="0"/>
          <w:marRight w:val="0"/>
          <w:marTop w:val="0"/>
          <w:marBottom w:val="0"/>
          <w:divBdr>
            <w:top w:val="none" w:sz="0" w:space="0" w:color="auto"/>
            <w:left w:val="none" w:sz="0" w:space="0" w:color="auto"/>
            <w:bottom w:val="none" w:sz="0" w:space="0" w:color="auto"/>
            <w:right w:val="none" w:sz="0" w:space="0" w:color="auto"/>
          </w:divBdr>
          <w:divsChild>
            <w:div w:id="560293415">
              <w:marLeft w:val="0"/>
              <w:marRight w:val="0"/>
              <w:marTop w:val="0"/>
              <w:marBottom w:val="0"/>
              <w:divBdr>
                <w:top w:val="none" w:sz="0" w:space="0" w:color="auto"/>
                <w:left w:val="none" w:sz="0" w:space="0" w:color="auto"/>
                <w:bottom w:val="none" w:sz="0" w:space="0" w:color="auto"/>
                <w:right w:val="none" w:sz="0" w:space="0" w:color="auto"/>
              </w:divBdr>
            </w:div>
            <w:div w:id="1339576773">
              <w:marLeft w:val="0"/>
              <w:marRight w:val="0"/>
              <w:marTop w:val="0"/>
              <w:marBottom w:val="0"/>
              <w:divBdr>
                <w:top w:val="none" w:sz="0" w:space="0" w:color="auto"/>
                <w:left w:val="none" w:sz="0" w:space="0" w:color="auto"/>
                <w:bottom w:val="none" w:sz="0" w:space="0" w:color="auto"/>
                <w:right w:val="none" w:sz="0" w:space="0" w:color="auto"/>
              </w:divBdr>
            </w:div>
          </w:divsChild>
        </w:div>
        <w:div w:id="68582171">
          <w:marLeft w:val="0"/>
          <w:marRight w:val="0"/>
          <w:marTop w:val="0"/>
          <w:marBottom w:val="0"/>
          <w:divBdr>
            <w:top w:val="none" w:sz="0" w:space="0" w:color="auto"/>
            <w:left w:val="none" w:sz="0" w:space="0" w:color="auto"/>
            <w:bottom w:val="none" w:sz="0" w:space="0" w:color="auto"/>
            <w:right w:val="none" w:sz="0" w:space="0" w:color="auto"/>
          </w:divBdr>
          <w:divsChild>
            <w:div w:id="311835503">
              <w:marLeft w:val="0"/>
              <w:marRight w:val="0"/>
              <w:marTop w:val="0"/>
              <w:marBottom w:val="0"/>
              <w:divBdr>
                <w:top w:val="none" w:sz="0" w:space="0" w:color="auto"/>
                <w:left w:val="none" w:sz="0" w:space="0" w:color="auto"/>
                <w:bottom w:val="none" w:sz="0" w:space="0" w:color="auto"/>
                <w:right w:val="none" w:sz="0" w:space="0" w:color="auto"/>
              </w:divBdr>
            </w:div>
            <w:div w:id="413287886">
              <w:marLeft w:val="0"/>
              <w:marRight w:val="0"/>
              <w:marTop w:val="0"/>
              <w:marBottom w:val="0"/>
              <w:divBdr>
                <w:top w:val="none" w:sz="0" w:space="0" w:color="auto"/>
                <w:left w:val="none" w:sz="0" w:space="0" w:color="auto"/>
                <w:bottom w:val="none" w:sz="0" w:space="0" w:color="auto"/>
                <w:right w:val="none" w:sz="0" w:space="0" w:color="auto"/>
              </w:divBdr>
            </w:div>
            <w:div w:id="2132478556">
              <w:marLeft w:val="0"/>
              <w:marRight w:val="0"/>
              <w:marTop w:val="0"/>
              <w:marBottom w:val="0"/>
              <w:divBdr>
                <w:top w:val="none" w:sz="0" w:space="0" w:color="auto"/>
                <w:left w:val="none" w:sz="0" w:space="0" w:color="auto"/>
                <w:bottom w:val="none" w:sz="0" w:space="0" w:color="auto"/>
                <w:right w:val="none" w:sz="0" w:space="0" w:color="auto"/>
              </w:divBdr>
            </w:div>
          </w:divsChild>
        </w:div>
        <w:div w:id="73358126">
          <w:marLeft w:val="0"/>
          <w:marRight w:val="0"/>
          <w:marTop w:val="0"/>
          <w:marBottom w:val="0"/>
          <w:divBdr>
            <w:top w:val="none" w:sz="0" w:space="0" w:color="auto"/>
            <w:left w:val="none" w:sz="0" w:space="0" w:color="auto"/>
            <w:bottom w:val="none" w:sz="0" w:space="0" w:color="auto"/>
            <w:right w:val="none" w:sz="0" w:space="0" w:color="auto"/>
          </w:divBdr>
          <w:divsChild>
            <w:div w:id="1877890604">
              <w:marLeft w:val="0"/>
              <w:marRight w:val="0"/>
              <w:marTop w:val="0"/>
              <w:marBottom w:val="0"/>
              <w:divBdr>
                <w:top w:val="none" w:sz="0" w:space="0" w:color="auto"/>
                <w:left w:val="none" w:sz="0" w:space="0" w:color="auto"/>
                <w:bottom w:val="none" w:sz="0" w:space="0" w:color="auto"/>
                <w:right w:val="none" w:sz="0" w:space="0" w:color="auto"/>
              </w:divBdr>
            </w:div>
          </w:divsChild>
        </w:div>
        <w:div w:id="87313648">
          <w:marLeft w:val="0"/>
          <w:marRight w:val="0"/>
          <w:marTop w:val="0"/>
          <w:marBottom w:val="0"/>
          <w:divBdr>
            <w:top w:val="none" w:sz="0" w:space="0" w:color="auto"/>
            <w:left w:val="none" w:sz="0" w:space="0" w:color="auto"/>
            <w:bottom w:val="none" w:sz="0" w:space="0" w:color="auto"/>
            <w:right w:val="none" w:sz="0" w:space="0" w:color="auto"/>
          </w:divBdr>
          <w:divsChild>
            <w:div w:id="759987345">
              <w:marLeft w:val="0"/>
              <w:marRight w:val="0"/>
              <w:marTop w:val="0"/>
              <w:marBottom w:val="0"/>
              <w:divBdr>
                <w:top w:val="none" w:sz="0" w:space="0" w:color="auto"/>
                <w:left w:val="none" w:sz="0" w:space="0" w:color="auto"/>
                <w:bottom w:val="none" w:sz="0" w:space="0" w:color="auto"/>
                <w:right w:val="none" w:sz="0" w:space="0" w:color="auto"/>
              </w:divBdr>
            </w:div>
            <w:div w:id="2125072915">
              <w:marLeft w:val="0"/>
              <w:marRight w:val="0"/>
              <w:marTop w:val="0"/>
              <w:marBottom w:val="0"/>
              <w:divBdr>
                <w:top w:val="none" w:sz="0" w:space="0" w:color="auto"/>
                <w:left w:val="none" w:sz="0" w:space="0" w:color="auto"/>
                <w:bottom w:val="none" w:sz="0" w:space="0" w:color="auto"/>
                <w:right w:val="none" w:sz="0" w:space="0" w:color="auto"/>
              </w:divBdr>
            </w:div>
          </w:divsChild>
        </w:div>
        <w:div w:id="89392511">
          <w:marLeft w:val="0"/>
          <w:marRight w:val="0"/>
          <w:marTop w:val="0"/>
          <w:marBottom w:val="0"/>
          <w:divBdr>
            <w:top w:val="none" w:sz="0" w:space="0" w:color="auto"/>
            <w:left w:val="none" w:sz="0" w:space="0" w:color="auto"/>
            <w:bottom w:val="none" w:sz="0" w:space="0" w:color="auto"/>
            <w:right w:val="none" w:sz="0" w:space="0" w:color="auto"/>
          </w:divBdr>
          <w:divsChild>
            <w:div w:id="9644725">
              <w:marLeft w:val="0"/>
              <w:marRight w:val="0"/>
              <w:marTop w:val="0"/>
              <w:marBottom w:val="0"/>
              <w:divBdr>
                <w:top w:val="none" w:sz="0" w:space="0" w:color="auto"/>
                <w:left w:val="none" w:sz="0" w:space="0" w:color="auto"/>
                <w:bottom w:val="none" w:sz="0" w:space="0" w:color="auto"/>
                <w:right w:val="none" w:sz="0" w:space="0" w:color="auto"/>
              </w:divBdr>
            </w:div>
            <w:div w:id="362748393">
              <w:marLeft w:val="0"/>
              <w:marRight w:val="0"/>
              <w:marTop w:val="0"/>
              <w:marBottom w:val="0"/>
              <w:divBdr>
                <w:top w:val="none" w:sz="0" w:space="0" w:color="auto"/>
                <w:left w:val="none" w:sz="0" w:space="0" w:color="auto"/>
                <w:bottom w:val="none" w:sz="0" w:space="0" w:color="auto"/>
                <w:right w:val="none" w:sz="0" w:space="0" w:color="auto"/>
              </w:divBdr>
            </w:div>
          </w:divsChild>
        </w:div>
        <w:div w:id="90317211">
          <w:marLeft w:val="0"/>
          <w:marRight w:val="0"/>
          <w:marTop w:val="0"/>
          <w:marBottom w:val="0"/>
          <w:divBdr>
            <w:top w:val="none" w:sz="0" w:space="0" w:color="auto"/>
            <w:left w:val="none" w:sz="0" w:space="0" w:color="auto"/>
            <w:bottom w:val="none" w:sz="0" w:space="0" w:color="auto"/>
            <w:right w:val="none" w:sz="0" w:space="0" w:color="auto"/>
          </w:divBdr>
          <w:divsChild>
            <w:div w:id="761027997">
              <w:marLeft w:val="0"/>
              <w:marRight w:val="0"/>
              <w:marTop w:val="0"/>
              <w:marBottom w:val="0"/>
              <w:divBdr>
                <w:top w:val="none" w:sz="0" w:space="0" w:color="auto"/>
                <w:left w:val="none" w:sz="0" w:space="0" w:color="auto"/>
                <w:bottom w:val="none" w:sz="0" w:space="0" w:color="auto"/>
                <w:right w:val="none" w:sz="0" w:space="0" w:color="auto"/>
              </w:divBdr>
            </w:div>
            <w:div w:id="1879704344">
              <w:marLeft w:val="0"/>
              <w:marRight w:val="0"/>
              <w:marTop w:val="0"/>
              <w:marBottom w:val="0"/>
              <w:divBdr>
                <w:top w:val="none" w:sz="0" w:space="0" w:color="auto"/>
                <w:left w:val="none" w:sz="0" w:space="0" w:color="auto"/>
                <w:bottom w:val="none" w:sz="0" w:space="0" w:color="auto"/>
                <w:right w:val="none" w:sz="0" w:space="0" w:color="auto"/>
              </w:divBdr>
            </w:div>
          </w:divsChild>
        </w:div>
        <w:div w:id="102461201">
          <w:marLeft w:val="0"/>
          <w:marRight w:val="0"/>
          <w:marTop w:val="0"/>
          <w:marBottom w:val="0"/>
          <w:divBdr>
            <w:top w:val="none" w:sz="0" w:space="0" w:color="auto"/>
            <w:left w:val="none" w:sz="0" w:space="0" w:color="auto"/>
            <w:bottom w:val="none" w:sz="0" w:space="0" w:color="auto"/>
            <w:right w:val="none" w:sz="0" w:space="0" w:color="auto"/>
          </w:divBdr>
          <w:divsChild>
            <w:div w:id="278533545">
              <w:marLeft w:val="0"/>
              <w:marRight w:val="0"/>
              <w:marTop w:val="0"/>
              <w:marBottom w:val="0"/>
              <w:divBdr>
                <w:top w:val="none" w:sz="0" w:space="0" w:color="auto"/>
                <w:left w:val="none" w:sz="0" w:space="0" w:color="auto"/>
                <w:bottom w:val="none" w:sz="0" w:space="0" w:color="auto"/>
                <w:right w:val="none" w:sz="0" w:space="0" w:color="auto"/>
              </w:divBdr>
            </w:div>
            <w:div w:id="1424959157">
              <w:marLeft w:val="0"/>
              <w:marRight w:val="0"/>
              <w:marTop w:val="0"/>
              <w:marBottom w:val="0"/>
              <w:divBdr>
                <w:top w:val="none" w:sz="0" w:space="0" w:color="auto"/>
                <w:left w:val="none" w:sz="0" w:space="0" w:color="auto"/>
                <w:bottom w:val="none" w:sz="0" w:space="0" w:color="auto"/>
                <w:right w:val="none" w:sz="0" w:space="0" w:color="auto"/>
              </w:divBdr>
            </w:div>
            <w:div w:id="1886411444">
              <w:marLeft w:val="0"/>
              <w:marRight w:val="0"/>
              <w:marTop w:val="0"/>
              <w:marBottom w:val="0"/>
              <w:divBdr>
                <w:top w:val="none" w:sz="0" w:space="0" w:color="auto"/>
                <w:left w:val="none" w:sz="0" w:space="0" w:color="auto"/>
                <w:bottom w:val="none" w:sz="0" w:space="0" w:color="auto"/>
                <w:right w:val="none" w:sz="0" w:space="0" w:color="auto"/>
              </w:divBdr>
            </w:div>
          </w:divsChild>
        </w:div>
        <w:div w:id="114518511">
          <w:marLeft w:val="0"/>
          <w:marRight w:val="0"/>
          <w:marTop w:val="0"/>
          <w:marBottom w:val="0"/>
          <w:divBdr>
            <w:top w:val="none" w:sz="0" w:space="0" w:color="auto"/>
            <w:left w:val="none" w:sz="0" w:space="0" w:color="auto"/>
            <w:bottom w:val="none" w:sz="0" w:space="0" w:color="auto"/>
            <w:right w:val="none" w:sz="0" w:space="0" w:color="auto"/>
          </w:divBdr>
          <w:divsChild>
            <w:div w:id="273679362">
              <w:marLeft w:val="0"/>
              <w:marRight w:val="0"/>
              <w:marTop w:val="0"/>
              <w:marBottom w:val="0"/>
              <w:divBdr>
                <w:top w:val="none" w:sz="0" w:space="0" w:color="auto"/>
                <w:left w:val="none" w:sz="0" w:space="0" w:color="auto"/>
                <w:bottom w:val="none" w:sz="0" w:space="0" w:color="auto"/>
                <w:right w:val="none" w:sz="0" w:space="0" w:color="auto"/>
              </w:divBdr>
            </w:div>
            <w:div w:id="822239709">
              <w:marLeft w:val="0"/>
              <w:marRight w:val="0"/>
              <w:marTop w:val="0"/>
              <w:marBottom w:val="0"/>
              <w:divBdr>
                <w:top w:val="none" w:sz="0" w:space="0" w:color="auto"/>
                <w:left w:val="none" w:sz="0" w:space="0" w:color="auto"/>
                <w:bottom w:val="none" w:sz="0" w:space="0" w:color="auto"/>
                <w:right w:val="none" w:sz="0" w:space="0" w:color="auto"/>
              </w:divBdr>
            </w:div>
            <w:div w:id="1144195354">
              <w:marLeft w:val="0"/>
              <w:marRight w:val="0"/>
              <w:marTop w:val="0"/>
              <w:marBottom w:val="0"/>
              <w:divBdr>
                <w:top w:val="none" w:sz="0" w:space="0" w:color="auto"/>
                <w:left w:val="none" w:sz="0" w:space="0" w:color="auto"/>
                <w:bottom w:val="none" w:sz="0" w:space="0" w:color="auto"/>
                <w:right w:val="none" w:sz="0" w:space="0" w:color="auto"/>
              </w:divBdr>
            </w:div>
            <w:div w:id="1205220184">
              <w:marLeft w:val="0"/>
              <w:marRight w:val="0"/>
              <w:marTop w:val="0"/>
              <w:marBottom w:val="0"/>
              <w:divBdr>
                <w:top w:val="none" w:sz="0" w:space="0" w:color="auto"/>
                <w:left w:val="none" w:sz="0" w:space="0" w:color="auto"/>
                <w:bottom w:val="none" w:sz="0" w:space="0" w:color="auto"/>
                <w:right w:val="none" w:sz="0" w:space="0" w:color="auto"/>
              </w:divBdr>
            </w:div>
          </w:divsChild>
        </w:div>
        <w:div w:id="119037911">
          <w:marLeft w:val="0"/>
          <w:marRight w:val="0"/>
          <w:marTop w:val="0"/>
          <w:marBottom w:val="0"/>
          <w:divBdr>
            <w:top w:val="none" w:sz="0" w:space="0" w:color="auto"/>
            <w:left w:val="none" w:sz="0" w:space="0" w:color="auto"/>
            <w:bottom w:val="none" w:sz="0" w:space="0" w:color="auto"/>
            <w:right w:val="none" w:sz="0" w:space="0" w:color="auto"/>
          </w:divBdr>
          <w:divsChild>
            <w:div w:id="181238589">
              <w:marLeft w:val="0"/>
              <w:marRight w:val="0"/>
              <w:marTop w:val="0"/>
              <w:marBottom w:val="0"/>
              <w:divBdr>
                <w:top w:val="none" w:sz="0" w:space="0" w:color="auto"/>
                <w:left w:val="none" w:sz="0" w:space="0" w:color="auto"/>
                <w:bottom w:val="none" w:sz="0" w:space="0" w:color="auto"/>
                <w:right w:val="none" w:sz="0" w:space="0" w:color="auto"/>
              </w:divBdr>
            </w:div>
            <w:div w:id="584464208">
              <w:marLeft w:val="0"/>
              <w:marRight w:val="0"/>
              <w:marTop w:val="0"/>
              <w:marBottom w:val="0"/>
              <w:divBdr>
                <w:top w:val="none" w:sz="0" w:space="0" w:color="auto"/>
                <w:left w:val="none" w:sz="0" w:space="0" w:color="auto"/>
                <w:bottom w:val="none" w:sz="0" w:space="0" w:color="auto"/>
                <w:right w:val="none" w:sz="0" w:space="0" w:color="auto"/>
              </w:divBdr>
            </w:div>
          </w:divsChild>
        </w:div>
        <w:div w:id="125436758">
          <w:marLeft w:val="0"/>
          <w:marRight w:val="0"/>
          <w:marTop w:val="0"/>
          <w:marBottom w:val="0"/>
          <w:divBdr>
            <w:top w:val="none" w:sz="0" w:space="0" w:color="auto"/>
            <w:left w:val="none" w:sz="0" w:space="0" w:color="auto"/>
            <w:bottom w:val="none" w:sz="0" w:space="0" w:color="auto"/>
            <w:right w:val="none" w:sz="0" w:space="0" w:color="auto"/>
          </w:divBdr>
          <w:divsChild>
            <w:div w:id="638221779">
              <w:marLeft w:val="0"/>
              <w:marRight w:val="0"/>
              <w:marTop w:val="0"/>
              <w:marBottom w:val="0"/>
              <w:divBdr>
                <w:top w:val="none" w:sz="0" w:space="0" w:color="auto"/>
                <w:left w:val="none" w:sz="0" w:space="0" w:color="auto"/>
                <w:bottom w:val="none" w:sz="0" w:space="0" w:color="auto"/>
                <w:right w:val="none" w:sz="0" w:space="0" w:color="auto"/>
              </w:divBdr>
            </w:div>
            <w:div w:id="878401065">
              <w:marLeft w:val="0"/>
              <w:marRight w:val="0"/>
              <w:marTop w:val="0"/>
              <w:marBottom w:val="0"/>
              <w:divBdr>
                <w:top w:val="none" w:sz="0" w:space="0" w:color="auto"/>
                <w:left w:val="none" w:sz="0" w:space="0" w:color="auto"/>
                <w:bottom w:val="none" w:sz="0" w:space="0" w:color="auto"/>
                <w:right w:val="none" w:sz="0" w:space="0" w:color="auto"/>
              </w:divBdr>
            </w:div>
          </w:divsChild>
        </w:div>
        <w:div w:id="131598473">
          <w:marLeft w:val="0"/>
          <w:marRight w:val="0"/>
          <w:marTop w:val="0"/>
          <w:marBottom w:val="0"/>
          <w:divBdr>
            <w:top w:val="none" w:sz="0" w:space="0" w:color="auto"/>
            <w:left w:val="none" w:sz="0" w:space="0" w:color="auto"/>
            <w:bottom w:val="none" w:sz="0" w:space="0" w:color="auto"/>
            <w:right w:val="none" w:sz="0" w:space="0" w:color="auto"/>
          </w:divBdr>
          <w:divsChild>
            <w:div w:id="256401388">
              <w:marLeft w:val="0"/>
              <w:marRight w:val="0"/>
              <w:marTop w:val="0"/>
              <w:marBottom w:val="0"/>
              <w:divBdr>
                <w:top w:val="none" w:sz="0" w:space="0" w:color="auto"/>
                <w:left w:val="none" w:sz="0" w:space="0" w:color="auto"/>
                <w:bottom w:val="none" w:sz="0" w:space="0" w:color="auto"/>
                <w:right w:val="none" w:sz="0" w:space="0" w:color="auto"/>
              </w:divBdr>
            </w:div>
            <w:div w:id="1736854564">
              <w:marLeft w:val="0"/>
              <w:marRight w:val="0"/>
              <w:marTop w:val="0"/>
              <w:marBottom w:val="0"/>
              <w:divBdr>
                <w:top w:val="none" w:sz="0" w:space="0" w:color="auto"/>
                <w:left w:val="none" w:sz="0" w:space="0" w:color="auto"/>
                <w:bottom w:val="none" w:sz="0" w:space="0" w:color="auto"/>
                <w:right w:val="none" w:sz="0" w:space="0" w:color="auto"/>
              </w:divBdr>
            </w:div>
          </w:divsChild>
        </w:div>
        <w:div w:id="136456874">
          <w:marLeft w:val="0"/>
          <w:marRight w:val="0"/>
          <w:marTop w:val="0"/>
          <w:marBottom w:val="0"/>
          <w:divBdr>
            <w:top w:val="none" w:sz="0" w:space="0" w:color="auto"/>
            <w:left w:val="none" w:sz="0" w:space="0" w:color="auto"/>
            <w:bottom w:val="none" w:sz="0" w:space="0" w:color="auto"/>
            <w:right w:val="none" w:sz="0" w:space="0" w:color="auto"/>
          </w:divBdr>
          <w:divsChild>
            <w:div w:id="945966031">
              <w:marLeft w:val="0"/>
              <w:marRight w:val="0"/>
              <w:marTop w:val="0"/>
              <w:marBottom w:val="0"/>
              <w:divBdr>
                <w:top w:val="none" w:sz="0" w:space="0" w:color="auto"/>
                <w:left w:val="none" w:sz="0" w:space="0" w:color="auto"/>
                <w:bottom w:val="none" w:sz="0" w:space="0" w:color="auto"/>
                <w:right w:val="none" w:sz="0" w:space="0" w:color="auto"/>
              </w:divBdr>
            </w:div>
            <w:div w:id="1368021929">
              <w:marLeft w:val="0"/>
              <w:marRight w:val="0"/>
              <w:marTop w:val="0"/>
              <w:marBottom w:val="0"/>
              <w:divBdr>
                <w:top w:val="none" w:sz="0" w:space="0" w:color="auto"/>
                <w:left w:val="none" w:sz="0" w:space="0" w:color="auto"/>
                <w:bottom w:val="none" w:sz="0" w:space="0" w:color="auto"/>
                <w:right w:val="none" w:sz="0" w:space="0" w:color="auto"/>
              </w:divBdr>
            </w:div>
            <w:div w:id="1830290074">
              <w:marLeft w:val="0"/>
              <w:marRight w:val="0"/>
              <w:marTop w:val="0"/>
              <w:marBottom w:val="0"/>
              <w:divBdr>
                <w:top w:val="none" w:sz="0" w:space="0" w:color="auto"/>
                <w:left w:val="none" w:sz="0" w:space="0" w:color="auto"/>
                <w:bottom w:val="none" w:sz="0" w:space="0" w:color="auto"/>
                <w:right w:val="none" w:sz="0" w:space="0" w:color="auto"/>
              </w:divBdr>
            </w:div>
          </w:divsChild>
        </w:div>
        <w:div w:id="148792009">
          <w:marLeft w:val="0"/>
          <w:marRight w:val="0"/>
          <w:marTop w:val="0"/>
          <w:marBottom w:val="0"/>
          <w:divBdr>
            <w:top w:val="none" w:sz="0" w:space="0" w:color="auto"/>
            <w:left w:val="none" w:sz="0" w:space="0" w:color="auto"/>
            <w:bottom w:val="none" w:sz="0" w:space="0" w:color="auto"/>
            <w:right w:val="none" w:sz="0" w:space="0" w:color="auto"/>
          </w:divBdr>
          <w:divsChild>
            <w:div w:id="1339504300">
              <w:marLeft w:val="0"/>
              <w:marRight w:val="0"/>
              <w:marTop w:val="0"/>
              <w:marBottom w:val="0"/>
              <w:divBdr>
                <w:top w:val="none" w:sz="0" w:space="0" w:color="auto"/>
                <w:left w:val="none" w:sz="0" w:space="0" w:color="auto"/>
                <w:bottom w:val="none" w:sz="0" w:space="0" w:color="auto"/>
                <w:right w:val="none" w:sz="0" w:space="0" w:color="auto"/>
              </w:divBdr>
            </w:div>
          </w:divsChild>
        </w:div>
        <w:div w:id="151147662">
          <w:marLeft w:val="0"/>
          <w:marRight w:val="0"/>
          <w:marTop w:val="0"/>
          <w:marBottom w:val="0"/>
          <w:divBdr>
            <w:top w:val="none" w:sz="0" w:space="0" w:color="auto"/>
            <w:left w:val="none" w:sz="0" w:space="0" w:color="auto"/>
            <w:bottom w:val="none" w:sz="0" w:space="0" w:color="auto"/>
            <w:right w:val="none" w:sz="0" w:space="0" w:color="auto"/>
          </w:divBdr>
          <w:divsChild>
            <w:div w:id="492264081">
              <w:marLeft w:val="0"/>
              <w:marRight w:val="0"/>
              <w:marTop w:val="0"/>
              <w:marBottom w:val="0"/>
              <w:divBdr>
                <w:top w:val="none" w:sz="0" w:space="0" w:color="auto"/>
                <w:left w:val="none" w:sz="0" w:space="0" w:color="auto"/>
                <w:bottom w:val="none" w:sz="0" w:space="0" w:color="auto"/>
                <w:right w:val="none" w:sz="0" w:space="0" w:color="auto"/>
              </w:divBdr>
            </w:div>
            <w:div w:id="1757051566">
              <w:marLeft w:val="0"/>
              <w:marRight w:val="0"/>
              <w:marTop w:val="0"/>
              <w:marBottom w:val="0"/>
              <w:divBdr>
                <w:top w:val="none" w:sz="0" w:space="0" w:color="auto"/>
                <w:left w:val="none" w:sz="0" w:space="0" w:color="auto"/>
                <w:bottom w:val="none" w:sz="0" w:space="0" w:color="auto"/>
                <w:right w:val="none" w:sz="0" w:space="0" w:color="auto"/>
              </w:divBdr>
            </w:div>
          </w:divsChild>
        </w:div>
        <w:div w:id="151458149">
          <w:marLeft w:val="0"/>
          <w:marRight w:val="0"/>
          <w:marTop w:val="0"/>
          <w:marBottom w:val="0"/>
          <w:divBdr>
            <w:top w:val="none" w:sz="0" w:space="0" w:color="auto"/>
            <w:left w:val="none" w:sz="0" w:space="0" w:color="auto"/>
            <w:bottom w:val="none" w:sz="0" w:space="0" w:color="auto"/>
            <w:right w:val="none" w:sz="0" w:space="0" w:color="auto"/>
          </w:divBdr>
          <w:divsChild>
            <w:div w:id="1246454788">
              <w:marLeft w:val="0"/>
              <w:marRight w:val="0"/>
              <w:marTop w:val="0"/>
              <w:marBottom w:val="0"/>
              <w:divBdr>
                <w:top w:val="none" w:sz="0" w:space="0" w:color="auto"/>
                <w:left w:val="none" w:sz="0" w:space="0" w:color="auto"/>
                <w:bottom w:val="none" w:sz="0" w:space="0" w:color="auto"/>
                <w:right w:val="none" w:sz="0" w:space="0" w:color="auto"/>
              </w:divBdr>
            </w:div>
            <w:div w:id="1287128607">
              <w:marLeft w:val="0"/>
              <w:marRight w:val="0"/>
              <w:marTop w:val="0"/>
              <w:marBottom w:val="0"/>
              <w:divBdr>
                <w:top w:val="none" w:sz="0" w:space="0" w:color="auto"/>
                <w:left w:val="none" w:sz="0" w:space="0" w:color="auto"/>
                <w:bottom w:val="none" w:sz="0" w:space="0" w:color="auto"/>
                <w:right w:val="none" w:sz="0" w:space="0" w:color="auto"/>
              </w:divBdr>
            </w:div>
          </w:divsChild>
        </w:div>
        <w:div w:id="164633537">
          <w:marLeft w:val="0"/>
          <w:marRight w:val="0"/>
          <w:marTop w:val="0"/>
          <w:marBottom w:val="0"/>
          <w:divBdr>
            <w:top w:val="none" w:sz="0" w:space="0" w:color="auto"/>
            <w:left w:val="none" w:sz="0" w:space="0" w:color="auto"/>
            <w:bottom w:val="none" w:sz="0" w:space="0" w:color="auto"/>
            <w:right w:val="none" w:sz="0" w:space="0" w:color="auto"/>
          </w:divBdr>
          <w:divsChild>
            <w:div w:id="356780829">
              <w:marLeft w:val="0"/>
              <w:marRight w:val="0"/>
              <w:marTop w:val="0"/>
              <w:marBottom w:val="0"/>
              <w:divBdr>
                <w:top w:val="none" w:sz="0" w:space="0" w:color="auto"/>
                <w:left w:val="none" w:sz="0" w:space="0" w:color="auto"/>
                <w:bottom w:val="none" w:sz="0" w:space="0" w:color="auto"/>
                <w:right w:val="none" w:sz="0" w:space="0" w:color="auto"/>
              </w:divBdr>
            </w:div>
            <w:div w:id="731538176">
              <w:marLeft w:val="0"/>
              <w:marRight w:val="0"/>
              <w:marTop w:val="0"/>
              <w:marBottom w:val="0"/>
              <w:divBdr>
                <w:top w:val="none" w:sz="0" w:space="0" w:color="auto"/>
                <w:left w:val="none" w:sz="0" w:space="0" w:color="auto"/>
                <w:bottom w:val="none" w:sz="0" w:space="0" w:color="auto"/>
                <w:right w:val="none" w:sz="0" w:space="0" w:color="auto"/>
              </w:divBdr>
            </w:div>
            <w:div w:id="1522009676">
              <w:marLeft w:val="0"/>
              <w:marRight w:val="0"/>
              <w:marTop w:val="0"/>
              <w:marBottom w:val="0"/>
              <w:divBdr>
                <w:top w:val="none" w:sz="0" w:space="0" w:color="auto"/>
                <w:left w:val="none" w:sz="0" w:space="0" w:color="auto"/>
                <w:bottom w:val="none" w:sz="0" w:space="0" w:color="auto"/>
                <w:right w:val="none" w:sz="0" w:space="0" w:color="auto"/>
              </w:divBdr>
            </w:div>
          </w:divsChild>
        </w:div>
        <w:div w:id="170223705">
          <w:marLeft w:val="0"/>
          <w:marRight w:val="0"/>
          <w:marTop w:val="0"/>
          <w:marBottom w:val="0"/>
          <w:divBdr>
            <w:top w:val="none" w:sz="0" w:space="0" w:color="auto"/>
            <w:left w:val="none" w:sz="0" w:space="0" w:color="auto"/>
            <w:bottom w:val="none" w:sz="0" w:space="0" w:color="auto"/>
            <w:right w:val="none" w:sz="0" w:space="0" w:color="auto"/>
          </w:divBdr>
          <w:divsChild>
            <w:div w:id="740904582">
              <w:marLeft w:val="0"/>
              <w:marRight w:val="0"/>
              <w:marTop w:val="0"/>
              <w:marBottom w:val="0"/>
              <w:divBdr>
                <w:top w:val="none" w:sz="0" w:space="0" w:color="auto"/>
                <w:left w:val="none" w:sz="0" w:space="0" w:color="auto"/>
                <w:bottom w:val="none" w:sz="0" w:space="0" w:color="auto"/>
                <w:right w:val="none" w:sz="0" w:space="0" w:color="auto"/>
              </w:divBdr>
            </w:div>
          </w:divsChild>
        </w:div>
        <w:div w:id="170609416">
          <w:marLeft w:val="0"/>
          <w:marRight w:val="0"/>
          <w:marTop w:val="0"/>
          <w:marBottom w:val="0"/>
          <w:divBdr>
            <w:top w:val="none" w:sz="0" w:space="0" w:color="auto"/>
            <w:left w:val="none" w:sz="0" w:space="0" w:color="auto"/>
            <w:bottom w:val="none" w:sz="0" w:space="0" w:color="auto"/>
            <w:right w:val="none" w:sz="0" w:space="0" w:color="auto"/>
          </w:divBdr>
          <w:divsChild>
            <w:div w:id="992874584">
              <w:marLeft w:val="0"/>
              <w:marRight w:val="0"/>
              <w:marTop w:val="0"/>
              <w:marBottom w:val="0"/>
              <w:divBdr>
                <w:top w:val="none" w:sz="0" w:space="0" w:color="auto"/>
                <w:left w:val="none" w:sz="0" w:space="0" w:color="auto"/>
                <w:bottom w:val="none" w:sz="0" w:space="0" w:color="auto"/>
                <w:right w:val="none" w:sz="0" w:space="0" w:color="auto"/>
              </w:divBdr>
            </w:div>
            <w:div w:id="1085759099">
              <w:marLeft w:val="0"/>
              <w:marRight w:val="0"/>
              <w:marTop w:val="0"/>
              <w:marBottom w:val="0"/>
              <w:divBdr>
                <w:top w:val="none" w:sz="0" w:space="0" w:color="auto"/>
                <w:left w:val="none" w:sz="0" w:space="0" w:color="auto"/>
                <w:bottom w:val="none" w:sz="0" w:space="0" w:color="auto"/>
                <w:right w:val="none" w:sz="0" w:space="0" w:color="auto"/>
              </w:divBdr>
            </w:div>
          </w:divsChild>
        </w:div>
        <w:div w:id="201292342">
          <w:marLeft w:val="0"/>
          <w:marRight w:val="0"/>
          <w:marTop w:val="0"/>
          <w:marBottom w:val="0"/>
          <w:divBdr>
            <w:top w:val="none" w:sz="0" w:space="0" w:color="auto"/>
            <w:left w:val="none" w:sz="0" w:space="0" w:color="auto"/>
            <w:bottom w:val="none" w:sz="0" w:space="0" w:color="auto"/>
            <w:right w:val="none" w:sz="0" w:space="0" w:color="auto"/>
          </w:divBdr>
          <w:divsChild>
            <w:div w:id="59526340">
              <w:marLeft w:val="0"/>
              <w:marRight w:val="0"/>
              <w:marTop w:val="0"/>
              <w:marBottom w:val="0"/>
              <w:divBdr>
                <w:top w:val="none" w:sz="0" w:space="0" w:color="auto"/>
                <w:left w:val="none" w:sz="0" w:space="0" w:color="auto"/>
                <w:bottom w:val="none" w:sz="0" w:space="0" w:color="auto"/>
                <w:right w:val="none" w:sz="0" w:space="0" w:color="auto"/>
              </w:divBdr>
            </w:div>
            <w:div w:id="930048751">
              <w:marLeft w:val="0"/>
              <w:marRight w:val="0"/>
              <w:marTop w:val="0"/>
              <w:marBottom w:val="0"/>
              <w:divBdr>
                <w:top w:val="none" w:sz="0" w:space="0" w:color="auto"/>
                <w:left w:val="none" w:sz="0" w:space="0" w:color="auto"/>
                <w:bottom w:val="none" w:sz="0" w:space="0" w:color="auto"/>
                <w:right w:val="none" w:sz="0" w:space="0" w:color="auto"/>
              </w:divBdr>
            </w:div>
          </w:divsChild>
        </w:div>
        <w:div w:id="202327390">
          <w:marLeft w:val="0"/>
          <w:marRight w:val="0"/>
          <w:marTop w:val="0"/>
          <w:marBottom w:val="0"/>
          <w:divBdr>
            <w:top w:val="none" w:sz="0" w:space="0" w:color="auto"/>
            <w:left w:val="none" w:sz="0" w:space="0" w:color="auto"/>
            <w:bottom w:val="none" w:sz="0" w:space="0" w:color="auto"/>
            <w:right w:val="none" w:sz="0" w:space="0" w:color="auto"/>
          </w:divBdr>
          <w:divsChild>
            <w:div w:id="2063864680">
              <w:marLeft w:val="0"/>
              <w:marRight w:val="0"/>
              <w:marTop w:val="0"/>
              <w:marBottom w:val="0"/>
              <w:divBdr>
                <w:top w:val="none" w:sz="0" w:space="0" w:color="auto"/>
                <w:left w:val="none" w:sz="0" w:space="0" w:color="auto"/>
                <w:bottom w:val="none" w:sz="0" w:space="0" w:color="auto"/>
                <w:right w:val="none" w:sz="0" w:space="0" w:color="auto"/>
              </w:divBdr>
            </w:div>
            <w:div w:id="2104300238">
              <w:marLeft w:val="0"/>
              <w:marRight w:val="0"/>
              <w:marTop w:val="0"/>
              <w:marBottom w:val="0"/>
              <w:divBdr>
                <w:top w:val="none" w:sz="0" w:space="0" w:color="auto"/>
                <w:left w:val="none" w:sz="0" w:space="0" w:color="auto"/>
                <w:bottom w:val="none" w:sz="0" w:space="0" w:color="auto"/>
                <w:right w:val="none" w:sz="0" w:space="0" w:color="auto"/>
              </w:divBdr>
            </w:div>
          </w:divsChild>
        </w:div>
        <w:div w:id="208811526">
          <w:marLeft w:val="0"/>
          <w:marRight w:val="0"/>
          <w:marTop w:val="0"/>
          <w:marBottom w:val="0"/>
          <w:divBdr>
            <w:top w:val="none" w:sz="0" w:space="0" w:color="auto"/>
            <w:left w:val="none" w:sz="0" w:space="0" w:color="auto"/>
            <w:bottom w:val="none" w:sz="0" w:space="0" w:color="auto"/>
            <w:right w:val="none" w:sz="0" w:space="0" w:color="auto"/>
          </w:divBdr>
          <w:divsChild>
            <w:div w:id="441153553">
              <w:marLeft w:val="0"/>
              <w:marRight w:val="0"/>
              <w:marTop w:val="0"/>
              <w:marBottom w:val="0"/>
              <w:divBdr>
                <w:top w:val="none" w:sz="0" w:space="0" w:color="auto"/>
                <w:left w:val="none" w:sz="0" w:space="0" w:color="auto"/>
                <w:bottom w:val="none" w:sz="0" w:space="0" w:color="auto"/>
                <w:right w:val="none" w:sz="0" w:space="0" w:color="auto"/>
              </w:divBdr>
            </w:div>
            <w:div w:id="1092434051">
              <w:marLeft w:val="0"/>
              <w:marRight w:val="0"/>
              <w:marTop w:val="0"/>
              <w:marBottom w:val="0"/>
              <w:divBdr>
                <w:top w:val="none" w:sz="0" w:space="0" w:color="auto"/>
                <w:left w:val="none" w:sz="0" w:space="0" w:color="auto"/>
                <w:bottom w:val="none" w:sz="0" w:space="0" w:color="auto"/>
                <w:right w:val="none" w:sz="0" w:space="0" w:color="auto"/>
              </w:divBdr>
            </w:div>
          </w:divsChild>
        </w:div>
        <w:div w:id="231546947">
          <w:marLeft w:val="0"/>
          <w:marRight w:val="0"/>
          <w:marTop w:val="0"/>
          <w:marBottom w:val="0"/>
          <w:divBdr>
            <w:top w:val="none" w:sz="0" w:space="0" w:color="auto"/>
            <w:left w:val="none" w:sz="0" w:space="0" w:color="auto"/>
            <w:bottom w:val="none" w:sz="0" w:space="0" w:color="auto"/>
            <w:right w:val="none" w:sz="0" w:space="0" w:color="auto"/>
          </w:divBdr>
          <w:divsChild>
            <w:div w:id="718017973">
              <w:marLeft w:val="0"/>
              <w:marRight w:val="0"/>
              <w:marTop w:val="0"/>
              <w:marBottom w:val="0"/>
              <w:divBdr>
                <w:top w:val="none" w:sz="0" w:space="0" w:color="auto"/>
                <w:left w:val="none" w:sz="0" w:space="0" w:color="auto"/>
                <w:bottom w:val="none" w:sz="0" w:space="0" w:color="auto"/>
                <w:right w:val="none" w:sz="0" w:space="0" w:color="auto"/>
              </w:divBdr>
            </w:div>
            <w:div w:id="1353729072">
              <w:marLeft w:val="0"/>
              <w:marRight w:val="0"/>
              <w:marTop w:val="0"/>
              <w:marBottom w:val="0"/>
              <w:divBdr>
                <w:top w:val="none" w:sz="0" w:space="0" w:color="auto"/>
                <w:left w:val="none" w:sz="0" w:space="0" w:color="auto"/>
                <w:bottom w:val="none" w:sz="0" w:space="0" w:color="auto"/>
                <w:right w:val="none" w:sz="0" w:space="0" w:color="auto"/>
              </w:divBdr>
            </w:div>
          </w:divsChild>
        </w:div>
        <w:div w:id="236129985">
          <w:marLeft w:val="0"/>
          <w:marRight w:val="0"/>
          <w:marTop w:val="0"/>
          <w:marBottom w:val="0"/>
          <w:divBdr>
            <w:top w:val="none" w:sz="0" w:space="0" w:color="auto"/>
            <w:left w:val="none" w:sz="0" w:space="0" w:color="auto"/>
            <w:bottom w:val="none" w:sz="0" w:space="0" w:color="auto"/>
            <w:right w:val="none" w:sz="0" w:space="0" w:color="auto"/>
          </w:divBdr>
          <w:divsChild>
            <w:div w:id="16346363">
              <w:marLeft w:val="0"/>
              <w:marRight w:val="0"/>
              <w:marTop w:val="0"/>
              <w:marBottom w:val="0"/>
              <w:divBdr>
                <w:top w:val="none" w:sz="0" w:space="0" w:color="auto"/>
                <w:left w:val="none" w:sz="0" w:space="0" w:color="auto"/>
                <w:bottom w:val="none" w:sz="0" w:space="0" w:color="auto"/>
                <w:right w:val="none" w:sz="0" w:space="0" w:color="auto"/>
              </w:divBdr>
            </w:div>
            <w:div w:id="830755652">
              <w:marLeft w:val="0"/>
              <w:marRight w:val="0"/>
              <w:marTop w:val="0"/>
              <w:marBottom w:val="0"/>
              <w:divBdr>
                <w:top w:val="none" w:sz="0" w:space="0" w:color="auto"/>
                <w:left w:val="none" w:sz="0" w:space="0" w:color="auto"/>
                <w:bottom w:val="none" w:sz="0" w:space="0" w:color="auto"/>
                <w:right w:val="none" w:sz="0" w:space="0" w:color="auto"/>
              </w:divBdr>
            </w:div>
          </w:divsChild>
        </w:div>
        <w:div w:id="244652681">
          <w:marLeft w:val="0"/>
          <w:marRight w:val="0"/>
          <w:marTop w:val="0"/>
          <w:marBottom w:val="0"/>
          <w:divBdr>
            <w:top w:val="none" w:sz="0" w:space="0" w:color="auto"/>
            <w:left w:val="none" w:sz="0" w:space="0" w:color="auto"/>
            <w:bottom w:val="none" w:sz="0" w:space="0" w:color="auto"/>
            <w:right w:val="none" w:sz="0" w:space="0" w:color="auto"/>
          </w:divBdr>
          <w:divsChild>
            <w:div w:id="912202487">
              <w:marLeft w:val="0"/>
              <w:marRight w:val="0"/>
              <w:marTop w:val="0"/>
              <w:marBottom w:val="0"/>
              <w:divBdr>
                <w:top w:val="none" w:sz="0" w:space="0" w:color="auto"/>
                <w:left w:val="none" w:sz="0" w:space="0" w:color="auto"/>
                <w:bottom w:val="none" w:sz="0" w:space="0" w:color="auto"/>
                <w:right w:val="none" w:sz="0" w:space="0" w:color="auto"/>
              </w:divBdr>
            </w:div>
            <w:div w:id="975531010">
              <w:marLeft w:val="0"/>
              <w:marRight w:val="0"/>
              <w:marTop w:val="0"/>
              <w:marBottom w:val="0"/>
              <w:divBdr>
                <w:top w:val="none" w:sz="0" w:space="0" w:color="auto"/>
                <w:left w:val="none" w:sz="0" w:space="0" w:color="auto"/>
                <w:bottom w:val="none" w:sz="0" w:space="0" w:color="auto"/>
                <w:right w:val="none" w:sz="0" w:space="0" w:color="auto"/>
              </w:divBdr>
            </w:div>
            <w:div w:id="2050448061">
              <w:marLeft w:val="0"/>
              <w:marRight w:val="0"/>
              <w:marTop w:val="0"/>
              <w:marBottom w:val="0"/>
              <w:divBdr>
                <w:top w:val="none" w:sz="0" w:space="0" w:color="auto"/>
                <w:left w:val="none" w:sz="0" w:space="0" w:color="auto"/>
                <w:bottom w:val="none" w:sz="0" w:space="0" w:color="auto"/>
                <w:right w:val="none" w:sz="0" w:space="0" w:color="auto"/>
              </w:divBdr>
            </w:div>
          </w:divsChild>
        </w:div>
        <w:div w:id="253830421">
          <w:marLeft w:val="0"/>
          <w:marRight w:val="0"/>
          <w:marTop w:val="0"/>
          <w:marBottom w:val="0"/>
          <w:divBdr>
            <w:top w:val="none" w:sz="0" w:space="0" w:color="auto"/>
            <w:left w:val="none" w:sz="0" w:space="0" w:color="auto"/>
            <w:bottom w:val="none" w:sz="0" w:space="0" w:color="auto"/>
            <w:right w:val="none" w:sz="0" w:space="0" w:color="auto"/>
          </w:divBdr>
          <w:divsChild>
            <w:div w:id="1198423389">
              <w:marLeft w:val="0"/>
              <w:marRight w:val="0"/>
              <w:marTop w:val="0"/>
              <w:marBottom w:val="0"/>
              <w:divBdr>
                <w:top w:val="none" w:sz="0" w:space="0" w:color="auto"/>
                <w:left w:val="none" w:sz="0" w:space="0" w:color="auto"/>
                <w:bottom w:val="none" w:sz="0" w:space="0" w:color="auto"/>
                <w:right w:val="none" w:sz="0" w:space="0" w:color="auto"/>
              </w:divBdr>
            </w:div>
          </w:divsChild>
        </w:div>
        <w:div w:id="257761692">
          <w:marLeft w:val="0"/>
          <w:marRight w:val="0"/>
          <w:marTop w:val="0"/>
          <w:marBottom w:val="0"/>
          <w:divBdr>
            <w:top w:val="none" w:sz="0" w:space="0" w:color="auto"/>
            <w:left w:val="none" w:sz="0" w:space="0" w:color="auto"/>
            <w:bottom w:val="none" w:sz="0" w:space="0" w:color="auto"/>
            <w:right w:val="none" w:sz="0" w:space="0" w:color="auto"/>
          </w:divBdr>
          <w:divsChild>
            <w:div w:id="156700740">
              <w:marLeft w:val="0"/>
              <w:marRight w:val="0"/>
              <w:marTop w:val="0"/>
              <w:marBottom w:val="0"/>
              <w:divBdr>
                <w:top w:val="none" w:sz="0" w:space="0" w:color="auto"/>
                <w:left w:val="none" w:sz="0" w:space="0" w:color="auto"/>
                <w:bottom w:val="none" w:sz="0" w:space="0" w:color="auto"/>
                <w:right w:val="none" w:sz="0" w:space="0" w:color="auto"/>
              </w:divBdr>
            </w:div>
          </w:divsChild>
        </w:div>
        <w:div w:id="262107295">
          <w:marLeft w:val="0"/>
          <w:marRight w:val="0"/>
          <w:marTop w:val="0"/>
          <w:marBottom w:val="0"/>
          <w:divBdr>
            <w:top w:val="none" w:sz="0" w:space="0" w:color="auto"/>
            <w:left w:val="none" w:sz="0" w:space="0" w:color="auto"/>
            <w:bottom w:val="none" w:sz="0" w:space="0" w:color="auto"/>
            <w:right w:val="none" w:sz="0" w:space="0" w:color="auto"/>
          </w:divBdr>
          <w:divsChild>
            <w:div w:id="669910136">
              <w:marLeft w:val="0"/>
              <w:marRight w:val="0"/>
              <w:marTop w:val="0"/>
              <w:marBottom w:val="0"/>
              <w:divBdr>
                <w:top w:val="none" w:sz="0" w:space="0" w:color="auto"/>
                <w:left w:val="none" w:sz="0" w:space="0" w:color="auto"/>
                <w:bottom w:val="none" w:sz="0" w:space="0" w:color="auto"/>
                <w:right w:val="none" w:sz="0" w:space="0" w:color="auto"/>
              </w:divBdr>
            </w:div>
            <w:div w:id="1444152668">
              <w:marLeft w:val="0"/>
              <w:marRight w:val="0"/>
              <w:marTop w:val="0"/>
              <w:marBottom w:val="0"/>
              <w:divBdr>
                <w:top w:val="none" w:sz="0" w:space="0" w:color="auto"/>
                <w:left w:val="none" w:sz="0" w:space="0" w:color="auto"/>
                <w:bottom w:val="none" w:sz="0" w:space="0" w:color="auto"/>
                <w:right w:val="none" w:sz="0" w:space="0" w:color="auto"/>
              </w:divBdr>
            </w:div>
            <w:div w:id="1756976871">
              <w:marLeft w:val="0"/>
              <w:marRight w:val="0"/>
              <w:marTop w:val="0"/>
              <w:marBottom w:val="0"/>
              <w:divBdr>
                <w:top w:val="none" w:sz="0" w:space="0" w:color="auto"/>
                <w:left w:val="none" w:sz="0" w:space="0" w:color="auto"/>
                <w:bottom w:val="none" w:sz="0" w:space="0" w:color="auto"/>
                <w:right w:val="none" w:sz="0" w:space="0" w:color="auto"/>
              </w:divBdr>
            </w:div>
          </w:divsChild>
        </w:div>
        <w:div w:id="264076592">
          <w:marLeft w:val="0"/>
          <w:marRight w:val="0"/>
          <w:marTop w:val="0"/>
          <w:marBottom w:val="0"/>
          <w:divBdr>
            <w:top w:val="none" w:sz="0" w:space="0" w:color="auto"/>
            <w:left w:val="none" w:sz="0" w:space="0" w:color="auto"/>
            <w:bottom w:val="none" w:sz="0" w:space="0" w:color="auto"/>
            <w:right w:val="none" w:sz="0" w:space="0" w:color="auto"/>
          </w:divBdr>
          <w:divsChild>
            <w:div w:id="671417474">
              <w:marLeft w:val="0"/>
              <w:marRight w:val="0"/>
              <w:marTop w:val="0"/>
              <w:marBottom w:val="0"/>
              <w:divBdr>
                <w:top w:val="none" w:sz="0" w:space="0" w:color="auto"/>
                <w:left w:val="none" w:sz="0" w:space="0" w:color="auto"/>
                <w:bottom w:val="none" w:sz="0" w:space="0" w:color="auto"/>
                <w:right w:val="none" w:sz="0" w:space="0" w:color="auto"/>
              </w:divBdr>
            </w:div>
            <w:div w:id="1518884801">
              <w:marLeft w:val="0"/>
              <w:marRight w:val="0"/>
              <w:marTop w:val="0"/>
              <w:marBottom w:val="0"/>
              <w:divBdr>
                <w:top w:val="none" w:sz="0" w:space="0" w:color="auto"/>
                <w:left w:val="none" w:sz="0" w:space="0" w:color="auto"/>
                <w:bottom w:val="none" w:sz="0" w:space="0" w:color="auto"/>
                <w:right w:val="none" w:sz="0" w:space="0" w:color="auto"/>
              </w:divBdr>
            </w:div>
            <w:div w:id="1809781618">
              <w:marLeft w:val="0"/>
              <w:marRight w:val="0"/>
              <w:marTop w:val="0"/>
              <w:marBottom w:val="0"/>
              <w:divBdr>
                <w:top w:val="none" w:sz="0" w:space="0" w:color="auto"/>
                <w:left w:val="none" w:sz="0" w:space="0" w:color="auto"/>
                <w:bottom w:val="none" w:sz="0" w:space="0" w:color="auto"/>
                <w:right w:val="none" w:sz="0" w:space="0" w:color="auto"/>
              </w:divBdr>
            </w:div>
          </w:divsChild>
        </w:div>
        <w:div w:id="267080564">
          <w:marLeft w:val="0"/>
          <w:marRight w:val="0"/>
          <w:marTop w:val="0"/>
          <w:marBottom w:val="0"/>
          <w:divBdr>
            <w:top w:val="none" w:sz="0" w:space="0" w:color="auto"/>
            <w:left w:val="none" w:sz="0" w:space="0" w:color="auto"/>
            <w:bottom w:val="none" w:sz="0" w:space="0" w:color="auto"/>
            <w:right w:val="none" w:sz="0" w:space="0" w:color="auto"/>
          </w:divBdr>
          <w:divsChild>
            <w:div w:id="1337421202">
              <w:marLeft w:val="0"/>
              <w:marRight w:val="0"/>
              <w:marTop w:val="0"/>
              <w:marBottom w:val="0"/>
              <w:divBdr>
                <w:top w:val="none" w:sz="0" w:space="0" w:color="auto"/>
                <w:left w:val="none" w:sz="0" w:space="0" w:color="auto"/>
                <w:bottom w:val="none" w:sz="0" w:space="0" w:color="auto"/>
                <w:right w:val="none" w:sz="0" w:space="0" w:color="auto"/>
              </w:divBdr>
            </w:div>
          </w:divsChild>
        </w:div>
        <w:div w:id="268201296">
          <w:marLeft w:val="0"/>
          <w:marRight w:val="0"/>
          <w:marTop w:val="0"/>
          <w:marBottom w:val="0"/>
          <w:divBdr>
            <w:top w:val="none" w:sz="0" w:space="0" w:color="auto"/>
            <w:left w:val="none" w:sz="0" w:space="0" w:color="auto"/>
            <w:bottom w:val="none" w:sz="0" w:space="0" w:color="auto"/>
            <w:right w:val="none" w:sz="0" w:space="0" w:color="auto"/>
          </w:divBdr>
          <w:divsChild>
            <w:div w:id="1519001579">
              <w:marLeft w:val="0"/>
              <w:marRight w:val="0"/>
              <w:marTop w:val="0"/>
              <w:marBottom w:val="0"/>
              <w:divBdr>
                <w:top w:val="none" w:sz="0" w:space="0" w:color="auto"/>
                <w:left w:val="none" w:sz="0" w:space="0" w:color="auto"/>
                <w:bottom w:val="none" w:sz="0" w:space="0" w:color="auto"/>
                <w:right w:val="none" w:sz="0" w:space="0" w:color="auto"/>
              </w:divBdr>
            </w:div>
          </w:divsChild>
        </w:div>
        <w:div w:id="272053714">
          <w:marLeft w:val="0"/>
          <w:marRight w:val="0"/>
          <w:marTop w:val="0"/>
          <w:marBottom w:val="0"/>
          <w:divBdr>
            <w:top w:val="none" w:sz="0" w:space="0" w:color="auto"/>
            <w:left w:val="none" w:sz="0" w:space="0" w:color="auto"/>
            <w:bottom w:val="none" w:sz="0" w:space="0" w:color="auto"/>
            <w:right w:val="none" w:sz="0" w:space="0" w:color="auto"/>
          </w:divBdr>
          <w:divsChild>
            <w:div w:id="525754899">
              <w:marLeft w:val="0"/>
              <w:marRight w:val="0"/>
              <w:marTop w:val="0"/>
              <w:marBottom w:val="0"/>
              <w:divBdr>
                <w:top w:val="none" w:sz="0" w:space="0" w:color="auto"/>
                <w:left w:val="none" w:sz="0" w:space="0" w:color="auto"/>
                <w:bottom w:val="none" w:sz="0" w:space="0" w:color="auto"/>
                <w:right w:val="none" w:sz="0" w:space="0" w:color="auto"/>
              </w:divBdr>
            </w:div>
            <w:div w:id="1655378883">
              <w:marLeft w:val="0"/>
              <w:marRight w:val="0"/>
              <w:marTop w:val="0"/>
              <w:marBottom w:val="0"/>
              <w:divBdr>
                <w:top w:val="none" w:sz="0" w:space="0" w:color="auto"/>
                <w:left w:val="none" w:sz="0" w:space="0" w:color="auto"/>
                <w:bottom w:val="none" w:sz="0" w:space="0" w:color="auto"/>
                <w:right w:val="none" w:sz="0" w:space="0" w:color="auto"/>
              </w:divBdr>
            </w:div>
          </w:divsChild>
        </w:div>
        <w:div w:id="272131260">
          <w:marLeft w:val="0"/>
          <w:marRight w:val="0"/>
          <w:marTop w:val="0"/>
          <w:marBottom w:val="0"/>
          <w:divBdr>
            <w:top w:val="none" w:sz="0" w:space="0" w:color="auto"/>
            <w:left w:val="none" w:sz="0" w:space="0" w:color="auto"/>
            <w:bottom w:val="none" w:sz="0" w:space="0" w:color="auto"/>
            <w:right w:val="none" w:sz="0" w:space="0" w:color="auto"/>
          </w:divBdr>
          <w:divsChild>
            <w:div w:id="222645459">
              <w:marLeft w:val="0"/>
              <w:marRight w:val="0"/>
              <w:marTop w:val="0"/>
              <w:marBottom w:val="0"/>
              <w:divBdr>
                <w:top w:val="none" w:sz="0" w:space="0" w:color="auto"/>
                <w:left w:val="none" w:sz="0" w:space="0" w:color="auto"/>
                <w:bottom w:val="none" w:sz="0" w:space="0" w:color="auto"/>
                <w:right w:val="none" w:sz="0" w:space="0" w:color="auto"/>
              </w:divBdr>
            </w:div>
            <w:div w:id="868303029">
              <w:marLeft w:val="0"/>
              <w:marRight w:val="0"/>
              <w:marTop w:val="0"/>
              <w:marBottom w:val="0"/>
              <w:divBdr>
                <w:top w:val="none" w:sz="0" w:space="0" w:color="auto"/>
                <w:left w:val="none" w:sz="0" w:space="0" w:color="auto"/>
                <w:bottom w:val="none" w:sz="0" w:space="0" w:color="auto"/>
                <w:right w:val="none" w:sz="0" w:space="0" w:color="auto"/>
              </w:divBdr>
            </w:div>
            <w:div w:id="1239288903">
              <w:marLeft w:val="0"/>
              <w:marRight w:val="0"/>
              <w:marTop w:val="0"/>
              <w:marBottom w:val="0"/>
              <w:divBdr>
                <w:top w:val="none" w:sz="0" w:space="0" w:color="auto"/>
                <w:left w:val="none" w:sz="0" w:space="0" w:color="auto"/>
                <w:bottom w:val="none" w:sz="0" w:space="0" w:color="auto"/>
                <w:right w:val="none" w:sz="0" w:space="0" w:color="auto"/>
              </w:divBdr>
            </w:div>
          </w:divsChild>
        </w:div>
        <w:div w:id="272136629">
          <w:marLeft w:val="0"/>
          <w:marRight w:val="0"/>
          <w:marTop w:val="0"/>
          <w:marBottom w:val="0"/>
          <w:divBdr>
            <w:top w:val="none" w:sz="0" w:space="0" w:color="auto"/>
            <w:left w:val="none" w:sz="0" w:space="0" w:color="auto"/>
            <w:bottom w:val="none" w:sz="0" w:space="0" w:color="auto"/>
            <w:right w:val="none" w:sz="0" w:space="0" w:color="auto"/>
          </w:divBdr>
          <w:divsChild>
            <w:div w:id="570775281">
              <w:marLeft w:val="0"/>
              <w:marRight w:val="0"/>
              <w:marTop w:val="0"/>
              <w:marBottom w:val="0"/>
              <w:divBdr>
                <w:top w:val="none" w:sz="0" w:space="0" w:color="auto"/>
                <w:left w:val="none" w:sz="0" w:space="0" w:color="auto"/>
                <w:bottom w:val="none" w:sz="0" w:space="0" w:color="auto"/>
                <w:right w:val="none" w:sz="0" w:space="0" w:color="auto"/>
              </w:divBdr>
            </w:div>
          </w:divsChild>
        </w:div>
        <w:div w:id="274294635">
          <w:marLeft w:val="0"/>
          <w:marRight w:val="0"/>
          <w:marTop w:val="0"/>
          <w:marBottom w:val="0"/>
          <w:divBdr>
            <w:top w:val="none" w:sz="0" w:space="0" w:color="auto"/>
            <w:left w:val="none" w:sz="0" w:space="0" w:color="auto"/>
            <w:bottom w:val="none" w:sz="0" w:space="0" w:color="auto"/>
            <w:right w:val="none" w:sz="0" w:space="0" w:color="auto"/>
          </w:divBdr>
          <w:divsChild>
            <w:div w:id="1695840405">
              <w:marLeft w:val="0"/>
              <w:marRight w:val="0"/>
              <w:marTop w:val="0"/>
              <w:marBottom w:val="0"/>
              <w:divBdr>
                <w:top w:val="none" w:sz="0" w:space="0" w:color="auto"/>
                <w:left w:val="none" w:sz="0" w:space="0" w:color="auto"/>
                <w:bottom w:val="none" w:sz="0" w:space="0" w:color="auto"/>
                <w:right w:val="none" w:sz="0" w:space="0" w:color="auto"/>
              </w:divBdr>
            </w:div>
          </w:divsChild>
        </w:div>
        <w:div w:id="276378473">
          <w:marLeft w:val="0"/>
          <w:marRight w:val="0"/>
          <w:marTop w:val="0"/>
          <w:marBottom w:val="0"/>
          <w:divBdr>
            <w:top w:val="none" w:sz="0" w:space="0" w:color="auto"/>
            <w:left w:val="none" w:sz="0" w:space="0" w:color="auto"/>
            <w:bottom w:val="none" w:sz="0" w:space="0" w:color="auto"/>
            <w:right w:val="none" w:sz="0" w:space="0" w:color="auto"/>
          </w:divBdr>
          <w:divsChild>
            <w:div w:id="755442332">
              <w:marLeft w:val="0"/>
              <w:marRight w:val="0"/>
              <w:marTop w:val="0"/>
              <w:marBottom w:val="0"/>
              <w:divBdr>
                <w:top w:val="none" w:sz="0" w:space="0" w:color="auto"/>
                <w:left w:val="none" w:sz="0" w:space="0" w:color="auto"/>
                <w:bottom w:val="none" w:sz="0" w:space="0" w:color="auto"/>
                <w:right w:val="none" w:sz="0" w:space="0" w:color="auto"/>
              </w:divBdr>
            </w:div>
            <w:div w:id="1497259444">
              <w:marLeft w:val="0"/>
              <w:marRight w:val="0"/>
              <w:marTop w:val="0"/>
              <w:marBottom w:val="0"/>
              <w:divBdr>
                <w:top w:val="none" w:sz="0" w:space="0" w:color="auto"/>
                <w:left w:val="none" w:sz="0" w:space="0" w:color="auto"/>
                <w:bottom w:val="none" w:sz="0" w:space="0" w:color="auto"/>
                <w:right w:val="none" w:sz="0" w:space="0" w:color="auto"/>
              </w:divBdr>
            </w:div>
            <w:div w:id="1502508714">
              <w:marLeft w:val="0"/>
              <w:marRight w:val="0"/>
              <w:marTop w:val="0"/>
              <w:marBottom w:val="0"/>
              <w:divBdr>
                <w:top w:val="none" w:sz="0" w:space="0" w:color="auto"/>
                <w:left w:val="none" w:sz="0" w:space="0" w:color="auto"/>
                <w:bottom w:val="none" w:sz="0" w:space="0" w:color="auto"/>
                <w:right w:val="none" w:sz="0" w:space="0" w:color="auto"/>
              </w:divBdr>
            </w:div>
            <w:div w:id="1900020047">
              <w:marLeft w:val="0"/>
              <w:marRight w:val="0"/>
              <w:marTop w:val="0"/>
              <w:marBottom w:val="0"/>
              <w:divBdr>
                <w:top w:val="none" w:sz="0" w:space="0" w:color="auto"/>
                <w:left w:val="none" w:sz="0" w:space="0" w:color="auto"/>
                <w:bottom w:val="none" w:sz="0" w:space="0" w:color="auto"/>
                <w:right w:val="none" w:sz="0" w:space="0" w:color="auto"/>
              </w:divBdr>
            </w:div>
            <w:div w:id="2015107598">
              <w:marLeft w:val="0"/>
              <w:marRight w:val="0"/>
              <w:marTop w:val="0"/>
              <w:marBottom w:val="0"/>
              <w:divBdr>
                <w:top w:val="none" w:sz="0" w:space="0" w:color="auto"/>
                <w:left w:val="none" w:sz="0" w:space="0" w:color="auto"/>
                <w:bottom w:val="none" w:sz="0" w:space="0" w:color="auto"/>
                <w:right w:val="none" w:sz="0" w:space="0" w:color="auto"/>
              </w:divBdr>
            </w:div>
          </w:divsChild>
        </w:div>
        <w:div w:id="279606361">
          <w:marLeft w:val="0"/>
          <w:marRight w:val="0"/>
          <w:marTop w:val="0"/>
          <w:marBottom w:val="0"/>
          <w:divBdr>
            <w:top w:val="none" w:sz="0" w:space="0" w:color="auto"/>
            <w:left w:val="none" w:sz="0" w:space="0" w:color="auto"/>
            <w:bottom w:val="none" w:sz="0" w:space="0" w:color="auto"/>
            <w:right w:val="none" w:sz="0" w:space="0" w:color="auto"/>
          </w:divBdr>
          <w:divsChild>
            <w:div w:id="223374891">
              <w:marLeft w:val="0"/>
              <w:marRight w:val="0"/>
              <w:marTop w:val="0"/>
              <w:marBottom w:val="0"/>
              <w:divBdr>
                <w:top w:val="none" w:sz="0" w:space="0" w:color="auto"/>
                <w:left w:val="none" w:sz="0" w:space="0" w:color="auto"/>
                <w:bottom w:val="none" w:sz="0" w:space="0" w:color="auto"/>
                <w:right w:val="none" w:sz="0" w:space="0" w:color="auto"/>
              </w:divBdr>
            </w:div>
            <w:div w:id="955646155">
              <w:marLeft w:val="0"/>
              <w:marRight w:val="0"/>
              <w:marTop w:val="0"/>
              <w:marBottom w:val="0"/>
              <w:divBdr>
                <w:top w:val="none" w:sz="0" w:space="0" w:color="auto"/>
                <w:left w:val="none" w:sz="0" w:space="0" w:color="auto"/>
                <w:bottom w:val="none" w:sz="0" w:space="0" w:color="auto"/>
                <w:right w:val="none" w:sz="0" w:space="0" w:color="auto"/>
              </w:divBdr>
            </w:div>
            <w:div w:id="1730221868">
              <w:marLeft w:val="0"/>
              <w:marRight w:val="0"/>
              <w:marTop w:val="0"/>
              <w:marBottom w:val="0"/>
              <w:divBdr>
                <w:top w:val="none" w:sz="0" w:space="0" w:color="auto"/>
                <w:left w:val="none" w:sz="0" w:space="0" w:color="auto"/>
                <w:bottom w:val="none" w:sz="0" w:space="0" w:color="auto"/>
                <w:right w:val="none" w:sz="0" w:space="0" w:color="auto"/>
              </w:divBdr>
            </w:div>
          </w:divsChild>
        </w:div>
        <w:div w:id="293873538">
          <w:marLeft w:val="0"/>
          <w:marRight w:val="0"/>
          <w:marTop w:val="0"/>
          <w:marBottom w:val="0"/>
          <w:divBdr>
            <w:top w:val="none" w:sz="0" w:space="0" w:color="auto"/>
            <w:left w:val="none" w:sz="0" w:space="0" w:color="auto"/>
            <w:bottom w:val="none" w:sz="0" w:space="0" w:color="auto"/>
            <w:right w:val="none" w:sz="0" w:space="0" w:color="auto"/>
          </w:divBdr>
          <w:divsChild>
            <w:div w:id="800877039">
              <w:marLeft w:val="0"/>
              <w:marRight w:val="0"/>
              <w:marTop w:val="0"/>
              <w:marBottom w:val="0"/>
              <w:divBdr>
                <w:top w:val="none" w:sz="0" w:space="0" w:color="auto"/>
                <w:left w:val="none" w:sz="0" w:space="0" w:color="auto"/>
                <w:bottom w:val="none" w:sz="0" w:space="0" w:color="auto"/>
                <w:right w:val="none" w:sz="0" w:space="0" w:color="auto"/>
              </w:divBdr>
            </w:div>
          </w:divsChild>
        </w:div>
        <w:div w:id="303125652">
          <w:marLeft w:val="0"/>
          <w:marRight w:val="0"/>
          <w:marTop w:val="0"/>
          <w:marBottom w:val="0"/>
          <w:divBdr>
            <w:top w:val="none" w:sz="0" w:space="0" w:color="auto"/>
            <w:left w:val="none" w:sz="0" w:space="0" w:color="auto"/>
            <w:bottom w:val="none" w:sz="0" w:space="0" w:color="auto"/>
            <w:right w:val="none" w:sz="0" w:space="0" w:color="auto"/>
          </w:divBdr>
          <w:divsChild>
            <w:div w:id="217323128">
              <w:marLeft w:val="0"/>
              <w:marRight w:val="0"/>
              <w:marTop w:val="0"/>
              <w:marBottom w:val="0"/>
              <w:divBdr>
                <w:top w:val="none" w:sz="0" w:space="0" w:color="auto"/>
                <w:left w:val="none" w:sz="0" w:space="0" w:color="auto"/>
                <w:bottom w:val="none" w:sz="0" w:space="0" w:color="auto"/>
                <w:right w:val="none" w:sz="0" w:space="0" w:color="auto"/>
              </w:divBdr>
            </w:div>
            <w:div w:id="245460467">
              <w:marLeft w:val="0"/>
              <w:marRight w:val="0"/>
              <w:marTop w:val="0"/>
              <w:marBottom w:val="0"/>
              <w:divBdr>
                <w:top w:val="none" w:sz="0" w:space="0" w:color="auto"/>
                <w:left w:val="none" w:sz="0" w:space="0" w:color="auto"/>
                <w:bottom w:val="none" w:sz="0" w:space="0" w:color="auto"/>
                <w:right w:val="none" w:sz="0" w:space="0" w:color="auto"/>
              </w:divBdr>
            </w:div>
            <w:div w:id="421416343">
              <w:marLeft w:val="0"/>
              <w:marRight w:val="0"/>
              <w:marTop w:val="0"/>
              <w:marBottom w:val="0"/>
              <w:divBdr>
                <w:top w:val="none" w:sz="0" w:space="0" w:color="auto"/>
                <w:left w:val="none" w:sz="0" w:space="0" w:color="auto"/>
                <w:bottom w:val="none" w:sz="0" w:space="0" w:color="auto"/>
                <w:right w:val="none" w:sz="0" w:space="0" w:color="auto"/>
              </w:divBdr>
            </w:div>
            <w:div w:id="792748906">
              <w:marLeft w:val="0"/>
              <w:marRight w:val="0"/>
              <w:marTop w:val="0"/>
              <w:marBottom w:val="0"/>
              <w:divBdr>
                <w:top w:val="none" w:sz="0" w:space="0" w:color="auto"/>
                <w:left w:val="none" w:sz="0" w:space="0" w:color="auto"/>
                <w:bottom w:val="none" w:sz="0" w:space="0" w:color="auto"/>
                <w:right w:val="none" w:sz="0" w:space="0" w:color="auto"/>
              </w:divBdr>
            </w:div>
            <w:div w:id="843325279">
              <w:marLeft w:val="0"/>
              <w:marRight w:val="0"/>
              <w:marTop w:val="0"/>
              <w:marBottom w:val="0"/>
              <w:divBdr>
                <w:top w:val="none" w:sz="0" w:space="0" w:color="auto"/>
                <w:left w:val="none" w:sz="0" w:space="0" w:color="auto"/>
                <w:bottom w:val="none" w:sz="0" w:space="0" w:color="auto"/>
                <w:right w:val="none" w:sz="0" w:space="0" w:color="auto"/>
              </w:divBdr>
            </w:div>
            <w:div w:id="1128280661">
              <w:marLeft w:val="0"/>
              <w:marRight w:val="0"/>
              <w:marTop w:val="0"/>
              <w:marBottom w:val="0"/>
              <w:divBdr>
                <w:top w:val="none" w:sz="0" w:space="0" w:color="auto"/>
                <w:left w:val="none" w:sz="0" w:space="0" w:color="auto"/>
                <w:bottom w:val="none" w:sz="0" w:space="0" w:color="auto"/>
                <w:right w:val="none" w:sz="0" w:space="0" w:color="auto"/>
              </w:divBdr>
            </w:div>
            <w:div w:id="1139616615">
              <w:marLeft w:val="0"/>
              <w:marRight w:val="0"/>
              <w:marTop w:val="0"/>
              <w:marBottom w:val="0"/>
              <w:divBdr>
                <w:top w:val="none" w:sz="0" w:space="0" w:color="auto"/>
                <w:left w:val="none" w:sz="0" w:space="0" w:color="auto"/>
                <w:bottom w:val="none" w:sz="0" w:space="0" w:color="auto"/>
                <w:right w:val="none" w:sz="0" w:space="0" w:color="auto"/>
              </w:divBdr>
            </w:div>
            <w:div w:id="1142767046">
              <w:marLeft w:val="0"/>
              <w:marRight w:val="0"/>
              <w:marTop w:val="0"/>
              <w:marBottom w:val="0"/>
              <w:divBdr>
                <w:top w:val="none" w:sz="0" w:space="0" w:color="auto"/>
                <w:left w:val="none" w:sz="0" w:space="0" w:color="auto"/>
                <w:bottom w:val="none" w:sz="0" w:space="0" w:color="auto"/>
                <w:right w:val="none" w:sz="0" w:space="0" w:color="auto"/>
              </w:divBdr>
            </w:div>
            <w:div w:id="1217618623">
              <w:marLeft w:val="0"/>
              <w:marRight w:val="0"/>
              <w:marTop w:val="0"/>
              <w:marBottom w:val="0"/>
              <w:divBdr>
                <w:top w:val="none" w:sz="0" w:space="0" w:color="auto"/>
                <w:left w:val="none" w:sz="0" w:space="0" w:color="auto"/>
                <w:bottom w:val="none" w:sz="0" w:space="0" w:color="auto"/>
                <w:right w:val="none" w:sz="0" w:space="0" w:color="auto"/>
              </w:divBdr>
            </w:div>
            <w:div w:id="1292205443">
              <w:marLeft w:val="0"/>
              <w:marRight w:val="0"/>
              <w:marTop w:val="0"/>
              <w:marBottom w:val="0"/>
              <w:divBdr>
                <w:top w:val="none" w:sz="0" w:space="0" w:color="auto"/>
                <w:left w:val="none" w:sz="0" w:space="0" w:color="auto"/>
                <w:bottom w:val="none" w:sz="0" w:space="0" w:color="auto"/>
                <w:right w:val="none" w:sz="0" w:space="0" w:color="auto"/>
              </w:divBdr>
            </w:div>
            <w:div w:id="1579048688">
              <w:marLeft w:val="0"/>
              <w:marRight w:val="0"/>
              <w:marTop w:val="0"/>
              <w:marBottom w:val="0"/>
              <w:divBdr>
                <w:top w:val="none" w:sz="0" w:space="0" w:color="auto"/>
                <w:left w:val="none" w:sz="0" w:space="0" w:color="auto"/>
                <w:bottom w:val="none" w:sz="0" w:space="0" w:color="auto"/>
                <w:right w:val="none" w:sz="0" w:space="0" w:color="auto"/>
              </w:divBdr>
            </w:div>
            <w:div w:id="1620842796">
              <w:marLeft w:val="0"/>
              <w:marRight w:val="0"/>
              <w:marTop w:val="0"/>
              <w:marBottom w:val="0"/>
              <w:divBdr>
                <w:top w:val="none" w:sz="0" w:space="0" w:color="auto"/>
                <w:left w:val="none" w:sz="0" w:space="0" w:color="auto"/>
                <w:bottom w:val="none" w:sz="0" w:space="0" w:color="auto"/>
                <w:right w:val="none" w:sz="0" w:space="0" w:color="auto"/>
              </w:divBdr>
            </w:div>
            <w:div w:id="1840458317">
              <w:marLeft w:val="0"/>
              <w:marRight w:val="0"/>
              <w:marTop w:val="0"/>
              <w:marBottom w:val="0"/>
              <w:divBdr>
                <w:top w:val="none" w:sz="0" w:space="0" w:color="auto"/>
                <w:left w:val="none" w:sz="0" w:space="0" w:color="auto"/>
                <w:bottom w:val="none" w:sz="0" w:space="0" w:color="auto"/>
                <w:right w:val="none" w:sz="0" w:space="0" w:color="auto"/>
              </w:divBdr>
            </w:div>
            <w:div w:id="1885943392">
              <w:marLeft w:val="0"/>
              <w:marRight w:val="0"/>
              <w:marTop w:val="0"/>
              <w:marBottom w:val="0"/>
              <w:divBdr>
                <w:top w:val="none" w:sz="0" w:space="0" w:color="auto"/>
                <w:left w:val="none" w:sz="0" w:space="0" w:color="auto"/>
                <w:bottom w:val="none" w:sz="0" w:space="0" w:color="auto"/>
                <w:right w:val="none" w:sz="0" w:space="0" w:color="auto"/>
              </w:divBdr>
            </w:div>
            <w:div w:id="2115830000">
              <w:marLeft w:val="0"/>
              <w:marRight w:val="0"/>
              <w:marTop w:val="0"/>
              <w:marBottom w:val="0"/>
              <w:divBdr>
                <w:top w:val="none" w:sz="0" w:space="0" w:color="auto"/>
                <w:left w:val="none" w:sz="0" w:space="0" w:color="auto"/>
                <w:bottom w:val="none" w:sz="0" w:space="0" w:color="auto"/>
                <w:right w:val="none" w:sz="0" w:space="0" w:color="auto"/>
              </w:divBdr>
            </w:div>
          </w:divsChild>
        </w:div>
        <w:div w:id="303856111">
          <w:marLeft w:val="0"/>
          <w:marRight w:val="0"/>
          <w:marTop w:val="0"/>
          <w:marBottom w:val="0"/>
          <w:divBdr>
            <w:top w:val="none" w:sz="0" w:space="0" w:color="auto"/>
            <w:left w:val="none" w:sz="0" w:space="0" w:color="auto"/>
            <w:bottom w:val="none" w:sz="0" w:space="0" w:color="auto"/>
            <w:right w:val="none" w:sz="0" w:space="0" w:color="auto"/>
          </w:divBdr>
          <w:divsChild>
            <w:div w:id="396786579">
              <w:marLeft w:val="0"/>
              <w:marRight w:val="0"/>
              <w:marTop w:val="0"/>
              <w:marBottom w:val="0"/>
              <w:divBdr>
                <w:top w:val="none" w:sz="0" w:space="0" w:color="auto"/>
                <w:left w:val="none" w:sz="0" w:space="0" w:color="auto"/>
                <w:bottom w:val="none" w:sz="0" w:space="0" w:color="auto"/>
                <w:right w:val="none" w:sz="0" w:space="0" w:color="auto"/>
              </w:divBdr>
            </w:div>
            <w:div w:id="1606035039">
              <w:marLeft w:val="0"/>
              <w:marRight w:val="0"/>
              <w:marTop w:val="0"/>
              <w:marBottom w:val="0"/>
              <w:divBdr>
                <w:top w:val="none" w:sz="0" w:space="0" w:color="auto"/>
                <w:left w:val="none" w:sz="0" w:space="0" w:color="auto"/>
                <w:bottom w:val="none" w:sz="0" w:space="0" w:color="auto"/>
                <w:right w:val="none" w:sz="0" w:space="0" w:color="auto"/>
              </w:divBdr>
            </w:div>
          </w:divsChild>
        </w:div>
        <w:div w:id="315649532">
          <w:marLeft w:val="0"/>
          <w:marRight w:val="0"/>
          <w:marTop w:val="0"/>
          <w:marBottom w:val="0"/>
          <w:divBdr>
            <w:top w:val="none" w:sz="0" w:space="0" w:color="auto"/>
            <w:left w:val="none" w:sz="0" w:space="0" w:color="auto"/>
            <w:bottom w:val="none" w:sz="0" w:space="0" w:color="auto"/>
            <w:right w:val="none" w:sz="0" w:space="0" w:color="auto"/>
          </w:divBdr>
          <w:divsChild>
            <w:div w:id="330378610">
              <w:marLeft w:val="0"/>
              <w:marRight w:val="0"/>
              <w:marTop w:val="0"/>
              <w:marBottom w:val="0"/>
              <w:divBdr>
                <w:top w:val="none" w:sz="0" w:space="0" w:color="auto"/>
                <w:left w:val="none" w:sz="0" w:space="0" w:color="auto"/>
                <w:bottom w:val="none" w:sz="0" w:space="0" w:color="auto"/>
                <w:right w:val="none" w:sz="0" w:space="0" w:color="auto"/>
              </w:divBdr>
            </w:div>
          </w:divsChild>
        </w:div>
        <w:div w:id="323973123">
          <w:marLeft w:val="0"/>
          <w:marRight w:val="0"/>
          <w:marTop w:val="0"/>
          <w:marBottom w:val="0"/>
          <w:divBdr>
            <w:top w:val="none" w:sz="0" w:space="0" w:color="auto"/>
            <w:left w:val="none" w:sz="0" w:space="0" w:color="auto"/>
            <w:bottom w:val="none" w:sz="0" w:space="0" w:color="auto"/>
            <w:right w:val="none" w:sz="0" w:space="0" w:color="auto"/>
          </w:divBdr>
          <w:divsChild>
            <w:div w:id="1663578426">
              <w:marLeft w:val="0"/>
              <w:marRight w:val="0"/>
              <w:marTop w:val="0"/>
              <w:marBottom w:val="0"/>
              <w:divBdr>
                <w:top w:val="none" w:sz="0" w:space="0" w:color="auto"/>
                <w:left w:val="none" w:sz="0" w:space="0" w:color="auto"/>
                <w:bottom w:val="none" w:sz="0" w:space="0" w:color="auto"/>
                <w:right w:val="none" w:sz="0" w:space="0" w:color="auto"/>
              </w:divBdr>
            </w:div>
          </w:divsChild>
        </w:div>
        <w:div w:id="326790563">
          <w:marLeft w:val="0"/>
          <w:marRight w:val="0"/>
          <w:marTop w:val="0"/>
          <w:marBottom w:val="0"/>
          <w:divBdr>
            <w:top w:val="none" w:sz="0" w:space="0" w:color="auto"/>
            <w:left w:val="none" w:sz="0" w:space="0" w:color="auto"/>
            <w:bottom w:val="none" w:sz="0" w:space="0" w:color="auto"/>
            <w:right w:val="none" w:sz="0" w:space="0" w:color="auto"/>
          </w:divBdr>
          <w:divsChild>
            <w:div w:id="1263106817">
              <w:marLeft w:val="0"/>
              <w:marRight w:val="0"/>
              <w:marTop w:val="0"/>
              <w:marBottom w:val="0"/>
              <w:divBdr>
                <w:top w:val="none" w:sz="0" w:space="0" w:color="auto"/>
                <w:left w:val="none" w:sz="0" w:space="0" w:color="auto"/>
                <w:bottom w:val="none" w:sz="0" w:space="0" w:color="auto"/>
                <w:right w:val="none" w:sz="0" w:space="0" w:color="auto"/>
              </w:divBdr>
            </w:div>
          </w:divsChild>
        </w:div>
        <w:div w:id="326902434">
          <w:marLeft w:val="0"/>
          <w:marRight w:val="0"/>
          <w:marTop w:val="0"/>
          <w:marBottom w:val="0"/>
          <w:divBdr>
            <w:top w:val="none" w:sz="0" w:space="0" w:color="auto"/>
            <w:left w:val="none" w:sz="0" w:space="0" w:color="auto"/>
            <w:bottom w:val="none" w:sz="0" w:space="0" w:color="auto"/>
            <w:right w:val="none" w:sz="0" w:space="0" w:color="auto"/>
          </w:divBdr>
          <w:divsChild>
            <w:div w:id="1071543762">
              <w:marLeft w:val="0"/>
              <w:marRight w:val="0"/>
              <w:marTop w:val="0"/>
              <w:marBottom w:val="0"/>
              <w:divBdr>
                <w:top w:val="none" w:sz="0" w:space="0" w:color="auto"/>
                <w:left w:val="none" w:sz="0" w:space="0" w:color="auto"/>
                <w:bottom w:val="none" w:sz="0" w:space="0" w:color="auto"/>
                <w:right w:val="none" w:sz="0" w:space="0" w:color="auto"/>
              </w:divBdr>
            </w:div>
          </w:divsChild>
        </w:div>
        <w:div w:id="328291222">
          <w:marLeft w:val="0"/>
          <w:marRight w:val="0"/>
          <w:marTop w:val="0"/>
          <w:marBottom w:val="0"/>
          <w:divBdr>
            <w:top w:val="none" w:sz="0" w:space="0" w:color="auto"/>
            <w:left w:val="none" w:sz="0" w:space="0" w:color="auto"/>
            <w:bottom w:val="none" w:sz="0" w:space="0" w:color="auto"/>
            <w:right w:val="none" w:sz="0" w:space="0" w:color="auto"/>
          </w:divBdr>
          <w:divsChild>
            <w:div w:id="707952226">
              <w:marLeft w:val="0"/>
              <w:marRight w:val="0"/>
              <w:marTop w:val="0"/>
              <w:marBottom w:val="0"/>
              <w:divBdr>
                <w:top w:val="none" w:sz="0" w:space="0" w:color="auto"/>
                <w:left w:val="none" w:sz="0" w:space="0" w:color="auto"/>
                <w:bottom w:val="none" w:sz="0" w:space="0" w:color="auto"/>
                <w:right w:val="none" w:sz="0" w:space="0" w:color="auto"/>
              </w:divBdr>
            </w:div>
          </w:divsChild>
        </w:div>
        <w:div w:id="333650785">
          <w:marLeft w:val="0"/>
          <w:marRight w:val="0"/>
          <w:marTop w:val="0"/>
          <w:marBottom w:val="0"/>
          <w:divBdr>
            <w:top w:val="none" w:sz="0" w:space="0" w:color="auto"/>
            <w:left w:val="none" w:sz="0" w:space="0" w:color="auto"/>
            <w:bottom w:val="none" w:sz="0" w:space="0" w:color="auto"/>
            <w:right w:val="none" w:sz="0" w:space="0" w:color="auto"/>
          </w:divBdr>
          <w:divsChild>
            <w:div w:id="284314416">
              <w:marLeft w:val="0"/>
              <w:marRight w:val="0"/>
              <w:marTop w:val="0"/>
              <w:marBottom w:val="0"/>
              <w:divBdr>
                <w:top w:val="none" w:sz="0" w:space="0" w:color="auto"/>
                <w:left w:val="none" w:sz="0" w:space="0" w:color="auto"/>
                <w:bottom w:val="none" w:sz="0" w:space="0" w:color="auto"/>
                <w:right w:val="none" w:sz="0" w:space="0" w:color="auto"/>
              </w:divBdr>
            </w:div>
            <w:div w:id="1360666813">
              <w:marLeft w:val="0"/>
              <w:marRight w:val="0"/>
              <w:marTop w:val="0"/>
              <w:marBottom w:val="0"/>
              <w:divBdr>
                <w:top w:val="none" w:sz="0" w:space="0" w:color="auto"/>
                <w:left w:val="none" w:sz="0" w:space="0" w:color="auto"/>
                <w:bottom w:val="none" w:sz="0" w:space="0" w:color="auto"/>
                <w:right w:val="none" w:sz="0" w:space="0" w:color="auto"/>
              </w:divBdr>
            </w:div>
          </w:divsChild>
        </w:div>
        <w:div w:id="336882834">
          <w:marLeft w:val="0"/>
          <w:marRight w:val="0"/>
          <w:marTop w:val="0"/>
          <w:marBottom w:val="0"/>
          <w:divBdr>
            <w:top w:val="none" w:sz="0" w:space="0" w:color="auto"/>
            <w:left w:val="none" w:sz="0" w:space="0" w:color="auto"/>
            <w:bottom w:val="none" w:sz="0" w:space="0" w:color="auto"/>
            <w:right w:val="none" w:sz="0" w:space="0" w:color="auto"/>
          </w:divBdr>
          <w:divsChild>
            <w:div w:id="586766500">
              <w:marLeft w:val="0"/>
              <w:marRight w:val="0"/>
              <w:marTop w:val="0"/>
              <w:marBottom w:val="0"/>
              <w:divBdr>
                <w:top w:val="none" w:sz="0" w:space="0" w:color="auto"/>
                <w:left w:val="none" w:sz="0" w:space="0" w:color="auto"/>
                <w:bottom w:val="none" w:sz="0" w:space="0" w:color="auto"/>
                <w:right w:val="none" w:sz="0" w:space="0" w:color="auto"/>
              </w:divBdr>
            </w:div>
            <w:div w:id="750859352">
              <w:marLeft w:val="0"/>
              <w:marRight w:val="0"/>
              <w:marTop w:val="0"/>
              <w:marBottom w:val="0"/>
              <w:divBdr>
                <w:top w:val="none" w:sz="0" w:space="0" w:color="auto"/>
                <w:left w:val="none" w:sz="0" w:space="0" w:color="auto"/>
                <w:bottom w:val="none" w:sz="0" w:space="0" w:color="auto"/>
                <w:right w:val="none" w:sz="0" w:space="0" w:color="auto"/>
              </w:divBdr>
            </w:div>
            <w:div w:id="951521138">
              <w:marLeft w:val="0"/>
              <w:marRight w:val="0"/>
              <w:marTop w:val="0"/>
              <w:marBottom w:val="0"/>
              <w:divBdr>
                <w:top w:val="none" w:sz="0" w:space="0" w:color="auto"/>
                <w:left w:val="none" w:sz="0" w:space="0" w:color="auto"/>
                <w:bottom w:val="none" w:sz="0" w:space="0" w:color="auto"/>
                <w:right w:val="none" w:sz="0" w:space="0" w:color="auto"/>
              </w:divBdr>
            </w:div>
          </w:divsChild>
        </w:div>
        <w:div w:id="339939547">
          <w:marLeft w:val="0"/>
          <w:marRight w:val="0"/>
          <w:marTop w:val="0"/>
          <w:marBottom w:val="0"/>
          <w:divBdr>
            <w:top w:val="none" w:sz="0" w:space="0" w:color="auto"/>
            <w:left w:val="none" w:sz="0" w:space="0" w:color="auto"/>
            <w:bottom w:val="none" w:sz="0" w:space="0" w:color="auto"/>
            <w:right w:val="none" w:sz="0" w:space="0" w:color="auto"/>
          </w:divBdr>
          <w:divsChild>
            <w:div w:id="143082730">
              <w:marLeft w:val="0"/>
              <w:marRight w:val="0"/>
              <w:marTop w:val="0"/>
              <w:marBottom w:val="0"/>
              <w:divBdr>
                <w:top w:val="none" w:sz="0" w:space="0" w:color="auto"/>
                <w:left w:val="none" w:sz="0" w:space="0" w:color="auto"/>
                <w:bottom w:val="none" w:sz="0" w:space="0" w:color="auto"/>
                <w:right w:val="none" w:sz="0" w:space="0" w:color="auto"/>
              </w:divBdr>
            </w:div>
            <w:div w:id="1611206364">
              <w:marLeft w:val="0"/>
              <w:marRight w:val="0"/>
              <w:marTop w:val="0"/>
              <w:marBottom w:val="0"/>
              <w:divBdr>
                <w:top w:val="none" w:sz="0" w:space="0" w:color="auto"/>
                <w:left w:val="none" w:sz="0" w:space="0" w:color="auto"/>
                <w:bottom w:val="none" w:sz="0" w:space="0" w:color="auto"/>
                <w:right w:val="none" w:sz="0" w:space="0" w:color="auto"/>
              </w:divBdr>
            </w:div>
          </w:divsChild>
        </w:div>
        <w:div w:id="341274799">
          <w:marLeft w:val="0"/>
          <w:marRight w:val="0"/>
          <w:marTop w:val="0"/>
          <w:marBottom w:val="0"/>
          <w:divBdr>
            <w:top w:val="none" w:sz="0" w:space="0" w:color="auto"/>
            <w:left w:val="none" w:sz="0" w:space="0" w:color="auto"/>
            <w:bottom w:val="none" w:sz="0" w:space="0" w:color="auto"/>
            <w:right w:val="none" w:sz="0" w:space="0" w:color="auto"/>
          </w:divBdr>
          <w:divsChild>
            <w:div w:id="727144817">
              <w:marLeft w:val="0"/>
              <w:marRight w:val="0"/>
              <w:marTop w:val="0"/>
              <w:marBottom w:val="0"/>
              <w:divBdr>
                <w:top w:val="none" w:sz="0" w:space="0" w:color="auto"/>
                <w:left w:val="none" w:sz="0" w:space="0" w:color="auto"/>
                <w:bottom w:val="none" w:sz="0" w:space="0" w:color="auto"/>
                <w:right w:val="none" w:sz="0" w:space="0" w:color="auto"/>
              </w:divBdr>
            </w:div>
            <w:div w:id="1525897923">
              <w:marLeft w:val="0"/>
              <w:marRight w:val="0"/>
              <w:marTop w:val="0"/>
              <w:marBottom w:val="0"/>
              <w:divBdr>
                <w:top w:val="none" w:sz="0" w:space="0" w:color="auto"/>
                <w:left w:val="none" w:sz="0" w:space="0" w:color="auto"/>
                <w:bottom w:val="none" w:sz="0" w:space="0" w:color="auto"/>
                <w:right w:val="none" w:sz="0" w:space="0" w:color="auto"/>
              </w:divBdr>
            </w:div>
          </w:divsChild>
        </w:div>
        <w:div w:id="341662086">
          <w:marLeft w:val="0"/>
          <w:marRight w:val="0"/>
          <w:marTop w:val="0"/>
          <w:marBottom w:val="0"/>
          <w:divBdr>
            <w:top w:val="none" w:sz="0" w:space="0" w:color="auto"/>
            <w:left w:val="none" w:sz="0" w:space="0" w:color="auto"/>
            <w:bottom w:val="none" w:sz="0" w:space="0" w:color="auto"/>
            <w:right w:val="none" w:sz="0" w:space="0" w:color="auto"/>
          </w:divBdr>
          <w:divsChild>
            <w:div w:id="88549278">
              <w:marLeft w:val="0"/>
              <w:marRight w:val="0"/>
              <w:marTop w:val="0"/>
              <w:marBottom w:val="0"/>
              <w:divBdr>
                <w:top w:val="none" w:sz="0" w:space="0" w:color="auto"/>
                <w:left w:val="none" w:sz="0" w:space="0" w:color="auto"/>
                <w:bottom w:val="none" w:sz="0" w:space="0" w:color="auto"/>
                <w:right w:val="none" w:sz="0" w:space="0" w:color="auto"/>
              </w:divBdr>
            </w:div>
            <w:div w:id="153448985">
              <w:marLeft w:val="0"/>
              <w:marRight w:val="0"/>
              <w:marTop w:val="0"/>
              <w:marBottom w:val="0"/>
              <w:divBdr>
                <w:top w:val="none" w:sz="0" w:space="0" w:color="auto"/>
                <w:left w:val="none" w:sz="0" w:space="0" w:color="auto"/>
                <w:bottom w:val="none" w:sz="0" w:space="0" w:color="auto"/>
                <w:right w:val="none" w:sz="0" w:space="0" w:color="auto"/>
              </w:divBdr>
            </w:div>
            <w:div w:id="609632397">
              <w:marLeft w:val="0"/>
              <w:marRight w:val="0"/>
              <w:marTop w:val="0"/>
              <w:marBottom w:val="0"/>
              <w:divBdr>
                <w:top w:val="none" w:sz="0" w:space="0" w:color="auto"/>
                <w:left w:val="none" w:sz="0" w:space="0" w:color="auto"/>
                <w:bottom w:val="none" w:sz="0" w:space="0" w:color="auto"/>
                <w:right w:val="none" w:sz="0" w:space="0" w:color="auto"/>
              </w:divBdr>
            </w:div>
            <w:div w:id="992103806">
              <w:marLeft w:val="0"/>
              <w:marRight w:val="0"/>
              <w:marTop w:val="0"/>
              <w:marBottom w:val="0"/>
              <w:divBdr>
                <w:top w:val="none" w:sz="0" w:space="0" w:color="auto"/>
                <w:left w:val="none" w:sz="0" w:space="0" w:color="auto"/>
                <w:bottom w:val="none" w:sz="0" w:space="0" w:color="auto"/>
                <w:right w:val="none" w:sz="0" w:space="0" w:color="auto"/>
              </w:divBdr>
            </w:div>
            <w:div w:id="1415780702">
              <w:marLeft w:val="0"/>
              <w:marRight w:val="0"/>
              <w:marTop w:val="0"/>
              <w:marBottom w:val="0"/>
              <w:divBdr>
                <w:top w:val="none" w:sz="0" w:space="0" w:color="auto"/>
                <w:left w:val="none" w:sz="0" w:space="0" w:color="auto"/>
                <w:bottom w:val="none" w:sz="0" w:space="0" w:color="auto"/>
                <w:right w:val="none" w:sz="0" w:space="0" w:color="auto"/>
              </w:divBdr>
            </w:div>
            <w:div w:id="1498691628">
              <w:marLeft w:val="0"/>
              <w:marRight w:val="0"/>
              <w:marTop w:val="0"/>
              <w:marBottom w:val="0"/>
              <w:divBdr>
                <w:top w:val="none" w:sz="0" w:space="0" w:color="auto"/>
                <w:left w:val="none" w:sz="0" w:space="0" w:color="auto"/>
                <w:bottom w:val="none" w:sz="0" w:space="0" w:color="auto"/>
                <w:right w:val="none" w:sz="0" w:space="0" w:color="auto"/>
              </w:divBdr>
            </w:div>
            <w:div w:id="1568490363">
              <w:marLeft w:val="0"/>
              <w:marRight w:val="0"/>
              <w:marTop w:val="0"/>
              <w:marBottom w:val="0"/>
              <w:divBdr>
                <w:top w:val="none" w:sz="0" w:space="0" w:color="auto"/>
                <w:left w:val="none" w:sz="0" w:space="0" w:color="auto"/>
                <w:bottom w:val="none" w:sz="0" w:space="0" w:color="auto"/>
                <w:right w:val="none" w:sz="0" w:space="0" w:color="auto"/>
              </w:divBdr>
            </w:div>
            <w:div w:id="1763648225">
              <w:marLeft w:val="0"/>
              <w:marRight w:val="0"/>
              <w:marTop w:val="0"/>
              <w:marBottom w:val="0"/>
              <w:divBdr>
                <w:top w:val="none" w:sz="0" w:space="0" w:color="auto"/>
                <w:left w:val="none" w:sz="0" w:space="0" w:color="auto"/>
                <w:bottom w:val="none" w:sz="0" w:space="0" w:color="auto"/>
                <w:right w:val="none" w:sz="0" w:space="0" w:color="auto"/>
              </w:divBdr>
            </w:div>
            <w:div w:id="2075468227">
              <w:marLeft w:val="0"/>
              <w:marRight w:val="0"/>
              <w:marTop w:val="0"/>
              <w:marBottom w:val="0"/>
              <w:divBdr>
                <w:top w:val="none" w:sz="0" w:space="0" w:color="auto"/>
                <w:left w:val="none" w:sz="0" w:space="0" w:color="auto"/>
                <w:bottom w:val="none" w:sz="0" w:space="0" w:color="auto"/>
                <w:right w:val="none" w:sz="0" w:space="0" w:color="auto"/>
              </w:divBdr>
            </w:div>
          </w:divsChild>
        </w:div>
        <w:div w:id="349063275">
          <w:marLeft w:val="0"/>
          <w:marRight w:val="0"/>
          <w:marTop w:val="0"/>
          <w:marBottom w:val="0"/>
          <w:divBdr>
            <w:top w:val="none" w:sz="0" w:space="0" w:color="auto"/>
            <w:left w:val="none" w:sz="0" w:space="0" w:color="auto"/>
            <w:bottom w:val="none" w:sz="0" w:space="0" w:color="auto"/>
            <w:right w:val="none" w:sz="0" w:space="0" w:color="auto"/>
          </w:divBdr>
          <w:divsChild>
            <w:div w:id="310015983">
              <w:marLeft w:val="0"/>
              <w:marRight w:val="0"/>
              <w:marTop w:val="0"/>
              <w:marBottom w:val="0"/>
              <w:divBdr>
                <w:top w:val="none" w:sz="0" w:space="0" w:color="auto"/>
                <w:left w:val="none" w:sz="0" w:space="0" w:color="auto"/>
                <w:bottom w:val="none" w:sz="0" w:space="0" w:color="auto"/>
                <w:right w:val="none" w:sz="0" w:space="0" w:color="auto"/>
              </w:divBdr>
            </w:div>
            <w:div w:id="952708486">
              <w:marLeft w:val="0"/>
              <w:marRight w:val="0"/>
              <w:marTop w:val="0"/>
              <w:marBottom w:val="0"/>
              <w:divBdr>
                <w:top w:val="none" w:sz="0" w:space="0" w:color="auto"/>
                <w:left w:val="none" w:sz="0" w:space="0" w:color="auto"/>
                <w:bottom w:val="none" w:sz="0" w:space="0" w:color="auto"/>
                <w:right w:val="none" w:sz="0" w:space="0" w:color="auto"/>
              </w:divBdr>
            </w:div>
            <w:div w:id="1164735286">
              <w:marLeft w:val="0"/>
              <w:marRight w:val="0"/>
              <w:marTop w:val="0"/>
              <w:marBottom w:val="0"/>
              <w:divBdr>
                <w:top w:val="none" w:sz="0" w:space="0" w:color="auto"/>
                <w:left w:val="none" w:sz="0" w:space="0" w:color="auto"/>
                <w:bottom w:val="none" w:sz="0" w:space="0" w:color="auto"/>
                <w:right w:val="none" w:sz="0" w:space="0" w:color="auto"/>
              </w:divBdr>
            </w:div>
          </w:divsChild>
        </w:div>
        <w:div w:id="350224563">
          <w:marLeft w:val="0"/>
          <w:marRight w:val="0"/>
          <w:marTop w:val="0"/>
          <w:marBottom w:val="0"/>
          <w:divBdr>
            <w:top w:val="none" w:sz="0" w:space="0" w:color="auto"/>
            <w:left w:val="none" w:sz="0" w:space="0" w:color="auto"/>
            <w:bottom w:val="none" w:sz="0" w:space="0" w:color="auto"/>
            <w:right w:val="none" w:sz="0" w:space="0" w:color="auto"/>
          </w:divBdr>
          <w:divsChild>
            <w:div w:id="1182428085">
              <w:marLeft w:val="0"/>
              <w:marRight w:val="0"/>
              <w:marTop w:val="0"/>
              <w:marBottom w:val="0"/>
              <w:divBdr>
                <w:top w:val="none" w:sz="0" w:space="0" w:color="auto"/>
                <w:left w:val="none" w:sz="0" w:space="0" w:color="auto"/>
                <w:bottom w:val="none" w:sz="0" w:space="0" w:color="auto"/>
                <w:right w:val="none" w:sz="0" w:space="0" w:color="auto"/>
              </w:divBdr>
            </w:div>
          </w:divsChild>
        </w:div>
        <w:div w:id="350453478">
          <w:marLeft w:val="0"/>
          <w:marRight w:val="0"/>
          <w:marTop w:val="0"/>
          <w:marBottom w:val="0"/>
          <w:divBdr>
            <w:top w:val="none" w:sz="0" w:space="0" w:color="auto"/>
            <w:left w:val="none" w:sz="0" w:space="0" w:color="auto"/>
            <w:bottom w:val="none" w:sz="0" w:space="0" w:color="auto"/>
            <w:right w:val="none" w:sz="0" w:space="0" w:color="auto"/>
          </w:divBdr>
          <w:divsChild>
            <w:div w:id="1218936121">
              <w:marLeft w:val="0"/>
              <w:marRight w:val="0"/>
              <w:marTop w:val="0"/>
              <w:marBottom w:val="0"/>
              <w:divBdr>
                <w:top w:val="none" w:sz="0" w:space="0" w:color="auto"/>
                <w:left w:val="none" w:sz="0" w:space="0" w:color="auto"/>
                <w:bottom w:val="none" w:sz="0" w:space="0" w:color="auto"/>
                <w:right w:val="none" w:sz="0" w:space="0" w:color="auto"/>
              </w:divBdr>
            </w:div>
          </w:divsChild>
        </w:div>
        <w:div w:id="352147602">
          <w:marLeft w:val="0"/>
          <w:marRight w:val="0"/>
          <w:marTop w:val="0"/>
          <w:marBottom w:val="0"/>
          <w:divBdr>
            <w:top w:val="none" w:sz="0" w:space="0" w:color="auto"/>
            <w:left w:val="none" w:sz="0" w:space="0" w:color="auto"/>
            <w:bottom w:val="none" w:sz="0" w:space="0" w:color="auto"/>
            <w:right w:val="none" w:sz="0" w:space="0" w:color="auto"/>
          </w:divBdr>
          <w:divsChild>
            <w:div w:id="141821791">
              <w:marLeft w:val="0"/>
              <w:marRight w:val="0"/>
              <w:marTop w:val="0"/>
              <w:marBottom w:val="0"/>
              <w:divBdr>
                <w:top w:val="none" w:sz="0" w:space="0" w:color="auto"/>
                <w:left w:val="none" w:sz="0" w:space="0" w:color="auto"/>
                <w:bottom w:val="none" w:sz="0" w:space="0" w:color="auto"/>
                <w:right w:val="none" w:sz="0" w:space="0" w:color="auto"/>
              </w:divBdr>
            </w:div>
            <w:div w:id="1447962941">
              <w:marLeft w:val="0"/>
              <w:marRight w:val="0"/>
              <w:marTop w:val="0"/>
              <w:marBottom w:val="0"/>
              <w:divBdr>
                <w:top w:val="none" w:sz="0" w:space="0" w:color="auto"/>
                <w:left w:val="none" w:sz="0" w:space="0" w:color="auto"/>
                <w:bottom w:val="none" w:sz="0" w:space="0" w:color="auto"/>
                <w:right w:val="none" w:sz="0" w:space="0" w:color="auto"/>
              </w:divBdr>
            </w:div>
          </w:divsChild>
        </w:div>
        <w:div w:id="364058771">
          <w:marLeft w:val="0"/>
          <w:marRight w:val="0"/>
          <w:marTop w:val="0"/>
          <w:marBottom w:val="0"/>
          <w:divBdr>
            <w:top w:val="none" w:sz="0" w:space="0" w:color="auto"/>
            <w:left w:val="none" w:sz="0" w:space="0" w:color="auto"/>
            <w:bottom w:val="none" w:sz="0" w:space="0" w:color="auto"/>
            <w:right w:val="none" w:sz="0" w:space="0" w:color="auto"/>
          </w:divBdr>
          <w:divsChild>
            <w:div w:id="209344879">
              <w:marLeft w:val="0"/>
              <w:marRight w:val="0"/>
              <w:marTop w:val="0"/>
              <w:marBottom w:val="0"/>
              <w:divBdr>
                <w:top w:val="none" w:sz="0" w:space="0" w:color="auto"/>
                <w:left w:val="none" w:sz="0" w:space="0" w:color="auto"/>
                <w:bottom w:val="none" w:sz="0" w:space="0" w:color="auto"/>
                <w:right w:val="none" w:sz="0" w:space="0" w:color="auto"/>
              </w:divBdr>
            </w:div>
            <w:div w:id="329603532">
              <w:marLeft w:val="0"/>
              <w:marRight w:val="0"/>
              <w:marTop w:val="0"/>
              <w:marBottom w:val="0"/>
              <w:divBdr>
                <w:top w:val="none" w:sz="0" w:space="0" w:color="auto"/>
                <w:left w:val="none" w:sz="0" w:space="0" w:color="auto"/>
                <w:bottom w:val="none" w:sz="0" w:space="0" w:color="auto"/>
                <w:right w:val="none" w:sz="0" w:space="0" w:color="auto"/>
              </w:divBdr>
            </w:div>
          </w:divsChild>
        </w:div>
        <w:div w:id="364142704">
          <w:marLeft w:val="0"/>
          <w:marRight w:val="0"/>
          <w:marTop w:val="0"/>
          <w:marBottom w:val="0"/>
          <w:divBdr>
            <w:top w:val="none" w:sz="0" w:space="0" w:color="auto"/>
            <w:left w:val="none" w:sz="0" w:space="0" w:color="auto"/>
            <w:bottom w:val="none" w:sz="0" w:space="0" w:color="auto"/>
            <w:right w:val="none" w:sz="0" w:space="0" w:color="auto"/>
          </w:divBdr>
          <w:divsChild>
            <w:div w:id="474571316">
              <w:marLeft w:val="0"/>
              <w:marRight w:val="0"/>
              <w:marTop w:val="0"/>
              <w:marBottom w:val="0"/>
              <w:divBdr>
                <w:top w:val="none" w:sz="0" w:space="0" w:color="auto"/>
                <w:left w:val="none" w:sz="0" w:space="0" w:color="auto"/>
                <w:bottom w:val="none" w:sz="0" w:space="0" w:color="auto"/>
                <w:right w:val="none" w:sz="0" w:space="0" w:color="auto"/>
              </w:divBdr>
            </w:div>
            <w:div w:id="1508669796">
              <w:marLeft w:val="0"/>
              <w:marRight w:val="0"/>
              <w:marTop w:val="0"/>
              <w:marBottom w:val="0"/>
              <w:divBdr>
                <w:top w:val="none" w:sz="0" w:space="0" w:color="auto"/>
                <w:left w:val="none" w:sz="0" w:space="0" w:color="auto"/>
                <w:bottom w:val="none" w:sz="0" w:space="0" w:color="auto"/>
                <w:right w:val="none" w:sz="0" w:space="0" w:color="auto"/>
              </w:divBdr>
            </w:div>
            <w:div w:id="1719041065">
              <w:marLeft w:val="0"/>
              <w:marRight w:val="0"/>
              <w:marTop w:val="0"/>
              <w:marBottom w:val="0"/>
              <w:divBdr>
                <w:top w:val="none" w:sz="0" w:space="0" w:color="auto"/>
                <w:left w:val="none" w:sz="0" w:space="0" w:color="auto"/>
                <w:bottom w:val="none" w:sz="0" w:space="0" w:color="auto"/>
                <w:right w:val="none" w:sz="0" w:space="0" w:color="auto"/>
              </w:divBdr>
            </w:div>
          </w:divsChild>
        </w:div>
        <w:div w:id="367414382">
          <w:marLeft w:val="0"/>
          <w:marRight w:val="0"/>
          <w:marTop w:val="0"/>
          <w:marBottom w:val="0"/>
          <w:divBdr>
            <w:top w:val="none" w:sz="0" w:space="0" w:color="auto"/>
            <w:left w:val="none" w:sz="0" w:space="0" w:color="auto"/>
            <w:bottom w:val="none" w:sz="0" w:space="0" w:color="auto"/>
            <w:right w:val="none" w:sz="0" w:space="0" w:color="auto"/>
          </w:divBdr>
          <w:divsChild>
            <w:div w:id="402416247">
              <w:marLeft w:val="0"/>
              <w:marRight w:val="0"/>
              <w:marTop w:val="0"/>
              <w:marBottom w:val="0"/>
              <w:divBdr>
                <w:top w:val="none" w:sz="0" w:space="0" w:color="auto"/>
                <w:left w:val="none" w:sz="0" w:space="0" w:color="auto"/>
                <w:bottom w:val="none" w:sz="0" w:space="0" w:color="auto"/>
                <w:right w:val="none" w:sz="0" w:space="0" w:color="auto"/>
              </w:divBdr>
            </w:div>
          </w:divsChild>
        </w:div>
        <w:div w:id="368651275">
          <w:marLeft w:val="0"/>
          <w:marRight w:val="0"/>
          <w:marTop w:val="0"/>
          <w:marBottom w:val="0"/>
          <w:divBdr>
            <w:top w:val="none" w:sz="0" w:space="0" w:color="auto"/>
            <w:left w:val="none" w:sz="0" w:space="0" w:color="auto"/>
            <w:bottom w:val="none" w:sz="0" w:space="0" w:color="auto"/>
            <w:right w:val="none" w:sz="0" w:space="0" w:color="auto"/>
          </w:divBdr>
          <w:divsChild>
            <w:div w:id="61147441">
              <w:marLeft w:val="0"/>
              <w:marRight w:val="0"/>
              <w:marTop w:val="0"/>
              <w:marBottom w:val="0"/>
              <w:divBdr>
                <w:top w:val="none" w:sz="0" w:space="0" w:color="auto"/>
                <w:left w:val="none" w:sz="0" w:space="0" w:color="auto"/>
                <w:bottom w:val="none" w:sz="0" w:space="0" w:color="auto"/>
                <w:right w:val="none" w:sz="0" w:space="0" w:color="auto"/>
              </w:divBdr>
            </w:div>
            <w:div w:id="978875010">
              <w:marLeft w:val="0"/>
              <w:marRight w:val="0"/>
              <w:marTop w:val="0"/>
              <w:marBottom w:val="0"/>
              <w:divBdr>
                <w:top w:val="none" w:sz="0" w:space="0" w:color="auto"/>
                <w:left w:val="none" w:sz="0" w:space="0" w:color="auto"/>
                <w:bottom w:val="none" w:sz="0" w:space="0" w:color="auto"/>
                <w:right w:val="none" w:sz="0" w:space="0" w:color="auto"/>
              </w:divBdr>
            </w:div>
          </w:divsChild>
        </w:div>
        <w:div w:id="372655373">
          <w:marLeft w:val="0"/>
          <w:marRight w:val="0"/>
          <w:marTop w:val="0"/>
          <w:marBottom w:val="0"/>
          <w:divBdr>
            <w:top w:val="none" w:sz="0" w:space="0" w:color="auto"/>
            <w:left w:val="none" w:sz="0" w:space="0" w:color="auto"/>
            <w:bottom w:val="none" w:sz="0" w:space="0" w:color="auto"/>
            <w:right w:val="none" w:sz="0" w:space="0" w:color="auto"/>
          </w:divBdr>
          <w:divsChild>
            <w:div w:id="88893291">
              <w:marLeft w:val="0"/>
              <w:marRight w:val="0"/>
              <w:marTop w:val="0"/>
              <w:marBottom w:val="0"/>
              <w:divBdr>
                <w:top w:val="none" w:sz="0" w:space="0" w:color="auto"/>
                <w:left w:val="none" w:sz="0" w:space="0" w:color="auto"/>
                <w:bottom w:val="none" w:sz="0" w:space="0" w:color="auto"/>
                <w:right w:val="none" w:sz="0" w:space="0" w:color="auto"/>
              </w:divBdr>
            </w:div>
            <w:div w:id="531455700">
              <w:marLeft w:val="0"/>
              <w:marRight w:val="0"/>
              <w:marTop w:val="0"/>
              <w:marBottom w:val="0"/>
              <w:divBdr>
                <w:top w:val="none" w:sz="0" w:space="0" w:color="auto"/>
                <w:left w:val="none" w:sz="0" w:space="0" w:color="auto"/>
                <w:bottom w:val="none" w:sz="0" w:space="0" w:color="auto"/>
                <w:right w:val="none" w:sz="0" w:space="0" w:color="auto"/>
              </w:divBdr>
            </w:div>
          </w:divsChild>
        </w:div>
        <w:div w:id="378674622">
          <w:marLeft w:val="0"/>
          <w:marRight w:val="0"/>
          <w:marTop w:val="0"/>
          <w:marBottom w:val="0"/>
          <w:divBdr>
            <w:top w:val="none" w:sz="0" w:space="0" w:color="auto"/>
            <w:left w:val="none" w:sz="0" w:space="0" w:color="auto"/>
            <w:bottom w:val="none" w:sz="0" w:space="0" w:color="auto"/>
            <w:right w:val="none" w:sz="0" w:space="0" w:color="auto"/>
          </w:divBdr>
          <w:divsChild>
            <w:div w:id="322663072">
              <w:marLeft w:val="0"/>
              <w:marRight w:val="0"/>
              <w:marTop w:val="0"/>
              <w:marBottom w:val="0"/>
              <w:divBdr>
                <w:top w:val="none" w:sz="0" w:space="0" w:color="auto"/>
                <w:left w:val="none" w:sz="0" w:space="0" w:color="auto"/>
                <w:bottom w:val="none" w:sz="0" w:space="0" w:color="auto"/>
                <w:right w:val="none" w:sz="0" w:space="0" w:color="auto"/>
              </w:divBdr>
            </w:div>
            <w:div w:id="1634481987">
              <w:marLeft w:val="0"/>
              <w:marRight w:val="0"/>
              <w:marTop w:val="0"/>
              <w:marBottom w:val="0"/>
              <w:divBdr>
                <w:top w:val="none" w:sz="0" w:space="0" w:color="auto"/>
                <w:left w:val="none" w:sz="0" w:space="0" w:color="auto"/>
                <w:bottom w:val="none" w:sz="0" w:space="0" w:color="auto"/>
                <w:right w:val="none" w:sz="0" w:space="0" w:color="auto"/>
              </w:divBdr>
            </w:div>
          </w:divsChild>
        </w:div>
        <w:div w:id="381100025">
          <w:marLeft w:val="0"/>
          <w:marRight w:val="0"/>
          <w:marTop w:val="0"/>
          <w:marBottom w:val="0"/>
          <w:divBdr>
            <w:top w:val="none" w:sz="0" w:space="0" w:color="auto"/>
            <w:left w:val="none" w:sz="0" w:space="0" w:color="auto"/>
            <w:bottom w:val="none" w:sz="0" w:space="0" w:color="auto"/>
            <w:right w:val="none" w:sz="0" w:space="0" w:color="auto"/>
          </w:divBdr>
          <w:divsChild>
            <w:div w:id="501556009">
              <w:marLeft w:val="0"/>
              <w:marRight w:val="0"/>
              <w:marTop w:val="0"/>
              <w:marBottom w:val="0"/>
              <w:divBdr>
                <w:top w:val="none" w:sz="0" w:space="0" w:color="auto"/>
                <w:left w:val="none" w:sz="0" w:space="0" w:color="auto"/>
                <w:bottom w:val="none" w:sz="0" w:space="0" w:color="auto"/>
                <w:right w:val="none" w:sz="0" w:space="0" w:color="auto"/>
              </w:divBdr>
            </w:div>
            <w:div w:id="1720202911">
              <w:marLeft w:val="0"/>
              <w:marRight w:val="0"/>
              <w:marTop w:val="0"/>
              <w:marBottom w:val="0"/>
              <w:divBdr>
                <w:top w:val="none" w:sz="0" w:space="0" w:color="auto"/>
                <w:left w:val="none" w:sz="0" w:space="0" w:color="auto"/>
                <w:bottom w:val="none" w:sz="0" w:space="0" w:color="auto"/>
                <w:right w:val="none" w:sz="0" w:space="0" w:color="auto"/>
              </w:divBdr>
            </w:div>
          </w:divsChild>
        </w:div>
        <w:div w:id="390273118">
          <w:marLeft w:val="0"/>
          <w:marRight w:val="0"/>
          <w:marTop w:val="0"/>
          <w:marBottom w:val="0"/>
          <w:divBdr>
            <w:top w:val="none" w:sz="0" w:space="0" w:color="auto"/>
            <w:left w:val="none" w:sz="0" w:space="0" w:color="auto"/>
            <w:bottom w:val="none" w:sz="0" w:space="0" w:color="auto"/>
            <w:right w:val="none" w:sz="0" w:space="0" w:color="auto"/>
          </w:divBdr>
          <w:divsChild>
            <w:div w:id="1264413417">
              <w:marLeft w:val="0"/>
              <w:marRight w:val="0"/>
              <w:marTop w:val="0"/>
              <w:marBottom w:val="0"/>
              <w:divBdr>
                <w:top w:val="none" w:sz="0" w:space="0" w:color="auto"/>
                <w:left w:val="none" w:sz="0" w:space="0" w:color="auto"/>
                <w:bottom w:val="none" w:sz="0" w:space="0" w:color="auto"/>
                <w:right w:val="none" w:sz="0" w:space="0" w:color="auto"/>
              </w:divBdr>
            </w:div>
            <w:div w:id="1757047255">
              <w:marLeft w:val="0"/>
              <w:marRight w:val="0"/>
              <w:marTop w:val="0"/>
              <w:marBottom w:val="0"/>
              <w:divBdr>
                <w:top w:val="none" w:sz="0" w:space="0" w:color="auto"/>
                <w:left w:val="none" w:sz="0" w:space="0" w:color="auto"/>
                <w:bottom w:val="none" w:sz="0" w:space="0" w:color="auto"/>
                <w:right w:val="none" w:sz="0" w:space="0" w:color="auto"/>
              </w:divBdr>
            </w:div>
            <w:div w:id="2085880547">
              <w:marLeft w:val="0"/>
              <w:marRight w:val="0"/>
              <w:marTop w:val="0"/>
              <w:marBottom w:val="0"/>
              <w:divBdr>
                <w:top w:val="none" w:sz="0" w:space="0" w:color="auto"/>
                <w:left w:val="none" w:sz="0" w:space="0" w:color="auto"/>
                <w:bottom w:val="none" w:sz="0" w:space="0" w:color="auto"/>
                <w:right w:val="none" w:sz="0" w:space="0" w:color="auto"/>
              </w:divBdr>
            </w:div>
          </w:divsChild>
        </w:div>
        <w:div w:id="390613908">
          <w:marLeft w:val="0"/>
          <w:marRight w:val="0"/>
          <w:marTop w:val="0"/>
          <w:marBottom w:val="0"/>
          <w:divBdr>
            <w:top w:val="none" w:sz="0" w:space="0" w:color="auto"/>
            <w:left w:val="none" w:sz="0" w:space="0" w:color="auto"/>
            <w:bottom w:val="none" w:sz="0" w:space="0" w:color="auto"/>
            <w:right w:val="none" w:sz="0" w:space="0" w:color="auto"/>
          </w:divBdr>
          <w:divsChild>
            <w:div w:id="1246570621">
              <w:marLeft w:val="0"/>
              <w:marRight w:val="0"/>
              <w:marTop w:val="0"/>
              <w:marBottom w:val="0"/>
              <w:divBdr>
                <w:top w:val="none" w:sz="0" w:space="0" w:color="auto"/>
                <w:left w:val="none" w:sz="0" w:space="0" w:color="auto"/>
                <w:bottom w:val="none" w:sz="0" w:space="0" w:color="auto"/>
                <w:right w:val="none" w:sz="0" w:space="0" w:color="auto"/>
              </w:divBdr>
            </w:div>
            <w:div w:id="1488277078">
              <w:marLeft w:val="0"/>
              <w:marRight w:val="0"/>
              <w:marTop w:val="0"/>
              <w:marBottom w:val="0"/>
              <w:divBdr>
                <w:top w:val="none" w:sz="0" w:space="0" w:color="auto"/>
                <w:left w:val="none" w:sz="0" w:space="0" w:color="auto"/>
                <w:bottom w:val="none" w:sz="0" w:space="0" w:color="auto"/>
                <w:right w:val="none" w:sz="0" w:space="0" w:color="auto"/>
              </w:divBdr>
            </w:div>
            <w:div w:id="1554659603">
              <w:marLeft w:val="0"/>
              <w:marRight w:val="0"/>
              <w:marTop w:val="0"/>
              <w:marBottom w:val="0"/>
              <w:divBdr>
                <w:top w:val="none" w:sz="0" w:space="0" w:color="auto"/>
                <w:left w:val="none" w:sz="0" w:space="0" w:color="auto"/>
                <w:bottom w:val="none" w:sz="0" w:space="0" w:color="auto"/>
                <w:right w:val="none" w:sz="0" w:space="0" w:color="auto"/>
              </w:divBdr>
            </w:div>
          </w:divsChild>
        </w:div>
        <w:div w:id="391928057">
          <w:marLeft w:val="0"/>
          <w:marRight w:val="0"/>
          <w:marTop w:val="0"/>
          <w:marBottom w:val="0"/>
          <w:divBdr>
            <w:top w:val="none" w:sz="0" w:space="0" w:color="auto"/>
            <w:left w:val="none" w:sz="0" w:space="0" w:color="auto"/>
            <w:bottom w:val="none" w:sz="0" w:space="0" w:color="auto"/>
            <w:right w:val="none" w:sz="0" w:space="0" w:color="auto"/>
          </w:divBdr>
          <w:divsChild>
            <w:div w:id="1878347568">
              <w:marLeft w:val="0"/>
              <w:marRight w:val="0"/>
              <w:marTop w:val="0"/>
              <w:marBottom w:val="0"/>
              <w:divBdr>
                <w:top w:val="none" w:sz="0" w:space="0" w:color="auto"/>
                <w:left w:val="none" w:sz="0" w:space="0" w:color="auto"/>
                <w:bottom w:val="none" w:sz="0" w:space="0" w:color="auto"/>
                <w:right w:val="none" w:sz="0" w:space="0" w:color="auto"/>
              </w:divBdr>
            </w:div>
            <w:div w:id="1928266903">
              <w:marLeft w:val="0"/>
              <w:marRight w:val="0"/>
              <w:marTop w:val="0"/>
              <w:marBottom w:val="0"/>
              <w:divBdr>
                <w:top w:val="none" w:sz="0" w:space="0" w:color="auto"/>
                <w:left w:val="none" w:sz="0" w:space="0" w:color="auto"/>
                <w:bottom w:val="none" w:sz="0" w:space="0" w:color="auto"/>
                <w:right w:val="none" w:sz="0" w:space="0" w:color="auto"/>
              </w:divBdr>
            </w:div>
          </w:divsChild>
        </w:div>
        <w:div w:id="423958634">
          <w:marLeft w:val="0"/>
          <w:marRight w:val="0"/>
          <w:marTop w:val="0"/>
          <w:marBottom w:val="0"/>
          <w:divBdr>
            <w:top w:val="none" w:sz="0" w:space="0" w:color="auto"/>
            <w:left w:val="none" w:sz="0" w:space="0" w:color="auto"/>
            <w:bottom w:val="none" w:sz="0" w:space="0" w:color="auto"/>
            <w:right w:val="none" w:sz="0" w:space="0" w:color="auto"/>
          </w:divBdr>
          <w:divsChild>
            <w:div w:id="112939935">
              <w:marLeft w:val="0"/>
              <w:marRight w:val="0"/>
              <w:marTop w:val="0"/>
              <w:marBottom w:val="0"/>
              <w:divBdr>
                <w:top w:val="none" w:sz="0" w:space="0" w:color="auto"/>
                <w:left w:val="none" w:sz="0" w:space="0" w:color="auto"/>
                <w:bottom w:val="none" w:sz="0" w:space="0" w:color="auto"/>
                <w:right w:val="none" w:sz="0" w:space="0" w:color="auto"/>
              </w:divBdr>
            </w:div>
          </w:divsChild>
        </w:div>
        <w:div w:id="426075332">
          <w:marLeft w:val="0"/>
          <w:marRight w:val="0"/>
          <w:marTop w:val="0"/>
          <w:marBottom w:val="0"/>
          <w:divBdr>
            <w:top w:val="none" w:sz="0" w:space="0" w:color="auto"/>
            <w:left w:val="none" w:sz="0" w:space="0" w:color="auto"/>
            <w:bottom w:val="none" w:sz="0" w:space="0" w:color="auto"/>
            <w:right w:val="none" w:sz="0" w:space="0" w:color="auto"/>
          </w:divBdr>
          <w:divsChild>
            <w:div w:id="587353231">
              <w:marLeft w:val="0"/>
              <w:marRight w:val="0"/>
              <w:marTop w:val="0"/>
              <w:marBottom w:val="0"/>
              <w:divBdr>
                <w:top w:val="none" w:sz="0" w:space="0" w:color="auto"/>
                <w:left w:val="none" w:sz="0" w:space="0" w:color="auto"/>
                <w:bottom w:val="none" w:sz="0" w:space="0" w:color="auto"/>
                <w:right w:val="none" w:sz="0" w:space="0" w:color="auto"/>
              </w:divBdr>
            </w:div>
          </w:divsChild>
        </w:div>
        <w:div w:id="432557124">
          <w:marLeft w:val="0"/>
          <w:marRight w:val="0"/>
          <w:marTop w:val="0"/>
          <w:marBottom w:val="0"/>
          <w:divBdr>
            <w:top w:val="none" w:sz="0" w:space="0" w:color="auto"/>
            <w:left w:val="none" w:sz="0" w:space="0" w:color="auto"/>
            <w:bottom w:val="none" w:sz="0" w:space="0" w:color="auto"/>
            <w:right w:val="none" w:sz="0" w:space="0" w:color="auto"/>
          </w:divBdr>
          <w:divsChild>
            <w:div w:id="1146971065">
              <w:marLeft w:val="0"/>
              <w:marRight w:val="0"/>
              <w:marTop w:val="0"/>
              <w:marBottom w:val="0"/>
              <w:divBdr>
                <w:top w:val="none" w:sz="0" w:space="0" w:color="auto"/>
                <w:left w:val="none" w:sz="0" w:space="0" w:color="auto"/>
                <w:bottom w:val="none" w:sz="0" w:space="0" w:color="auto"/>
                <w:right w:val="none" w:sz="0" w:space="0" w:color="auto"/>
              </w:divBdr>
            </w:div>
            <w:div w:id="1400516282">
              <w:marLeft w:val="0"/>
              <w:marRight w:val="0"/>
              <w:marTop w:val="0"/>
              <w:marBottom w:val="0"/>
              <w:divBdr>
                <w:top w:val="none" w:sz="0" w:space="0" w:color="auto"/>
                <w:left w:val="none" w:sz="0" w:space="0" w:color="auto"/>
                <w:bottom w:val="none" w:sz="0" w:space="0" w:color="auto"/>
                <w:right w:val="none" w:sz="0" w:space="0" w:color="auto"/>
              </w:divBdr>
            </w:div>
            <w:div w:id="1517380026">
              <w:marLeft w:val="0"/>
              <w:marRight w:val="0"/>
              <w:marTop w:val="0"/>
              <w:marBottom w:val="0"/>
              <w:divBdr>
                <w:top w:val="none" w:sz="0" w:space="0" w:color="auto"/>
                <w:left w:val="none" w:sz="0" w:space="0" w:color="auto"/>
                <w:bottom w:val="none" w:sz="0" w:space="0" w:color="auto"/>
                <w:right w:val="none" w:sz="0" w:space="0" w:color="auto"/>
              </w:divBdr>
            </w:div>
          </w:divsChild>
        </w:div>
        <w:div w:id="448740476">
          <w:marLeft w:val="0"/>
          <w:marRight w:val="0"/>
          <w:marTop w:val="0"/>
          <w:marBottom w:val="0"/>
          <w:divBdr>
            <w:top w:val="none" w:sz="0" w:space="0" w:color="auto"/>
            <w:left w:val="none" w:sz="0" w:space="0" w:color="auto"/>
            <w:bottom w:val="none" w:sz="0" w:space="0" w:color="auto"/>
            <w:right w:val="none" w:sz="0" w:space="0" w:color="auto"/>
          </w:divBdr>
          <w:divsChild>
            <w:div w:id="1451435971">
              <w:marLeft w:val="0"/>
              <w:marRight w:val="0"/>
              <w:marTop w:val="0"/>
              <w:marBottom w:val="0"/>
              <w:divBdr>
                <w:top w:val="none" w:sz="0" w:space="0" w:color="auto"/>
                <w:left w:val="none" w:sz="0" w:space="0" w:color="auto"/>
                <w:bottom w:val="none" w:sz="0" w:space="0" w:color="auto"/>
                <w:right w:val="none" w:sz="0" w:space="0" w:color="auto"/>
              </w:divBdr>
            </w:div>
            <w:div w:id="1979798968">
              <w:marLeft w:val="0"/>
              <w:marRight w:val="0"/>
              <w:marTop w:val="0"/>
              <w:marBottom w:val="0"/>
              <w:divBdr>
                <w:top w:val="none" w:sz="0" w:space="0" w:color="auto"/>
                <w:left w:val="none" w:sz="0" w:space="0" w:color="auto"/>
                <w:bottom w:val="none" w:sz="0" w:space="0" w:color="auto"/>
                <w:right w:val="none" w:sz="0" w:space="0" w:color="auto"/>
              </w:divBdr>
            </w:div>
          </w:divsChild>
        </w:div>
        <w:div w:id="454100847">
          <w:marLeft w:val="0"/>
          <w:marRight w:val="0"/>
          <w:marTop w:val="0"/>
          <w:marBottom w:val="0"/>
          <w:divBdr>
            <w:top w:val="none" w:sz="0" w:space="0" w:color="auto"/>
            <w:left w:val="none" w:sz="0" w:space="0" w:color="auto"/>
            <w:bottom w:val="none" w:sz="0" w:space="0" w:color="auto"/>
            <w:right w:val="none" w:sz="0" w:space="0" w:color="auto"/>
          </w:divBdr>
          <w:divsChild>
            <w:div w:id="30111940">
              <w:marLeft w:val="0"/>
              <w:marRight w:val="0"/>
              <w:marTop w:val="0"/>
              <w:marBottom w:val="0"/>
              <w:divBdr>
                <w:top w:val="none" w:sz="0" w:space="0" w:color="auto"/>
                <w:left w:val="none" w:sz="0" w:space="0" w:color="auto"/>
                <w:bottom w:val="none" w:sz="0" w:space="0" w:color="auto"/>
                <w:right w:val="none" w:sz="0" w:space="0" w:color="auto"/>
              </w:divBdr>
            </w:div>
            <w:div w:id="1338580317">
              <w:marLeft w:val="0"/>
              <w:marRight w:val="0"/>
              <w:marTop w:val="0"/>
              <w:marBottom w:val="0"/>
              <w:divBdr>
                <w:top w:val="none" w:sz="0" w:space="0" w:color="auto"/>
                <w:left w:val="none" w:sz="0" w:space="0" w:color="auto"/>
                <w:bottom w:val="none" w:sz="0" w:space="0" w:color="auto"/>
                <w:right w:val="none" w:sz="0" w:space="0" w:color="auto"/>
              </w:divBdr>
            </w:div>
            <w:div w:id="1508593972">
              <w:marLeft w:val="0"/>
              <w:marRight w:val="0"/>
              <w:marTop w:val="0"/>
              <w:marBottom w:val="0"/>
              <w:divBdr>
                <w:top w:val="none" w:sz="0" w:space="0" w:color="auto"/>
                <w:left w:val="none" w:sz="0" w:space="0" w:color="auto"/>
                <w:bottom w:val="none" w:sz="0" w:space="0" w:color="auto"/>
                <w:right w:val="none" w:sz="0" w:space="0" w:color="auto"/>
              </w:divBdr>
            </w:div>
            <w:div w:id="2106536119">
              <w:marLeft w:val="0"/>
              <w:marRight w:val="0"/>
              <w:marTop w:val="0"/>
              <w:marBottom w:val="0"/>
              <w:divBdr>
                <w:top w:val="none" w:sz="0" w:space="0" w:color="auto"/>
                <w:left w:val="none" w:sz="0" w:space="0" w:color="auto"/>
                <w:bottom w:val="none" w:sz="0" w:space="0" w:color="auto"/>
                <w:right w:val="none" w:sz="0" w:space="0" w:color="auto"/>
              </w:divBdr>
            </w:div>
          </w:divsChild>
        </w:div>
        <w:div w:id="454755676">
          <w:marLeft w:val="0"/>
          <w:marRight w:val="0"/>
          <w:marTop w:val="0"/>
          <w:marBottom w:val="0"/>
          <w:divBdr>
            <w:top w:val="none" w:sz="0" w:space="0" w:color="auto"/>
            <w:left w:val="none" w:sz="0" w:space="0" w:color="auto"/>
            <w:bottom w:val="none" w:sz="0" w:space="0" w:color="auto"/>
            <w:right w:val="none" w:sz="0" w:space="0" w:color="auto"/>
          </w:divBdr>
          <w:divsChild>
            <w:div w:id="292835051">
              <w:marLeft w:val="0"/>
              <w:marRight w:val="0"/>
              <w:marTop w:val="0"/>
              <w:marBottom w:val="0"/>
              <w:divBdr>
                <w:top w:val="none" w:sz="0" w:space="0" w:color="auto"/>
                <w:left w:val="none" w:sz="0" w:space="0" w:color="auto"/>
                <w:bottom w:val="none" w:sz="0" w:space="0" w:color="auto"/>
                <w:right w:val="none" w:sz="0" w:space="0" w:color="auto"/>
              </w:divBdr>
            </w:div>
          </w:divsChild>
        </w:div>
        <w:div w:id="455835118">
          <w:marLeft w:val="0"/>
          <w:marRight w:val="0"/>
          <w:marTop w:val="0"/>
          <w:marBottom w:val="0"/>
          <w:divBdr>
            <w:top w:val="none" w:sz="0" w:space="0" w:color="auto"/>
            <w:left w:val="none" w:sz="0" w:space="0" w:color="auto"/>
            <w:bottom w:val="none" w:sz="0" w:space="0" w:color="auto"/>
            <w:right w:val="none" w:sz="0" w:space="0" w:color="auto"/>
          </w:divBdr>
          <w:divsChild>
            <w:div w:id="1445926612">
              <w:marLeft w:val="0"/>
              <w:marRight w:val="0"/>
              <w:marTop w:val="0"/>
              <w:marBottom w:val="0"/>
              <w:divBdr>
                <w:top w:val="none" w:sz="0" w:space="0" w:color="auto"/>
                <w:left w:val="none" w:sz="0" w:space="0" w:color="auto"/>
                <w:bottom w:val="none" w:sz="0" w:space="0" w:color="auto"/>
                <w:right w:val="none" w:sz="0" w:space="0" w:color="auto"/>
              </w:divBdr>
            </w:div>
            <w:div w:id="1628655605">
              <w:marLeft w:val="0"/>
              <w:marRight w:val="0"/>
              <w:marTop w:val="0"/>
              <w:marBottom w:val="0"/>
              <w:divBdr>
                <w:top w:val="none" w:sz="0" w:space="0" w:color="auto"/>
                <w:left w:val="none" w:sz="0" w:space="0" w:color="auto"/>
                <w:bottom w:val="none" w:sz="0" w:space="0" w:color="auto"/>
                <w:right w:val="none" w:sz="0" w:space="0" w:color="auto"/>
              </w:divBdr>
            </w:div>
          </w:divsChild>
        </w:div>
        <w:div w:id="465511309">
          <w:marLeft w:val="0"/>
          <w:marRight w:val="0"/>
          <w:marTop w:val="0"/>
          <w:marBottom w:val="0"/>
          <w:divBdr>
            <w:top w:val="none" w:sz="0" w:space="0" w:color="auto"/>
            <w:left w:val="none" w:sz="0" w:space="0" w:color="auto"/>
            <w:bottom w:val="none" w:sz="0" w:space="0" w:color="auto"/>
            <w:right w:val="none" w:sz="0" w:space="0" w:color="auto"/>
          </w:divBdr>
          <w:divsChild>
            <w:div w:id="77750136">
              <w:marLeft w:val="0"/>
              <w:marRight w:val="0"/>
              <w:marTop w:val="0"/>
              <w:marBottom w:val="0"/>
              <w:divBdr>
                <w:top w:val="none" w:sz="0" w:space="0" w:color="auto"/>
                <w:left w:val="none" w:sz="0" w:space="0" w:color="auto"/>
                <w:bottom w:val="none" w:sz="0" w:space="0" w:color="auto"/>
                <w:right w:val="none" w:sz="0" w:space="0" w:color="auto"/>
              </w:divBdr>
            </w:div>
            <w:div w:id="483862471">
              <w:marLeft w:val="0"/>
              <w:marRight w:val="0"/>
              <w:marTop w:val="0"/>
              <w:marBottom w:val="0"/>
              <w:divBdr>
                <w:top w:val="none" w:sz="0" w:space="0" w:color="auto"/>
                <w:left w:val="none" w:sz="0" w:space="0" w:color="auto"/>
                <w:bottom w:val="none" w:sz="0" w:space="0" w:color="auto"/>
                <w:right w:val="none" w:sz="0" w:space="0" w:color="auto"/>
              </w:divBdr>
            </w:div>
            <w:div w:id="950669294">
              <w:marLeft w:val="0"/>
              <w:marRight w:val="0"/>
              <w:marTop w:val="0"/>
              <w:marBottom w:val="0"/>
              <w:divBdr>
                <w:top w:val="none" w:sz="0" w:space="0" w:color="auto"/>
                <w:left w:val="none" w:sz="0" w:space="0" w:color="auto"/>
                <w:bottom w:val="none" w:sz="0" w:space="0" w:color="auto"/>
                <w:right w:val="none" w:sz="0" w:space="0" w:color="auto"/>
              </w:divBdr>
            </w:div>
            <w:div w:id="2045791489">
              <w:marLeft w:val="0"/>
              <w:marRight w:val="0"/>
              <w:marTop w:val="0"/>
              <w:marBottom w:val="0"/>
              <w:divBdr>
                <w:top w:val="none" w:sz="0" w:space="0" w:color="auto"/>
                <w:left w:val="none" w:sz="0" w:space="0" w:color="auto"/>
                <w:bottom w:val="none" w:sz="0" w:space="0" w:color="auto"/>
                <w:right w:val="none" w:sz="0" w:space="0" w:color="auto"/>
              </w:divBdr>
            </w:div>
          </w:divsChild>
        </w:div>
        <w:div w:id="469827753">
          <w:marLeft w:val="0"/>
          <w:marRight w:val="0"/>
          <w:marTop w:val="0"/>
          <w:marBottom w:val="0"/>
          <w:divBdr>
            <w:top w:val="none" w:sz="0" w:space="0" w:color="auto"/>
            <w:left w:val="none" w:sz="0" w:space="0" w:color="auto"/>
            <w:bottom w:val="none" w:sz="0" w:space="0" w:color="auto"/>
            <w:right w:val="none" w:sz="0" w:space="0" w:color="auto"/>
          </w:divBdr>
          <w:divsChild>
            <w:div w:id="600839437">
              <w:marLeft w:val="0"/>
              <w:marRight w:val="0"/>
              <w:marTop w:val="0"/>
              <w:marBottom w:val="0"/>
              <w:divBdr>
                <w:top w:val="none" w:sz="0" w:space="0" w:color="auto"/>
                <w:left w:val="none" w:sz="0" w:space="0" w:color="auto"/>
                <w:bottom w:val="none" w:sz="0" w:space="0" w:color="auto"/>
                <w:right w:val="none" w:sz="0" w:space="0" w:color="auto"/>
              </w:divBdr>
            </w:div>
            <w:div w:id="799495521">
              <w:marLeft w:val="0"/>
              <w:marRight w:val="0"/>
              <w:marTop w:val="0"/>
              <w:marBottom w:val="0"/>
              <w:divBdr>
                <w:top w:val="none" w:sz="0" w:space="0" w:color="auto"/>
                <w:left w:val="none" w:sz="0" w:space="0" w:color="auto"/>
                <w:bottom w:val="none" w:sz="0" w:space="0" w:color="auto"/>
                <w:right w:val="none" w:sz="0" w:space="0" w:color="auto"/>
              </w:divBdr>
            </w:div>
            <w:div w:id="2023505745">
              <w:marLeft w:val="0"/>
              <w:marRight w:val="0"/>
              <w:marTop w:val="0"/>
              <w:marBottom w:val="0"/>
              <w:divBdr>
                <w:top w:val="none" w:sz="0" w:space="0" w:color="auto"/>
                <w:left w:val="none" w:sz="0" w:space="0" w:color="auto"/>
                <w:bottom w:val="none" w:sz="0" w:space="0" w:color="auto"/>
                <w:right w:val="none" w:sz="0" w:space="0" w:color="auto"/>
              </w:divBdr>
            </w:div>
          </w:divsChild>
        </w:div>
        <w:div w:id="475489108">
          <w:marLeft w:val="0"/>
          <w:marRight w:val="0"/>
          <w:marTop w:val="0"/>
          <w:marBottom w:val="0"/>
          <w:divBdr>
            <w:top w:val="none" w:sz="0" w:space="0" w:color="auto"/>
            <w:left w:val="none" w:sz="0" w:space="0" w:color="auto"/>
            <w:bottom w:val="none" w:sz="0" w:space="0" w:color="auto"/>
            <w:right w:val="none" w:sz="0" w:space="0" w:color="auto"/>
          </w:divBdr>
          <w:divsChild>
            <w:div w:id="431433314">
              <w:marLeft w:val="0"/>
              <w:marRight w:val="0"/>
              <w:marTop w:val="0"/>
              <w:marBottom w:val="0"/>
              <w:divBdr>
                <w:top w:val="none" w:sz="0" w:space="0" w:color="auto"/>
                <w:left w:val="none" w:sz="0" w:space="0" w:color="auto"/>
                <w:bottom w:val="none" w:sz="0" w:space="0" w:color="auto"/>
                <w:right w:val="none" w:sz="0" w:space="0" w:color="auto"/>
              </w:divBdr>
            </w:div>
          </w:divsChild>
        </w:div>
        <w:div w:id="479423746">
          <w:marLeft w:val="0"/>
          <w:marRight w:val="0"/>
          <w:marTop w:val="0"/>
          <w:marBottom w:val="0"/>
          <w:divBdr>
            <w:top w:val="none" w:sz="0" w:space="0" w:color="auto"/>
            <w:left w:val="none" w:sz="0" w:space="0" w:color="auto"/>
            <w:bottom w:val="none" w:sz="0" w:space="0" w:color="auto"/>
            <w:right w:val="none" w:sz="0" w:space="0" w:color="auto"/>
          </w:divBdr>
          <w:divsChild>
            <w:div w:id="348797814">
              <w:marLeft w:val="0"/>
              <w:marRight w:val="0"/>
              <w:marTop w:val="0"/>
              <w:marBottom w:val="0"/>
              <w:divBdr>
                <w:top w:val="none" w:sz="0" w:space="0" w:color="auto"/>
                <w:left w:val="none" w:sz="0" w:space="0" w:color="auto"/>
                <w:bottom w:val="none" w:sz="0" w:space="0" w:color="auto"/>
                <w:right w:val="none" w:sz="0" w:space="0" w:color="auto"/>
              </w:divBdr>
            </w:div>
            <w:div w:id="700320129">
              <w:marLeft w:val="0"/>
              <w:marRight w:val="0"/>
              <w:marTop w:val="0"/>
              <w:marBottom w:val="0"/>
              <w:divBdr>
                <w:top w:val="none" w:sz="0" w:space="0" w:color="auto"/>
                <w:left w:val="none" w:sz="0" w:space="0" w:color="auto"/>
                <w:bottom w:val="none" w:sz="0" w:space="0" w:color="auto"/>
                <w:right w:val="none" w:sz="0" w:space="0" w:color="auto"/>
              </w:divBdr>
            </w:div>
            <w:div w:id="819270728">
              <w:marLeft w:val="0"/>
              <w:marRight w:val="0"/>
              <w:marTop w:val="0"/>
              <w:marBottom w:val="0"/>
              <w:divBdr>
                <w:top w:val="none" w:sz="0" w:space="0" w:color="auto"/>
                <w:left w:val="none" w:sz="0" w:space="0" w:color="auto"/>
                <w:bottom w:val="none" w:sz="0" w:space="0" w:color="auto"/>
                <w:right w:val="none" w:sz="0" w:space="0" w:color="auto"/>
              </w:divBdr>
            </w:div>
          </w:divsChild>
        </w:div>
        <w:div w:id="490945994">
          <w:marLeft w:val="0"/>
          <w:marRight w:val="0"/>
          <w:marTop w:val="0"/>
          <w:marBottom w:val="0"/>
          <w:divBdr>
            <w:top w:val="none" w:sz="0" w:space="0" w:color="auto"/>
            <w:left w:val="none" w:sz="0" w:space="0" w:color="auto"/>
            <w:bottom w:val="none" w:sz="0" w:space="0" w:color="auto"/>
            <w:right w:val="none" w:sz="0" w:space="0" w:color="auto"/>
          </w:divBdr>
          <w:divsChild>
            <w:div w:id="186992635">
              <w:marLeft w:val="0"/>
              <w:marRight w:val="0"/>
              <w:marTop w:val="0"/>
              <w:marBottom w:val="0"/>
              <w:divBdr>
                <w:top w:val="none" w:sz="0" w:space="0" w:color="auto"/>
                <w:left w:val="none" w:sz="0" w:space="0" w:color="auto"/>
                <w:bottom w:val="none" w:sz="0" w:space="0" w:color="auto"/>
                <w:right w:val="none" w:sz="0" w:space="0" w:color="auto"/>
              </w:divBdr>
            </w:div>
            <w:div w:id="376397643">
              <w:marLeft w:val="0"/>
              <w:marRight w:val="0"/>
              <w:marTop w:val="0"/>
              <w:marBottom w:val="0"/>
              <w:divBdr>
                <w:top w:val="none" w:sz="0" w:space="0" w:color="auto"/>
                <w:left w:val="none" w:sz="0" w:space="0" w:color="auto"/>
                <w:bottom w:val="none" w:sz="0" w:space="0" w:color="auto"/>
                <w:right w:val="none" w:sz="0" w:space="0" w:color="auto"/>
              </w:divBdr>
            </w:div>
            <w:div w:id="1760056900">
              <w:marLeft w:val="0"/>
              <w:marRight w:val="0"/>
              <w:marTop w:val="0"/>
              <w:marBottom w:val="0"/>
              <w:divBdr>
                <w:top w:val="none" w:sz="0" w:space="0" w:color="auto"/>
                <w:left w:val="none" w:sz="0" w:space="0" w:color="auto"/>
                <w:bottom w:val="none" w:sz="0" w:space="0" w:color="auto"/>
                <w:right w:val="none" w:sz="0" w:space="0" w:color="auto"/>
              </w:divBdr>
            </w:div>
          </w:divsChild>
        </w:div>
        <w:div w:id="493644641">
          <w:marLeft w:val="0"/>
          <w:marRight w:val="0"/>
          <w:marTop w:val="0"/>
          <w:marBottom w:val="0"/>
          <w:divBdr>
            <w:top w:val="none" w:sz="0" w:space="0" w:color="auto"/>
            <w:left w:val="none" w:sz="0" w:space="0" w:color="auto"/>
            <w:bottom w:val="none" w:sz="0" w:space="0" w:color="auto"/>
            <w:right w:val="none" w:sz="0" w:space="0" w:color="auto"/>
          </w:divBdr>
          <w:divsChild>
            <w:div w:id="1401446821">
              <w:marLeft w:val="0"/>
              <w:marRight w:val="0"/>
              <w:marTop w:val="0"/>
              <w:marBottom w:val="0"/>
              <w:divBdr>
                <w:top w:val="none" w:sz="0" w:space="0" w:color="auto"/>
                <w:left w:val="none" w:sz="0" w:space="0" w:color="auto"/>
                <w:bottom w:val="none" w:sz="0" w:space="0" w:color="auto"/>
                <w:right w:val="none" w:sz="0" w:space="0" w:color="auto"/>
              </w:divBdr>
            </w:div>
          </w:divsChild>
        </w:div>
        <w:div w:id="495536072">
          <w:marLeft w:val="0"/>
          <w:marRight w:val="0"/>
          <w:marTop w:val="0"/>
          <w:marBottom w:val="0"/>
          <w:divBdr>
            <w:top w:val="none" w:sz="0" w:space="0" w:color="auto"/>
            <w:left w:val="none" w:sz="0" w:space="0" w:color="auto"/>
            <w:bottom w:val="none" w:sz="0" w:space="0" w:color="auto"/>
            <w:right w:val="none" w:sz="0" w:space="0" w:color="auto"/>
          </w:divBdr>
          <w:divsChild>
            <w:div w:id="487595058">
              <w:marLeft w:val="0"/>
              <w:marRight w:val="0"/>
              <w:marTop w:val="0"/>
              <w:marBottom w:val="0"/>
              <w:divBdr>
                <w:top w:val="none" w:sz="0" w:space="0" w:color="auto"/>
                <w:left w:val="none" w:sz="0" w:space="0" w:color="auto"/>
                <w:bottom w:val="none" w:sz="0" w:space="0" w:color="auto"/>
                <w:right w:val="none" w:sz="0" w:space="0" w:color="auto"/>
              </w:divBdr>
            </w:div>
            <w:div w:id="734165275">
              <w:marLeft w:val="0"/>
              <w:marRight w:val="0"/>
              <w:marTop w:val="0"/>
              <w:marBottom w:val="0"/>
              <w:divBdr>
                <w:top w:val="none" w:sz="0" w:space="0" w:color="auto"/>
                <w:left w:val="none" w:sz="0" w:space="0" w:color="auto"/>
                <w:bottom w:val="none" w:sz="0" w:space="0" w:color="auto"/>
                <w:right w:val="none" w:sz="0" w:space="0" w:color="auto"/>
              </w:divBdr>
            </w:div>
          </w:divsChild>
        </w:div>
        <w:div w:id="502941226">
          <w:marLeft w:val="0"/>
          <w:marRight w:val="0"/>
          <w:marTop w:val="0"/>
          <w:marBottom w:val="0"/>
          <w:divBdr>
            <w:top w:val="none" w:sz="0" w:space="0" w:color="auto"/>
            <w:left w:val="none" w:sz="0" w:space="0" w:color="auto"/>
            <w:bottom w:val="none" w:sz="0" w:space="0" w:color="auto"/>
            <w:right w:val="none" w:sz="0" w:space="0" w:color="auto"/>
          </w:divBdr>
          <w:divsChild>
            <w:div w:id="964770063">
              <w:marLeft w:val="0"/>
              <w:marRight w:val="0"/>
              <w:marTop w:val="0"/>
              <w:marBottom w:val="0"/>
              <w:divBdr>
                <w:top w:val="none" w:sz="0" w:space="0" w:color="auto"/>
                <w:left w:val="none" w:sz="0" w:space="0" w:color="auto"/>
                <w:bottom w:val="none" w:sz="0" w:space="0" w:color="auto"/>
                <w:right w:val="none" w:sz="0" w:space="0" w:color="auto"/>
              </w:divBdr>
            </w:div>
            <w:div w:id="2016030007">
              <w:marLeft w:val="0"/>
              <w:marRight w:val="0"/>
              <w:marTop w:val="0"/>
              <w:marBottom w:val="0"/>
              <w:divBdr>
                <w:top w:val="none" w:sz="0" w:space="0" w:color="auto"/>
                <w:left w:val="none" w:sz="0" w:space="0" w:color="auto"/>
                <w:bottom w:val="none" w:sz="0" w:space="0" w:color="auto"/>
                <w:right w:val="none" w:sz="0" w:space="0" w:color="auto"/>
              </w:divBdr>
            </w:div>
          </w:divsChild>
        </w:div>
        <w:div w:id="517085128">
          <w:marLeft w:val="0"/>
          <w:marRight w:val="0"/>
          <w:marTop w:val="0"/>
          <w:marBottom w:val="0"/>
          <w:divBdr>
            <w:top w:val="none" w:sz="0" w:space="0" w:color="auto"/>
            <w:left w:val="none" w:sz="0" w:space="0" w:color="auto"/>
            <w:bottom w:val="none" w:sz="0" w:space="0" w:color="auto"/>
            <w:right w:val="none" w:sz="0" w:space="0" w:color="auto"/>
          </w:divBdr>
          <w:divsChild>
            <w:div w:id="1640040236">
              <w:marLeft w:val="0"/>
              <w:marRight w:val="0"/>
              <w:marTop w:val="0"/>
              <w:marBottom w:val="0"/>
              <w:divBdr>
                <w:top w:val="none" w:sz="0" w:space="0" w:color="auto"/>
                <w:left w:val="none" w:sz="0" w:space="0" w:color="auto"/>
                <w:bottom w:val="none" w:sz="0" w:space="0" w:color="auto"/>
                <w:right w:val="none" w:sz="0" w:space="0" w:color="auto"/>
              </w:divBdr>
            </w:div>
          </w:divsChild>
        </w:div>
        <w:div w:id="517238828">
          <w:marLeft w:val="0"/>
          <w:marRight w:val="0"/>
          <w:marTop w:val="0"/>
          <w:marBottom w:val="0"/>
          <w:divBdr>
            <w:top w:val="none" w:sz="0" w:space="0" w:color="auto"/>
            <w:left w:val="none" w:sz="0" w:space="0" w:color="auto"/>
            <w:bottom w:val="none" w:sz="0" w:space="0" w:color="auto"/>
            <w:right w:val="none" w:sz="0" w:space="0" w:color="auto"/>
          </w:divBdr>
          <w:divsChild>
            <w:div w:id="1893034579">
              <w:marLeft w:val="0"/>
              <w:marRight w:val="0"/>
              <w:marTop w:val="0"/>
              <w:marBottom w:val="0"/>
              <w:divBdr>
                <w:top w:val="none" w:sz="0" w:space="0" w:color="auto"/>
                <w:left w:val="none" w:sz="0" w:space="0" w:color="auto"/>
                <w:bottom w:val="none" w:sz="0" w:space="0" w:color="auto"/>
                <w:right w:val="none" w:sz="0" w:space="0" w:color="auto"/>
              </w:divBdr>
            </w:div>
          </w:divsChild>
        </w:div>
        <w:div w:id="524291889">
          <w:marLeft w:val="0"/>
          <w:marRight w:val="0"/>
          <w:marTop w:val="0"/>
          <w:marBottom w:val="0"/>
          <w:divBdr>
            <w:top w:val="none" w:sz="0" w:space="0" w:color="auto"/>
            <w:left w:val="none" w:sz="0" w:space="0" w:color="auto"/>
            <w:bottom w:val="none" w:sz="0" w:space="0" w:color="auto"/>
            <w:right w:val="none" w:sz="0" w:space="0" w:color="auto"/>
          </w:divBdr>
          <w:divsChild>
            <w:div w:id="74321268">
              <w:marLeft w:val="0"/>
              <w:marRight w:val="0"/>
              <w:marTop w:val="0"/>
              <w:marBottom w:val="0"/>
              <w:divBdr>
                <w:top w:val="none" w:sz="0" w:space="0" w:color="auto"/>
                <w:left w:val="none" w:sz="0" w:space="0" w:color="auto"/>
                <w:bottom w:val="none" w:sz="0" w:space="0" w:color="auto"/>
                <w:right w:val="none" w:sz="0" w:space="0" w:color="auto"/>
              </w:divBdr>
            </w:div>
            <w:div w:id="484977927">
              <w:marLeft w:val="0"/>
              <w:marRight w:val="0"/>
              <w:marTop w:val="0"/>
              <w:marBottom w:val="0"/>
              <w:divBdr>
                <w:top w:val="none" w:sz="0" w:space="0" w:color="auto"/>
                <w:left w:val="none" w:sz="0" w:space="0" w:color="auto"/>
                <w:bottom w:val="none" w:sz="0" w:space="0" w:color="auto"/>
                <w:right w:val="none" w:sz="0" w:space="0" w:color="auto"/>
              </w:divBdr>
            </w:div>
            <w:div w:id="1606426056">
              <w:marLeft w:val="0"/>
              <w:marRight w:val="0"/>
              <w:marTop w:val="0"/>
              <w:marBottom w:val="0"/>
              <w:divBdr>
                <w:top w:val="none" w:sz="0" w:space="0" w:color="auto"/>
                <w:left w:val="none" w:sz="0" w:space="0" w:color="auto"/>
                <w:bottom w:val="none" w:sz="0" w:space="0" w:color="auto"/>
                <w:right w:val="none" w:sz="0" w:space="0" w:color="auto"/>
              </w:divBdr>
            </w:div>
            <w:div w:id="1812794368">
              <w:marLeft w:val="0"/>
              <w:marRight w:val="0"/>
              <w:marTop w:val="0"/>
              <w:marBottom w:val="0"/>
              <w:divBdr>
                <w:top w:val="none" w:sz="0" w:space="0" w:color="auto"/>
                <w:left w:val="none" w:sz="0" w:space="0" w:color="auto"/>
                <w:bottom w:val="none" w:sz="0" w:space="0" w:color="auto"/>
                <w:right w:val="none" w:sz="0" w:space="0" w:color="auto"/>
              </w:divBdr>
            </w:div>
          </w:divsChild>
        </w:div>
        <w:div w:id="528295161">
          <w:marLeft w:val="0"/>
          <w:marRight w:val="0"/>
          <w:marTop w:val="0"/>
          <w:marBottom w:val="0"/>
          <w:divBdr>
            <w:top w:val="none" w:sz="0" w:space="0" w:color="auto"/>
            <w:left w:val="none" w:sz="0" w:space="0" w:color="auto"/>
            <w:bottom w:val="none" w:sz="0" w:space="0" w:color="auto"/>
            <w:right w:val="none" w:sz="0" w:space="0" w:color="auto"/>
          </w:divBdr>
          <w:divsChild>
            <w:div w:id="648873198">
              <w:marLeft w:val="0"/>
              <w:marRight w:val="0"/>
              <w:marTop w:val="0"/>
              <w:marBottom w:val="0"/>
              <w:divBdr>
                <w:top w:val="none" w:sz="0" w:space="0" w:color="auto"/>
                <w:left w:val="none" w:sz="0" w:space="0" w:color="auto"/>
                <w:bottom w:val="none" w:sz="0" w:space="0" w:color="auto"/>
                <w:right w:val="none" w:sz="0" w:space="0" w:color="auto"/>
              </w:divBdr>
            </w:div>
          </w:divsChild>
        </w:div>
        <w:div w:id="544216312">
          <w:marLeft w:val="0"/>
          <w:marRight w:val="0"/>
          <w:marTop w:val="0"/>
          <w:marBottom w:val="0"/>
          <w:divBdr>
            <w:top w:val="none" w:sz="0" w:space="0" w:color="auto"/>
            <w:left w:val="none" w:sz="0" w:space="0" w:color="auto"/>
            <w:bottom w:val="none" w:sz="0" w:space="0" w:color="auto"/>
            <w:right w:val="none" w:sz="0" w:space="0" w:color="auto"/>
          </w:divBdr>
          <w:divsChild>
            <w:div w:id="2059936217">
              <w:marLeft w:val="0"/>
              <w:marRight w:val="0"/>
              <w:marTop w:val="0"/>
              <w:marBottom w:val="0"/>
              <w:divBdr>
                <w:top w:val="none" w:sz="0" w:space="0" w:color="auto"/>
                <w:left w:val="none" w:sz="0" w:space="0" w:color="auto"/>
                <w:bottom w:val="none" w:sz="0" w:space="0" w:color="auto"/>
                <w:right w:val="none" w:sz="0" w:space="0" w:color="auto"/>
              </w:divBdr>
            </w:div>
          </w:divsChild>
        </w:div>
        <w:div w:id="552278538">
          <w:marLeft w:val="0"/>
          <w:marRight w:val="0"/>
          <w:marTop w:val="0"/>
          <w:marBottom w:val="0"/>
          <w:divBdr>
            <w:top w:val="none" w:sz="0" w:space="0" w:color="auto"/>
            <w:left w:val="none" w:sz="0" w:space="0" w:color="auto"/>
            <w:bottom w:val="none" w:sz="0" w:space="0" w:color="auto"/>
            <w:right w:val="none" w:sz="0" w:space="0" w:color="auto"/>
          </w:divBdr>
          <w:divsChild>
            <w:div w:id="1529953352">
              <w:marLeft w:val="0"/>
              <w:marRight w:val="0"/>
              <w:marTop w:val="0"/>
              <w:marBottom w:val="0"/>
              <w:divBdr>
                <w:top w:val="none" w:sz="0" w:space="0" w:color="auto"/>
                <w:left w:val="none" w:sz="0" w:space="0" w:color="auto"/>
                <w:bottom w:val="none" w:sz="0" w:space="0" w:color="auto"/>
                <w:right w:val="none" w:sz="0" w:space="0" w:color="auto"/>
              </w:divBdr>
            </w:div>
            <w:div w:id="1866357939">
              <w:marLeft w:val="0"/>
              <w:marRight w:val="0"/>
              <w:marTop w:val="0"/>
              <w:marBottom w:val="0"/>
              <w:divBdr>
                <w:top w:val="none" w:sz="0" w:space="0" w:color="auto"/>
                <w:left w:val="none" w:sz="0" w:space="0" w:color="auto"/>
                <w:bottom w:val="none" w:sz="0" w:space="0" w:color="auto"/>
                <w:right w:val="none" w:sz="0" w:space="0" w:color="auto"/>
              </w:divBdr>
            </w:div>
          </w:divsChild>
        </w:div>
        <w:div w:id="554660092">
          <w:marLeft w:val="0"/>
          <w:marRight w:val="0"/>
          <w:marTop w:val="0"/>
          <w:marBottom w:val="0"/>
          <w:divBdr>
            <w:top w:val="none" w:sz="0" w:space="0" w:color="auto"/>
            <w:left w:val="none" w:sz="0" w:space="0" w:color="auto"/>
            <w:bottom w:val="none" w:sz="0" w:space="0" w:color="auto"/>
            <w:right w:val="none" w:sz="0" w:space="0" w:color="auto"/>
          </w:divBdr>
          <w:divsChild>
            <w:div w:id="331219846">
              <w:marLeft w:val="0"/>
              <w:marRight w:val="0"/>
              <w:marTop w:val="0"/>
              <w:marBottom w:val="0"/>
              <w:divBdr>
                <w:top w:val="none" w:sz="0" w:space="0" w:color="auto"/>
                <w:left w:val="none" w:sz="0" w:space="0" w:color="auto"/>
                <w:bottom w:val="none" w:sz="0" w:space="0" w:color="auto"/>
                <w:right w:val="none" w:sz="0" w:space="0" w:color="auto"/>
              </w:divBdr>
            </w:div>
            <w:div w:id="1168523139">
              <w:marLeft w:val="0"/>
              <w:marRight w:val="0"/>
              <w:marTop w:val="0"/>
              <w:marBottom w:val="0"/>
              <w:divBdr>
                <w:top w:val="none" w:sz="0" w:space="0" w:color="auto"/>
                <w:left w:val="none" w:sz="0" w:space="0" w:color="auto"/>
                <w:bottom w:val="none" w:sz="0" w:space="0" w:color="auto"/>
                <w:right w:val="none" w:sz="0" w:space="0" w:color="auto"/>
              </w:divBdr>
            </w:div>
          </w:divsChild>
        </w:div>
        <w:div w:id="557399952">
          <w:marLeft w:val="0"/>
          <w:marRight w:val="0"/>
          <w:marTop w:val="0"/>
          <w:marBottom w:val="0"/>
          <w:divBdr>
            <w:top w:val="none" w:sz="0" w:space="0" w:color="auto"/>
            <w:left w:val="none" w:sz="0" w:space="0" w:color="auto"/>
            <w:bottom w:val="none" w:sz="0" w:space="0" w:color="auto"/>
            <w:right w:val="none" w:sz="0" w:space="0" w:color="auto"/>
          </w:divBdr>
          <w:divsChild>
            <w:div w:id="661854010">
              <w:marLeft w:val="0"/>
              <w:marRight w:val="0"/>
              <w:marTop w:val="0"/>
              <w:marBottom w:val="0"/>
              <w:divBdr>
                <w:top w:val="none" w:sz="0" w:space="0" w:color="auto"/>
                <w:left w:val="none" w:sz="0" w:space="0" w:color="auto"/>
                <w:bottom w:val="none" w:sz="0" w:space="0" w:color="auto"/>
                <w:right w:val="none" w:sz="0" w:space="0" w:color="auto"/>
              </w:divBdr>
            </w:div>
          </w:divsChild>
        </w:div>
        <w:div w:id="557515882">
          <w:marLeft w:val="0"/>
          <w:marRight w:val="0"/>
          <w:marTop w:val="0"/>
          <w:marBottom w:val="0"/>
          <w:divBdr>
            <w:top w:val="none" w:sz="0" w:space="0" w:color="auto"/>
            <w:left w:val="none" w:sz="0" w:space="0" w:color="auto"/>
            <w:bottom w:val="none" w:sz="0" w:space="0" w:color="auto"/>
            <w:right w:val="none" w:sz="0" w:space="0" w:color="auto"/>
          </w:divBdr>
          <w:divsChild>
            <w:div w:id="1133210819">
              <w:marLeft w:val="0"/>
              <w:marRight w:val="0"/>
              <w:marTop w:val="0"/>
              <w:marBottom w:val="0"/>
              <w:divBdr>
                <w:top w:val="none" w:sz="0" w:space="0" w:color="auto"/>
                <w:left w:val="none" w:sz="0" w:space="0" w:color="auto"/>
                <w:bottom w:val="none" w:sz="0" w:space="0" w:color="auto"/>
                <w:right w:val="none" w:sz="0" w:space="0" w:color="auto"/>
              </w:divBdr>
            </w:div>
            <w:div w:id="2057243260">
              <w:marLeft w:val="0"/>
              <w:marRight w:val="0"/>
              <w:marTop w:val="0"/>
              <w:marBottom w:val="0"/>
              <w:divBdr>
                <w:top w:val="none" w:sz="0" w:space="0" w:color="auto"/>
                <w:left w:val="none" w:sz="0" w:space="0" w:color="auto"/>
                <w:bottom w:val="none" w:sz="0" w:space="0" w:color="auto"/>
                <w:right w:val="none" w:sz="0" w:space="0" w:color="auto"/>
              </w:divBdr>
            </w:div>
          </w:divsChild>
        </w:div>
        <w:div w:id="560991358">
          <w:marLeft w:val="0"/>
          <w:marRight w:val="0"/>
          <w:marTop w:val="0"/>
          <w:marBottom w:val="0"/>
          <w:divBdr>
            <w:top w:val="none" w:sz="0" w:space="0" w:color="auto"/>
            <w:left w:val="none" w:sz="0" w:space="0" w:color="auto"/>
            <w:bottom w:val="none" w:sz="0" w:space="0" w:color="auto"/>
            <w:right w:val="none" w:sz="0" w:space="0" w:color="auto"/>
          </w:divBdr>
          <w:divsChild>
            <w:div w:id="67769216">
              <w:marLeft w:val="0"/>
              <w:marRight w:val="0"/>
              <w:marTop w:val="0"/>
              <w:marBottom w:val="0"/>
              <w:divBdr>
                <w:top w:val="none" w:sz="0" w:space="0" w:color="auto"/>
                <w:left w:val="none" w:sz="0" w:space="0" w:color="auto"/>
                <w:bottom w:val="none" w:sz="0" w:space="0" w:color="auto"/>
                <w:right w:val="none" w:sz="0" w:space="0" w:color="auto"/>
              </w:divBdr>
            </w:div>
          </w:divsChild>
        </w:div>
        <w:div w:id="563947925">
          <w:marLeft w:val="0"/>
          <w:marRight w:val="0"/>
          <w:marTop w:val="0"/>
          <w:marBottom w:val="0"/>
          <w:divBdr>
            <w:top w:val="none" w:sz="0" w:space="0" w:color="auto"/>
            <w:left w:val="none" w:sz="0" w:space="0" w:color="auto"/>
            <w:bottom w:val="none" w:sz="0" w:space="0" w:color="auto"/>
            <w:right w:val="none" w:sz="0" w:space="0" w:color="auto"/>
          </w:divBdr>
          <w:divsChild>
            <w:div w:id="1868637024">
              <w:marLeft w:val="0"/>
              <w:marRight w:val="0"/>
              <w:marTop w:val="0"/>
              <w:marBottom w:val="0"/>
              <w:divBdr>
                <w:top w:val="none" w:sz="0" w:space="0" w:color="auto"/>
                <w:left w:val="none" w:sz="0" w:space="0" w:color="auto"/>
                <w:bottom w:val="none" w:sz="0" w:space="0" w:color="auto"/>
                <w:right w:val="none" w:sz="0" w:space="0" w:color="auto"/>
              </w:divBdr>
            </w:div>
          </w:divsChild>
        </w:div>
        <w:div w:id="571474573">
          <w:marLeft w:val="0"/>
          <w:marRight w:val="0"/>
          <w:marTop w:val="0"/>
          <w:marBottom w:val="0"/>
          <w:divBdr>
            <w:top w:val="none" w:sz="0" w:space="0" w:color="auto"/>
            <w:left w:val="none" w:sz="0" w:space="0" w:color="auto"/>
            <w:bottom w:val="none" w:sz="0" w:space="0" w:color="auto"/>
            <w:right w:val="none" w:sz="0" w:space="0" w:color="auto"/>
          </w:divBdr>
          <w:divsChild>
            <w:div w:id="1962229542">
              <w:marLeft w:val="0"/>
              <w:marRight w:val="0"/>
              <w:marTop w:val="0"/>
              <w:marBottom w:val="0"/>
              <w:divBdr>
                <w:top w:val="none" w:sz="0" w:space="0" w:color="auto"/>
                <w:left w:val="none" w:sz="0" w:space="0" w:color="auto"/>
                <w:bottom w:val="none" w:sz="0" w:space="0" w:color="auto"/>
                <w:right w:val="none" w:sz="0" w:space="0" w:color="auto"/>
              </w:divBdr>
            </w:div>
          </w:divsChild>
        </w:div>
        <w:div w:id="576012304">
          <w:marLeft w:val="0"/>
          <w:marRight w:val="0"/>
          <w:marTop w:val="0"/>
          <w:marBottom w:val="0"/>
          <w:divBdr>
            <w:top w:val="none" w:sz="0" w:space="0" w:color="auto"/>
            <w:left w:val="none" w:sz="0" w:space="0" w:color="auto"/>
            <w:bottom w:val="none" w:sz="0" w:space="0" w:color="auto"/>
            <w:right w:val="none" w:sz="0" w:space="0" w:color="auto"/>
          </w:divBdr>
          <w:divsChild>
            <w:div w:id="481309391">
              <w:marLeft w:val="0"/>
              <w:marRight w:val="0"/>
              <w:marTop w:val="0"/>
              <w:marBottom w:val="0"/>
              <w:divBdr>
                <w:top w:val="none" w:sz="0" w:space="0" w:color="auto"/>
                <w:left w:val="none" w:sz="0" w:space="0" w:color="auto"/>
                <w:bottom w:val="none" w:sz="0" w:space="0" w:color="auto"/>
                <w:right w:val="none" w:sz="0" w:space="0" w:color="auto"/>
              </w:divBdr>
            </w:div>
            <w:div w:id="500437755">
              <w:marLeft w:val="0"/>
              <w:marRight w:val="0"/>
              <w:marTop w:val="0"/>
              <w:marBottom w:val="0"/>
              <w:divBdr>
                <w:top w:val="none" w:sz="0" w:space="0" w:color="auto"/>
                <w:left w:val="none" w:sz="0" w:space="0" w:color="auto"/>
                <w:bottom w:val="none" w:sz="0" w:space="0" w:color="auto"/>
                <w:right w:val="none" w:sz="0" w:space="0" w:color="auto"/>
              </w:divBdr>
            </w:div>
            <w:div w:id="1095633308">
              <w:marLeft w:val="0"/>
              <w:marRight w:val="0"/>
              <w:marTop w:val="0"/>
              <w:marBottom w:val="0"/>
              <w:divBdr>
                <w:top w:val="none" w:sz="0" w:space="0" w:color="auto"/>
                <w:left w:val="none" w:sz="0" w:space="0" w:color="auto"/>
                <w:bottom w:val="none" w:sz="0" w:space="0" w:color="auto"/>
                <w:right w:val="none" w:sz="0" w:space="0" w:color="auto"/>
              </w:divBdr>
            </w:div>
            <w:div w:id="1373924775">
              <w:marLeft w:val="0"/>
              <w:marRight w:val="0"/>
              <w:marTop w:val="0"/>
              <w:marBottom w:val="0"/>
              <w:divBdr>
                <w:top w:val="none" w:sz="0" w:space="0" w:color="auto"/>
                <w:left w:val="none" w:sz="0" w:space="0" w:color="auto"/>
                <w:bottom w:val="none" w:sz="0" w:space="0" w:color="auto"/>
                <w:right w:val="none" w:sz="0" w:space="0" w:color="auto"/>
              </w:divBdr>
            </w:div>
            <w:div w:id="1387487372">
              <w:marLeft w:val="0"/>
              <w:marRight w:val="0"/>
              <w:marTop w:val="0"/>
              <w:marBottom w:val="0"/>
              <w:divBdr>
                <w:top w:val="none" w:sz="0" w:space="0" w:color="auto"/>
                <w:left w:val="none" w:sz="0" w:space="0" w:color="auto"/>
                <w:bottom w:val="none" w:sz="0" w:space="0" w:color="auto"/>
                <w:right w:val="none" w:sz="0" w:space="0" w:color="auto"/>
              </w:divBdr>
            </w:div>
            <w:div w:id="2103186457">
              <w:marLeft w:val="0"/>
              <w:marRight w:val="0"/>
              <w:marTop w:val="0"/>
              <w:marBottom w:val="0"/>
              <w:divBdr>
                <w:top w:val="none" w:sz="0" w:space="0" w:color="auto"/>
                <w:left w:val="none" w:sz="0" w:space="0" w:color="auto"/>
                <w:bottom w:val="none" w:sz="0" w:space="0" w:color="auto"/>
                <w:right w:val="none" w:sz="0" w:space="0" w:color="auto"/>
              </w:divBdr>
            </w:div>
          </w:divsChild>
        </w:div>
        <w:div w:id="581723882">
          <w:marLeft w:val="0"/>
          <w:marRight w:val="0"/>
          <w:marTop w:val="0"/>
          <w:marBottom w:val="0"/>
          <w:divBdr>
            <w:top w:val="none" w:sz="0" w:space="0" w:color="auto"/>
            <w:left w:val="none" w:sz="0" w:space="0" w:color="auto"/>
            <w:bottom w:val="none" w:sz="0" w:space="0" w:color="auto"/>
            <w:right w:val="none" w:sz="0" w:space="0" w:color="auto"/>
          </w:divBdr>
          <w:divsChild>
            <w:div w:id="908273441">
              <w:marLeft w:val="0"/>
              <w:marRight w:val="0"/>
              <w:marTop w:val="0"/>
              <w:marBottom w:val="0"/>
              <w:divBdr>
                <w:top w:val="none" w:sz="0" w:space="0" w:color="auto"/>
                <w:left w:val="none" w:sz="0" w:space="0" w:color="auto"/>
                <w:bottom w:val="none" w:sz="0" w:space="0" w:color="auto"/>
                <w:right w:val="none" w:sz="0" w:space="0" w:color="auto"/>
              </w:divBdr>
            </w:div>
          </w:divsChild>
        </w:div>
        <w:div w:id="585456590">
          <w:marLeft w:val="0"/>
          <w:marRight w:val="0"/>
          <w:marTop w:val="0"/>
          <w:marBottom w:val="0"/>
          <w:divBdr>
            <w:top w:val="none" w:sz="0" w:space="0" w:color="auto"/>
            <w:left w:val="none" w:sz="0" w:space="0" w:color="auto"/>
            <w:bottom w:val="none" w:sz="0" w:space="0" w:color="auto"/>
            <w:right w:val="none" w:sz="0" w:space="0" w:color="auto"/>
          </w:divBdr>
          <w:divsChild>
            <w:div w:id="244656709">
              <w:marLeft w:val="0"/>
              <w:marRight w:val="0"/>
              <w:marTop w:val="0"/>
              <w:marBottom w:val="0"/>
              <w:divBdr>
                <w:top w:val="none" w:sz="0" w:space="0" w:color="auto"/>
                <w:left w:val="none" w:sz="0" w:space="0" w:color="auto"/>
                <w:bottom w:val="none" w:sz="0" w:space="0" w:color="auto"/>
                <w:right w:val="none" w:sz="0" w:space="0" w:color="auto"/>
              </w:divBdr>
            </w:div>
            <w:div w:id="548492187">
              <w:marLeft w:val="0"/>
              <w:marRight w:val="0"/>
              <w:marTop w:val="0"/>
              <w:marBottom w:val="0"/>
              <w:divBdr>
                <w:top w:val="none" w:sz="0" w:space="0" w:color="auto"/>
                <w:left w:val="none" w:sz="0" w:space="0" w:color="auto"/>
                <w:bottom w:val="none" w:sz="0" w:space="0" w:color="auto"/>
                <w:right w:val="none" w:sz="0" w:space="0" w:color="auto"/>
              </w:divBdr>
            </w:div>
          </w:divsChild>
        </w:div>
        <w:div w:id="588777637">
          <w:marLeft w:val="0"/>
          <w:marRight w:val="0"/>
          <w:marTop w:val="0"/>
          <w:marBottom w:val="0"/>
          <w:divBdr>
            <w:top w:val="none" w:sz="0" w:space="0" w:color="auto"/>
            <w:left w:val="none" w:sz="0" w:space="0" w:color="auto"/>
            <w:bottom w:val="none" w:sz="0" w:space="0" w:color="auto"/>
            <w:right w:val="none" w:sz="0" w:space="0" w:color="auto"/>
          </w:divBdr>
          <w:divsChild>
            <w:div w:id="1317492282">
              <w:marLeft w:val="0"/>
              <w:marRight w:val="0"/>
              <w:marTop w:val="0"/>
              <w:marBottom w:val="0"/>
              <w:divBdr>
                <w:top w:val="none" w:sz="0" w:space="0" w:color="auto"/>
                <w:left w:val="none" w:sz="0" w:space="0" w:color="auto"/>
                <w:bottom w:val="none" w:sz="0" w:space="0" w:color="auto"/>
                <w:right w:val="none" w:sz="0" w:space="0" w:color="auto"/>
              </w:divBdr>
            </w:div>
          </w:divsChild>
        </w:div>
        <w:div w:id="596138023">
          <w:marLeft w:val="0"/>
          <w:marRight w:val="0"/>
          <w:marTop w:val="0"/>
          <w:marBottom w:val="0"/>
          <w:divBdr>
            <w:top w:val="none" w:sz="0" w:space="0" w:color="auto"/>
            <w:left w:val="none" w:sz="0" w:space="0" w:color="auto"/>
            <w:bottom w:val="none" w:sz="0" w:space="0" w:color="auto"/>
            <w:right w:val="none" w:sz="0" w:space="0" w:color="auto"/>
          </w:divBdr>
          <w:divsChild>
            <w:div w:id="13658921">
              <w:marLeft w:val="0"/>
              <w:marRight w:val="0"/>
              <w:marTop w:val="0"/>
              <w:marBottom w:val="0"/>
              <w:divBdr>
                <w:top w:val="none" w:sz="0" w:space="0" w:color="auto"/>
                <w:left w:val="none" w:sz="0" w:space="0" w:color="auto"/>
                <w:bottom w:val="none" w:sz="0" w:space="0" w:color="auto"/>
                <w:right w:val="none" w:sz="0" w:space="0" w:color="auto"/>
              </w:divBdr>
            </w:div>
            <w:div w:id="469591438">
              <w:marLeft w:val="0"/>
              <w:marRight w:val="0"/>
              <w:marTop w:val="0"/>
              <w:marBottom w:val="0"/>
              <w:divBdr>
                <w:top w:val="none" w:sz="0" w:space="0" w:color="auto"/>
                <w:left w:val="none" w:sz="0" w:space="0" w:color="auto"/>
                <w:bottom w:val="none" w:sz="0" w:space="0" w:color="auto"/>
                <w:right w:val="none" w:sz="0" w:space="0" w:color="auto"/>
              </w:divBdr>
            </w:div>
            <w:div w:id="776756272">
              <w:marLeft w:val="0"/>
              <w:marRight w:val="0"/>
              <w:marTop w:val="0"/>
              <w:marBottom w:val="0"/>
              <w:divBdr>
                <w:top w:val="none" w:sz="0" w:space="0" w:color="auto"/>
                <w:left w:val="none" w:sz="0" w:space="0" w:color="auto"/>
                <w:bottom w:val="none" w:sz="0" w:space="0" w:color="auto"/>
                <w:right w:val="none" w:sz="0" w:space="0" w:color="auto"/>
              </w:divBdr>
            </w:div>
            <w:div w:id="807669229">
              <w:marLeft w:val="0"/>
              <w:marRight w:val="0"/>
              <w:marTop w:val="0"/>
              <w:marBottom w:val="0"/>
              <w:divBdr>
                <w:top w:val="none" w:sz="0" w:space="0" w:color="auto"/>
                <w:left w:val="none" w:sz="0" w:space="0" w:color="auto"/>
                <w:bottom w:val="none" w:sz="0" w:space="0" w:color="auto"/>
                <w:right w:val="none" w:sz="0" w:space="0" w:color="auto"/>
              </w:divBdr>
            </w:div>
            <w:div w:id="974339424">
              <w:marLeft w:val="0"/>
              <w:marRight w:val="0"/>
              <w:marTop w:val="0"/>
              <w:marBottom w:val="0"/>
              <w:divBdr>
                <w:top w:val="none" w:sz="0" w:space="0" w:color="auto"/>
                <w:left w:val="none" w:sz="0" w:space="0" w:color="auto"/>
                <w:bottom w:val="none" w:sz="0" w:space="0" w:color="auto"/>
                <w:right w:val="none" w:sz="0" w:space="0" w:color="auto"/>
              </w:divBdr>
            </w:div>
            <w:div w:id="1011908568">
              <w:marLeft w:val="0"/>
              <w:marRight w:val="0"/>
              <w:marTop w:val="0"/>
              <w:marBottom w:val="0"/>
              <w:divBdr>
                <w:top w:val="none" w:sz="0" w:space="0" w:color="auto"/>
                <w:left w:val="none" w:sz="0" w:space="0" w:color="auto"/>
                <w:bottom w:val="none" w:sz="0" w:space="0" w:color="auto"/>
                <w:right w:val="none" w:sz="0" w:space="0" w:color="auto"/>
              </w:divBdr>
            </w:div>
            <w:div w:id="1824352483">
              <w:marLeft w:val="0"/>
              <w:marRight w:val="0"/>
              <w:marTop w:val="0"/>
              <w:marBottom w:val="0"/>
              <w:divBdr>
                <w:top w:val="none" w:sz="0" w:space="0" w:color="auto"/>
                <w:left w:val="none" w:sz="0" w:space="0" w:color="auto"/>
                <w:bottom w:val="none" w:sz="0" w:space="0" w:color="auto"/>
                <w:right w:val="none" w:sz="0" w:space="0" w:color="auto"/>
              </w:divBdr>
            </w:div>
          </w:divsChild>
        </w:div>
        <w:div w:id="600338935">
          <w:marLeft w:val="0"/>
          <w:marRight w:val="0"/>
          <w:marTop w:val="0"/>
          <w:marBottom w:val="0"/>
          <w:divBdr>
            <w:top w:val="none" w:sz="0" w:space="0" w:color="auto"/>
            <w:left w:val="none" w:sz="0" w:space="0" w:color="auto"/>
            <w:bottom w:val="none" w:sz="0" w:space="0" w:color="auto"/>
            <w:right w:val="none" w:sz="0" w:space="0" w:color="auto"/>
          </w:divBdr>
          <w:divsChild>
            <w:div w:id="232862264">
              <w:marLeft w:val="0"/>
              <w:marRight w:val="0"/>
              <w:marTop w:val="0"/>
              <w:marBottom w:val="0"/>
              <w:divBdr>
                <w:top w:val="none" w:sz="0" w:space="0" w:color="auto"/>
                <w:left w:val="none" w:sz="0" w:space="0" w:color="auto"/>
                <w:bottom w:val="none" w:sz="0" w:space="0" w:color="auto"/>
                <w:right w:val="none" w:sz="0" w:space="0" w:color="auto"/>
              </w:divBdr>
            </w:div>
            <w:div w:id="413935409">
              <w:marLeft w:val="0"/>
              <w:marRight w:val="0"/>
              <w:marTop w:val="0"/>
              <w:marBottom w:val="0"/>
              <w:divBdr>
                <w:top w:val="none" w:sz="0" w:space="0" w:color="auto"/>
                <w:left w:val="none" w:sz="0" w:space="0" w:color="auto"/>
                <w:bottom w:val="none" w:sz="0" w:space="0" w:color="auto"/>
                <w:right w:val="none" w:sz="0" w:space="0" w:color="auto"/>
              </w:divBdr>
            </w:div>
          </w:divsChild>
        </w:div>
        <w:div w:id="602223539">
          <w:marLeft w:val="0"/>
          <w:marRight w:val="0"/>
          <w:marTop w:val="0"/>
          <w:marBottom w:val="0"/>
          <w:divBdr>
            <w:top w:val="none" w:sz="0" w:space="0" w:color="auto"/>
            <w:left w:val="none" w:sz="0" w:space="0" w:color="auto"/>
            <w:bottom w:val="none" w:sz="0" w:space="0" w:color="auto"/>
            <w:right w:val="none" w:sz="0" w:space="0" w:color="auto"/>
          </w:divBdr>
          <w:divsChild>
            <w:div w:id="1921789419">
              <w:marLeft w:val="0"/>
              <w:marRight w:val="0"/>
              <w:marTop w:val="0"/>
              <w:marBottom w:val="0"/>
              <w:divBdr>
                <w:top w:val="none" w:sz="0" w:space="0" w:color="auto"/>
                <w:left w:val="none" w:sz="0" w:space="0" w:color="auto"/>
                <w:bottom w:val="none" w:sz="0" w:space="0" w:color="auto"/>
                <w:right w:val="none" w:sz="0" w:space="0" w:color="auto"/>
              </w:divBdr>
            </w:div>
          </w:divsChild>
        </w:div>
        <w:div w:id="605577297">
          <w:marLeft w:val="0"/>
          <w:marRight w:val="0"/>
          <w:marTop w:val="0"/>
          <w:marBottom w:val="0"/>
          <w:divBdr>
            <w:top w:val="none" w:sz="0" w:space="0" w:color="auto"/>
            <w:left w:val="none" w:sz="0" w:space="0" w:color="auto"/>
            <w:bottom w:val="none" w:sz="0" w:space="0" w:color="auto"/>
            <w:right w:val="none" w:sz="0" w:space="0" w:color="auto"/>
          </w:divBdr>
          <w:divsChild>
            <w:div w:id="188185369">
              <w:marLeft w:val="0"/>
              <w:marRight w:val="0"/>
              <w:marTop w:val="0"/>
              <w:marBottom w:val="0"/>
              <w:divBdr>
                <w:top w:val="none" w:sz="0" w:space="0" w:color="auto"/>
                <w:left w:val="none" w:sz="0" w:space="0" w:color="auto"/>
                <w:bottom w:val="none" w:sz="0" w:space="0" w:color="auto"/>
                <w:right w:val="none" w:sz="0" w:space="0" w:color="auto"/>
              </w:divBdr>
            </w:div>
          </w:divsChild>
        </w:div>
        <w:div w:id="610016642">
          <w:marLeft w:val="0"/>
          <w:marRight w:val="0"/>
          <w:marTop w:val="0"/>
          <w:marBottom w:val="0"/>
          <w:divBdr>
            <w:top w:val="none" w:sz="0" w:space="0" w:color="auto"/>
            <w:left w:val="none" w:sz="0" w:space="0" w:color="auto"/>
            <w:bottom w:val="none" w:sz="0" w:space="0" w:color="auto"/>
            <w:right w:val="none" w:sz="0" w:space="0" w:color="auto"/>
          </w:divBdr>
          <w:divsChild>
            <w:div w:id="733893252">
              <w:marLeft w:val="0"/>
              <w:marRight w:val="0"/>
              <w:marTop w:val="0"/>
              <w:marBottom w:val="0"/>
              <w:divBdr>
                <w:top w:val="none" w:sz="0" w:space="0" w:color="auto"/>
                <w:left w:val="none" w:sz="0" w:space="0" w:color="auto"/>
                <w:bottom w:val="none" w:sz="0" w:space="0" w:color="auto"/>
                <w:right w:val="none" w:sz="0" w:space="0" w:color="auto"/>
              </w:divBdr>
            </w:div>
          </w:divsChild>
        </w:div>
        <w:div w:id="618806398">
          <w:marLeft w:val="0"/>
          <w:marRight w:val="0"/>
          <w:marTop w:val="0"/>
          <w:marBottom w:val="0"/>
          <w:divBdr>
            <w:top w:val="none" w:sz="0" w:space="0" w:color="auto"/>
            <w:left w:val="none" w:sz="0" w:space="0" w:color="auto"/>
            <w:bottom w:val="none" w:sz="0" w:space="0" w:color="auto"/>
            <w:right w:val="none" w:sz="0" w:space="0" w:color="auto"/>
          </w:divBdr>
          <w:divsChild>
            <w:div w:id="127743701">
              <w:marLeft w:val="0"/>
              <w:marRight w:val="0"/>
              <w:marTop w:val="0"/>
              <w:marBottom w:val="0"/>
              <w:divBdr>
                <w:top w:val="none" w:sz="0" w:space="0" w:color="auto"/>
                <w:left w:val="none" w:sz="0" w:space="0" w:color="auto"/>
                <w:bottom w:val="none" w:sz="0" w:space="0" w:color="auto"/>
                <w:right w:val="none" w:sz="0" w:space="0" w:color="auto"/>
              </w:divBdr>
            </w:div>
            <w:div w:id="226842454">
              <w:marLeft w:val="0"/>
              <w:marRight w:val="0"/>
              <w:marTop w:val="0"/>
              <w:marBottom w:val="0"/>
              <w:divBdr>
                <w:top w:val="none" w:sz="0" w:space="0" w:color="auto"/>
                <w:left w:val="none" w:sz="0" w:space="0" w:color="auto"/>
                <w:bottom w:val="none" w:sz="0" w:space="0" w:color="auto"/>
                <w:right w:val="none" w:sz="0" w:space="0" w:color="auto"/>
              </w:divBdr>
            </w:div>
            <w:div w:id="618339188">
              <w:marLeft w:val="0"/>
              <w:marRight w:val="0"/>
              <w:marTop w:val="0"/>
              <w:marBottom w:val="0"/>
              <w:divBdr>
                <w:top w:val="none" w:sz="0" w:space="0" w:color="auto"/>
                <w:left w:val="none" w:sz="0" w:space="0" w:color="auto"/>
                <w:bottom w:val="none" w:sz="0" w:space="0" w:color="auto"/>
                <w:right w:val="none" w:sz="0" w:space="0" w:color="auto"/>
              </w:divBdr>
            </w:div>
            <w:div w:id="1171413118">
              <w:marLeft w:val="0"/>
              <w:marRight w:val="0"/>
              <w:marTop w:val="0"/>
              <w:marBottom w:val="0"/>
              <w:divBdr>
                <w:top w:val="none" w:sz="0" w:space="0" w:color="auto"/>
                <w:left w:val="none" w:sz="0" w:space="0" w:color="auto"/>
                <w:bottom w:val="none" w:sz="0" w:space="0" w:color="auto"/>
                <w:right w:val="none" w:sz="0" w:space="0" w:color="auto"/>
              </w:divBdr>
            </w:div>
          </w:divsChild>
        </w:div>
        <w:div w:id="619646420">
          <w:marLeft w:val="0"/>
          <w:marRight w:val="0"/>
          <w:marTop w:val="0"/>
          <w:marBottom w:val="0"/>
          <w:divBdr>
            <w:top w:val="none" w:sz="0" w:space="0" w:color="auto"/>
            <w:left w:val="none" w:sz="0" w:space="0" w:color="auto"/>
            <w:bottom w:val="none" w:sz="0" w:space="0" w:color="auto"/>
            <w:right w:val="none" w:sz="0" w:space="0" w:color="auto"/>
          </w:divBdr>
          <w:divsChild>
            <w:div w:id="667832421">
              <w:marLeft w:val="0"/>
              <w:marRight w:val="0"/>
              <w:marTop w:val="0"/>
              <w:marBottom w:val="0"/>
              <w:divBdr>
                <w:top w:val="none" w:sz="0" w:space="0" w:color="auto"/>
                <w:left w:val="none" w:sz="0" w:space="0" w:color="auto"/>
                <w:bottom w:val="none" w:sz="0" w:space="0" w:color="auto"/>
                <w:right w:val="none" w:sz="0" w:space="0" w:color="auto"/>
              </w:divBdr>
            </w:div>
            <w:div w:id="1694921383">
              <w:marLeft w:val="0"/>
              <w:marRight w:val="0"/>
              <w:marTop w:val="0"/>
              <w:marBottom w:val="0"/>
              <w:divBdr>
                <w:top w:val="none" w:sz="0" w:space="0" w:color="auto"/>
                <w:left w:val="none" w:sz="0" w:space="0" w:color="auto"/>
                <w:bottom w:val="none" w:sz="0" w:space="0" w:color="auto"/>
                <w:right w:val="none" w:sz="0" w:space="0" w:color="auto"/>
              </w:divBdr>
            </w:div>
          </w:divsChild>
        </w:div>
        <w:div w:id="620304799">
          <w:marLeft w:val="0"/>
          <w:marRight w:val="0"/>
          <w:marTop w:val="0"/>
          <w:marBottom w:val="0"/>
          <w:divBdr>
            <w:top w:val="none" w:sz="0" w:space="0" w:color="auto"/>
            <w:left w:val="none" w:sz="0" w:space="0" w:color="auto"/>
            <w:bottom w:val="none" w:sz="0" w:space="0" w:color="auto"/>
            <w:right w:val="none" w:sz="0" w:space="0" w:color="auto"/>
          </w:divBdr>
          <w:divsChild>
            <w:div w:id="53621047">
              <w:marLeft w:val="0"/>
              <w:marRight w:val="0"/>
              <w:marTop w:val="0"/>
              <w:marBottom w:val="0"/>
              <w:divBdr>
                <w:top w:val="none" w:sz="0" w:space="0" w:color="auto"/>
                <w:left w:val="none" w:sz="0" w:space="0" w:color="auto"/>
                <w:bottom w:val="none" w:sz="0" w:space="0" w:color="auto"/>
                <w:right w:val="none" w:sz="0" w:space="0" w:color="auto"/>
              </w:divBdr>
            </w:div>
            <w:div w:id="163207825">
              <w:marLeft w:val="0"/>
              <w:marRight w:val="0"/>
              <w:marTop w:val="0"/>
              <w:marBottom w:val="0"/>
              <w:divBdr>
                <w:top w:val="none" w:sz="0" w:space="0" w:color="auto"/>
                <w:left w:val="none" w:sz="0" w:space="0" w:color="auto"/>
                <w:bottom w:val="none" w:sz="0" w:space="0" w:color="auto"/>
                <w:right w:val="none" w:sz="0" w:space="0" w:color="auto"/>
              </w:divBdr>
            </w:div>
          </w:divsChild>
        </w:div>
        <w:div w:id="620958090">
          <w:marLeft w:val="0"/>
          <w:marRight w:val="0"/>
          <w:marTop w:val="0"/>
          <w:marBottom w:val="0"/>
          <w:divBdr>
            <w:top w:val="none" w:sz="0" w:space="0" w:color="auto"/>
            <w:left w:val="none" w:sz="0" w:space="0" w:color="auto"/>
            <w:bottom w:val="none" w:sz="0" w:space="0" w:color="auto"/>
            <w:right w:val="none" w:sz="0" w:space="0" w:color="auto"/>
          </w:divBdr>
          <w:divsChild>
            <w:div w:id="512233547">
              <w:marLeft w:val="0"/>
              <w:marRight w:val="0"/>
              <w:marTop w:val="0"/>
              <w:marBottom w:val="0"/>
              <w:divBdr>
                <w:top w:val="none" w:sz="0" w:space="0" w:color="auto"/>
                <w:left w:val="none" w:sz="0" w:space="0" w:color="auto"/>
                <w:bottom w:val="none" w:sz="0" w:space="0" w:color="auto"/>
                <w:right w:val="none" w:sz="0" w:space="0" w:color="auto"/>
              </w:divBdr>
            </w:div>
            <w:div w:id="756100617">
              <w:marLeft w:val="0"/>
              <w:marRight w:val="0"/>
              <w:marTop w:val="0"/>
              <w:marBottom w:val="0"/>
              <w:divBdr>
                <w:top w:val="none" w:sz="0" w:space="0" w:color="auto"/>
                <w:left w:val="none" w:sz="0" w:space="0" w:color="auto"/>
                <w:bottom w:val="none" w:sz="0" w:space="0" w:color="auto"/>
                <w:right w:val="none" w:sz="0" w:space="0" w:color="auto"/>
              </w:divBdr>
            </w:div>
            <w:div w:id="1969311110">
              <w:marLeft w:val="0"/>
              <w:marRight w:val="0"/>
              <w:marTop w:val="0"/>
              <w:marBottom w:val="0"/>
              <w:divBdr>
                <w:top w:val="none" w:sz="0" w:space="0" w:color="auto"/>
                <w:left w:val="none" w:sz="0" w:space="0" w:color="auto"/>
                <w:bottom w:val="none" w:sz="0" w:space="0" w:color="auto"/>
                <w:right w:val="none" w:sz="0" w:space="0" w:color="auto"/>
              </w:divBdr>
            </w:div>
          </w:divsChild>
        </w:div>
        <w:div w:id="624123338">
          <w:marLeft w:val="0"/>
          <w:marRight w:val="0"/>
          <w:marTop w:val="0"/>
          <w:marBottom w:val="0"/>
          <w:divBdr>
            <w:top w:val="none" w:sz="0" w:space="0" w:color="auto"/>
            <w:left w:val="none" w:sz="0" w:space="0" w:color="auto"/>
            <w:bottom w:val="none" w:sz="0" w:space="0" w:color="auto"/>
            <w:right w:val="none" w:sz="0" w:space="0" w:color="auto"/>
          </w:divBdr>
          <w:divsChild>
            <w:div w:id="1457724604">
              <w:marLeft w:val="0"/>
              <w:marRight w:val="0"/>
              <w:marTop w:val="0"/>
              <w:marBottom w:val="0"/>
              <w:divBdr>
                <w:top w:val="none" w:sz="0" w:space="0" w:color="auto"/>
                <w:left w:val="none" w:sz="0" w:space="0" w:color="auto"/>
                <w:bottom w:val="none" w:sz="0" w:space="0" w:color="auto"/>
                <w:right w:val="none" w:sz="0" w:space="0" w:color="auto"/>
              </w:divBdr>
            </w:div>
            <w:div w:id="1542980285">
              <w:marLeft w:val="0"/>
              <w:marRight w:val="0"/>
              <w:marTop w:val="0"/>
              <w:marBottom w:val="0"/>
              <w:divBdr>
                <w:top w:val="none" w:sz="0" w:space="0" w:color="auto"/>
                <w:left w:val="none" w:sz="0" w:space="0" w:color="auto"/>
                <w:bottom w:val="none" w:sz="0" w:space="0" w:color="auto"/>
                <w:right w:val="none" w:sz="0" w:space="0" w:color="auto"/>
              </w:divBdr>
            </w:div>
            <w:div w:id="2023973650">
              <w:marLeft w:val="0"/>
              <w:marRight w:val="0"/>
              <w:marTop w:val="0"/>
              <w:marBottom w:val="0"/>
              <w:divBdr>
                <w:top w:val="none" w:sz="0" w:space="0" w:color="auto"/>
                <w:left w:val="none" w:sz="0" w:space="0" w:color="auto"/>
                <w:bottom w:val="none" w:sz="0" w:space="0" w:color="auto"/>
                <w:right w:val="none" w:sz="0" w:space="0" w:color="auto"/>
              </w:divBdr>
            </w:div>
          </w:divsChild>
        </w:div>
        <w:div w:id="626012138">
          <w:marLeft w:val="0"/>
          <w:marRight w:val="0"/>
          <w:marTop w:val="0"/>
          <w:marBottom w:val="0"/>
          <w:divBdr>
            <w:top w:val="none" w:sz="0" w:space="0" w:color="auto"/>
            <w:left w:val="none" w:sz="0" w:space="0" w:color="auto"/>
            <w:bottom w:val="none" w:sz="0" w:space="0" w:color="auto"/>
            <w:right w:val="none" w:sz="0" w:space="0" w:color="auto"/>
          </w:divBdr>
          <w:divsChild>
            <w:div w:id="878515796">
              <w:marLeft w:val="0"/>
              <w:marRight w:val="0"/>
              <w:marTop w:val="0"/>
              <w:marBottom w:val="0"/>
              <w:divBdr>
                <w:top w:val="none" w:sz="0" w:space="0" w:color="auto"/>
                <w:left w:val="none" w:sz="0" w:space="0" w:color="auto"/>
                <w:bottom w:val="none" w:sz="0" w:space="0" w:color="auto"/>
                <w:right w:val="none" w:sz="0" w:space="0" w:color="auto"/>
              </w:divBdr>
            </w:div>
          </w:divsChild>
        </w:div>
        <w:div w:id="629552374">
          <w:marLeft w:val="0"/>
          <w:marRight w:val="0"/>
          <w:marTop w:val="0"/>
          <w:marBottom w:val="0"/>
          <w:divBdr>
            <w:top w:val="none" w:sz="0" w:space="0" w:color="auto"/>
            <w:left w:val="none" w:sz="0" w:space="0" w:color="auto"/>
            <w:bottom w:val="none" w:sz="0" w:space="0" w:color="auto"/>
            <w:right w:val="none" w:sz="0" w:space="0" w:color="auto"/>
          </w:divBdr>
          <w:divsChild>
            <w:div w:id="96872473">
              <w:marLeft w:val="0"/>
              <w:marRight w:val="0"/>
              <w:marTop w:val="0"/>
              <w:marBottom w:val="0"/>
              <w:divBdr>
                <w:top w:val="none" w:sz="0" w:space="0" w:color="auto"/>
                <w:left w:val="none" w:sz="0" w:space="0" w:color="auto"/>
                <w:bottom w:val="none" w:sz="0" w:space="0" w:color="auto"/>
                <w:right w:val="none" w:sz="0" w:space="0" w:color="auto"/>
              </w:divBdr>
            </w:div>
            <w:div w:id="175577929">
              <w:marLeft w:val="0"/>
              <w:marRight w:val="0"/>
              <w:marTop w:val="0"/>
              <w:marBottom w:val="0"/>
              <w:divBdr>
                <w:top w:val="none" w:sz="0" w:space="0" w:color="auto"/>
                <w:left w:val="none" w:sz="0" w:space="0" w:color="auto"/>
                <w:bottom w:val="none" w:sz="0" w:space="0" w:color="auto"/>
                <w:right w:val="none" w:sz="0" w:space="0" w:color="auto"/>
              </w:divBdr>
            </w:div>
            <w:div w:id="267857413">
              <w:marLeft w:val="0"/>
              <w:marRight w:val="0"/>
              <w:marTop w:val="0"/>
              <w:marBottom w:val="0"/>
              <w:divBdr>
                <w:top w:val="none" w:sz="0" w:space="0" w:color="auto"/>
                <w:left w:val="none" w:sz="0" w:space="0" w:color="auto"/>
                <w:bottom w:val="none" w:sz="0" w:space="0" w:color="auto"/>
                <w:right w:val="none" w:sz="0" w:space="0" w:color="auto"/>
              </w:divBdr>
            </w:div>
            <w:div w:id="529490191">
              <w:marLeft w:val="0"/>
              <w:marRight w:val="0"/>
              <w:marTop w:val="0"/>
              <w:marBottom w:val="0"/>
              <w:divBdr>
                <w:top w:val="none" w:sz="0" w:space="0" w:color="auto"/>
                <w:left w:val="none" w:sz="0" w:space="0" w:color="auto"/>
                <w:bottom w:val="none" w:sz="0" w:space="0" w:color="auto"/>
                <w:right w:val="none" w:sz="0" w:space="0" w:color="auto"/>
              </w:divBdr>
            </w:div>
            <w:div w:id="693766764">
              <w:marLeft w:val="0"/>
              <w:marRight w:val="0"/>
              <w:marTop w:val="0"/>
              <w:marBottom w:val="0"/>
              <w:divBdr>
                <w:top w:val="none" w:sz="0" w:space="0" w:color="auto"/>
                <w:left w:val="none" w:sz="0" w:space="0" w:color="auto"/>
                <w:bottom w:val="none" w:sz="0" w:space="0" w:color="auto"/>
                <w:right w:val="none" w:sz="0" w:space="0" w:color="auto"/>
              </w:divBdr>
            </w:div>
            <w:div w:id="996764723">
              <w:marLeft w:val="0"/>
              <w:marRight w:val="0"/>
              <w:marTop w:val="0"/>
              <w:marBottom w:val="0"/>
              <w:divBdr>
                <w:top w:val="none" w:sz="0" w:space="0" w:color="auto"/>
                <w:left w:val="none" w:sz="0" w:space="0" w:color="auto"/>
                <w:bottom w:val="none" w:sz="0" w:space="0" w:color="auto"/>
                <w:right w:val="none" w:sz="0" w:space="0" w:color="auto"/>
              </w:divBdr>
            </w:div>
            <w:div w:id="1239707415">
              <w:marLeft w:val="0"/>
              <w:marRight w:val="0"/>
              <w:marTop w:val="0"/>
              <w:marBottom w:val="0"/>
              <w:divBdr>
                <w:top w:val="none" w:sz="0" w:space="0" w:color="auto"/>
                <w:left w:val="none" w:sz="0" w:space="0" w:color="auto"/>
                <w:bottom w:val="none" w:sz="0" w:space="0" w:color="auto"/>
                <w:right w:val="none" w:sz="0" w:space="0" w:color="auto"/>
              </w:divBdr>
            </w:div>
            <w:div w:id="1294755880">
              <w:marLeft w:val="0"/>
              <w:marRight w:val="0"/>
              <w:marTop w:val="0"/>
              <w:marBottom w:val="0"/>
              <w:divBdr>
                <w:top w:val="none" w:sz="0" w:space="0" w:color="auto"/>
                <w:left w:val="none" w:sz="0" w:space="0" w:color="auto"/>
                <w:bottom w:val="none" w:sz="0" w:space="0" w:color="auto"/>
                <w:right w:val="none" w:sz="0" w:space="0" w:color="auto"/>
              </w:divBdr>
            </w:div>
            <w:div w:id="1312829595">
              <w:marLeft w:val="0"/>
              <w:marRight w:val="0"/>
              <w:marTop w:val="0"/>
              <w:marBottom w:val="0"/>
              <w:divBdr>
                <w:top w:val="none" w:sz="0" w:space="0" w:color="auto"/>
                <w:left w:val="none" w:sz="0" w:space="0" w:color="auto"/>
                <w:bottom w:val="none" w:sz="0" w:space="0" w:color="auto"/>
                <w:right w:val="none" w:sz="0" w:space="0" w:color="auto"/>
              </w:divBdr>
            </w:div>
            <w:div w:id="1620408450">
              <w:marLeft w:val="0"/>
              <w:marRight w:val="0"/>
              <w:marTop w:val="0"/>
              <w:marBottom w:val="0"/>
              <w:divBdr>
                <w:top w:val="none" w:sz="0" w:space="0" w:color="auto"/>
                <w:left w:val="none" w:sz="0" w:space="0" w:color="auto"/>
                <w:bottom w:val="none" w:sz="0" w:space="0" w:color="auto"/>
                <w:right w:val="none" w:sz="0" w:space="0" w:color="auto"/>
              </w:divBdr>
            </w:div>
            <w:div w:id="1663073482">
              <w:marLeft w:val="0"/>
              <w:marRight w:val="0"/>
              <w:marTop w:val="0"/>
              <w:marBottom w:val="0"/>
              <w:divBdr>
                <w:top w:val="none" w:sz="0" w:space="0" w:color="auto"/>
                <w:left w:val="none" w:sz="0" w:space="0" w:color="auto"/>
                <w:bottom w:val="none" w:sz="0" w:space="0" w:color="auto"/>
                <w:right w:val="none" w:sz="0" w:space="0" w:color="auto"/>
              </w:divBdr>
            </w:div>
            <w:div w:id="1750467311">
              <w:marLeft w:val="0"/>
              <w:marRight w:val="0"/>
              <w:marTop w:val="0"/>
              <w:marBottom w:val="0"/>
              <w:divBdr>
                <w:top w:val="none" w:sz="0" w:space="0" w:color="auto"/>
                <w:left w:val="none" w:sz="0" w:space="0" w:color="auto"/>
                <w:bottom w:val="none" w:sz="0" w:space="0" w:color="auto"/>
                <w:right w:val="none" w:sz="0" w:space="0" w:color="auto"/>
              </w:divBdr>
            </w:div>
            <w:div w:id="1937668908">
              <w:marLeft w:val="0"/>
              <w:marRight w:val="0"/>
              <w:marTop w:val="0"/>
              <w:marBottom w:val="0"/>
              <w:divBdr>
                <w:top w:val="none" w:sz="0" w:space="0" w:color="auto"/>
                <w:left w:val="none" w:sz="0" w:space="0" w:color="auto"/>
                <w:bottom w:val="none" w:sz="0" w:space="0" w:color="auto"/>
                <w:right w:val="none" w:sz="0" w:space="0" w:color="auto"/>
              </w:divBdr>
            </w:div>
            <w:div w:id="1966151624">
              <w:marLeft w:val="0"/>
              <w:marRight w:val="0"/>
              <w:marTop w:val="0"/>
              <w:marBottom w:val="0"/>
              <w:divBdr>
                <w:top w:val="none" w:sz="0" w:space="0" w:color="auto"/>
                <w:left w:val="none" w:sz="0" w:space="0" w:color="auto"/>
                <w:bottom w:val="none" w:sz="0" w:space="0" w:color="auto"/>
                <w:right w:val="none" w:sz="0" w:space="0" w:color="auto"/>
              </w:divBdr>
            </w:div>
            <w:div w:id="2009091852">
              <w:marLeft w:val="0"/>
              <w:marRight w:val="0"/>
              <w:marTop w:val="0"/>
              <w:marBottom w:val="0"/>
              <w:divBdr>
                <w:top w:val="none" w:sz="0" w:space="0" w:color="auto"/>
                <w:left w:val="none" w:sz="0" w:space="0" w:color="auto"/>
                <w:bottom w:val="none" w:sz="0" w:space="0" w:color="auto"/>
                <w:right w:val="none" w:sz="0" w:space="0" w:color="auto"/>
              </w:divBdr>
            </w:div>
            <w:div w:id="2124566543">
              <w:marLeft w:val="0"/>
              <w:marRight w:val="0"/>
              <w:marTop w:val="0"/>
              <w:marBottom w:val="0"/>
              <w:divBdr>
                <w:top w:val="none" w:sz="0" w:space="0" w:color="auto"/>
                <w:left w:val="none" w:sz="0" w:space="0" w:color="auto"/>
                <w:bottom w:val="none" w:sz="0" w:space="0" w:color="auto"/>
                <w:right w:val="none" w:sz="0" w:space="0" w:color="auto"/>
              </w:divBdr>
            </w:div>
            <w:div w:id="2132703495">
              <w:marLeft w:val="0"/>
              <w:marRight w:val="0"/>
              <w:marTop w:val="0"/>
              <w:marBottom w:val="0"/>
              <w:divBdr>
                <w:top w:val="none" w:sz="0" w:space="0" w:color="auto"/>
                <w:left w:val="none" w:sz="0" w:space="0" w:color="auto"/>
                <w:bottom w:val="none" w:sz="0" w:space="0" w:color="auto"/>
                <w:right w:val="none" w:sz="0" w:space="0" w:color="auto"/>
              </w:divBdr>
            </w:div>
          </w:divsChild>
        </w:div>
        <w:div w:id="636423171">
          <w:marLeft w:val="0"/>
          <w:marRight w:val="0"/>
          <w:marTop w:val="0"/>
          <w:marBottom w:val="0"/>
          <w:divBdr>
            <w:top w:val="none" w:sz="0" w:space="0" w:color="auto"/>
            <w:left w:val="none" w:sz="0" w:space="0" w:color="auto"/>
            <w:bottom w:val="none" w:sz="0" w:space="0" w:color="auto"/>
            <w:right w:val="none" w:sz="0" w:space="0" w:color="auto"/>
          </w:divBdr>
          <w:divsChild>
            <w:div w:id="1494102394">
              <w:marLeft w:val="0"/>
              <w:marRight w:val="0"/>
              <w:marTop w:val="0"/>
              <w:marBottom w:val="0"/>
              <w:divBdr>
                <w:top w:val="none" w:sz="0" w:space="0" w:color="auto"/>
                <w:left w:val="none" w:sz="0" w:space="0" w:color="auto"/>
                <w:bottom w:val="none" w:sz="0" w:space="0" w:color="auto"/>
                <w:right w:val="none" w:sz="0" w:space="0" w:color="auto"/>
              </w:divBdr>
            </w:div>
            <w:div w:id="2135518905">
              <w:marLeft w:val="0"/>
              <w:marRight w:val="0"/>
              <w:marTop w:val="0"/>
              <w:marBottom w:val="0"/>
              <w:divBdr>
                <w:top w:val="none" w:sz="0" w:space="0" w:color="auto"/>
                <w:left w:val="none" w:sz="0" w:space="0" w:color="auto"/>
                <w:bottom w:val="none" w:sz="0" w:space="0" w:color="auto"/>
                <w:right w:val="none" w:sz="0" w:space="0" w:color="auto"/>
              </w:divBdr>
            </w:div>
          </w:divsChild>
        </w:div>
        <w:div w:id="648705988">
          <w:marLeft w:val="0"/>
          <w:marRight w:val="0"/>
          <w:marTop w:val="0"/>
          <w:marBottom w:val="0"/>
          <w:divBdr>
            <w:top w:val="none" w:sz="0" w:space="0" w:color="auto"/>
            <w:left w:val="none" w:sz="0" w:space="0" w:color="auto"/>
            <w:bottom w:val="none" w:sz="0" w:space="0" w:color="auto"/>
            <w:right w:val="none" w:sz="0" w:space="0" w:color="auto"/>
          </w:divBdr>
          <w:divsChild>
            <w:div w:id="1134329395">
              <w:marLeft w:val="0"/>
              <w:marRight w:val="0"/>
              <w:marTop w:val="0"/>
              <w:marBottom w:val="0"/>
              <w:divBdr>
                <w:top w:val="none" w:sz="0" w:space="0" w:color="auto"/>
                <w:left w:val="none" w:sz="0" w:space="0" w:color="auto"/>
                <w:bottom w:val="none" w:sz="0" w:space="0" w:color="auto"/>
                <w:right w:val="none" w:sz="0" w:space="0" w:color="auto"/>
              </w:divBdr>
            </w:div>
            <w:div w:id="1726566007">
              <w:marLeft w:val="0"/>
              <w:marRight w:val="0"/>
              <w:marTop w:val="0"/>
              <w:marBottom w:val="0"/>
              <w:divBdr>
                <w:top w:val="none" w:sz="0" w:space="0" w:color="auto"/>
                <w:left w:val="none" w:sz="0" w:space="0" w:color="auto"/>
                <w:bottom w:val="none" w:sz="0" w:space="0" w:color="auto"/>
                <w:right w:val="none" w:sz="0" w:space="0" w:color="auto"/>
              </w:divBdr>
            </w:div>
          </w:divsChild>
        </w:div>
        <w:div w:id="649409952">
          <w:marLeft w:val="0"/>
          <w:marRight w:val="0"/>
          <w:marTop w:val="0"/>
          <w:marBottom w:val="0"/>
          <w:divBdr>
            <w:top w:val="none" w:sz="0" w:space="0" w:color="auto"/>
            <w:left w:val="none" w:sz="0" w:space="0" w:color="auto"/>
            <w:bottom w:val="none" w:sz="0" w:space="0" w:color="auto"/>
            <w:right w:val="none" w:sz="0" w:space="0" w:color="auto"/>
          </w:divBdr>
          <w:divsChild>
            <w:div w:id="391853818">
              <w:marLeft w:val="0"/>
              <w:marRight w:val="0"/>
              <w:marTop w:val="0"/>
              <w:marBottom w:val="0"/>
              <w:divBdr>
                <w:top w:val="none" w:sz="0" w:space="0" w:color="auto"/>
                <w:left w:val="none" w:sz="0" w:space="0" w:color="auto"/>
                <w:bottom w:val="none" w:sz="0" w:space="0" w:color="auto"/>
                <w:right w:val="none" w:sz="0" w:space="0" w:color="auto"/>
              </w:divBdr>
            </w:div>
            <w:div w:id="1049956761">
              <w:marLeft w:val="0"/>
              <w:marRight w:val="0"/>
              <w:marTop w:val="0"/>
              <w:marBottom w:val="0"/>
              <w:divBdr>
                <w:top w:val="none" w:sz="0" w:space="0" w:color="auto"/>
                <w:left w:val="none" w:sz="0" w:space="0" w:color="auto"/>
                <w:bottom w:val="none" w:sz="0" w:space="0" w:color="auto"/>
                <w:right w:val="none" w:sz="0" w:space="0" w:color="auto"/>
              </w:divBdr>
            </w:div>
          </w:divsChild>
        </w:div>
        <w:div w:id="656688796">
          <w:marLeft w:val="0"/>
          <w:marRight w:val="0"/>
          <w:marTop w:val="0"/>
          <w:marBottom w:val="0"/>
          <w:divBdr>
            <w:top w:val="none" w:sz="0" w:space="0" w:color="auto"/>
            <w:left w:val="none" w:sz="0" w:space="0" w:color="auto"/>
            <w:bottom w:val="none" w:sz="0" w:space="0" w:color="auto"/>
            <w:right w:val="none" w:sz="0" w:space="0" w:color="auto"/>
          </w:divBdr>
          <w:divsChild>
            <w:div w:id="750203693">
              <w:marLeft w:val="0"/>
              <w:marRight w:val="0"/>
              <w:marTop w:val="0"/>
              <w:marBottom w:val="0"/>
              <w:divBdr>
                <w:top w:val="none" w:sz="0" w:space="0" w:color="auto"/>
                <w:left w:val="none" w:sz="0" w:space="0" w:color="auto"/>
                <w:bottom w:val="none" w:sz="0" w:space="0" w:color="auto"/>
                <w:right w:val="none" w:sz="0" w:space="0" w:color="auto"/>
              </w:divBdr>
            </w:div>
            <w:div w:id="1306467104">
              <w:marLeft w:val="0"/>
              <w:marRight w:val="0"/>
              <w:marTop w:val="0"/>
              <w:marBottom w:val="0"/>
              <w:divBdr>
                <w:top w:val="none" w:sz="0" w:space="0" w:color="auto"/>
                <w:left w:val="none" w:sz="0" w:space="0" w:color="auto"/>
                <w:bottom w:val="none" w:sz="0" w:space="0" w:color="auto"/>
                <w:right w:val="none" w:sz="0" w:space="0" w:color="auto"/>
              </w:divBdr>
            </w:div>
          </w:divsChild>
        </w:div>
        <w:div w:id="662125778">
          <w:marLeft w:val="0"/>
          <w:marRight w:val="0"/>
          <w:marTop w:val="0"/>
          <w:marBottom w:val="0"/>
          <w:divBdr>
            <w:top w:val="none" w:sz="0" w:space="0" w:color="auto"/>
            <w:left w:val="none" w:sz="0" w:space="0" w:color="auto"/>
            <w:bottom w:val="none" w:sz="0" w:space="0" w:color="auto"/>
            <w:right w:val="none" w:sz="0" w:space="0" w:color="auto"/>
          </w:divBdr>
          <w:divsChild>
            <w:div w:id="496580526">
              <w:marLeft w:val="0"/>
              <w:marRight w:val="0"/>
              <w:marTop w:val="0"/>
              <w:marBottom w:val="0"/>
              <w:divBdr>
                <w:top w:val="none" w:sz="0" w:space="0" w:color="auto"/>
                <w:left w:val="none" w:sz="0" w:space="0" w:color="auto"/>
                <w:bottom w:val="none" w:sz="0" w:space="0" w:color="auto"/>
                <w:right w:val="none" w:sz="0" w:space="0" w:color="auto"/>
              </w:divBdr>
            </w:div>
            <w:div w:id="1681741160">
              <w:marLeft w:val="0"/>
              <w:marRight w:val="0"/>
              <w:marTop w:val="0"/>
              <w:marBottom w:val="0"/>
              <w:divBdr>
                <w:top w:val="none" w:sz="0" w:space="0" w:color="auto"/>
                <w:left w:val="none" w:sz="0" w:space="0" w:color="auto"/>
                <w:bottom w:val="none" w:sz="0" w:space="0" w:color="auto"/>
                <w:right w:val="none" w:sz="0" w:space="0" w:color="auto"/>
              </w:divBdr>
            </w:div>
          </w:divsChild>
        </w:div>
        <w:div w:id="663319539">
          <w:marLeft w:val="0"/>
          <w:marRight w:val="0"/>
          <w:marTop w:val="0"/>
          <w:marBottom w:val="0"/>
          <w:divBdr>
            <w:top w:val="none" w:sz="0" w:space="0" w:color="auto"/>
            <w:left w:val="none" w:sz="0" w:space="0" w:color="auto"/>
            <w:bottom w:val="none" w:sz="0" w:space="0" w:color="auto"/>
            <w:right w:val="none" w:sz="0" w:space="0" w:color="auto"/>
          </w:divBdr>
          <w:divsChild>
            <w:div w:id="489252298">
              <w:marLeft w:val="0"/>
              <w:marRight w:val="0"/>
              <w:marTop w:val="0"/>
              <w:marBottom w:val="0"/>
              <w:divBdr>
                <w:top w:val="none" w:sz="0" w:space="0" w:color="auto"/>
                <w:left w:val="none" w:sz="0" w:space="0" w:color="auto"/>
                <w:bottom w:val="none" w:sz="0" w:space="0" w:color="auto"/>
                <w:right w:val="none" w:sz="0" w:space="0" w:color="auto"/>
              </w:divBdr>
            </w:div>
            <w:div w:id="648676114">
              <w:marLeft w:val="0"/>
              <w:marRight w:val="0"/>
              <w:marTop w:val="0"/>
              <w:marBottom w:val="0"/>
              <w:divBdr>
                <w:top w:val="none" w:sz="0" w:space="0" w:color="auto"/>
                <w:left w:val="none" w:sz="0" w:space="0" w:color="auto"/>
                <w:bottom w:val="none" w:sz="0" w:space="0" w:color="auto"/>
                <w:right w:val="none" w:sz="0" w:space="0" w:color="auto"/>
              </w:divBdr>
            </w:div>
            <w:div w:id="1341005997">
              <w:marLeft w:val="0"/>
              <w:marRight w:val="0"/>
              <w:marTop w:val="0"/>
              <w:marBottom w:val="0"/>
              <w:divBdr>
                <w:top w:val="none" w:sz="0" w:space="0" w:color="auto"/>
                <w:left w:val="none" w:sz="0" w:space="0" w:color="auto"/>
                <w:bottom w:val="none" w:sz="0" w:space="0" w:color="auto"/>
                <w:right w:val="none" w:sz="0" w:space="0" w:color="auto"/>
              </w:divBdr>
            </w:div>
            <w:div w:id="1387879148">
              <w:marLeft w:val="0"/>
              <w:marRight w:val="0"/>
              <w:marTop w:val="0"/>
              <w:marBottom w:val="0"/>
              <w:divBdr>
                <w:top w:val="none" w:sz="0" w:space="0" w:color="auto"/>
                <w:left w:val="none" w:sz="0" w:space="0" w:color="auto"/>
                <w:bottom w:val="none" w:sz="0" w:space="0" w:color="auto"/>
                <w:right w:val="none" w:sz="0" w:space="0" w:color="auto"/>
              </w:divBdr>
            </w:div>
          </w:divsChild>
        </w:div>
        <w:div w:id="664892841">
          <w:marLeft w:val="0"/>
          <w:marRight w:val="0"/>
          <w:marTop w:val="0"/>
          <w:marBottom w:val="0"/>
          <w:divBdr>
            <w:top w:val="none" w:sz="0" w:space="0" w:color="auto"/>
            <w:left w:val="none" w:sz="0" w:space="0" w:color="auto"/>
            <w:bottom w:val="none" w:sz="0" w:space="0" w:color="auto"/>
            <w:right w:val="none" w:sz="0" w:space="0" w:color="auto"/>
          </w:divBdr>
          <w:divsChild>
            <w:div w:id="207031531">
              <w:marLeft w:val="0"/>
              <w:marRight w:val="0"/>
              <w:marTop w:val="0"/>
              <w:marBottom w:val="0"/>
              <w:divBdr>
                <w:top w:val="none" w:sz="0" w:space="0" w:color="auto"/>
                <w:left w:val="none" w:sz="0" w:space="0" w:color="auto"/>
                <w:bottom w:val="none" w:sz="0" w:space="0" w:color="auto"/>
                <w:right w:val="none" w:sz="0" w:space="0" w:color="auto"/>
              </w:divBdr>
            </w:div>
          </w:divsChild>
        </w:div>
        <w:div w:id="666325259">
          <w:marLeft w:val="0"/>
          <w:marRight w:val="0"/>
          <w:marTop w:val="0"/>
          <w:marBottom w:val="0"/>
          <w:divBdr>
            <w:top w:val="none" w:sz="0" w:space="0" w:color="auto"/>
            <w:left w:val="none" w:sz="0" w:space="0" w:color="auto"/>
            <w:bottom w:val="none" w:sz="0" w:space="0" w:color="auto"/>
            <w:right w:val="none" w:sz="0" w:space="0" w:color="auto"/>
          </w:divBdr>
          <w:divsChild>
            <w:div w:id="356738039">
              <w:marLeft w:val="0"/>
              <w:marRight w:val="0"/>
              <w:marTop w:val="0"/>
              <w:marBottom w:val="0"/>
              <w:divBdr>
                <w:top w:val="none" w:sz="0" w:space="0" w:color="auto"/>
                <w:left w:val="none" w:sz="0" w:space="0" w:color="auto"/>
                <w:bottom w:val="none" w:sz="0" w:space="0" w:color="auto"/>
                <w:right w:val="none" w:sz="0" w:space="0" w:color="auto"/>
              </w:divBdr>
            </w:div>
          </w:divsChild>
        </w:div>
        <w:div w:id="678972916">
          <w:marLeft w:val="0"/>
          <w:marRight w:val="0"/>
          <w:marTop w:val="0"/>
          <w:marBottom w:val="0"/>
          <w:divBdr>
            <w:top w:val="none" w:sz="0" w:space="0" w:color="auto"/>
            <w:left w:val="none" w:sz="0" w:space="0" w:color="auto"/>
            <w:bottom w:val="none" w:sz="0" w:space="0" w:color="auto"/>
            <w:right w:val="none" w:sz="0" w:space="0" w:color="auto"/>
          </w:divBdr>
          <w:divsChild>
            <w:div w:id="2364111">
              <w:marLeft w:val="0"/>
              <w:marRight w:val="0"/>
              <w:marTop w:val="0"/>
              <w:marBottom w:val="0"/>
              <w:divBdr>
                <w:top w:val="none" w:sz="0" w:space="0" w:color="auto"/>
                <w:left w:val="none" w:sz="0" w:space="0" w:color="auto"/>
                <w:bottom w:val="none" w:sz="0" w:space="0" w:color="auto"/>
                <w:right w:val="none" w:sz="0" w:space="0" w:color="auto"/>
              </w:divBdr>
            </w:div>
          </w:divsChild>
        </w:div>
        <w:div w:id="679966781">
          <w:marLeft w:val="0"/>
          <w:marRight w:val="0"/>
          <w:marTop w:val="0"/>
          <w:marBottom w:val="0"/>
          <w:divBdr>
            <w:top w:val="none" w:sz="0" w:space="0" w:color="auto"/>
            <w:left w:val="none" w:sz="0" w:space="0" w:color="auto"/>
            <w:bottom w:val="none" w:sz="0" w:space="0" w:color="auto"/>
            <w:right w:val="none" w:sz="0" w:space="0" w:color="auto"/>
          </w:divBdr>
          <w:divsChild>
            <w:div w:id="609317113">
              <w:marLeft w:val="0"/>
              <w:marRight w:val="0"/>
              <w:marTop w:val="0"/>
              <w:marBottom w:val="0"/>
              <w:divBdr>
                <w:top w:val="none" w:sz="0" w:space="0" w:color="auto"/>
                <w:left w:val="none" w:sz="0" w:space="0" w:color="auto"/>
                <w:bottom w:val="none" w:sz="0" w:space="0" w:color="auto"/>
                <w:right w:val="none" w:sz="0" w:space="0" w:color="auto"/>
              </w:divBdr>
            </w:div>
            <w:div w:id="631862611">
              <w:marLeft w:val="0"/>
              <w:marRight w:val="0"/>
              <w:marTop w:val="0"/>
              <w:marBottom w:val="0"/>
              <w:divBdr>
                <w:top w:val="none" w:sz="0" w:space="0" w:color="auto"/>
                <w:left w:val="none" w:sz="0" w:space="0" w:color="auto"/>
                <w:bottom w:val="none" w:sz="0" w:space="0" w:color="auto"/>
                <w:right w:val="none" w:sz="0" w:space="0" w:color="auto"/>
              </w:divBdr>
            </w:div>
            <w:div w:id="742948295">
              <w:marLeft w:val="0"/>
              <w:marRight w:val="0"/>
              <w:marTop w:val="0"/>
              <w:marBottom w:val="0"/>
              <w:divBdr>
                <w:top w:val="none" w:sz="0" w:space="0" w:color="auto"/>
                <w:left w:val="none" w:sz="0" w:space="0" w:color="auto"/>
                <w:bottom w:val="none" w:sz="0" w:space="0" w:color="auto"/>
                <w:right w:val="none" w:sz="0" w:space="0" w:color="auto"/>
              </w:divBdr>
            </w:div>
            <w:div w:id="1194076040">
              <w:marLeft w:val="0"/>
              <w:marRight w:val="0"/>
              <w:marTop w:val="0"/>
              <w:marBottom w:val="0"/>
              <w:divBdr>
                <w:top w:val="none" w:sz="0" w:space="0" w:color="auto"/>
                <w:left w:val="none" w:sz="0" w:space="0" w:color="auto"/>
                <w:bottom w:val="none" w:sz="0" w:space="0" w:color="auto"/>
                <w:right w:val="none" w:sz="0" w:space="0" w:color="auto"/>
              </w:divBdr>
            </w:div>
            <w:div w:id="1740862610">
              <w:marLeft w:val="0"/>
              <w:marRight w:val="0"/>
              <w:marTop w:val="0"/>
              <w:marBottom w:val="0"/>
              <w:divBdr>
                <w:top w:val="none" w:sz="0" w:space="0" w:color="auto"/>
                <w:left w:val="none" w:sz="0" w:space="0" w:color="auto"/>
                <w:bottom w:val="none" w:sz="0" w:space="0" w:color="auto"/>
                <w:right w:val="none" w:sz="0" w:space="0" w:color="auto"/>
              </w:divBdr>
            </w:div>
          </w:divsChild>
        </w:div>
        <w:div w:id="688720987">
          <w:marLeft w:val="0"/>
          <w:marRight w:val="0"/>
          <w:marTop w:val="0"/>
          <w:marBottom w:val="0"/>
          <w:divBdr>
            <w:top w:val="none" w:sz="0" w:space="0" w:color="auto"/>
            <w:left w:val="none" w:sz="0" w:space="0" w:color="auto"/>
            <w:bottom w:val="none" w:sz="0" w:space="0" w:color="auto"/>
            <w:right w:val="none" w:sz="0" w:space="0" w:color="auto"/>
          </w:divBdr>
          <w:divsChild>
            <w:div w:id="221252527">
              <w:marLeft w:val="0"/>
              <w:marRight w:val="0"/>
              <w:marTop w:val="0"/>
              <w:marBottom w:val="0"/>
              <w:divBdr>
                <w:top w:val="none" w:sz="0" w:space="0" w:color="auto"/>
                <w:left w:val="none" w:sz="0" w:space="0" w:color="auto"/>
                <w:bottom w:val="none" w:sz="0" w:space="0" w:color="auto"/>
                <w:right w:val="none" w:sz="0" w:space="0" w:color="auto"/>
              </w:divBdr>
            </w:div>
            <w:div w:id="315644149">
              <w:marLeft w:val="0"/>
              <w:marRight w:val="0"/>
              <w:marTop w:val="0"/>
              <w:marBottom w:val="0"/>
              <w:divBdr>
                <w:top w:val="none" w:sz="0" w:space="0" w:color="auto"/>
                <w:left w:val="none" w:sz="0" w:space="0" w:color="auto"/>
                <w:bottom w:val="none" w:sz="0" w:space="0" w:color="auto"/>
                <w:right w:val="none" w:sz="0" w:space="0" w:color="auto"/>
              </w:divBdr>
            </w:div>
            <w:div w:id="1120343532">
              <w:marLeft w:val="0"/>
              <w:marRight w:val="0"/>
              <w:marTop w:val="0"/>
              <w:marBottom w:val="0"/>
              <w:divBdr>
                <w:top w:val="none" w:sz="0" w:space="0" w:color="auto"/>
                <w:left w:val="none" w:sz="0" w:space="0" w:color="auto"/>
                <w:bottom w:val="none" w:sz="0" w:space="0" w:color="auto"/>
                <w:right w:val="none" w:sz="0" w:space="0" w:color="auto"/>
              </w:divBdr>
            </w:div>
            <w:div w:id="1410228241">
              <w:marLeft w:val="0"/>
              <w:marRight w:val="0"/>
              <w:marTop w:val="0"/>
              <w:marBottom w:val="0"/>
              <w:divBdr>
                <w:top w:val="none" w:sz="0" w:space="0" w:color="auto"/>
                <w:left w:val="none" w:sz="0" w:space="0" w:color="auto"/>
                <w:bottom w:val="none" w:sz="0" w:space="0" w:color="auto"/>
                <w:right w:val="none" w:sz="0" w:space="0" w:color="auto"/>
              </w:divBdr>
            </w:div>
            <w:div w:id="1431244915">
              <w:marLeft w:val="0"/>
              <w:marRight w:val="0"/>
              <w:marTop w:val="0"/>
              <w:marBottom w:val="0"/>
              <w:divBdr>
                <w:top w:val="none" w:sz="0" w:space="0" w:color="auto"/>
                <w:left w:val="none" w:sz="0" w:space="0" w:color="auto"/>
                <w:bottom w:val="none" w:sz="0" w:space="0" w:color="auto"/>
                <w:right w:val="none" w:sz="0" w:space="0" w:color="auto"/>
              </w:divBdr>
            </w:div>
          </w:divsChild>
        </w:div>
        <w:div w:id="692996316">
          <w:marLeft w:val="0"/>
          <w:marRight w:val="0"/>
          <w:marTop w:val="0"/>
          <w:marBottom w:val="0"/>
          <w:divBdr>
            <w:top w:val="none" w:sz="0" w:space="0" w:color="auto"/>
            <w:left w:val="none" w:sz="0" w:space="0" w:color="auto"/>
            <w:bottom w:val="none" w:sz="0" w:space="0" w:color="auto"/>
            <w:right w:val="none" w:sz="0" w:space="0" w:color="auto"/>
          </w:divBdr>
          <w:divsChild>
            <w:div w:id="610017914">
              <w:marLeft w:val="0"/>
              <w:marRight w:val="0"/>
              <w:marTop w:val="0"/>
              <w:marBottom w:val="0"/>
              <w:divBdr>
                <w:top w:val="none" w:sz="0" w:space="0" w:color="auto"/>
                <w:left w:val="none" w:sz="0" w:space="0" w:color="auto"/>
                <w:bottom w:val="none" w:sz="0" w:space="0" w:color="auto"/>
                <w:right w:val="none" w:sz="0" w:space="0" w:color="auto"/>
              </w:divBdr>
            </w:div>
          </w:divsChild>
        </w:div>
        <w:div w:id="700713498">
          <w:marLeft w:val="0"/>
          <w:marRight w:val="0"/>
          <w:marTop w:val="0"/>
          <w:marBottom w:val="0"/>
          <w:divBdr>
            <w:top w:val="none" w:sz="0" w:space="0" w:color="auto"/>
            <w:left w:val="none" w:sz="0" w:space="0" w:color="auto"/>
            <w:bottom w:val="none" w:sz="0" w:space="0" w:color="auto"/>
            <w:right w:val="none" w:sz="0" w:space="0" w:color="auto"/>
          </w:divBdr>
          <w:divsChild>
            <w:div w:id="483012959">
              <w:marLeft w:val="0"/>
              <w:marRight w:val="0"/>
              <w:marTop w:val="0"/>
              <w:marBottom w:val="0"/>
              <w:divBdr>
                <w:top w:val="none" w:sz="0" w:space="0" w:color="auto"/>
                <w:left w:val="none" w:sz="0" w:space="0" w:color="auto"/>
                <w:bottom w:val="none" w:sz="0" w:space="0" w:color="auto"/>
                <w:right w:val="none" w:sz="0" w:space="0" w:color="auto"/>
              </w:divBdr>
            </w:div>
            <w:div w:id="597252173">
              <w:marLeft w:val="0"/>
              <w:marRight w:val="0"/>
              <w:marTop w:val="0"/>
              <w:marBottom w:val="0"/>
              <w:divBdr>
                <w:top w:val="none" w:sz="0" w:space="0" w:color="auto"/>
                <w:left w:val="none" w:sz="0" w:space="0" w:color="auto"/>
                <w:bottom w:val="none" w:sz="0" w:space="0" w:color="auto"/>
                <w:right w:val="none" w:sz="0" w:space="0" w:color="auto"/>
              </w:divBdr>
            </w:div>
            <w:div w:id="1044984229">
              <w:marLeft w:val="0"/>
              <w:marRight w:val="0"/>
              <w:marTop w:val="0"/>
              <w:marBottom w:val="0"/>
              <w:divBdr>
                <w:top w:val="none" w:sz="0" w:space="0" w:color="auto"/>
                <w:left w:val="none" w:sz="0" w:space="0" w:color="auto"/>
                <w:bottom w:val="none" w:sz="0" w:space="0" w:color="auto"/>
                <w:right w:val="none" w:sz="0" w:space="0" w:color="auto"/>
              </w:divBdr>
            </w:div>
          </w:divsChild>
        </w:div>
        <w:div w:id="709841604">
          <w:marLeft w:val="0"/>
          <w:marRight w:val="0"/>
          <w:marTop w:val="0"/>
          <w:marBottom w:val="0"/>
          <w:divBdr>
            <w:top w:val="none" w:sz="0" w:space="0" w:color="auto"/>
            <w:left w:val="none" w:sz="0" w:space="0" w:color="auto"/>
            <w:bottom w:val="none" w:sz="0" w:space="0" w:color="auto"/>
            <w:right w:val="none" w:sz="0" w:space="0" w:color="auto"/>
          </w:divBdr>
          <w:divsChild>
            <w:div w:id="331567504">
              <w:marLeft w:val="0"/>
              <w:marRight w:val="0"/>
              <w:marTop w:val="0"/>
              <w:marBottom w:val="0"/>
              <w:divBdr>
                <w:top w:val="none" w:sz="0" w:space="0" w:color="auto"/>
                <w:left w:val="none" w:sz="0" w:space="0" w:color="auto"/>
                <w:bottom w:val="none" w:sz="0" w:space="0" w:color="auto"/>
                <w:right w:val="none" w:sz="0" w:space="0" w:color="auto"/>
              </w:divBdr>
            </w:div>
          </w:divsChild>
        </w:div>
        <w:div w:id="718869571">
          <w:marLeft w:val="0"/>
          <w:marRight w:val="0"/>
          <w:marTop w:val="0"/>
          <w:marBottom w:val="0"/>
          <w:divBdr>
            <w:top w:val="none" w:sz="0" w:space="0" w:color="auto"/>
            <w:left w:val="none" w:sz="0" w:space="0" w:color="auto"/>
            <w:bottom w:val="none" w:sz="0" w:space="0" w:color="auto"/>
            <w:right w:val="none" w:sz="0" w:space="0" w:color="auto"/>
          </w:divBdr>
          <w:divsChild>
            <w:div w:id="1218395206">
              <w:marLeft w:val="0"/>
              <w:marRight w:val="0"/>
              <w:marTop w:val="0"/>
              <w:marBottom w:val="0"/>
              <w:divBdr>
                <w:top w:val="none" w:sz="0" w:space="0" w:color="auto"/>
                <w:left w:val="none" w:sz="0" w:space="0" w:color="auto"/>
                <w:bottom w:val="none" w:sz="0" w:space="0" w:color="auto"/>
                <w:right w:val="none" w:sz="0" w:space="0" w:color="auto"/>
              </w:divBdr>
            </w:div>
            <w:div w:id="1806700156">
              <w:marLeft w:val="0"/>
              <w:marRight w:val="0"/>
              <w:marTop w:val="0"/>
              <w:marBottom w:val="0"/>
              <w:divBdr>
                <w:top w:val="none" w:sz="0" w:space="0" w:color="auto"/>
                <w:left w:val="none" w:sz="0" w:space="0" w:color="auto"/>
                <w:bottom w:val="none" w:sz="0" w:space="0" w:color="auto"/>
                <w:right w:val="none" w:sz="0" w:space="0" w:color="auto"/>
              </w:divBdr>
            </w:div>
          </w:divsChild>
        </w:div>
        <w:div w:id="721290413">
          <w:marLeft w:val="0"/>
          <w:marRight w:val="0"/>
          <w:marTop w:val="0"/>
          <w:marBottom w:val="0"/>
          <w:divBdr>
            <w:top w:val="none" w:sz="0" w:space="0" w:color="auto"/>
            <w:left w:val="none" w:sz="0" w:space="0" w:color="auto"/>
            <w:bottom w:val="none" w:sz="0" w:space="0" w:color="auto"/>
            <w:right w:val="none" w:sz="0" w:space="0" w:color="auto"/>
          </w:divBdr>
          <w:divsChild>
            <w:div w:id="690035144">
              <w:marLeft w:val="0"/>
              <w:marRight w:val="0"/>
              <w:marTop w:val="0"/>
              <w:marBottom w:val="0"/>
              <w:divBdr>
                <w:top w:val="none" w:sz="0" w:space="0" w:color="auto"/>
                <w:left w:val="none" w:sz="0" w:space="0" w:color="auto"/>
                <w:bottom w:val="none" w:sz="0" w:space="0" w:color="auto"/>
                <w:right w:val="none" w:sz="0" w:space="0" w:color="auto"/>
              </w:divBdr>
            </w:div>
          </w:divsChild>
        </w:div>
        <w:div w:id="733939130">
          <w:marLeft w:val="0"/>
          <w:marRight w:val="0"/>
          <w:marTop w:val="0"/>
          <w:marBottom w:val="0"/>
          <w:divBdr>
            <w:top w:val="none" w:sz="0" w:space="0" w:color="auto"/>
            <w:left w:val="none" w:sz="0" w:space="0" w:color="auto"/>
            <w:bottom w:val="none" w:sz="0" w:space="0" w:color="auto"/>
            <w:right w:val="none" w:sz="0" w:space="0" w:color="auto"/>
          </w:divBdr>
          <w:divsChild>
            <w:div w:id="953561846">
              <w:marLeft w:val="0"/>
              <w:marRight w:val="0"/>
              <w:marTop w:val="0"/>
              <w:marBottom w:val="0"/>
              <w:divBdr>
                <w:top w:val="none" w:sz="0" w:space="0" w:color="auto"/>
                <w:left w:val="none" w:sz="0" w:space="0" w:color="auto"/>
                <w:bottom w:val="none" w:sz="0" w:space="0" w:color="auto"/>
                <w:right w:val="none" w:sz="0" w:space="0" w:color="auto"/>
              </w:divBdr>
            </w:div>
          </w:divsChild>
        </w:div>
        <w:div w:id="742219603">
          <w:marLeft w:val="0"/>
          <w:marRight w:val="0"/>
          <w:marTop w:val="0"/>
          <w:marBottom w:val="0"/>
          <w:divBdr>
            <w:top w:val="none" w:sz="0" w:space="0" w:color="auto"/>
            <w:left w:val="none" w:sz="0" w:space="0" w:color="auto"/>
            <w:bottom w:val="none" w:sz="0" w:space="0" w:color="auto"/>
            <w:right w:val="none" w:sz="0" w:space="0" w:color="auto"/>
          </w:divBdr>
          <w:divsChild>
            <w:div w:id="1354575009">
              <w:marLeft w:val="0"/>
              <w:marRight w:val="0"/>
              <w:marTop w:val="0"/>
              <w:marBottom w:val="0"/>
              <w:divBdr>
                <w:top w:val="none" w:sz="0" w:space="0" w:color="auto"/>
                <w:left w:val="none" w:sz="0" w:space="0" w:color="auto"/>
                <w:bottom w:val="none" w:sz="0" w:space="0" w:color="auto"/>
                <w:right w:val="none" w:sz="0" w:space="0" w:color="auto"/>
              </w:divBdr>
            </w:div>
            <w:div w:id="1830055292">
              <w:marLeft w:val="0"/>
              <w:marRight w:val="0"/>
              <w:marTop w:val="0"/>
              <w:marBottom w:val="0"/>
              <w:divBdr>
                <w:top w:val="none" w:sz="0" w:space="0" w:color="auto"/>
                <w:left w:val="none" w:sz="0" w:space="0" w:color="auto"/>
                <w:bottom w:val="none" w:sz="0" w:space="0" w:color="auto"/>
                <w:right w:val="none" w:sz="0" w:space="0" w:color="auto"/>
              </w:divBdr>
            </w:div>
          </w:divsChild>
        </w:div>
        <w:div w:id="743647312">
          <w:marLeft w:val="0"/>
          <w:marRight w:val="0"/>
          <w:marTop w:val="0"/>
          <w:marBottom w:val="0"/>
          <w:divBdr>
            <w:top w:val="none" w:sz="0" w:space="0" w:color="auto"/>
            <w:left w:val="none" w:sz="0" w:space="0" w:color="auto"/>
            <w:bottom w:val="none" w:sz="0" w:space="0" w:color="auto"/>
            <w:right w:val="none" w:sz="0" w:space="0" w:color="auto"/>
          </w:divBdr>
          <w:divsChild>
            <w:div w:id="297802635">
              <w:marLeft w:val="0"/>
              <w:marRight w:val="0"/>
              <w:marTop w:val="0"/>
              <w:marBottom w:val="0"/>
              <w:divBdr>
                <w:top w:val="none" w:sz="0" w:space="0" w:color="auto"/>
                <w:left w:val="none" w:sz="0" w:space="0" w:color="auto"/>
                <w:bottom w:val="none" w:sz="0" w:space="0" w:color="auto"/>
                <w:right w:val="none" w:sz="0" w:space="0" w:color="auto"/>
              </w:divBdr>
            </w:div>
            <w:div w:id="1136293424">
              <w:marLeft w:val="0"/>
              <w:marRight w:val="0"/>
              <w:marTop w:val="0"/>
              <w:marBottom w:val="0"/>
              <w:divBdr>
                <w:top w:val="none" w:sz="0" w:space="0" w:color="auto"/>
                <w:left w:val="none" w:sz="0" w:space="0" w:color="auto"/>
                <w:bottom w:val="none" w:sz="0" w:space="0" w:color="auto"/>
                <w:right w:val="none" w:sz="0" w:space="0" w:color="auto"/>
              </w:divBdr>
            </w:div>
          </w:divsChild>
        </w:div>
        <w:div w:id="751199820">
          <w:marLeft w:val="0"/>
          <w:marRight w:val="0"/>
          <w:marTop w:val="0"/>
          <w:marBottom w:val="0"/>
          <w:divBdr>
            <w:top w:val="none" w:sz="0" w:space="0" w:color="auto"/>
            <w:left w:val="none" w:sz="0" w:space="0" w:color="auto"/>
            <w:bottom w:val="none" w:sz="0" w:space="0" w:color="auto"/>
            <w:right w:val="none" w:sz="0" w:space="0" w:color="auto"/>
          </w:divBdr>
          <w:divsChild>
            <w:div w:id="1743602986">
              <w:marLeft w:val="0"/>
              <w:marRight w:val="0"/>
              <w:marTop w:val="0"/>
              <w:marBottom w:val="0"/>
              <w:divBdr>
                <w:top w:val="none" w:sz="0" w:space="0" w:color="auto"/>
                <w:left w:val="none" w:sz="0" w:space="0" w:color="auto"/>
                <w:bottom w:val="none" w:sz="0" w:space="0" w:color="auto"/>
                <w:right w:val="none" w:sz="0" w:space="0" w:color="auto"/>
              </w:divBdr>
            </w:div>
            <w:div w:id="1811022466">
              <w:marLeft w:val="0"/>
              <w:marRight w:val="0"/>
              <w:marTop w:val="0"/>
              <w:marBottom w:val="0"/>
              <w:divBdr>
                <w:top w:val="none" w:sz="0" w:space="0" w:color="auto"/>
                <w:left w:val="none" w:sz="0" w:space="0" w:color="auto"/>
                <w:bottom w:val="none" w:sz="0" w:space="0" w:color="auto"/>
                <w:right w:val="none" w:sz="0" w:space="0" w:color="auto"/>
              </w:divBdr>
            </w:div>
          </w:divsChild>
        </w:div>
        <w:div w:id="758260504">
          <w:marLeft w:val="0"/>
          <w:marRight w:val="0"/>
          <w:marTop w:val="0"/>
          <w:marBottom w:val="0"/>
          <w:divBdr>
            <w:top w:val="none" w:sz="0" w:space="0" w:color="auto"/>
            <w:left w:val="none" w:sz="0" w:space="0" w:color="auto"/>
            <w:bottom w:val="none" w:sz="0" w:space="0" w:color="auto"/>
            <w:right w:val="none" w:sz="0" w:space="0" w:color="auto"/>
          </w:divBdr>
          <w:divsChild>
            <w:div w:id="1315336491">
              <w:marLeft w:val="0"/>
              <w:marRight w:val="0"/>
              <w:marTop w:val="0"/>
              <w:marBottom w:val="0"/>
              <w:divBdr>
                <w:top w:val="none" w:sz="0" w:space="0" w:color="auto"/>
                <w:left w:val="none" w:sz="0" w:space="0" w:color="auto"/>
                <w:bottom w:val="none" w:sz="0" w:space="0" w:color="auto"/>
                <w:right w:val="none" w:sz="0" w:space="0" w:color="auto"/>
              </w:divBdr>
            </w:div>
            <w:div w:id="2092433667">
              <w:marLeft w:val="0"/>
              <w:marRight w:val="0"/>
              <w:marTop w:val="0"/>
              <w:marBottom w:val="0"/>
              <w:divBdr>
                <w:top w:val="none" w:sz="0" w:space="0" w:color="auto"/>
                <w:left w:val="none" w:sz="0" w:space="0" w:color="auto"/>
                <w:bottom w:val="none" w:sz="0" w:space="0" w:color="auto"/>
                <w:right w:val="none" w:sz="0" w:space="0" w:color="auto"/>
              </w:divBdr>
            </w:div>
          </w:divsChild>
        </w:div>
        <w:div w:id="763720145">
          <w:marLeft w:val="0"/>
          <w:marRight w:val="0"/>
          <w:marTop w:val="0"/>
          <w:marBottom w:val="0"/>
          <w:divBdr>
            <w:top w:val="none" w:sz="0" w:space="0" w:color="auto"/>
            <w:left w:val="none" w:sz="0" w:space="0" w:color="auto"/>
            <w:bottom w:val="none" w:sz="0" w:space="0" w:color="auto"/>
            <w:right w:val="none" w:sz="0" w:space="0" w:color="auto"/>
          </w:divBdr>
          <w:divsChild>
            <w:div w:id="1600917533">
              <w:marLeft w:val="0"/>
              <w:marRight w:val="0"/>
              <w:marTop w:val="0"/>
              <w:marBottom w:val="0"/>
              <w:divBdr>
                <w:top w:val="none" w:sz="0" w:space="0" w:color="auto"/>
                <w:left w:val="none" w:sz="0" w:space="0" w:color="auto"/>
                <w:bottom w:val="none" w:sz="0" w:space="0" w:color="auto"/>
                <w:right w:val="none" w:sz="0" w:space="0" w:color="auto"/>
              </w:divBdr>
            </w:div>
          </w:divsChild>
        </w:div>
        <w:div w:id="768546240">
          <w:marLeft w:val="0"/>
          <w:marRight w:val="0"/>
          <w:marTop w:val="0"/>
          <w:marBottom w:val="0"/>
          <w:divBdr>
            <w:top w:val="none" w:sz="0" w:space="0" w:color="auto"/>
            <w:left w:val="none" w:sz="0" w:space="0" w:color="auto"/>
            <w:bottom w:val="none" w:sz="0" w:space="0" w:color="auto"/>
            <w:right w:val="none" w:sz="0" w:space="0" w:color="auto"/>
          </w:divBdr>
          <w:divsChild>
            <w:div w:id="1793207921">
              <w:marLeft w:val="0"/>
              <w:marRight w:val="0"/>
              <w:marTop w:val="0"/>
              <w:marBottom w:val="0"/>
              <w:divBdr>
                <w:top w:val="none" w:sz="0" w:space="0" w:color="auto"/>
                <w:left w:val="none" w:sz="0" w:space="0" w:color="auto"/>
                <w:bottom w:val="none" w:sz="0" w:space="0" w:color="auto"/>
                <w:right w:val="none" w:sz="0" w:space="0" w:color="auto"/>
              </w:divBdr>
            </w:div>
            <w:div w:id="2097087711">
              <w:marLeft w:val="0"/>
              <w:marRight w:val="0"/>
              <w:marTop w:val="0"/>
              <w:marBottom w:val="0"/>
              <w:divBdr>
                <w:top w:val="none" w:sz="0" w:space="0" w:color="auto"/>
                <w:left w:val="none" w:sz="0" w:space="0" w:color="auto"/>
                <w:bottom w:val="none" w:sz="0" w:space="0" w:color="auto"/>
                <w:right w:val="none" w:sz="0" w:space="0" w:color="auto"/>
              </w:divBdr>
            </w:div>
          </w:divsChild>
        </w:div>
        <w:div w:id="769938011">
          <w:marLeft w:val="0"/>
          <w:marRight w:val="0"/>
          <w:marTop w:val="0"/>
          <w:marBottom w:val="0"/>
          <w:divBdr>
            <w:top w:val="none" w:sz="0" w:space="0" w:color="auto"/>
            <w:left w:val="none" w:sz="0" w:space="0" w:color="auto"/>
            <w:bottom w:val="none" w:sz="0" w:space="0" w:color="auto"/>
            <w:right w:val="none" w:sz="0" w:space="0" w:color="auto"/>
          </w:divBdr>
          <w:divsChild>
            <w:div w:id="441220766">
              <w:marLeft w:val="0"/>
              <w:marRight w:val="0"/>
              <w:marTop w:val="0"/>
              <w:marBottom w:val="0"/>
              <w:divBdr>
                <w:top w:val="none" w:sz="0" w:space="0" w:color="auto"/>
                <w:left w:val="none" w:sz="0" w:space="0" w:color="auto"/>
                <w:bottom w:val="none" w:sz="0" w:space="0" w:color="auto"/>
                <w:right w:val="none" w:sz="0" w:space="0" w:color="auto"/>
              </w:divBdr>
            </w:div>
          </w:divsChild>
        </w:div>
        <w:div w:id="778910131">
          <w:marLeft w:val="0"/>
          <w:marRight w:val="0"/>
          <w:marTop w:val="0"/>
          <w:marBottom w:val="0"/>
          <w:divBdr>
            <w:top w:val="none" w:sz="0" w:space="0" w:color="auto"/>
            <w:left w:val="none" w:sz="0" w:space="0" w:color="auto"/>
            <w:bottom w:val="none" w:sz="0" w:space="0" w:color="auto"/>
            <w:right w:val="none" w:sz="0" w:space="0" w:color="auto"/>
          </w:divBdr>
          <w:divsChild>
            <w:div w:id="651718528">
              <w:marLeft w:val="0"/>
              <w:marRight w:val="0"/>
              <w:marTop w:val="0"/>
              <w:marBottom w:val="0"/>
              <w:divBdr>
                <w:top w:val="none" w:sz="0" w:space="0" w:color="auto"/>
                <w:left w:val="none" w:sz="0" w:space="0" w:color="auto"/>
                <w:bottom w:val="none" w:sz="0" w:space="0" w:color="auto"/>
                <w:right w:val="none" w:sz="0" w:space="0" w:color="auto"/>
              </w:divBdr>
            </w:div>
            <w:div w:id="1591432354">
              <w:marLeft w:val="0"/>
              <w:marRight w:val="0"/>
              <w:marTop w:val="0"/>
              <w:marBottom w:val="0"/>
              <w:divBdr>
                <w:top w:val="none" w:sz="0" w:space="0" w:color="auto"/>
                <w:left w:val="none" w:sz="0" w:space="0" w:color="auto"/>
                <w:bottom w:val="none" w:sz="0" w:space="0" w:color="auto"/>
                <w:right w:val="none" w:sz="0" w:space="0" w:color="auto"/>
              </w:divBdr>
            </w:div>
            <w:div w:id="1681203256">
              <w:marLeft w:val="0"/>
              <w:marRight w:val="0"/>
              <w:marTop w:val="0"/>
              <w:marBottom w:val="0"/>
              <w:divBdr>
                <w:top w:val="none" w:sz="0" w:space="0" w:color="auto"/>
                <w:left w:val="none" w:sz="0" w:space="0" w:color="auto"/>
                <w:bottom w:val="none" w:sz="0" w:space="0" w:color="auto"/>
                <w:right w:val="none" w:sz="0" w:space="0" w:color="auto"/>
              </w:divBdr>
            </w:div>
          </w:divsChild>
        </w:div>
        <w:div w:id="783841496">
          <w:marLeft w:val="0"/>
          <w:marRight w:val="0"/>
          <w:marTop w:val="0"/>
          <w:marBottom w:val="0"/>
          <w:divBdr>
            <w:top w:val="none" w:sz="0" w:space="0" w:color="auto"/>
            <w:left w:val="none" w:sz="0" w:space="0" w:color="auto"/>
            <w:bottom w:val="none" w:sz="0" w:space="0" w:color="auto"/>
            <w:right w:val="none" w:sz="0" w:space="0" w:color="auto"/>
          </w:divBdr>
          <w:divsChild>
            <w:div w:id="1079015504">
              <w:marLeft w:val="0"/>
              <w:marRight w:val="0"/>
              <w:marTop w:val="0"/>
              <w:marBottom w:val="0"/>
              <w:divBdr>
                <w:top w:val="none" w:sz="0" w:space="0" w:color="auto"/>
                <w:left w:val="none" w:sz="0" w:space="0" w:color="auto"/>
                <w:bottom w:val="none" w:sz="0" w:space="0" w:color="auto"/>
                <w:right w:val="none" w:sz="0" w:space="0" w:color="auto"/>
              </w:divBdr>
            </w:div>
            <w:div w:id="1656646832">
              <w:marLeft w:val="0"/>
              <w:marRight w:val="0"/>
              <w:marTop w:val="0"/>
              <w:marBottom w:val="0"/>
              <w:divBdr>
                <w:top w:val="none" w:sz="0" w:space="0" w:color="auto"/>
                <w:left w:val="none" w:sz="0" w:space="0" w:color="auto"/>
                <w:bottom w:val="none" w:sz="0" w:space="0" w:color="auto"/>
                <w:right w:val="none" w:sz="0" w:space="0" w:color="auto"/>
              </w:divBdr>
            </w:div>
          </w:divsChild>
        </w:div>
        <w:div w:id="788554257">
          <w:marLeft w:val="0"/>
          <w:marRight w:val="0"/>
          <w:marTop w:val="0"/>
          <w:marBottom w:val="0"/>
          <w:divBdr>
            <w:top w:val="none" w:sz="0" w:space="0" w:color="auto"/>
            <w:left w:val="none" w:sz="0" w:space="0" w:color="auto"/>
            <w:bottom w:val="none" w:sz="0" w:space="0" w:color="auto"/>
            <w:right w:val="none" w:sz="0" w:space="0" w:color="auto"/>
          </w:divBdr>
          <w:divsChild>
            <w:div w:id="331765937">
              <w:marLeft w:val="0"/>
              <w:marRight w:val="0"/>
              <w:marTop w:val="0"/>
              <w:marBottom w:val="0"/>
              <w:divBdr>
                <w:top w:val="none" w:sz="0" w:space="0" w:color="auto"/>
                <w:left w:val="none" w:sz="0" w:space="0" w:color="auto"/>
                <w:bottom w:val="none" w:sz="0" w:space="0" w:color="auto"/>
                <w:right w:val="none" w:sz="0" w:space="0" w:color="auto"/>
              </w:divBdr>
            </w:div>
          </w:divsChild>
        </w:div>
        <w:div w:id="789251636">
          <w:marLeft w:val="0"/>
          <w:marRight w:val="0"/>
          <w:marTop w:val="0"/>
          <w:marBottom w:val="0"/>
          <w:divBdr>
            <w:top w:val="none" w:sz="0" w:space="0" w:color="auto"/>
            <w:left w:val="none" w:sz="0" w:space="0" w:color="auto"/>
            <w:bottom w:val="none" w:sz="0" w:space="0" w:color="auto"/>
            <w:right w:val="none" w:sz="0" w:space="0" w:color="auto"/>
          </w:divBdr>
          <w:divsChild>
            <w:div w:id="1580363499">
              <w:marLeft w:val="0"/>
              <w:marRight w:val="0"/>
              <w:marTop w:val="0"/>
              <w:marBottom w:val="0"/>
              <w:divBdr>
                <w:top w:val="none" w:sz="0" w:space="0" w:color="auto"/>
                <w:left w:val="none" w:sz="0" w:space="0" w:color="auto"/>
                <w:bottom w:val="none" w:sz="0" w:space="0" w:color="auto"/>
                <w:right w:val="none" w:sz="0" w:space="0" w:color="auto"/>
              </w:divBdr>
            </w:div>
            <w:div w:id="1706902204">
              <w:marLeft w:val="0"/>
              <w:marRight w:val="0"/>
              <w:marTop w:val="0"/>
              <w:marBottom w:val="0"/>
              <w:divBdr>
                <w:top w:val="none" w:sz="0" w:space="0" w:color="auto"/>
                <w:left w:val="none" w:sz="0" w:space="0" w:color="auto"/>
                <w:bottom w:val="none" w:sz="0" w:space="0" w:color="auto"/>
                <w:right w:val="none" w:sz="0" w:space="0" w:color="auto"/>
              </w:divBdr>
            </w:div>
          </w:divsChild>
        </w:div>
        <w:div w:id="793519577">
          <w:marLeft w:val="0"/>
          <w:marRight w:val="0"/>
          <w:marTop w:val="0"/>
          <w:marBottom w:val="0"/>
          <w:divBdr>
            <w:top w:val="none" w:sz="0" w:space="0" w:color="auto"/>
            <w:left w:val="none" w:sz="0" w:space="0" w:color="auto"/>
            <w:bottom w:val="none" w:sz="0" w:space="0" w:color="auto"/>
            <w:right w:val="none" w:sz="0" w:space="0" w:color="auto"/>
          </w:divBdr>
          <w:divsChild>
            <w:div w:id="447311511">
              <w:marLeft w:val="0"/>
              <w:marRight w:val="0"/>
              <w:marTop w:val="0"/>
              <w:marBottom w:val="0"/>
              <w:divBdr>
                <w:top w:val="none" w:sz="0" w:space="0" w:color="auto"/>
                <w:left w:val="none" w:sz="0" w:space="0" w:color="auto"/>
                <w:bottom w:val="none" w:sz="0" w:space="0" w:color="auto"/>
                <w:right w:val="none" w:sz="0" w:space="0" w:color="auto"/>
              </w:divBdr>
            </w:div>
            <w:div w:id="587731546">
              <w:marLeft w:val="0"/>
              <w:marRight w:val="0"/>
              <w:marTop w:val="0"/>
              <w:marBottom w:val="0"/>
              <w:divBdr>
                <w:top w:val="none" w:sz="0" w:space="0" w:color="auto"/>
                <w:left w:val="none" w:sz="0" w:space="0" w:color="auto"/>
                <w:bottom w:val="none" w:sz="0" w:space="0" w:color="auto"/>
                <w:right w:val="none" w:sz="0" w:space="0" w:color="auto"/>
              </w:divBdr>
            </w:div>
            <w:div w:id="1716732119">
              <w:marLeft w:val="0"/>
              <w:marRight w:val="0"/>
              <w:marTop w:val="0"/>
              <w:marBottom w:val="0"/>
              <w:divBdr>
                <w:top w:val="none" w:sz="0" w:space="0" w:color="auto"/>
                <w:left w:val="none" w:sz="0" w:space="0" w:color="auto"/>
                <w:bottom w:val="none" w:sz="0" w:space="0" w:color="auto"/>
                <w:right w:val="none" w:sz="0" w:space="0" w:color="auto"/>
              </w:divBdr>
            </w:div>
          </w:divsChild>
        </w:div>
        <w:div w:id="796686114">
          <w:marLeft w:val="0"/>
          <w:marRight w:val="0"/>
          <w:marTop w:val="0"/>
          <w:marBottom w:val="0"/>
          <w:divBdr>
            <w:top w:val="none" w:sz="0" w:space="0" w:color="auto"/>
            <w:left w:val="none" w:sz="0" w:space="0" w:color="auto"/>
            <w:bottom w:val="none" w:sz="0" w:space="0" w:color="auto"/>
            <w:right w:val="none" w:sz="0" w:space="0" w:color="auto"/>
          </w:divBdr>
          <w:divsChild>
            <w:div w:id="293562143">
              <w:marLeft w:val="0"/>
              <w:marRight w:val="0"/>
              <w:marTop w:val="0"/>
              <w:marBottom w:val="0"/>
              <w:divBdr>
                <w:top w:val="none" w:sz="0" w:space="0" w:color="auto"/>
                <w:left w:val="none" w:sz="0" w:space="0" w:color="auto"/>
                <w:bottom w:val="none" w:sz="0" w:space="0" w:color="auto"/>
                <w:right w:val="none" w:sz="0" w:space="0" w:color="auto"/>
              </w:divBdr>
            </w:div>
            <w:div w:id="981498710">
              <w:marLeft w:val="0"/>
              <w:marRight w:val="0"/>
              <w:marTop w:val="0"/>
              <w:marBottom w:val="0"/>
              <w:divBdr>
                <w:top w:val="none" w:sz="0" w:space="0" w:color="auto"/>
                <w:left w:val="none" w:sz="0" w:space="0" w:color="auto"/>
                <w:bottom w:val="none" w:sz="0" w:space="0" w:color="auto"/>
                <w:right w:val="none" w:sz="0" w:space="0" w:color="auto"/>
              </w:divBdr>
            </w:div>
            <w:div w:id="1161967063">
              <w:marLeft w:val="0"/>
              <w:marRight w:val="0"/>
              <w:marTop w:val="0"/>
              <w:marBottom w:val="0"/>
              <w:divBdr>
                <w:top w:val="none" w:sz="0" w:space="0" w:color="auto"/>
                <w:left w:val="none" w:sz="0" w:space="0" w:color="auto"/>
                <w:bottom w:val="none" w:sz="0" w:space="0" w:color="auto"/>
                <w:right w:val="none" w:sz="0" w:space="0" w:color="auto"/>
              </w:divBdr>
            </w:div>
            <w:div w:id="1800758597">
              <w:marLeft w:val="0"/>
              <w:marRight w:val="0"/>
              <w:marTop w:val="0"/>
              <w:marBottom w:val="0"/>
              <w:divBdr>
                <w:top w:val="none" w:sz="0" w:space="0" w:color="auto"/>
                <w:left w:val="none" w:sz="0" w:space="0" w:color="auto"/>
                <w:bottom w:val="none" w:sz="0" w:space="0" w:color="auto"/>
                <w:right w:val="none" w:sz="0" w:space="0" w:color="auto"/>
              </w:divBdr>
            </w:div>
          </w:divsChild>
        </w:div>
        <w:div w:id="804346979">
          <w:marLeft w:val="0"/>
          <w:marRight w:val="0"/>
          <w:marTop w:val="0"/>
          <w:marBottom w:val="0"/>
          <w:divBdr>
            <w:top w:val="none" w:sz="0" w:space="0" w:color="auto"/>
            <w:left w:val="none" w:sz="0" w:space="0" w:color="auto"/>
            <w:bottom w:val="none" w:sz="0" w:space="0" w:color="auto"/>
            <w:right w:val="none" w:sz="0" w:space="0" w:color="auto"/>
          </w:divBdr>
          <w:divsChild>
            <w:div w:id="802187833">
              <w:marLeft w:val="0"/>
              <w:marRight w:val="0"/>
              <w:marTop w:val="0"/>
              <w:marBottom w:val="0"/>
              <w:divBdr>
                <w:top w:val="none" w:sz="0" w:space="0" w:color="auto"/>
                <w:left w:val="none" w:sz="0" w:space="0" w:color="auto"/>
                <w:bottom w:val="none" w:sz="0" w:space="0" w:color="auto"/>
                <w:right w:val="none" w:sz="0" w:space="0" w:color="auto"/>
              </w:divBdr>
            </w:div>
          </w:divsChild>
        </w:div>
        <w:div w:id="817376643">
          <w:marLeft w:val="0"/>
          <w:marRight w:val="0"/>
          <w:marTop w:val="0"/>
          <w:marBottom w:val="0"/>
          <w:divBdr>
            <w:top w:val="none" w:sz="0" w:space="0" w:color="auto"/>
            <w:left w:val="none" w:sz="0" w:space="0" w:color="auto"/>
            <w:bottom w:val="none" w:sz="0" w:space="0" w:color="auto"/>
            <w:right w:val="none" w:sz="0" w:space="0" w:color="auto"/>
          </w:divBdr>
          <w:divsChild>
            <w:div w:id="20084605">
              <w:marLeft w:val="0"/>
              <w:marRight w:val="0"/>
              <w:marTop w:val="0"/>
              <w:marBottom w:val="0"/>
              <w:divBdr>
                <w:top w:val="none" w:sz="0" w:space="0" w:color="auto"/>
                <w:left w:val="none" w:sz="0" w:space="0" w:color="auto"/>
                <w:bottom w:val="none" w:sz="0" w:space="0" w:color="auto"/>
                <w:right w:val="none" w:sz="0" w:space="0" w:color="auto"/>
              </w:divBdr>
            </w:div>
            <w:div w:id="60178076">
              <w:marLeft w:val="0"/>
              <w:marRight w:val="0"/>
              <w:marTop w:val="0"/>
              <w:marBottom w:val="0"/>
              <w:divBdr>
                <w:top w:val="none" w:sz="0" w:space="0" w:color="auto"/>
                <w:left w:val="none" w:sz="0" w:space="0" w:color="auto"/>
                <w:bottom w:val="none" w:sz="0" w:space="0" w:color="auto"/>
                <w:right w:val="none" w:sz="0" w:space="0" w:color="auto"/>
              </w:divBdr>
            </w:div>
          </w:divsChild>
        </w:div>
        <w:div w:id="819733133">
          <w:marLeft w:val="0"/>
          <w:marRight w:val="0"/>
          <w:marTop w:val="0"/>
          <w:marBottom w:val="0"/>
          <w:divBdr>
            <w:top w:val="none" w:sz="0" w:space="0" w:color="auto"/>
            <w:left w:val="none" w:sz="0" w:space="0" w:color="auto"/>
            <w:bottom w:val="none" w:sz="0" w:space="0" w:color="auto"/>
            <w:right w:val="none" w:sz="0" w:space="0" w:color="auto"/>
          </w:divBdr>
          <w:divsChild>
            <w:div w:id="1496072324">
              <w:marLeft w:val="0"/>
              <w:marRight w:val="0"/>
              <w:marTop w:val="0"/>
              <w:marBottom w:val="0"/>
              <w:divBdr>
                <w:top w:val="none" w:sz="0" w:space="0" w:color="auto"/>
                <w:left w:val="none" w:sz="0" w:space="0" w:color="auto"/>
                <w:bottom w:val="none" w:sz="0" w:space="0" w:color="auto"/>
                <w:right w:val="none" w:sz="0" w:space="0" w:color="auto"/>
              </w:divBdr>
            </w:div>
          </w:divsChild>
        </w:div>
        <w:div w:id="823089807">
          <w:marLeft w:val="0"/>
          <w:marRight w:val="0"/>
          <w:marTop w:val="0"/>
          <w:marBottom w:val="0"/>
          <w:divBdr>
            <w:top w:val="none" w:sz="0" w:space="0" w:color="auto"/>
            <w:left w:val="none" w:sz="0" w:space="0" w:color="auto"/>
            <w:bottom w:val="none" w:sz="0" w:space="0" w:color="auto"/>
            <w:right w:val="none" w:sz="0" w:space="0" w:color="auto"/>
          </w:divBdr>
          <w:divsChild>
            <w:div w:id="1037392094">
              <w:marLeft w:val="0"/>
              <w:marRight w:val="0"/>
              <w:marTop w:val="0"/>
              <w:marBottom w:val="0"/>
              <w:divBdr>
                <w:top w:val="none" w:sz="0" w:space="0" w:color="auto"/>
                <w:left w:val="none" w:sz="0" w:space="0" w:color="auto"/>
                <w:bottom w:val="none" w:sz="0" w:space="0" w:color="auto"/>
                <w:right w:val="none" w:sz="0" w:space="0" w:color="auto"/>
              </w:divBdr>
            </w:div>
            <w:div w:id="1483545680">
              <w:marLeft w:val="0"/>
              <w:marRight w:val="0"/>
              <w:marTop w:val="0"/>
              <w:marBottom w:val="0"/>
              <w:divBdr>
                <w:top w:val="none" w:sz="0" w:space="0" w:color="auto"/>
                <w:left w:val="none" w:sz="0" w:space="0" w:color="auto"/>
                <w:bottom w:val="none" w:sz="0" w:space="0" w:color="auto"/>
                <w:right w:val="none" w:sz="0" w:space="0" w:color="auto"/>
              </w:divBdr>
            </w:div>
          </w:divsChild>
        </w:div>
        <w:div w:id="823662317">
          <w:marLeft w:val="0"/>
          <w:marRight w:val="0"/>
          <w:marTop w:val="0"/>
          <w:marBottom w:val="0"/>
          <w:divBdr>
            <w:top w:val="none" w:sz="0" w:space="0" w:color="auto"/>
            <w:left w:val="none" w:sz="0" w:space="0" w:color="auto"/>
            <w:bottom w:val="none" w:sz="0" w:space="0" w:color="auto"/>
            <w:right w:val="none" w:sz="0" w:space="0" w:color="auto"/>
          </w:divBdr>
          <w:divsChild>
            <w:div w:id="203059922">
              <w:marLeft w:val="0"/>
              <w:marRight w:val="0"/>
              <w:marTop w:val="0"/>
              <w:marBottom w:val="0"/>
              <w:divBdr>
                <w:top w:val="none" w:sz="0" w:space="0" w:color="auto"/>
                <w:left w:val="none" w:sz="0" w:space="0" w:color="auto"/>
                <w:bottom w:val="none" w:sz="0" w:space="0" w:color="auto"/>
                <w:right w:val="none" w:sz="0" w:space="0" w:color="auto"/>
              </w:divBdr>
            </w:div>
            <w:div w:id="204366035">
              <w:marLeft w:val="0"/>
              <w:marRight w:val="0"/>
              <w:marTop w:val="0"/>
              <w:marBottom w:val="0"/>
              <w:divBdr>
                <w:top w:val="none" w:sz="0" w:space="0" w:color="auto"/>
                <w:left w:val="none" w:sz="0" w:space="0" w:color="auto"/>
                <w:bottom w:val="none" w:sz="0" w:space="0" w:color="auto"/>
                <w:right w:val="none" w:sz="0" w:space="0" w:color="auto"/>
              </w:divBdr>
            </w:div>
            <w:div w:id="479230862">
              <w:marLeft w:val="0"/>
              <w:marRight w:val="0"/>
              <w:marTop w:val="0"/>
              <w:marBottom w:val="0"/>
              <w:divBdr>
                <w:top w:val="none" w:sz="0" w:space="0" w:color="auto"/>
                <w:left w:val="none" w:sz="0" w:space="0" w:color="auto"/>
                <w:bottom w:val="none" w:sz="0" w:space="0" w:color="auto"/>
                <w:right w:val="none" w:sz="0" w:space="0" w:color="auto"/>
              </w:divBdr>
            </w:div>
            <w:div w:id="562445047">
              <w:marLeft w:val="0"/>
              <w:marRight w:val="0"/>
              <w:marTop w:val="0"/>
              <w:marBottom w:val="0"/>
              <w:divBdr>
                <w:top w:val="none" w:sz="0" w:space="0" w:color="auto"/>
                <w:left w:val="none" w:sz="0" w:space="0" w:color="auto"/>
                <w:bottom w:val="none" w:sz="0" w:space="0" w:color="auto"/>
                <w:right w:val="none" w:sz="0" w:space="0" w:color="auto"/>
              </w:divBdr>
            </w:div>
            <w:div w:id="708838831">
              <w:marLeft w:val="0"/>
              <w:marRight w:val="0"/>
              <w:marTop w:val="0"/>
              <w:marBottom w:val="0"/>
              <w:divBdr>
                <w:top w:val="none" w:sz="0" w:space="0" w:color="auto"/>
                <w:left w:val="none" w:sz="0" w:space="0" w:color="auto"/>
                <w:bottom w:val="none" w:sz="0" w:space="0" w:color="auto"/>
                <w:right w:val="none" w:sz="0" w:space="0" w:color="auto"/>
              </w:divBdr>
            </w:div>
            <w:div w:id="918053302">
              <w:marLeft w:val="0"/>
              <w:marRight w:val="0"/>
              <w:marTop w:val="0"/>
              <w:marBottom w:val="0"/>
              <w:divBdr>
                <w:top w:val="none" w:sz="0" w:space="0" w:color="auto"/>
                <w:left w:val="none" w:sz="0" w:space="0" w:color="auto"/>
                <w:bottom w:val="none" w:sz="0" w:space="0" w:color="auto"/>
                <w:right w:val="none" w:sz="0" w:space="0" w:color="auto"/>
              </w:divBdr>
            </w:div>
          </w:divsChild>
        </w:div>
        <w:div w:id="831871903">
          <w:marLeft w:val="0"/>
          <w:marRight w:val="0"/>
          <w:marTop w:val="0"/>
          <w:marBottom w:val="0"/>
          <w:divBdr>
            <w:top w:val="none" w:sz="0" w:space="0" w:color="auto"/>
            <w:left w:val="none" w:sz="0" w:space="0" w:color="auto"/>
            <w:bottom w:val="none" w:sz="0" w:space="0" w:color="auto"/>
            <w:right w:val="none" w:sz="0" w:space="0" w:color="auto"/>
          </w:divBdr>
          <w:divsChild>
            <w:div w:id="243876039">
              <w:marLeft w:val="0"/>
              <w:marRight w:val="0"/>
              <w:marTop w:val="0"/>
              <w:marBottom w:val="0"/>
              <w:divBdr>
                <w:top w:val="none" w:sz="0" w:space="0" w:color="auto"/>
                <w:left w:val="none" w:sz="0" w:space="0" w:color="auto"/>
                <w:bottom w:val="none" w:sz="0" w:space="0" w:color="auto"/>
                <w:right w:val="none" w:sz="0" w:space="0" w:color="auto"/>
              </w:divBdr>
            </w:div>
            <w:div w:id="1540774641">
              <w:marLeft w:val="0"/>
              <w:marRight w:val="0"/>
              <w:marTop w:val="0"/>
              <w:marBottom w:val="0"/>
              <w:divBdr>
                <w:top w:val="none" w:sz="0" w:space="0" w:color="auto"/>
                <w:left w:val="none" w:sz="0" w:space="0" w:color="auto"/>
                <w:bottom w:val="none" w:sz="0" w:space="0" w:color="auto"/>
                <w:right w:val="none" w:sz="0" w:space="0" w:color="auto"/>
              </w:divBdr>
            </w:div>
            <w:div w:id="1743327462">
              <w:marLeft w:val="0"/>
              <w:marRight w:val="0"/>
              <w:marTop w:val="0"/>
              <w:marBottom w:val="0"/>
              <w:divBdr>
                <w:top w:val="none" w:sz="0" w:space="0" w:color="auto"/>
                <w:left w:val="none" w:sz="0" w:space="0" w:color="auto"/>
                <w:bottom w:val="none" w:sz="0" w:space="0" w:color="auto"/>
                <w:right w:val="none" w:sz="0" w:space="0" w:color="auto"/>
              </w:divBdr>
            </w:div>
            <w:div w:id="1779640273">
              <w:marLeft w:val="0"/>
              <w:marRight w:val="0"/>
              <w:marTop w:val="0"/>
              <w:marBottom w:val="0"/>
              <w:divBdr>
                <w:top w:val="none" w:sz="0" w:space="0" w:color="auto"/>
                <w:left w:val="none" w:sz="0" w:space="0" w:color="auto"/>
                <w:bottom w:val="none" w:sz="0" w:space="0" w:color="auto"/>
                <w:right w:val="none" w:sz="0" w:space="0" w:color="auto"/>
              </w:divBdr>
            </w:div>
          </w:divsChild>
        </w:div>
        <w:div w:id="844903196">
          <w:marLeft w:val="0"/>
          <w:marRight w:val="0"/>
          <w:marTop w:val="0"/>
          <w:marBottom w:val="0"/>
          <w:divBdr>
            <w:top w:val="none" w:sz="0" w:space="0" w:color="auto"/>
            <w:left w:val="none" w:sz="0" w:space="0" w:color="auto"/>
            <w:bottom w:val="none" w:sz="0" w:space="0" w:color="auto"/>
            <w:right w:val="none" w:sz="0" w:space="0" w:color="auto"/>
          </w:divBdr>
          <w:divsChild>
            <w:div w:id="260720540">
              <w:marLeft w:val="0"/>
              <w:marRight w:val="0"/>
              <w:marTop w:val="0"/>
              <w:marBottom w:val="0"/>
              <w:divBdr>
                <w:top w:val="none" w:sz="0" w:space="0" w:color="auto"/>
                <w:left w:val="none" w:sz="0" w:space="0" w:color="auto"/>
                <w:bottom w:val="none" w:sz="0" w:space="0" w:color="auto"/>
                <w:right w:val="none" w:sz="0" w:space="0" w:color="auto"/>
              </w:divBdr>
            </w:div>
            <w:div w:id="783771714">
              <w:marLeft w:val="0"/>
              <w:marRight w:val="0"/>
              <w:marTop w:val="0"/>
              <w:marBottom w:val="0"/>
              <w:divBdr>
                <w:top w:val="none" w:sz="0" w:space="0" w:color="auto"/>
                <w:left w:val="none" w:sz="0" w:space="0" w:color="auto"/>
                <w:bottom w:val="none" w:sz="0" w:space="0" w:color="auto"/>
                <w:right w:val="none" w:sz="0" w:space="0" w:color="auto"/>
              </w:divBdr>
            </w:div>
            <w:div w:id="1412048783">
              <w:marLeft w:val="0"/>
              <w:marRight w:val="0"/>
              <w:marTop w:val="0"/>
              <w:marBottom w:val="0"/>
              <w:divBdr>
                <w:top w:val="none" w:sz="0" w:space="0" w:color="auto"/>
                <w:left w:val="none" w:sz="0" w:space="0" w:color="auto"/>
                <w:bottom w:val="none" w:sz="0" w:space="0" w:color="auto"/>
                <w:right w:val="none" w:sz="0" w:space="0" w:color="auto"/>
              </w:divBdr>
            </w:div>
            <w:div w:id="1688940414">
              <w:marLeft w:val="0"/>
              <w:marRight w:val="0"/>
              <w:marTop w:val="0"/>
              <w:marBottom w:val="0"/>
              <w:divBdr>
                <w:top w:val="none" w:sz="0" w:space="0" w:color="auto"/>
                <w:left w:val="none" w:sz="0" w:space="0" w:color="auto"/>
                <w:bottom w:val="none" w:sz="0" w:space="0" w:color="auto"/>
                <w:right w:val="none" w:sz="0" w:space="0" w:color="auto"/>
              </w:divBdr>
            </w:div>
            <w:div w:id="2046975633">
              <w:marLeft w:val="0"/>
              <w:marRight w:val="0"/>
              <w:marTop w:val="0"/>
              <w:marBottom w:val="0"/>
              <w:divBdr>
                <w:top w:val="none" w:sz="0" w:space="0" w:color="auto"/>
                <w:left w:val="none" w:sz="0" w:space="0" w:color="auto"/>
                <w:bottom w:val="none" w:sz="0" w:space="0" w:color="auto"/>
                <w:right w:val="none" w:sz="0" w:space="0" w:color="auto"/>
              </w:divBdr>
            </w:div>
          </w:divsChild>
        </w:div>
        <w:div w:id="850951990">
          <w:marLeft w:val="0"/>
          <w:marRight w:val="0"/>
          <w:marTop w:val="0"/>
          <w:marBottom w:val="0"/>
          <w:divBdr>
            <w:top w:val="none" w:sz="0" w:space="0" w:color="auto"/>
            <w:left w:val="none" w:sz="0" w:space="0" w:color="auto"/>
            <w:bottom w:val="none" w:sz="0" w:space="0" w:color="auto"/>
            <w:right w:val="none" w:sz="0" w:space="0" w:color="auto"/>
          </w:divBdr>
          <w:divsChild>
            <w:div w:id="1109425983">
              <w:marLeft w:val="0"/>
              <w:marRight w:val="0"/>
              <w:marTop w:val="0"/>
              <w:marBottom w:val="0"/>
              <w:divBdr>
                <w:top w:val="none" w:sz="0" w:space="0" w:color="auto"/>
                <w:left w:val="none" w:sz="0" w:space="0" w:color="auto"/>
                <w:bottom w:val="none" w:sz="0" w:space="0" w:color="auto"/>
                <w:right w:val="none" w:sz="0" w:space="0" w:color="auto"/>
              </w:divBdr>
            </w:div>
            <w:div w:id="1331909756">
              <w:marLeft w:val="0"/>
              <w:marRight w:val="0"/>
              <w:marTop w:val="0"/>
              <w:marBottom w:val="0"/>
              <w:divBdr>
                <w:top w:val="none" w:sz="0" w:space="0" w:color="auto"/>
                <w:left w:val="none" w:sz="0" w:space="0" w:color="auto"/>
                <w:bottom w:val="none" w:sz="0" w:space="0" w:color="auto"/>
                <w:right w:val="none" w:sz="0" w:space="0" w:color="auto"/>
              </w:divBdr>
            </w:div>
          </w:divsChild>
        </w:div>
        <w:div w:id="854030347">
          <w:marLeft w:val="0"/>
          <w:marRight w:val="0"/>
          <w:marTop w:val="0"/>
          <w:marBottom w:val="0"/>
          <w:divBdr>
            <w:top w:val="none" w:sz="0" w:space="0" w:color="auto"/>
            <w:left w:val="none" w:sz="0" w:space="0" w:color="auto"/>
            <w:bottom w:val="none" w:sz="0" w:space="0" w:color="auto"/>
            <w:right w:val="none" w:sz="0" w:space="0" w:color="auto"/>
          </w:divBdr>
          <w:divsChild>
            <w:div w:id="34545040">
              <w:marLeft w:val="0"/>
              <w:marRight w:val="0"/>
              <w:marTop w:val="0"/>
              <w:marBottom w:val="0"/>
              <w:divBdr>
                <w:top w:val="none" w:sz="0" w:space="0" w:color="auto"/>
                <w:left w:val="none" w:sz="0" w:space="0" w:color="auto"/>
                <w:bottom w:val="none" w:sz="0" w:space="0" w:color="auto"/>
                <w:right w:val="none" w:sz="0" w:space="0" w:color="auto"/>
              </w:divBdr>
            </w:div>
          </w:divsChild>
        </w:div>
        <w:div w:id="863904748">
          <w:marLeft w:val="0"/>
          <w:marRight w:val="0"/>
          <w:marTop w:val="0"/>
          <w:marBottom w:val="0"/>
          <w:divBdr>
            <w:top w:val="none" w:sz="0" w:space="0" w:color="auto"/>
            <w:left w:val="none" w:sz="0" w:space="0" w:color="auto"/>
            <w:bottom w:val="none" w:sz="0" w:space="0" w:color="auto"/>
            <w:right w:val="none" w:sz="0" w:space="0" w:color="auto"/>
          </w:divBdr>
          <w:divsChild>
            <w:div w:id="1118836395">
              <w:marLeft w:val="0"/>
              <w:marRight w:val="0"/>
              <w:marTop w:val="0"/>
              <w:marBottom w:val="0"/>
              <w:divBdr>
                <w:top w:val="none" w:sz="0" w:space="0" w:color="auto"/>
                <w:left w:val="none" w:sz="0" w:space="0" w:color="auto"/>
                <w:bottom w:val="none" w:sz="0" w:space="0" w:color="auto"/>
                <w:right w:val="none" w:sz="0" w:space="0" w:color="auto"/>
              </w:divBdr>
            </w:div>
          </w:divsChild>
        </w:div>
        <w:div w:id="867060780">
          <w:marLeft w:val="0"/>
          <w:marRight w:val="0"/>
          <w:marTop w:val="0"/>
          <w:marBottom w:val="0"/>
          <w:divBdr>
            <w:top w:val="none" w:sz="0" w:space="0" w:color="auto"/>
            <w:left w:val="none" w:sz="0" w:space="0" w:color="auto"/>
            <w:bottom w:val="none" w:sz="0" w:space="0" w:color="auto"/>
            <w:right w:val="none" w:sz="0" w:space="0" w:color="auto"/>
          </w:divBdr>
          <w:divsChild>
            <w:div w:id="1951037943">
              <w:marLeft w:val="0"/>
              <w:marRight w:val="0"/>
              <w:marTop w:val="0"/>
              <w:marBottom w:val="0"/>
              <w:divBdr>
                <w:top w:val="none" w:sz="0" w:space="0" w:color="auto"/>
                <w:left w:val="none" w:sz="0" w:space="0" w:color="auto"/>
                <w:bottom w:val="none" w:sz="0" w:space="0" w:color="auto"/>
                <w:right w:val="none" w:sz="0" w:space="0" w:color="auto"/>
              </w:divBdr>
            </w:div>
            <w:div w:id="2026204157">
              <w:marLeft w:val="0"/>
              <w:marRight w:val="0"/>
              <w:marTop w:val="0"/>
              <w:marBottom w:val="0"/>
              <w:divBdr>
                <w:top w:val="none" w:sz="0" w:space="0" w:color="auto"/>
                <w:left w:val="none" w:sz="0" w:space="0" w:color="auto"/>
                <w:bottom w:val="none" w:sz="0" w:space="0" w:color="auto"/>
                <w:right w:val="none" w:sz="0" w:space="0" w:color="auto"/>
              </w:divBdr>
            </w:div>
          </w:divsChild>
        </w:div>
        <w:div w:id="868496160">
          <w:marLeft w:val="0"/>
          <w:marRight w:val="0"/>
          <w:marTop w:val="0"/>
          <w:marBottom w:val="0"/>
          <w:divBdr>
            <w:top w:val="none" w:sz="0" w:space="0" w:color="auto"/>
            <w:left w:val="none" w:sz="0" w:space="0" w:color="auto"/>
            <w:bottom w:val="none" w:sz="0" w:space="0" w:color="auto"/>
            <w:right w:val="none" w:sz="0" w:space="0" w:color="auto"/>
          </w:divBdr>
          <w:divsChild>
            <w:div w:id="294337370">
              <w:marLeft w:val="0"/>
              <w:marRight w:val="0"/>
              <w:marTop w:val="0"/>
              <w:marBottom w:val="0"/>
              <w:divBdr>
                <w:top w:val="none" w:sz="0" w:space="0" w:color="auto"/>
                <w:left w:val="none" w:sz="0" w:space="0" w:color="auto"/>
                <w:bottom w:val="none" w:sz="0" w:space="0" w:color="auto"/>
                <w:right w:val="none" w:sz="0" w:space="0" w:color="auto"/>
              </w:divBdr>
            </w:div>
            <w:div w:id="351566708">
              <w:marLeft w:val="0"/>
              <w:marRight w:val="0"/>
              <w:marTop w:val="0"/>
              <w:marBottom w:val="0"/>
              <w:divBdr>
                <w:top w:val="none" w:sz="0" w:space="0" w:color="auto"/>
                <w:left w:val="none" w:sz="0" w:space="0" w:color="auto"/>
                <w:bottom w:val="none" w:sz="0" w:space="0" w:color="auto"/>
                <w:right w:val="none" w:sz="0" w:space="0" w:color="auto"/>
              </w:divBdr>
            </w:div>
            <w:div w:id="366954492">
              <w:marLeft w:val="0"/>
              <w:marRight w:val="0"/>
              <w:marTop w:val="0"/>
              <w:marBottom w:val="0"/>
              <w:divBdr>
                <w:top w:val="none" w:sz="0" w:space="0" w:color="auto"/>
                <w:left w:val="none" w:sz="0" w:space="0" w:color="auto"/>
                <w:bottom w:val="none" w:sz="0" w:space="0" w:color="auto"/>
                <w:right w:val="none" w:sz="0" w:space="0" w:color="auto"/>
              </w:divBdr>
            </w:div>
            <w:div w:id="797600709">
              <w:marLeft w:val="0"/>
              <w:marRight w:val="0"/>
              <w:marTop w:val="0"/>
              <w:marBottom w:val="0"/>
              <w:divBdr>
                <w:top w:val="none" w:sz="0" w:space="0" w:color="auto"/>
                <w:left w:val="none" w:sz="0" w:space="0" w:color="auto"/>
                <w:bottom w:val="none" w:sz="0" w:space="0" w:color="auto"/>
                <w:right w:val="none" w:sz="0" w:space="0" w:color="auto"/>
              </w:divBdr>
            </w:div>
            <w:div w:id="908810751">
              <w:marLeft w:val="0"/>
              <w:marRight w:val="0"/>
              <w:marTop w:val="0"/>
              <w:marBottom w:val="0"/>
              <w:divBdr>
                <w:top w:val="none" w:sz="0" w:space="0" w:color="auto"/>
                <w:left w:val="none" w:sz="0" w:space="0" w:color="auto"/>
                <w:bottom w:val="none" w:sz="0" w:space="0" w:color="auto"/>
                <w:right w:val="none" w:sz="0" w:space="0" w:color="auto"/>
              </w:divBdr>
            </w:div>
          </w:divsChild>
        </w:div>
        <w:div w:id="876427659">
          <w:marLeft w:val="0"/>
          <w:marRight w:val="0"/>
          <w:marTop w:val="0"/>
          <w:marBottom w:val="0"/>
          <w:divBdr>
            <w:top w:val="none" w:sz="0" w:space="0" w:color="auto"/>
            <w:left w:val="none" w:sz="0" w:space="0" w:color="auto"/>
            <w:bottom w:val="none" w:sz="0" w:space="0" w:color="auto"/>
            <w:right w:val="none" w:sz="0" w:space="0" w:color="auto"/>
          </w:divBdr>
          <w:divsChild>
            <w:div w:id="1992446515">
              <w:marLeft w:val="0"/>
              <w:marRight w:val="0"/>
              <w:marTop w:val="0"/>
              <w:marBottom w:val="0"/>
              <w:divBdr>
                <w:top w:val="none" w:sz="0" w:space="0" w:color="auto"/>
                <w:left w:val="none" w:sz="0" w:space="0" w:color="auto"/>
                <w:bottom w:val="none" w:sz="0" w:space="0" w:color="auto"/>
                <w:right w:val="none" w:sz="0" w:space="0" w:color="auto"/>
              </w:divBdr>
            </w:div>
            <w:div w:id="2123529379">
              <w:marLeft w:val="0"/>
              <w:marRight w:val="0"/>
              <w:marTop w:val="0"/>
              <w:marBottom w:val="0"/>
              <w:divBdr>
                <w:top w:val="none" w:sz="0" w:space="0" w:color="auto"/>
                <w:left w:val="none" w:sz="0" w:space="0" w:color="auto"/>
                <w:bottom w:val="none" w:sz="0" w:space="0" w:color="auto"/>
                <w:right w:val="none" w:sz="0" w:space="0" w:color="auto"/>
              </w:divBdr>
            </w:div>
          </w:divsChild>
        </w:div>
        <w:div w:id="880632554">
          <w:marLeft w:val="0"/>
          <w:marRight w:val="0"/>
          <w:marTop w:val="0"/>
          <w:marBottom w:val="0"/>
          <w:divBdr>
            <w:top w:val="none" w:sz="0" w:space="0" w:color="auto"/>
            <w:left w:val="none" w:sz="0" w:space="0" w:color="auto"/>
            <w:bottom w:val="none" w:sz="0" w:space="0" w:color="auto"/>
            <w:right w:val="none" w:sz="0" w:space="0" w:color="auto"/>
          </w:divBdr>
          <w:divsChild>
            <w:div w:id="209147621">
              <w:marLeft w:val="0"/>
              <w:marRight w:val="0"/>
              <w:marTop w:val="0"/>
              <w:marBottom w:val="0"/>
              <w:divBdr>
                <w:top w:val="none" w:sz="0" w:space="0" w:color="auto"/>
                <w:left w:val="none" w:sz="0" w:space="0" w:color="auto"/>
                <w:bottom w:val="none" w:sz="0" w:space="0" w:color="auto"/>
                <w:right w:val="none" w:sz="0" w:space="0" w:color="auto"/>
              </w:divBdr>
            </w:div>
            <w:div w:id="776219120">
              <w:marLeft w:val="0"/>
              <w:marRight w:val="0"/>
              <w:marTop w:val="0"/>
              <w:marBottom w:val="0"/>
              <w:divBdr>
                <w:top w:val="none" w:sz="0" w:space="0" w:color="auto"/>
                <w:left w:val="none" w:sz="0" w:space="0" w:color="auto"/>
                <w:bottom w:val="none" w:sz="0" w:space="0" w:color="auto"/>
                <w:right w:val="none" w:sz="0" w:space="0" w:color="auto"/>
              </w:divBdr>
            </w:div>
            <w:div w:id="1031104547">
              <w:marLeft w:val="0"/>
              <w:marRight w:val="0"/>
              <w:marTop w:val="0"/>
              <w:marBottom w:val="0"/>
              <w:divBdr>
                <w:top w:val="none" w:sz="0" w:space="0" w:color="auto"/>
                <w:left w:val="none" w:sz="0" w:space="0" w:color="auto"/>
                <w:bottom w:val="none" w:sz="0" w:space="0" w:color="auto"/>
                <w:right w:val="none" w:sz="0" w:space="0" w:color="auto"/>
              </w:divBdr>
            </w:div>
            <w:div w:id="1675451710">
              <w:marLeft w:val="0"/>
              <w:marRight w:val="0"/>
              <w:marTop w:val="0"/>
              <w:marBottom w:val="0"/>
              <w:divBdr>
                <w:top w:val="none" w:sz="0" w:space="0" w:color="auto"/>
                <w:left w:val="none" w:sz="0" w:space="0" w:color="auto"/>
                <w:bottom w:val="none" w:sz="0" w:space="0" w:color="auto"/>
                <w:right w:val="none" w:sz="0" w:space="0" w:color="auto"/>
              </w:divBdr>
            </w:div>
          </w:divsChild>
        </w:div>
        <w:div w:id="886842385">
          <w:marLeft w:val="0"/>
          <w:marRight w:val="0"/>
          <w:marTop w:val="0"/>
          <w:marBottom w:val="0"/>
          <w:divBdr>
            <w:top w:val="none" w:sz="0" w:space="0" w:color="auto"/>
            <w:left w:val="none" w:sz="0" w:space="0" w:color="auto"/>
            <w:bottom w:val="none" w:sz="0" w:space="0" w:color="auto"/>
            <w:right w:val="none" w:sz="0" w:space="0" w:color="auto"/>
          </w:divBdr>
          <w:divsChild>
            <w:div w:id="1723868811">
              <w:marLeft w:val="0"/>
              <w:marRight w:val="0"/>
              <w:marTop w:val="0"/>
              <w:marBottom w:val="0"/>
              <w:divBdr>
                <w:top w:val="none" w:sz="0" w:space="0" w:color="auto"/>
                <w:left w:val="none" w:sz="0" w:space="0" w:color="auto"/>
                <w:bottom w:val="none" w:sz="0" w:space="0" w:color="auto"/>
                <w:right w:val="none" w:sz="0" w:space="0" w:color="auto"/>
              </w:divBdr>
            </w:div>
          </w:divsChild>
        </w:div>
        <w:div w:id="887107219">
          <w:marLeft w:val="0"/>
          <w:marRight w:val="0"/>
          <w:marTop w:val="0"/>
          <w:marBottom w:val="0"/>
          <w:divBdr>
            <w:top w:val="none" w:sz="0" w:space="0" w:color="auto"/>
            <w:left w:val="none" w:sz="0" w:space="0" w:color="auto"/>
            <w:bottom w:val="none" w:sz="0" w:space="0" w:color="auto"/>
            <w:right w:val="none" w:sz="0" w:space="0" w:color="auto"/>
          </w:divBdr>
          <w:divsChild>
            <w:div w:id="615991809">
              <w:marLeft w:val="0"/>
              <w:marRight w:val="0"/>
              <w:marTop w:val="0"/>
              <w:marBottom w:val="0"/>
              <w:divBdr>
                <w:top w:val="none" w:sz="0" w:space="0" w:color="auto"/>
                <w:left w:val="none" w:sz="0" w:space="0" w:color="auto"/>
                <w:bottom w:val="none" w:sz="0" w:space="0" w:color="auto"/>
                <w:right w:val="none" w:sz="0" w:space="0" w:color="auto"/>
              </w:divBdr>
            </w:div>
            <w:div w:id="2127194110">
              <w:marLeft w:val="0"/>
              <w:marRight w:val="0"/>
              <w:marTop w:val="0"/>
              <w:marBottom w:val="0"/>
              <w:divBdr>
                <w:top w:val="none" w:sz="0" w:space="0" w:color="auto"/>
                <w:left w:val="none" w:sz="0" w:space="0" w:color="auto"/>
                <w:bottom w:val="none" w:sz="0" w:space="0" w:color="auto"/>
                <w:right w:val="none" w:sz="0" w:space="0" w:color="auto"/>
              </w:divBdr>
            </w:div>
          </w:divsChild>
        </w:div>
        <w:div w:id="888537768">
          <w:marLeft w:val="0"/>
          <w:marRight w:val="0"/>
          <w:marTop w:val="0"/>
          <w:marBottom w:val="0"/>
          <w:divBdr>
            <w:top w:val="none" w:sz="0" w:space="0" w:color="auto"/>
            <w:left w:val="none" w:sz="0" w:space="0" w:color="auto"/>
            <w:bottom w:val="none" w:sz="0" w:space="0" w:color="auto"/>
            <w:right w:val="none" w:sz="0" w:space="0" w:color="auto"/>
          </w:divBdr>
          <w:divsChild>
            <w:div w:id="810176846">
              <w:marLeft w:val="0"/>
              <w:marRight w:val="0"/>
              <w:marTop w:val="0"/>
              <w:marBottom w:val="0"/>
              <w:divBdr>
                <w:top w:val="none" w:sz="0" w:space="0" w:color="auto"/>
                <w:left w:val="none" w:sz="0" w:space="0" w:color="auto"/>
                <w:bottom w:val="none" w:sz="0" w:space="0" w:color="auto"/>
                <w:right w:val="none" w:sz="0" w:space="0" w:color="auto"/>
              </w:divBdr>
            </w:div>
          </w:divsChild>
        </w:div>
        <w:div w:id="888958293">
          <w:marLeft w:val="0"/>
          <w:marRight w:val="0"/>
          <w:marTop w:val="0"/>
          <w:marBottom w:val="0"/>
          <w:divBdr>
            <w:top w:val="none" w:sz="0" w:space="0" w:color="auto"/>
            <w:left w:val="none" w:sz="0" w:space="0" w:color="auto"/>
            <w:bottom w:val="none" w:sz="0" w:space="0" w:color="auto"/>
            <w:right w:val="none" w:sz="0" w:space="0" w:color="auto"/>
          </w:divBdr>
          <w:divsChild>
            <w:div w:id="694117848">
              <w:marLeft w:val="0"/>
              <w:marRight w:val="0"/>
              <w:marTop w:val="0"/>
              <w:marBottom w:val="0"/>
              <w:divBdr>
                <w:top w:val="none" w:sz="0" w:space="0" w:color="auto"/>
                <w:left w:val="none" w:sz="0" w:space="0" w:color="auto"/>
                <w:bottom w:val="none" w:sz="0" w:space="0" w:color="auto"/>
                <w:right w:val="none" w:sz="0" w:space="0" w:color="auto"/>
              </w:divBdr>
            </w:div>
            <w:div w:id="781656800">
              <w:marLeft w:val="0"/>
              <w:marRight w:val="0"/>
              <w:marTop w:val="0"/>
              <w:marBottom w:val="0"/>
              <w:divBdr>
                <w:top w:val="none" w:sz="0" w:space="0" w:color="auto"/>
                <w:left w:val="none" w:sz="0" w:space="0" w:color="auto"/>
                <w:bottom w:val="none" w:sz="0" w:space="0" w:color="auto"/>
                <w:right w:val="none" w:sz="0" w:space="0" w:color="auto"/>
              </w:divBdr>
            </w:div>
            <w:div w:id="979185241">
              <w:marLeft w:val="0"/>
              <w:marRight w:val="0"/>
              <w:marTop w:val="0"/>
              <w:marBottom w:val="0"/>
              <w:divBdr>
                <w:top w:val="none" w:sz="0" w:space="0" w:color="auto"/>
                <w:left w:val="none" w:sz="0" w:space="0" w:color="auto"/>
                <w:bottom w:val="none" w:sz="0" w:space="0" w:color="auto"/>
                <w:right w:val="none" w:sz="0" w:space="0" w:color="auto"/>
              </w:divBdr>
            </w:div>
            <w:div w:id="1191065982">
              <w:marLeft w:val="0"/>
              <w:marRight w:val="0"/>
              <w:marTop w:val="0"/>
              <w:marBottom w:val="0"/>
              <w:divBdr>
                <w:top w:val="none" w:sz="0" w:space="0" w:color="auto"/>
                <w:left w:val="none" w:sz="0" w:space="0" w:color="auto"/>
                <w:bottom w:val="none" w:sz="0" w:space="0" w:color="auto"/>
                <w:right w:val="none" w:sz="0" w:space="0" w:color="auto"/>
              </w:divBdr>
            </w:div>
            <w:div w:id="1829443253">
              <w:marLeft w:val="0"/>
              <w:marRight w:val="0"/>
              <w:marTop w:val="0"/>
              <w:marBottom w:val="0"/>
              <w:divBdr>
                <w:top w:val="none" w:sz="0" w:space="0" w:color="auto"/>
                <w:left w:val="none" w:sz="0" w:space="0" w:color="auto"/>
                <w:bottom w:val="none" w:sz="0" w:space="0" w:color="auto"/>
                <w:right w:val="none" w:sz="0" w:space="0" w:color="auto"/>
              </w:divBdr>
            </w:div>
            <w:div w:id="1975452123">
              <w:marLeft w:val="0"/>
              <w:marRight w:val="0"/>
              <w:marTop w:val="0"/>
              <w:marBottom w:val="0"/>
              <w:divBdr>
                <w:top w:val="none" w:sz="0" w:space="0" w:color="auto"/>
                <w:left w:val="none" w:sz="0" w:space="0" w:color="auto"/>
                <w:bottom w:val="none" w:sz="0" w:space="0" w:color="auto"/>
                <w:right w:val="none" w:sz="0" w:space="0" w:color="auto"/>
              </w:divBdr>
            </w:div>
            <w:div w:id="1994986667">
              <w:marLeft w:val="0"/>
              <w:marRight w:val="0"/>
              <w:marTop w:val="0"/>
              <w:marBottom w:val="0"/>
              <w:divBdr>
                <w:top w:val="none" w:sz="0" w:space="0" w:color="auto"/>
                <w:left w:val="none" w:sz="0" w:space="0" w:color="auto"/>
                <w:bottom w:val="none" w:sz="0" w:space="0" w:color="auto"/>
                <w:right w:val="none" w:sz="0" w:space="0" w:color="auto"/>
              </w:divBdr>
            </w:div>
            <w:div w:id="2061127462">
              <w:marLeft w:val="0"/>
              <w:marRight w:val="0"/>
              <w:marTop w:val="0"/>
              <w:marBottom w:val="0"/>
              <w:divBdr>
                <w:top w:val="none" w:sz="0" w:space="0" w:color="auto"/>
                <w:left w:val="none" w:sz="0" w:space="0" w:color="auto"/>
                <w:bottom w:val="none" w:sz="0" w:space="0" w:color="auto"/>
                <w:right w:val="none" w:sz="0" w:space="0" w:color="auto"/>
              </w:divBdr>
            </w:div>
            <w:div w:id="2094160498">
              <w:marLeft w:val="0"/>
              <w:marRight w:val="0"/>
              <w:marTop w:val="0"/>
              <w:marBottom w:val="0"/>
              <w:divBdr>
                <w:top w:val="none" w:sz="0" w:space="0" w:color="auto"/>
                <w:left w:val="none" w:sz="0" w:space="0" w:color="auto"/>
                <w:bottom w:val="none" w:sz="0" w:space="0" w:color="auto"/>
                <w:right w:val="none" w:sz="0" w:space="0" w:color="auto"/>
              </w:divBdr>
            </w:div>
          </w:divsChild>
        </w:div>
        <w:div w:id="894899348">
          <w:marLeft w:val="0"/>
          <w:marRight w:val="0"/>
          <w:marTop w:val="0"/>
          <w:marBottom w:val="0"/>
          <w:divBdr>
            <w:top w:val="none" w:sz="0" w:space="0" w:color="auto"/>
            <w:left w:val="none" w:sz="0" w:space="0" w:color="auto"/>
            <w:bottom w:val="none" w:sz="0" w:space="0" w:color="auto"/>
            <w:right w:val="none" w:sz="0" w:space="0" w:color="auto"/>
          </w:divBdr>
          <w:divsChild>
            <w:div w:id="440926617">
              <w:marLeft w:val="0"/>
              <w:marRight w:val="0"/>
              <w:marTop w:val="0"/>
              <w:marBottom w:val="0"/>
              <w:divBdr>
                <w:top w:val="none" w:sz="0" w:space="0" w:color="auto"/>
                <w:left w:val="none" w:sz="0" w:space="0" w:color="auto"/>
                <w:bottom w:val="none" w:sz="0" w:space="0" w:color="auto"/>
                <w:right w:val="none" w:sz="0" w:space="0" w:color="auto"/>
              </w:divBdr>
            </w:div>
            <w:div w:id="1179009250">
              <w:marLeft w:val="0"/>
              <w:marRight w:val="0"/>
              <w:marTop w:val="0"/>
              <w:marBottom w:val="0"/>
              <w:divBdr>
                <w:top w:val="none" w:sz="0" w:space="0" w:color="auto"/>
                <w:left w:val="none" w:sz="0" w:space="0" w:color="auto"/>
                <w:bottom w:val="none" w:sz="0" w:space="0" w:color="auto"/>
                <w:right w:val="none" w:sz="0" w:space="0" w:color="auto"/>
              </w:divBdr>
            </w:div>
          </w:divsChild>
        </w:div>
        <w:div w:id="900293689">
          <w:marLeft w:val="0"/>
          <w:marRight w:val="0"/>
          <w:marTop w:val="0"/>
          <w:marBottom w:val="0"/>
          <w:divBdr>
            <w:top w:val="none" w:sz="0" w:space="0" w:color="auto"/>
            <w:left w:val="none" w:sz="0" w:space="0" w:color="auto"/>
            <w:bottom w:val="none" w:sz="0" w:space="0" w:color="auto"/>
            <w:right w:val="none" w:sz="0" w:space="0" w:color="auto"/>
          </w:divBdr>
          <w:divsChild>
            <w:div w:id="1412239442">
              <w:marLeft w:val="0"/>
              <w:marRight w:val="0"/>
              <w:marTop w:val="0"/>
              <w:marBottom w:val="0"/>
              <w:divBdr>
                <w:top w:val="none" w:sz="0" w:space="0" w:color="auto"/>
                <w:left w:val="none" w:sz="0" w:space="0" w:color="auto"/>
                <w:bottom w:val="none" w:sz="0" w:space="0" w:color="auto"/>
                <w:right w:val="none" w:sz="0" w:space="0" w:color="auto"/>
              </w:divBdr>
            </w:div>
            <w:div w:id="1870409987">
              <w:marLeft w:val="0"/>
              <w:marRight w:val="0"/>
              <w:marTop w:val="0"/>
              <w:marBottom w:val="0"/>
              <w:divBdr>
                <w:top w:val="none" w:sz="0" w:space="0" w:color="auto"/>
                <w:left w:val="none" w:sz="0" w:space="0" w:color="auto"/>
                <w:bottom w:val="none" w:sz="0" w:space="0" w:color="auto"/>
                <w:right w:val="none" w:sz="0" w:space="0" w:color="auto"/>
              </w:divBdr>
            </w:div>
          </w:divsChild>
        </w:div>
        <w:div w:id="905412054">
          <w:marLeft w:val="0"/>
          <w:marRight w:val="0"/>
          <w:marTop w:val="0"/>
          <w:marBottom w:val="0"/>
          <w:divBdr>
            <w:top w:val="none" w:sz="0" w:space="0" w:color="auto"/>
            <w:left w:val="none" w:sz="0" w:space="0" w:color="auto"/>
            <w:bottom w:val="none" w:sz="0" w:space="0" w:color="auto"/>
            <w:right w:val="none" w:sz="0" w:space="0" w:color="auto"/>
          </w:divBdr>
          <w:divsChild>
            <w:div w:id="414593292">
              <w:marLeft w:val="0"/>
              <w:marRight w:val="0"/>
              <w:marTop w:val="0"/>
              <w:marBottom w:val="0"/>
              <w:divBdr>
                <w:top w:val="none" w:sz="0" w:space="0" w:color="auto"/>
                <w:left w:val="none" w:sz="0" w:space="0" w:color="auto"/>
                <w:bottom w:val="none" w:sz="0" w:space="0" w:color="auto"/>
                <w:right w:val="none" w:sz="0" w:space="0" w:color="auto"/>
              </w:divBdr>
            </w:div>
          </w:divsChild>
        </w:div>
        <w:div w:id="908808779">
          <w:marLeft w:val="0"/>
          <w:marRight w:val="0"/>
          <w:marTop w:val="0"/>
          <w:marBottom w:val="0"/>
          <w:divBdr>
            <w:top w:val="none" w:sz="0" w:space="0" w:color="auto"/>
            <w:left w:val="none" w:sz="0" w:space="0" w:color="auto"/>
            <w:bottom w:val="none" w:sz="0" w:space="0" w:color="auto"/>
            <w:right w:val="none" w:sz="0" w:space="0" w:color="auto"/>
          </w:divBdr>
          <w:divsChild>
            <w:div w:id="452748608">
              <w:marLeft w:val="0"/>
              <w:marRight w:val="0"/>
              <w:marTop w:val="0"/>
              <w:marBottom w:val="0"/>
              <w:divBdr>
                <w:top w:val="none" w:sz="0" w:space="0" w:color="auto"/>
                <w:left w:val="none" w:sz="0" w:space="0" w:color="auto"/>
                <w:bottom w:val="none" w:sz="0" w:space="0" w:color="auto"/>
                <w:right w:val="none" w:sz="0" w:space="0" w:color="auto"/>
              </w:divBdr>
            </w:div>
            <w:div w:id="577517933">
              <w:marLeft w:val="0"/>
              <w:marRight w:val="0"/>
              <w:marTop w:val="0"/>
              <w:marBottom w:val="0"/>
              <w:divBdr>
                <w:top w:val="none" w:sz="0" w:space="0" w:color="auto"/>
                <w:left w:val="none" w:sz="0" w:space="0" w:color="auto"/>
                <w:bottom w:val="none" w:sz="0" w:space="0" w:color="auto"/>
                <w:right w:val="none" w:sz="0" w:space="0" w:color="auto"/>
              </w:divBdr>
            </w:div>
            <w:div w:id="937912398">
              <w:marLeft w:val="0"/>
              <w:marRight w:val="0"/>
              <w:marTop w:val="0"/>
              <w:marBottom w:val="0"/>
              <w:divBdr>
                <w:top w:val="none" w:sz="0" w:space="0" w:color="auto"/>
                <w:left w:val="none" w:sz="0" w:space="0" w:color="auto"/>
                <w:bottom w:val="none" w:sz="0" w:space="0" w:color="auto"/>
                <w:right w:val="none" w:sz="0" w:space="0" w:color="auto"/>
              </w:divBdr>
            </w:div>
            <w:div w:id="1349285607">
              <w:marLeft w:val="0"/>
              <w:marRight w:val="0"/>
              <w:marTop w:val="0"/>
              <w:marBottom w:val="0"/>
              <w:divBdr>
                <w:top w:val="none" w:sz="0" w:space="0" w:color="auto"/>
                <w:left w:val="none" w:sz="0" w:space="0" w:color="auto"/>
                <w:bottom w:val="none" w:sz="0" w:space="0" w:color="auto"/>
                <w:right w:val="none" w:sz="0" w:space="0" w:color="auto"/>
              </w:divBdr>
            </w:div>
            <w:div w:id="2028480854">
              <w:marLeft w:val="0"/>
              <w:marRight w:val="0"/>
              <w:marTop w:val="0"/>
              <w:marBottom w:val="0"/>
              <w:divBdr>
                <w:top w:val="none" w:sz="0" w:space="0" w:color="auto"/>
                <w:left w:val="none" w:sz="0" w:space="0" w:color="auto"/>
                <w:bottom w:val="none" w:sz="0" w:space="0" w:color="auto"/>
                <w:right w:val="none" w:sz="0" w:space="0" w:color="auto"/>
              </w:divBdr>
            </w:div>
          </w:divsChild>
        </w:div>
        <w:div w:id="928344098">
          <w:marLeft w:val="0"/>
          <w:marRight w:val="0"/>
          <w:marTop w:val="0"/>
          <w:marBottom w:val="0"/>
          <w:divBdr>
            <w:top w:val="none" w:sz="0" w:space="0" w:color="auto"/>
            <w:left w:val="none" w:sz="0" w:space="0" w:color="auto"/>
            <w:bottom w:val="none" w:sz="0" w:space="0" w:color="auto"/>
            <w:right w:val="none" w:sz="0" w:space="0" w:color="auto"/>
          </w:divBdr>
          <w:divsChild>
            <w:div w:id="1373925252">
              <w:marLeft w:val="0"/>
              <w:marRight w:val="0"/>
              <w:marTop w:val="0"/>
              <w:marBottom w:val="0"/>
              <w:divBdr>
                <w:top w:val="none" w:sz="0" w:space="0" w:color="auto"/>
                <w:left w:val="none" w:sz="0" w:space="0" w:color="auto"/>
                <w:bottom w:val="none" w:sz="0" w:space="0" w:color="auto"/>
                <w:right w:val="none" w:sz="0" w:space="0" w:color="auto"/>
              </w:divBdr>
            </w:div>
            <w:div w:id="1822188820">
              <w:marLeft w:val="0"/>
              <w:marRight w:val="0"/>
              <w:marTop w:val="0"/>
              <w:marBottom w:val="0"/>
              <w:divBdr>
                <w:top w:val="none" w:sz="0" w:space="0" w:color="auto"/>
                <w:left w:val="none" w:sz="0" w:space="0" w:color="auto"/>
                <w:bottom w:val="none" w:sz="0" w:space="0" w:color="auto"/>
                <w:right w:val="none" w:sz="0" w:space="0" w:color="auto"/>
              </w:divBdr>
            </w:div>
          </w:divsChild>
        </w:div>
        <w:div w:id="930547121">
          <w:marLeft w:val="0"/>
          <w:marRight w:val="0"/>
          <w:marTop w:val="0"/>
          <w:marBottom w:val="0"/>
          <w:divBdr>
            <w:top w:val="none" w:sz="0" w:space="0" w:color="auto"/>
            <w:left w:val="none" w:sz="0" w:space="0" w:color="auto"/>
            <w:bottom w:val="none" w:sz="0" w:space="0" w:color="auto"/>
            <w:right w:val="none" w:sz="0" w:space="0" w:color="auto"/>
          </w:divBdr>
          <w:divsChild>
            <w:div w:id="1202590159">
              <w:marLeft w:val="0"/>
              <w:marRight w:val="0"/>
              <w:marTop w:val="0"/>
              <w:marBottom w:val="0"/>
              <w:divBdr>
                <w:top w:val="none" w:sz="0" w:space="0" w:color="auto"/>
                <w:left w:val="none" w:sz="0" w:space="0" w:color="auto"/>
                <w:bottom w:val="none" w:sz="0" w:space="0" w:color="auto"/>
                <w:right w:val="none" w:sz="0" w:space="0" w:color="auto"/>
              </w:divBdr>
            </w:div>
          </w:divsChild>
        </w:div>
        <w:div w:id="932205654">
          <w:marLeft w:val="0"/>
          <w:marRight w:val="0"/>
          <w:marTop w:val="0"/>
          <w:marBottom w:val="0"/>
          <w:divBdr>
            <w:top w:val="none" w:sz="0" w:space="0" w:color="auto"/>
            <w:left w:val="none" w:sz="0" w:space="0" w:color="auto"/>
            <w:bottom w:val="none" w:sz="0" w:space="0" w:color="auto"/>
            <w:right w:val="none" w:sz="0" w:space="0" w:color="auto"/>
          </w:divBdr>
          <w:divsChild>
            <w:div w:id="2145196846">
              <w:marLeft w:val="0"/>
              <w:marRight w:val="0"/>
              <w:marTop w:val="0"/>
              <w:marBottom w:val="0"/>
              <w:divBdr>
                <w:top w:val="none" w:sz="0" w:space="0" w:color="auto"/>
                <w:left w:val="none" w:sz="0" w:space="0" w:color="auto"/>
                <w:bottom w:val="none" w:sz="0" w:space="0" w:color="auto"/>
                <w:right w:val="none" w:sz="0" w:space="0" w:color="auto"/>
              </w:divBdr>
            </w:div>
          </w:divsChild>
        </w:div>
        <w:div w:id="933711200">
          <w:marLeft w:val="0"/>
          <w:marRight w:val="0"/>
          <w:marTop w:val="0"/>
          <w:marBottom w:val="0"/>
          <w:divBdr>
            <w:top w:val="none" w:sz="0" w:space="0" w:color="auto"/>
            <w:left w:val="none" w:sz="0" w:space="0" w:color="auto"/>
            <w:bottom w:val="none" w:sz="0" w:space="0" w:color="auto"/>
            <w:right w:val="none" w:sz="0" w:space="0" w:color="auto"/>
          </w:divBdr>
          <w:divsChild>
            <w:div w:id="1976327303">
              <w:marLeft w:val="0"/>
              <w:marRight w:val="0"/>
              <w:marTop w:val="0"/>
              <w:marBottom w:val="0"/>
              <w:divBdr>
                <w:top w:val="none" w:sz="0" w:space="0" w:color="auto"/>
                <w:left w:val="none" w:sz="0" w:space="0" w:color="auto"/>
                <w:bottom w:val="none" w:sz="0" w:space="0" w:color="auto"/>
                <w:right w:val="none" w:sz="0" w:space="0" w:color="auto"/>
              </w:divBdr>
            </w:div>
          </w:divsChild>
        </w:div>
        <w:div w:id="939142030">
          <w:marLeft w:val="0"/>
          <w:marRight w:val="0"/>
          <w:marTop w:val="0"/>
          <w:marBottom w:val="0"/>
          <w:divBdr>
            <w:top w:val="none" w:sz="0" w:space="0" w:color="auto"/>
            <w:left w:val="none" w:sz="0" w:space="0" w:color="auto"/>
            <w:bottom w:val="none" w:sz="0" w:space="0" w:color="auto"/>
            <w:right w:val="none" w:sz="0" w:space="0" w:color="auto"/>
          </w:divBdr>
          <w:divsChild>
            <w:div w:id="646478471">
              <w:marLeft w:val="0"/>
              <w:marRight w:val="0"/>
              <w:marTop w:val="0"/>
              <w:marBottom w:val="0"/>
              <w:divBdr>
                <w:top w:val="none" w:sz="0" w:space="0" w:color="auto"/>
                <w:left w:val="none" w:sz="0" w:space="0" w:color="auto"/>
                <w:bottom w:val="none" w:sz="0" w:space="0" w:color="auto"/>
                <w:right w:val="none" w:sz="0" w:space="0" w:color="auto"/>
              </w:divBdr>
            </w:div>
          </w:divsChild>
        </w:div>
        <w:div w:id="948439590">
          <w:marLeft w:val="0"/>
          <w:marRight w:val="0"/>
          <w:marTop w:val="0"/>
          <w:marBottom w:val="0"/>
          <w:divBdr>
            <w:top w:val="none" w:sz="0" w:space="0" w:color="auto"/>
            <w:left w:val="none" w:sz="0" w:space="0" w:color="auto"/>
            <w:bottom w:val="none" w:sz="0" w:space="0" w:color="auto"/>
            <w:right w:val="none" w:sz="0" w:space="0" w:color="auto"/>
          </w:divBdr>
          <w:divsChild>
            <w:div w:id="227227684">
              <w:marLeft w:val="0"/>
              <w:marRight w:val="0"/>
              <w:marTop w:val="0"/>
              <w:marBottom w:val="0"/>
              <w:divBdr>
                <w:top w:val="none" w:sz="0" w:space="0" w:color="auto"/>
                <w:left w:val="none" w:sz="0" w:space="0" w:color="auto"/>
                <w:bottom w:val="none" w:sz="0" w:space="0" w:color="auto"/>
                <w:right w:val="none" w:sz="0" w:space="0" w:color="auto"/>
              </w:divBdr>
            </w:div>
            <w:div w:id="1702508890">
              <w:marLeft w:val="0"/>
              <w:marRight w:val="0"/>
              <w:marTop w:val="0"/>
              <w:marBottom w:val="0"/>
              <w:divBdr>
                <w:top w:val="none" w:sz="0" w:space="0" w:color="auto"/>
                <w:left w:val="none" w:sz="0" w:space="0" w:color="auto"/>
                <w:bottom w:val="none" w:sz="0" w:space="0" w:color="auto"/>
                <w:right w:val="none" w:sz="0" w:space="0" w:color="auto"/>
              </w:divBdr>
            </w:div>
          </w:divsChild>
        </w:div>
        <w:div w:id="949430877">
          <w:marLeft w:val="0"/>
          <w:marRight w:val="0"/>
          <w:marTop w:val="0"/>
          <w:marBottom w:val="0"/>
          <w:divBdr>
            <w:top w:val="none" w:sz="0" w:space="0" w:color="auto"/>
            <w:left w:val="none" w:sz="0" w:space="0" w:color="auto"/>
            <w:bottom w:val="none" w:sz="0" w:space="0" w:color="auto"/>
            <w:right w:val="none" w:sz="0" w:space="0" w:color="auto"/>
          </w:divBdr>
          <w:divsChild>
            <w:div w:id="176240866">
              <w:marLeft w:val="0"/>
              <w:marRight w:val="0"/>
              <w:marTop w:val="0"/>
              <w:marBottom w:val="0"/>
              <w:divBdr>
                <w:top w:val="none" w:sz="0" w:space="0" w:color="auto"/>
                <w:left w:val="none" w:sz="0" w:space="0" w:color="auto"/>
                <w:bottom w:val="none" w:sz="0" w:space="0" w:color="auto"/>
                <w:right w:val="none" w:sz="0" w:space="0" w:color="auto"/>
              </w:divBdr>
            </w:div>
            <w:div w:id="470177341">
              <w:marLeft w:val="0"/>
              <w:marRight w:val="0"/>
              <w:marTop w:val="0"/>
              <w:marBottom w:val="0"/>
              <w:divBdr>
                <w:top w:val="none" w:sz="0" w:space="0" w:color="auto"/>
                <w:left w:val="none" w:sz="0" w:space="0" w:color="auto"/>
                <w:bottom w:val="none" w:sz="0" w:space="0" w:color="auto"/>
                <w:right w:val="none" w:sz="0" w:space="0" w:color="auto"/>
              </w:divBdr>
            </w:div>
            <w:div w:id="724960431">
              <w:marLeft w:val="0"/>
              <w:marRight w:val="0"/>
              <w:marTop w:val="0"/>
              <w:marBottom w:val="0"/>
              <w:divBdr>
                <w:top w:val="none" w:sz="0" w:space="0" w:color="auto"/>
                <w:left w:val="none" w:sz="0" w:space="0" w:color="auto"/>
                <w:bottom w:val="none" w:sz="0" w:space="0" w:color="auto"/>
                <w:right w:val="none" w:sz="0" w:space="0" w:color="auto"/>
              </w:divBdr>
            </w:div>
            <w:div w:id="1633368232">
              <w:marLeft w:val="0"/>
              <w:marRight w:val="0"/>
              <w:marTop w:val="0"/>
              <w:marBottom w:val="0"/>
              <w:divBdr>
                <w:top w:val="none" w:sz="0" w:space="0" w:color="auto"/>
                <w:left w:val="none" w:sz="0" w:space="0" w:color="auto"/>
                <w:bottom w:val="none" w:sz="0" w:space="0" w:color="auto"/>
                <w:right w:val="none" w:sz="0" w:space="0" w:color="auto"/>
              </w:divBdr>
            </w:div>
          </w:divsChild>
        </w:div>
        <w:div w:id="951476043">
          <w:marLeft w:val="0"/>
          <w:marRight w:val="0"/>
          <w:marTop w:val="0"/>
          <w:marBottom w:val="0"/>
          <w:divBdr>
            <w:top w:val="none" w:sz="0" w:space="0" w:color="auto"/>
            <w:left w:val="none" w:sz="0" w:space="0" w:color="auto"/>
            <w:bottom w:val="none" w:sz="0" w:space="0" w:color="auto"/>
            <w:right w:val="none" w:sz="0" w:space="0" w:color="auto"/>
          </w:divBdr>
          <w:divsChild>
            <w:div w:id="997196978">
              <w:marLeft w:val="0"/>
              <w:marRight w:val="0"/>
              <w:marTop w:val="0"/>
              <w:marBottom w:val="0"/>
              <w:divBdr>
                <w:top w:val="none" w:sz="0" w:space="0" w:color="auto"/>
                <w:left w:val="none" w:sz="0" w:space="0" w:color="auto"/>
                <w:bottom w:val="none" w:sz="0" w:space="0" w:color="auto"/>
                <w:right w:val="none" w:sz="0" w:space="0" w:color="auto"/>
              </w:divBdr>
            </w:div>
          </w:divsChild>
        </w:div>
        <w:div w:id="956595752">
          <w:marLeft w:val="0"/>
          <w:marRight w:val="0"/>
          <w:marTop w:val="0"/>
          <w:marBottom w:val="0"/>
          <w:divBdr>
            <w:top w:val="none" w:sz="0" w:space="0" w:color="auto"/>
            <w:left w:val="none" w:sz="0" w:space="0" w:color="auto"/>
            <w:bottom w:val="none" w:sz="0" w:space="0" w:color="auto"/>
            <w:right w:val="none" w:sz="0" w:space="0" w:color="auto"/>
          </w:divBdr>
          <w:divsChild>
            <w:div w:id="1253977299">
              <w:marLeft w:val="0"/>
              <w:marRight w:val="0"/>
              <w:marTop w:val="0"/>
              <w:marBottom w:val="0"/>
              <w:divBdr>
                <w:top w:val="none" w:sz="0" w:space="0" w:color="auto"/>
                <w:left w:val="none" w:sz="0" w:space="0" w:color="auto"/>
                <w:bottom w:val="none" w:sz="0" w:space="0" w:color="auto"/>
                <w:right w:val="none" w:sz="0" w:space="0" w:color="auto"/>
              </w:divBdr>
            </w:div>
          </w:divsChild>
        </w:div>
        <w:div w:id="959604654">
          <w:marLeft w:val="0"/>
          <w:marRight w:val="0"/>
          <w:marTop w:val="0"/>
          <w:marBottom w:val="0"/>
          <w:divBdr>
            <w:top w:val="none" w:sz="0" w:space="0" w:color="auto"/>
            <w:left w:val="none" w:sz="0" w:space="0" w:color="auto"/>
            <w:bottom w:val="none" w:sz="0" w:space="0" w:color="auto"/>
            <w:right w:val="none" w:sz="0" w:space="0" w:color="auto"/>
          </w:divBdr>
          <w:divsChild>
            <w:div w:id="524445932">
              <w:marLeft w:val="0"/>
              <w:marRight w:val="0"/>
              <w:marTop w:val="0"/>
              <w:marBottom w:val="0"/>
              <w:divBdr>
                <w:top w:val="none" w:sz="0" w:space="0" w:color="auto"/>
                <w:left w:val="none" w:sz="0" w:space="0" w:color="auto"/>
                <w:bottom w:val="none" w:sz="0" w:space="0" w:color="auto"/>
                <w:right w:val="none" w:sz="0" w:space="0" w:color="auto"/>
              </w:divBdr>
            </w:div>
            <w:div w:id="1596787901">
              <w:marLeft w:val="0"/>
              <w:marRight w:val="0"/>
              <w:marTop w:val="0"/>
              <w:marBottom w:val="0"/>
              <w:divBdr>
                <w:top w:val="none" w:sz="0" w:space="0" w:color="auto"/>
                <w:left w:val="none" w:sz="0" w:space="0" w:color="auto"/>
                <w:bottom w:val="none" w:sz="0" w:space="0" w:color="auto"/>
                <w:right w:val="none" w:sz="0" w:space="0" w:color="auto"/>
              </w:divBdr>
            </w:div>
          </w:divsChild>
        </w:div>
        <w:div w:id="960653046">
          <w:marLeft w:val="0"/>
          <w:marRight w:val="0"/>
          <w:marTop w:val="0"/>
          <w:marBottom w:val="0"/>
          <w:divBdr>
            <w:top w:val="none" w:sz="0" w:space="0" w:color="auto"/>
            <w:left w:val="none" w:sz="0" w:space="0" w:color="auto"/>
            <w:bottom w:val="none" w:sz="0" w:space="0" w:color="auto"/>
            <w:right w:val="none" w:sz="0" w:space="0" w:color="auto"/>
          </w:divBdr>
          <w:divsChild>
            <w:div w:id="487476044">
              <w:marLeft w:val="0"/>
              <w:marRight w:val="0"/>
              <w:marTop w:val="0"/>
              <w:marBottom w:val="0"/>
              <w:divBdr>
                <w:top w:val="none" w:sz="0" w:space="0" w:color="auto"/>
                <w:left w:val="none" w:sz="0" w:space="0" w:color="auto"/>
                <w:bottom w:val="none" w:sz="0" w:space="0" w:color="auto"/>
                <w:right w:val="none" w:sz="0" w:space="0" w:color="auto"/>
              </w:divBdr>
            </w:div>
            <w:div w:id="508100640">
              <w:marLeft w:val="0"/>
              <w:marRight w:val="0"/>
              <w:marTop w:val="0"/>
              <w:marBottom w:val="0"/>
              <w:divBdr>
                <w:top w:val="none" w:sz="0" w:space="0" w:color="auto"/>
                <w:left w:val="none" w:sz="0" w:space="0" w:color="auto"/>
                <w:bottom w:val="none" w:sz="0" w:space="0" w:color="auto"/>
                <w:right w:val="none" w:sz="0" w:space="0" w:color="auto"/>
              </w:divBdr>
            </w:div>
            <w:div w:id="1306549222">
              <w:marLeft w:val="0"/>
              <w:marRight w:val="0"/>
              <w:marTop w:val="0"/>
              <w:marBottom w:val="0"/>
              <w:divBdr>
                <w:top w:val="none" w:sz="0" w:space="0" w:color="auto"/>
                <w:left w:val="none" w:sz="0" w:space="0" w:color="auto"/>
                <w:bottom w:val="none" w:sz="0" w:space="0" w:color="auto"/>
                <w:right w:val="none" w:sz="0" w:space="0" w:color="auto"/>
              </w:divBdr>
            </w:div>
          </w:divsChild>
        </w:div>
        <w:div w:id="961225120">
          <w:marLeft w:val="0"/>
          <w:marRight w:val="0"/>
          <w:marTop w:val="0"/>
          <w:marBottom w:val="0"/>
          <w:divBdr>
            <w:top w:val="none" w:sz="0" w:space="0" w:color="auto"/>
            <w:left w:val="none" w:sz="0" w:space="0" w:color="auto"/>
            <w:bottom w:val="none" w:sz="0" w:space="0" w:color="auto"/>
            <w:right w:val="none" w:sz="0" w:space="0" w:color="auto"/>
          </w:divBdr>
          <w:divsChild>
            <w:div w:id="490021341">
              <w:marLeft w:val="0"/>
              <w:marRight w:val="0"/>
              <w:marTop w:val="0"/>
              <w:marBottom w:val="0"/>
              <w:divBdr>
                <w:top w:val="none" w:sz="0" w:space="0" w:color="auto"/>
                <w:left w:val="none" w:sz="0" w:space="0" w:color="auto"/>
                <w:bottom w:val="none" w:sz="0" w:space="0" w:color="auto"/>
                <w:right w:val="none" w:sz="0" w:space="0" w:color="auto"/>
              </w:divBdr>
            </w:div>
            <w:div w:id="618150103">
              <w:marLeft w:val="0"/>
              <w:marRight w:val="0"/>
              <w:marTop w:val="0"/>
              <w:marBottom w:val="0"/>
              <w:divBdr>
                <w:top w:val="none" w:sz="0" w:space="0" w:color="auto"/>
                <w:left w:val="none" w:sz="0" w:space="0" w:color="auto"/>
                <w:bottom w:val="none" w:sz="0" w:space="0" w:color="auto"/>
                <w:right w:val="none" w:sz="0" w:space="0" w:color="auto"/>
              </w:divBdr>
            </w:div>
          </w:divsChild>
        </w:div>
        <w:div w:id="964972424">
          <w:marLeft w:val="0"/>
          <w:marRight w:val="0"/>
          <w:marTop w:val="0"/>
          <w:marBottom w:val="0"/>
          <w:divBdr>
            <w:top w:val="none" w:sz="0" w:space="0" w:color="auto"/>
            <w:left w:val="none" w:sz="0" w:space="0" w:color="auto"/>
            <w:bottom w:val="none" w:sz="0" w:space="0" w:color="auto"/>
            <w:right w:val="none" w:sz="0" w:space="0" w:color="auto"/>
          </w:divBdr>
          <w:divsChild>
            <w:div w:id="76828352">
              <w:marLeft w:val="0"/>
              <w:marRight w:val="0"/>
              <w:marTop w:val="0"/>
              <w:marBottom w:val="0"/>
              <w:divBdr>
                <w:top w:val="none" w:sz="0" w:space="0" w:color="auto"/>
                <w:left w:val="none" w:sz="0" w:space="0" w:color="auto"/>
                <w:bottom w:val="none" w:sz="0" w:space="0" w:color="auto"/>
                <w:right w:val="none" w:sz="0" w:space="0" w:color="auto"/>
              </w:divBdr>
            </w:div>
            <w:div w:id="1189759179">
              <w:marLeft w:val="0"/>
              <w:marRight w:val="0"/>
              <w:marTop w:val="0"/>
              <w:marBottom w:val="0"/>
              <w:divBdr>
                <w:top w:val="none" w:sz="0" w:space="0" w:color="auto"/>
                <w:left w:val="none" w:sz="0" w:space="0" w:color="auto"/>
                <w:bottom w:val="none" w:sz="0" w:space="0" w:color="auto"/>
                <w:right w:val="none" w:sz="0" w:space="0" w:color="auto"/>
              </w:divBdr>
            </w:div>
          </w:divsChild>
        </w:div>
        <w:div w:id="970937815">
          <w:marLeft w:val="0"/>
          <w:marRight w:val="0"/>
          <w:marTop w:val="0"/>
          <w:marBottom w:val="0"/>
          <w:divBdr>
            <w:top w:val="none" w:sz="0" w:space="0" w:color="auto"/>
            <w:left w:val="none" w:sz="0" w:space="0" w:color="auto"/>
            <w:bottom w:val="none" w:sz="0" w:space="0" w:color="auto"/>
            <w:right w:val="none" w:sz="0" w:space="0" w:color="auto"/>
          </w:divBdr>
          <w:divsChild>
            <w:div w:id="680938497">
              <w:marLeft w:val="0"/>
              <w:marRight w:val="0"/>
              <w:marTop w:val="0"/>
              <w:marBottom w:val="0"/>
              <w:divBdr>
                <w:top w:val="none" w:sz="0" w:space="0" w:color="auto"/>
                <w:left w:val="none" w:sz="0" w:space="0" w:color="auto"/>
                <w:bottom w:val="none" w:sz="0" w:space="0" w:color="auto"/>
                <w:right w:val="none" w:sz="0" w:space="0" w:color="auto"/>
              </w:divBdr>
            </w:div>
            <w:div w:id="1778519729">
              <w:marLeft w:val="0"/>
              <w:marRight w:val="0"/>
              <w:marTop w:val="0"/>
              <w:marBottom w:val="0"/>
              <w:divBdr>
                <w:top w:val="none" w:sz="0" w:space="0" w:color="auto"/>
                <w:left w:val="none" w:sz="0" w:space="0" w:color="auto"/>
                <w:bottom w:val="none" w:sz="0" w:space="0" w:color="auto"/>
                <w:right w:val="none" w:sz="0" w:space="0" w:color="auto"/>
              </w:divBdr>
            </w:div>
            <w:div w:id="1911379315">
              <w:marLeft w:val="0"/>
              <w:marRight w:val="0"/>
              <w:marTop w:val="0"/>
              <w:marBottom w:val="0"/>
              <w:divBdr>
                <w:top w:val="none" w:sz="0" w:space="0" w:color="auto"/>
                <w:left w:val="none" w:sz="0" w:space="0" w:color="auto"/>
                <w:bottom w:val="none" w:sz="0" w:space="0" w:color="auto"/>
                <w:right w:val="none" w:sz="0" w:space="0" w:color="auto"/>
              </w:divBdr>
            </w:div>
          </w:divsChild>
        </w:div>
        <w:div w:id="972489153">
          <w:marLeft w:val="0"/>
          <w:marRight w:val="0"/>
          <w:marTop w:val="0"/>
          <w:marBottom w:val="0"/>
          <w:divBdr>
            <w:top w:val="none" w:sz="0" w:space="0" w:color="auto"/>
            <w:left w:val="none" w:sz="0" w:space="0" w:color="auto"/>
            <w:bottom w:val="none" w:sz="0" w:space="0" w:color="auto"/>
            <w:right w:val="none" w:sz="0" w:space="0" w:color="auto"/>
          </w:divBdr>
          <w:divsChild>
            <w:div w:id="156380609">
              <w:marLeft w:val="0"/>
              <w:marRight w:val="0"/>
              <w:marTop w:val="0"/>
              <w:marBottom w:val="0"/>
              <w:divBdr>
                <w:top w:val="none" w:sz="0" w:space="0" w:color="auto"/>
                <w:left w:val="none" w:sz="0" w:space="0" w:color="auto"/>
                <w:bottom w:val="none" w:sz="0" w:space="0" w:color="auto"/>
                <w:right w:val="none" w:sz="0" w:space="0" w:color="auto"/>
              </w:divBdr>
            </w:div>
            <w:div w:id="1770586400">
              <w:marLeft w:val="0"/>
              <w:marRight w:val="0"/>
              <w:marTop w:val="0"/>
              <w:marBottom w:val="0"/>
              <w:divBdr>
                <w:top w:val="none" w:sz="0" w:space="0" w:color="auto"/>
                <w:left w:val="none" w:sz="0" w:space="0" w:color="auto"/>
                <w:bottom w:val="none" w:sz="0" w:space="0" w:color="auto"/>
                <w:right w:val="none" w:sz="0" w:space="0" w:color="auto"/>
              </w:divBdr>
            </w:div>
          </w:divsChild>
        </w:div>
        <w:div w:id="977035513">
          <w:marLeft w:val="0"/>
          <w:marRight w:val="0"/>
          <w:marTop w:val="0"/>
          <w:marBottom w:val="0"/>
          <w:divBdr>
            <w:top w:val="none" w:sz="0" w:space="0" w:color="auto"/>
            <w:left w:val="none" w:sz="0" w:space="0" w:color="auto"/>
            <w:bottom w:val="none" w:sz="0" w:space="0" w:color="auto"/>
            <w:right w:val="none" w:sz="0" w:space="0" w:color="auto"/>
          </w:divBdr>
          <w:divsChild>
            <w:div w:id="1935823792">
              <w:marLeft w:val="0"/>
              <w:marRight w:val="0"/>
              <w:marTop w:val="0"/>
              <w:marBottom w:val="0"/>
              <w:divBdr>
                <w:top w:val="none" w:sz="0" w:space="0" w:color="auto"/>
                <w:left w:val="none" w:sz="0" w:space="0" w:color="auto"/>
                <w:bottom w:val="none" w:sz="0" w:space="0" w:color="auto"/>
                <w:right w:val="none" w:sz="0" w:space="0" w:color="auto"/>
              </w:divBdr>
            </w:div>
          </w:divsChild>
        </w:div>
        <w:div w:id="988480952">
          <w:marLeft w:val="0"/>
          <w:marRight w:val="0"/>
          <w:marTop w:val="0"/>
          <w:marBottom w:val="0"/>
          <w:divBdr>
            <w:top w:val="none" w:sz="0" w:space="0" w:color="auto"/>
            <w:left w:val="none" w:sz="0" w:space="0" w:color="auto"/>
            <w:bottom w:val="none" w:sz="0" w:space="0" w:color="auto"/>
            <w:right w:val="none" w:sz="0" w:space="0" w:color="auto"/>
          </w:divBdr>
          <w:divsChild>
            <w:div w:id="1187475846">
              <w:marLeft w:val="0"/>
              <w:marRight w:val="0"/>
              <w:marTop w:val="0"/>
              <w:marBottom w:val="0"/>
              <w:divBdr>
                <w:top w:val="none" w:sz="0" w:space="0" w:color="auto"/>
                <w:left w:val="none" w:sz="0" w:space="0" w:color="auto"/>
                <w:bottom w:val="none" w:sz="0" w:space="0" w:color="auto"/>
                <w:right w:val="none" w:sz="0" w:space="0" w:color="auto"/>
              </w:divBdr>
            </w:div>
          </w:divsChild>
        </w:div>
        <w:div w:id="998583945">
          <w:marLeft w:val="0"/>
          <w:marRight w:val="0"/>
          <w:marTop w:val="0"/>
          <w:marBottom w:val="0"/>
          <w:divBdr>
            <w:top w:val="none" w:sz="0" w:space="0" w:color="auto"/>
            <w:left w:val="none" w:sz="0" w:space="0" w:color="auto"/>
            <w:bottom w:val="none" w:sz="0" w:space="0" w:color="auto"/>
            <w:right w:val="none" w:sz="0" w:space="0" w:color="auto"/>
          </w:divBdr>
          <w:divsChild>
            <w:div w:id="1162622051">
              <w:marLeft w:val="0"/>
              <w:marRight w:val="0"/>
              <w:marTop w:val="0"/>
              <w:marBottom w:val="0"/>
              <w:divBdr>
                <w:top w:val="none" w:sz="0" w:space="0" w:color="auto"/>
                <w:left w:val="none" w:sz="0" w:space="0" w:color="auto"/>
                <w:bottom w:val="none" w:sz="0" w:space="0" w:color="auto"/>
                <w:right w:val="none" w:sz="0" w:space="0" w:color="auto"/>
              </w:divBdr>
            </w:div>
            <w:div w:id="1244878826">
              <w:marLeft w:val="0"/>
              <w:marRight w:val="0"/>
              <w:marTop w:val="0"/>
              <w:marBottom w:val="0"/>
              <w:divBdr>
                <w:top w:val="none" w:sz="0" w:space="0" w:color="auto"/>
                <w:left w:val="none" w:sz="0" w:space="0" w:color="auto"/>
                <w:bottom w:val="none" w:sz="0" w:space="0" w:color="auto"/>
                <w:right w:val="none" w:sz="0" w:space="0" w:color="auto"/>
              </w:divBdr>
            </w:div>
            <w:div w:id="1808740727">
              <w:marLeft w:val="0"/>
              <w:marRight w:val="0"/>
              <w:marTop w:val="0"/>
              <w:marBottom w:val="0"/>
              <w:divBdr>
                <w:top w:val="none" w:sz="0" w:space="0" w:color="auto"/>
                <w:left w:val="none" w:sz="0" w:space="0" w:color="auto"/>
                <w:bottom w:val="none" w:sz="0" w:space="0" w:color="auto"/>
                <w:right w:val="none" w:sz="0" w:space="0" w:color="auto"/>
              </w:divBdr>
            </w:div>
          </w:divsChild>
        </w:div>
        <w:div w:id="1003821541">
          <w:marLeft w:val="0"/>
          <w:marRight w:val="0"/>
          <w:marTop w:val="0"/>
          <w:marBottom w:val="0"/>
          <w:divBdr>
            <w:top w:val="none" w:sz="0" w:space="0" w:color="auto"/>
            <w:left w:val="none" w:sz="0" w:space="0" w:color="auto"/>
            <w:bottom w:val="none" w:sz="0" w:space="0" w:color="auto"/>
            <w:right w:val="none" w:sz="0" w:space="0" w:color="auto"/>
          </w:divBdr>
          <w:divsChild>
            <w:div w:id="1318924316">
              <w:marLeft w:val="0"/>
              <w:marRight w:val="0"/>
              <w:marTop w:val="0"/>
              <w:marBottom w:val="0"/>
              <w:divBdr>
                <w:top w:val="none" w:sz="0" w:space="0" w:color="auto"/>
                <w:left w:val="none" w:sz="0" w:space="0" w:color="auto"/>
                <w:bottom w:val="none" w:sz="0" w:space="0" w:color="auto"/>
                <w:right w:val="none" w:sz="0" w:space="0" w:color="auto"/>
              </w:divBdr>
            </w:div>
          </w:divsChild>
        </w:div>
        <w:div w:id="1004669084">
          <w:marLeft w:val="0"/>
          <w:marRight w:val="0"/>
          <w:marTop w:val="0"/>
          <w:marBottom w:val="0"/>
          <w:divBdr>
            <w:top w:val="none" w:sz="0" w:space="0" w:color="auto"/>
            <w:left w:val="none" w:sz="0" w:space="0" w:color="auto"/>
            <w:bottom w:val="none" w:sz="0" w:space="0" w:color="auto"/>
            <w:right w:val="none" w:sz="0" w:space="0" w:color="auto"/>
          </w:divBdr>
          <w:divsChild>
            <w:div w:id="2015067793">
              <w:marLeft w:val="0"/>
              <w:marRight w:val="0"/>
              <w:marTop w:val="0"/>
              <w:marBottom w:val="0"/>
              <w:divBdr>
                <w:top w:val="none" w:sz="0" w:space="0" w:color="auto"/>
                <w:left w:val="none" w:sz="0" w:space="0" w:color="auto"/>
                <w:bottom w:val="none" w:sz="0" w:space="0" w:color="auto"/>
                <w:right w:val="none" w:sz="0" w:space="0" w:color="auto"/>
              </w:divBdr>
            </w:div>
          </w:divsChild>
        </w:div>
        <w:div w:id="1018239286">
          <w:marLeft w:val="0"/>
          <w:marRight w:val="0"/>
          <w:marTop w:val="0"/>
          <w:marBottom w:val="0"/>
          <w:divBdr>
            <w:top w:val="none" w:sz="0" w:space="0" w:color="auto"/>
            <w:left w:val="none" w:sz="0" w:space="0" w:color="auto"/>
            <w:bottom w:val="none" w:sz="0" w:space="0" w:color="auto"/>
            <w:right w:val="none" w:sz="0" w:space="0" w:color="auto"/>
          </w:divBdr>
          <w:divsChild>
            <w:div w:id="872615858">
              <w:marLeft w:val="0"/>
              <w:marRight w:val="0"/>
              <w:marTop w:val="0"/>
              <w:marBottom w:val="0"/>
              <w:divBdr>
                <w:top w:val="none" w:sz="0" w:space="0" w:color="auto"/>
                <w:left w:val="none" w:sz="0" w:space="0" w:color="auto"/>
                <w:bottom w:val="none" w:sz="0" w:space="0" w:color="auto"/>
                <w:right w:val="none" w:sz="0" w:space="0" w:color="auto"/>
              </w:divBdr>
            </w:div>
            <w:div w:id="1400247622">
              <w:marLeft w:val="0"/>
              <w:marRight w:val="0"/>
              <w:marTop w:val="0"/>
              <w:marBottom w:val="0"/>
              <w:divBdr>
                <w:top w:val="none" w:sz="0" w:space="0" w:color="auto"/>
                <w:left w:val="none" w:sz="0" w:space="0" w:color="auto"/>
                <w:bottom w:val="none" w:sz="0" w:space="0" w:color="auto"/>
                <w:right w:val="none" w:sz="0" w:space="0" w:color="auto"/>
              </w:divBdr>
            </w:div>
          </w:divsChild>
        </w:div>
        <w:div w:id="1018505797">
          <w:marLeft w:val="0"/>
          <w:marRight w:val="0"/>
          <w:marTop w:val="0"/>
          <w:marBottom w:val="0"/>
          <w:divBdr>
            <w:top w:val="none" w:sz="0" w:space="0" w:color="auto"/>
            <w:left w:val="none" w:sz="0" w:space="0" w:color="auto"/>
            <w:bottom w:val="none" w:sz="0" w:space="0" w:color="auto"/>
            <w:right w:val="none" w:sz="0" w:space="0" w:color="auto"/>
          </w:divBdr>
          <w:divsChild>
            <w:div w:id="937565768">
              <w:marLeft w:val="0"/>
              <w:marRight w:val="0"/>
              <w:marTop w:val="0"/>
              <w:marBottom w:val="0"/>
              <w:divBdr>
                <w:top w:val="none" w:sz="0" w:space="0" w:color="auto"/>
                <w:left w:val="none" w:sz="0" w:space="0" w:color="auto"/>
                <w:bottom w:val="none" w:sz="0" w:space="0" w:color="auto"/>
                <w:right w:val="none" w:sz="0" w:space="0" w:color="auto"/>
              </w:divBdr>
            </w:div>
            <w:div w:id="1323310538">
              <w:marLeft w:val="0"/>
              <w:marRight w:val="0"/>
              <w:marTop w:val="0"/>
              <w:marBottom w:val="0"/>
              <w:divBdr>
                <w:top w:val="none" w:sz="0" w:space="0" w:color="auto"/>
                <w:left w:val="none" w:sz="0" w:space="0" w:color="auto"/>
                <w:bottom w:val="none" w:sz="0" w:space="0" w:color="auto"/>
                <w:right w:val="none" w:sz="0" w:space="0" w:color="auto"/>
              </w:divBdr>
            </w:div>
            <w:div w:id="1718773193">
              <w:marLeft w:val="0"/>
              <w:marRight w:val="0"/>
              <w:marTop w:val="0"/>
              <w:marBottom w:val="0"/>
              <w:divBdr>
                <w:top w:val="none" w:sz="0" w:space="0" w:color="auto"/>
                <w:left w:val="none" w:sz="0" w:space="0" w:color="auto"/>
                <w:bottom w:val="none" w:sz="0" w:space="0" w:color="auto"/>
                <w:right w:val="none" w:sz="0" w:space="0" w:color="auto"/>
              </w:divBdr>
            </w:div>
            <w:div w:id="1909535565">
              <w:marLeft w:val="0"/>
              <w:marRight w:val="0"/>
              <w:marTop w:val="0"/>
              <w:marBottom w:val="0"/>
              <w:divBdr>
                <w:top w:val="none" w:sz="0" w:space="0" w:color="auto"/>
                <w:left w:val="none" w:sz="0" w:space="0" w:color="auto"/>
                <w:bottom w:val="none" w:sz="0" w:space="0" w:color="auto"/>
                <w:right w:val="none" w:sz="0" w:space="0" w:color="auto"/>
              </w:divBdr>
            </w:div>
            <w:div w:id="1926987000">
              <w:marLeft w:val="0"/>
              <w:marRight w:val="0"/>
              <w:marTop w:val="0"/>
              <w:marBottom w:val="0"/>
              <w:divBdr>
                <w:top w:val="none" w:sz="0" w:space="0" w:color="auto"/>
                <w:left w:val="none" w:sz="0" w:space="0" w:color="auto"/>
                <w:bottom w:val="none" w:sz="0" w:space="0" w:color="auto"/>
                <w:right w:val="none" w:sz="0" w:space="0" w:color="auto"/>
              </w:divBdr>
            </w:div>
            <w:div w:id="1944485601">
              <w:marLeft w:val="0"/>
              <w:marRight w:val="0"/>
              <w:marTop w:val="0"/>
              <w:marBottom w:val="0"/>
              <w:divBdr>
                <w:top w:val="none" w:sz="0" w:space="0" w:color="auto"/>
                <w:left w:val="none" w:sz="0" w:space="0" w:color="auto"/>
                <w:bottom w:val="none" w:sz="0" w:space="0" w:color="auto"/>
                <w:right w:val="none" w:sz="0" w:space="0" w:color="auto"/>
              </w:divBdr>
            </w:div>
          </w:divsChild>
        </w:div>
        <w:div w:id="1020010563">
          <w:marLeft w:val="0"/>
          <w:marRight w:val="0"/>
          <w:marTop w:val="0"/>
          <w:marBottom w:val="0"/>
          <w:divBdr>
            <w:top w:val="none" w:sz="0" w:space="0" w:color="auto"/>
            <w:left w:val="none" w:sz="0" w:space="0" w:color="auto"/>
            <w:bottom w:val="none" w:sz="0" w:space="0" w:color="auto"/>
            <w:right w:val="none" w:sz="0" w:space="0" w:color="auto"/>
          </w:divBdr>
          <w:divsChild>
            <w:div w:id="82453278">
              <w:marLeft w:val="0"/>
              <w:marRight w:val="0"/>
              <w:marTop w:val="0"/>
              <w:marBottom w:val="0"/>
              <w:divBdr>
                <w:top w:val="none" w:sz="0" w:space="0" w:color="auto"/>
                <w:left w:val="none" w:sz="0" w:space="0" w:color="auto"/>
                <w:bottom w:val="none" w:sz="0" w:space="0" w:color="auto"/>
                <w:right w:val="none" w:sz="0" w:space="0" w:color="auto"/>
              </w:divBdr>
            </w:div>
            <w:div w:id="399333130">
              <w:marLeft w:val="0"/>
              <w:marRight w:val="0"/>
              <w:marTop w:val="0"/>
              <w:marBottom w:val="0"/>
              <w:divBdr>
                <w:top w:val="none" w:sz="0" w:space="0" w:color="auto"/>
                <w:left w:val="none" w:sz="0" w:space="0" w:color="auto"/>
                <w:bottom w:val="none" w:sz="0" w:space="0" w:color="auto"/>
                <w:right w:val="none" w:sz="0" w:space="0" w:color="auto"/>
              </w:divBdr>
            </w:div>
            <w:div w:id="1456484486">
              <w:marLeft w:val="0"/>
              <w:marRight w:val="0"/>
              <w:marTop w:val="0"/>
              <w:marBottom w:val="0"/>
              <w:divBdr>
                <w:top w:val="none" w:sz="0" w:space="0" w:color="auto"/>
                <w:left w:val="none" w:sz="0" w:space="0" w:color="auto"/>
                <w:bottom w:val="none" w:sz="0" w:space="0" w:color="auto"/>
                <w:right w:val="none" w:sz="0" w:space="0" w:color="auto"/>
              </w:divBdr>
            </w:div>
          </w:divsChild>
        </w:div>
        <w:div w:id="1026102297">
          <w:marLeft w:val="0"/>
          <w:marRight w:val="0"/>
          <w:marTop w:val="0"/>
          <w:marBottom w:val="0"/>
          <w:divBdr>
            <w:top w:val="none" w:sz="0" w:space="0" w:color="auto"/>
            <w:left w:val="none" w:sz="0" w:space="0" w:color="auto"/>
            <w:bottom w:val="none" w:sz="0" w:space="0" w:color="auto"/>
            <w:right w:val="none" w:sz="0" w:space="0" w:color="auto"/>
          </w:divBdr>
          <w:divsChild>
            <w:div w:id="585849584">
              <w:marLeft w:val="0"/>
              <w:marRight w:val="0"/>
              <w:marTop w:val="0"/>
              <w:marBottom w:val="0"/>
              <w:divBdr>
                <w:top w:val="none" w:sz="0" w:space="0" w:color="auto"/>
                <w:left w:val="none" w:sz="0" w:space="0" w:color="auto"/>
                <w:bottom w:val="none" w:sz="0" w:space="0" w:color="auto"/>
                <w:right w:val="none" w:sz="0" w:space="0" w:color="auto"/>
              </w:divBdr>
            </w:div>
            <w:div w:id="927082400">
              <w:marLeft w:val="0"/>
              <w:marRight w:val="0"/>
              <w:marTop w:val="0"/>
              <w:marBottom w:val="0"/>
              <w:divBdr>
                <w:top w:val="none" w:sz="0" w:space="0" w:color="auto"/>
                <w:left w:val="none" w:sz="0" w:space="0" w:color="auto"/>
                <w:bottom w:val="none" w:sz="0" w:space="0" w:color="auto"/>
                <w:right w:val="none" w:sz="0" w:space="0" w:color="auto"/>
              </w:divBdr>
            </w:div>
            <w:div w:id="1220018471">
              <w:marLeft w:val="0"/>
              <w:marRight w:val="0"/>
              <w:marTop w:val="0"/>
              <w:marBottom w:val="0"/>
              <w:divBdr>
                <w:top w:val="none" w:sz="0" w:space="0" w:color="auto"/>
                <w:left w:val="none" w:sz="0" w:space="0" w:color="auto"/>
                <w:bottom w:val="none" w:sz="0" w:space="0" w:color="auto"/>
                <w:right w:val="none" w:sz="0" w:space="0" w:color="auto"/>
              </w:divBdr>
            </w:div>
            <w:div w:id="1529218130">
              <w:marLeft w:val="0"/>
              <w:marRight w:val="0"/>
              <w:marTop w:val="0"/>
              <w:marBottom w:val="0"/>
              <w:divBdr>
                <w:top w:val="none" w:sz="0" w:space="0" w:color="auto"/>
                <w:left w:val="none" w:sz="0" w:space="0" w:color="auto"/>
                <w:bottom w:val="none" w:sz="0" w:space="0" w:color="auto"/>
                <w:right w:val="none" w:sz="0" w:space="0" w:color="auto"/>
              </w:divBdr>
            </w:div>
          </w:divsChild>
        </w:div>
        <w:div w:id="1032073132">
          <w:marLeft w:val="0"/>
          <w:marRight w:val="0"/>
          <w:marTop w:val="0"/>
          <w:marBottom w:val="0"/>
          <w:divBdr>
            <w:top w:val="none" w:sz="0" w:space="0" w:color="auto"/>
            <w:left w:val="none" w:sz="0" w:space="0" w:color="auto"/>
            <w:bottom w:val="none" w:sz="0" w:space="0" w:color="auto"/>
            <w:right w:val="none" w:sz="0" w:space="0" w:color="auto"/>
          </w:divBdr>
          <w:divsChild>
            <w:div w:id="844438885">
              <w:marLeft w:val="0"/>
              <w:marRight w:val="0"/>
              <w:marTop w:val="0"/>
              <w:marBottom w:val="0"/>
              <w:divBdr>
                <w:top w:val="none" w:sz="0" w:space="0" w:color="auto"/>
                <w:left w:val="none" w:sz="0" w:space="0" w:color="auto"/>
                <w:bottom w:val="none" w:sz="0" w:space="0" w:color="auto"/>
                <w:right w:val="none" w:sz="0" w:space="0" w:color="auto"/>
              </w:divBdr>
            </w:div>
          </w:divsChild>
        </w:div>
        <w:div w:id="1035814291">
          <w:marLeft w:val="0"/>
          <w:marRight w:val="0"/>
          <w:marTop w:val="0"/>
          <w:marBottom w:val="0"/>
          <w:divBdr>
            <w:top w:val="none" w:sz="0" w:space="0" w:color="auto"/>
            <w:left w:val="none" w:sz="0" w:space="0" w:color="auto"/>
            <w:bottom w:val="none" w:sz="0" w:space="0" w:color="auto"/>
            <w:right w:val="none" w:sz="0" w:space="0" w:color="auto"/>
          </w:divBdr>
          <w:divsChild>
            <w:div w:id="706951137">
              <w:marLeft w:val="0"/>
              <w:marRight w:val="0"/>
              <w:marTop w:val="0"/>
              <w:marBottom w:val="0"/>
              <w:divBdr>
                <w:top w:val="none" w:sz="0" w:space="0" w:color="auto"/>
                <w:left w:val="none" w:sz="0" w:space="0" w:color="auto"/>
                <w:bottom w:val="none" w:sz="0" w:space="0" w:color="auto"/>
                <w:right w:val="none" w:sz="0" w:space="0" w:color="auto"/>
              </w:divBdr>
            </w:div>
          </w:divsChild>
        </w:div>
        <w:div w:id="1050805941">
          <w:marLeft w:val="0"/>
          <w:marRight w:val="0"/>
          <w:marTop w:val="0"/>
          <w:marBottom w:val="0"/>
          <w:divBdr>
            <w:top w:val="none" w:sz="0" w:space="0" w:color="auto"/>
            <w:left w:val="none" w:sz="0" w:space="0" w:color="auto"/>
            <w:bottom w:val="none" w:sz="0" w:space="0" w:color="auto"/>
            <w:right w:val="none" w:sz="0" w:space="0" w:color="auto"/>
          </w:divBdr>
          <w:divsChild>
            <w:div w:id="229199218">
              <w:marLeft w:val="0"/>
              <w:marRight w:val="0"/>
              <w:marTop w:val="0"/>
              <w:marBottom w:val="0"/>
              <w:divBdr>
                <w:top w:val="none" w:sz="0" w:space="0" w:color="auto"/>
                <w:left w:val="none" w:sz="0" w:space="0" w:color="auto"/>
                <w:bottom w:val="none" w:sz="0" w:space="0" w:color="auto"/>
                <w:right w:val="none" w:sz="0" w:space="0" w:color="auto"/>
              </w:divBdr>
            </w:div>
          </w:divsChild>
        </w:div>
        <w:div w:id="1054503207">
          <w:marLeft w:val="0"/>
          <w:marRight w:val="0"/>
          <w:marTop w:val="0"/>
          <w:marBottom w:val="0"/>
          <w:divBdr>
            <w:top w:val="none" w:sz="0" w:space="0" w:color="auto"/>
            <w:left w:val="none" w:sz="0" w:space="0" w:color="auto"/>
            <w:bottom w:val="none" w:sz="0" w:space="0" w:color="auto"/>
            <w:right w:val="none" w:sz="0" w:space="0" w:color="auto"/>
          </w:divBdr>
          <w:divsChild>
            <w:div w:id="558833353">
              <w:marLeft w:val="0"/>
              <w:marRight w:val="0"/>
              <w:marTop w:val="0"/>
              <w:marBottom w:val="0"/>
              <w:divBdr>
                <w:top w:val="none" w:sz="0" w:space="0" w:color="auto"/>
                <w:left w:val="none" w:sz="0" w:space="0" w:color="auto"/>
                <w:bottom w:val="none" w:sz="0" w:space="0" w:color="auto"/>
                <w:right w:val="none" w:sz="0" w:space="0" w:color="auto"/>
              </w:divBdr>
            </w:div>
            <w:div w:id="645017308">
              <w:marLeft w:val="0"/>
              <w:marRight w:val="0"/>
              <w:marTop w:val="0"/>
              <w:marBottom w:val="0"/>
              <w:divBdr>
                <w:top w:val="none" w:sz="0" w:space="0" w:color="auto"/>
                <w:left w:val="none" w:sz="0" w:space="0" w:color="auto"/>
                <w:bottom w:val="none" w:sz="0" w:space="0" w:color="auto"/>
                <w:right w:val="none" w:sz="0" w:space="0" w:color="auto"/>
              </w:divBdr>
            </w:div>
          </w:divsChild>
        </w:div>
        <w:div w:id="1059401587">
          <w:marLeft w:val="0"/>
          <w:marRight w:val="0"/>
          <w:marTop w:val="0"/>
          <w:marBottom w:val="0"/>
          <w:divBdr>
            <w:top w:val="none" w:sz="0" w:space="0" w:color="auto"/>
            <w:left w:val="none" w:sz="0" w:space="0" w:color="auto"/>
            <w:bottom w:val="none" w:sz="0" w:space="0" w:color="auto"/>
            <w:right w:val="none" w:sz="0" w:space="0" w:color="auto"/>
          </w:divBdr>
          <w:divsChild>
            <w:div w:id="407071356">
              <w:marLeft w:val="0"/>
              <w:marRight w:val="0"/>
              <w:marTop w:val="0"/>
              <w:marBottom w:val="0"/>
              <w:divBdr>
                <w:top w:val="none" w:sz="0" w:space="0" w:color="auto"/>
                <w:left w:val="none" w:sz="0" w:space="0" w:color="auto"/>
                <w:bottom w:val="none" w:sz="0" w:space="0" w:color="auto"/>
                <w:right w:val="none" w:sz="0" w:space="0" w:color="auto"/>
              </w:divBdr>
            </w:div>
            <w:div w:id="1399397198">
              <w:marLeft w:val="0"/>
              <w:marRight w:val="0"/>
              <w:marTop w:val="0"/>
              <w:marBottom w:val="0"/>
              <w:divBdr>
                <w:top w:val="none" w:sz="0" w:space="0" w:color="auto"/>
                <w:left w:val="none" w:sz="0" w:space="0" w:color="auto"/>
                <w:bottom w:val="none" w:sz="0" w:space="0" w:color="auto"/>
                <w:right w:val="none" w:sz="0" w:space="0" w:color="auto"/>
              </w:divBdr>
            </w:div>
            <w:div w:id="1565870704">
              <w:marLeft w:val="0"/>
              <w:marRight w:val="0"/>
              <w:marTop w:val="0"/>
              <w:marBottom w:val="0"/>
              <w:divBdr>
                <w:top w:val="none" w:sz="0" w:space="0" w:color="auto"/>
                <w:left w:val="none" w:sz="0" w:space="0" w:color="auto"/>
                <w:bottom w:val="none" w:sz="0" w:space="0" w:color="auto"/>
                <w:right w:val="none" w:sz="0" w:space="0" w:color="auto"/>
              </w:divBdr>
            </w:div>
          </w:divsChild>
        </w:div>
        <w:div w:id="1060052144">
          <w:marLeft w:val="0"/>
          <w:marRight w:val="0"/>
          <w:marTop w:val="0"/>
          <w:marBottom w:val="0"/>
          <w:divBdr>
            <w:top w:val="none" w:sz="0" w:space="0" w:color="auto"/>
            <w:left w:val="none" w:sz="0" w:space="0" w:color="auto"/>
            <w:bottom w:val="none" w:sz="0" w:space="0" w:color="auto"/>
            <w:right w:val="none" w:sz="0" w:space="0" w:color="auto"/>
          </w:divBdr>
          <w:divsChild>
            <w:div w:id="299969247">
              <w:marLeft w:val="0"/>
              <w:marRight w:val="0"/>
              <w:marTop w:val="0"/>
              <w:marBottom w:val="0"/>
              <w:divBdr>
                <w:top w:val="none" w:sz="0" w:space="0" w:color="auto"/>
                <w:left w:val="none" w:sz="0" w:space="0" w:color="auto"/>
                <w:bottom w:val="none" w:sz="0" w:space="0" w:color="auto"/>
                <w:right w:val="none" w:sz="0" w:space="0" w:color="auto"/>
              </w:divBdr>
            </w:div>
            <w:div w:id="994803514">
              <w:marLeft w:val="0"/>
              <w:marRight w:val="0"/>
              <w:marTop w:val="0"/>
              <w:marBottom w:val="0"/>
              <w:divBdr>
                <w:top w:val="none" w:sz="0" w:space="0" w:color="auto"/>
                <w:left w:val="none" w:sz="0" w:space="0" w:color="auto"/>
                <w:bottom w:val="none" w:sz="0" w:space="0" w:color="auto"/>
                <w:right w:val="none" w:sz="0" w:space="0" w:color="auto"/>
              </w:divBdr>
            </w:div>
          </w:divsChild>
        </w:div>
        <w:div w:id="1070465706">
          <w:marLeft w:val="0"/>
          <w:marRight w:val="0"/>
          <w:marTop w:val="0"/>
          <w:marBottom w:val="0"/>
          <w:divBdr>
            <w:top w:val="none" w:sz="0" w:space="0" w:color="auto"/>
            <w:left w:val="none" w:sz="0" w:space="0" w:color="auto"/>
            <w:bottom w:val="none" w:sz="0" w:space="0" w:color="auto"/>
            <w:right w:val="none" w:sz="0" w:space="0" w:color="auto"/>
          </w:divBdr>
          <w:divsChild>
            <w:div w:id="1525703893">
              <w:marLeft w:val="0"/>
              <w:marRight w:val="0"/>
              <w:marTop w:val="0"/>
              <w:marBottom w:val="0"/>
              <w:divBdr>
                <w:top w:val="none" w:sz="0" w:space="0" w:color="auto"/>
                <w:left w:val="none" w:sz="0" w:space="0" w:color="auto"/>
                <w:bottom w:val="none" w:sz="0" w:space="0" w:color="auto"/>
                <w:right w:val="none" w:sz="0" w:space="0" w:color="auto"/>
              </w:divBdr>
            </w:div>
            <w:div w:id="1673141345">
              <w:marLeft w:val="0"/>
              <w:marRight w:val="0"/>
              <w:marTop w:val="0"/>
              <w:marBottom w:val="0"/>
              <w:divBdr>
                <w:top w:val="none" w:sz="0" w:space="0" w:color="auto"/>
                <w:left w:val="none" w:sz="0" w:space="0" w:color="auto"/>
                <w:bottom w:val="none" w:sz="0" w:space="0" w:color="auto"/>
                <w:right w:val="none" w:sz="0" w:space="0" w:color="auto"/>
              </w:divBdr>
            </w:div>
            <w:div w:id="1804813519">
              <w:marLeft w:val="0"/>
              <w:marRight w:val="0"/>
              <w:marTop w:val="0"/>
              <w:marBottom w:val="0"/>
              <w:divBdr>
                <w:top w:val="none" w:sz="0" w:space="0" w:color="auto"/>
                <w:left w:val="none" w:sz="0" w:space="0" w:color="auto"/>
                <w:bottom w:val="none" w:sz="0" w:space="0" w:color="auto"/>
                <w:right w:val="none" w:sz="0" w:space="0" w:color="auto"/>
              </w:divBdr>
            </w:div>
          </w:divsChild>
        </w:div>
        <w:div w:id="1087579666">
          <w:marLeft w:val="0"/>
          <w:marRight w:val="0"/>
          <w:marTop w:val="0"/>
          <w:marBottom w:val="0"/>
          <w:divBdr>
            <w:top w:val="none" w:sz="0" w:space="0" w:color="auto"/>
            <w:left w:val="none" w:sz="0" w:space="0" w:color="auto"/>
            <w:bottom w:val="none" w:sz="0" w:space="0" w:color="auto"/>
            <w:right w:val="none" w:sz="0" w:space="0" w:color="auto"/>
          </w:divBdr>
          <w:divsChild>
            <w:div w:id="2068457646">
              <w:marLeft w:val="0"/>
              <w:marRight w:val="0"/>
              <w:marTop w:val="0"/>
              <w:marBottom w:val="0"/>
              <w:divBdr>
                <w:top w:val="none" w:sz="0" w:space="0" w:color="auto"/>
                <w:left w:val="none" w:sz="0" w:space="0" w:color="auto"/>
                <w:bottom w:val="none" w:sz="0" w:space="0" w:color="auto"/>
                <w:right w:val="none" w:sz="0" w:space="0" w:color="auto"/>
              </w:divBdr>
            </w:div>
          </w:divsChild>
        </w:div>
        <w:div w:id="1088580881">
          <w:marLeft w:val="0"/>
          <w:marRight w:val="0"/>
          <w:marTop w:val="0"/>
          <w:marBottom w:val="0"/>
          <w:divBdr>
            <w:top w:val="none" w:sz="0" w:space="0" w:color="auto"/>
            <w:left w:val="none" w:sz="0" w:space="0" w:color="auto"/>
            <w:bottom w:val="none" w:sz="0" w:space="0" w:color="auto"/>
            <w:right w:val="none" w:sz="0" w:space="0" w:color="auto"/>
          </w:divBdr>
          <w:divsChild>
            <w:div w:id="1907909040">
              <w:marLeft w:val="0"/>
              <w:marRight w:val="0"/>
              <w:marTop w:val="0"/>
              <w:marBottom w:val="0"/>
              <w:divBdr>
                <w:top w:val="none" w:sz="0" w:space="0" w:color="auto"/>
                <w:left w:val="none" w:sz="0" w:space="0" w:color="auto"/>
                <w:bottom w:val="none" w:sz="0" w:space="0" w:color="auto"/>
                <w:right w:val="none" w:sz="0" w:space="0" w:color="auto"/>
              </w:divBdr>
            </w:div>
          </w:divsChild>
        </w:div>
        <w:div w:id="1093085242">
          <w:marLeft w:val="0"/>
          <w:marRight w:val="0"/>
          <w:marTop w:val="0"/>
          <w:marBottom w:val="0"/>
          <w:divBdr>
            <w:top w:val="none" w:sz="0" w:space="0" w:color="auto"/>
            <w:left w:val="none" w:sz="0" w:space="0" w:color="auto"/>
            <w:bottom w:val="none" w:sz="0" w:space="0" w:color="auto"/>
            <w:right w:val="none" w:sz="0" w:space="0" w:color="auto"/>
          </w:divBdr>
          <w:divsChild>
            <w:div w:id="1890921797">
              <w:marLeft w:val="0"/>
              <w:marRight w:val="0"/>
              <w:marTop w:val="0"/>
              <w:marBottom w:val="0"/>
              <w:divBdr>
                <w:top w:val="none" w:sz="0" w:space="0" w:color="auto"/>
                <w:left w:val="none" w:sz="0" w:space="0" w:color="auto"/>
                <w:bottom w:val="none" w:sz="0" w:space="0" w:color="auto"/>
                <w:right w:val="none" w:sz="0" w:space="0" w:color="auto"/>
              </w:divBdr>
            </w:div>
          </w:divsChild>
        </w:div>
        <w:div w:id="1097366684">
          <w:marLeft w:val="0"/>
          <w:marRight w:val="0"/>
          <w:marTop w:val="0"/>
          <w:marBottom w:val="0"/>
          <w:divBdr>
            <w:top w:val="none" w:sz="0" w:space="0" w:color="auto"/>
            <w:left w:val="none" w:sz="0" w:space="0" w:color="auto"/>
            <w:bottom w:val="none" w:sz="0" w:space="0" w:color="auto"/>
            <w:right w:val="none" w:sz="0" w:space="0" w:color="auto"/>
          </w:divBdr>
          <w:divsChild>
            <w:div w:id="818963448">
              <w:marLeft w:val="0"/>
              <w:marRight w:val="0"/>
              <w:marTop w:val="0"/>
              <w:marBottom w:val="0"/>
              <w:divBdr>
                <w:top w:val="none" w:sz="0" w:space="0" w:color="auto"/>
                <w:left w:val="none" w:sz="0" w:space="0" w:color="auto"/>
                <w:bottom w:val="none" w:sz="0" w:space="0" w:color="auto"/>
                <w:right w:val="none" w:sz="0" w:space="0" w:color="auto"/>
              </w:divBdr>
            </w:div>
            <w:div w:id="2026444876">
              <w:marLeft w:val="0"/>
              <w:marRight w:val="0"/>
              <w:marTop w:val="0"/>
              <w:marBottom w:val="0"/>
              <w:divBdr>
                <w:top w:val="none" w:sz="0" w:space="0" w:color="auto"/>
                <w:left w:val="none" w:sz="0" w:space="0" w:color="auto"/>
                <w:bottom w:val="none" w:sz="0" w:space="0" w:color="auto"/>
                <w:right w:val="none" w:sz="0" w:space="0" w:color="auto"/>
              </w:divBdr>
            </w:div>
          </w:divsChild>
        </w:div>
        <w:div w:id="1104810038">
          <w:marLeft w:val="0"/>
          <w:marRight w:val="0"/>
          <w:marTop w:val="0"/>
          <w:marBottom w:val="0"/>
          <w:divBdr>
            <w:top w:val="none" w:sz="0" w:space="0" w:color="auto"/>
            <w:left w:val="none" w:sz="0" w:space="0" w:color="auto"/>
            <w:bottom w:val="none" w:sz="0" w:space="0" w:color="auto"/>
            <w:right w:val="none" w:sz="0" w:space="0" w:color="auto"/>
          </w:divBdr>
          <w:divsChild>
            <w:div w:id="557980352">
              <w:marLeft w:val="0"/>
              <w:marRight w:val="0"/>
              <w:marTop w:val="0"/>
              <w:marBottom w:val="0"/>
              <w:divBdr>
                <w:top w:val="none" w:sz="0" w:space="0" w:color="auto"/>
                <w:left w:val="none" w:sz="0" w:space="0" w:color="auto"/>
                <w:bottom w:val="none" w:sz="0" w:space="0" w:color="auto"/>
                <w:right w:val="none" w:sz="0" w:space="0" w:color="auto"/>
              </w:divBdr>
            </w:div>
          </w:divsChild>
        </w:div>
        <w:div w:id="1107238371">
          <w:marLeft w:val="0"/>
          <w:marRight w:val="0"/>
          <w:marTop w:val="0"/>
          <w:marBottom w:val="0"/>
          <w:divBdr>
            <w:top w:val="none" w:sz="0" w:space="0" w:color="auto"/>
            <w:left w:val="none" w:sz="0" w:space="0" w:color="auto"/>
            <w:bottom w:val="none" w:sz="0" w:space="0" w:color="auto"/>
            <w:right w:val="none" w:sz="0" w:space="0" w:color="auto"/>
          </w:divBdr>
          <w:divsChild>
            <w:div w:id="11760001">
              <w:marLeft w:val="0"/>
              <w:marRight w:val="0"/>
              <w:marTop w:val="0"/>
              <w:marBottom w:val="0"/>
              <w:divBdr>
                <w:top w:val="none" w:sz="0" w:space="0" w:color="auto"/>
                <w:left w:val="none" w:sz="0" w:space="0" w:color="auto"/>
                <w:bottom w:val="none" w:sz="0" w:space="0" w:color="auto"/>
                <w:right w:val="none" w:sz="0" w:space="0" w:color="auto"/>
              </w:divBdr>
            </w:div>
            <w:div w:id="180513054">
              <w:marLeft w:val="0"/>
              <w:marRight w:val="0"/>
              <w:marTop w:val="0"/>
              <w:marBottom w:val="0"/>
              <w:divBdr>
                <w:top w:val="none" w:sz="0" w:space="0" w:color="auto"/>
                <w:left w:val="none" w:sz="0" w:space="0" w:color="auto"/>
                <w:bottom w:val="none" w:sz="0" w:space="0" w:color="auto"/>
                <w:right w:val="none" w:sz="0" w:space="0" w:color="auto"/>
              </w:divBdr>
            </w:div>
            <w:div w:id="1747801738">
              <w:marLeft w:val="0"/>
              <w:marRight w:val="0"/>
              <w:marTop w:val="0"/>
              <w:marBottom w:val="0"/>
              <w:divBdr>
                <w:top w:val="none" w:sz="0" w:space="0" w:color="auto"/>
                <w:left w:val="none" w:sz="0" w:space="0" w:color="auto"/>
                <w:bottom w:val="none" w:sz="0" w:space="0" w:color="auto"/>
                <w:right w:val="none" w:sz="0" w:space="0" w:color="auto"/>
              </w:divBdr>
            </w:div>
          </w:divsChild>
        </w:div>
        <w:div w:id="1110663087">
          <w:marLeft w:val="0"/>
          <w:marRight w:val="0"/>
          <w:marTop w:val="0"/>
          <w:marBottom w:val="0"/>
          <w:divBdr>
            <w:top w:val="none" w:sz="0" w:space="0" w:color="auto"/>
            <w:left w:val="none" w:sz="0" w:space="0" w:color="auto"/>
            <w:bottom w:val="none" w:sz="0" w:space="0" w:color="auto"/>
            <w:right w:val="none" w:sz="0" w:space="0" w:color="auto"/>
          </w:divBdr>
          <w:divsChild>
            <w:div w:id="311714033">
              <w:marLeft w:val="0"/>
              <w:marRight w:val="0"/>
              <w:marTop w:val="0"/>
              <w:marBottom w:val="0"/>
              <w:divBdr>
                <w:top w:val="none" w:sz="0" w:space="0" w:color="auto"/>
                <w:left w:val="none" w:sz="0" w:space="0" w:color="auto"/>
                <w:bottom w:val="none" w:sz="0" w:space="0" w:color="auto"/>
                <w:right w:val="none" w:sz="0" w:space="0" w:color="auto"/>
              </w:divBdr>
            </w:div>
            <w:div w:id="573397205">
              <w:marLeft w:val="0"/>
              <w:marRight w:val="0"/>
              <w:marTop w:val="0"/>
              <w:marBottom w:val="0"/>
              <w:divBdr>
                <w:top w:val="none" w:sz="0" w:space="0" w:color="auto"/>
                <w:left w:val="none" w:sz="0" w:space="0" w:color="auto"/>
                <w:bottom w:val="none" w:sz="0" w:space="0" w:color="auto"/>
                <w:right w:val="none" w:sz="0" w:space="0" w:color="auto"/>
              </w:divBdr>
            </w:div>
            <w:div w:id="601644644">
              <w:marLeft w:val="0"/>
              <w:marRight w:val="0"/>
              <w:marTop w:val="0"/>
              <w:marBottom w:val="0"/>
              <w:divBdr>
                <w:top w:val="none" w:sz="0" w:space="0" w:color="auto"/>
                <w:left w:val="none" w:sz="0" w:space="0" w:color="auto"/>
                <w:bottom w:val="none" w:sz="0" w:space="0" w:color="auto"/>
                <w:right w:val="none" w:sz="0" w:space="0" w:color="auto"/>
              </w:divBdr>
            </w:div>
          </w:divsChild>
        </w:div>
        <w:div w:id="1111129755">
          <w:marLeft w:val="0"/>
          <w:marRight w:val="0"/>
          <w:marTop w:val="0"/>
          <w:marBottom w:val="0"/>
          <w:divBdr>
            <w:top w:val="none" w:sz="0" w:space="0" w:color="auto"/>
            <w:left w:val="none" w:sz="0" w:space="0" w:color="auto"/>
            <w:bottom w:val="none" w:sz="0" w:space="0" w:color="auto"/>
            <w:right w:val="none" w:sz="0" w:space="0" w:color="auto"/>
          </w:divBdr>
          <w:divsChild>
            <w:div w:id="267471582">
              <w:marLeft w:val="0"/>
              <w:marRight w:val="0"/>
              <w:marTop w:val="0"/>
              <w:marBottom w:val="0"/>
              <w:divBdr>
                <w:top w:val="none" w:sz="0" w:space="0" w:color="auto"/>
                <w:left w:val="none" w:sz="0" w:space="0" w:color="auto"/>
                <w:bottom w:val="none" w:sz="0" w:space="0" w:color="auto"/>
                <w:right w:val="none" w:sz="0" w:space="0" w:color="auto"/>
              </w:divBdr>
            </w:div>
            <w:div w:id="860751128">
              <w:marLeft w:val="0"/>
              <w:marRight w:val="0"/>
              <w:marTop w:val="0"/>
              <w:marBottom w:val="0"/>
              <w:divBdr>
                <w:top w:val="none" w:sz="0" w:space="0" w:color="auto"/>
                <w:left w:val="none" w:sz="0" w:space="0" w:color="auto"/>
                <w:bottom w:val="none" w:sz="0" w:space="0" w:color="auto"/>
                <w:right w:val="none" w:sz="0" w:space="0" w:color="auto"/>
              </w:divBdr>
            </w:div>
            <w:div w:id="1147086247">
              <w:marLeft w:val="0"/>
              <w:marRight w:val="0"/>
              <w:marTop w:val="0"/>
              <w:marBottom w:val="0"/>
              <w:divBdr>
                <w:top w:val="none" w:sz="0" w:space="0" w:color="auto"/>
                <w:left w:val="none" w:sz="0" w:space="0" w:color="auto"/>
                <w:bottom w:val="none" w:sz="0" w:space="0" w:color="auto"/>
                <w:right w:val="none" w:sz="0" w:space="0" w:color="auto"/>
              </w:divBdr>
            </w:div>
            <w:div w:id="1411122488">
              <w:marLeft w:val="0"/>
              <w:marRight w:val="0"/>
              <w:marTop w:val="0"/>
              <w:marBottom w:val="0"/>
              <w:divBdr>
                <w:top w:val="none" w:sz="0" w:space="0" w:color="auto"/>
                <w:left w:val="none" w:sz="0" w:space="0" w:color="auto"/>
                <w:bottom w:val="none" w:sz="0" w:space="0" w:color="auto"/>
                <w:right w:val="none" w:sz="0" w:space="0" w:color="auto"/>
              </w:divBdr>
            </w:div>
            <w:div w:id="1442652154">
              <w:marLeft w:val="0"/>
              <w:marRight w:val="0"/>
              <w:marTop w:val="0"/>
              <w:marBottom w:val="0"/>
              <w:divBdr>
                <w:top w:val="none" w:sz="0" w:space="0" w:color="auto"/>
                <w:left w:val="none" w:sz="0" w:space="0" w:color="auto"/>
                <w:bottom w:val="none" w:sz="0" w:space="0" w:color="auto"/>
                <w:right w:val="none" w:sz="0" w:space="0" w:color="auto"/>
              </w:divBdr>
            </w:div>
            <w:div w:id="1452868146">
              <w:marLeft w:val="0"/>
              <w:marRight w:val="0"/>
              <w:marTop w:val="0"/>
              <w:marBottom w:val="0"/>
              <w:divBdr>
                <w:top w:val="none" w:sz="0" w:space="0" w:color="auto"/>
                <w:left w:val="none" w:sz="0" w:space="0" w:color="auto"/>
                <w:bottom w:val="none" w:sz="0" w:space="0" w:color="auto"/>
                <w:right w:val="none" w:sz="0" w:space="0" w:color="auto"/>
              </w:divBdr>
            </w:div>
            <w:div w:id="1496990386">
              <w:marLeft w:val="0"/>
              <w:marRight w:val="0"/>
              <w:marTop w:val="0"/>
              <w:marBottom w:val="0"/>
              <w:divBdr>
                <w:top w:val="none" w:sz="0" w:space="0" w:color="auto"/>
                <w:left w:val="none" w:sz="0" w:space="0" w:color="auto"/>
                <w:bottom w:val="none" w:sz="0" w:space="0" w:color="auto"/>
                <w:right w:val="none" w:sz="0" w:space="0" w:color="auto"/>
              </w:divBdr>
            </w:div>
            <w:div w:id="2138796442">
              <w:marLeft w:val="0"/>
              <w:marRight w:val="0"/>
              <w:marTop w:val="0"/>
              <w:marBottom w:val="0"/>
              <w:divBdr>
                <w:top w:val="none" w:sz="0" w:space="0" w:color="auto"/>
                <w:left w:val="none" w:sz="0" w:space="0" w:color="auto"/>
                <w:bottom w:val="none" w:sz="0" w:space="0" w:color="auto"/>
                <w:right w:val="none" w:sz="0" w:space="0" w:color="auto"/>
              </w:divBdr>
            </w:div>
          </w:divsChild>
        </w:div>
        <w:div w:id="1116484283">
          <w:marLeft w:val="0"/>
          <w:marRight w:val="0"/>
          <w:marTop w:val="0"/>
          <w:marBottom w:val="0"/>
          <w:divBdr>
            <w:top w:val="none" w:sz="0" w:space="0" w:color="auto"/>
            <w:left w:val="none" w:sz="0" w:space="0" w:color="auto"/>
            <w:bottom w:val="none" w:sz="0" w:space="0" w:color="auto"/>
            <w:right w:val="none" w:sz="0" w:space="0" w:color="auto"/>
          </w:divBdr>
          <w:divsChild>
            <w:div w:id="97214735">
              <w:marLeft w:val="0"/>
              <w:marRight w:val="0"/>
              <w:marTop w:val="0"/>
              <w:marBottom w:val="0"/>
              <w:divBdr>
                <w:top w:val="none" w:sz="0" w:space="0" w:color="auto"/>
                <w:left w:val="none" w:sz="0" w:space="0" w:color="auto"/>
                <w:bottom w:val="none" w:sz="0" w:space="0" w:color="auto"/>
                <w:right w:val="none" w:sz="0" w:space="0" w:color="auto"/>
              </w:divBdr>
            </w:div>
            <w:div w:id="329453307">
              <w:marLeft w:val="0"/>
              <w:marRight w:val="0"/>
              <w:marTop w:val="0"/>
              <w:marBottom w:val="0"/>
              <w:divBdr>
                <w:top w:val="none" w:sz="0" w:space="0" w:color="auto"/>
                <w:left w:val="none" w:sz="0" w:space="0" w:color="auto"/>
                <w:bottom w:val="none" w:sz="0" w:space="0" w:color="auto"/>
                <w:right w:val="none" w:sz="0" w:space="0" w:color="auto"/>
              </w:divBdr>
            </w:div>
            <w:div w:id="618680179">
              <w:marLeft w:val="0"/>
              <w:marRight w:val="0"/>
              <w:marTop w:val="0"/>
              <w:marBottom w:val="0"/>
              <w:divBdr>
                <w:top w:val="none" w:sz="0" w:space="0" w:color="auto"/>
                <w:left w:val="none" w:sz="0" w:space="0" w:color="auto"/>
                <w:bottom w:val="none" w:sz="0" w:space="0" w:color="auto"/>
                <w:right w:val="none" w:sz="0" w:space="0" w:color="auto"/>
              </w:divBdr>
            </w:div>
            <w:div w:id="926036430">
              <w:marLeft w:val="0"/>
              <w:marRight w:val="0"/>
              <w:marTop w:val="0"/>
              <w:marBottom w:val="0"/>
              <w:divBdr>
                <w:top w:val="none" w:sz="0" w:space="0" w:color="auto"/>
                <w:left w:val="none" w:sz="0" w:space="0" w:color="auto"/>
                <w:bottom w:val="none" w:sz="0" w:space="0" w:color="auto"/>
                <w:right w:val="none" w:sz="0" w:space="0" w:color="auto"/>
              </w:divBdr>
            </w:div>
            <w:div w:id="959993609">
              <w:marLeft w:val="0"/>
              <w:marRight w:val="0"/>
              <w:marTop w:val="0"/>
              <w:marBottom w:val="0"/>
              <w:divBdr>
                <w:top w:val="none" w:sz="0" w:space="0" w:color="auto"/>
                <w:left w:val="none" w:sz="0" w:space="0" w:color="auto"/>
                <w:bottom w:val="none" w:sz="0" w:space="0" w:color="auto"/>
                <w:right w:val="none" w:sz="0" w:space="0" w:color="auto"/>
              </w:divBdr>
            </w:div>
          </w:divsChild>
        </w:div>
        <w:div w:id="1128013049">
          <w:marLeft w:val="0"/>
          <w:marRight w:val="0"/>
          <w:marTop w:val="0"/>
          <w:marBottom w:val="0"/>
          <w:divBdr>
            <w:top w:val="none" w:sz="0" w:space="0" w:color="auto"/>
            <w:left w:val="none" w:sz="0" w:space="0" w:color="auto"/>
            <w:bottom w:val="none" w:sz="0" w:space="0" w:color="auto"/>
            <w:right w:val="none" w:sz="0" w:space="0" w:color="auto"/>
          </w:divBdr>
          <w:divsChild>
            <w:div w:id="185219598">
              <w:marLeft w:val="0"/>
              <w:marRight w:val="0"/>
              <w:marTop w:val="0"/>
              <w:marBottom w:val="0"/>
              <w:divBdr>
                <w:top w:val="none" w:sz="0" w:space="0" w:color="auto"/>
                <w:left w:val="none" w:sz="0" w:space="0" w:color="auto"/>
                <w:bottom w:val="none" w:sz="0" w:space="0" w:color="auto"/>
                <w:right w:val="none" w:sz="0" w:space="0" w:color="auto"/>
              </w:divBdr>
            </w:div>
            <w:div w:id="517476124">
              <w:marLeft w:val="0"/>
              <w:marRight w:val="0"/>
              <w:marTop w:val="0"/>
              <w:marBottom w:val="0"/>
              <w:divBdr>
                <w:top w:val="none" w:sz="0" w:space="0" w:color="auto"/>
                <w:left w:val="none" w:sz="0" w:space="0" w:color="auto"/>
                <w:bottom w:val="none" w:sz="0" w:space="0" w:color="auto"/>
                <w:right w:val="none" w:sz="0" w:space="0" w:color="auto"/>
              </w:divBdr>
            </w:div>
            <w:div w:id="1017124168">
              <w:marLeft w:val="0"/>
              <w:marRight w:val="0"/>
              <w:marTop w:val="0"/>
              <w:marBottom w:val="0"/>
              <w:divBdr>
                <w:top w:val="none" w:sz="0" w:space="0" w:color="auto"/>
                <w:left w:val="none" w:sz="0" w:space="0" w:color="auto"/>
                <w:bottom w:val="none" w:sz="0" w:space="0" w:color="auto"/>
                <w:right w:val="none" w:sz="0" w:space="0" w:color="auto"/>
              </w:divBdr>
            </w:div>
            <w:div w:id="1155877740">
              <w:marLeft w:val="0"/>
              <w:marRight w:val="0"/>
              <w:marTop w:val="0"/>
              <w:marBottom w:val="0"/>
              <w:divBdr>
                <w:top w:val="none" w:sz="0" w:space="0" w:color="auto"/>
                <w:left w:val="none" w:sz="0" w:space="0" w:color="auto"/>
                <w:bottom w:val="none" w:sz="0" w:space="0" w:color="auto"/>
                <w:right w:val="none" w:sz="0" w:space="0" w:color="auto"/>
              </w:divBdr>
            </w:div>
            <w:div w:id="1321617698">
              <w:marLeft w:val="0"/>
              <w:marRight w:val="0"/>
              <w:marTop w:val="0"/>
              <w:marBottom w:val="0"/>
              <w:divBdr>
                <w:top w:val="none" w:sz="0" w:space="0" w:color="auto"/>
                <w:left w:val="none" w:sz="0" w:space="0" w:color="auto"/>
                <w:bottom w:val="none" w:sz="0" w:space="0" w:color="auto"/>
                <w:right w:val="none" w:sz="0" w:space="0" w:color="auto"/>
              </w:divBdr>
            </w:div>
          </w:divsChild>
        </w:div>
        <w:div w:id="1133716415">
          <w:marLeft w:val="0"/>
          <w:marRight w:val="0"/>
          <w:marTop w:val="0"/>
          <w:marBottom w:val="0"/>
          <w:divBdr>
            <w:top w:val="none" w:sz="0" w:space="0" w:color="auto"/>
            <w:left w:val="none" w:sz="0" w:space="0" w:color="auto"/>
            <w:bottom w:val="none" w:sz="0" w:space="0" w:color="auto"/>
            <w:right w:val="none" w:sz="0" w:space="0" w:color="auto"/>
          </w:divBdr>
          <w:divsChild>
            <w:div w:id="17582003">
              <w:marLeft w:val="0"/>
              <w:marRight w:val="0"/>
              <w:marTop w:val="0"/>
              <w:marBottom w:val="0"/>
              <w:divBdr>
                <w:top w:val="none" w:sz="0" w:space="0" w:color="auto"/>
                <w:left w:val="none" w:sz="0" w:space="0" w:color="auto"/>
                <w:bottom w:val="none" w:sz="0" w:space="0" w:color="auto"/>
                <w:right w:val="none" w:sz="0" w:space="0" w:color="auto"/>
              </w:divBdr>
            </w:div>
            <w:div w:id="1543902112">
              <w:marLeft w:val="0"/>
              <w:marRight w:val="0"/>
              <w:marTop w:val="0"/>
              <w:marBottom w:val="0"/>
              <w:divBdr>
                <w:top w:val="none" w:sz="0" w:space="0" w:color="auto"/>
                <w:left w:val="none" w:sz="0" w:space="0" w:color="auto"/>
                <w:bottom w:val="none" w:sz="0" w:space="0" w:color="auto"/>
                <w:right w:val="none" w:sz="0" w:space="0" w:color="auto"/>
              </w:divBdr>
            </w:div>
          </w:divsChild>
        </w:div>
        <w:div w:id="1137189221">
          <w:marLeft w:val="0"/>
          <w:marRight w:val="0"/>
          <w:marTop w:val="0"/>
          <w:marBottom w:val="0"/>
          <w:divBdr>
            <w:top w:val="none" w:sz="0" w:space="0" w:color="auto"/>
            <w:left w:val="none" w:sz="0" w:space="0" w:color="auto"/>
            <w:bottom w:val="none" w:sz="0" w:space="0" w:color="auto"/>
            <w:right w:val="none" w:sz="0" w:space="0" w:color="auto"/>
          </w:divBdr>
          <w:divsChild>
            <w:div w:id="184292409">
              <w:marLeft w:val="0"/>
              <w:marRight w:val="0"/>
              <w:marTop w:val="0"/>
              <w:marBottom w:val="0"/>
              <w:divBdr>
                <w:top w:val="none" w:sz="0" w:space="0" w:color="auto"/>
                <w:left w:val="none" w:sz="0" w:space="0" w:color="auto"/>
                <w:bottom w:val="none" w:sz="0" w:space="0" w:color="auto"/>
                <w:right w:val="none" w:sz="0" w:space="0" w:color="auto"/>
              </w:divBdr>
            </w:div>
            <w:div w:id="364451193">
              <w:marLeft w:val="0"/>
              <w:marRight w:val="0"/>
              <w:marTop w:val="0"/>
              <w:marBottom w:val="0"/>
              <w:divBdr>
                <w:top w:val="none" w:sz="0" w:space="0" w:color="auto"/>
                <w:left w:val="none" w:sz="0" w:space="0" w:color="auto"/>
                <w:bottom w:val="none" w:sz="0" w:space="0" w:color="auto"/>
                <w:right w:val="none" w:sz="0" w:space="0" w:color="auto"/>
              </w:divBdr>
            </w:div>
            <w:div w:id="394201105">
              <w:marLeft w:val="0"/>
              <w:marRight w:val="0"/>
              <w:marTop w:val="0"/>
              <w:marBottom w:val="0"/>
              <w:divBdr>
                <w:top w:val="none" w:sz="0" w:space="0" w:color="auto"/>
                <w:left w:val="none" w:sz="0" w:space="0" w:color="auto"/>
                <w:bottom w:val="none" w:sz="0" w:space="0" w:color="auto"/>
                <w:right w:val="none" w:sz="0" w:space="0" w:color="auto"/>
              </w:divBdr>
            </w:div>
            <w:div w:id="547837166">
              <w:marLeft w:val="0"/>
              <w:marRight w:val="0"/>
              <w:marTop w:val="0"/>
              <w:marBottom w:val="0"/>
              <w:divBdr>
                <w:top w:val="none" w:sz="0" w:space="0" w:color="auto"/>
                <w:left w:val="none" w:sz="0" w:space="0" w:color="auto"/>
                <w:bottom w:val="none" w:sz="0" w:space="0" w:color="auto"/>
                <w:right w:val="none" w:sz="0" w:space="0" w:color="auto"/>
              </w:divBdr>
            </w:div>
            <w:div w:id="570576331">
              <w:marLeft w:val="0"/>
              <w:marRight w:val="0"/>
              <w:marTop w:val="0"/>
              <w:marBottom w:val="0"/>
              <w:divBdr>
                <w:top w:val="none" w:sz="0" w:space="0" w:color="auto"/>
                <w:left w:val="none" w:sz="0" w:space="0" w:color="auto"/>
                <w:bottom w:val="none" w:sz="0" w:space="0" w:color="auto"/>
                <w:right w:val="none" w:sz="0" w:space="0" w:color="auto"/>
              </w:divBdr>
            </w:div>
            <w:div w:id="581066432">
              <w:marLeft w:val="0"/>
              <w:marRight w:val="0"/>
              <w:marTop w:val="0"/>
              <w:marBottom w:val="0"/>
              <w:divBdr>
                <w:top w:val="none" w:sz="0" w:space="0" w:color="auto"/>
                <w:left w:val="none" w:sz="0" w:space="0" w:color="auto"/>
                <w:bottom w:val="none" w:sz="0" w:space="0" w:color="auto"/>
                <w:right w:val="none" w:sz="0" w:space="0" w:color="auto"/>
              </w:divBdr>
            </w:div>
            <w:div w:id="1153376621">
              <w:marLeft w:val="0"/>
              <w:marRight w:val="0"/>
              <w:marTop w:val="0"/>
              <w:marBottom w:val="0"/>
              <w:divBdr>
                <w:top w:val="none" w:sz="0" w:space="0" w:color="auto"/>
                <w:left w:val="none" w:sz="0" w:space="0" w:color="auto"/>
                <w:bottom w:val="none" w:sz="0" w:space="0" w:color="auto"/>
                <w:right w:val="none" w:sz="0" w:space="0" w:color="auto"/>
              </w:divBdr>
            </w:div>
            <w:div w:id="1353069528">
              <w:marLeft w:val="0"/>
              <w:marRight w:val="0"/>
              <w:marTop w:val="0"/>
              <w:marBottom w:val="0"/>
              <w:divBdr>
                <w:top w:val="none" w:sz="0" w:space="0" w:color="auto"/>
                <w:left w:val="none" w:sz="0" w:space="0" w:color="auto"/>
                <w:bottom w:val="none" w:sz="0" w:space="0" w:color="auto"/>
                <w:right w:val="none" w:sz="0" w:space="0" w:color="auto"/>
              </w:divBdr>
            </w:div>
            <w:div w:id="1406142238">
              <w:marLeft w:val="0"/>
              <w:marRight w:val="0"/>
              <w:marTop w:val="0"/>
              <w:marBottom w:val="0"/>
              <w:divBdr>
                <w:top w:val="none" w:sz="0" w:space="0" w:color="auto"/>
                <w:left w:val="none" w:sz="0" w:space="0" w:color="auto"/>
                <w:bottom w:val="none" w:sz="0" w:space="0" w:color="auto"/>
                <w:right w:val="none" w:sz="0" w:space="0" w:color="auto"/>
              </w:divBdr>
            </w:div>
            <w:div w:id="1475566179">
              <w:marLeft w:val="0"/>
              <w:marRight w:val="0"/>
              <w:marTop w:val="0"/>
              <w:marBottom w:val="0"/>
              <w:divBdr>
                <w:top w:val="none" w:sz="0" w:space="0" w:color="auto"/>
                <w:left w:val="none" w:sz="0" w:space="0" w:color="auto"/>
                <w:bottom w:val="none" w:sz="0" w:space="0" w:color="auto"/>
                <w:right w:val="none" w:sz="0" w:space="0" w:color="auto"/>
              </w:divBdr>
            </w:div>
            <w:div w:id="1577200510">
              <w:marLeft w:val="0"/>
              <w:marRight w:val="0"/>
              <w:marTop w:val="0"/>
              <w:marBottom w:val="0"/>
              <w:divBdr>
                <w:top w:val="none" w:sz="0" w:space="0" w:color="auto"/>
                <w:left w:val="none" w:sz="0" w:space="0" w:color="auto"/>
                <w:bottom w:val="none" w:sz="0" w:space="0" w:color="auto"/>
                <w:right w:val="none" w:sz="0" w:space="0" w:color="auto"/>
              </w:divBdr>
            </w:div>
            <w:div w:id="2099980873">
              <w:marLeft w:val="0"/>
              <w:marRight w:val="0"/>
              <w:marTop w:val="0"/>
              <w:marBottom w:val="0"/>
              <w:divBdr>
                <w:top w:val="none" w:sz="0" w:space="0" w:color="auto"/>
                <w:left w:val="none" w:sz="0" w:space="0" w:color="auto"/>
                <w:bottom w:val="none" w:sz="0" w:space="0" w:color="auto"/>
                <w:right w:val="none" w:sz="0" w:space="0" w:color="auto"/>
              </w:divBdr>
            </w:div>
            <w:div w:id="2120876675">
              <w:marLeft w:val="0"/>
              <w:marRight w:val="0"/>
              <w:marTop w:val="0"/>
              <w:marBottom w:val="0"/>
              <w:divBdr>
                <w:top w:val="none" w:sz="0" w:space="0" w:color="auto"/>
                <w:left w:val="none" w:sz="0" w:space="0" w:color="auto"/>
                <w:bottom w:val="none" w:sz="0" w:space="0" w:color="auto"/>
                <w:right w:val="none" w:sz="0" w:space="0" w:color="auto"/>
              </w:divBdr>
            </w:div>
          </w:divsChild>
        </w:div>
        <w:div w:id="1141312443">
          <w:marLeft w:val="0"/>
          <w:marRight w:val="0"/>
          <w:marTop w:val="0"/>
          <w:marBottom w:val="0"/>
          <w:divBdr>
            <w:top w:val="none" w:sz="0" w:space="0" w:color="auto"/>
            <w:left w:val="none" w:sz="0" w:space="0" w:color="auto"/>
            <w:bottom w:val="none" w:sz="0" w:space="0" w:color="auto"/>
            <w:right w:val="none" w:sz="0" w:space="0" w:color="auto"/>
          </w:divBdr>
          <w:divsChild>
            <w:div w:id="1261723887">
              <w:marLeft w:val="0"/>
              <w:marRight w:val="0"/>
              <w:marTop w:val="0"/>
              <w:marBottom w:val="0"/>
              <w:divBdr>
                <w:top w:val="none" w:sz="0" w:space="0" w:color="auto"/>
                <w:left w:val="none" w:sz="0" w:space="0" w:color="auto"/>
                <w:bottom w:val="none" w:sz="0" w:space="0" w:color="auto"/>
                <w:right w:val="none" w:sz="0" w:space="0" w:color="auto"/>
              </w:divBdr>
            </w:div>
            <w:div w:id="1940217334">
              <w:marLeft w:val="0"/>
              <w:marRight w:val="0"/>
              <w:marTop w:val="0"/>
              <w:marBottom w:val="0"/>
              <w:divBdr>
                <w:top w:val="none" w:sz="0" w:space="0" w:color="auto"/>
                <w:left w:val="none" w:sz="0" w:space="0" w:color="auto"/>
                <w:bottom w:val="none" w:sz="0" w:space="0" w:color="auto"/>
                <w:right w:val="none" w:sz="0" w:space="0" w:color="auto"/>
              </w:divBdr>
            </w:div>
          </w:divsChild>
        </w:div>
        <w:div w:id="1146243438">
          <w:marLeft w:val="0"/>
          <w:marRight w:val="0"/>
          <w:marTop w:val="0"/>
          <w:marBottom w:val="0"/>
          <w:divBdr>
            <w:top w:val="none" w:sz="0" w:space="0" w:color="auto"/>
            <w:left w:val="none" w:sz="0" w:space="0" w:color="auto"/>
            <w:bottom w:val="none" w:sz="0" w:space="0" w:color="auto"/>
            <w:right w:val="none" w:sz="0" w:space="0" w:color="auto"/>
          </w:divBdr>
          <w:divsChild>
            <w:div w:id="171989046">
              <w:marLeft w:val="0"/>
              <w:marRight w:val="0"/>
              <w:marTop w:val="0"/>
              <w:marBottom w:val="0"/>
              <w:divBdr>
                <w:top w:val="none" w:sz="0" w:space="0" w:color="auto"/>
                <w:left w:val="none" w:sz="0" w:space="0" w:color="auto"/>
                <w:bottom w:val="none" w:sz="0" w:space="0" w:color="auto"/>
                <w:right w:val="none" w:sz="0" w:space="0" w:color="auto"/>
              </w:divBdr>
            </w:div>
            <w:div w:id="247925303">
              <w:marLeft w:val="0"/>
              <w:marRight w:val="0"/>
              <w:marTop w:val="0"/>
              <w:marBottom w:val="0"/>
              <w:divBdr>
                <w:top w:val="none" w:sz="0" w:space="0" w:color="auto"/>
                <w:left w:val="none" w:sz="0" w:space="0" w:color="auto"/>
                <w:bottom w:val="none" w:sz="0" w:space="0" w:color="auto"/>
                <w:right w:val="none" w:sz="0" w:space="0" w:color="auto"/>
              </w:divBdr>
            </w:div>
            <w:div w:id="301234078">
              <w:marLeft w:val="0"/>
              <w:marRight w:val="0"/>
              <w:marTop w:val="0"/>
              <w:marBottom w:val="0"/>
              <w:divBdr>
                <w:top w:val="none" w:sz="0" w:space="0" w:color="auto"/>
                <w:left w:val="none" w:sz="0" w:space="0" w:color="auto"/>
                <w:bottom w:val="none" w:sz="0" w:space="0" w:color="auto"/>
                <w:right w:val="none" w:sz="0" w:space="0" w:color="auto"/>
              </w:divBdr>
            </w:div>
            <w:div w:id="346098856">
              <w:marLeft w:val="0"/>
              <w:marRight w:val="0"/>
              <w:marTop w:val="0"/>
              <w:marBottom w:val="0"/>
              <w:divBdr>
                <w:top w:val="none" w:sz="0" w:space="0" w:color="auto"/>
                <w:left w:val="none" w:sz="0" w:space="0" w:color="auto"/>
                <w:bottom w:val="none" w:sz="0" w:space="0" w:color="auto"/>
                <w:right w:val="none" w:sz="0" w:space="0" w:color="auto"/>
              </w:divBdr>
            </w:div>
            <w:div w:id="398596438">
              <w:marLeft w:val="0"/>
              <w:marRight w:val="0"/>
              <w:marTop w:val="0"/>
              <w:marBottom w:val="0"/>
              <w:divBdr>
                <w:top w:val="none" w:sz="0" w:space="0" w:color="auto"/>
                <w:left w:val="none" w:sz="0" w:space="0" w:color="auto"/>
                <w:bottom w:val="none" w:sz="0" w:space="0" w:color="auto"/>
                <w:right w:val="none" w:sz="0" w:space="0" w:color="auto"/>
              </w:divBdr>
            </w:div>
            <w:div w:id="518470271">
              <w:marLeft w:val="0"/>
              <w:marRight w:val="0"/>
              <w:marTop w:val="0"/>
              <w:marBottom w:val="0"/>
              <w:divBdr>
                <w:top w:val="none" w:sz="0" w:space="0" w:color="auto"/>
                <w:left w:val="none" w:sz="0" w:space="0" w:color="auto"/>
                <w:bottom w:val="none" w:sz="0" w:space="0" w:color="auto"/>
                <w:right w:val="none" w:sz="0" w:space="0" w:color="auto"/>
              </w:divBdr>
            </w:div>
            <w:div w:id="707492499">
              <w:marLeft w:val="0"/>
              <w:marRight w:val="0"/>
              <w:marTop w:val="0"/>
              <w:marBottom w:val="0"/>
              <w:divBdr>
                <w:top w:val="none" w:sz="0" w:space="0" w:color="auto"/>
                <w:left w:val="none" w:sz="0" w:space="0" w:color="auto"/>
                <w:bottom w:val="none" w:sz="0" w:space="0" w:color="auto"/>
                <w:right w:val="none" w:sz="0" w:space="0" w:color="auto"/>
              </w:divBdr>
            </w:div>
            <w:div w:id="1104957569">
              <w:marLeft w:val="0"/>
              <w:marRight w:val="0"/>
              <w:marTop w:val="0"/>
              <w:marBottom w:val="0"/>
              <w:divBdr>
                <w:top w:val="none" w:sz="0" w:space="0" w:color="auto"/>
                <w:left w:val="none" w:sz="0" w:space="0" w:color="auto"/>
                <w:bottom w:val="none" w:sz="0" w:space="0" w:color="auto"/>
                <w:right w:val="none" w:sz="0" w:space="0" w:color="auto"/>
              </w:divBdr>
            </w:div>
            <w:div w:id="1284536923">
              <w:marLeft w:val="0"/>
              <w:marRight w:val="0"/>
              <w:marTop w:val="0"/>
              <w:marBottom w:val="0"/>
              <w:divBdr>
                <w:top w:val="none" w:sz="0" w:space="0" w:color="auto"/>
                <w:left w:val="none" w:sz="0" w:space="0" w:color="auto"/>
                <w:bottom w:val="none" w:sz="0" w:space="0" w:color="auto"/>
                <w:right w:val="none" w:sz="0" w:space="0" w:color="auto"/>
              </w:divBdr>
            </w:div>
            <w:div w:id="1837767252">
              <w:marLeft w:val="0"/>
              <w:marRight w:val="0"/>
              <w:marTop w:val="0"/>
              <w:marBottom w:val="0"/>
              <w:divBdr>
                <w:top w:val="none" w:sz="0" w:space="0" w:color="auto"/>
                <w:left w:val="none" w:sz="0" w:space="0" w:color="auto"/>
                <w:bottom w:val="none" w:sz="0" w:space="0" w:color="auto"/>
                <w:right w:val="none" w:sz="0" w:space="0" w:color="auto"/>
              </w:divBdr>
            </w:div>
            <w:div w:id="2027901339">
              <w:marLeft w:val="0"/>
              <w:marRight w:val="0"/>
              <w:marTop w:val="0"/>
              <w:marBottom w:val="0"/>
              <w:divBdr>
                <w:top w:val="none" w:sz="0" w:space="0" w:color="auto"/>
                <w:left w:val="none" w:sz="0" w:space="0" w:color="auto"/>
                <w:bottom w:val="none" w:sz="0" w:space="0" w:color="auto"/>
                <w:right w:val="none" w:sz="0" w:space="0" w:color="auto"/>
              </w:divBdr>
            </w:div>
            <w:div w:id="2068650503">
              <w:marLeft w:val="0"/>
              <w:marRight w:val="0"/>
              <w:marTop w:val="0"/>
              <w:marBottom w:val="0"/>
              <w:divBdr>
                <w:top w:val="none" w:sz="0" w:space="0" w:color="auto"/>
                <w:left w:val="none" w:sz="0" w:space="0" w:color="auto"/>
                <w:bottom w:val="none" w:sz="0" w:space="0" w:color="auto"/>
                <w:right w:val="none" w:sz="0" w:space="0" w:color="auto"/>
              </w:divBdr>
            </w:div>
            <w:div w:id="2090731627">
              <w:marLeft w:val="0"/>
              <w:marRight w:val="0"/>
              <w:marTop w:val="0"/>
              <w:marBottom w:val="0"/>
              <w:divBdr>
                <w:top w:val="none" w:sz="0" w:space="0" w:color="auto"/>
                <w:left w:val="none" w:sz="0" w:space="0" w:color="auto"/>
                <w:bottom w:val="none" w:sz="0" w:space="0" w:color="auto"/>
                <w:right w:val="none" w:sz="0" w:space="0" w:color="auto"/>
              </w:divBdr>
            </w:div>
          </w:divsChild>
        </w:div>
        <w:div w:id="1148474850">
          <w:marLeft w:val="0"/>
          <w:marRight w:val="0"/>
          <w:marTop w:val="0"/>
          <w:marBottom w:val="0"/>
          <w:divBdr>
            <w:top w:val="none" w:sz="0" w:space="0" w:color="auto"/>
            <w:left w:val="none" w:sz="0" w:space="0" w:color="auto"/>
            <w:bottom w:val="none" w:sz="0" w:space="0" w:color="auto"/>
            <w:right w:val="none" w:sz="0" w:space="0" w:color="auto"/>
          </w:divBdr>
          <w:divsChild>
            <w:div w:id="101848024">
              <w:marLeft w:val="0"/>
              <w:marRight w:val="0"/>
              <w:marTop w:val="0"/>
              <w:marBottom w:val="0"/>
              <w:divBdr>
                <w:top w:val="none" w:sz="0" w:space="0" w:color="auto"/>
                <w:left w:val="none" w:sz="0" w:space="0" w:color="auto"/>
                <w:bottom w:val="none" w:sz="0" w:space="0" w:color="auto"/>
                <w:right w:val="none" w:sz="0" w:space="0" w:color="auto"/>
              </w:divBdr>
            </w:div>
            <w:div w:id="904071871">
              <w:marLeft w:val="0"/>
              <w:marRight w:val="0"/>
              <w:marTop w:val="0"/>
              <w:marBottom w:val="0"/>
              <w:divBdr>
                <w:top w:val="none" w:sz="0" w:space="0" w:color="auto"/>
                <w:left w:val="none" w:sz="0" w:space="0" w:color="auto"/>
                <w:bottom w:val="none" w:sz="0" w:space="0" w:color="auto"/>
                <w:right w:val="none" w:sz="0" w:space="0" w:color="auto"/>
              </w:divBdr>
            </w:div>
            <w:div w:id="1516580945">
              <w:marLeft w:val="0"/>
              <w:marRight w:val="0"/>
              <w:marTop w:val="0"/>
              <w:marBottom w:val="0"/>
              <w:divBdr>
                <w:top w:val="none" w:sz="0" w:space="0" w:color="auto"/>
                <w:left w:val="none" w:sz="0" w:space="0" w:color="auto"/>
                <w:bottom w:val="none" w:sz="0" w:space="0" w:color="auto"/>
                <w:right w:val="none" w:sz="0" w:space="0" w:color="auto"/>
              </w:divBdr>
            </w:div>
          </w:divsChild>
        </w:div>
        <w:div w:id="1159612298">
          <w:marLeft w:val="0"/>
          <w:marRight w:val="0"/>
          <w:marTop w:val="0"/>
          <w:marBottom w:val="0"/>
          <w:divBdr>
            <w:top w:val="none" w:sz="0" w:space="0" w:color="auto"/>
            <w:left w:val="none" w:sz="0" w:space="0" w:color="auto"/>
            <w:bottom w:val="none" w:sz="0" w:space="0" w:color="auto"/>
            <w:right w:val="none" w:sz="0" w:space="0" w:color="auto"/>
          </w:divBdr>
          <w:divsChild>
            <w:div w:id="496307158">
              <w:marLeft w:val="0"/>
              <w:marRight w:val="0"/>
              <w:marTop w:val="0"/>
              <w:marBottom w:val="0"/>
              <w:divBdr>
                <w:top w:val="none" w:sz="0" w:space="0" w:color="auto"/>
                <w:left w:val="none" w:sz="0" w:space="0" w:color="auto"/>
                <w:bottom w:val="none" w:sz="0" w:space="0" w:color="auto"/>
                <w:right w:val="none" w:sz="0" w:space="0" w:color="auto"/>
              </w:divBdr>
            </w:div>
            <w:div w:id="651913886">
              <w:marLeft w:val="0"/>
              <w:marRight w:val="0"/>
              <w:marTop w:val="0"/>
              <w:marBottom w:val="0"/>
              <w:divBdr>
                <w:top w:val="none" w:sz="0" w:space="0" w:color="auto"/>
                <w:left w:val="none" w:sz="0" w:space="0" w:color="auto"/>
                <w:bottom w:val="none" w:sz="0" w:space="0" w:color="auto"/>
                <w:right w:val="none" w:sz="0" w:space="0" w:color="auto"/>
              </w:divBdr>
            </w:div>
          </w:divsChild>
        </w:div>
        <w:div w:id="1163861283">
          <w:marLeft w:val="0"/>
          <w:marRight w:val="0"/>
          <w:marTop w:val="0"/>
          <w:marBottom w:val="0"/>
          <w:divBdr>
            <w:top w:val="none" w:sz="0" w:space="0" w:color="auto"/>
            <w:left w:val="none" w:sz="0" w:space="0" w:color="auto"/>
            <w:bottom w:val="none" w:sz="0" w:space="0" w:color="auto"/>
            <w:right w:val="none" w:sz="0" w:space="0" w:color="auto"/>
          </w:divBdr>
          <w:divsChild>
            <w:div w:id="1488858103">
              <w:marLeft w:val="0"/>
              <w:marRight w:val="0"/>
              <w:marTop w:val="0"/>
              <w:marBottom w:val="0"/>
              <w:divBdr>
                <w:top w:val="none" w:sz="0" w:space="0" w:color="auto"/>
                <w:left w:val="none" w:sz="0" w:space="0" w:color="auto"/>
                <w:bottom w:val="none" w:sz="0" w:space="0" w:color="auto"/>
                <w:right w:val="none" w:sz="0" w:space="0" w:color="auto"/>
              </w:divBdr>
            </w:div>
          </w:divsChild>
        </w:div>
        <w:div w:id="1179124623">
          <w:marLeft w:val="0"/>
          <w:marRight w:val="0"/>
          <w:marTop w:val="0"/>
          <w:marBottom w:val="0"/>
          <w:divBdr>
            <w:top w:val="none" w:sz="0" w:space="0" w:color="auto"/>
            <w:left w:val="none" w:sz="0" w:space="0" w:color="auto"/>
            <w:bottom w:val="none" w:sz="0" w:space="0" w:color="auto"/>
            <w:right w:val="none" w:sz="0" w:space="0" w:color="auto"/>
          </w:divBdr>
          <w:divsChild>
            <w:div w:id="745148297">
              <w:marLeft w:val="0"/>
              <w:marRight w:val="0"/>
              <w:marTop w:val="0"/>
              <w:marBottom w:val="0"/>
              <w:divBdr>
                <w:top w:val="none" w:sz="0" w:space="0" w:color="auto"/>
                <w:left w:val="none" w:sz="0" w:space="0" w:color="auto"/>
                <w:bottom w:val="none" w:sz="0" w:space="0" w:color="auto"/>
                <w:right w:val="none" w:sz="0" w:space="0" w:color="auto"/>
              </w:divBdr>
            </w:div>
            <w:div w:id="2134670403">
              <w:marLeft w:val="0"/>
              <w:marRight w:val="0"/>
              <w:marTop w:val="0"/>
              <w:marBottom w:val="0"/>
              <w:divBdr>
                <w:top w:val="none" w:sz="0" w:space="0" w:color="auto"/>
                <w:left w:val="none" w:sz="0" w:space="0" w:color="auto"/>
                <w:bottom w:val="none" w:sz="0" w:space="0" w:color="auto"/>
                <w:right w:val="none" w:sz="0" w:space="0" w:color="auto"/>
              </w:divBdr>
            </w:div>
          </w:divsChild>
        </w:div>
        <w:div w:id="1181624237">
          <w:marLeft w:val="0"/>
          <w:marRight w:val="0"/>
          <w:marTop w:val="0"/>
          <w:marBottom w:val="0"/>
          <w:divBdr>
            <w:top w:val="none" w:sz="0" w:space="0" w:color="auto"/>
            <w:left w:val="none" w:sz="0" w:space="0" w:color="auto"/>
            <w:bottom w:val="none" w:sz="0" w:space="0" w:color="auto"/>
            <w:right w:val="none" w:sz="0" w:space="0" w:color="auto"/>
          </w:divBdr>
          <w:divsChild>
            <w:div w:id="1647662835">
              <w:marLeft w:val="0"/>
              <w:marRight w:val="0"/>
              <w:marTop w:val="0"/>
              <w:marBottom w:val="0"/>
              <w:divBdr>
                <w:top w:val="none" w:sz="0" w:space="0" w:color="auto"/>
                <w:left w:val="none" w:sz="0" w:space="0" w:color="auto"/>
                <w:bottom w:val="none" w:sz="0" w:space="0" w:color="auto"/>
                <w:right w:val="none" w:sz="0" w:space="0" w:color="auto"/>
              </w:divBdr>
            </w:div>
          </w:divsChild>
        </w:div>
        <w:div w:id="1194272664">
          <w:marLeft w:val="0"/>
          <w:marRight w:val="0"/>
          <w:marTop w:val="0"/>
          <w:marBottom w:val="0"/>
          <w:divBdr>
            <w:top w:val="none" w:sz="0" w:space="0" w:color="auto"/>
            <w:left w:val="none" w:sz="0" w:space="0" w:color="auto"/>
            <w:bottom w:val="none" w:sz="0" w:space="0" w:color="auto"/>
            <w:right w:val="none" w:sz="0" w:space="0" w:color="auto"/>
          </w:divBdr>
          <w:divsChild>
            <w:div w:id="1636836166">
              <w:marLeft w:val="0"/>
              <w:marRight w:val="0"/>
              <w:marTop w:val="0"/>
              <w:marBottom w:val="0"/>
              <w:divBdr>
                <w:top w:val="none" w:sz="0" w:space="0" w:color="auto"/>
                <w:left w:val="none" w:sz="0" w:space="0" w:color="auto"/>
                <w:bottom w:val="none" w:sz="0" w:space="0" w:color="auto"/>
                <w:right w:val="none" w:sz="0" w:space="0" w:color="auto"/>
              </w:divBdr>
            </w:div>
          </w:divsChild>
        </w:div>
        <w:div w:id="1195801000">
          <w:marLeft w:val="0"/>
          <w:marRight w:val="0"/>
          <w:marTop w:val="0"/>
          <w:marBottom w:val="0"/>
          <w:divBdr>
            <w:top w:val="none" w:sz="0" w:space="0" w:color="auto"/>
            <w:left w:val="none" w:sz="0" w:space="0" w:color="auto"/>
            <w:bottom w:val="none" w:sz="0" w:space="0" w:color="auto"/>
            <w:right w:val="none" w:sz="0" w:space="0" w:color="auto"/>
          </w:divBdr>
          <w:divsChild>
            <w:div w:id="202599478">
              <w:marLeft w:val="0"/>
              <w:marRight w:val="0"/>
              <w:marTop w:val="0"/>
              <w:marBottom w:val="0"/>
              <w:divBdr>
                <w:top w:val="none" w:sz="0" w:space="0" w:color="auto"/>
                <w:left w:val="none" w:sz="0" w:space="0" w:color="auto"/>
                <w:bottom w:val="none" w:sz="0" w:space="0" w:color="auto"/>
                <w:right w:val="none" w:sz="0" w:space="0" w:color="auto"/>
              </w:divBdr>
            </w:div>
            <w:div w:id="834418345">
              <w:marLeft w:val="0"/>
              <w:marRight w:val="0"/>
              <w:marTop w:val="0"/>
              <w:marBottom w:val="0"/>
              <w:divBdr>
                <w:top w:val="none" w:sz="0" w:space="0" w:color="auto"/>
                <w:left w:val="none" w:sz="0" w:space="0" w:color="auto"/>
                <w:bottom w:val="none" w:sz="0" w:space="0" w:color="auto"/>
                <w:right w:val="none" w:sz="0" w:space="0" w:color="auto"/>
              </w:divBdr>
            </w:div>
            <w:div w:id="1408571441">
              <w:marLeft w:val="0"/>
              <w:marRight w:val="0"/>
              <w:marTop w:val="0"/>
              <w:marBottom w:val="0"/>
              <w:divBdr>
                <w:top w:val="none" w:sz="0" w:space="0" w:color="auto"/>
                <w:left w:val="none" w:sz="0" w:space="0" w:color="auto"/>
                <w:bottom w:val="none" w:sz="0" w:space="0" w:color="auto"/>
                <w:right w:val="none" w:sz="0" w:space="0" w:color="auto"/>
              </w:divBdr>
            </w:div>
            <w:div w:id="1418206780">
              <w:marLeft w:val="0"/>
              <w:marRight w:val="0"/>
              <w:marTop w:val="0"/>
              <w:marBottom w:val="0"/>
              <w:divBdr>
                <w:top w:val="none" w:sz="0" w:space="0" w:color="auto"/>
                <w:left w:val="none" w:sz="0" w:space="0" w:color="auto"/>
                <w:bottom w:val="none" w:sz="0" w:space="0" w:color="auto"/>
                <w:right w:val="none" w:sz="0" w:space="0" w:color="auto"/>
              </w:divBdr>
            </w:div>
            <w:div w:id="1648167982">
              <w:marLeft w:val="0"/>
              <w:marRight w:val="0"/>
              <w:marTop w:val="0"/>
              <w:marBottom w:val="0"/>
              <w:divBdr>
                <w:top w:val="none" w:sz="0" w:space="0" w:color="auto"/>
                <w:left w:val="none" w:sz="0" w:space="0" w:color="auto"/>
                <w:bottom w:val="none" w:sz="0" w:space="0" w:color="auto"/>
                <w:right w:val="none" w:sz="0" w:space="0" w:color="auto"/>
              </w:divBdr>
            </w:div>
            <w:div w:id="1782987992">
              <w:marLeft w:val="0"/>
              <w:marRight w:val="0"/>
              <w:marTop w:val="0"/>
              <w:marBottom w:val="0"/>
              <w:divBdr>
                <w:top w:val="none" w:sz="0" w:space="0" w:color="auto"/>
                <w:left w:val="none" w:sz="0" w:space="0" w:color="auto"/>
                <w:bottom w:val="none" w:sz="0" w:space="0" w:color="auto"/>
                <w:right w:val="none" w:sz="0" w:space="0" w:color="auto"/>
              </w:divBdr>
            </w:div>
            <w:div w:id="1976372180">
              <w:marLeft w:val="0"/>
              <w:marRight w:val="0"/>
              <w:marTop w:val="0"/>
              <w:marBottom w:val="0"/>
              <w:divBdr>
                <w:top w:val="none" w:sz="0" w:space="0" w:color="auto"/>
                <w:left w:val="none" w:sz="0" w:space="0" w:color="auto"/>
                <w:bottom w:val="none" w:sz="0" w:space="0" w:color="auto"/>
                <w:right w:val="none" w:sz="0" w:space="0" w:color="auto"/>
              </w:divBdr>
            </w:div>
            <w:div w:id="2025470212">
              <w:marLeft w:val="0"/>
              <w:marRight w:val="0"/>
              <w:marTop w:val="0"/>
              <w:marBottom w:val="0"/>
              <w:divBdr>
                <w:top w:val="none" w:sz="0" w:space="0" w:color="auto"/>
                <w:left w:val="none" w:sz="0" w:space="0" w:color="auto"/>
                <w:bottom w:val="none" w:sz="0" w:space="0" w:color="auto"/>
                <w:right w:val="none" w:sz="0" w:space="0" w:color="auto"/>
              </w:divBdr>
            </w:div>
          </w:divsChild>
        </w:div>
        <w:div w:id="1205097310">
          <w:marLeft w:val="0"/>
          <w:marRight w:val="0"/>
          <w:marTop w:val="0"/>
          <w:marBottom w:val="0"/>
          <w:divBdr>
            <w:top w:val="none" w:sz="0" w:space="0" w:color="auto"/>
            <w:left w:val="none" w:sz="0" w:space="0" w:color="auto"/>
            <w:bottom w:val="none" w:sz="0" w:space="0" w:color="auto"/>
            <w:right w:val="none" w:sz="0" w:space="0" w:color="auto"/>
          </w:divBdr>
          <w:divsChild>
            <w:div w:id="98069500">
              <w:marLeft w:val="0"/>
              <w:marRight w:val="0"/>
              <w:marTop w:val="0"/>
              <w:marBottom w:val="0"/>
              <w:divBdr>
                <w:top w:val="none" w:sz="0" w:space="0" w:color="auto"/>
                <w:left w:val="none" w:sz="0" w:space="0" w:color="auto"/>
                <w:bottom w:val="none" w:sz="0" w:space="0" w:color="auto"/>
                <w:right w:val="none" w:sz="0" w:space="0" w:color="auto"/>
              </w:divBdr>
            </w:div>
            <w:div w:id="702899667">
              <w:marLeft w:val="0"/>
              <w:marRight w:val="0"/>
              <w:marTop w:val="0"/>
              <w:marBottom w:val="0"/>
              <w:divBdr>
                <w:top w:val="none" w:sz="0" w:space="0" w:color="auto"/>
                <w:left w:val="none" w:sz="0" w:space="0" w:color="auto"/>
                <w:bottom w:val="none" w:sz="0" w:space="0" w:color="auto"/>
                <w:right w:val="none" w:sz="0" w:space="0" w:color="auto"/>
              </w:divBdr>
            </w:div>
            <w:div w:id="1276711874">
              <w:marLeft w:val="0"/>
              <w:marRight w:val="0"/>
              <w:marTop w:val="0"/>
              <w:marBottom w:val="0"/>
              <w:divBdr>
                <w:top w:val="none" w:sz="0" w:space="0" w:color="auto"/>
                <w:left w:val="none" w:sz="0" w:space="0" w:color="auto"/>
                <w:bottom w:val="none" w:sz="0" w:space="0" w:color="auto"/>
                <w:right w:val="none" w:sz="0" w:space="0" w:color="auto"/>
              </w:divBdr>
            </w:div>
            <w:div w:id="1480682388">
              <w:marLeft w:val="0"/>
              <w:marRight w:val="0"/>
              <w:marTop w:val="0"/>
              <w:marBottom w:val="0"/>
              <w:divBdr>
                <w:top w:val="none" w:sz="0" w:space="0" w:color="auto"/>
                <w:left w:val="none" w:sz="0" w:space="0" w:color="auto"/>
                <w:bottom w:val="none" w:sz="0" w:space="0" w:color="auto"/>
                <w:right w:val="none" w:sz="0" w:space="0" w:color="auto"/>
              </w:divBdr>
            </w:div>
            <w:div w:id="2025475507">
              <w:marLeft w:val="0"/>
              <w:marRight w:val="0"/>
              <w:marTop w:val="0"/>
              <w:marBottom w:val="0"/>
              <w:divBdr>
                <w:top w:val="none" w:sz="0" w:space="0" w:color="auto"/>
                <w:left w:val="none" w:sz="0" w:space="0" w:color="auto"/>
                <w:bottom w:val="none" w:sz="0" w:space="0" w:color="auto"/>
                <w:right w:val="none" w:sz="0" w:space="0" w:color="auto"/>
              </w:divBdr>
            </w:div>
          </w:divsChild>
        </w:div>
        <w:div w:id="1205751132">
          <w:marLeft w:val="0"/>
          <w:marRight w:val="0"/>
          <w:marTop w:val="0"/>
          <w:marBottom w:val="0"/>
          <w:divBdr>
            <w:top w:val="none" w:sz="0" w:space="0" w:color="auto"/>
            <w:left w:val="none" w:sz="0" w:space="0" w:color="auto"/>
            <w:bottom w:val="none" w:sz="0" w:space="0" w:color="auto"/>
            <w:right w:val="none" w:sz="0" w:space="0" w:color="auto"/>
          </w:divBdr>
          <w:divsChild>
            <w:div w:id="1152602249">
              <w:marLeft w:val="0"/>
              <w:marRight w:val="0"/>
              <w:marTop w:val="0"/>
              <w:marBottom w:val="0"/>
              <w:divBdr>
                <w:top w:val="none" w:sz="0" w:space="0" w:color="auto"/>
                <w:left w:val="none" w:sz="0" w:space="0" w:color="auto"/>
                <w:bottom w:val="none" w:sz="0" w:space="0" w:color="auto"/>
                <w:right w:val="none" w:sz="0" w:space="0" w:color="auto"/>
              </w:divBdr>
            </w:div>
          </w:divsChild>
        </w:div>
        <w:div w:id="1212159539">
          <w:marLeft w:val="0"/>
          <w:marRight w:val="0"/>
          <w:marTop w:val="0"/>
          <w:marBottom w:val="0"/>
          <w:divBdr>
            <w:top w:val="none" w:sz="0" w:space="0" w:color="auto"/>
            <w:left w:val="none" w:sz="0" w:space="0" w:color="auto"/>
            <w:bottom w:val="none" w:sz="0" w:space="0" w:color="auto"/>
            <w:right w:val="none" w:sz="0" w:space="0" w:color="auto"/>
          </w:divBdr>
          <w:divsChild>
            <w:div w:id="104428694">
              <w:marLeft w:val="0"/>
              <w:marRight w:val="0"/>
              <w:marTop w:val="0"/>
              <w:marBottom w:val="0"/>
              <w:divBdr>
                <w:top w:val="none" w:sz="0" w:space="0" w:color="auto"/>
                <w:left w:val="none" w:sz="0" w:space="0" w:color="auto"/>
                <w:bottom w:val="none" w:sz="0" w:space="0" w:color="auto"/>
                <w:right w:val="none" w:sz="0" w:space="0" w:color="auto"/>
              </w:divBdr>
            </w:div>
            <w:div w:id="1590651051">
              <w:marLeft w:val="0"/>
              <w:marRight w:val="0"/>
              <w:marTop w:val="0"/>
              <w:marBottom w:val="0"/>
              <w:divBdr>
                <w:top w:val="none" w:sz="0" w:space="0" w:color="auto"/>
                <w:left w:val="none" w:sz="0" w:space="0" w:color="auto"/>
                <w:bottom w:val="none" w:sz="0" w:space="0" w:color="auto"/>
                <w:right w:val="none" w:sz="0" w:space="0" w:color="auto"/>
              </w:divBdr>
            </w:div>
          </w:divsChild>
        </w:div>
        <w:div w:id="1238444916">
          <w:marLeft w:val="0"/>
          <w:marRight w:val="0"/>
          <w:marTop w:val="0"/>
          <w:marBottom w:val="0"/>
          <w:divBdr>
            <w:top w:val="none" w:sz="0" w:space="0" w:color="auto"/>
            <w:left w:val="none" w:sz="0" w:space="0" w:color="auto"/>
            <w:bottom w:val="none" w:sz="0" w:space="0" w:color="auto"/>
            <w:right w:val="none" w:sz="0" w:space="0" w:color="auto"/>
          </w:divBdr>
          <w:divsChild>
            <w:div w:id="584072371">
              <w:marLeft w:val="0"/>
              <w:marRight w:val="0"/>
              <w:marTop w:val="0"/>
              <w:marBottom w:val="0"/>
              <w:divBdr>
                <w:top w:val="none" w:sz="0" w:space="0" w:color="auto"/>
                <w:left w:val="none" w:sz="0" w:space="0" w:color="auto"/>
                <w:bottom w:val="none" w:sz="0" w:space="0" w:color="auto"/>
                <w:right w:val="none" w:sz="0" w:space="0" w:color="auto"/>
              </w:divBdr>
            </w:div>
            <w:div w:id="800732948">
              <w:marLeft w:val="0"/>
              <w:marRight w:val="0"/>
              <w:marTop w:val="0"/>
              <w:marBottom w:val="0"/>
              <w:divBdr>
                <w:top w:val="none" w:sz="0" w:space="0" w:color="auto"/>
                <w:left w:val="none" w:sz="0" w:space="0" w:color="auto"/>
                <w:bottom w:val="none" w:sz="0" w:space="0" w:color="auto"/>
                <w:right w:val="none" w:sz="0" w:space="0" w:color="auto"/>
              </w:divBdr>
            </w:div>
          </w:divsChild>
        </w:div>
        <w:div w:id="1241527798">
          <w:marLeft w:val="0"/>
          <w:marRight w:val="0"/>
          <w:marTop w:val="0"/>
          <w:marBottom w:val="0"/>
          <w:divBdr>
            <w:top w:val="none" w:sz="0" w:space="0" w:color="auto"/>
            <w:left w:val="none" w:sz="0" w:space="0" w:color="auto"/>
            <w:bottom w:val="none" w:sz="0" w:space="0" w:color="auto"/>
            <w:right w:val="none" w:sz="0" w:space="0" w:color="auto"/>
          </w:divBdr>
          <w:divsChild>
            <w:div w:id="612787629">
              <w:marLeft w:val="0"/>
              <w:marRight w:val="0"/>
              <w:marTop w:val="0"/>
              <w:marBottom w:val="0"/>
              <w:divBdr>
                <w:top w:val="none" w:sz="0" w:space="0" w:color="auto"/>
                <w:left w:val="none" w:sz="0" w:space="0" w:color="auto"/>
                <w:bottom w:val="none" w:sz="0" w:space="0" w:color="auto"/>
                <w:right w:val="none" w:sz="0" w:space="0" w:color="auto"/>
              </w:divBdr>
            </w:div>
            <w:div w:id="658659121">
              <w:marLeft w:val="0"/>
              <w:marRight w:val="0"/>
              <w:marTop w:val="0"/>
              <w:marBottom w:val="0"/>
              <w:divBdr>
                <w:top w:val="none" w:sz="0" w:space="0" w:color="auto"/>
                <w:left w:val="none" w:sz="0" w:space="0" w:color="auto"/>
                <w:bottom w:val="none" w:sz="0" w:space="0" w:color="auto"/>
                <w:right w:val="none" w:sz="0" w:space="0" w:color="auto"/>
              </w:divBdr>
            </w:div>
            <w:div w:id="1137187240">
              <w:marLeft w:val="0"/>
              <w:marRight w:val="0"/>
              <w:marTop w:val="0"/>
              <w:marBottom w:val="0"/>
              <w:divBdr>
                <w:top w:val="none" w:sz="0" w:space="0" w:color="auto"/>
                <w:left w:val="none" w:sz="0" w:space="0" w:color="auto"/>
                <w:bottom w:val="none" w:sz="0" w:space="0" w:color="auto"/>
                <w:right w:val="none" w:sz="0" w:space="0" w:color="auto"/>
              </w:divBdr>
            </w:div>
          </w:divsChild>
        </w:div>
        <w:div w:id="1243563618">
          <w:marLeft w:val="0"/>
          <w:marRight w:val="0"/>
          <w:marTop w:val="0"/>
          <w:marBottom w:val="0"/>
          <w:divBdr>
            <w:top w:val="none" w:sz="0" w:space="0" w:color="auto"/>
            <w:left w:val="none" w:sz="0" w:space="0" w:color="auto"/>
            <w:bottom w:val="none" w:sz="0" w:space="0" w:color="auto"/>
            <w:right w:val="none" w:sz="0" w:space="0" w:color="auto"/>
          </w:divBdr>
          <w:divsChild>
            <w:div w:id="13188032">
              <w:marLeft w:val="0"/>
              <w:marRight w:val="0"/>
              <w:marTop w:val="0"/>
              <w:marBottom w:val="0"/>
              <w:divBdr>
                <w:top w:val="none" w:sz="0" w:space="0" w:color="auto"/>
                <w:left w:val="none" w:sz="0" w:space="0" w:color="auto"/>
                <w:bottom w:val="none" w:sz="0" w:space="0" w:color="auto"/>
                <w:right w:val="none" w:sz="0" w:space="0" w:color="auto"/>
              </w:divBdr>
            </w:div>
          </w:divsChild>
        </w:div>
        <w:div w:id="1248228023">
          <w:marLeft w:val="0"/>
          <w:marRight w:val="0"/>
          <w:marTop w:val="0"/>
          <w:marBottom w:val="0"/>
          <w:divBdr>
            <w:top w:val="none" w:sz="0" w:space="0" w:color="auto"/>
            <w:left w:val="none" w:sz="0" w:space="0" w:color="auto"/>
            <w:bottom w:val="none" w:sz="0" w:space="0" w:color="auto"/>
            <w:right w:val="none" w:sz="0" w:space="0" w:color="auto"/>
          </w:divBdr>
          <w:divsChild>
            <w:div w:id="19553349">
              <w:marLeft w:val="0"/>
              <w:marRight w:val="0"/>
              <w:marTop w:val="0"/>
              <w:marBottom w:val="0"/>
              <w:divBdr>
                <w:top w:val="none" w:sz="0" w:space="0" w:color="auto"/>
                <w:left w:val="none" w:sz="0" w:space="0" w:color="auto"/>
                <w:bottom w:val="none" w:sz="0" w:space="0" w:color="auto"/>
                <w:right w:val="none" w:sz="0" w:space="0" w:color="auto"/>
              </w:divBdr>
            </w:div>
            <w:div w:id="238561554">
              <w:marLeft w:val="0"/>
              <w:marRight w:val="0"/>
              <w:marTop w:val="0"/>
              <w:marBottom w:val="0"/>
              <w:divBdr>
                <w:top w:val="none" w:sz="0" w:space="0" w:color="auto"/>
                <w:left w:val="none" w:sz="0" w:space="0" w:color="auto"/>
                <w:bottom w:val="none" w:sz="0" w:space="0" w:color="auto"/>
                <w:right w:val="none" w:sz="0" w:space="0" w:color="auto"/>
              </w:divBdr>
            </w:div>
            <w:div w:id="594291810">
              <w:marLeft w:val="0"/>
              <w:marRight w:val="0"/>
              <w:marTop w:val="0"/>
              <w:marBottom w:val="0"/>
              <w:divBdr>
                <w:top w:val="none" w:sz="0" w:space="0" w:color="auto"/>
                <w:left w:val="none" w:sz="0" w:space="0" w:color="auto"/>
                <w:bottom w:val="none" w:sz="0" w:space="0" w:color="auto"/>
                <w:right w:val="none" w:sz="0" w:space="0" w:color="auto"/>
              </w:divBdr>
            </w:div>
            <w:div w:id="730469751">
              <w:marLeft w:val="0"/>
              <w:marRight w:val="0"/>
              <w:marTop w:val="0"/>
              <w:marBottom w:val="0"/>
              <w:divBdr>
                <w:top w:val="none" w:sz="0" w:space="0" w:color="auto"/>
                <w:left w:val="none" w:sz="0" w:space="0" w:color="auto"/>
                <w:bottom w:val="none" w:sz="0" w:space="0" w:color="auto"/>
                <w:right w:val="none" w:sz="0" w:space="0" w:color="auto"/>
              </w:divBdr>
            </w:div>
            <w:div w:id="869954141">
              <w:marLeft w:val="0"/>
              <w:marRight w:val="0"/>
              <w:marTop w:val="0"/>
              <w:marBottom w:val="0"/>
              <w:divBdr>
                <w:top w:val="none" w:sz="0" w:space="0" w:color="auto"/>
                <w:left w:val="none" w:sz="0" w:space="0" w:color="auto"/>
                <w:bottom w:val="none" w:sz="0" w:space="0" w:color="auto"/>
                <w:right w:val="none" w:sz="0" w:space="0" w:color="auto"/>
              </w:divBdr>
            </w:div>
            <w:div w:id="1498035643">
              <w:marLeft w:val="0"/>
              <w:marRight w:val="0"/>
              <w:marTop w:val="0"/>
              <w:marBottom w:val="0"/>
              <w:divBdr>
                <w:top w:val="none" w:sz="0" w:space="0" w:color="auto"/>
                <w:left w:val="none" w:sz="0" w:space="0" w:color="auto"/>
                <w:bottom w:val="none" w:sz="0" w:space="0" w:color="auto"/>
                <w:right w:val="none" w:sz="0" w:space="0" w:color="auto"/>
              </w:divBdr>
            </w:div>
            <w:div w:id="1648629676">
              <w:marLeft w:val="0"/>
              <w:marRight w:val="0"/>
              <w:marTop w:val="0"/>
              <w:marBottom w:val="0"/>
              <w:divBdr>
                <w:top w:val="none" w:sz="0" w:space="0" w:color="auto"/>
                <w:left w:val="none" w:sz="0" w:space="0" w:color="auto"/>
                <w:bottom w:val="none" w:sz="0" w:space="0" w:color="auto"/>
                <w:right w:val="none" w:sz="0" w:space="0" w:color="auto"/>
              </w:divBdr>
            </w:div>
          </w:divsChild>
        </w:div>
        <w:div w:id="1257204624">
          <w:marLeft w:val="0"/>
          <w:marRight w:val="0"/>
          <w:marTop w:val="0"/>
          <w:marBottom w:val="0"/>
          <w:divBdr>
            <w:top w:val="none" w:sz="0" w:space="0" w:color="auto"/>
            <w:left w:val="none" w:sz="0" w:space="0" w:color="auto"/>
            <w:bottom w:val="none" w:sz="0" w:space="0" w:color="auto"/>
            <w:right w:val="none" w:sz="0" w:space="0" w:color="auto"/>
          </w:divBdr>
          <w:divsChild>
            <w:div w:id="834733665">
              <w:marLeft w:val="0"/>
              <w:marRight w:val="0"/>
              <w:marTop w:val="0"/>
              <w:marBottom w:val="0"/>
              <w:divBdr>
                <w:top w:val="none" w:sz="0" w:space="0" w:color="auto"/>
                <w:left w:val="none" w:sz="0" w:space="0" w:color="auto"/>
                <w:bottom w:val="none" w:sz="0" w:space="0" w:color="auto"/>
                <w:right w:val="none" w:sz="0" w:space="0" w:color="auto"/>
              </w:divBdr>
            </w:div>
            <w:div w:id="1443916839">
              <w:marLeft w:val="0"/>
              <w:marRight w:val="0"/>
              <w:marTop w:val="0"/>
              <w:marBottom w:val="0"/>
              <w:divBdr>
                <w:top w:val="none" w:sz="0" w:space="0" w:color="auto"/>
                <w:left w:val="none" w:sz="0" w:space="0" w:color="auto"/>
                <w:bottom w:val="none" w:sz="0" w:space="0" w:color="auto"/>
                <w:right w:val="none" w:sz="0" w:space="0" w:color="auto"/>
              </w:divBdr>
            </w:div>
          </w:divsChild>
        </w:div>
        <w:div w:id="1257405654">
          <w:marLeft w:val="0"/>
          <w:marRight w:val="0"/>
          <w:marTop w:val="0"/>
          <w:marBottom w:val="0"/>
          <w:divBdr>
            <w:top w:val="none" w:sz="0" w:space="0" w:color="auto"/>
            <w:left w:val="none" w:sz="0" w:space="0" w:color="auto"/>
            <w:bottom w:val="none" w:sz="0" w:space="0" w:color="auto"/>
            <w:right w:val="none" w:sz="0" w:space="0" w:color="auto"/>
          </w:divBdr>
          <w:divsChild>
            <w:div w:id="167604577">
              <w:marLeft w:val="0"/>
              <w:marRight w:val="0"/>
              <w:marTop w:val="0"/>
              <w:marBottom w:val="0"/>
              <w:divBdr>
                <w:top w:val="none" w:sz="0" w:space="0" w:color="auto"/>
                <w:left w:val="none" w:sz="0" w:space="0" w:color="auto"/>
                <w:bottom w:val="none" w:sz="0" w:space="0" w:color="auto"/>
                <w:right w:val="none" w:sz="0" w:space="0" w:color="auto"/>
              </w:divBdr>
            </w:div>
            <w:div w:id="941307146">
              <w:marLeft w:val="0"/>
              <w:marRight w:val="0"/>
              <w:marTop w:val="0"/>
              <w:marBottom w:val="0"/>
              <w:divBdr>
                <w:top w:val="none" w:sz="0" w:space="0" w:color="auto"/>
                <w:left w:val="none" w:sz="0" w:space="0" w:color="auto"/>
                <w:bottom w:val="none" w:sz="0" w:space="0" w:color="auto"/>
                <w:right w:val="none" w:sz="0" w:space="0" w:color="auto"/>
              </w:divBdr>
            </w:div>
          </w:divsChild>
        </w:div>
        <w:div w:id="1264458086">
          <w:marLeft w:val="0"/>
          <w:marRight w:val="0"/>
          <w:marTop w:val="0"/>
          <w:marBottom w:val="0"/>
          <w:divBdr>
            <w:top w:val="none" w:sz="0" w:space="0" w:color="auto"/>
            <w:left w:val="none" w:sz="0" w:space="0" w:color="auto"/>
            <w:bottom w:val="none" w:sz="0" w:space="0" w:color="auto"/>
            <w:right w:val="none" w:sz="0" w:space="0" w:color="auto"/>
          </w:divBdr>
          <w:divsChild>
            <w:div w:id="548686197">
              <w:marLeft w:val="0"/>
              <w:marRight w:val="0"/>
              <w:marTop w:val="0"/>
              <w:marBottom w:val="0"/>
              <w:divBdr>
                <w:top w:val="none" w:sz="0" w:space="0" w:color="auto"/>
                <w:left w:val="none" w:sz="0" w:space="0" w:color="auto"/>
                <w:bottom w:val="none" w:sz="0" w:space="0" w:color="auto"/>
                <w:right w:val="none" w:sz="0" w:space="0" w:color="auto"/>
              </w:divBdr>
            </w:div>
            <w:div w:id="782964449">
              <w:marLeft w:val="0"/>
              <w:marRight w:val="0"/>
              <w:marTop w:val="0"/>
              <w:marBottom w:val="0"/>
              <w:divBdr>
                <w:top w:val="none" w:sz="0" w:space="0" w:color="auto"/>
                <w:left w:val="none" w:sz="0" w:space="0" w:color="auto"/>
                <w:bottom w:val="none" w:sz="0" w:space="0" w:color="auto"/>
                <w:right w:val="none" w:sz="0" w:space="0" w:color="auto"/>
              </w:divBdr>
            </w:div>
          </w:divsChild>
        </w:div>
        <w:div w:id="1266621879">
          <w:marLeft w:val="0"/>
          <w:marRight w:val="0"/>
          <w:marTop w:val="0"/>
          <w:marBottom w:val="0"/>
          <w:divBdr>
            <w:top w:val="none" w:sz="0" w:space="0" w:color="auto"/>
            <w:left w:val="none" w:sz="0" w:space="0" w:color="auto"/>
            <w:bottom w:val="none" w:sz="0" w:space="0" w:color="auto"/>
            <w:right w:val="none" w:sz="0" w:space="0" w:color="auto"/>
          </w:divBdr>
          <w:divsChild>
            <w:div w:id="79910820">
              <w:marLeft w:val="0"/>
              <w:marRight w:val="0"/>
              <w:marTop w:val="0"/>
              <w:marBottom w:val="0"/>
              <w:divBdr>
                <w:top w:val="none" w:sz="0" w:space="0" w:color="auto"/>
                <w:left w:val="none" w:sz="0" w:space="0" w:color="auto"/>
                <w:bottom w:val="none" w:sz="0" w:space="0" w:color="auto"/>
                <w:right w:val="none" w:sz="0" w:space="0" w:color="auto"/>
              </w:divBdr>
            </w:div>
            <w:div w:id="1043481160">
              <w:marLeft w:val="0"/>
              <w:marRight w:val="0"/>
              <w:marTop w:val="0"/>
              <w:marBottom w:val="0"/>
              <w:divBdr>
                <w:top w:val="none" w:sz="0" w:space="0" w:color="auto"/>
                <w:left w:val="none" w:sz="0" w:space="0" w:color="auto"/>
                <w:bottom w:val="none" w:sz="0" w:space="0" w:color="auto"/>
                <w:right w:val="none" w:sz="0" w:space="0" w:color="auto"/>
              </w:divBdr>
            </w:div>
            <w:div w:id="1371102330">
              <w:marLeft w:val="0"/>
              <w:marRight w:val="0"/>
              <w:marTop w:val="0"/>
              <w:marBottom w:val="0"/>
              <w:divBdr>
                <w:top w:val="none" w:sz="0" w:space="0" w:color="auto"/>
                <w:left w:val="none" w:sz="0" w:space="0" w:color="auto"/>
                <w:bottom w:val="none" w:sz="0" w:space="0" w:color="auto"/>
                <w:right w:val="none" w:sz="0" w:space="0" w:color="auto"/>
              </w:divBdr>
            </w:div>
          </w:divsChild>
        </w:div>
        <w:div w:id="1271741401">
          <w:marLeft w:val="0"/>
          <w:marRight w:val="0"/>
          <w:marTop w:val="0"/>
          <w:marBottom w:val="0"/>
          <w:divBdr>
            <w:top w:val="none" w:sz="0" w:space="0" w:color="auto"/>
            <w:left w:val="none" w:sz="0" w:space="0" w:color="auto"/>
            <w:bottom w:val="none" w:sz="0" w:space="0" w:color="auto"/>
            <w:right w:val="none" w:sz="0" w:space="0" w:color="auto"/>
          </w:divBdr>
          <w:divsChild>
            <w:div w:id="290206306">
              <w:marLeft w:val="0"/>
              <w:marRight w:val="0"/>
              <w:marTop w:val="0"/>
              <w:marBottom w:val="0"/>
              <w:divBdr>
                <w:top w:val="none" w:sz="0" w:space="0" w:color="auto"/>
                <w:left w:val="none" w:sz="0" w:space="0" w:color="auto"/>
                <w:bottom w:val="none" w:sz="0" w:space="0" w:color="auto"/>
                <w:right w:val="none" w:sz="0" w:space="0" w:color="auto"/>
              </w:divBdr>
            </w:div>
            <w:div w:id="1945261120">
              <w:marLeft w:val="0"/>
              <w:marRight w:val="0"/>
              <w:marTop w:val="0"/>
              <w:marBottom w:val="0"/>
              <w:divBdr>
                <w:top w:val="none" w:sz="0" w:space="0" w:color="auto"/>
                <w:left w:val="none" w:sz="0" w:space="0" w:color="auto"/>
                <w:bottom w:val="none" w:sz="0" w:space="0" w:color="auto"/>
                <w:right w:val="none" w:sz="0" w:space="0" w:color="auto"/>
              </w:divBdr>
            </w:div>
          </w:divsChild>
        </w:div>
        <w:div w:id="1272275754">
          <w:marLeft w:val="0"/>
          <w:marRight w:val="0"/>
          <w:marTop w:val="0"/>
          <w:marBottom w:val="0"/>
          <w:divBdr>
            <w:top w:val="none" w:sz="0" w:space="0" w:color="auto"/>
            <w:left w:val="none" w:sz="0" w:space="0" w:color="auto"/>
            <w:bottom w:val="none" w:sz="0" w:space="0" w:color="auto"/>
            <w:right w:val="none" w:sz="0" w:space="0" w:color="auto"/>
          </w:divBdr>
          <w:divsChild>
            <w:div w:id="1612667690">
              <w:marLeft w:val="0"/>
              <w:marRight w:val="0"/>
              <w:marTop w:val="0"/>
              <w:marBottom w:val="0"/>
              <w:divBdr>
                <w:top w:val="none" w:sz="0" w:space="0" w:color="auto"/>
                <w:left w:val="none" w:sz="0" w:space="0" w:color="auto"/>
                <w:bottom w:val="none" w:sz="0" w:space="0" w:color="auto"/>
                <w:right w:val="none" w:sz="0" w:space="0" w:color="auto"/>
              </w:divBdr>
            </w:div>
            <w:div w:id="1645813067">
              <w:marLeft w:val="0"/>
              <w:marRight w:val="0"/>
              <w:marTop w:val="0"/>
              <w:marBottom w:val="0"/>
              <w:divBdr>
                <w:top w:val="none" w:sz="0" w:space="0" w:color="auto"/>
                <w:left w:val="none" w:sz="0" w:space="0" w:color="auto"/>
                <w:bottom w:val="none" w:sz="0" w:space="0" w:color="auto"/>
                <w:right w:val="none" w:sz="0" w:space="0" w:color="auto"/>
              </w:divBdr>
            </w:div>
            <w:div w:id="2122263427">
              <w:marLeft w:val="0"/>
              <w:marRight w:val="0"/>
              <w:marTop w:val="0"/>
              <w:marBottom w:val="0"/>
              <w:divBdr>
                <w:top w:val="none" w:sz="0" w:space="0" w:color="auto"/>
                <w:left w:val="none" w:sz="0" w:space="0" w:color="auto"/>
                <w:bottom w:val="none" w:sz="0" w:space="0" w:color="auto"/>
                <w:right w:val="none" w:sz="0" w:space="0" w:color="auto"/>
              </w:divBdr>
            </w:div>
          </w:divsChild>
        </w:div>
        <w:div w:id="1275210430">
          <w:marLeft w:val="0"/>
          <w:marRight w:val="0"/>
          <w:marTop w:val="0"/>
          <w:marBottom w:val="0"/>
          <w:divBdr>
            <w:top w:val="none" w:sz="0" w:space="0" w:color="auto"/>
            <w:left w:val="none" w:sz="0" w:space="0" w:color="auto"/>
            <w:bottom w:val="none" w:sz="0" w:space="0" w:color="auto"/>
            <w:right w:val="none" w:sz="0" w:space="0" w:color="auto"/>
          </w:divBdr>
          <w:divsChild>
            <w:div w:id="548147094">
              <w:marLeft w:val="0"/>
              <w:marRight w:val="0"/>
              <w:marTop w:val="0"/>
              <w:marBottom w:val="0"/>
              <w:divBdr>
                <w:top w:val="none" w:sz="0" w:space="0" w:color="auto"/>
                <w:left w:val="none" w:sz="0" w:space="0" w:color="auto"/>
                <w:bottom w:val="none" w:sz="0" w:space="0" w:color="auto"/>
                <w:right w:val="none" w:sz="0" w:space="0" w:color="auto"/>
              </w:divBdr>
            </w:div>
            <w:div w:id="1736707832">
              <w:marLeft w:val="0"/>
              <w:marRight w:val="0"/>
              <w:marTop w:val="0"/>
              <w:marBottom w:val="0"/>
              <w:divBdr>
                <w:top w:val="none" w:sz="0" w:space="0" w:color="auto"/>
                <w:left w:val="none" w:sz="0" w:space="0" w:color="auto"/>
                <w:bottom w:val="none" w:sz="0" w:space="0" w:color="auto"/>
                <w:right w:val="none" w:sz="0" w:space="0" w:color="auto"/>
              </w:divBdr>
            </w:div>
          </w:divsChild>
        </w:div>
        <w:div w:id="1281497330">
          <w:marLeft w:val="0"/>
          <w:marRight w:val="0"/>
          <w:marTop w:val="0"/>
          <w:marBottom w:val="0"/>
          <w:divBdr>
            <w:top w:val="none" w:sz="0" w:space="0" w:color="auto"/>
            <w:left w:val="none" w:sz="0" w:space="0" w:color="auto"/>
            <w:bottom w:val="none" w:sz="0" w:space="0" w:color="auto"/>
            <w:right w:val="none" w:sz="0" w:space="0" w:color="auto"/>
          </w:divBdr>
          <w:divsChild>
            <w:div w:id="2081324503">
              <w:marLeft w:val="0"/>
              <w:marRight w:val="0"/>
              <w:marTop w:val="0"/>
              <w:marBottom w:val="0"/>
              <w:divBdr>
                <w:top w:val="none" w:sz="0" w:space="0" w:color="auto"/>
                <w:left w:val="none" w:sz="0" w:space="0" w:color="auto"/>
                <w:bottom w:val="none" w:sz="0" w:space="0" w:color="auto"/>
                <w:right w:val="none" w:sz="0" w:space="0" w:color="auto"/>
              </w:divBdr>
            </w:div>
          </w:divsChild>
        </w:div>
        <w:div w:id="1290747798">
          <w:marLeft w:val="0"/>
          <w:marRight w:val="0"/>
          <w:marTop w:val="0"/>
          <w:marBottom w:val="0"/>
          <w:divBdr>
            <w:top w:val="none" w:sz="0" w:space="0" w:color="auto"/>
            <w:left w:val="none" w:sz="0" w:space="0" w:color="auto"/>
            <w:bottom w:val="none" w:sz="0" w:space="0" w:color="auto"/>
            <w:right w:val="none" w:sz="0" w:space="0" w:color="auto"/>
          </w:divBdr>
          <w:divsChild>
            <w:div w:id="369451694">
              <w:marLeft w:val="0"/>
              <w:marRight w:val="0"/>
              <w:marTop w:val="0"/>
              <w:marBottom w:val="0"/>
              <w:divBdr>
                <w:top w:val="none" w:sz="0" w:space="0" w:color="auto"/>
                <w:left w:val="none" w:sz="0" w:space="0" w:color="auto"/>
                <w:bottom w:val="none" w:sz="0" w:space="0" w:color="auto"/>
                <w:right w:val="none" w:sz="0" w:space="0" w:color="auto"/>
              </w:divBdr>
            </w:div>
            <w:div w:id="838345050">
              <w:marLeft w:val="0"/>
              <w:marRight w:val="0"/>
              <w:marTop w:val="0"/>
              <w:marBottom w:val="0"/>
              <w:divBdr>
                <w:top w:val="none" w:sz="0" w:space="0" w:color="auto"/>
                <w:left w:val="none" w:sz="0" w:space="0" w:color="auto"/>
                <w:bottom w:val="none" w:sz="0" w:space="0" w:color="auto"/>
                <w:right w:val="none" w:sz="0" w:space="0" w:color="auto"/>
              </w:divBdr>
            </w:div>
          </w:divsChild>
        </w:div>
        <w:div w:id="1297684208">
          <w:marLeft w:val="0"/>
          <w:marRight w:val="0"/>
          <w:marTop w:val="0"/>
          <w:marBottom w:val="0"/>
          <w:divBdr>
            <w:top w:val="none" w:sz="0" w:space="0" w:color="auto"/>
            <w:left w:val="none" w:sz="0" w:space="0" w:color="auto"/>
            <w:bottom w:val="none" w:sz="0" w:space="0" w:color="auto"/>
            <w:right w:val="none" w:sz="0" w:space="0" w:color="auto"/>
          </w:divBdr>
          <w:divsChild>
            <w:div w:id="506286952">
              <w:marLeft w:val="0"/>
              <w:marRight w:val="0"/>
              <w:marTop w:val="0"/>
              <w:marBottom w:val="0"/>
              <w:divBdr>
                <w:top w:val="none" w:sz="0" w:space="0" w:color="auto"/>
                <w:left w:val="none" w:sz="0" w:space="0" w:color="auto"/>
                <w:bottom w:val="none" w:sz="0" w:space="0" w:color="auto"/>
                <w:right w:val="none" w:sz="0" w:space="0" w:color="auto"/>
              </w:divBdr>
            </w:div>
            <w:div w:id="1990666844">
              <w:marLeft w:val="0"/>
              <w:marRight w:val="0"/>
              <w:marTop w:val="0"/>
              <w:marBottom w:val="0"/>
              <w:divBdr>
                <w:top w:val="none" w:sz="0" w:space="0" w:color="auto"/>
                <w:left w:val="none" w:sz="0" w:space="0" w:color="auto"/>
                <w:bottom w:val="none" w:sz="0" w:space="0" w:color="auto"/>
                <w:right w:val="none" w:sz="0" w:space="0" w:color="auto"/>
              </w:divBdr>
            </w:div>
          </w:divsChild>
        </w:div>
        <w:div w:id="1306356016">
          <w:marLeft w:val="0"/>
          <w:marRight w:val="0"/>
          <w:marTop w:val="0"/>
          <w:marBottom w:val="0"/>
          <w:divBdr>
            <w:top w:val="none" w:sz="0" w:space="0" w:color="auto"/>
            <w:left w:val="none" w:sz="0" w:space="0" w:color="auto"/>
            <w:bottom w:val="none" w:sz="0" w:space="0" w:color="auto"/>
            <w:right w:val="none" w:sz="0" w:space="0" w:color="auto"/>
          </w:divBdr>
          <w:divsChild>
            <w:div w:id="347875880">
              <w:marLeft w:val="0"/>
              <w:marRight w:val="0"/>
              <w:marTop w:val="0"/>
              <w:marBottom w:val="0"/>
              <w:divBdr>
                <w:top w:val="none" w:sz="0" w:space="0" w:color="auto"/>
                <w:left w:val="none" w:sz="0" w:space="0" w:color="auto"/>
                <w:bottom w:val="none" w:sz="0" w:space="0" w:color="auto"/>
                <w:right w:val="none" w:sz="0" w:space="0" w:color="auto"/>
              </w:divBdr>
            </w:div>
            <w:div w:id="1010835265">
              <w:marLeft w:val="0"/>
              <w:marRight w:val="0"/>
              <w:marTop w:val="0"/>
              <w:marBottom w:val="0"/>
              <w:divBdr>
                <w:top w:val="none" w:sz="0" w:space="0" w:color="auto"/>
                <w:left w:val="none" w:sz="0" w:space="0" w:color="auto"/>
                <w:bottom w:val="none" w:sz="0" w:space="0" w:color="auto"/>
                <w:right w:val="none" w:sz="0" w:space="0" w:color="auto"/>
              </w:divBdr>
            </w:div>
          </w:divsChild>
        </w:div>
        <w:div w:id="1309096072">
          <w:marLeft w:val="0"/>
          <w:marRight w:val="0"/>
          <w:marTop w:val="0"/>
          <w:marBottom w:val="0"/>
          <w:divBdr>
            <w:top w:val="none" w:sz="0" w:space="0" w:color="auto"/>
            <w:left w:val="none" w:sz="0" w:space="0" w:color="auto"/>
            <w:bottom w:val="none" w:sz="0" w:space="0" w:color="auto"/>
            <w:right w:val="none" w:sz="0" w:space="0" w:color="auto"/>
          </w:divBdr>
          <w:divsChild>
            <w:div w:id="2101481622">
              <w:marLeft w:val="0"/>
              <w:marRight w:val="0"/>
              <w:marTop w:val="0"/>
              <w:marBottom w:val="0"/>
              <w:divBdr>
                <w:top w:val="none" w:sz="0" w:space="0" w:color="auto"/>
                <w:left w:val="none" w:sz="0" w:space="0" w:color="auto"/>
                <w:bottom w:val="none" w:sz="0" w:space="0" w:color="auto"/>
                <w:right w:val="none" w:sz="0" w:space="0" w:color="auto"/>
              </w:divBdr>
            </w:div>
          </w:divsChild>
        </w:div>
        <w:div w:id="1325283260">
          <w:marLeft w:val="0"/>
          <w:marRight w:val="0"/>
          <w:marTop w:val="0"/>
          <w:marBottom w:val="0"/>
          <w:divBdr>
            <w:top w:val="none" w:sz="0" w:space="0" w:color="auto"/>
            <w:left w:val="none" w:sz="0" w:space="0" w:color="auto"/>
            <w:bottom w:val="none" w:sz="0" w:space="0" w:color="auto"/>
            <w:right w:val="none" w:sz="0" w:space="0" w:color="auto"/>
          </w:divBdr>
          <w:divsChild>
            <w:div w:id="921836234">
              <w:marLeft w:val="0"/>
              <w:marRight w:val="0"/>
              <w:marTop w:val="0"/>
              <w:marBottom w:val="0"/>
              <w:divBdr>
                <w:top w:val="none" w:sz="0" w:space="0" w:color="auto"/>
                <w:left w:val="none" w:sz="0" w:space="0" w:color="auto"/>
                <w:bottom w:val="none" w:sz="0" w:space="0" w:color="auto"/>
                <w:right w:val="none" w:sz="0" w:space="0" w:color="auto"/>
              </w:divBdr>
            </w:div>
          </w:divsChild>
        </w:div>
        <w:div w:id="1332297534">
          <w:marLeft w:val="0"/>
          <w:marRight w:val="0"/>
          <w:marTop w:val="0"/>
          <w:marBottom w:val="0"/>
          <w:divBdr>
            <w:top w:val="none" w:sz="0" w:space="0" w:color="auto"/>
            <w:left w:val="none" w:sz="0" w:space="0" w:color="auto"/>
            <w:bottom w:val="none" w:sz="0" w:space="0" w:color="auto"/>
            <w:right w:val="none" w:sz="0" w:space="0" w:color="auto"/>
          </w:divBdr>
          <w:divsChild>
            <w:div w:id="1009677109">
              <w:marLeft w:val="0"/>
              <w:marRight w:val="0"/>
              <w:marTop w:val="0"/>
              <w:marBottom w:val="0"/>
              <w:divBdr>
                <w:top w:val="none" w:sz="0" w:space="0" w:color="auto"/>
                <w:left w:val="none" w:sz="0" w:space="0" w:color="auto"/>
                <w:bottom w:val="none" w:sz="0" w:space="0" w:color="auto"/>
                <w:right w:val="none" w:sz="0" w:space="0" w:color="auto"/>
              </w:divBdr>
            </w:div>
            <w:div w:id="1646661845">
              <w:marLeft w:val="0"/>
              <w:marRight w:val="0"/>
              <w:marTop w:val="0"/>
              <w:marBottom w:val="0"/>
              <w:divBdr>
                <w:top w:val="none" w:sz="0" w:space="0" w:color="auto"/>
                <w:left w:val="none" w:sz="0" w:space="0" w:color="auto"/>
                <w:bottom w:val="none" w:sz="0" w:space="0" w:color="auto"/>
                <w:right w:val="none" w:sz="0" w:space="0" w:color="auto"/>
              </w:divBdr>
            </w:div>
          </w:divsChild>
        </w:div>
        <w:div w:id="1334258905">
          <w:marLeft w:val="0"/>
          <w:marRight w:val="0"/>
          <w:marTop w:val="0"/>
          <w:marBottom w:val="0"/>
          <w:divBdr>
            <w:top w:val="none" w:sz="0" w:space="0" w:color="auto"/>
            <w:left w:val="none" w:sz="0" w:space="0" w:color="auto"/>
            <w:bottom w:val="none" w:sz="0" w:space="0" w:color="auto"/>
            <w:right w:val="none" w:sz="0" w:space="0" w:color="auto"/>
          </w:divBdr>
          <w:divsChild>
            <w:div w:id="1036352549">
              <w:marLeft w:val="0"/>
              <w:marRight w:val="0"/>
              <w:marTop w:val="0"/>
              <w:marBottom w:val="0"/>
              <w:divBdr>
                <w:top w:val="none" w:sz="0" w:space="0" w:color="auto"/>
                <w:left w:val="none" w:sz="0" w:space="0" w:color="auto"/>
                <w:bottom w:val="none" w:sz="0" w:space="0" w:color="auto"/>
                <w:right w:val="none" w:sz="0" w:space="0" w:color="auto"/>
              </w:divBdr>
            </w:div>
          </w:divsChild>
        </w:div>
        <w:div w:id="1345940270">
          <w:marLeft w:val="0"/>
          <w:marRight w:val="0"/>
          <w:marTop w:val="0"/>
          <w:marBottom w:val="0"/>
          <w:divBdr>
            <w:top w:val="none" w:sz="0" w:space="0" w:color="auto"/>
            <w:left w:val="none" w:sz="0" w:space="0" w:color="auto"/>
            <w:bottom w:val="none" w:sz="0" w:space="0" w:color="auto"/>
            <w:right w:val="none" w:sz="0" w:space="0" w:color="auto"/>
          </w:divBdr>
          <w:divsChild>
            <w:div w:id="75440336">
              <w:marLeft w:val="0"/>
              <w:marRight w:val="0"/>
              <w:marTop w:val="0"/>
              <w:marBottom w:val="0"/>
              <w:divBdr>
                <w:top w:val="none" w:sz="0" w:space="0" w:color="auto"/>
                <w:left w:val="none" w:sz="0" w:space="0" w:color="auto"/>
                <w:bottom w:val="none" w:sz="0" w:space="0" w:color="auto"/>
                <w:right w:val="none" w:sz="0" w:space="0" w:color="auto"/>
              </w:divBdr>
            </w:div>
          </w:divsChild>
        </w:div>
        <w:div w:id="1351839019">
          <w:marLeft w:val="0"/>
          <w:marRight w:val="0"/>
          <w:marTop w:val="0"/>
          <w:marBottom w:val="0"/>
          <w:divBdr>
            <w:top w:val="none" w:sz="0" w:space="0" w:color="auto"/>
            <w:left w:val="none" w:sz="0" w:space="0" w:color="auto"/>
            <w:bottom w:val="none" w:sz="0" w:space="0" w:color="auto"/>
            <w:right w:val="none" w:sz="0" w:space="0" w:color="auto"/>
          </w:divBdr>
          <w:divsChild>
            <w:div w:id="154877829">
              <w:marLeft w:val="0"/>
              <w:marRight w:val="0"/>
              <w:marTop w:val="0"/>
              <w:marBottom w:val="0"/>
              <w:divBdr>
                <w:top w:val="none" w:sz="0" w:space="0" w:color="auto"/>
                <w:left w:val="none" w:sz="0" w:space="0" w:color="auto"/>
                <w:bottom w:val="none" w:sz="0" w:space="0" w:color="auto"/>
                <w:right w:val="none" w:sz="0" w:space="0" w:color="auto"/>
              </w:divBdr>
            </w:div>
            <w:div w:id="498471350">
              <w:marLeft w:val="0"/>
              <w:marRight w:val="0"/>
              <w:marTop w:val="0"/>
              <w:marBottom w:val="0"/>
              <w:divBdr>
                <w:top w:val="none" w:sz="0" w:space="0" w:color="auto"/>
                <w:left w:val="none" w:sz="0" w:space="0" w:color="auto"/>
                <w:bottom w:val="none" w:sz="0" w:space="0" w:color="auto"/>
                <w:right w:val="none" w:sz="0" w:space="0" w:color="auto"/>
              </w:divBdr>
            </w:div>
            <w:div w:id="1598903854">
              <w:marLeft w:val="0"/>
              <w:marRight w:val="0"/>
              <w:marTop w:val="0"/>
              <w:marBottom w:val="0"/>
              <w:divBdr>
                <w:top w:val="none" w:sz="0" w:space="0" w:color="auto"/>
                <w:left w:val="none" w:sz="0" w:space="0" w:color="auto"/>
                <w:bottom w:val="none" w:sz="0" w:space="0" w:color="auto"/>
                <w:right w:val="none" w:sz="0" w:space="0" w:color="auto"/>
              </w:divBdr>
            </w:div>
          </w:divsChild>
        </w:div>
        <w:div w:id="1360661736">
          <w:marLeft w:val="0"/>
          <w:marRight w:val="0"/>
          <w:marTop w:val="0"/>
          <w:marBottom w:val="0"/>
          <w:divBdr>
            <w:top w:val="none" w:sz="0" w:space="0" w:color="auto"/>
            <w:left w:val="none" w:sz="0" w:space="0" w:color="auto"/>
            <w:bottom w:val="none" w:sz="0" w:space="0" w:color="auto"/>
            <w:right w:val="none" w:sz="0" w:space="0" w:color="auto"/>
          </w:divBdr>
          <w:divsChild>
            <w:div w:id="303584569">
              <w:marLeft w:val="0"/>
              <w:marRight w:val="0"/>
              <w:marTop w:val="0"/>
              <w:marBottom w:val="0"/>
              <w:divBdr>
                <w:top w:val="none" w:sz="0" w:space="0" w:color="auto"/>
                <w:left w:val="none" w:sz="0" w:space="0" w:color="auto"/>
                <w:bottom w:val="none" w:sz="0" w:space="0" w:color="auto"/>
                <w:right w:val="none" w:sz="0" w:space="0" w:color="auto"/>
              </w:divBdr>
            </w:div>
            <w:div w:id="314988676">
              <w:marLeft w:val="0"/>
              <w:marRight w:val="0"/>
              <w:marTop w:val="0"/>
              <w:marBottom w:val="0"/>
              <w:divBdr>
                <w:top w:val="none" w:sz="0" w:space="0" w:color="auto"/>
                <w:left w:val="none" w:sz="0" w:space="0" w:color="auto"/>
                <w:bottom w:val="none" w:sz="0" w:space="0" w:color="auto"/>
                <w:right w:val="none" w:sz="0" w:space="0" w:color="auto"/>
              </w:divBdr>
            </w:div>
            <w:div w:id="502670456">
              <w:marLeft w:val="0"/>
              <w:marRight w:val="0"/>
              <w:marTop w:val="0"/>
              <w:marBottom w:val="0"/>
              <w:divBdr>
                <w:top w:val="none" w:sz="0" w:space="0" w:color="auto"/>
                <w:left w:val="none" w:sz="0" w:space="0" w:color="auto"/>
                <w:bottom w:val="none" w:sz="0" w:space="0" w:color="auto"/>
                <w:right w:val="none" w:sz="0" w:space="0" w:color="auto"/>
              </w:divBdr>
            </w:div>
            <w:div w:id="1347100336">
              <w:marLeft w:val="0"/>
              <w:marRight w:val="0"/>
              <w:marTop w:val="0"/>
              <w:marBottom w:val="0"/>
              <w:divBdr>
                <w:top w:val="none" w:sz="0" w:space="0" w:color="auto"/>
                <w:left w:val="none" w:sz="0" w:space="0" w:color="auto"/>
                <w:bottom w:val="none" w:sz="0" w:space="0" w:color="auto"/>
                <w:right w:val="none" w:sz="0" w:space="0" w:color="auto"/>
              </w:divBdr>
            </w:div>
            <w:div w:id="1357659492">
              <w:marLeft w:val="0"/>
              <w:marRight w:val="0"/>
              <w:marTop w:val="0"/>
              <w:marBottom w:val="0"/>
              <w:divBdr>
                <w:top w:val="none" w:sz="0" w:space="0" w:color="auto"/>
                <w:left w:val="none" w:sz="0" w:space="0" w:color="auto"/>
                <w:bottom w:val="none" w:sz="0" w:space="0" w:color="auto"/>
                <w:right w:val="none" w:sz="0" w:space="0" w:color="auto"/>
              </w:divBdr>
            </w:div>
          </w:divsChild>
        </w:div>
        <w:div w:id="1362317095">
          <w:marLeft w:val="0"/>
          <w:marRight w:val="0"/>
          <w:marTop w:val="0"/>
          <w:marBottom w:val="0"/>
          <w:divBdr>
            <w:top w:val="none" w:sz="0" w:space="0" w:color="auto"/>
            <w:left w:val="none" w:sz="0" w:space="0" w:color="auto"/>
            <w:bottom w:val="none" w:sz="0" w:space="0" w:color="auto"/>
            <w:right w:val="none" w:sz="0" w:space="0" w:color="auto"/>
          </w:divBdr>
          <w:divsChild>
            <w:div w:id="1678189410">
              <w:marLeft w:val="0"/>
              <w:marRight w:val="0"/>
              <w:marTop w:val="0"/>
              <w:marBottom w:val="0"/>
              <w:divBdr>
                <w:top w:val="none" w:sz="0" w:space="0" w:color="auto"/>
                <w:left w:val="none" w:sz="0" w:space="0" w:color="auto"/>
                <w:bottom w:val="none" w:sz="0" w:space="0" w:color="auto"/>
                <w:right w:val="none" w:sz="0" w:space="0" w:color="auto"/>
              </w:divBdr>
            </w:div>
            <w:div w:id="1827821383">
              <w:marLeft w:val="0"/>
              <w:marRight w:val="0"/>
              <w:marTop w:val="0"/>
              <w:marBottom w:val="0"/>
              <w:divBdr>
                <w:top w:val="none" w:sz="0" w:space="0" w:color="auto"/>
                <w:left w:val="none" w:sz="0" w:space="0" w:color="auto"/>
                <w:bottom w:val="none" w:sz="0" w:space="0" w:color="auto"/>
                <w:right w:val="none" w:sz="0" w:space="0" w:color="auto"/>
              </w:divBdr>
            </w:div>
            <w:div w:id="2112697580">
              <w:marLeft w:val="0"/>
              <w:marRight w:val="0"/>
              <w:marTop w:val="0"/>
              <w:marBottom w:val="0"/>
              <w:divBdr>
                <w:top w:val="none" w:sz="0" w:space="0" w:color="auto"/>
                <w:left w:val="none" w:sz="0" w:space="0" w:color="auto"/>
                <w:bottom w:val="none" w:sz="0" w:space="0" w:color="auto"/>
                <w:right w:val="none" w:sz="0" w:space="0" w:color="auto"/>
              </w:divBdr>
            </w:div>
          </w:divsChild>
        </w:div>
        <w:div w:id="1362701111">
          <w:marLeft w:val="0"/>
          <w:marRight w:val="0"/>
          <w:marTop w:val="0"/>
          <w:marBottom w:val="0"/>
          <w:divBdr>
            <w:top w:val="none" w:sz="0" w:space="0" w:color="auto"/>
            <w:left w:val="none" w:sz="0" w:space="0" w:color="auto"/>
            <w:bottom w:val="none" w:sz="0" w:space="0" w:color="auto"/>
            <w:right w:val="none" w:sz="0" w:space="0" w:color="auto"/>
          </w:divBdr>
          <w:divsChild>
            <w:div w:id="1751081559">
              <w:marLeft w:val="0"/>
              <w:marRight w:val="0"/>
              <w:marTop w:val="0"/>
              <w:marBottom w:val="0"/>
              <w:divBdr>
                <w:top w:val="none" w:sz="0" w:space="0" w:color="auto"/>
                <w:left w:val="none" w:sz="0" w:space="0" w:color="auto"/>
                <w:bottom w:val="none" w:sz="0" w:space="0" w:color="auto"/>
                <w:right w:val="none" w:sz="0" w:space="0" w:color="auto"/>
              </w:divBdr>
            </w:div>
          </w:divsChild>
        </w:div>
        <w:div w:id="1373266763">
          <w:marLeft w:val="0"/>
          <w:marRight w:val="0"/>
          <w:marTop w:val="0"/>
          <w:marBottom w:val="0"/>
          <w:divBdr>
            <w:top w:val="none" w:sz="0" w:space="0" w:color="auto"/>
            <w:left w:val="none" w:sz="0" w:space="0" w:color="auto"/>
            <w:bottom w:val="none" w:sz="0" w:space="0" w:color="auto"/>
            <w:right w:val="none" w:sz="0" w:space="0" w:color="auto"/>
          </w:divBdr>
          <w:divsChild>
            <w:div w:id="375473441">
              <w:marLeft w:val="0"/>
              <w:marRight w:val="0"/>
              <w:marTop w:val="0"/>
              <w:marBottom w:val="0"/>
              <w:divBdr>
                <w:top w:val="none" w:sz="0" w:space="0" w:color="auto"/>
                <w:left w:val="none" w:sz="0" w:space="0" w:color="auto"/>
                <w:bottom w:val="none" w:sz="0" w:space="0" w:color="auto"/>
                <w:right w:val="none" w:sz="0" w:space="0" w:color="auto"/>
              </w:divBdr>
            </w:div>
            <w:div w:id="386298728">
              <w:marLeft w:val="0"/>
              <w:marRight w:val="0"/>
              <w:marTop w:val="0"/>
              <w:marBottom w:val="0"/>
              <w:divBdr>
                <w:top w:val="none" w:sz="0" w:space="0" w:color="auto"/>
                <w:left w:val="none" w:sz="0" w:space="0" w:color="auto"/>
                <w:bottom w:val="none" w:sz="0" w:space="0" w:color="auto"/>
                <w:right w:val="none" w:sz="0" w:space="0" w:color="auto"/>
              </w:divBdr>
            </w:div>
            <w:div w:id="393236931">
              <w:marLeft w:val="0"/>
              <w:marRight w:val="0"/>
              <w:marTop w:val="0"/>
              <w:marBottom w:val="0"/>
              <w:divBdr>
                <w:top w:val="none" w:sz="0" w:space="0" w:color="auto"/>
                <w:left w:val="none" w:sz="0" w:space="0" w:color="auto"/>
                <w:bottom w:val="none" w:sz="0" w:space="0" w:color="auto"/>
                <w:right w:val="none" w:sz="0" w:space="0" w:color="auto"/>
              </w:divBdr>
            </w:div>
            <w:div w:id="753362566">
              <w:marLeft w:val="0"/>
              <w:marRight w:val="0"/>
              <w:marTop w:val="0"/>
              <w:marBottom w:val="0"/>
              <w:divBdr>
                <w:top w:val="none" w:sz="0" w:space="0" w:color="auto"/>
                <w:left w:val="none" w:sz="0" w:space="0" w:color="auto"/>
                <w:bottom w:val="none" w:sz="0" w:space="0" w:color="auto"/>
                <w:right w:val="none" w:sz="0" w:space="0" w:color="auto"/>
              </w:divBdr>
            </w:div>
            <w:div w:id="1097555086">
              <w:marLeft w:val="0"/>
              <w:marRight w:val="0"/>
              <w:marTop w:val="0"/>
              <w:marBottom w:val="0"/>
              <w:divBdr>
                <w:top w:val="none" w:sz="0" w:space="0" w:color="auto"/>
                <w:left w:val="none" w:sz="0" w:space="0" w:color="auto"/>
                <w:bottom w:val="none" w:sz="0" w:space="0" w:color="auto"/>
                <w:right w:val="none" w:sz="0" w:space="0" w:color="auto"/>
              </w:divBdr>
            </w:div>
            <w:div w:id="1258174203">
              <w:marLeft w:val="0"/>
              <w:marRight w:val="0"/>
              <w:marTop w:val="0"/>
              <w:marBottom w:val="0"/>
              <w:divBdr>
                <w:top w:val="none" w:sz="0" w:space="0" w:color="auto"/>
                <w:left w:val="none" w:sz="0" w:space="0" w:color="auto"/>
                <w:bottom w:val="none" w:sz="0" w:space="0" w:color="auto"/>
                <w:right w:val="none" w:sz="0" w:space="0" w:color="auto"/>
              </w:divBdr>
            </w:div>
            <w:div w:id="1264875128">
              <w:marLeft w:val="0"/>
              <w:marRight w:val="0"/>
              <w:marTop w:val="0"/>
              <w:marBottom w:val="0"/>
              <w:divBdr>
                <w:top w:val="none" w:sz="0" w:space="0" w:color="auto"/>
                <w:left w:val="none" w:sz="0" w:space="0" w:color="auto"/>
                <w:bottom w:val="none" w:sz="0" w:space="0" w:color="auto"/>
                <w:right w:val="none" w:sz="0" w:space="0" w:color="auto"/>
              </w:divBdr>
            </w:div>
          </w:divsChild>
        </w:div>
        <w:div w:id="1377004916">
          <w:marLeft w:val="0"/>
          <w:marRight w:val="0"/>
          <w:marTop w:val="0"/>
          <w:marBottom w:val="0"/>
          <w:divBdr>
            <w:top w:val="none" w:sz="0" w:space="0" w:color="auto"/>
            <w:left w:val="none" w:sz="0" w:space="0" w:color="auto"/>
            <w:bottom w:val="none" w:sz="0" w:space="0" w:color="auto"/>
            <w:right w:val="none" w:sz="0" w:space="0" w:color="auto"/>
          </w:divBdr>
          <w:divsChild>
            <w:div w:id="14616501">
              <w:marLeft w:val="0"/>
              <w:marRight w:val="0"/>
              <w:marTop w:val="0"/>
              <w:marBottom w:val="0"/>
              <w:divBdr>
                <w:top w:val="none" w:sz="0" w:space="0" w:color="auto"/>
                <w:left w:val="none" w:sz="0" w:space="0" w:color="auto"/>
                <w:bottom w:val="none" w:sz="0" w:space="0" w:color="auto"/>
                <w:right w:val="none" w:sz="0" w:space="0" w:color="auto"/>
              </w:divBdr>
            </w:div>
            <w:div w:id="627205126">
              <w:marLeft w:val="0"/>
              <w:marRight w:val="0"/>
              <w:marTop w:val="0"/>
              <w:marBottom w:val="0"/>
              <w:divBdr>
                <w:top w:val="none" w:sz="0" w:space="0" w:color="auto"/>
                <w:left w:val="none" w:sz="0" w:space="0" w:color="auto"/>
                <w:bottom w:val="none" w:sz="0" w:space="0" w:color="auto"/>
                <w:right w:val="none" w:sz="0" w:space="0" w:color="auto"/>
              </w:divBdr>
            </w:div>
            <w:div w:id="1656763778">
              <w:marLeft w:val="0"/>
              <w:marRight w:val="0"/>
              <w:marTop w:val="0"/>
              <w:marBottom w:val="0"/>
              <w:divBdr>
                <w:top w:val="none" w:sz="0" w:space="0" w:color="auto"/>
                <w:left w:val="none" w:sz="0" w:space="0" w:color="auto"/>
                <w:bottom w:val="none" w:sz="0" w:space="0" w:color="auto"/>
                <w:right w:val="none" w:sz="0" w:space="0" w:color="auto"/>
              </w:divBdr>
            </w:div>
          </w:divsChild>
        </w:div>
        <w:div w:id="1381324708">
          <w:marLeft w:val="0"/>
          <w:marRight w:val="0"/>
          <w:marTop w:val="0"/>
          <w:marBottom w:val="0"/>
          <w:divBdr>
            <w:top w:val="none" w:sz="0" w:space="0" w:color="auto"/>
            <w:left w:val="none" w:sz="0" w:space="0" w:color="auto"/>
            <w:bottom w:val="none" w:sz="0" w:space="0" w:color="auto"/>
            <w:right w:val="none" w:sz="0" w:space="0" w:color="auto"/>
          </w:divBdr>
          <w:divsChild>
            <w:div w:id="507211412">
              <w:marLeft w:val="0"/>
              <w:marRight w:val="0"/>
              <w:marTop w:val="0"/>
              <w:marBottom w:val="0"/>
              <w:divBdr>
                <w:top w:val="none" w:sz="0" w:space="0" w:color="auto"/>
                <w:left w:val="none" w:sz="0" w:space="0" w:color="auto"/>
                <w:bottom w:val="none" w:sz="0" w:space="0" w:color="auto"/>
                <w:right w:val="none" w:sz="0" w:space="0" w:color="auto"/>
              </w:divBdr>
            </w:div>
            <w:div w:id="1224683612">
              <w:marLeft w:val="0"/>
              <w:marRight w:val="0"/>
              <w:marTop w:val="0"/>
              <w:marBottom w:val="0"/>
              <w:divBdr>
                <w:top w:val="none" w:sz="0" w:space="0" w:color="auto"/>
                <w:left w:val="none" w:sz="0" w:space="0" w:color="auto"/>
                <w:bottom w:val="none" w:sz="0" w:space="0" w:color="auto"/>
                <w:right w:val="none" w:sz="0" w:space="0" w:color="auto"/>
              </w:divBdr>
            </w:div>
            <w:div w:id="1632707075">
              <w:marLeft w:val="0"/>
              <w:marRight w:val="0"/>
              <w:marTop w:val="0"/>
              <w:marBottom w:val="0"/>
              <w:divBdr>
                <w:top w:val="none" w:sz="0" w:space="0" w:color="auto"/>
                <w:left w:val="none" w:sz="0" w:space="0" w:color="auto"/>
                <w:bottom w:val="none" w:sz="0" w:space="0" w:color="auto"/>
                <w:right w:val="none" w:sz="0" w:space="0" w:color="auto"/>
              </w:divBdr>
            </w:div>
          </w:divsChild>
        </w:div>
        <w:div w:id="1390224321">
          <w:marLeft w:val="0"/>
          <w:marRight w:val="0"/>
          <w:marTop w:val="0"/>
          <w:marBottom w:val="0"/>
          <w:divBdr>
            <w:top w:val="none" w:sz="0" w:space="0" w:color="auto"/>
            <w:left w:val="none" w:sz="0" w:space="0" w:color="auto"/>
            <w:bottom w:val="none" w:sz="0" w:space="0" w:color="auto"/>
            <w:right w:val="none" w:sz="0" w:space="0" w:color="auto"/>
          </w:divBdr>
          <w:divsChild>
            <w:div w:id="500701148">
              <w:marLeft w:val="0"/>
              <w:marRight w:val="0"/>
              <w:marTop w:val="0"/>
              <w:marBottom w:val="0"/>
              <w:divBdr>
                <w:top w:val="none" w:sz="0" w:space="0" w:color="auto"/>
                <w:left w:val="none" w:sz="0" w:space="0" w:color="auto"/>
                <w:bottom w:val="none" w:sz="0" w:space="0" w:color="auto"/>
                <w:right w:val="none" w:sz="0" w:space="0" w:color="auto"/>
              </w:divBdr>
            </w:div>
            <w:div w:id="1064916058">
              <w:marLeft w:val="0"/>
              <w:marRight w:val="0"/>
              <w:marTop w:val="0"/>
              <w:marBottom w:val="0"/>
              <w:divBdr>
                <w:top w:val="none" w:sz="0" w:space="0" w:color="auto"/>
                <w:left w:val="none" w:sz="0" w:space="0" w:color="auto"/>
                <w:bottom w:val="none" w:sz="0" w:space="0" w:color="auto"/>
                <w:right w:val="none" w:sz="0" w:space="0" w:color="auto"/>
              </w:divBdr>
            </w:div>
          </w:divsChild>
        </w:div>
        <w:div w:id="1418214077">
          <w:marLeft w:val="0"/>
          <w:marRight w:val="0"/>
          <w:marTop w:val="0"/>
          <w:marBottom w:val="0"/>
          <w:divBdr>
            <w:top w:val="none" w:sz="0" w:space="0" w:color="auto"/>
            <w:left w:val="none" w:sz="0" w:space="0" w:color="auto"/>
            <w:bottom w:val="none" w:sz="0" w:space="0" w:color="auto"/>
            <w:right w:val="none" w:sz="0" w:space="0" w:color="auto"/>
          </w:divBdr>
          <w:divsChild>
            <w:div w:id="140587384">
              <w:marLeft w:val="0"/>
              <w:marRight w:val="0"/>
              <w:marTop w:val="0"/>
              <w:marBottom w:val="0"/>
              <w:divBdr>
                <w:top w:val="none" w:sz="0" w:space="0" w:color="auto"/>
                <w:left w:val="none" w:sz="0" w:space="0" w:color="auto"/>
                <w:bottom w:val="none" w:sz="0" w:space="0" w:color="auto"/>
                <w:right w:val="none" w:sz="0" w:space="0" w:color="auto"/>
              </w:divBdr>
            </w:div>
            <w:div w:id="435830512">
              <w:marLeft w:val="0"/>
              <w:marRight w:val="0"/>
              <w:marTop w:val="0"/>
              <w:marBottom w:val="0"/>
              <w:divBdr>
                <w:top w:val="none" w:sz="0" w:space="0" w:color="auto"/>
                <w:left w:val="none" w:sz="0" w:space="0" w:color="auto"/>
                <w:bottom w:val="none" w:sz="0" w:space="0" w:color="auto"/>
                <w:right w:val="none" w:sz="0" w:space="0" w:color="auto"/>
              </w:divBdr>
            </w:div>
            <w:div w:id="515074026">
              <w:marLeft w:val="0"/>
              <w:marRight w:val="0"/>
              <w:marTop w:val="0"/>
              <w:marBottom w:val="0"/>
              <w:divBdr>
                <w:top w:val="none" w:sz="0" w:space="0" w:color="auto"/>
                <w:left w:val="none" w:sz="0" w:space="0" w:color="auto"/>
                <w:bottom w:val="none" w:sz="0" w:space="0" w:color="auto"/>
                <w:right w:val="none" w:sz="0" w:space="0" w:color="auto"/>
              </w:divBdr>
            </w:div>
          </w:divsChild>
        </w:div>
        <w:div w:id="1432314856">
          <w:marLeft w:val="0"/>
          <w:marRight w:val="0"/>
          <w:marTop w:val="0"/>
          <w:marBottom w:val="0"/>
          <w:divBdr>
            <w:top w:val="none" w:sz="0" w:space="0" w:color="auto"/>
            <w:left w:val="none" w:sz="0" w:space="0" w:color="auto"/>
            <w:bottom w:val="none" w:sz="0" w:space="0" w:color="auto"/>
            <w:right w:val="none" w:sz="0" w:space="0" w:color="auto"/>
          </w:divBdr>
          <w:divsChild>
            <w:div w:id="329648481">
              <w:marLeft w:val="0"/>
              <w:marRight w:val="0"/>
              <w:marTop w:val="0"/>
              <w:marBottom w:val="0"/>
              <w:divBdr>
                <w:top w:val="none" w:sz="0" w:space="0" w:color="auto"/>
                <w:left w:val="none" w:sz="0" w:space="0" w:color="auto"/>
                <w:bottom w:val="none" w:sz="0" w:space="0" w:color="auto"/>
                <w:right w:val="none" w:sz="0" w:space="0" w:color="auto"/>
              </w:divBdr>
            </w:div>
            <w:div w:id="1316377785">
              <w:marLeft w:val="0"/>
              <w:marRight w:val="0"/>
              <w:marTop w:val="0"/>
              <w:marBottom w:val="0"/>
              <w:divBdr>
                <w:top w:val="none" w:sz="0" w:space="0" w:color="auto"/>
                <w:left w:val="none" w:sz="0" w:space="0" w:color="auto"/>
                <w:bottom w:val="none" w:sz="0" w:space="0" w:color="auto"/>
                <w:right w:val="none" w:sz="0" w:space="0" w:color="auto"/>
              </w:divBdr>
            </w:div>
            <w:div w:id="1640260744">
              <w:marLeft w:val="0"/>
              <w:marRight w:val="0"/>
              <w:marTop w:val="0"/>
              <w:marBottom w:val="0"/>
              <w:divBdr>
                <w:top w:val="none" w:sz="0" w:space="0" w:color="auto"/>
                <w:left w:val="none" w:sz="0" w:space="0" w:color="auto"/>
                <w:bottom w:val="none" w:sz="0" w:space="0" w:color="auto"/>
                <w:right w:val="none" w:sz="0" w:space="0" w:color="auto"/>
              </w:divBdr>
            </w:div>
          </w:divsChild>
        </w:div>
        <w:div w:id="1445923872">
          <w:marLeft w:val="0"/>
          <w:marRight w:val="0"/>
          <w:marTop w:val="0"/>
          <w:marBottom w:val="0"/>
          <w:divBdr>
            <w:top w:val="none" w:sz="0" w:space="0" w:color="auto"/>
            <w:left w:val="none" w:sz="0" w:space="0" w:color="auto"/>
            <w:bottom w:val="none" w:sz="0" w:space="0" w:color="auto"/>
            <w:right w:val="none" w:sz="0" w:space="0" w:color="auto"/>
          </w:divBdr>
          <w:divsChild>
            <w:div w:id="1171022370">
              <w:marLeft w:val="0"/>
              <w:marRight w:val="0"/>
              <w:marTop w:val="0"/>
              <w:marBottom w:val="0"/>
              <w:divBdr>
                <w:top w:val="none" w:sz="0" w:space="0" w:color="auto"/>
                <w:left w:val="none" w:sz="0" w:space="0" w:color="auto"/>
                <w:bottom w:val="none" w:sz="0" w:space="0" w:color="auto"/>
                <w:right w:val="none" w:sz="0" w:space="0" w:color="auto"/>
              </w:divBdr>
            </w:div>
            <w:div w:id="1364671644">
              <w:marLeft w:val="0"/>
              <w:marRight w:val="0"/>
              <w:marTop w:val="0"/>
              <w:marBottom w:val="0"/>
              <w:divBdr>
                <w:top w:val="none" w:sz="0" w:space="0" w:color="auto"/>
                <w:left w:val="none" w:sz="0" w:space="0" w:color="auto"/>
                <w:bottom w:val="none" w:sz="0" w:space="0" w:color="auto"/>
                <w:right w:val="none" w:sz="0" w:space="0" w:color="auto"/>
              </w:divBdr>
            </w:div>
          </w:divsChild>
        </w:div>
        <w:div w:id="1449468037">
          <w:marLeft w:val="0"/>
          <w:marRight w:val="0"/>
          <w:marTop w:val="0"/>
          <w:marBottom w:val="0"/>
          <w:divBdr>
            <w:top w:val="none" w:sz="0" w:space="0" w:color="auto"/>
            <w:left w:val="none" w:sz="0" w:space="0" w:color="auto"/>
            <w:bottom w:val="none" w:sz="0" w:space="0" w:color="auto"/>
            <w:right w:val="none" w:sz="0" w:space="0" w:color="auto"/>
          </w:divBdr>
          <w:divsChild>
            <w:div w:id="1198352734">
              <w:marLeft w:val="0"/>
              <w:marRight w:val="0"/>
              <w:marTop w:val="0"/>
              <w:marBottom w:val="0"/>
              <w:divBdr>
                <w:top w:val="none" w:sz="0" w:space="0" w:color="auto"/>
                <w:left w:val="none" w:sz="0" w:space="0" w:color="auto"/>
                <w:bottom w:val="none" w:sz="0" w:space="0" w:color="auto"/>
                <w:right w:val="none" w:sz="0" w:space="0" w:color="auto"/>
              </w:divBdr>
            </w:div>
            <w:div w:id="1579903613">
              <w:marLeft w:val="0"/>
              <w:marRight w:val="0"/>
              <w:marTop w:val="0"/>
              <w:marBottom w:val="0"/>
              <w:divBdr>
                <w:top w:val="none" w:sz="0" w:space="0" w:color="auto"/>
                <w:left w:val="none" w:sz="0" w:space="0" w:color="auto"/>
                <w:bottom w:val="none" w:sz="0" w:space="0" w:color="auto"/>
                <w:right w:val="none" w:sz="0" w:space="0" w:color="auto"/>
              </w:divBdr>
            </w:div>
          </w:divsChild>
        </w:div>
        <w:div w:id="1455752982">
          <w:marLeft w:val="0"/>
          <w:marRight w:val="0"/>
          <w:marTop w:val="0"/>
          <w:marBottom w:val="0"/>
          <w:divBdr>
            <w:top w:val="none" w:sz="0" w:space="0" w:color="auto"/>
            <w:left w:val="none" w:sz="0" w:space="0" w:color="auto"/>
            <w:bottom w:val="none" w:sz="0" w:space="0" w:color="auto"/>
            <w:right w:val="none" w:sz="0" w:space="0" w:color="auto"/>
          </w:divBdr>
          <w:divsChild>
            <w:div w:id="127549920">
              <w:marLeft w:val="0"/>
              <w:marRight w:val="0"/>
              <w:marTop w:val="0"/>
              <w:marBottom w:val="0"/>
              <w:divBdr>
                <w:top w:val="none" w:sz="0" w:space="0" w:color="auto"/>
                <w:left w:val="none" w:sz="0" w:space="0" w:color="auto"/>
                <w:bottom w:val="none" w:sz="0" w:space="0" w:color="auto"/>
                <w:right w:val="none" w:sz="0" w:space="0" w:color="auto"/>
              </w:divBdr>
            </w:div>
            <w:div w:id="632953074">
              <w:marLeft w:val="0"/>
              <w:marRight w:val="0"/>
              <w:marTop w:val="0"/>
              <w:marBottom w:val="0"/>
              <w:divBdr>
                <w:top w:val="none" w:sz="0" w:space="0" w:color="auto"/>
                <w:left w:val="none" w:sz="0" w:space="0" w:color="auto"/>
                <w:bottom w:val="none" w:sz="0" w:space="0" w:color="auto"/>
                <w:right w:val="none" w:sz="0" w:space="0" w:color="auto"/>
              </w:divBdr>
            </w:div>
          </w:divsChild>
        </w:div>
        <w:div w:id="1469978182">
          <w:marLeft w:val="0"/>
          <w:marRight w:val="0"/>
          <w:marTop w:val="0"/>
          <w:marBottom w:val="0"/>
          <w:divBdr>
            <w:top w:val="none" w:sz="0" w:space="0" w:color="auto"/>
            <w:left w:val="none" w:sz="0" w:space="0" w:color="auto"/>
            <w:bottom w:val="none" w:sz="0" w:space="0" w:color="auto"/>
            <w:right w:val="none" w:sz="0" w:space="0" w:color="auto"/>
          </w:divBdr>
          <w:divsChild>
            <w:div w:id="1124078402">
              <w:marLeft w:val="0"/>
              <w:marRight w:val="0"/>
              <w:marTop w:val="0"/>
              <w:marBottom w:val="0"/>
              <w:divBdr>
                <w:top w:val="none" w:sz="0" w:space="0" w:color="auto"/>
                <w:left w:val="none" w:sz="0" w:space="0" w:color="auto"/>
                <w:bottom w:val="none" w:sz="0" w:space="0" w:color="auto"/>
                <w:right w:val="none" w:sz="0" w:space="0" w:color="auto"/>
              </w:divBdr>
            </w:div>
          </w:divsChild>
        </w:div>
        <w:div w:id="1473519922">
          <w:marLeft w:val="0"/>
          <w:marRight w:val="0"/>
          <w:marTop w:val="0"/>
          <w:marBottom w:val="0"/>
          <w:divBdr>
            <w:top w:val="none" w:sz="0" w:space="0" w:color="auto"/>
            <w:left w:val="none" w:sz="0" w:space="0" w:color="auto"/>
            <w:bottom w:val="none" w:sz="0" w:space="0" w:color="auto"/>
            <w:right w:val="none" w:sz="0" w:space="0" w:color="auto"/>
          </w:divBdr>
          <w:divsChild>
            <w:div w:id="387002210">
              <w:marLeft w:val="0"/>
              <w:marRight w:val="0"/>
              <w:marTop w:val="0"/>
              <w:marBottom w:val="0"/>
              <w:divBdr>
                <w:top w:val="none" w:sz="0" w:space="0" w:color="auto"/>
                <w:left w:val="none" w:sz="0" w:space="0" w:color="auto"/>
                <w:bottom w:val="none" w:sz="0" w:space="0" w:color="auto"/>
                <w:right w:val="none" w:sz="0" w:space="0" w:color="auto"/>
              </w:divBdr>
            </w:div>
            <w:div w:id="1634942663">
              <w:marLeft w:val="0"/>
              <w:marRight w:val="0"/>
              <w:marTop w:val="0"/>
              <w:marBottom w:val="0"/>
              <w:divBdr>
                <w:top w:val="none" w:sz="0" w:space="0" w:color="auto"/>
                <w:left w:val="none" w:sz="0" w:space="0" w:color="auto"/>
                <w:bottom w:val="none" w:sz="0" w:space="0" w:color="auto"/>
                <w:right w:val="none" w:sz="0" w:space="0" w:color="auto"/>
              </w:divBdr>
            </w:div>
            <w:div w:id="2082940534">
              <w:marLeft w:val="0"/>
              <w:marRight w:val="0"/>
              <w:marTop w:val="0"/>
              <w:marBottom w:val="0"/>
              <w:divBdr>
                <w:top w:val="none" w:sz="0" w:space="0" w:color="auto"/>
                <w:left w:val="none" w:sz="0" w:space="0" w:color="auto"/>
                <w:bottom w:val="none" w:sz="0" w:space="0" w:color="auto"/>
                <w:right w:val="none" w:sz="0" w:space="0" w:color="auto"/>
              </w:divBdr>
            </w:div>
          </w:divsChild>
        </w:div>
        <w:div w:id="1475640715">
          <w:marLeft w:val="0"/>
          <w:marRight w:val="0"/>
          <w:marTop w:val="0"/>
          <w:marBottom w:val="0"/>
          <w:divBdr>
            <w:top w:val="none" w:sz="0" w:space="0" w:color="auto"/>
            <w:left w:val="none" w:sz="0" w:space="0" w:color="auto"/>
            <w:bottom w:val="none" w:sz="0" w:space="0" w:color="auto"/>
            <w:right w:val="none" w:sz="0" w:space="0" w:color="auto"/>
          </w:divBdr>
          <w:divsChild>
            <w:div w:id="880483450">
              <w:marLeft w:val="0"/>
              <w:marRight w:val="0"/>
              <w:marTop w:val="0"/>
              <w:marBottom w:val="0"/>
              <w:divBdr>
                <w:top w:val="none" w:sz="0" w:space="0" w:color="auto"/>
                <w:left w:val="none" w:sz="0" w:space="0" w:color="auto"/>
                <w:bottom w:val="none" w:sz="0" w:space="0" w:color="auto"/>
                <w:right w:val="none" w:sz="0" w:space="0" w:color="auto"/>
              </w:divBdr>
            </w:div>
            <w:div w:id="2143644692">
              <w:marLeft w:val="0"/>
              <w:marRight w:val="0"/>
              <w:marTop w:val="0"/>
              <w:marBottom w:val="0"/>
              <w:divBdr>
                <w:top w:val="none" w:sz="0" w:space="0" w:color="auto"/>
                <w:left w:val="none" w:sz="0" w:space="0" w:color="auto"/>
                <w:bottom w:val="none" w:sz="0" w:space="0" w:color="auto"/>
                <w:right w:val="none" w:sz="0" w:space="0" w:color="auto"/>
              </w:divBdr>
            </w:div>
          </w:divsChild>
        </w:div>
        <w:div w:id="1477145259">
          <w:marLeft w:val="0"/>
          <w:marRight w:val="0"/>
          <w:marTop w:val="0"/>
          <w:marBottom w:val="0"/>
          <w:divBdr>
            <w:top w:val="none" w:sz="0" w:space="0" w:color="auto"/>
            <w:left w:val="none" w:sz="0" w:space="0" w:color="auto"/>
            <w:bottom w:val="none" w:sz="0" w:space="0" w:color="auto"/>
            <w:right w:val="none" w:sz="0" w:space="0" w:color="auto"/>
          </w:divBdr>
          <w:divsChild>
            <w:div w:id="519392330">
              <w:marLeft w:val="0"/>
              <w:marRight w:val="0"/>
              <w:marTop w:val="0"/>
              <w:marBottom w:val="0"/>
              <w:divBdr>
                <w:top w:val="none" w:sz="0" w:space="0" w:color="auto"/>
                <w:left w:val="none" w:sz="0" w:space="0" w:color="auto"/>
                <w:bottom w:val="none" w:sz="0" w:space="0" w:color="auto"/>
                <w:right w:val="none" w:sz="0" w:space="0" w:color="auto"/>
              </w:divBdr>
            </w:div>
            <w:div w:id="1587766987">
              <w:marLeft w:val="0"/>
              <w:marRight w:val="0"/>
              <w:marTop w:val="0"/>
              <w:marBottom w:val="0"/>
              <w:divBdr>
                <w:top w:val="none" w:sz="0" w:space="0" w:color="auto"/>
                <w:left w:val="none" w:sz="0" w:space="0" w:color="auto"/>
                <w:bottom w:val="none" w:sz="0" w:space="0" w:color="auto"/>
                <w:right w:val="none" w:sz="0" w:space="0" w:color="auto"/>
              </w:divBdr>
            </w:div>
          </w:divsChild>
        </w:div>
        <w:div w:id="1477381620">
          <w:marLeft w:val="0"/>
          <w:marRight w:val="0"/>
          <w:marTop w:val="0"/>
          <w:marBottom w:val="0"/>
          <w:divBdr>
            <w:top w:val="none" w:sz="0" w:space="0" w:color="auto"/>
            <w:left w:val="none" w:sz="0" w:space="0" w:color="auto"/>
            <w:bottom w:val="none" w:sz="0" w:space="0" w:color="auto"/>
            <w:right w:val="none" w:sz="0" w:space="0" w:color="auto"/>
          </w:divBdr>
          <w:divsChild>
            <w:div w:id="860893043">
              <w:marLeft w:val="0"/>
              <w:marRight w:val="0"/>
              <w:marTop w:val="0"/>
              <w:marBottom w:val="0"/>
              <w:divBdr>
                <w:top w:val="none" w:sz="0" w:space="0" w:color="auto"/>
                <w:left w:val="none" w:sz="0" w:space="0" w:color="auto"/>
                <w:bottom w:val="none" w:sz="0" w:space="0" w:color="auto"/>
                <w:right w:val="none" w:sz="0" w:space="0" w:color="auto"/>
              </w:divBdr>
            </w:div>
          </w:divsChild>
        </w:div>
        <w:div w:id="1479692494">
          <w:marLeft w:val="0"/>
          <w:marRight w:val="0"/>
          <w:marTop w:val="0"/>
          <w:marBottom w:val="0"/>
          <w:divBdr>
            <w:top w:val="none" w:sz="0" w:space="0" w:color="auto"/>
            <w:left w:val="none" w:sz="0" w:space="0" w:color="auto"/>
            <w:bottom w:val="none" w:sz="0" w:space="0" w:color="auto"/>
            <w:right w:val="none" w:sz="0" w:space="0" w:color="auto"/>
          </w:divBdr>
          <w:divsChild>
            <w:div w:id="1379431998">
              <w:marLeft w:val="0"/>
              <w:marRight w:val="0"/>
              <w:marTop w:val="0"/>
              <w:marBottom w:val="0"/>
              <w:divBdr>
                <w:top w:val="none" w:sz="0" w:space="0" w:color="auto"/>
                <w:left w:val="none" w:sz="0" w:space="0" w:color="auto"/>
                <w:bottom w:val="none" w:sz="0" w:space="0" w:color="auto"/>
                <w:right w:val="none" w:sz="0" w:space="0" w:color="auto"/>
              </w:divBdr>
            </w:div>
          </w:divsChild>
        </w:div>
        <w:div w:id="1480031197">
          <w:marLeft w:val="0"/>
          <w:marRight w:val="0"/>
          <w:marTop w:val="0"/>
          <w:marBottom w:val="0"/>
          <w:divBdr>
            <w:top w:val="none" w:sz="0" w:space="0" w:color="auto"/>
            <w:left w:val="none" w:sz="0" w:space="0" w:color="auto"/>
            <w:bottom w:val="none" w:sz="0" w:space="0" w:color="auto"/>
            <w:right w:val="none" w:sz="0" w:space="0" w:color="auto"/>
          </w:divBdr>
          <w:divsChild>
            <w:div w:id="1679888404">
              <w:marLeft w:val="0"/>
              <w:marRight w:val="0"/>
              <w:marTop w:val="0"/>
              <w:marBottom w:val="0"/>
              <w:divBdr>
                <w:top w:val="none" w:sz="0" w:space="0" w:color="auto"/>
                <w:left w:val="none" w:sz="0" w:space="0" w:color="auto"/>
                <w:bottom w:val="none" w:sz="0" w:space="0" w:color="auto"/>
                <w:right w:val="none" w:sz="0" w:space="0" w:color="auto"/>
              </w:divBdr>
            </w:div>
            <w:div w:id="1826164583">
              <w:marLeft w:val="0"/>
              <w:marRight w:val="0"/>
              <w:marTop w:val="0"/>
              <w:marBottom w:val="0"/>
              <w:divBdr>
                <w:top w:val="none" w:sz="0" w:space="0" w:color="auto"/>
                <w:left w:val="none" w:sz="0" w:space="0" w:color="auto"/>
                <w:bottom w:val="none" w:sz="0" w:space="0" w:color="auto"/>
                <w:right w:val="none" w:sz="0" w:space="0" w:color="auto"/>
              </w:divBdr>
            </w:div>
          </w:divsChild>
        </w:div>
        <w:div w:id="1497650684">
          <w:marLeft w:val="0"/>
          <w:marRight w:val="0"/>
          <w:marTop w:val="0"/>
          <w:marBottom w:val="0"/>
          <w:divBdr>
            <w:top w:val="none" w:sz="0" w:space="0" w:color="auto"/>
            <w:left w:val="none" w:sz="0" w:space="0" w:color="auto"/>
            <w:bottom w:val="none" w:sz="0" w:space="0" w:color="auto"/>
            <w:right w:val="none" w:sz="0" w:space="0" w:color="auto"/>
          </w:divBdr>
          <w:divsChild>
            <w:div w:id="1281375038">
              <w:marLeft w:val="0"/>
              <w:marRight w:val="0"/>
              <w:marTop w:val="0"/>
              <w:marBottom w:val="0"/>
              <w:divBdr>
                <w:top w:val="none" w:sz="0" w:space="0" w:color="auto"/>
                <w:left w:val="none" w:sz="0" w:space="0" w:color="auto"/>
                <w:bottom w:val="none" w:sz="0" w:space="0" w:color="auto"/>
                <w:right w:val="none" w:sz="0" w:space="0" w:color="auto"/>
              </w:divBdr>
            </w:div>
          </w:divsChild>
        </w:div>
        <w:div w:id="1503668438">
          <w:marLeft w:val="0"/>
          <w:marRight w:val="0"/>
          <w:marTop w:val="0"/>
          <w:marBottom w:val="0"/>
          <w:divBdr>
            <w:top w:val="none" w:sz="0" w:space="0" w:color="auto"/>
            <w:left w:val="none" w:sz="0" w:space="0" w:color="auto"/>
            <w:bottom w:val="none" w:sz="0" w:space="0" w:color="auto"/>
            <w:right w:val="none" w:sz="0" w:space="0" w:color="auto"/>
          </w:divBdr>
          <w:divsChild>
            <w:div w:id="238055180">
              <w:marLeft w:val="0"/>
              <w:marRight w:val="0"/>
              <w:marTop w:val="0"/>
              <w:marBottom w:val="0"/>
              <w:divBdr>
                <w:top w:val="none" w:sz="0" w:space="0" w:color="auto"/>
                <w:left w:val="none" w:sz="0" w:space="0" w:color="auto"/>
                <w:bottom w:val="none" w:sz="0" w:space="0" w:color="auto"/>
                <w:right w:val="none" w:sz="0" w:space="0" w:color="auto"/>
              </w:divBdr>
            </w:div>
            <w:div w:id="977879915">
              <w:marLeft w:val="0"/>
              <w:marRight w:val="0"/>
              <w:marTop w:val="0"/>
              <w:marBottom w:val="0"/>
              <w:divBdr>
                <w:top w:val="none" w:sz="0" w:space="0" w:color="auto"/>
                <w:left w:val="none" w:sz="0" w:space="0" w:color="auto"/>
                <w:bottom w:val="none" w:sz="0" w:space="0" w:color="auto"/>
                <w:right w:val="none" w:sz="0" w:space="0" w:color="auto"/>
              </w:divBdr>
            </w:div>
          </w:divsChild>
        </w:div>
        <w:div w:id="1518614242">
          <w:marLeft w:val="0"/>
          <w:marRight w:val="0"/>
          <w:marTop w:val="0"/>
          <w:marBottom w:val="0"/>
          <w:divBdr>
            <w:top w:val="none" w:sz="0" w:space="0" w:color="auto"/>
            <w:left w:val="none" w:sz="0" w:space="0" w:color="auto"/>
            <w:bottom w:val="none" w:sz="0" w:space="0" w:color="auto"/>
            <w:right w:val="none" w:sz="0" w:space="0" w:color="auto"/>
          </w:divBdr>
          <w:divsChild>
            <w:div w:id="116418683">
              <w:marLeft w:val="0"/>
              <w:marRight w:val="0"/>
              <w:marTop w:val="0"/>
              <w:marBottom w:val="0"/>
              <w:divBdr>
                <w:top w:val="none" w:sz="0" w:space="0" w:color="auto"/>
                <w:left w:val="none" w:sz="0" w:space="0" w:color="auto"/>
                <w:bottom w:val="none" w:sz="0" w:space="0" w:color="auto"/>
                <w:right w:val="none" w:sz="0" w:space="0" w:color="auto"/>
              </w:divBdr>
            </w:div>
            <w:div w:id="1255357470">
              <w:marLeft w:val="0"/>
              <w:marRight w:val="0"/>
              <w:marTop w:val="0"/>
              <w:marBottom w:val="0"/>
              <w:divBdr>
                <w:top w:val="none" w:sz="0" w:space="0" w:color="auto"/>
                <w:left w:val="none" w:sz="0" w:space="0" w:color="auto"/>
                <w:bottom w:val="none" w:sz="0" w:space="0" w:color="auto"/>
                <w:right w:val="none" w:sz="0" w:space="0" w:color="auto"/>
              </w:divBdr>
            </w:div>
            <w:div w:id="1511093398">
              <w:marLeft w:val="0"/>
              <w:marRight w:val="0"/>
              <w:marTop w:val="0"/>
              <w:marBottom w:val="0"/>
              <w:divBdr>
                <w:top w:val="none" w:sz="0" w:space="0" w:color="auto"/>
                <w:left w:val="none" w:sz="0" w:space="0" w:color="auto"/>
                <w:bottom w:val="none" w:sz="0" w:space="0" w:color="auto"/>
                <w:right w:val="none" w:sz="0" w:space="0" w:color="auto"/>
              </w:divBdr>
            </w:div>
            <w:div w:id="1744451548">
              <w:marLeft w:val="0"/>
              <w:marRight w:val="0"/>
              <w:marTop w:val="0"/>
              <w:marBottom w:val="0"/>
              <w:divBdr>
                <w:top w:val="none" w:sz="0" w:space="0" w:color="auto"/>
                <w:left w:val="none" w:sz="0" w:space="0" w:color="auto"/>
                <w:bottom w:val="none" w:sz="0" w:space="0" w:color="auto"/>
                <w:right w:val="none" w:sz="0" w:space="0" w:color="auto"/>
              </w:divBdr>
            </w:div>
          </w:divsChild>
        </w:div>
        <w:div w:id="1524175447">
          <w:marLeft w:val="0"/>
          <w:marRight w:val="0"/>
          <w:marTop w:val="0"/>
          <w:marBottom w:val="0"/>
          <w:divBdr>
            <w:top w:val="none" w:sz="0" w:space="0" w:color="auto"/>
            <w:left w:val="none" w:sz="0" w:space="0" w:color="auto"/>
            <w:bottom w:val="none" w:sz="0" w:space="0" w:color="auto"/>
            <w:right w:val="none" w:sz="0" w:space="0" w:color="auto"/>
          </w:divBdr>
          <w:divsChild>
            <w:div w:id="1021778594">
              <w:marLeft w:val="0"/>
              <w:marRight w:val="0"/>
              <w:marTop w:val="0"/>
              <w:marBottom w:val="0"/>
              <w:divBdr>
                <w:top w:val="none" w:sz="0" w:space="0" w:color="auto"/>
                <w:left w:val="none" w:sz="0" w:space="0" w:color="auto"/>
                <w:bottom w:val="none" w:sz="0" w:space="0" w:color="auto"/>
                <w:right w:val="none" w:sz="0" w:space="0" w:color="auto"/>
              </w:divBdr>
            </w:div>
          </w:divsChild>
        </w:div>
        <w:div w:id="1534885111">
          <w:marLeft w:val="0"/>
          <w:marRight w:val="0"/>
          <w:marTop w:val="0"/>
          <w:marBottom w:val="0"/>
          <w:divBdr>
            <w:top w:val="none" w:sz="0" w:space="0" w:color="auto"/>
            <w:left w:val="none" w:sz="0" w:space="0" w:color="auto"/>
            <w:bottom w:val="none" w:sz="0" w:space="0" w:color="auto"/>
            <w:right w:val="none" w:sz="0" w:space="0" w:color="auto"/>
          </w:divBdr>
          <w:divsChild>
            <w:div w:id="2068607140">
              <w:marLeft w:val="0"/>
              <w:marRight w:val="0"/>
              <w:marTop w:val="0"/>
              <w:marBottom w:val="0"/>
              <w:divBdr>
                <w:top w:val="none" w:sz="0" w:space="0" w:color="auto"/>
                <w:left w:val="none" w:sz="0" w:space="0" w:color="auto"/>
                <w:bottom w:val="none" w:sz="0" w:space="0" w:color="auto"/>
                <w:right w:val="none" w:sz="0" w:space="0" w:color="auto"/>
              </w:divBdr>
            </w:div>
          </w:divsChild>
        </w:div>
        <w:div w:id="1537737481">
          <w:marLeft w:val="0"/>
          <w:marRight w:val="0"/>
          <w:marTop w:val="0"/>
          <w:marBottom w:val="0"/>
          <w:divBdr>
            <w:top w:val="none" w:sz="0" w:space="0" w:color="auto"/>
            <w:left w:val="none" w:sz="0" w:space="0" w:color="auto"/>
            <w:bottom w:val="none" w:sz="0" w:space="0" w:color="auto"/>
            <w:right w:val="none" w:sz="0" w:space="0" w:color="auto"/>
          </w:divBdr>
          <w:divsChild>
            <w:div w:id="116262588">
              <w:marLeft w:val="0"/>
              <w:marRight w:val="0"/>
              <w:marTop w:val="0"/>
              <w:marBottom w:val="0"/>
              <w:divBdr>
                <w:top w:val="none" w:sz="0" w:space="0" w:color="auto"/>
                <w:left w:val="none" w:sz="0" w:space="0" w:color="auto"/>
                <w:bottom w:val="none" w:sz="0" w:space="0" w:color="auto"/>
                <w:right w:val="none" w:sz="0" w:space="0" w:color="auto"/>
              </w:divBdr>
            </w:div>
            <w:div w:id="1108622163">
              <w:marLeft w:val="0"/>
              <w:marRight w:val="0"/>
              <w:marTop w:val="0"/>
              <w:marBottom w:val="0"/>
              <w:divBdr>
                <w:top w:val="none" w:sz="0" w:space="0" w:color="auto"/>
                <w:left w:val="none" w:sz="0" w:space="0" w:color="auto"/>
                <w:bottom w:val="none" w:sz="0" w:space="0" w:color="auto"/>
                <w:right w:val="none" w:sz="0" w:space="0" w:color="auto"/>
              </w:divBdr>
            </w:div>
          </w:divsChild>
        </w:div>
        <w:div w:id="1545752660">
          <w:marLeft w:val="0"/>
          <w:marRight w:val="0"/>
          <w:marTop w:val="0"/>
          <w:marBottom w:val="0"/>
          <w:divBdr>
            <w:top w:val="none" w:sz="0" w:space="0" w:color="auto"/>
            <w:left w:val="none" w:sz="0" w:space="0" w:color="auto"/>
            <w:bottom w:val="none" w:sz="0" w:space="0" w:color="auto"/>
            <w:right w:val="none" w:sz="0" w:space="0" w:color="auto"/>
          </w:divBdr>
          <w:divsChild>
            <w:div w:id="1792281977">
              <w:marLeft w:val="0"/>
              <w:marRight w:val="0"/>
              <w:marTop w:val="0"/>
              <w:marBottom w:val="0"/>
              <w:divBdr>
                <w:top w:val="none" w:sz="0" w:space="0" w:color="auto"/>
                <w:left w:val="none" w:sz="0" w:space="0" w:color="auto"/>
                <w:bottom w:val="none" w:sz="0" w:space="0" w:color="auto"/>
                <w:right w:val="none" w:sz="0" w:space="0" w:color="auto"/>
              </w:divBdr>
            </w:div>
            <w:div w:id="1801460120">
              <w:marLeft w:val="0"/>
              <w:marRight w:val="0"/>
              <w:marTop w:val="0"/>
              <w:marBottom w:val="0"/>
              <w:divBdr>
                <w:top w:val="none" w:sz="0" w:space="0" w:color="auto"/>
                <w:left w:val="none" w:sz="0" w:space="0" w:color="auto"/>
                <w:bottom w:val="none" w:sz="0" w:space="0" w:color="auto"/>
                <w:right w:val="none" w:sz="0" w:space="0" w:color="auto"/>
              </w:divBdr>
            </w:div>
          </w:divsChild>
        </w:div>
        <w:div w:id="1565489067">
          <w:marLeft w:val="0"/>
          <w:marRight w:val="0"/>
          <w:marTop w:val="0"/>
          <w:marBottom w:val="0"/>
          <w:divBdr>
            <w:top w:val="none" w:sz="0" w:space="0" w:color="auto"/>
            <w:left w:val="none" w:sz="0" w:space="0" w:color="auto"/>
            <w:bottom w:val="none" w:sz="0" w:space="0" w:color="auto"/>
            <w:right w:val="none" w:sz="0" w:space="0" w:color="auto"/>
          </w:divBdr>
          <w:divsChild>
            <w:div w:id="1359812719">
              <w:marLeft w:val="0"/>
              <w:marRight w:val="0"/>
              <w:marTop w:val="0"/>
              <w:marBottom w:val="0"/>
              <w:divBdr>
                <w:top w:val="none" w:sz="0" w:space="0" w:color="auto"/>
                <w:left w:val="none" w:sz="0" w:space="0" w:color="auto"/>
                <w:bottom w:val="none" w:sz="0" w:space="0" w:color="auto"/>
                <w:right w:val="none" w:sz="0" w:space="0" w:color="auto"/>
              </w:divBdr>
            </w:div>
          </w:divsChild>
        </w:div>
        <w:div w:id="1578589944">
          <w:marLeft w:val="0"/>
          <w:marRight w:val="0"/>
          <w:marTop w:val="0"/>
          <w:marBottom w:val="0"/>
          <w:divBdr>
            <w:top w:val="none" w:sz="0" w:space="0" w:color="auto"/>
            <w:left w:val="none" w:sz="0" w:space="0" w:color="auto"/>
            <w:bottom w:val="none" w:sz="0" w:space="0" w:color="auto"/>
            <w:right w:val="none" w:sz="0" w:space="0" w:color="auto"/>
          </w:divBdr>
          <w:divsChild>
            <w:div w:id="1107651467">
              <w:marLeft w:val="0"/>
              <w:marRight w:val="0"/>
              <w:marTop w:val="0"/>
              <w:marBottom w:val="0"/>
              <w:divBdr>
                <w:top w:val="none" w:sz="0" w:space="0" w:color="auto"/>
                <w:left w:val="none" w:sz="0" w:space="0" w:color="auto"/>
                <w:bottom w:val="none" w:sz="0" w:space="0" w:color="auto"/>
                <w:right w:val="none" w:sz="0" w:space="0" w:color="auto"/>
              </w:divBdr>
            </w:div>
          </w:divsChild>
        </w:div>
        <w:div w:id="1583830635">
          <w:marLeft w:val="0"/>
          <w:marRight w:val="0"/>
          <w:marTop w:val="0"/>
          <w:marBottom w:val="0"/>
          <w:divBdr>
            <w:top w:val="none" w:sz="0" w:space="0" w:color="auto"/>
            <w:left w:val="none" w:sz="0" w:space="0" w:color="auto"/>
            <w:bottom w:val="none" w:sz="0" w:space="0" w:color="auto"/>
            <w:right w:val="none" w:sz="0" w:space="0" w:color="auto"/>
          </w:divBdr>
          <w:divsChild>
            <w:div w:id="1371606756">
              <w:marLeft w:val="0"/>
              <w:marRight w:val="0"/>
              <w:marTop w:val="0"/>
              <w:marBottom w:val="0"/>
              <w:divBdr>
                <w:top w:val="none" w:sz="0" w:space="0" w:color="auto"/>
                <w:left w:val="none" w:sz="0" w:space="0" w:color="auto"/>
                <w:bottom w:val="none" w:sz="0" w:space="0" w:color="auto"/>
                <w:right w:val="none" w:sz="0" w:space="0" w:color="auto"/>
              </w:divBdr>
            </w:div>
            <w:div w:id="1595091122">
              <w:marLeft w:val="0"/>
              <w:marRight w:val="0"/>
              <w:marTop w:val="0"/>
              <w:marBottom w:val="0"/>
              <w:divBdr>
                <w:top w:val="none" w:sz="0" w:space="0" w:color="auto"/>
                <w:left w:val="none" w:sz="0" w:space="0" w:color="auto"/>
                <w:bottom w:val="none" w:sz="0" w:space="0" w:color="auto"/>
                <w:right w:val="none" w:sz="0" w:space="0" w:color="auto"/>
              </w:divBdr>
            </w:div>
          </w:divsChild>
        </w:div>
        <w:div w:id="1586919268">
          <w:marLeft w:val="0"/>
          <w:marRight w:val="0"/>
          <w:marTop w:val="0"/>
          <w:marBottom w:val="0"/>
          <w:divBdr>
            <w:top w:val="none" w:sz="0" w:space="0" w:color="auto"/>
            <w:left w:val="none" w:sz="0" w:space="0" w:color="auto"/>
            <w:bottom w:val="none" w:sz="0" w:space="0" w:color="auto"/>
            <w:right w:val="none" w:sz="0" w:space="0" w:color="auto"/>
          </w:divBdr>
          <w:divsChild>
            <w:div w:id="1211116533">
              <w:marLeft w:val="0"/>
              <w:marRight w:val="0"/>
              <w:marTop w:val="0"/>
              <w:marBottom w:val="0"/>
              <w:divBdr>
                <w:top w:val="none" w:sz="0" w:space="0" w:color="auto"/>
                <w:left w:val="none" w:sz="0" w:space="0" w:color="auto"/>
                <w:bottom w:val="none" w:sz="0" w:space="0" w:color="auto"/>
                <w:right w:val="none" w:sz="0" w:space="0" w:color="auto"/>
              </w:divBdr>
            </w:div>
          </w:divsChild>
        </w:div>
        <w:div w:id="1591967053">
          <w:marLeft w:val="0"/>
          <w:marRight w:val="0"/>
          <w:marTop w:val="0"/>
          <w:marBottom w:val="0"/>
          <w:divBdr>
            <w:top w:val="none" w:sz="0" w:space="0" w:color="auto"/>
            <w:left w:val="none" w:sz="0" w:space="0" w:color="auto"/>
            <w:bottom w:val="none" w:sz="0" w:space="0" w:color="auto"/>
            <w:right w:val="none" w:sz="0" w:space="0" w:color="auto"/>
          </w:divBdr>
          <w:divsChild>
            <w:div w:id="421999956">
              <w:marLeft w:val="0"/>
              <w:marRight w:val="0"/>
              <w:marTop w:val="0"/>
              <w:marBottom w:val="0"/>
              <w:divBdr>
                <w:top w:val="none" w:sz="0" w:space="0" w:color="auto"/>
                <w:left w:val="none" w:sz="0" w:space="0" w:color="auto"/>
                <w:bottom w:val="none" w:sz="0" w:space="0" w:color="auto"/>
                <w:right w:val="none" w:sz="0" w:space="0" w:color="auto"/>
              </w:divBdr>
            </w:div>
          </w:divsChild>
        </w:div>
        <w:div w:id="1594245729">
          <w:marLeft w:val="0"/>
          <w:marRight w:val="0"/>
          <w:marTop w:val="0"/>
          <w:marBottom w:val="0"/>
          <w:divBdr>
            <w:top w:val="none" w:sz="0" w:space="0" w:color="auto"/>
            <w:left w:val="none" w:sz="0" w:space="0" w:color="auto"/>
            <w:bottom w:val="none" w:sz="0" w:space="0" w:color="auto"/>
            <w:right w:val="none" w:sz="0" w:space="0" w:color="auto"/>
          </w:divBdr>
          <w:divsChild>
            <w:div w:id="740367084">
              <w:marLeft w:val="0"/>
              <w:marRight w:val="0"/>
              <w:marTop w:val="0"/>
              <w:marBottom w:val="0"/>
              <w:divBdr>
                <w:top w:val="none" w:sz="0" w:space="0" w:color="auto"/>
                <w:left w:val="none" w:sz="0" w:space="0" w:color="auto"/>
                <w:bottom w:val="none" w:sz="0" w:space="0" w:color="auto"/>
                <w:right w:val="none" w:sz="0" w:space="0" w:color="auto"/>
              </w:divBdr>
            </w:div>
            <w:div w:id="1299844913">
              <w:marLeft w:val="0"/>
              <w:marRight w:val="0"/>
              <w:marTop w:val="0"/>
              <w:marBottom w:val="0"/>
              <w:divBdr>
                <w:top w:val="none" w:sz="0" w:space="0" w:color="auto"/>
                <w:left w:val="none" w:sz="0" w:space="0" w:color="auto"/>
                <w:bottom w:val="none" w:sz="0" w:space="0" w:color="auto"/>
                <w:right w:val="none" w:sz="0" w:space="0" w:color="auto"/>
              </w:divBdr>
            </w:div>
            <w:div w:id="1769421744">
              <w:marLeft w:val="0"/>
              <w:marRight w:val="0"/>
              <w:marTop w:val="0"/>
              <w:marBottom w:val="0"/>
              <w:divBdr>
                <w:top w:val="none" w:sz="0" w:space="0" w:color="auto"/>
                <w:left w:val="none" w:sz="0" w:space="0" w:color="auto"/>
                <w:bottom w:val="none" w:sz="0" w:space="0" w:color="auto"/>
                <w:right w:val="none" w:sz="0" w:space="0" w:color="auto"/>
              </w:divBdr>
            </w:div>
          </w:divsChild>
        </w:div>
        <w:div w:id="1610772743">
          <w:marLeft w:val="0"/>
          <w:marRight w:val="0"/>
          <w:marTop w:val="0"/>
          <w:marBottom w:val="0"/>
          <w:divBdr>
            <w:top w:val="none" w:sz="0" w:space="0" w:color="auto"/>
            <w:left w:val="none" w:sz="0" w:space="0" w:color="auto"/>
            <w:bottom w:val="none" w:sz="0" w:space="0" w:color="auto"/>
            <w:right w:val="none" w:sz="0" w:space="0" w:color="auto"/>
          </w:divBdr>
          <w:divsChild>
            <w:div w:id="539509641">
              <w:marLeft w:val="0"/>
              <w:marRight w:val="0"/>
              <w:marTop w:val="0"/>
              <w:marBottom w:val="0"/>
              <w:divBdr>
                <w:top w:val="none" w:sz="0" w:space="0" w:color="auto"/>
                <w:left w:val="none" w:sz="0" w:space="0" w:color="auto"/>
                <w:bottom w:val="none" w:sz="0" w:space="0" w:color="auto"/>
                <w:right w:val="none" w:sz="0" w:space="0" w:color="auto"/>
              </w:divBdr>
            </w:div>
            <w:div w:id="1813937410">
              <w:marLeft w:val="0"/>
              <w:marRight w:val="0"/>
              <w:marTop w:val="0"/>
              <w:marBottom w:val="0"/>
              <w:divBdr>
                <w:top w:val="none" w:sz="0" w:space="0" w:color="auto"/>
                <w:left w:val="none" w:sz="0" w:space="0" w:color="auto"/>
                <w:bottom w:val="none" w:sz="0" w:space="0" w:color="auto"/>
                <w:right w:val="none" w:sz="0" w:space="0" w:color="auto"/>
              </w:divBdr>
            </w:div>
          </w:divsChild>
        </w:div>
        <w:div w:id="1611859056">
          <w:marLeft w:val="0"/>
          <w:marRight w:val="0"/>
          <w:marTop w:val="0"/>
          <w:marBottom w:val="0"/>
          <w:divBdr>
            <w:top w:val="none" w:sz="0" w:space="0" w:color="auto"/>
            <w:left w:val="none" w:sz="0" w:space="0" w:color="auto"/>
            <w:bottom w:val="none" w:sz="0" w:space="0" w:color="auto"/>
            <w:right w:val="none" w:sz="0" w:space="0" w:color="auto"/>
          </w:divBdr>
          <w:divsChild>
            <w:div w:id="701830725">
              <w:marLeft w:val="0"/>
              <w:marRight w:val="0"/>
              <w:marTop w:val="0"/>
              <w:marBottom w:val="0"/>
              <w:divBdr>
                <w:top w:val="none" w:sz="0" w:space="0" w:color="auto"/>
                <w:left w:val="none" w:sz="0" w:space="0" w:color="auto"/>
                <w:bottom w:val="none" w:sz="0" w:space="0" w:color="auto"/>
                <w:right w:val="none" w:sz="0" w:space="0" w:color="auto"/>
              </w:divBdr>
            </w:div>
          </w:divsChild>
        </w:div>
        <w:div w:id="1619919290">
          <w:marLeft w:val="0"/>
          <w:marRight w:val="0"/>
          <w:marTop w:val="0"/>
          <w:marBottom w:val="0"/>
          <w:divBdr>
            <w:top w:val="none" w:sz="0" w:space="0" w:color="auto"/>
            <w:left w:val="none" w:sz="0" w:space="0" w:color="auto"/>
            <w:bottom w:val="none" w:sz="0" w:space="0" w:color="auto"/>
            <w:right w:val="none" w:sz="0" w:space="0" w:color="auto"/>
          </w:divBdr>
          <w:divsChild>
            <w:div w:id="215315573">
              <w:marLeft w:val="0"/>
              <w:marRight w:val="0"/>
              <w:marTop w:val="0"/>
              <w:marBottom w:val="0"/>
              <w:divBdr>
                <w:top w:val="none" w:sz="0" w:space="0" w:color="auto"/>
                <w:left w:val="none" w:sz="0" w:space="0" w:color="auto"/>
                <w:bottom w:val="none" w:sz="0" w:space="0" w:color="auto"/>
                <w:right w:val="none" w:sz="0" w:space="0" w:color="auto"/>
              </w:divBdr>
            </w:div>
          </w:divsChild>
        </w:div>
        <w:div w:id="1621566977">
          <w:marLeft w:val="0"/>
          <w:marRight w:val="0"/>
          <w:marTop w:val="0"/>
          <w:marBottom w:val="0"/>
          <w:divBdr>
            <w:top w:val="none" w:sz="0" w:space="0" w:color="auto"/>
            <w:left w:val="none" w:sz="0" w:space="0" w:color="auto"/>
            <w:bottom w:val="none" w:sz="0" w:space="0" w:color="auto"/>
            <w:right w:val="none" w:sz="0" w:space="0" w:color="auto"/>
          </w:divBdr>
          <w:divsChild>
            <w:div w:id="1320883778">
              <w:marLeft w:val="0"/>
              <w:marRight w:val="0"/>
              <w:marTop w:val="0"/>
              <w:marBottom w:val="0"/>
              <w:divBdr>
                <w:top w:val="none" w:sz="0" w:space="0" w:color="auto"/>
                <w:left w:val="none" w:sz="0" w:space="0" w:color="auto"/>
                <w:bottom w:val="none" w:sz="0" w:space="0" w:color="auto"/>
                <w:right w:val="none" w:sz="0" w:space="0" w:color="auto"/>
              </w:divBdr>
            </w:div>
          </w:divsChild>
        </w:div>
        <w:div w:id="1621689172">
          <w:marLeft w:val="0"/>
          <w:marRight w:val="0"/>
          <w:marTop w:val="0"/>
          <w:marBottom w:val="0"/>
          <w:divBdr>
            <w:top w:val="none" w:sz="0" w:space="0" w:color="auto"/>
            <w:left w:val="none" w:sz="0" w:space="0" w:color="auto"/>
            <w:bottom w:val="none" w:sz="0" w:space="0" w:color="auto"/>
            <w:right w:val="none" w:sz="0" w:space="0" w:color="auto"/>
          </w:divBdr>
          <w:divsChild>
            <w:div w:id="821120008">
              <w:marLeft w:val="0"/>
              <w:marRight w:val="0"/>
              <w:marTop w:val="0"/>
              <w:marBottom w:val="0"/>
              <w:divBdr>
                <w:top w:val="none" w:sz="0" w:space="0" w:color="auto"/>
                <w:left w:val="none" w:sz="0" w:space="0" w:color="auto"/>
                <w:bottom w:val="none" w:sz="0" w:space="0" w:color="auto"/>
                <w:right w:val="none" w:sz="0" w:space="0" w:color="auto"/>
              </w:divBdr>
            </w:div>
          </w:divsChild>
        </w:div>
        <w:div w:id="1625429911">
          <w:marLeft w:val="0"/>
          <w:marRight w:val="0"/>
          <w:marTop w:val="0"/>
          <w:marBottom w:val="0"/>
          <w:divBdr>
            <w:top w:val="none" w:sz="0" w:space="0" w:color="auto"/>
            <w:left w:val="none" w:sz="0" w:space="0" w:color="auto"/>
            <w:bottom w:val="none" w:sz="0" w:space="0" w:color="auto"/>
            <w:right w:val="none" w:sz="0" w:space="0" w:color="auto"/>
          </w:divBdr>
          <w:divsChild>
            <w:div w:id="998851508">
              <w:marLeft w:val="0"/>
              <w:marRight w:val="0"/>
              <w:marTop w:val="0"/>
              <w:marBottom w:val="0"/>
              <w:divBdr>
                <w:top w:val="none" w:sz="0" w:space="0" w:color="auto"/>
                <w:left w:val="none" w:sz="0" w:space="0" w:color="auto"/>
                <w:bottom w:val="none" w:sz="0" w:space="0" w:color="auto"/>
                <w:right w:val="none" w:sz="0" w:space="0" w:color="auto"/>
              </w:divBdr>
            </w:div>
          </w:divsChild>
        </w:div>
        <w:div w:id="1626814735">
          <w:marLeft w:val="0"/>
          <w:marRight w:val="0"/>
          <w:marTop w:val="0"/>
          <w:marBottom w:val="0"/>
          <w:divBdr>
            <w:top w:val="none" w:sz="0" w:space="0" w:color="auto"/>
            <w:left w:val="none" w:sz="0" w:space="0" w:color="auto"/>
            <w:bottom w:val="none" w:sz="0" w:space="0" w:color="auto"/>
            <w:right w:val="none" w:sz="0" w:space="0" w:color="auto"/>
          </w:divBdr>
          <w:divsChild>
            <w:div w:id="1369641087">
              <w:marLeft w:val="0"/>
              <w:marRight w:val="0"/>
              <w:marTop w:val="0"/>
              <w:marBottom w:val="0"/>
              <w:divBdr>
                <w:top w:val="none" w:sz="0" w:space="0" w:color="auto"/>
                <w:left w:val="none" w:sz="0" w:space="0" w:color="auto"/>
                <w:bottom w:val="none" w:sz="0" w:space="0" w:color="auto"/>
                <w:right w:val="none" w:sz="0" w:space="0" w:color="auto"/>
              </w:divBdr>
            </w:div>
            <w:div w:id="1900047863">
              <w:marLeft w:val="0"/>
              <w:marRight w:val="0"/>
              <w:marTop w:val="0"/>
              <w:marBottom w:val="0"/>
              <w:divBdr>
                <w:top w:val="none" w:sz="0" w:space="0" w:color="auto"/>
                <w:left w:val="none" w:sz="0" w:space="0" w:color="auto"/>
                <w:bottom w:val="none" w:sz="0" w:space="0" w:color="auto"/>
                <w:right w:val="none" w:sz="0" w:space="0" w:color="auto"/>
              </w:divBdr>
            </w:div>
          </w:divsChild>
        </w:div>
        <w:div w:id="1629311049">
          <w:marLeft w:val="0"/>
          <w:marRight w:val="0"/>
          <w:marTop w:val="0"/>
          <w:marBottom w:val="0"/>
          <w:divBdr>
            <w:top w:val="none" w:sz="0" w:space="0" w:color="auto"/>
            <w:left w:val="none" w:sz="0" w:space="0" w:color="auto"/>
            <w:bottom w:val="none" w:sz="0" w:space="0" w:color="auto"/>
            <w:right w:val="none" w:sz="0" w:space="0" w:color="auto"/>
          </w:divBdr>
          <w:divsChild>
            <w:div w:id="307826415">
              <w:marLeft w:val="0"/>
              <w:marRight w:val="0"/>
              <w:marTop w:val="0"/>
              <w:marBottom w:val="0"/>
              <w:divBdr>
                <w:top w:val="none" w:sz="0" w:space="0" w:color="auto"/>
                <w:left w:val="none" w:sz="0" w:space="0" w:color="auto"/>
                <w:bottom w:val="none" w:sz="0" w:space="0" w:color="auto"/>
                <w:right w:val="none" w:sz="0" w:space="0" w:color="auto"/>
              </w:divBdr>
            </w:div>
            <w:div w:id="744374146">
              <w:marLeft w:val="0"/>
              <w:marRight w:val="0"/>
              <w:marTop w:val="0"/>
              <w:marBottom w:val="0"/>
              <w:divBdr>
                <w:top w:val="none" w:sz="0" w:space="0" w:color="auto"/>
                <w:left w:val="none" w:sz="0" w:space="0" w:color="auto"/>
                <w:bottom w:val="none" w:sz="0" w:space="0" w:color="auto"/>
                <w:right w:val="none" w:sz="0" w:space="0" w:color="auto"/>
              </w:divBdr>
            </w:div>
            <w:div w:id="1670213999">
              <w:marLeft w:val="0"/>
              <w:marRight w:val="0"/>
              <w:marTop w:val="0"/>
              <w:marBottom w:val="0"/>
              <w:divBdr>
                <w:top w:val="none" w:sz="0" w:space="0" w:color="auto"/>
                <w:left w:val="none" w:sz="0" w:space="0" w:color="auto"/>
                <w:bottom w:val="none" w:sz="0" w:space="0" w:color="auto"/>
                <w:right w:val="none" w:sz="0" w:space="0" w:color="auto"/>
              </w:divBdr>
            </w:div>
            <w:div w:id="1968467466">
              <w:marLeft w:val="0"/>
              <w:marRight w:val="0"/>
              <w:marTop w:val="0"/>
              <w:marBottom w:val="0"/>
              <w:divBdr>
                <w:top w:val="none" w:sz="0" w:space="0" w:color="auto"/>
                <w:left w:val="none" w:sz="0" w:space="0" w:color="auto"/>
                <w:bottom w:val="none" w:sz="0" w:space="0" w:color="auto"/>
                <w:right w:val="none" w:sz="0" w:space="0" w:color="auto"/>
              </w:divBdr>
            </w:div>
          </w:divsChild>
        </w:div>
        <w:div w:id="1630092618">
          <w:marLeft w:val="0"/>
          <w:marRight w:val="0"/>
          <w:marTop w:val="0"/>
          <w:marBottom w:val="0"/>
          <w:divBdr>
            <w:top w:val="none" w:sz="0" w:space="0" w:color="auto"/>
            <w:left w:val="none" w:sz="0" w:space="0" w:color="auto"/>
            <w:bottom w:val="none" w:sz="0" w:space="0" w:color="auto"/>
            <w:right w:val="none" w:sz="0" w:space="0" w:color="auto"/>
          </w:divBdr>
          <w:divsChild>
            <w:div w:id="340473305">
              <w:marLeft w:val="0"/>
              <w:marRight w:val="0"/>
              <w:marTop w:val="0"/>
              <w:marBottom w:val="0"/>
              <w:divBdr>
                <w:top w:val="none" w:sz="0" w:space="0" w:color="auto"/>
                <w:left w:val="none" w:sz="0" w:space="0" w:color="auto"/>
                <w:bottom w:val="none" w:sz="0" w:space="0" w:color="auto"/>
                <w:right w:val="none" w:sz="0" w:space="0" w:color="auto"/>
              </w:divBdr>
            </w:div>
          </w:divsChild>
        </w:div>
        <w:div w:id="1633710076">
          <w:marLeft w:val="0"/>
          <w:marRight w:val="0"/>
          <w:marTop w:val="0"/>
          <w:marBottom w:val="0"/>
          <w:divBdr>
            <w:top w:val="none" w:sz="0" w:space="0" w:color="auto"/>
            <w:left w:val="none" w:sz="0" w:space="0" w:color="auto"/>
            <w:bottom w:val="none" w:sz="0" w:space="0" w:color="auto"/>
            <w:right w:val="none" w:sz="0" w:space="0" w:color="auto"/>
          </w:divBdr>
          <w:divsChild>
            <w:div w:id="1176113456">
              <w:marLeft w:val="0"/>
              <w:marRight w:val="0"/>
              <w:marTop w:val="0"/>
              <w:marBottom w:val="0"/>
              <w:divBdr>
                <w:top w:val="none" w:sz="0" w:space="0" w:color="auto"/>
                <w:left w:val="none" w:sz="0" w:space="0" w:color="auto"/>
                <w:bottom w:val="none" w:sz="0" w:space="0" w:color="auto"/>
                <w:right w:val="none" w:sz="0" w:space="0" w:color="auto"/>
              </w:divBdr>
            </w:div>
            <w:div w:id="1411344787">
              <w:marLeft w:val="0"/>
              <w:marRight w:val="0"/>
              <w:marTop w:val="0"/>
              <w:marBottom w:val="0"/>
              <w:divBdr>
                <w:top w:val="none" w:sz="0" w:space="0" w:color="auto"/>
                <w:left w:val="none" w:sz="0" w:space="0" w:color="auto"/>
                <w:bottom w:val="none" w:sz="0" w:space="0" w:color="auto"/>
                <w:right w:val="none" w:sz="0" w:space="0" w:color="auto"/>
              </w:divBdr>
            </w:div>
          </w:divsChild>
        </w:div>
        <w:div w:id="1652981682">
          <w:marLeft w:val="0"/>
          <w:marRight w:val="0"/>
          <w:marTop w:val="0"/>
          <w:marBottom w:val="0"/>
          <w:divBdr>
            <w:top w:val="none" w:sz="0" w:space="0" w:color="auto"/>
            <w:left w:val="none" w:sz="0" w:space="0" w:color="auto"/>
            <w:bottom w:val="none" w:sz="0" w:space="0" w:color="auto"/>
            <w:right w:val="none" w:sz="0" w:space="0" w:color="auto"/>
          </w:divBdr>
          <w:divsChild>
            <w:div w:id="599072455">
              <w:marLeft w:val="0"/>
              <w:marRight w:val="0"/>
              <w:marTop w:val="0"/>
              <w:marBottom w:val="0"/>
              <w:divBdr>
                <w:top w:val="none" w:sz="0" w:space="0" w:color="auto"/>
                <w:left w:val="none" w:sz="0" w:space="0" w:color="auto"/>
                <w:bottom w:val="none" w:sz="0" w:space="0" w:color="auto"/>
                <w:right w:val="none" w:sz="0" w:space="0" w:color="auto"/>
              </w:divBdr>
            </w:div>
            <w:div w:id="693001987">
              <w:marLeft w:val="0"/>
              <w:marRight w:val="0"/>
              <w:marTop w:val="0"/>
              <w:marBottom w:val="0"/>
              <w:divBdr>
                <w:top w:val="none" w:sz="0" w:space="0" w:color="auto"/>
                <w:left w:val="none" w:sz="0" w:space="0" w:color="auto"/>
                <w:bottom w:val="none" w:sz="0" w:space="0" w:color="auto"/>
                <w:right w:val="none" w:sz="0" w:space="0" w:color="auto"/>
              </w:divBdr>
            </w:div>
            <w:div w:id="1355614378">
              <w:marLeft w:val="0"/>
              <w:marRight w:val="0"/>
              <w:marTop w:val="0"/>
              <w:marBottom w:val="0"/>
              <w:divBdr>
                <w:top w:val="none" w:sz="0" w:space="0" w:color="auto"/>
                <w:left w:val="none" w:sz="0" w:space="0" w:color="auto"/>
                <w:bottom w:val="none" w:sz="0" w:space="0" w:color="auto"/>
                <w:right w:val="none" w:sz="0" w:space="0" w:color="auto"/>
              </w:divBdr>
            </w:div>
          </w:divsChild>
        </w:div>
        <w:div w:id="1664510998">
          <w:marLeft w:val="0"/>
          <w:marRight w:val="0"/>
          <w:marTop w:val="0"/>
          <w:marBottom w:val="0"/>
          <w:divBdr>
            <w:top w:val="none" w:sz="0" w:space="0" w:color="auto"/>
            <w:left w:val="none" w:sz="0" w:space="0" w:color="auto"/>
            <w:bottom w:val="none" w:sz="0" w:space="0" w:color="auto"/>
            <w:right w:val="none" w:sz="0" w:space="0" w:color="auto"/>
          </w:divBdr>
          <w:divsChild>
            <w:div w:id="944655922">
              <w:marLeft w:val="0"/>
              <w:marRight w:val="0"/>
              <w:marTop w:val="0"/>
              <w:marBottom w:val="0"/>
              <w:divBdr>
                <w:top w:val="none" w:sz="0" w:space="0" w:color="auto"/>
                <w:left w:val="none" w:sz="0" w:space="0" w:color="auto"/>
                <w:bottom w:val="none" w:sz="0" w:space="0" w:color="auto"/>
                <w:right w:val="none" w:sz="0" w:space="0" w:color="auto"/>
              </w:divBdr>
            </w:div>
            <w:div w:id="1814447361">
              <w:marLeft w:val="0"/>
              <w:marRight w:val="0"/>
              <w:marTop w:val="0"/>
              <w:marBottom w:val="0"/>
              <w:divBdr>
                <w:top w:val="none" w:sz="0" w:space="0" w:color="auto"/>
                <w:left w:val="none" w:sz="0" w:space="0" w:color="auto"/>
                <w:bottom w:val="none" w:sz="0" w:space="0" w:color="auto"/>
                <w:right w:val="none" w:sz="0" w:space="0" w:color="auto"/>
              </w:divBdr>
            </w:div>
          </w:divsChild>
        </w:div>
        <w:div w:id="1665433283">
          <w:marLeft w:val="0"/>
          <w:marRight w:val="0"/>
          <w:marTop w:val="0"/>
          <w:marBottom w:val="0"/>
          <w:divBdr>
            <w:top w:val="none" w:sz="0" w:space="0" w:color="auto"/>
            <w:left w:val="none" w:sz="0" w:space="0" w:color="auto"/>
            <w:bottom w:val="none" w:sz="0" w:space="0" w:color="auto"/>
            <w:right w:val="none" w:sz="0" w:space="0" w:color="auto"/>
          </w:divBdr>
          <w:divsChild>
            <w:div w:id="281572545">
              <w:marLeft w:val="0"/>
              <w:marRight w:val="0"/>
              <w:marTop w:val="0"/>
              <w:marBottom w:val="0"/>
              <w:divBdr>
                <w:top w:val="none" w:sz="0" w:space="0" w:color="auto"/>
                <w:left w:val="none" w:sz="0" w:space="0" w:color="auto"/>
                <w:bottom w:val="none" w:sz="0" w:space="0" w:color="auto"/>
                <w:right w:val="none" w:sz="0" w:space="0" w:color="auto"/>
              </w:divBdr>
            </w:div>
            <w:div w:id="988365881">
              <w:marLeft w:val="0"/>
              <w:marRight w:val="0"/>
              <w:marTop w:val="0"/>
              <w:marBottom w:val="0"/>
              <w:divBdr>
                <w:top w:val="none" w:sz="0" w:space="0" w:color="auto"/>
                <w:left w:val="none" w:sz="0" w:space="0" w:color="auto"/>
                <w:bottom w:val="none" w:sz="0" w:space="0" w:color="auto"/>
                <w:right w:val="none" w:sz="0" w:space="0" w:color="auto"/>
              </w:divBdr>
            </w:div>
            <w:div w:id="1492023345">
              <w:marLeft w:val="0"/>
              <w:marRight w:val="0"/>
              <w:marTop w:val="0"/>
              <w:marBottom w:val="0"/>
              <w:divBdr>
                <w:top w:val="none" w:sz="0" w:space="0" w:color="auto"/>
                <w:left w:val="none" w:sz="0" w:space="0" w:color="auto"/>
                <w:bottom w:val="none" w:sz="0" w:space="0" w:color="auto"/>
                <w:right w:val="none" w:sz="0" w:space="0" w:color="auto"/>
              </w:divBdr>
            </w:div>
          </w:divsChild>
        </w:div>
        <w:div w:id="1666082804">
          <w:marLeft w:val="0"/>
          <w:marRight w:val="0"/>
          <w:marTop w:val="0"/>
          <w:marBottom w:val="0"/>
          <w:divBdr>
            <w:top w:val="none" w:sz="0" w:space="0" w:color="auto"/>
            <w:left w:val="none" w:sz="0" w:space="0" w:color="auto"/>
            <w:bottom w:val="none" w:sz="0" w:space="0" w:color="auto"/>
            <w:right w:val="none" w:sz="0" w:space="0" w:color="auto"/>
          </w:divBdr>
          <w:divsChild>
            <w:div w:id="2365133">
              <w:marLeft w:val="0"/>
              <w:marRight w:val="0"/>
              <w:marTop w:val="0"/>
              <w:marBottom w:val="0"/>
              <w:divBdr>
                <w:top w:val="none" w:sz="0" w:space="0" w:color="auto"/>
                <w:left w:val="none" w:sz="0" w:space="0" w:color="auto"/>
                <w:bottom w:val="none" w:sz="0" w:space="0" w:color="auto"/>
                <w:right w:val="none" w:sz="0" w:space="0" w:color="auto"/>
              </w:divBdr>
            </w:div>
            <w:div w:id="360593402">
              <w:marLeft w:val="0"/>
              <w:marRight w:val="0"/>
              <w:marTop w:val="0"/>
              <w:marBottom w:val="0"/>
              <w:divBdr>
                <w:top w:val="none" w:sz="0" w:space="0" w:color="auto"/>
                <w:left w:val="none" w:sz="0" w:space="0" w:color="auto"/>
                <w:bottom w:val="none" w:sz="0" w:space="0" w:color="auto"/>
                <w:right w:val="none" w:sz="0" w:space="0" w:color="auto"/>
              </w:divBdr>
            </w:div>
            <w:div w:id="1089084990">
              <w:marLeft w:val="0"/>
              <w:marRight w:val="0"/>
              <w:marTop w:val="0"/>
              <w:marBottom w:val="0"/>
              <w:divBdr>
                <w:top w:val="none" w:sz="0" w:space="0" w:color="auto"/>
                <w:left w:val="none" w:sz="0" w:space="0" w:color="auto"/>
                <w:bottom w:val="none" w:sz="0" w:space="0" w:color="auto"/>
                <w:right w:val="none" w:sz="0" w:space="0" w:color="auto"/>
              </w:divBdr>
            </w:div>
            <w:div w:id="1327902636">
              <w:marLeft w:val="0"/>
              <w:marRight w:val="0"/>
              <w:marTop w:val="0"/>
              <w:marBottom w:val="0"/>
              <w:divBdr>
                <w:top w:val="none" w:sz="0" w:space="0" w:color="auto"/>
                <w:left w:val="none" w:sz="0" w:space="0" w:color="auto"/>
                <w:bottom w:val="none" w:sz="0" w:space="0" w:color="auto"/>
                <w:right w:val="none" w:sz="0" w:space="0" w:color="auto"/>
              </w:divBdr>
            </w:div>
            <w:div w:id="2006399807">
              <w:marLeft w:val="0"/>
              <w:marRight w:val="0"/>
              <w:marTop w:val="0"/>
              <w:marBottom w:val="0"/>
              <w:divBdr>
                <w:top w:val="none" w:sz="0" w:space="0" w:color="auto"/>
                <w:left w:val="none" w:sz="0" w:space="0" w:color="auto"/>
                <w:bottom w:val="none" w:sz="0" w:space="0" w:color="auto"/>
                <w:right w:val="none" w:sz="0" w:space="0" w:color="auto"/>
              </w:divBdr>
            </w:div>
          </w:divsChild>
        </w:div>
        <w:div w:id="1673028589">
          <w:marLeft w:val="0"/>
          <w:marRight w:val="0"/>
          <w:marTop w:val="0"/>
          <w:marBottom w:val="0"/>
          <w:divBdr>
            <w:top w:val="none" w:sz="0" w:space="0" w:color="auto"/>
            <w:left w:val="none" w:sz="0" w:space="0" w:color="auto"/>
            <w:bottom w:val="none" w:sz="0" w:space="0" w:color="auto"/>
            <w:right w:val="none" w:sz="0" w:space="0" w:color="auto"/>
          </w:divBdr>
          <w:divsChild>
            <w:div w:id="25256996">
              <w:marLeft w:val="0"/>
              <w:marRight w:val="0"/>
              <w:marTop w:val="0"/>
              <w:marBottom w:val="0"/>
              <w:divBdr>
                <w:top w:val="none" w:sz="0" w:space="0" w:color="auto"/>
                <w:left w:val="none" w:sz="0" w:space="0" w:color="auto"/>
                <w:bottom w:val="none" w:sz="0" w:space="0" w:color="auto"/>
                <w:right w:val="none" w:sz="0" w:space="0" w:color="auto"/>
              </w:divBdr>
            </w:div>
            <w:div w:id="31271209">
              <w:marLeft w:val="0"/>
              <w:marRight w:val="0"/>
              <w:marTop w:val="0"/>
              <w:marBottom w:val="0"/>
              <w:divBdr>
                <w:top w:val="none" w:sz="0" w:space="0" w:color="auto"/>
                <w:left w:val="none" w:sz="0" w:space="0" w:color="auto"/>
                <w:bottom w:val="none" w:sz="0" w:space="0" w:color="auto"/>
                <w:right w:val="none" w:sz="0" w:space="0" w:color="auto"/>
              </w:divBdr>
            </w:div>
            <w:div w:id="697126824">
              <w:marLeft w:val="0"/>
              <w:marRight w:val="0"/>
              <w:marTop w:val="0"/>
              <w:marBottom w:val="0"/>
              <w:divBdr>
                <w:top w:val="none" w:sz="0" w:space="0" w:color="auto"/>
                <w:left w:val="none" w:sz="0" w:space="0" w:color="auto"/>
                <w:bottom w:val="none" w:sz="0" w:space="0" w:color="auto"/>
                <w:right w:val="none" w:sz="0" w:space="0" w:color="auto"/>
              </w:divBdr>
            </w:div>
          </w:divsChild>
        </w:div>
        <w:div w:id="1678195368">
          <w:marLeft w:val="0"/>
          <w:marRight w:val="0"/>
          <w:marTop w:val="0"/>
          <w:marBottom w:val="0"/>
          <w:divBdr>
            <w:top w:val="none" w:sz="0" w:space="0" w:color="auto"/>
            <w:left w:val="none" w:sz="0" w:space="0" w:color="auto"/>
            <w:bottom w:val="none" w:sz="0" w:space="0" w:color="auto"/>
            <w:right w:val="none" w:sz="0" w:space="0" w:color="auto"/>
          </w:divBdr>
          <w:divsChild>
            <w:div w:id="362558902">
              <w:marLeft w:val="0"/>
              <w:marRight w:val="0"/>
              <w:marTop w:val="0"/>
              <w:marBottom w:val="0"/>
              <w:divBdr>
                <w:top w:val="none" w:sz="0" w:space="0" w:color="auto"/>
                <w:left w:val="none" w:sz="0" w:space="0" w:color="auto"/>
                <w:bottom w:val="none" w:sz="0" w:space="0" w:color="auto"/>
                <w:right w:val="none" w:sz="0" w:space="0" w:color="auto"/>
              </w:divBdr>
            </w:div>
            <w:div w:id="549150002">
              <w:marLeft w:val="0"/>
              <w:marRight w:val="0"/>
              <w:marTop w:val="0"/>
              <w:marBottom w:val="0"/>
              <w:divBdr>
                <w:top w:val="none" w:sz="0" w:space="0" w:color="auto"/>
                <w:left w:val="none" w:sz="0" w:space="0" w:color="auto"/>
                <w:bottom w:val="none" w:sz="0" w:space="0" w:color="auto"/>
                <w:right w:val="none" w:sz="0" w:space="0" w:color="auto"/>
              </w:divBdr>
            </w:div>
            <w:div w:id="1616331134">
              <w:marLeft w:val="0"/>
              <w:marRight w:val="0"/>
              <w:marTop w:val="0"/>
              <w:marBottom w:val="0"/>
              <w:divBdr>
                <w:top w:val="none" w:sz="0" w:space="0" w:color="auto"/>
                <w:left w:val="none" w:sz="0" w:space="0" w:color="auto"/>
                <w:bottom w:val="none" w:sz="0" w:space="0" w:color="auto"/>
                <w:right w:val="none" w:sz="0" w:space="0" w:color="auto"/>
              </w:divBdr>
            </w:div>
            <w:div w:id="1895391478">
              <w:marLeft w:val="0"/>
              <w:marRight w:val="0"/>
              <w:marTop w:val="0"/>
              <w:marBottom w:val="0"/>
              <w:divBdr>
                <w:top w:val="none" w:sz="0" w:space="0" w:color="auto"/>
                <w:left w:val="none" w:sz="0" w:space="0" w:color="auto"/>
                <w:bottom w:val="none" w:sz="0" w:space="0" w:color="auto"/>
                <w:right w:val="none" w:sz="0" w:space="0" w:color="auto"/>
              </w:divBdr>
            </w:div>
          </w:divsChild>
        </w:div>
        <w:div w:id="1681925512">
          <w:marLeft w:val="0"/>
          <w:marRight w:val="0"/>
          <w:marTop w:val="0"/>
          <w:marBottom w:val="0"/>
          <w:divBdr>
            <w:top w:val="none" w:sz="0" w:space="0" w:color="auto"/>
            <w:left w:val="none" w:sz="0" w:space="0" w:color="auto"/>
            <w:bottom w:val="none" w:sz="0" w:space="0" w:color="auto"/>
            <w:right w:val="none" w:sz="0" w:space="0" w:color="auto"/>
          </w:divBdr>
          <w:divsChild>
            <w:div w:id="872498527">
              <w:marLeft w:val="0"/>
              <w:marRight w:val="0"/>
              <w:marTop w:val="0"/>
              <w:marBottom w:val="0"/>
              <w:divBdr>
                <w:top w:val="none" w:sz="0" w:space="0" w:color="auto"/>
                <w:left w:val="none" w:sz="0" w:space="0" w:color="auto"/>
                <w:bottom w:val="none" w:sz="0" w:space="0" w:color="auto"/>
                <w:right w:val="none" w:sz="0" w:space="0" w:color="auto"/>
              </w:divBdr>
            </w:div>
          </w:divsChild>
        </w:div>
        <w:div w:id="1691376399">
          <w:marLeft w:val="0"/>
          <w:marRight w:val="0"/>
          <w:marTop w:val="0"/>
          <w:marBottom w:val="0"/>
          <w:divBdr>
            <w:top w:val="none" w:sz="0" w:space="0" w:color="auto"/>
            <w:left w:val="none" w:sz="0" w:space="0" w:color="auto"/>
            <w:bottom w:val="none" w:sz="0" w:space="0" w:color="auto"/>
            <w:right w:val="none" w:sz="0" w:space="0" w:color="auto"/>
          </w:divBdr>
          <w:divsChild>
            <w:div w:id="823349363">
              <w:marLeft w:val="0"/>
              <w:marRight w:val="0"/>
              <w:marTop w:val="0"/>
              <w:marBottom w:val="0"/>
              <w:divBdr>
                <w:top w:val="none" w:sz="0" w:space="0" w:color="auto"/>
                <w:left w:val="none" w:sz="0" w:space="0" w:color="auto"/>
                <w:bottom w:val="none" w:sz="0" w:space="0" w:color="auto"/>
                <w:right w:val="none" w:sz="0" w:space="0" w:color="auto"/>
              </w:divBdr>
            </w:div>
          </w:divsChild>
        </w:div>
        <w:div w:id="1693215921">
          <w:marLeft w:val="0"/>
          <w:marRight w:val="0"/>
          <w:marTop w:val="0"/>
          <w:marBottom w:val="0"/>
          <w:divBdr>
            <w:top w:val="none" w:sz="0" w:space="0" w:color="auto"/>
            <w:left w:val="none" w:sz="0" w:space="0" w:color="auto"/>
            <w:bottom w:val="none" w:sz="0" w:space="0" w:color="auto"/>
            <w:right w:val="none" w:sz="0" w:space="0" w:color="auto"/>
          </w:divBdr>
          <w:divsChild>
            <w:div w:id="189150608">
              <w:marLeft w:val="0"/>
              <w:marRight w:val="0"/>
              <w:marTop w:val="0"/>
              <w:marBottom w:val="0"/>
              <w:divBdr>
                <w:top w:val="none" w:sz="0" w:space="0" w:color="auto"/>
                <w:left w:val="none" w:sz="0" w:space="0" w:color="auto"/>
                <w:bottom w:val="none" w:sz="0" w:space="0" w:color="auto"/>
                <w:right w:val="none" w:sz="0" w:space="0" w:color="auto"/>
              </w:divBdr>
            </w:div>
            <w:div w:id="1614823488">
              <w:marLeft w:val="0"/>
              <w:marRight w:val="0"/>
              <w:marTop w:val="0"/>
              <w:marBottom w:val="0"/>
              <w:divBdr>
                <w:top w:val="none" w:sz="0" w:space="0" w:color="auto"/>
                <w:left w:val="none" w:sz="0" w:space="0" w:color="auto"/>
                <w:bottom w:val="none" w:sz="0" w:space="0" w:color="auto"/>
                <w:right w:val="none" w:sz="0" w:space="0" w:color="auto"/>
              </w:divBdr>
            </w:div>
          </w:divsChild>
        </w:div>
        <w:div w:id="1693652686">
          <w:marLeft w:val="0"/>
          <w:marRight w:val="0"/>
          <w:marTop w:val="0"/>
          <w:marBottom w:val="0"/>
          <w:divBdr>
            <w:top w:val="none" w:sz="0" w:space="0" w:color="auto"/>
            <w:left w:val="none" w:sz="0" w:space="0" w:color="auto"/>
            <w:bottom w:val="none" w:sz="0" w:space="0" w:color="auto"/>
            <w:right w:val="none" w:sz="0" w:space="0" w:color="auto"/>
          </w:divBdr>
          <w:divsChild>
            <w:div w:id="1449818900">
              <w:marLeft w:val="0"/>
              <w:marRight w:val="0"/>
              <w:marTop w:val="0"/>
              <w:marBottom w:val="0"/>
              <w:divBdr>
                <w:top w:val="none" w:sz="0" w:space="0" w:color="auto"/>
                <w:left w:val="none" w:sz="0" w:space="0" w:color="auto"/>
                <w:bottom w:val="none" w:sz="0" w:space="0" w:color="auto"/>
                <w:right w:val="none" w:sz="0" w:space="0" w:color="auto"/>
              </w:divBdr>
            </w:div>
            <w:div w:id="1813255472">
              <w:marLeft w:val="0"/>
              <w:marRight w:val="0"/>
              <w:marTop w:val="0"/>
              <w:marBottom w:val="0"/>
              <w:divBdr>
                <w:top w:val="none" w:sz="0" w:space="0" w:color="auto"/>
                <w:left w:val="none" w:sz="0" w:space="0" w:color="auto"/>
                <w:bottom w:val="none" w:sz="0" w:space="0" w:color="auto"/>
                <w:right w:val="none" w:sz="0" w:space="0" w:color="auto"/>
              </w:divBdr>
            </w:div>
          </w:divsChild>
        </w:div>
        <w:div w:id="1696425352">
          <w:marLeft w:val="0"/>
          <w:marRight w:val="0"/>
          <w:marTop w:val="0"/>
          <w:marBottom w:val="0"/>
          <w:divBdr>
            <w:top w:val="none" w:sz="0" w:space="0" w:color="auto"/>
            <w:left w:val="none" w:sz="0" w:space="0" w:color="auto"/>
            <w:bottom w:val="none" w:sz="0" w:space="0" w:color="auto"/>
            <w:right w:val="none" w:sz="0" w:space="0" w:color="auto"/>
          </w:divBdr>
          <w:divsChild>
            <w:div w:id="1575818004">
              <w:marLeft w:val="0"/>
              <w:marRight w:val="0"/>
              <w:marTop w:val="0"/>
              <w:marBottom w:val="0"/>
              <w:divBdr>
                <w:top w:val="none" w:sz="0" w:space="0" w:color="auto"/>
                <w:left w:val="none" w:sz="0" w:space="0" w:color="auto"/>
                <w:bottom w:val="none" w:sz="0" w:space="0" w:color="auto"/>
                <w:right w:val="none" w:sz="0" w:space="0" w:color="auto"/>
              </w:divBdr>
            </w:div>
          </w:divsChild>
        </w:div>
        <w:div w:id="1706710313">
          <w:marLeft w:val="0"/>
          <w:marRight w:val="0"/>
          <w:marTop w:val="0"/>
          <w:marBottom w:val="0"/>
          <w:divBdr>
            <w:top w:val="none" w:sz="0" w:space="0" w:color="auto"/>
            <w:left w:val="none" w:sz="0" w:space="0" w:color="auto"/>
            <w:bottom w:val="none" w:sz="0" w:space="0" w:color="auto"/>
            <w:right w:val="none" w:sz="0" w:space="0" w:color="auto"/>
          </w:divBdr>
          <w:divsChild>
            <w:div w:id="946427883">
              <w:marLeft w:val="0"/>
              <w:marRight w:val="0"/>
              <w:marTop w:val="0"/>
              <w:marBottom w:val="0"/>
              <w:divBdr>
                <w:top w:val="none" w:sz="0" w:space="0" w:color="auto"/>
                <w:left w:val="none" w:sz="0" w:space="0" w:color="auto"/>
                <w:bottom w:val="none" w:sz="0" w:space="0" w:color="auto"/>
                <w:right w:val="none" w:sz="0" w:space="0" w:color="auto"/>
              </w:divBdr>
            </w:div>
          </w:divsChild>
        </w:div>
        <w:div w:id="1707295024">
          <w:marLeft w:val="0"/>
          <w:marRight w:val="0"/>
          <w:marTop w:val="0"/>
          <w:marBottom w:val="0"/>
          <w:divBdr>
            <w:top w:val="none" w:sz="0" w:space="0" w:color="auto"/>
            <w:left w:val="none" w:sz="0" w:space="0" w:color="auto"/>
            <w:bottom w:val="none" w:sz="0" w:space="0" w:color="auto"/>
            <w:right w:val="none" w:sz="0" w:space="0" w:color="auto"/>
          </w:divBdr>
          <w:divsChild>
            <w:div w:id="1167016060">
              <w:marLeft w:val="0"/>
              <w:marRight w:val="0"/>
              <w:marTop w:val="0"/>
              <w:marBottom w:val="0"/>
              <w:divBdr>
                <w:top w:val="none" w:sz="0" w:space="0" w:color="auto"/>
                <w:left w:val="none" w:sz="0" w:space="0" w:color="auto"/>
                <w:bottom w:val="none" w:sz="0" w:space="0" w:color="auto"/>
                <w:right w:val="none" w:sz="0" w:space="0" w:color="auto"/>
              </w:divBdr>
            </w:div>
          </w:divsChild>
        </w:div>
        <w:div w:id="1717465940">
          <w:marLeft w:val="0"/>
          <w:marRight w:val="0"/>
          <w:marTop w:val="0"/>
          <w:marBottom w:val="0"/>
          <w:divBdr>
            <w:top w:val="none" w:sz="0" w:space="0" w:color="auto"/>
            <w:left w:val="none" w:sz="0" w:space="0" w:color="auto"/>
            <w:bottom w:val="none" w:sz="0" w:space="0" w:color="auto"/>
            <w:right w:val="none" w:sz="0" w:space="0" w:color="auto"/>
          </w:divBdr>
          <w:divsChild>
            <w:div w:id="783041747">
              <w:marLeft w:val="0"/>
              <w:marRight w:val="0"/>
              <w:marTop w:val="0"/>
              <w:marBottom w:val="0"/>
              <w:divBdr>
                <w:top w:val="none" w:sz="0" w:space="0" w:color="auto"/>
                <w:left w:val="none" w:sz="0" w:space="0" w:color="auto"/>
                <w:bottom w:val="none" w:sz="0" w:space="0" w:color="auto"/>
                <w:right w:val="none" w:sz="0" w:space="0" w:color="auto"/>
              </w:divBdr>
            </w:div>
            <w:div w:id="1576041750">
              <w:marLeft w:val="0"/>
              <w:marRight w:val="0"/>
              <w:marTop w:val="0"/>
              <w:marBottom w:val="0"/>
              <w:divBdr>
                <w:top w:val="none" w:sz="0" w:space="0" w:color="auto"/>
                <w:left w:val="none" w:sz="0" w:space="0" w:color="auto"/>
                <w:bottom w:val="none" w:sz="0" w:space="0" w:color="auto"/>
                <w:right w:val="none" w:sz="0" w:space="0" w:color="auto"/>
              </w:divBdr>
            </w:div>
          </w:divsChild>
        </w:div>
        <w:div w:id="1725177281">
          <w:marLeft w:val="0"/>
          <w:marRight w:val="0"/>
          <w:marTop w:val="0"/>
          <w:marBottom w:val="0"/>
          <w:divBdr>
            <w:top w:val="none" w:sz="0" w:space="0" w:color="auto"/>
            <w:left w:val="none" w:sz="0" w:space="0" w:color="auto"/>
            <w:bottom w:val="none" w:sz="0" w:space="0" w:color="auto"/>
            <w:right w:val="none" w:sz="0" w:space="0" w:color="auto"/>
          </w:divBdr>
          <w:divsChild>
            <w:div w:id="1679113476">
              <w:marLeft w:val="0"/>
              <w:marRight w:val="0"/>
              <w:marTop w:val="0"/>
              <w:marBottom w:val="0"/>
              <w:divBdr>
                <w:top w:val="none" w:sz="0" w:space="0" w:color="auto"/>
                <w:left w:val="none" w:sz="0" w:space="0" w:color="auto"/>
                <w:bottom w:val="none" w:sz="0" w:space="0" w:color="auto"/>
                <w:right w:val="none" w:sz="0" w:space="0" w:color="auto"/>
              </w:divBdr>
            </w:div>
            <w:div w:id="1814181244">
              <w:marLeft w:val="0"/>
              <w:marRight w:val="0"/>
              <w:marTop w:val="0"/>
              <w:marBottom w:val="0"/>
              <w:divBdr>
                <w:top w:val="none" w:sz="0" w:space="0" w:color="auto"/>
                <w:left w:val="none" w:sz="0" w:space="0" w:color="auto"/>
                <w:bottom w:val="none" w:sz="0" w:space="0" w:color="auto"/>
                <w:right w:val="none" w:sz="0" w:space="0" w:color="auto"/>
              </w:divBdr>
            </w:div>
          </w:divsChild>
        </w:div>
        <w:div w:id="1729063636">
          <w:marLeft w:val="0"/>
          <w:marRight w:val="0"/>
          <w:marTop w:val="0"/>
          <w:marBottom w:val="0"/>
          <w:divBdr>
            <w:top w:val="none" w:sz="0" w:space="0" w:color="auto"/>
            <w:left w:val="none" w:sz="0" w:space="0" w:color="auto"/>
            <w:bottom w:val="none" w:sz="0" w:space="0" w:color="auto"/>
            <w:right w:val="none" w:sz="0" w:space="0" w:color="auto"/>
          </w:divBdr>
          <w:divsChild>
            <w:div w:id="380059592">
              <w:marLeft w:val="0"/>
              <w:marRight w:val="0"/>
              <w:marTop w:val="0"/>
              <w:marBottom w:val="0"/>
              <w:divBdr>
                <w:top w:val="none" w:sz="0" w:space="0" w:color="auto"/>
                <w:left w:val="none" w:sz="0" w:space="0" w:color="auto"/>
                <w:bottom w:val="none" w:sz="0" w:space="0" w:color="auto"/>
                <w:right w:val="none" w:sz="0" w:space="0" w:color="auto"/>
              </w:divBdr>
            </w:div>
            <w:div w:id="1451557761">
              <w:marLeft w:val="0"/>
              <w:marRight w:val="0"/>
              <w:marTop w:val="0"/>
              <w:marBottom w:val="0"/>
              <w:divBdr>
                <w:top w:val="none" w:sz="0" w:space="0" w:color="auto"/>
                <w:left w:val="none" w:sz="0" w:space="0" w:color="auto"/>
                <w:bottom w:val="none" w:sz="0" w:space="0" w:color="auto"/>
                <w:right w:val="none" w:sz="0" w:space="0" w:color="auto"/>
              </w:divBdr>
            </w:div>
            <w:div w:id="1922911587">
              <w:marLeft w:val="0"/>
              <w:marRight w:val="0"/>
              <w:marTop w:val="0"/>
              <w:marBottom w:val="0"/>
              <w:divBdr>
                <w:top w:val="none" w:sz="0" w:space="0" w:color="auto"/>
                <w:left w:val="none" w:sz="0" w:space="0" w:color="auto"/>
                <w:bottom w:val="none" w:sz="0" w:space="0" w:color="auto"/>
                <w:right w:val="none" w:sz="0" w:space="0" w:color="auto"/>
              </w:divBdr>
            </w:div>
            <w:div w:id="2111898610">
              <w:marLeft w:val="0"/>
              <w:marRight w:val="0"/>
              <w:marTop w:val="0"/>
              <w:marBottom w:val="0"/>
              <w:divBdr>
                <w:top w:val="none" w:sz="0" w:space="0" w:color="auto"/>
                <w:left w:val="none" w:sz="0" w:space="0" w:color="auto"/>
                <w:bottom w:val="none" w:sz="0" w:space="0" w:color="auto"/>
                <w:right w:val="none" w:sz="0" w:space="0" w:color="auto"/>
              </w:divBdr>
            </w:div>
          </w:divsChild>
        </w:div>
        <w:div w:id="1735008189">
          <w:marLeft w:val="0"/>
          <w:marRight w:val="0"/>
          <w:marTop w:val="0"/>
          <w:marBottom w:val="0"/>
          <w:divBdr>
            <w:top w:val="none" w:sz="0" w:space="0" w:color="auto"/>
            <w:left w:val="none" w:sz="0" w:space="0" w:color="auto"/>
            <w:bottom w:val="none" w:sz="0" w:space="0" w:color="auto"/>
            <w:right w:val="none" w:sz="0" w:space="0" w:color="auto"/>
          </w:divBdr>
          <w:divsChild>
            <w:div w:id="87582923">
              <w:marLeft w:val="0"/>
              <w:marRight w:val="0"/>
              <w:marTop w:val="0"/>
              <w:marBottom w:val="0"/>
              <w:divBdr>
                <w:top w:val="none" w:sz="0" w:space="0" w:color="auto"/>
                <w:left w:val="none" w:sz="0" w:space="0" w:color="auto"/>
                <w:bottom w:val="none" w:sz="0" w:space="0" w:color="auto"/>
                <w:right w:val="none" w:sz="0" w:space="0" w:color="auto"/>
              </w:divBdr>
            </w:div>
          </w:divsChild>
        </w:div>
        <w:div w:id="1748380046">
          <w:marLeft w:val="0"/>
          <w:marRight w:val="0"/>
          <w:marTop w:val="0"/>
          <w:marBottom w:val="0"/>
          <w:divBdr>
            <w:top w:val="none" w:sz="0" w:space="0" w:color="auto"/>
            <w:left w:val="none" w:sz="0" w:space="0" w:color="auto"/>
            <w:bottom w:val="none" w:sz="0" w:space="0" w:color="auto"/>
            <w:right w:val="none" w:sz="0" w:space="0" w:color="auto"/>
          </w:divBdr>
          <w:divsChild>
            <w:div w:id="373311629">
              <w:marLeft w:val="0"/>
              <w:marRight w:val="0"/>
              <w:marTop w:val="0"/>
              <w:marBottom w:val="0"/>
              <w:divBdr>
                <w:top w:val="none" w:sz="0" w:space="0" w:color="auto"/>
                <w:left w:val="none" w:sz="0" w:space="0" w:color="auto"/>
                <w:bottom w:val="none" w:sz="0" w:space="0" w:color="auto"/>
                <w:right w:val="none" w:sz="0" w:space="0" w:color="auto"/>
              </w:divBdr>
            </w:div>
            <w:div w:id="1064765522">
              <w:marLeft w:val="0"/>
              <w:marRight w:val="0"/>
              <w:marTop w:val="0"/>
              <w:marBottom w:val="0"/>
              <w:divBdr>
                <w:top w:val="none" w:sz="0" w:space="0" w:color="auto"/>
                <w:left w:val="none" w:sz="0" w:space="0" w:color="auto"/>
                <w:bottom w:val="none" w:sz="0" w:space="0" w:color="auto"/>
                <w:right w:val="none" w:sz="0" w:space="0" w:color="auto"/>
              </w:divBdr>
            </w:div>
            <w:div w:id="1293829191">
              <w:marLeft w:val="0"/>
              <w:marRight w:val="0"/>
              <w:marTop w:val="0"/>
              <w:marBottom w:val="0"/>
              <w:divBdr>
                <w:top w:val="none" w:sz="0" w:space="0" w:color="auto"/>
                <w:left w:val="none" w:sz="0" w:space="0" w:color="auto"/>
                <w:bottom w:val="none" w:sz="0" w:space="0" w:color="auto"/>
                <w:right w:val="none" w:sz="0" w:space="0" w:color="auto"/>
              </w:divBdr>
            </w:div>
            <w:div w:id="1606426801">
              <w:marLeft w:val="0"/>
              <w:marRight w:val="0"/>
              <w:marTop w:val="0"/>
              <w:marBottom w:val="0"/>
              <w:divBdr>
                <w:top w:val="none" w:sz="0" w:space="0" w:color="auto"/>
                <w:left w:val="none" w:sz="0" w:space="0" w:color="auto"/>
                <w:bottom w:val="none" w:sz="0" w:space="0" w:color="auto"/>
                <w:right w:val="none" w:sz="0" w:space="0" w:color="auto"/>
              </w:divBdr>
            </w:div>
          </w:divsChild>
        </w:div>
        <w:div w:id="1757751651">
          <w:marLeft w:val="0"/>
          <w:marRight w:val="0"/>
          <w:marTop w:val="0"/>
          <w:marBottom w:val="0"/>
          <w:divBdr>
            <w:top w:val="none" w:sz="0" w:space="0" w:color="auto"/>
            <w:left w:val="none" w:sz="0" w:space="0" w:color="auto"/>
            <w:bottom w:val="none" w:sz="0" w:space="0" w:color="auto"/>
            <w:right w:val="none" w:sz="0" w:space="0" w:color="auto"/>
          </w:divBdr>
          <w:divsChild>
            <w:div w:id="1697076433">
              <w:marLeft w:val="0"/>
              <w:marRight w:val="0"/>
              <w:marTop w:val="0"/>
              <w:marBottom w:val="0"/>
              <w:divBdr>
                <w:top w:val="none" w:sz="0" w:space="0" w:color="auto"/>
                <w:left w:val="none" w:sz="0" w:space="0" w:color="auto"/>
                <w:bottom w:val="none" w:sz="0" w:space="0" w:color="auto"/>
                <w:right w:val="none" w:sz="0" w:space="0" w:color="auto"/>
              </w:divBdr>
            </w:div>
            <w:div w:id="1819029480">
              <w:marLeft w:val="0"/>
              <w:marRight w:val="0"/>
              <w:marTop w:val="0"/>
              <w:marBottom w:val="0"/>
              <w:divBdr>
                <w:top w:val="none" w:sz="0" w:space="0" w:color="auto"/>
                <w:left w:val="none" w:sz="0" w:space="0" w:color="auto"/>
                <w:bottom w:val="none" w:sz="0" w:space="0" w:color="auto"/>
                <w:right w:val="none" w:sz="0" w:space="0" w:color="auto"/>
              </w:divBdr>
            </w:div>
          </w:divsChild>
        </w:div>
        <w:div w:id="1759013363">
          <w:marLeft w:val="0"/>
          <w:marRight w:val="0"/>
          <w:marTop w:val="0"/>
          <w:marBottom w:val="0"/>
          <w:divBdr>
            <w:top w:val="none" w:sz="0" w:space="0" w:color="auto"/>
            <w:left w:val="none" w:sz="0" w:space="0" w:color="auto"/>
            <w:bottom w:val="none" w:sz="0" w:space="0" w:color="auto"/>
            <w:right w:val="none" w:sz="0" w:space="0" w:color="auto"/>
          </w:divBdr>
          <w:divsChild>
            <w:div w:id="1015958723">
              <w:marLeft w:val="0"/>
              <w:marRight w:val="0"/>
              <w:marTop w:val="0"/>
              <w:marBottom w:val="0"/>
              <w:divBdr>
                <w:top w:val="none" w:sz="0" w:space="0" w:color="auto"/>
                <w:left w:val="none" w:sz="0" w:space="0" w:color="auto"/>
                <w:bottom w:val="none" w:sz="0" w:space="0" w:color="auto"/>
                <w:right w:val="none" w:sz="0" w:space="0" w:color="auto"/>
              </w:divBdr>
            </w:div>
            <w:div w:id="1640113463">
              <w:marLeft w:val="0"/>
              <w:marRight w:val="0"/>
              <w:marTop w:val="0"/>
              <w:marBottom w:val="0"/>
              <w:divBdr>
                <w:top w:val="none" w:sz="0" w:space="0" w:color="auto"/>
                <w:left w:val="none" w:sz="0" w:space="0" w:color="auto"/>
                <w:bottom w:val="none" w:sz="0" w:space="0" w:color="auto"/>
                <w:right w:val="none" w:sz="0" w:space="0" w:color="auto"/>
              </w:divBdr>
            </w:div>
            <w:div w:id="2089812231">
              <w:marLeft w:val="0"/>
              <w:marRight w:val="0"/>
              <w:marTop w:val="0"/>
              <w:marBottom w:val="0"/>
              <w:divBdr>
                <w:top w:val="none" w:sz="0" w:space="0" w:color="auto"/>
                <w:left w:val="none" w:sz="0" w:space="0" w:color="auto"/>
                <w:bottom w:val="none" w:sz="0" w:space="0" w:color="auto"/>
                <w:right w:val="none" w:sz="0" w:space="0" w:color="auto"/>
              </w:divBdr>
            </w:div>
          </w:divsChild>
        </w:div>
        <w:div w:id="1760979810">
          <w:marLeft w:val="0"/>
          <w:marRight w:val="0"/>
          <w:marTop w:val="0"/>
          <w:marBottom w:val="0"/>
          <w:divBdr>
            <w:top w:val="none" w:sz="0" w:space="0" w:color="auto"/>
            <w:left w:val="none" w:sz="0" w:space="0" w:color="auto"/>
            <w:bottom w:val="none" w:sz="0" w:space="0" w:color="auto"/>
            <w:right w:val="none" w:sz="0" w:space="0" w:color="auto"/>
          </w:divBdr>
          <w:divsChild>
            <w:div w:id="744186930">
              <w:marLeft w:val="0"/>
              <w:marRight w:val="0"/>
              <w:marTop w:val="0"/>
              <w:marBottom w:val="0"/>
              <w:divBdr>
                <w:top w:val="none" w:sz="0" w:space="0" w:color="auto"/>
                <w:left w:val="none" w:sz="0" w:space="0" w:color="auto"/>
                <w:bottom w:val="none" w:sz="0" w:space="0" w:color="auto"/>
                <w:right w:val="none" w:sz="0" w:space="0" w:color="auto"/>
              </w:divBdr>
            </w:div>
            <w:div w:id="1382438424">
              <w:marLeft w:val="0"/>
              <w:marRight w:val="0"/>
              <w:marTop w:val="0"/>
              <w:marBottom w:val="0"/>
              <w:divBdr>
                <w:top w:val="none" w:sz="0" w:space="0" w:color="auto"/>
                <w:left w:val="none" w:sz="0" w:space="0" w:color="auto"/>
                <w:bottom w:val="none" w:sz="0" w:space="0" w:color="auto"/>
                <w:right w:val="none" w:sz="0" w:space="0" w:color="auto"/>
              </w:divBdr>
            </w:div>
            <w:div w:id="2139953746">
              <w:marLeft w:val="0"/>
              <w:marRight w:val="0"/>
              <w:marTop w:val="0"/>
              <w:marBottom w:val="0"/>
              <w:divBdr>
                <w:top w:val="none" w:sz="0" w:space="0" w:color="auto"/>
                <w:left w:val="none" w:sz="0" w:space="0" w:color="auto"/>
                <w:bottom w:val="none" w:sz="0" w:space="0" w:color="auto"/>
                <w:right w:val="none" w:sz="0" w:space="0" w:color="auto"/>
              </w:divBdr>
            </w:div>
          </w:divsChild>
        </w:div>
        <w:div w:id="1764112216">
          <w:marLeft w:val="0"/>
          <w:marRight w:val="0"/>
          <w:marTop w:val="0"/>
          <w:marBottom w:val="0"/>
          <w:divBdr>
            <w:top w:val="none" w:sz="0" w:space="0" w:color="auto"/>
            <w:left w:val="none" w:sz="0" w:space="0" w:color="auto"/>
            <w:bottom w:val="none" w:sz="0" w:space="0" w:color="auto"/>
            <w:right w:val="none" w:sz="0" w:space="0" w:color="auto"/>
          </w:divBdr>
          <w:divsChild>
            <w:div w:id="1516654937">
              <w:marLeft w:val="0"/>
              <w:marRight w:val="0"/>
              <w:marTop w:val="0"/>
              <w:marBottom w:val="0"/>
              <w:divBdr>
                <w:top w:val="none" w:sz="0" w:space="0" w:color="auto"/>
                <w:left w:val="none" w:sz="0" w:space="0" w:color="auto"/>
                <w:bottom w:val="none" w:sz="0" w:space="0" w:color="auto"/>
                <w:right w:val="none" w:sz="0" w:space="0" w:color="auto"/>
              </w:divBdr>
            </w:div>
            <w:div w:id="1973290928">
              <w:marLeft w:val="0"/>
              <w:marRight w:val="0"/>
              <w:marTop w:val="0"/>
              <w:marBottom w:val="0"/>
              <w:divBdr>
                <w:top w:val="none" w:sz="0" w:space="0" w:color="auto"/>
                <w:left w:val="none" w:sz="0" w:space="0" w:color="auto"/>
                <w:bottom w:val="none" w:sz="0" w:space="0" w:color="auto"/>
                <w:right w:val="none" w:sz="0" w:space="0" w:color="auto"/>
              </w:divBdr>
            </w:div>
            <w:div w:id="2066172712">
              <w:marLeft w:val="0"/>
              <w:marRight w:val="0"/>
              <w:marTop w:val="0"/>
              <w:marBottom w:val="0"/>
              <w:divBdr>
                <w:top w:val="none" w:sz="0" w:space="0" w:color="auto"/>
                <w:left w:val="none" w:sz="0" w:space="0" w:color="auto"/>
                <w:bottom w:val="none" w:sz="0" w:space="0" w:color="auto"/>
                <w:right w:val="none" w:sz="0" w:space="0" w:color="auto"/>
              </w:divBdr>
            </w:div>
          </w:divsChild>
        </w:div>
        <w:div w:id="1775981122">
          <w:marLeft w:val="0"/>
          <w:marRight w:val="0"/>
          <w:marTop w:val="0"/>
          <w:marBottom w:val="0"/>
          <w:divBdr>
            <w:top w:val="none" w:sz="0" w:space="0" w:color="auto"/>
            <w:left w:val="none" w:sz="0" w:space="0" w:color="auto"/>
            <w:bottom w:val="none" w:sz="0" w:space="0" w:color="auto"/>
            <w:right w:val="none" w:sz="0" w:space="0" w:color="auto"/>
          </w:divBdr>
          <w:divsChild>
            <w:div w:id="177741866">
              <w:marLeft w:val="0"/>
              <w:marRight w:val="0"/>
              <w:marTop w:val="0"/>
              <w:marBottom w:val="0"/>
              <w:divBdr>
                <w:top w:val="none" w:sz="0" w:space="0" w:color="auto"/>
                <w:left w:val="none" w:sz="0" w:space="0" w:color="auto"/>
                <w:bottom w:val="none" w:sz="0" w:space="0" w:color="auto"/>
                <w:right w:val="none" w:sz="0" w:space="0" w:color="auto"/>
              </w:divBdr>
            </w:div>
          </w:divsChild>
        </w:div>
        <w:div w:id="1778021340">
          <w:marLeft w:val="0"/>
          <w:marRight w:val="0"/>
          <w:marTop w:val="0"/>
          <w:marBottom w:val="0"/>
          <w:divBdr>
            <w:top w:val="none" w:sz="0" w:space="0" w:color="auto"/>
            <w:left w:val="none" w:sz="0" w:space="0" w:color="auto"/>
            <w:bottom w:val="none" w:sz="0" w:space="0" w:color="auto"/>
            <w:right w:val="none" w:sz="0" w:space="0" w:color="auto"/>
          </w:divBdr>
          <w:divsChild>
            <w:div w:id="6560972">
              <w:marLeft w:val="0"/>
              <w:marRight w:val="0"/>
              <w:marTop w:val="0"/>
              <w:marBottom w:val="0"/>
              <w:divBdr>
                <w:top w:val="none" w:sz="0" w:space="0" w:color="auto"/>
                <w:left w:val="none" w:sz="0" w:space="0" w:color="auto"/>
                <w:bottom w:val="none" w:sz="0" w:space="0" w:color="auto"/>
                <w:right w:val="none" w:sz="0" w:space="0" w:color="auto"/>
              </w:divBdr>
            </w:div>
            <w:div w:id="869536025">
              <w:marLeft w:val="0"/>
              <w:marRight w:val="0"/>
              <w:marTop w:val="0"/>
              <w:marBottom w:val="0"/>
              <w:divBdr>
                <w:top w:val="none" w:sz="0" w:space="0" w:color="auto"/>
                <w:left w:val="none" w:sz="0" w:space="0" w:color="auto"/>
                <w:bottom w:val="none" w:sz="0" w:space="0" w:color="auto"/>
                <w:right w:val="none" w:sz="0" w:space="0" w:color="auto"/>
              </w:divBdr>
            </w:div>
            <w:div w:id="1639529794">
              <w:marLeft w:val="0"/>
              <w:marRight w:val="0"/>
              <w:marTop w:val="0"/>
              <w:marBottom w:val="0"/>
              <w:divBdr>
                <w:top w:val="none" w:sz="0" w:space="0" w:color="auto"/>
                <w:left w:val="none" w:sz="0" w:space="0" w:color="auto"/>
                <w:bottom w:val="none" w:sz="0" w:space="0" w:color="auto"/>
                <w:right w:val="none" w:sz="0" w:space="0" w:color="auto"/>
              </w:divBdr>
            </w:div>
          </w:divsChild>
        </w:div>
        <w:div w:id="1778674180">
          <w:marLeft w:val="0"/>
          <w:marRight w:val="0"/>
          <w:marTop w:val="0"/>
          <w:marBottom w:val="0"/>
          <w:divBdr>
            <w:top w:val="none" w:sz="0" w:space="0" w:color="auto"/>
            <w:left w:val="none" w:sz="0" w:space="0" w:color="auto"/>
            <w:bottom w:val="none" w:sz="0" w:space="0" w:color="auto"/>
            <w:right w:val="none" w:sz="0" w:space="0" w:color="auto"/>
          </w:divBdr>
          <w:divsChild>
            <w:div w:id="285242004">
              <w:marLeft w:val="0"/>
              <w:marRight w:val="0"/>
              <w:marTop w:val="0"/>
              <w:marBottom w:val="0"/>
              <w:divBdr>
                <w:top w:val="none" w:sz="0" w:space="0" w:color="auto"/>
                <w:left w:val="none" w:sz="0" w:space="0" w:color="auto"/>
                <w:bottom w:val="none" w:sz="0" w:space="0" w:color="auto"/>
                <w:right w:val="none" w:sz="0" w:space="0" w:color="auto"/>
              </w:divBdr>
            </w:div>
            <w:div w:id="402486165">
              <w:marLeft w:val="0"/>
              <w:marRight w:val="0"/>
              <w:marTop w:val="0"/>
              <w:marBottom w:val="0"/>
              <w:divBdr>
                <w:top w:val="none" w:sz="0" w:space="0" w:color="auto"/>
                <w:left w:val="none" w:sz="0" w:space="0" w:color="auto"/>
                <w:bottom w:val="none" w:sz="0" w:space="0" w:color="auto"/>
                <w:right w:val="none" w:sz="0" w:space="0" w:color="auto"/>
              </w:divBdr>
            </w:div>
            <w:div w:id="926815722">
              <w:marLeft w:val="0"/>
              <w:marRight w:val="0"/>
              <w:marTop w:val="0"/>
              <w:marBottom w:val="0"/>
              <w:divBdr>
                <w:top w:val="none" w:sz="0" w:space="0" w:color="auto"/>
                <w:left w:val="none" w:sz="0" w:space="0" w:color="auto"/>
                <w:bottom w:val="none" w:sz="0" w:space="0" w:color="auto"/>
                <w:right w:val="none" w:sz="0" w:space="0" w:color="auto"/>
              </w:divBdr>
            </w:div>
            <w:div w:id="1172333212">
              <w:marLeft w:val="0"/>
              <w:marRight w:val="0"/>
              <w:marTop w:val="0"/>
              <w:marBottom w:val="0"/>
              <w:divBdr>
                <w:top w:val="none" w:sz="0" w:space="0" w:color="auto"/>
                <w:left w:val="none" w:sz="0" w:space="0" w:color="auto"/>
                <w:bottom w:val="none" w:sz="0" w:space="0" w:color="auto"/>
                <w:right w:val="none" w:sz="0" w:space="0" w:color="auto"/>
              </w:divBdr>
            </w:div>
            <w:div w:id="1182743782">
              <w:marLeft w:val="0"/>
              <w:marRight w:val="0"/>
              <w:marTop w:val="0"/>
              <w:marBottom w:val="0"/>
              <w:divBdr>
                <w:top w:val="none" w:sz="0" w:space="0" w:color="auto"/>
                <w:left w:val="none" w:sz="0" w:space="0" w:color="auto"/>
                <w:bottom w:val="none" w:sz="0" w:space="0" w:color="auto"/>
                <w:right w:val="none" w:sz="0" w:space="0" w:color="auto"/>
              </w:divBdr>
            </w:div>
            <w:div w:id="1207764148">
              <w:marLeft w:val="0"/>
              <w:marRight w:val="0"/>
              <w:marTop w:val="0"/>
              <w:marBottom w:val="0"/>
              <w:divBdr>
                <w:top w:val="none" w:sz="0" w:space="0" w:color="auto"/>
                <w:left w:val="none" w:sz="0" w:space="0" w:color="auto"/>
                <w:bottom w:val="none" w:sz="0" w:space="0" w:color="auto"/>
                <w:right w:val="none" w:sz="0" w:space="0" w:color="auto"/>
              </w:divBdr>
            </w:div>
            <w:div w:id="1864974885">
              <w:marLeft w:val="0"/>
              <w:marRight w:val="0"/>
              <w:marTop w:val="0"/>
              <w:marBottom w:val="0"/>
              <w:divBdr>
                <w:top w:val="none" w:sz="0" w:space="0" w:color="auto"/>
                <w:left w:val="none" w:sz="0" w:space="0" w:color="auto"/>
                <w:bottom w:val="none" w:sz="0" w:space="0" w:color="auto"/>
                <w:right w:val="none" w:sz="0" w:space="0" w:color="auto"/>
              </w:divBdr>
            </w:div>
          </w:divsChild>
        </w:div>
        <w:div w:id="1779400590">
          <w:marLeft w:val="0"/>
          <w:marRight w:val="0"/>
          <w:marTop w:val="0"/>
          <w:marBottom w:val="0"/>
          <w:divBdr>
            <w:top w:val="none" w:sz="0" w:space="0" w:color="auto"/>
            <w:left w:val="none" w:sz="0" w:space="0" w:color="auto"/>
            <w:bottom w:val="none" w:sz="0" w:space="0" w:color="auto"/>
            <w:right w:val="none" w:sz="0" w:space="0" w:color="auto"/>
          </w:divBdr>
          <w:divsChild>
            <w:div w:id="1512722">
              <w:marLeft w:val="0"/>
              <w:marRight w:val="0"/>
              <w:marTop w:val="0"/>
              <w:marBottom w:val="0"/>
              <w:divBdr>
                <w:top w:val="none" w:sz="0" w:space="0" w:color="auto"/>
                <w:left w:val="none" w:sz="0" w:space="0" w:color="auto"/>
                <w:bottom w:val="none" w:sz="0" w:space="0" w:color="auto"/>
                <w:right w:val="none" w:sz="0" w:space="0" w:color="auto"/>
              </w:divBdr>
            </w:div>
            <w:div w:id="124546556">
              <w:marLeft w:val="0"/>
              <w:marRight w:val="0"/>
              <w:marTop w:val="0"/>
              <w:marBottom w:val="0"/>
              <w:divBdr>
                <w:top w:val="none" w:sz="0" w:space="0" w:color="auto"/>
                <w:left w:val="none" w:sz="0" w:space="0" w:color="auto"/>
                <w:bottom w:val="none" w:sz="0" w:space="0" w:color="auto"/>
                <w:right w:val="none" w:sz="0" w:space="0" w:color="auto"/>
              </w:divBdr>
            </w:div>
            <w:div w:id="404650408">
              <w:marLeft w:val="0"/>
              <w:marRight w:val="0"/>
              <w:marTop w:val="0"/>
              <w:marBottom w:val="0"/>
              <w:divBdr>
                <w:top w:val="none" w:sz="0" w:space="0" w:color="auto"/>
                <w:left w:val="none" w:sz="0" w:space="0" w:color="auto"/>
                <w:bottom w:val="none" w:sz="0" w:space="0" w:color="auto"/>
                <w:right w:val="none" w:sz="0" w:space="0" w:color="auto"/>
              </w:divBdr>
            </w:div>
            <w:div w:id="789934048">
              <w:marLeft w:val="0"/>
              <w:marRight w:val="0"/>
              <w:marTop w:val="0"/>
              <w:marBottom w:val="0"/>
              <w:divBdr>
                <w:top w:val="none" w:sz="0" w:space="0" w:color="auto"/>
                <w:left w:val="none" w:sz="0" w:space="0" w:color="auto"/>
                <w:bottom w:val="none" w:sz="0" w:space="0" w:color="auto"/>
                <w:right w:val="none" w:sz="0" w:space="0" w:color="auto"/>
              </w:divBdr>
            </w:div>
            <w:div w:id="1587423098">
              <w:marLeft w:val="0"/>
              <w:marRight w:val="0"/>
              <w:marTop w:val="0"/>
              <w:marBottom w:val="0"/>
              <w:divBdr>
                <w:top w:val="none" w:sz="0" w:space="0" w:color="auto"/>
                <w:left w:val="none" w:sz="0" w:space="0" w:color="auto"/>
                <w:bottom w:val="none" w:sz="0" w:space="0" w:color="auto"/>
                <w:right w:val="none" w:sz="0" w:space="0" w:color="auto"/>
              </w:divBdr>
            </w:div>
            <w:div w:id="2096240442">
              <w:marLeft w:val="0"/>
              <w:marRight w:val="0"/>
              <w:marTop w:val="0"/>
              <w:marBottom w:val="0"/>
              <w:divBdr>
                <w:top w:val="none" w:sz="0" w:space="0" w:color="auto"/>
                <w:left w:val="none" w:sz="0" w:space="0" w:color="auto"/>
                <w:bottom w:val="none" w:sz="0" w:space="0" w:color="auto"/>
                <w:right w:val="none" w:sz="0" w:space="0" w:color="auto"/>
              </w:divBdr>
            </w:div>
          </w:divsChild>
        </w:div>
        <w:div w:id="1779566063">
          <w:marLeft w:val="0"/>
          <w:marRight w:val="0"/>
          <w:marTop w:val="0"/>
          <w:marBottom w:val="0"/>
          <w:divBdr>
            <w:top w:val="none" w:sz="0" w:space="0" w:color="auto"/>
            <w:left w:val="none" w:sz="0" w:space="0" w:color="auto"/>
            <w:bottom w:val="none" w:sz="0" w:space="0" w:color="auto"/>
            <w:right w:val="none" w:sz="0" w:space="0" w:color="auto"/>
          </w:divBdr>
          <w:divsChild>
            <w:div w:id="57754885">
              <w:marLeft w:val="0"/>
              <w:marRight w:val="0"/>
              <w:marTop w:val="0"/>
              <w:marBottom w:val="0"/>
              <w:divBdr>
                <w:top w:val="none" w:sz="0" w:space="0" w:color="auto"/>
                <w:left w:val="none" w:sz="0" w:space="0" w:color="auto"/>
                <w:bottom w:val="none" w:sz="0" w:space="0" w:color="auto"/>
                <w:right w:val="none" w:sz="0" w:space="0" w:color="auto"/>
              </w:divBdr>
            </w:div>
            <w:div w:id="864903198">
              <w:marLeft w:val="0"/>
              <w:marRight w:val="0"/>
              <w:marTop w:val="0"/>
              <w:marBottom w:val="0"/>
              <w:divBdr>
                <w:top w:val="none" w:sz="0" w:space="0" w:color="auto"/>
                <w:left w:val="none" w:sz="0" w:space="0" w:color="auto"/>
                <w:bottom w:val="none" w:sz="0" w:space="0" w:color="auto"/>
                <w:right w:val="none" w:sz="0" w:space="0" w:color="auto"/>
              </w:divBdr>
            </w:div>
          </w:divsChild>
        </w:div>
        <w:div w:id="1779638224">
          <w:marLeft w:val="0"/>
          <w:marRight w:val="0"/>
          <w:marTop w:val="0"/>
          <w:marBottom w:val="0"/>
          <w:divBdr>
            <w:top w:val="none" w:sz="0" w:space="0" w:color="auto"/>
            <w:left w:val="none" w:sz="0" w:space="0" w:color="auto"/>
            <w:bottom w:val="none" w:sz="0" w:space="0" w:color="auto"/>
            <w:right w:val="none" w:sz="0" w:space="0" w:color="auto"/>
          </w:divBdr>
          <w:divsChild>
            <w:div w:id="35814499">
              <w:marLeft w:val="0"/>
              <w:marRight w:val="0"/>
              <w:marTop w:val="0"/>
              <w:marBottom w:val="0"/>
              <w:divBdr>
                <w:top w:val="none" w:sz="0" w:space="0" w:color="auto"/>
                <w:left w:val="none" w:sz="0" w:space="0" w:color="auto"/>
                <w:bottom w:val="none" w:sz="0" w:space="0" w:color="auto"/>
                <w:right w:val="none" w:sz="0" w:space="0" w:color="auto"/>
              </w:divBdr>
            </w:div>
            <w:div w:id="85153889">
              <w:marLeft w:val="0"/>
              <w:marRight w:val="0"/>
              <w:marTop w:val="0"/>
              <w:marBottom w:val="0"/>
              <w:divBdr>
                <w:top w:val="none" w:sz="0" w:space="0" w:color="auto"/>
                <w:left w:val="none" w:sz="0" w:space="0" w:color="auto"/>
                <w:bottom w:val="none" w:sz="0" w:space="0" w:color="auto"/>
                <w:right w:val="none" w:sz="0" w:space="0" w:color="auto"/>
              </w:divBdr>
            </w:div>
            <w:div w:id="427890599">
              <w:marLeft w:val="0"/>
              <w:marRight w:val="0"/>
              <w:marTop w:val="0"/>
              <w:marBottom w:val="0"/>
              <w:divBdr>
                <w:top w:val="none" w:sz="0" w:space="0" w:color="auto"/>
                <w:left w:val="none" w:sz="0" w:space="0" w:color="auto"/>
                <w:bottom w:val="none" w:sz="0" w:space="0" w:color="auto"/>
                <w:right w:val="none" w:sz="0" w:space="0" w:color="auto"/>
              </w:divBdr>
            </w:div>
            <w:div w:id="1870026207">
              <w:marLeft w:val="0"/>
              <w:marRight w:val="0"/>
              <w:marTop w:val="0"/>
              <w:marBottom w:val="0"/>
              <w:divBdr>
                <w:top w:val="none" w:sz="0" w:space="0" w:color="auto"/>
                <w:left w:val="none" w:sz="0" w:space="0" w:color="auto"/>
                <w:bottom w:val="none" w:sz="0" w:space="0" w:color="auto"/>
                <w:right w:val="none" w:sz="0" w:space="0" w:color="auto"/>
              </w:divBdr>
            </w:div>
            <w:div w:id="2094083058">
              <w:marLeft w:val="0"/>
              <w:marRight w:val="0"/>
              <w:marTop w:val="0"/>
              <w:marBottom w:val="0"/>
              <w:divBdr>
                <w:top w:val="none" w:sz="0" w:space="0" w:color="auto"/>
                <w:left w:val="none" w:sz="0" w:space="0" w:color="auto"/>
                <w:bottom w:val="none" w:sz="0" w:space="0" w:color="auto"/>
                <w:right w:val="none" w:sz="0" w:space="0" w:color="auto"/>
              </w:divBdr>
            </w:div>
          </w:divsChild>
        </w:div>
        <w:div w:id="1779638717">
          <w:marLeft w:val="0"/>
          <w:marRight w:val="0"/>
          <w:marTop w:val="0"/>
          <w:marBottom w:val="0"/>
          <w:divBdr>
            <w:top w:val="none" w:sz="0" w:space="0" w:color="auto"/>
            <w:left w:val="none" w:sz="0" w:space="0" w:color="auto"/>
            <w:bottom w:val="none" w:sz="0" w:space="0" w:color="auto"/>
            <w:right w:val="none" w:sz="0" w:space="0" w:color="auto"/>
          </w:divBdr>
          <w:divsChild>
            <w:div w:id="1180119046">
              <w:marLeft w:val="0"/>
              <w:marRight w:val="0"/>
              <w:marTop w:val="0"/>
              <w:marBottom w:val="0"/>
              <w:divBdr>
                <w:top w:val="none" w:sz="0" w:space="0" w:color="auto"/>
                <w:left w:val="none" w:sz="0" w:space="0" w:color="auto"/>
                <w:bottom w:val="none" w:sz="0" w:space="0" w:color="auto"/>
                <w:right w:val="none" w:sz="0" w:space="0" w:color="auto"/>
              </w:divBdr>
            </w:div>
            <w:div w:id="1622345127">
              <w:marLeft w:val="0"/>
              <w:marRight w:val="0"/>
              <w:marTop w:val="0"/>
              <w:marBottom w:val="0"/>
              <w:divBdr>
                <w:top w:val="none" w:sz="0" w:space="0" w:color="auto"/>
                <w:left w:val="none" w:sz="0" w:space="0" w:color="auto"/>
                <w:bottom w:val="none" w:sz="0" w:space="0" w:color="auto"/>
                <w:right w:val="none" w:sz="0" w:space="0" w:color="auto"/>
              </w:divBdr>
            </w:div>
            <w:div w:id="1919703708">
              <w:marLeft w:val="0"/>
              <w:marRight w:val="0"/>
              <w:marTop w:val="0"/>
              <w:marBottom w:val="0"/>
              <w:divBdr>
                <w:top w:val="none" w:sz="0" w:space="0" w:color="auto"/>
                <w:left w:val="none" w:sz="0" w:space="0" w:color="auto"/>
                <w:bottom w:val="none" w:sz="0" w:space="0" w:color="auto"/>
                <w:right w:val="none" w:sz="0" w:space="0" w:color="auto"/>
              </w:divBdr>
            </w:div>
          </w:divsChild>
        </w:div>
        <w:div w:id="1781098132">
          <w:marLeft w:val="0"/>
          <w:marRight w:val="0"/>
          <w:marTop w:val="0"/>
          <w:marBottom w:val="0"/>
          <w:divBdr>
            <w:top w:val="none" w:sz="0" w:space="0" w:color="auto"/>
            <w:left w:val="none" w:sz="0" w:space="0" w:color="auto"/>
            <w:bottom w:val="none" w:sz="0" w:space="0" w:color="auto"/>
            <w:right w:val="none" w:sz="0" w:space="0" w:color="auto"/>
          </w:divBdr>
          <w:divsChild>
            <w:div w:id="937103356">
              <w:marLeft w:val="0"/>
              <w:marRight w:val="0"/>
              <w:marTop w:val="0"/>
              <w:marBottom w:val="0"/>
              <w:divBdr>
                <w:top w:val="none" w:sz="0" w:space="0" w:color="auto"/>
                <w:left w:val="none" w:sz="0" w:space="0" w:color="auto"/>
                <w:bottom w:val="none" w:sz="0" w:space="0" w:color="auto"/>
                <w:right w:val="none" w:sz="0" w:space="0" w:color="auto"/>
              </w:divBdr>
            </w:div>
            <w:div w:id="1055739395">
              <w:marLeft w:val="0"/>
              <w:marRight w:val="0"/>
              <w:marTop w:val="0"/>
              <w:marBottom w:val="0"/>
              <w:divBdr>
                <w:top w:val="none" w:sz="0" w:space="0" w:color="auto"/>
                <w:left w:val="none" w:sz="0" w:space="0" w:color="auto"/>
                <w:bottom w:val="none" w:sz="0" w:space="0" w:color="auto"/>
                <w:right w:val="none" w:sz="0" w:space="0" w:color="auto"/>
              </w:divBdr>
            </w:div>
          </w:divsChild>
        </w:div>
        <w:div w:id="1794208746">
          <w:marLeft w:val="0"/>
          <w:marRight w:val="0"/>
          <w:marTop w:val="0"/>
          <w:marBottom w:val="0"/>
          <w:divBdr>
            <w:top w:val="none" w:sz="0" w:space="0" w:color="auto"/>
            <w:left w:val="none" w:sz="0" w:space="0" w:color="auto"/>
            <w:bottom w:val="none" w:sz="0" w:space="0" w:color="auto"/>
            <w:right w:val="none" w:sz="0" w:space="0" w:color="auto"/>
          </w:divBdr>
          <w:divsChild>
            <w:div w:id="630331009">
              <w:marLeft w:val="0"/>
              <w:marRight w:val="0"/>
              <w:marTop w:val="0"/>
              <w:marBottom w:val="0"/>
              <w:divBdr>
                <w:top w:val="none" w:sz="0" w:space="0" w:color="auto"/>
                <w:left w:val="none" w:sz="0" w:space="0" w:color="auto"/>
                <w:bottom w:val="none" w:sz="0" w:space="0" w:color="auto"/>
                <w:right w:val="none" w:sz="0" w:space="0" w:color="auto"/>
              </w:divBdr>
            </w:div>
            <w:div w:id="1596983948">
              <w:marLeft w:val="0"/>
              <w:marRight w:val="0"/>
              <w:marTop w:val="0"/>
              <w:marBottom w:val="0"/>
              <w:divBdr>
                <w:top w:val="none" w:sz="0" w:space="0" w:color="auto"/>
                <w:left w:val="none" w:sz="0" w:space="0" w:color="auto"/>
                <w:bottom w:val="none" w:sz="0" w:space="0" w:color="auto"/>
                <w:right w:val="none" w:sz="0" w:space="0" w:color="auto"/>
              </w:divBdr>
            </w:div>
          </w:divsChild>
        </w:div>
        <w:div w:id="1799487716">
          <w:marLeft w:val="0"/>
          <w:marRight w:val="0"/>
          <w:marTop w:val="0"/>
          <w:marBottom w:val="0"/>
          <w:divBdr>
            <w:top w:val="none" w:sz="0" w:space="0" w:color="auto"/>
            <w:left w:val="none" w:sz="0" w:space="0" w:color="auto"/>
            <w:bottom w:val="none" w:sz="0" w:space="0" w:color="auto"/>
            <w:right w:val="none" w:sz="0" w:space="0" w:color="auto"/>
          </w:divBdr>
          <w:divsChild>
            <w:div w:id="936906872">
              <w:marLeft w:val="0"/>
              <w:marRight w:val="0"/>
              <w:marTop w:val="0"/>
              <w:marBottom w:val="0"/>
              <w:divBdr>
                <w:top w:val="none" w:sz="0" w:space="0" w:color="auto"/>
                <w:left w:val="none" w:sz="0" w:space="0" w:color="auto"/>
                <w:bottom w:val="none" w:sz="0" w:space="0" w:color="auto"/>
                <w:right w:val="none" w:sz="0" w:space="0" w:color="auto"/>
              </w:divBdr>
            </w:div>
            <w:div w:id="1679237661">
              <w:marLeft w:val="0"/>
              <w:marRight w:val="0"/>
              <w:marTop w:val="0"/>
              <w:marBottom w:val="0"/>
              <w:divBdr>
                <w:top w:val="none" w:sz="0" w:space="0" w:color="auto"/>
                <w:left w:val="none" w:sz="0" w:space="0" w:color="auto"/>
                <w:bottom w:val="none" w:sz="0" w:space="0" w:color="auto"/>
                <w:right w:val="none" w:sz="0" w:space="0" w:color="auto"/>
              </w:divBdr>
            </w:div>
          </w:divsChild>
        </w:div>
        <w:div w:id="1804421310">
          <w:marLeft w:val="0"/>
          <w:marRight w:val="0"/>
          <w:marTop w:val="0"/>
          <w:marBottom w:val="0"/>
          <w:divBdr>
            <w:top w:val="none" w:sz="0" w:space="0" w:color="auto"/>
            <w:left w:val="none" w:sz="0" w:space="0" w:color="auto"/>
            <w:bottom w:val="none" w:sz="0" w:space="0" w:color="auto"/>
            <w:right w:val="none" w:sz="0" w:space="0" w:color="auto"/>
          </w:divBdr>
          <w:divsChild>
            <w:div w:id="565117414">
              <w:marLeft w:val="0"/>
              <w:marRight w:val="0"/>
              <w:marTop w:val="0"/>
              <w:marBottom w:val="0"/>
              <w:divBdr>
                <w:top w:val="none" w:sz="0" w:space="0" w:color="auto"/>
                <w:left w:val="none" w:sz="0" w:space="0" w:color="auto"/>
                <w:bottom w:val="none" w:sz="0" w:space="0" w:color="auto"/>
                <w:right w:val="none" w:sz="0" w:space="0" w:color="auto"/>
              </w:divBdr>
            </w:div>
            <w:div w:id="1785230804">
              <w:marLeft w:val="0"/>
              <w:marRight w:val="0"/>
              <w:marTop w:val="0"/>
              <w:marBottom w:val="0"/>
              <w:divBdr>
                <w:top w:val="none" w:sz="0" w:space="0" w:color="auto"/>
                <w:left w:val="none" w:sz="0" w:space="0" w:color="auto"/>
                <w:bottom w:val="none" w:sz="0" w:space="0" w:color="auto"/>
                <w:right w:val="none" w:sz="0" w:space="0" w:color="auto"/>
              </w:divBdr>
            </w:div>
          </w:divsChild>
        </w:div>
        <w:div w:id="1805537797">
          <w:marLeft w:val="0"/>
          <w:marRight w:val="0"/>
          <w:marTop w:val="0"/>
          <w:marBottom w:val="0"/>
          <w:divBdr>
            <w:top w:val="none" w:sz="0" w:space="0" w:color="auto"/>
            <w:left w:val="none" w:sz="0" w:space="0" w:color="auto"/>
            <w:bottom w:val="none" w:sz="0" w:space="0" w:color="auto"/>
            <w:right w:val="none" w:sz="0" w:space="0" w:color="auto"/>
          </w:divBdr>
          <w:divsChild>
            <w:div w:id="1441408903">
              <w:marLeft w:val="0"/>
              <w:marRight w:val="0"/>
              <w:marTop w:val="0"/>
              <w:marBottom w:val="0"/>
              <w:divBdr>
                <w:top w:val="none" w:sz="0" w:space="0" w:color="auto"/>
                <w:left w:val="none" w:sz="0" w:space="0" w:color="auto"/>
                <w:bottom w:val="none" w:sz="0" w:space="0" w:color="auto"/>
                <w:right w:val="none" w:sz="0" w:space="0" w:color="auto"/>
              </w:divBdr>
            </w:div>
          </w:divsChild>
        </w:div>
        <w:div w:id="1812206085">
          <w:marLeft w:val="0"/>
          <w:marRight w:val="0"/>
          <w:marTop w:val="0"/>
          <w:marBottom w:val="0"/>
          <w:divBdr>
            <w:top w:val="none" w:sz="0" w:space="0" w:color="auto"/>
            <w:left w:val="none" w:sz="0" w:space="0" w:color="auto"/>
            <w:bottom w:val="none" w:sz="0" w:space="0" w:color="auto"/>
            <w:right w:val="none" w:sz="0" w:space="0" w:color="auto"/>
          </w:divBdr>
          <w:divsChild>
            <w:div w:id="1233929667">
              <w:marLeft w:val="0"/>
              <w:marRight w:val="0"/>
              <w:marTop w:val="0"/>
              <w:marBottom w:val="0"/>
              <w:divBdr>
                <w:top w:val="none" w:sz="0" w:space="0" w:color="auto"/>
                <w:left w:val="none" w:sz="0" w:space="0" w:color="auto"/>
                <w:bottom w:val="none" w:sz="0" w:space="0" w:color="auto"/>
                <w:right w:val="none" w:sz="0" w:space="0" w:color="auto"/>
              </w:divBdr>
            </w:div>
            <w:div w:id="1277829708">
              <w:marLeft w:val="0"/>
              <w:marRight w:val="0"/>
              <w:marTop w:val="0"/>
              <w:marBottom w:val="0"/>
              <w:divBdr>
                <w:top w:val="none" w:sz="0" w:space="0" w:color="auto"/>
                <w:left w:val="none" w:sz="0" w:space="0" w:color="auto"/>
                <w:bottom w:val="none" w:sz="0" w:space="0" w:color="auto"/>
                <w:right w:val="none" w:sz="0" w:space="0" w:color="auto"/>
              </w:divBdr>
            </w:div>
          </w:divsChild>
        </w:div>
        <w:div w:id="1817185418">
          <w:marLeft w:val="0"/>
          <w:marRight w:val="0"/>
          <w:marTop w:val="0"/>
          <w:marBottom w:val="0"/>
          <w:divBdr>
            <w:top w:val="none" w:sz="0" w:space="0" w:color="auto"/>
            <w:left w:val="none" w:sz="0" w:space="0" w:color="auto"/>
            <w:bottom w:val="none" w:sz="0" w:space="0" w:color="auto"/>
            <w:right w:val="none" w:sz="0" w:space="0" w:color="auto"/>
          </w:divBdr>
          <w:divsChild>
            <w:div w:id="609435128">
              <w:marLeft w:val="0"/>
              <w:marRight w:val="0"/>
              <w:marTop w:val="0"/>
              <w:marBottom w:val="0"/>
              <w:divBdr>
                <w:top w:val="none" w:sz="0" w:space="0" w:color="auto"/>
                <w:left w:val="none" w:sz="0" w:space="0" w:color="auto"/>
                <w:bottom w:val="none" w:sz="0" w:space="0" w:color="auto"/>
                <w:right w:val="none" w:sz="0" w:space="0" w:color="auto"/>
              </w:divBdr>
            </w:div>
            <w:div w:id="1827668466">
              <w:marLeft w:val="0"/>
              <w:marRight w:val="0"/>
              <w:marTop w:val="0"/>
              <w:marBottom w:val="0"/>
              <w:divBdr>
                <w:top w:val="none" w:sz="0" w:space="0" w:color="auto"/>
                <w:left w:val="none" w:sz="0" w:space="0" w:color="auto"/>
                <w:bottom w:val="none" w:sz="0" w:space="0" w:color="auto"/>
                <w:right w:val="none" w:sz="0" w:space="0" w:color="auto"/>
              </w:divBdr>
            </w:div>
            <w:div w:id="1972125069">
              <w:marLeft w:val="0"/>
              <w:marRight w:val="0"/>
              <w:marTop w:val="0"/>
              <w:marBottom w:val="0"/>
              <w:divBdr>
                <w:top w:val="none" w:sz="0" w:space="0" w:color="auto"/>
                <w:left w:val="none" w:sz="0" w:space="0" w:color="auto"/>
                <w:bottom w:val="none" w:sz="0" w:space="0" w:color="auto"/>
                <w:right w:val="none" w:sz="0" w:space="0" w:color="auto"/>
              </w:divBdr>
            </w:div>
          </w:divsChild>
        </w:div>
        <w:div w:id="1820532254">
          <w:marLeft w:val="0"/>
          <w:marRight w:val="0"/>
          <w:marTop w:val="0"/>
          <w:marBottom w:val="0"/>
          <w:divBdr>
            <w:top w:val="none" w:sz="0" w:space="0" w:color="auto"/>
            <w:left w:val="none" w:sz="0" w:space="0" w:color="auto"/>
            <w:bottom w:val="none" w:sz="0" w:space="0" w:color="auto"/>
            <w:right w:val="none" w:sz="0" w:space="0" w:color="auto"/>
          </w:divBdr>
          <w:divsChild>
            <w:div w:id="843206835">
              <w:marLeft w:val="0"/>
              <w:marRight w:val="0"/>
              <w:marTop w:val="0"/>
              <w:marBottom w:val="0"/>
              <w:divBdr>
                <w:top w:val="none" w:sz="0" w:space="0" w:color="auto"/>
                <w:left w:val="none" w:sz="0" w:space="0" w:color="auto"/>
                <w:bottom w:val="none" w:sz="0" w:space="0" w:color="auto"/>
                <w:right w:val="none" w:sz="0" w:space="0" w:color="auto"/>
              </w:divBdr>
            </w:div>
            <w:div w:id="1906528825">
              <w:marLeft w:val="0"/>
              <w:marRight w:val="0"/>
              <w:marTop w:val="0"/>
              <w:marBottom w:val="0"/>
              <w:divBdr>
                <w:top w:val="none" w:sz="0" w:space="0" w:color="auto"/>
                <w:left w:val="none" w:sz="0" w:space="0" w:color="auto"/>
                <w:bottom w:val="none" w:sz="0" w:space="0" w:color="auto"/>
                <w:right w:val="none" w:sz="0" w:space="0" w:color="auto"/>
              </w:divBdr>
            </w:div>
          </w:divsChild>
        </w:div>
        <w:div w:id="1823934909">
          <w:marLeft w:val="0"/>
          <w:marRight w:val="0"/>
          <w:marTop w:val="0"/>
          <w:marBottom w:val="0"/>
          <w:divBdr>
            <w:top w:val="none" w:sz="0" w:space="0" w:color="auto"/>
            <w:left w:val="none" w:sz="0" w:space="0" w:color="auto"/>
            <w:bottom w:val="none" w:sz="0" w:space="0" w:color="auto"/>
            <w:right w:val="none" w:sz="0" w:space="0" w:color="auto"/>
          </w:divBdr>
          <w:divsChild>
            <w:div w:id="101608182">
              <w:marLeft w:val="0"/>
              <w:marRight w:val="0"/>
              <w:marTop w:val="0"/>
              <w:marBottom w:val="0"/>
              <w:divBdr>
                <w:top w:val="none" w:sz="0" w:space="0" w:color="auto"/>
                <w:left w:val="none" w:sz="0" w:space="0" w:color="auto"/>
                <w:bottom w:val="none" w:sz="0" w:space="0" w:color="auto"/>
                <w:right w:val="none" w:sz="0" w:space="0" w:color="auto"/>
              </w:divBdr>
            </w:div>
            <w:div w:id="171996549">
              <w:marLeft w:val="0"/>
              <w:marRight w:val="0"/>
              <w:marTop w:val="0"/>
              <w:marBottom w:val="0"/>
              <w:divBdr>
                <w:top w:val="none" w:sz="0" w:space="0" w:color="auto"/>
                <w:left w:val="none" w:sz="0" w:space="0" w:color="auto"/>
                <w:bottom w:val="none" w:sz="0" w:space="0" w:color="auto"/>
                <w:right w:val="none" w:sz="0" w:space="0" w:color="auto"/>
              </w:divBdr>
            </w:div>
            <w:div w:id="333192881">
              <w:marLeft w:val="0"/>
              <w:marRight w:val="0"/>
              <w:marTop w:val="0"/>
              <w:marBottom w:val="0"/>
              <w:divBdr>
                <w:top w:val="none" w:sz="0" w:space="0" w:color="auto"/>
                <w:left w:val="none" w:sz="0" w:space="0" w:color="auto"/>
                <w:bottom w:val="none" w:sz="0" w:space="0" w:color="auto"/>
                <w:right w:val="none" w:sz="0" w:space="0" w:color="auto"/>
              </w:divBdr>
            </w:div>
            <w:div w:id="415981393">
              <w:marLeft w:val="0"/>
              <w:marRight w:val="0"/>
              <w:marTop w:val="0"/>
              <w:marBottom w:val="0"/>
              <w:divBdr>
                <w:top w:val="none" w:sz="0" w:space="0" w:color="auto"/>
                <w:left w:val="none" w:sz="0" w:space="0" w:color="auto"/>
                <w:bottom w:val="none" w:sz="0" w:space="0" w:color="auto"/>
                <w:right w:val="none" w:sz="0" w:space="0" w:color="auto"/>
              </w:divBdr>
            </w:div>
            <w:div w:id="640161656">
              <w:marLeft w:val="0"/>
              <w:marRight w:val="0"/>
              <w:marTop w:val="0"/>
              <w:marBottom w:val="0"/>
              <w:divBdr>
                <w:top w:val="none" w:sz="0" w:space="0" w:color="auto"/>
                <w:left w:val="none" w:sz="0" w:space="0" w:color="auto"/>
                <w:bottom w:val="none" w:sz="0" w:space="0" w:color="auto"/>
                <w:right w:val="none" w:sz="0" w:space="0" w:color="auto"/>
              </w:divBdr>
            </w:div>
            <w:div w:id="1459179336">
              <w:marLeft w:val="0"/>
              <w:marRight w:val="0"/>
              <w:marTop w:val="0"/>
              <w:marBottom w:val="0"/>
              <w:divBdr>
                <w:top w:val="none" w:sz="0" w:space="0" w:color="auto"/>
                <w:left w:val="none" w:sz="0" w:space="0" w:color="auto"/>
                <w:bottom w:val="none" w:sz="0" w:space="0" w:color="auto"/>
                <w:right w:val="none" w:sz="0" w:space="0" w:color="auto"/>
              </w:divBdr>
            </w:div>
            <w:div w:id="1926572051">
              <w:marLeft w:val="0"/>
              <w:marRight w:val="0"/>
              <w:marTop w:val="0"/>
              <w:marBottom w:val="0"/>
              <w:divBdr>
                <w:top w:val="none" w:sz="0" w:space="0" w:color="auto"/>
                <w:left w:val="none" w:sz="0" w:space="0" w:color="auto"/>
                <w:bottom w:val="none" w:sz="0" w:space="0" w:color="auto"/>
                <w:right w:val="none" w:sz="0" w:space="0" w:color="auto"/>
              </w:divBdr>
            </w:div>
            <w:div w:id="1972704505">
              <w:marLeft w:val="0"/>
              <w:marRight w:val="0"/>
              <w:marTop w:val="0"/>
              <w:marBottom w:val="0"/>
              <w:divBdr>
                <w:top w:val="none" w:sz="0" w:space="0" w:color="auto"/>
                <w:left w:val="none" w:sz="0" w:space="0" w:color="auto"/>
                <w:bottom w:val="none" w:sz="0" w:space="0" w:color="auto"/>
                <w:right w:val="none" w:sz="0" w:space="0" w:color="auto"/>
              </w:divBdr>
            </w:div>
          </w:divsChild>
        </w:div>
        <w:div w:id="1825511648">
          <w:marLeft w:val="0"/>
          <w:marRight w:val="0"/>
          <w:marTop w:val="0"/>
          <w:marBottom w:val="0"/>
          <w:divBdr>
            <w:top w:val="none" w:sz="0" w:space="0" w:color="auto"/>
            <w:left w:val="none" w:sz="0" w:space="0" w:color="auto"/>
            <w:bottom w:val="none" w:sz="0" w:space="0" w:color="auto"/>
            <w:right w:val="none" w:sz="0" w:space="0" w:color="auto"/>
          </w:divBdr>
          <w:divsChild>
            <w:div w:id="41641493">
              <w:marLeft w:val="0"/>
              <w:marRight w:val="0"/>
              <w:marTop w:val="0"/>
              <w:marBottom w:val="0"/>
              <w:divBdr>
                <w:top w:val="none" w:sz="0" w:space="0" w:color="auto"/>
                <w:left w:val="none" w:sz="0" w:space="0" w:color="auto"/>
                <w:bottom w:val="none" w:sz="0" w:space="0" w:color="auto"/>
                <w:right w:val="none" w:sz="0" w:space="0" w:color="auto"/>
              </w:divBdr>
            </w:div>
          </w:divsChild>
        </w:div>
        <w:div w:id="1826241853">
          <w:marLeft w:val="0"/>
          <w:marRight w:val="0"/>
          <w:marTop w:val="0"/>
          <w:marBottom w:val="0"/>
          <w:divBdr>
            <w:top w:val="none" w:sz="0" w:space="0" w:color="auto"/>
            <w:left w:val="none" w:sz="0" w:space="0" w:color="auto"/>
            <w:bottom w:val="none" w:sz="0" w:space="0" w:color="auto"/>
            <w:right w:val="none" w:sz="0" w:space="0" w:color="auto"/>
          </w:divBdr>
          <w:divsChild>
            <w:div w:id="987444267">
              <w:marLeft w:val="0"/>
              <w:marRight w:val="0"/>
              <w:marTop w:val="0"/>
              <w:marBottom w:val="0"/>
              <w:divBdr>
                <w:top w:val="none" w:sz="0" w:space="0" w:color="auto"/>
                <w:left w:val="none" w:sz="0" w:space="0" w:color="auto"/>
                <w:bottom w:val="none" w:sz="0" w:space="0" w:color="auto"/>
                <w:right w:val="none" w:sz="0" w:space="0" w:color="auto"/>
              </w:divBdr>
            </w:div>
          </w:divsChild>
        </w:div>
        <w:div w:id="1836261618">
          <w:marLeft w:val="0"/>
          <w:marRight w:val="0"/>
          <w:marTop w:val="0"/>
          <w:marBottom w:val="0"/>
          <w:divBdr>
            <w:top w:val="none" w:sz="0" w:space="0" w:color="auto"/>
            <w:left w:val="none" w:sz="0" w:space="0" w:color="auto"/>
            <w:bottom w:val="none" w:sz="0" w:space="0" w:color="auto"/>
            <w:right w:val="none" w:sz="0" w:space="0" w:color="auto"/>
          </w:divBdr>
          <w:divsChild>
            <w:div w:id="50278139">
              <w:marLeft w:val="0"/>
              <w:marRight w:val="0"/>
              <w:marTop w:val="0"/>
              <w:marBottom w:val="0"/>
              <w:divBdr>
                <w:top w:val="none" w:sz="0" w:space="0" w:color="auto"/>
                <w:left w:val="none" w:sz="0" w:space="0" w:color="auto"/>
                <w:bottom w:val="none" w:sz="0" w:space="0" w:color="auto"/>
                <w:right w:val="none" w:sz="0" w:space="0" w:color="auto"/>
              </w:divBdr>
            </w:div>
            <w:div w:id="311520687">
              <w:marLeft w:val="0"/>
              <w:marRight w:val="0"/>
              <w:marTop w:val="0"/>
              <w:marBottom w:val="0"/>
              <w:divBdr>
                <w:top w:val="none" w:sz="0" w:space="0" w:color="auto"/>
                <w:left w:val="none" w:sz="0" w:space="0" w:color="auto"/>
                <w:bottom w:val="none" w:sz="0" w:space="0" w:color="auto"/>
                <w:right w:val="none" w:sz="0" w:space="0" w:color="auto"/>
              </w:divBdr>
            </w:div>
          </w:divsChild>
        </w:div>
        <w:div w:id="1852135734">
          <w:marLeft w:val="0"/>
          <w:marRight w:val="0"/>
          <w:marTop w:val="0"/>
          <w:marBottom w:val="0"/>
          <w:divBdr>
            <w:top w:val="none" w:sz="0" w:space="0" w:color="auto"/>
            <w:left w:val="none" w:sz="0" w:space="0" w:color="auto"/>
            <w:bottom w:val="none" w:sz="0" w:space="0" w:color="auto"/>
            <w:right w:val="none" w:sz="0" w:space="0" w:color="auto"/>
          </w:divBdr>
          <w:divsChild>
            <w:div w:id="1204559080">
              <w:marLeft w:val="0"/>
              <w:marRight w:val="0"/>
              <w:marTop w:val="0"/>
              <w:marBottom w:val="0"/>
              <w:divBdr>
                <w:top w:val="none" w:sz="0" w:space="0" w:color="auto"/>
                <w:left w:val="none" w:sz="0" w:space="0" w:color="auto"/>
                <w:bottom w:val="none" w:sz="0" w:space="0" w:color="auto"/>
                <w:right w:val="none" w:sz="0" w:space="0" w:color="auto"/>
              </w:divBdr>
            </w:div>
          </w:divsChild>
        </w:div>
        <w:div w:id="1852184970">
          <w:marLeft w:val="0"/>
          <w:marRight w:val="0"/>
          <w:marTop w:val="0"/>
          <w:marBottom w:val="0"/>
          <w:divBdr>
            <w:top w:val="none" w:sz="0" w:space="0" w:color="auto"/>
            <w:left w:val="none" w:sz="0" w:space="0" w:color="auto"/>
            <w:bottom w:val="none" w:sz="0" w:space="0" w:color="auto"/>
            <w:right w:val="none" w:sz="0" w:space="0" w:color="auto"/>
          </w:divBdr>
          <w:divsChild>
            <w:div w:id="365452798">
              <w:marLeft w:val="0"/>
              <w:marRight w:val="0"/>
              <w:marTop w:val="0"/>
              <w:marBottom w:val="0"/>
              <w:divBdr>
                <w:top w:val="none" w:sz="0" w:space="0" w:color="auto"/>
                <w:left w:val="none" w:sz="0" w:space="0" w:color="auto"/>
                <w:bottom w:val="none" w:sz="0" w:space="0" w:color="auto"/>
                <w:right w:val="none" w:sz="0" w:space="0" w:color="auto"/>
              </w:divBdr>
            </w:div>
            <w:div w:id="397897282">
              <w:marLeft w:val="0"/>
              <w:marRight w:val="0"/>
              <w:marTop w:val="0"/>
              <w:marBottom w:val="0"/>
              <w:divBdr>
                <w:top w:val="none" w:sz="0" w:space="0" w:color="auto"/>
                <w:left w:val="none" w:sz="0" w:space="0" w:color="auto"/>
                <w:bottom w:val="none" w:sz="0" w:space="0" w:color="auto"/>
                <w:right w:val="none" w:sz="0" w:space="0" w:color="auto"/>
              </w:divBdr>
            </w:div>
            <w:div w:id="1125659157">
              <w:marLeft w:val="0"/>
              <w:marRight w:val="0"/>
              <w:marTop w:val="0"/>
              <w:marBottom w:val="0"/>
              <w:divBdr>
                <w:top w:val="none" w:sz="0" w:space="0" w:color="auto"/>
                <w:left w:val="none" w:sz="0" w:space="0" w:color="auto"/>
                <w:bottom w:val="none" w:sz="0" w:space="0" w:color="auto"/>
                <w:right w:val="none" w:sz="0" w:space="0" w:color="auto"/>
              </w:divBdr>
            </w:div>
            <w:div w:id="1328678053">
              <w:marLeft w:val="0"/>
              <w:marRight w:val="0"/>
              <w:marTop w:val="0"/>
              <w:marBottom w:val="0"/>
              <w:divBdr>
                <w:top w:val="none" w:sz="0" w:space="0" w:color="auto"/>
                <w:left w:val="none" w:sz="0" w:space="0" w:color="auto"/>
                <w:bottom w:val="none" w:sz="0" w:space="0" w:color="auto"/>
                <w:right w:val="none" w:sz="0" w:space="0" w:color="auto"/>
              </w:divBdr>
            </w:div>
            <w:div w:id="1813206014">
              <w:marLeft w:val="0"/>
              <w:marRight w:val="0"/>
              <w:marTop w:val="0"/>
              <w:marBottom w:val="0"/>
              <w:divBdr>
                <w:top w:val="none" w:sz="0" w:space="0" w:color="auto"/>
                <w:left w:val="none" w:sz="0" w:space="0" w:color="auto"/>
                <w:bottom w:val="none" w:sz="0" w:space="0" w:color="auto"/>
                <w:right w:val="none" w:sz="0" w:space="0" w:color="auto"/>
              </w:divBdr>
            </w:div>
          </w:divsChild>
        </w:div>
        <w:div w:id="1854758162">
          <w:marLeft w:val="0"/>
          <w:marRight w:val="0"/>
          <w:marTop w:val="0"/>
          <w:marBottom w:val="0"/>
          <w:divBdr>
            <w:top w:val="none" w:sz="0" w:space="0" w:color="auto"/>
            <w:left w:val="none" w:sz="0" w:space="0" w:color="auto"/>
            <w:bottom w:val="none" w:sz="0" w:space="0" w:color="auto"/>
            <w:right w:val="none" w:sz="0" w:space="0" w:color="auto"/>
          </w:divBdr>
          <w:divsChild>
            <w:div w:id="256863770">
              <w:marLeft w:val="0"/>
              <w:marRight w:val="0"/>
              <w:marTop w:val="0"/>
              <w:marBottom w:val="0"/>
              <w:divBdr>
                <w:top w:val="none" w:sz="0" w:space="0" w:color="auto"/>
                <w:left w:val="none" w:sz="0" w:space="0" w:color="auto"/>
                <w:bottom w:val="none" w:sz="0" w:space="0" w:color="auto"/>
                <w:right w:val="none" w:sz="0" w:space="0" w:color="auto"/>
              </w:divBdr>
            </w:div>
            <w:div w:id="664019763">
              <w:marLeft w:val="0"/>
              <w:marRight w:val="0"/>
              <w:marTop w:val="0"/>
              <w:marBottom w:val="0"/>
              <w:divBdr>
                <w:top w:val="none" w:sz="0" w:space="0" w:color="auto"/>
                <w:left w:val="none" w:sz="0" w:space="0" w:color="auto"/>
                <w:bottom w:val="none" w:sz="0" w:space="0" w:color="auto"/>
                <w:right w:val="none" w:sz="0" w:space="0" w:color="auto"/>
              </w:divBdr>
            </w:div>
            <w:div w:id="1033306750">
              <w:marLeft w:val="0"/>
              <w:marRight w:val="0"/>
              <w:marTop w:val="0"/>
              <w:marBottom w:val="0"/>
              <w:divBdr>
                <w:top w:val="none" w:sz="0" w:space="0" w:color="auto"/>
                <w:left w:val="none" w:sz="0" w:space="0" w:color="auto"/>
                <w:bottom w:val="none" w:sz="0" w:space="0" w:color="auto"/>
                <w:right w:val="none" w:sz="0" w:space="0" w:color="auto"/>
              </w:divBdr>
            </w:div>
            <w:div w:id="2145729442">
              <w:marLeft w:val="0"/>
              <w:marRight w:val="0"/>
              <w:marTop w:val="0"/>
              <w:marBottom w:val="0"/>
              <w:divBdr>
                <w:top w:val="none" w:sz="0" w:space="0" w:color="auto"/>
                <w:left w:val="none" w:sz="0" w:space="0" w:color="auto"/>
                <w:bottom w:val="none" w:sz="0" w:space="0" w:color="auto"/>
                <w:right w:val="none" w:sz="0" w:space="0" w:color="auto"/>
              </w:divBdr>
            </w:div>
          </w:divsChild>
        </w:div>
        <w:div w:id="1860660556">
          <w:marLeft w:val="0"/>
          <w:marRight w:val="0"/>
          <w:marTop w:val="0"/>
          <w:marBottom w:val="0"/>
          <w:divBdr>
            <w:top w:val="none" w:sz="0" w:space="0" w:color="auto"/>
            <w:left w:val="none" w:sz="0" w:space="0" w:color="auto"/>
            <w:bottom w:val="none" w:sz="0" w:space="0" w:color="auto"/>
            <w:right w:val="none" w:sz="0" w:space="0" w:color="auto"/>
          </w:divBdr>
          <w:divsChild>
            <w:div w:id="1720858974">
              <w:marLeft w:val="0"/>
              <w:marRight w:val="0"/>
              <w:marTop w:val="0"/>
              <w:marBottom w:val="0"/>
              <w:divBdr>
                <w:top w:val="none" w:sz="0" w:space="0" w:color="auto"/>
                <w:left w:val="none" w:sz="0" w:space="0" w:color="auto"/>
                <w:bottom w:val="none" w:sz="0" w:space="0" w:color="auto"/>
                <w:right w:val="none" w:sz="0" w:space="0" w:color="auto"/>
              </w:divBdr>
            </w:div>
            <w:div w:id="2006395509">
              <w:marLeft w:val="0"/>
              <w:marRight w:val="0"/>
              <w:marTop w:val="0"/>
              <w:marBottom w:val="0"/>
              <w:divBdr>
                <w:top w:val="none" w:sz="0" w:space="0" w:color="auto"/>
                <w:left w:val="none" w:sz="0" w:space="0" w:color="auto"/>
                <w:bottom w:val="none" w:sz="0" w:space="0" w:color="auto"/>
                <w:right w:val="none" w:sz="0" w:space="0" w:color="auto"/>
              </w:divBdr>
            </w:div>
          </w:divsChild>
        </w:div>
        <w:div w:id="1870677607">
          <w:marLeft w:val="0"/>
          <w:marRight w:val="0"/>
          <w:marTop w:val="0"/>
          <w:marBottom w:val="0"/>
          <w:divBdr>
            <w:top w:val="none" w:sz="0" w:space="0" w:color="auto"/>
            <w:left w:val="none" w:sz="0" w:space="0" w:color="auto"/>
            <w:bottom w:val="none" w:sz="0" w:space="0" w:color="auto"/>
            <w:right w:val="none" w:sz="0" w:space="0" w:color="auto"/>
          </w:divBdr>
          <w:divsChild>
            <w:div w:id="1842118387">
              <w:marLeft w:val="0"/>
              <w:marRight w:val="0"/>
              <w:marTop w:val="0"/>
              <w:marBottom w:val="0"/>
              <w:divBdr>
                <w:top w:val="none" w:sz="0" w:space="0" w:color="auto"/>
                <w:left w:val="none" w:sz="0" w:space="0" w:color="auto"/>
                <w:bottom w:val="none" w:sz="0" w:space="0" w:color="auto"/>
                <w:right w:val="none" w:sz="0" w:space="0" w:color="auto"/>
              </w:divBdr>
            </w:div>
          </w:divsChild>
        </w:div>
        <w:div w:id="1894392371">
          <w:marLeft w:val="0"/>
          <w:marRight w:val="0"/>
          <w:marTop w:val="0"/>
          <w:marBottom w:val="0"/>
          <w:divBdr>
            <w:top w:val="none" w:sz="0" w:space="0" w:color="auto"/>
            <w:left w:val="none" w:sz="0" w:space="0" w:color="auto"/>
            <w:bottom w:val="none" w:sz="0" w:space="0" w:color="auto"/>
            <w:right w:val="none" w:sz="0" w:space="0" w:color="auto"/>
          </w:divBdr>
          <w:divsChild>
            <w:div w:id="961963391">
              <w:marLeft w:val="0"/>
              <w:marRight w:val="0"/>
              <w:marTop w:val="0"/>
              <w:marBottom w:val="0"/>
              <w:divBdr>
                <w:top w:val="none" w:sz="0" w:space="0" w:color="auto"/>
                <w:left w:val="none" w:sz="0" w:space="0" w:color="auto"/>
                <w:bottom w:val="none" w:sz="0" w:space="0" w:color="auto"/>
                <w:right w:val="none" w:sz="0" w:space="0" w:color="auto"/>
              </w:divBdr>
            </w:div>
          </w:divsChild>
        </w:div>
        <w:div w:id="1895004640">
          <w:marLeft w:val="0"/>
          <w:marRight w:val="0"/>
          <w:marTop w:val="0"/>
          <w:marBottom w:val="0"/>
          <w:divBdr>
            <w:top w:val="none" w:sz="0" w:space="0" w:color="auto"/>
            <w:left w:val="none" w:sz="0" w:space="0" w:color="auto"/>
            <w:bottom w:val="none" w:sz="0" w:space="0" w:color="auto"/>
            <w:right w:val="none" w:sz="0" w:space="0" w:color="auto"/>
          </w:divBdr>
          <w:divsChild>
            <w:div w:id="251401404">
              <w:marLeft w:val="0"/>
              <w:marRight w:val="0"/>
              <w:marTop w:val="0"/>
              <w:marBottom w:val="0"/>
              <w:divBdr>
                <w:top w:val="none" w:sz="0" w:space="0" w:color="auto"/>
                <w:left w:val="none" w:sz="0" w:space="0" w:color="auto"/>
                <w:bottom w:val="none" w:sz="0" w:space="0" w:color="auto"/>
                <w:right w:val="none" w:sz="0" w:space="0" w:color="auto"/>
              </w:divBdr>
            </w:div>
          </w:divsChild>
        </w:div>
        <w:div w:id="1900096286">
          <w:marLeft w:val="0"/>
          <w:marRight w:val="0"/>
          <w:marTop w:val="0"/>
          <w:marBottom w:val="0"/>
          <w:divBdr>
            <w:top w:val="none" w:sz="0" w:space="0" w:color="auto"/>
            <w:left w:val="none" w:sz="0" w:space="0" w:color="auto"/>
            <w:bottom w:val="none" w:sz="0" w:space="0" w:color="auto"/>
            <w:right w:val="none" w:sz="0" w:space="0" w:color="auto"/>
          </w:divBdr>
          <w:divsChild>
            <w:div w:id="1658193329">
              <w:marLeft w:val="0"/>
              <w:marRight w:val="0"/>
              <w:marTop w:val="0"/>
              <w:marBottom w:val="0"/>
              <w:divBdr>
                <w:top w:val="none" w:sz="0" w:space="0" w:color="auto"/>
                <w:left w:val="none" w:sz="0" w:space="0" w:color="auto"/>
                <w:bottom w:val="none" w:sz="0" w:space="0" w:color="auto"/>
                <w:right w:val="none" w:sz="0" w:space="0" w:color="auto"/>
              </w:divBdr>
            </w:div>
          </w:divsChild>
        </w:div>
        <w:div w:id="1905333741">
          <w:marLeft w:val="0"/>
          <w:marRight w:val="0"/>
          <w:marTop w:val="0"/>
          <w:marBottom w:val="0"/>
          <w:divBdr>
            <w:top w:val="none" w:sz="0" w:space="0" w:color="auto"/>
            <w:left w:val="none" w:sz="0" w:space="0" w:color="auto"/>
            <w:bottom w:val="none" w:sz="0" w:space="0" w:color="auto"/>
            <w:right w:val="none" w:sz="0" w:space="0" w:color="auto"/>
          </w:divBdr>
          <w:divsChild>
            <w:div w:id="627513812">
              <w:marLeft w:val="0"/>
              <w:marRight w:val="0"/>
              <w:marTop w:val="0"/>
              <w:marBottom w:val="0"/>
              <w:divBdr>
                <w:top w:val="none" w:sz="0" w:space="0" w:color="auto"/>
                <w:left w:val="none" w:sz="0" w:space="0" w:color="auto"/>
                <w:bottom w:val="none" w:sz="0" w:space="0" w:color="auto"/>
                <w:right w:val="none" w:sz="0" w:space="0" w:color="auto"/>
              </w:divBdr>
            </w:div>
            <w:div w:id="868757840">
              <w:marLeft w:val="0"/>
              <w:marRight w:val="0"/>
              <w:marTop w:val="0"/>
              <w:marBottom w:val="0"/>
              <w:divBdr>
                <w:top w:val="none" w:sz="0" w:space="0" w:color="auto"/>
                <w:left w:val="none" w:sz="0" w:space="0" w:color="auto"/>
                <w:bottom w:val="none" w:sz="0" w:space="0" w:color="auto"/>
                <w:right w:val="none" w:sz="0" w:space="0" w:color="auto"/>
              </w:divBdr>
            </w:div>
            <w:div w:id="1636906672">
              <w:marLeft w:val="0"/>
              <w:marRight w:val="0"/>
              <w:marTop w:val="0"/>
              <w:marBottom w:val="0"/>
              <w:divBdr>
                <w:top w:val="none" w:sz="0" w:space="0" w:color="auto"/>
                <w:left w:val="none" w:sz="0" w:space="0" w:color="auto"/>
                <w:bottom w:val="none" w:sz="0" w:space="0" w:color="auto"/>
                <w:right w:val="none" w:sz="0" w:space="0" w:color="auto"/>
              </w:divBdr>
            </w:div>
          </w:divsChild>
        </w:div>
        <w:div w:id="1908030008">
          <w:marLeft w:val="0"/>
          <w:marRight w:val="0"/>
          <w:marTop w:val="0"/>
          <w:marBottom w:val="0"/>
          <w:divBdr>
            <w:top w:val="none" w:sz="0" w:space="0" w:color="auto"/>
            <w:left w:val="none" w:sz="0" w:space="0" w:color="auto"/>
            <w:bottom w:val="none" w:sz="0" w:space="0" w:color="auto"/>
            <w:right w:val="none" w:sz="0" w:space="0" w:color="auto"/>
          </w:divBdr>
          <w:divsChild>
            <w:div w:id="10300319">
              <w:marLeft w:val="0"/>
              <w:marRight w:val="0"/>
              <w:marTop w:val="0"/>
              <w:marBottom w:val="0"/>
              <w:divBdr>
                <w:top w:val="none" w:sz="0" w:space="0" w:color="auto"/>
                <w:left w:val="none" w:sz="0" w:space="0" w:color="auto"/>
                <w:bottom w:val="none" w:sz="0" w:space="0" w:color="auto"/>
                <w:right w:val="none" w:sz="0" w:space="0" w:color="auto"/>
              </w:divBdr>
            </w:div>
            <w:div w:id="433675480">
              <w:marLeft w:val="0"/>
              <w:marRight w:val="0"/>
              <w:marTop w:val="0"/>
              <w:marBottom w:val="0"/>
              <w:divBdr>
                <w:top w:val="none" w:sz="0" w:space="0" w:color="auto"/>
                <w:left w:val="none" w:sz="0" w:space="0" w:color="auto"/>
                <w:bottom w:val="none" w:sz="0" w:space="0" w:color="auto"/>
                <w:right w:val="none" w:sz="0" w:space="0" w:color="auto"/>
              </w:divBdr>
            </w:div>
          </w:divsChild>
        </w:div>
        <w:div w:id="1909656863">
          <w:marLeft w:val="0"/>
          <w:marRight w:val="0"/>
          <w:marTop w:val="0"/>
          <w:marBottom w:val="0"/>
          <w:divBdr>
            <w:top w:val="none" w:sz="0" w:space="0" w:color="auto"/>
            <w:left w:val="none" w:sz="0" w:space="0" w:color="auto"/>
            <w:bottom w:val="none" w:sz="0" w:space="0" w:color="auto"/>
            <w:right w:val="none" w:sz="0" w:space="0" w:color="auto"/>
          </w:divBdr>
          <w:divsChild>
            <w:div w:id="290793284">
              <w:marLeft w:val="0"/>
              <w:marRight w:val="0"/>
              <w:marTop w:val="0"/>
              <w:marBottom w:val="0"/>
              <w:divBdr>
                <w:top w:val="none" w:sz="0" w:space="0" w:color="auto"/>
                <w:left w:val="none" w:sz="0" w:space="0" w:color="auto"/>
                <w:bottom w:val="none" w:sz="0" w:space="0" w:color="auto"/>
                <w:right w:val="none" w:sz="0" w:space="0" w:color="auto"/>
              </w:divBdr>
            </w:div>
            <w:div w:id="882408023">
              <w:marLeft w:val="0"/>
              <w:marRight w:val="0"/>
              <w:marTop w:val="0"/>
              <w:marBottom w:val="0"/>
              <w:divBdr>
                <w:top w:val="none" w:sz="0" w:space="0" w:color="auto"/>
                <w:left w:val="none" w:sz="0" w:space="0" w:color="auto"/>
                <w:bottom w:val="none" w:sz="0" w:space="0" w:color="auto"/>
                <w:right w:val="none" w:sz="0" w:space="0" w:color="auto"/>
              </w:divBdr>
            </w:div>
          </w:divsChild>
        </w:div>
        <w:div w:id="1914191906">
          <w:marLeft w:val="0"/>
          <w:marRight w:val="0"/>
          <w:marTop w:val="0"/>
          <w:marBottom w:val="0"/>
          <w:divBdr>
            <w:top w:val="none" w:sz="0" w:space="0" w:color="auto"/>
            <w:left w:val="none" w:sz="0" w:space="0" w:color="auto"/>
            <w:bottom w:val="none" w:sz="0" w:space="0" w:color="auto"/>
            <w:right w:val="none" w:sz="0" w:space="0" w:color="auto"/>
          </w:divBdr>
          <w:divsChild>
            <w:div w:id="900943243">
              <w:marLeft w:val="0"/>
              <w:marRight w:val="0"/>
              <w:marTop w:val="0"/>
              <w:marBottom w:val="0"/>
              <w:divBdr>
                <w:top w:val="none" w:sz="0" w:space="0" w:color="auto"/>
                <w:left w:val="none" w:sz="0" w:space="0" w:color="auto"/>
                <w:bottom w:val="none" w:sz="0" w:space="0" w:color="auto"/>
                <w:right w:val="none" w:sz="0" w:space="0" w:color="auto"/>
              </w:divBdr>
            </w:div>
            <w:div w:id="2130081244">
              <w:marLeft w:val="0"/>
              <w:marRight w:val="0"/>
              <w:marTop w:val="0"/>
              <w:marBottom w:val="0"/>
              <w:divBdr>
                <w:top w:val="none" w:sz="0" w:space="0" w:color="auto"/>
                <w:left w:val="none" w:sz="0" w:space="0" w:color="auto"/>
                <w:bottom w:val="none" w:sz="0" w:space="0" w:color="auto"/>
                <w:right w:val="none" w:sz="0" w:space="0" w:color="auto"/>
              </w:divBdr>
            </w:div>
          </w:divsChild>
        </w:div>
        <w:div w:id="1916817112">
          <w:marLeft w:val="0"/>
          <w:marRight w:val="0"/>
          <w:marTop w:val="0"/>
          <w:marBottom w:val="0"/>
          <w:divBdr>
            <w:top w:val="none" w:sz="0" w:space="0" w:color="auto"/>
            <w:left w:val="none" w:sz="0" w:space="0" w:color="auto"/>
            <w:bottom w:val="none" w:sz="0" w:space="0" w:color="auto"/>
            <w:right w:val="none" w:sz="0" w:space="0" w:color="auto"/>
          </w:divBdr>
          <w:divsChild>
            <w:div w:id="751664203">
              <w:marLeft w:val="0"/>
              <w:marRight w:val="0"/>
              <w:marTop w:val="0"/>
              <w:marBottom w:val="0"/>
              <w:divBdr>
                <w:top w:val="none" w:sz="0" w:space="0" w:color="auto"/>
                <w:left w:val="none" w:sz="0" w:space="0" w:color="auto"/>
                <w:bottom w:val="none" w:sz="0" w:space="0" w:color="auto"/>
                <w:right w:val="none" w:sz="0" w:space="0" w:color="auto"/>
              </w:divBdr>
            </w:div>
          </w:divsChild>
        </w:div>
        <w:div w:id="1918317080">
          <w:marLeft w:val="0"/>
          <w:marRight w:val="0"/>
          <w:marTop w:val="0"/>
          <w:marBottom w:val="0"/>
          <w:divBdr>
            <w:top w:val="none" w:sz="0" w:space="0" w:color="auto"/>
            <w:left w:val="none" w:sz="0" w:space="0" w:color="auto"/>
            <w:bottom w:val="none" w:sz="0" w:space="0" w:color="auto"/>
            <w:right w:val="none" w:sz="0" w:space="0" w:color="auto"/>
          </w:divBdr>
          <w:divsChild>
            <w:div w:id="1527910084">
              <w:marLeft w:val="0"/>
              <w:marRight w:val="0"/>
              <w:marTop w:val="0"/>
              <w:marBottom w:val="0"/>
              <w:divBdr>
                <w:top w:val="none" w:sz="0" w:space="0" w:color="auto"/>
                <w:left w:val="none" w:sz="0" w:space="0" w:color="auto"/>
                <w:bottom w:val="none" w:sz="0" w:space="0" w:color="auto"/>
                <w:right w:val="none" w:sz="0" w:space="0" w:color="auto"/>
              </w:divBdr>
            </w:div>
            <w:div w:id="1585264219">
              <w:marLeft w:val="0"/>
              <w:marRight w:val="0"/>
              <w:marTop w:val="0"/>
              <w:marBottom w:val="0"/>
              <w:divBdr>
                <w:top w:val="none" w:sz="0" w:space="0" w:color="auto"/>
                <w:left w:val="none" w:sz="0" w:space="0" w:color="auto"/>
                <w:bottom w:val="none" w:sz="0" w:space="0" w:color="auto"/>
                <w:right w:val="none" w:sz="0" w:space="0" w:color="auto"/>
              </w:divBdr>
            </w:div>
          </w:divsChild>
        </w:div>
        <w:div w:id="1919049408">
          <w:marLeft w:val="0"/>
          <w:marRight w:val="0"/>
          <w:marTop w:val="0"/>
          <w:marBottom w:val="0"/>
          <w:divBdr>
            <w:top w:val="none" w:sz="0" w:space="0" w:color="auto"/>
            <w:left w:val="none" w:sz="0" w:space="0" w:color="auto"/>
            <w:bottom w:val="none" w:sz="0" w:space="0" w:color="auto"/>
            <w:right w:val="none" w:sz="0" w:space="0" w:color="auto"/>
          </w:divBdr>
          <w:divsChild>
            <w:div w:id="940142929">
              <w:marLeft w:val="0"/>
              <w:marRight w:val="0"/>
              <w:marTop w:val="0"/>
              <w:marBottom w:val="0"/>
              <w:divBdr>
                <w:top w:val="none" w:sz="0" w:space="0" w:color="auto"/>
                <w:left w:val="none" w:sz="0" w:space="0" w:color="auto"/>
                <w:bottom w:val="none" w:sz="0" w:space="0" w:color="auto"/>
                <w:right w:val="none" w:sz="0" w:space="0" w:color="auto"/>
              </w:divBdr>
            </w:div>
            <w:div w:id="1477339967">
              <w:marLeft w:val="0"/>
              <w:marRight w:val="0"/>
              <w:marTop w:val="0"/>
              <w:marBottom w:val="0"/>
              <w:divBdr>
                <w:top w:val="none" w:sz="0" w:space="0" w:color="auto"/>
                <w:left w:val="none" w:sz="0" w:space="0" w:color="auto"/>
                <w:bottom w:val="none" w:sz="0" w:space="0" w:color="auto"/>
                <w:right w:val="none" w:sz="0" w:space="0" w:color="auto"/>
              </w:divBdr>
            </w:div>
          </w:divsChild>
        </w:div>
        <w:div w:id="1919168452">
          <w:marLeft w:val="0"/>
          <w:marRight w:val="0"/>
          <w:marTop w:val="0"/>
          <w:marBottom w:val="0"/>
          <w:divBdr>
            <w:top w:val="none" w:sz="0" w:space="0" w:color="auto"/>
            <w:left w:val="none" w:sz="0" w:space="0" w:color="auto"/>
            <w:bottom w:val="none" w:sz="0" w:space="0" w:color="auto"/>
            <w:right w:val="none" w:sz="0" w:space="0" w:color="auto"/>
          </w:divBdr>
          <w:divsChild>
            <w:div w:id="341779794">
              <w:marLeft w:val="0"/>
              <w:marRight w:val="0"/>
              <w:marTop w:val="0"/>
              <w:marBottom w:val="0"/>
              <w:divBdr>
                <w:top w:val="none" w:sz="0" w:space="0" w:color="auto"/>
                <w:left w:val="none" w:sz="0" w:space="0" w:color="auto"/>
                <w:bottom w:val="none" w:sz="0" w:space="0" w:color="auto"/>
                <w:right w:val="none" w:sz="0" w:space="0" w:color="auto"/>
              </w:divBdr>
            </w:div>
            <w:div w:id="1193689736">
              <w:marLeft w:val="0"/>
              <w:marRight w:val="0"/>
              <w:marTop w:val="0"/>
              <w:marBottom w:val="0"/>
              <w:divBdr>
                <w:top w:val="none" w:sz="0" w:space="0" w:color="auto"/>
                <w:left w:val="none" w:sz="0" w:space="0" w:color="auto"/>
                <w:bottom w:val="none" w:sz="0" w:space="0" w:color="auto"/>
                <w:right w:val="none" w:sz="0" w:space="0" w:color="auto"/>
              </w:divBdr>
            </w:div>
            <w:div w:id="1769279108">
              <w:marLeft w:val="0"/>
              <w:marRight w:val="0"/>
              <w:marTop w:val="0"/>
              <w:marBottom w:val="0"/>
              <w:divBdr>
                <w:top w:val="none" w:sz="0" w:space="0" w:color="auto"/>
                <w:left w:val="none" w:sz="0" w:space="0" w:color="auto"/>
                <w:bottom w:val="none" w:sz="0" w:space="0" w:color="auto"/>
                <w:right w:val="none" w:sz="0" w:space="0" w:color="auto"/>
              </w:divBdr>
            </w:div>
            <w:div w:id="2143234415">
              <w:marLeft w:val="0"/>
              <w:marRight w:val="0"/>
              <w:marTop w:val="0"/>
              <w:marBottom w:val="0"/>
              <w:divBdr>
                <w:top w:val="none" w:sz="0" w:space="0" w:color="auto"/>
                <w:left w:val="none" w:sz="0" w:space="0" w:color="auto"/>
                <w:bottom w:val="none" w:sz="0" w:space="0" w:color="auto"/>
                <w:right w:val="none" w:sz="0" w:space="0" w:color="auto"/>
              </w:divBdr>
            </w:div>
          </w:divsChild>
        </w:div>
        <w:div w:id="1921602425">
          <w:marLeft w:val="0"/>
          <w:marRight w:val="0"/>
          <w:marTop w:val="0"/>
          <w:marBottom w:val="0"/>
          <w:divBdr>
            <w:top w:val="none" w:sz="0" w:space="0" w:color="auto"/>
            <w:left w:val="none" w:sz="0" w:space="0" w:color="auto"/>
            <w:bottom w:val="none" w:sz="0" w:space="0" w:color="auto"/>
            <w:right w:val="none" w:sz="0" w:space="0" w:color="auto"/>
          </w:divBdr>
          <w:divsChild>
            <w:div w:id="2021226998">
              <w:marLeft w:val="0"/>
              <w:marRight w:val="0"/>
              <w:marTop w:val="0"/>
              <w:marBottom w:val="0"/>
              <w:divBdr>
                <w:top w:val="none" w:sz="0" w:space="0" w:color="auto"/>
                <w:left w:val="none" w:sz="0" w:space="0" w:color="auto"/>
                <w:bottom w:val="none" w:sz="0" w:space="0" w:color="auto"/>
                <w:right w:val="none" w:sz="0" w:space="0" w:color="auto"/>
              </w:divBdr>
            </w:div>
          </w:divsChild>
        </w:div>
        <w:div w:id="1926569040">
          <w:marLeft w:val="0"/>
          <w:marRight w:val="0"/>
          <w:marTop w:val="0"/>
          <w:marBottom w:val="0"/>
          <w:divBdr>
            <w:top w:val="none" w:sz="0" w:space="0" w:color="auto"/>
            <w:left w:val="none" w:sz="0" w:space="0" w:color="auto"/>
            <w:bottom w:val="none" w:sz="0" w:space="0" w:color="auto"/>
            <w:right w:val="none" w:sz="0" w:space="0" w:color="auto"/>
          </w:divBdr>
          <w:divsChild>
            <w:div w:id="1758014280">
              <w:marLeft w:val="0"/>
              <w:marRight w:val="0"/>
              <w:marTop w:val="0"/>
              <w:marBottom w:val="0"/>
              <w:divBdr>
                <w:top w:val="none" w:sz="0" w:space="0" w:color="auto"/>
                <w:left w:val="none" w:sz="0" w:space="0" w:color="auto"/>
                <w:bottom w:val="none" w:sz="0" w:space="0" w:color="auto"/>
                <w:right w:val="none" w:sz="0" w:space="0" w:color="auto"/>
              </w:divBdr>
            </w:div>
          </w:divsChild>
        </w:div>
        <w:div w:id="1933732287">
          <w:marLeft w:val="0"/>
          <w:marRight w:val="0"/>
          <w:marTop w:val="0"/>
          <w:marBottom w:val="0"/>
          <w:divBdr>
            <w:top w:val="none" w:sz="0" w:space="0" w:color="auto"/>
            <w:left w:val="none" w:sz="0" w:space="0" w:color="auto"/>
            <w:bottom w:val="none" w:sz="0" w:space="0" w:color="auto"/>
            <w:right w:val="none" w:sz="0" w:space="0" w:color="auto"/>
          </w:divBdr>
          <w:divsChild>
            <w:div w:id="357437077">
              <w:marLeft w:val="0"/>
              <w:marRight w:val="0"/>
              <w:marTop w:val="0"/>
              <w:marBottom w:val="0"/>
              <w:divBdr>
                <w:top w:val="none" w:sz="0" w:space="0" w:color="auto"/>
                <w:left w:val="none" w:sz="0" w:space="0" w:color="auto"/>
                <w:bottom w:val="none" w:sz="0" w:space="0" w:color="auto"/>
                <w:right w:val="none" w:sz="0" w:space="0" w:color="auto"/>
              </w:divBdr>
            </w:div>
            <w:div w:id="822164822">
              <w:marLeft w:val="0"/>
              <w:marRight w:val="0"/>
              <w:marTop w:val="0"/>
              <w:marBottom w:val="0"/>
              <w:divBdr>
                <w:top w:val="none" w:sz="0" w:space="0" w:color="auto"/>
                <w:left w:val="none" w:sz="0" w:space="0" w:color="auto"/>
                <w:bottom w:val="none" w:sz="0" w:space="0" w:color="auto"/>
                <w:right w:val="none" w:sz="0" w:space="0" w:color="auto"/>
              </w:divBdr>
            </w:div>
          </w:divsChild>
        </w:div>
        <w:div w:id="1940021655">
          <w:marLeft w:val="0"/>
          <w:marRight w:val="0"/>
          <w:marTop w:val="0"/>
          <w:marBottom w:val="0"/>
          <w:divBdr>
            <w:top w:val="none" w:sz="0" w:space="0" w:color="auto"/>
            <w:left w:val="none" w:sz="0" w:space="0" w:color="auto"/>
            <w:bottom w:val="none" w:sz="0" w:space="0" w:color="auto"/>
            <w:right w:val="none" w:sz="0" w:space="0" w:color="auto"/>
          </w:divBdr>
          <w:divsChild>
            <w:div w:id="1284341742">
              <w:marLeft w:val="0"/>
              <w:marRight w:val="0"/>
              <w:marTop w:val="0"/>
              <w:marBottom w:val="0"/>
              <w:divBdr>
                <w:top w:val="none" w:sz="0" w:space="0" w:color="auto"/>
                <w:left w:val="none" w:sz="0" w:space="0" w:color="auto"/>
                <w:bottom w:val="none" w:sz="0" w:space="0" w:color="auto"/>
                <w:right w:val="none" w:sz="0" w:space="0" w:color="auto"/>
              </w:divBdr>
            </w:div>
          </w:divsChild>
        </w:div>
        <w:div w:id="1942953649">
          <w:marLeft w:val="0"/>
          <w:marRight w:val="0"/>
          <w:marTop w:val="0"/>
          <w:marBottom w:val="0"/>
          <w:divBdr>
            <w:top w:val="none" w:sz="0" w:space="0" w:color="auto"/>
            <w:left w:val="none" w:sz="0" w:space="0" w:color="auto"/>
            <w:bottom w:val="none" w:sz="0" w:space="0" w:color="auto"/>
            <w:right w:val="none" w:sz="0" w:space="0" w:color="auto"/>
          </w:divBdr>
          <w:divsChild>
            <w:div w:id="88822039">
              <w:marLeft w:val="0"/>
              <w:marRight w:val="0"/>
              <w:marTop w:val="0"/>
              <w:marBottom w:val="0"/>
              <w:divBdr>
                <w:top w:val="none" w:sz="0" w:space="0" w:color="auto"/>
                <w:left w:val="none" w:sz="0" w:space="0" w:color="auto"/>
                <w:bottom w:val="none" w:sz="0" w:space="0" w:color="auto"/>
                <w:right w:val="none" w:sz="0" w:space="0" w:color="auto"/>
              </w:divBdr>
            </w:div>
          </w:divsChild>
        </w:div>
        <w:div w:id="1943485759">
          <w:marLeft w:val="0"/>
          <w:marRight w:val="0"/>
          <w:marTop w:val="0"/>
          <w:marBottom w:val="0"/>
          <w:divBdr>
            <w:top w:val="none" w:sz="0" w:space="0" w:color="auto"/>
            <w:left w:val="none" w:sz="0" w:space="0" w:color="auto"/>
            <w:bottom w:val="none" w:sz="0" w:space="0" w:color="auto"/>
            <w:right w:val="none" w:sz="0" w:space="0" w:color="auto"/>
          </w:divBdr>
          <w:divsChild>
            <w:div w:id="676736525">
              <w:marLeft w:val="0"/>
              <w:marRight w:val="0"/>
              <w:marTop w:val="0"/>
              <w:marBottom w:val="0"/>
              <w:divBdr>
                <w:top w:val="none" w:sz="0" w:space="0" w:color="auto"/>
                <w:left w:val="none" w:sz="0" w:space="0" w:color="auto"/>
                <w:bottom w:val="none" w:sz="0" w:space="0" w:color="auto"/>
                <w:right w:val="none" w:sz="0" w:space="0" w:color="auto"/>
              </w:divBdr>
            </w:div>
            <w:div w:id="840196164">
              <w:marLeft w:val="0"/>
              <w:marRight w:val="0"/>
              <w:marTop w:val="0"/>
              <w:marBottom w:val="0"/>
              <w:divBdr>
                <w:top w:val="none" w:sz="0" w:space="0" w:color="auto"/>
                <w:left w:val="none" w:sz="0" w:space="0" w:color="auto"/>
                <w:bottom w:val="none" w:sz="0" w:space="0" w:color="auto"/>
                <w:right w:val="none" w:sz="0" w:space="0" w:color="auto"/>
              </w:divBdr>
            </w:div>
            <w:div w:id="887957435">
              <w:marLeft w:val="0"/>
              <w:marRight w:val="0"/>
              <w:marTop w:val="0"/>
              <w:marBottom w:val="0"/>
              <w:divBdr>
                <w:top w:val="none" w:sz="0" w:space="0" w:color="auto"/>
                <w:left w:val="none" w:sz="0" w:space="0" w:color="auto"/>
                <w:bottom w:val="none" w:sz="0" w:space="0" w:color="auto"/>
                <w:right w:val="none" w:sz="0" w:space="0" w:color="auto"/>
              </w:divBdr>
            </w:div>
            <w:div w:id="1406685923">
              <w:marLeft w:val="0"/>
              <w:marRight w:val="0"/>
              <w:marTop w:val="0"/>
              <w:marBottom w:val="0"/>
              <w:divBdr>
                <w:top w:val="none" w:sz="0" w:space="0" w:color="auto"/>
                <w:left w:val="none" w:sz="0" w:space="0" w:color="auto"/>
                <w:bottom w:val="none" w:sz="0" w:space="0" w:color="auto"/>
                <w:right w:val="none" w:sz="0" w:space="0" w:color="auto"/>
              </w:divBdr>
            </w:div>
          </w:divsChild>
        </w:div>
        <w:div w:id="1943994414">
          <w:marLeft w:val="0"/>
          <w:marRight w:val="0"/>
          <w:marTop w:val="0"/>
          <w:marBottom w:val="0"/>
          <w:divBdr>
            <w:top w:val="none" w:sz="0" w:space="0" w:color="auto"/>
            <w:left w:val="none" w:sz="0" w:space="0" w:color="auto"/>
            <w:bottom w:val="none" w:sz="0" w:space="0" w:color="auto"/>
            <w:right w:val="none" w:sz="0" w:space="0" w:color="auto"/>
          </w:divBdr>
          <w:divsChild>
            <w:div w:id="488405440">
              <w:marLeft w:val="0"/>
              <w:marRight w:val="0"/>
              <w:marTop w:val="0"/>
              <w:marBottom w:val="0"/>
              <w:divBdr>
                <w:top w:val="none" w:sz="0" w:space="0" w:color="auto"/>
                <w:left w:val="none" w:sz="0" w:space="0" w:color="auto"/>
                <w:bottom w:val="none" w:sz="0" w:space="0" w:color="auto"/>
                <w:right w:val="none" w:sz="0" w:space="0" w:color="auto"/>
              </w:divBdr>
            </w:div>
          </w:divsChild>
        </w:div>
        <w:div w:id="1945645128">
          <w:marLeft w:val="0"/>
          <w:marRight w:val="0"/>
          <w:marTop w:val="0"/>
          <w:marBottom w:val="0"/>
          <w:divBdr>
            <w:top w:val="none" w:sz="0" w:space="0" w:color="auto"/>
            <w:left w:val="none" w:sz="0" w:space="0" w:color="auto"/>
            <w:bottom w:val="none" w:sz="0" w:space="0" w:color="auto"/>
            <w:right w:val="none" w:sz="0" w:space="0" w:color="auto"/>
          </w:divBdr>
          <w:divsChild>
            <w:div w:id="1386947006">
              <w:marLeft w:val="0"/>
              <w:marRight w:val="0"/>
              <w:marTop w:val="0"/>
              <w:marBottom w:val="0"/>
              <w:divBdr>
                <w:top w:val="none" w:sz="0" w:space="0" w:color="auto"/>
                <w:left w:val="none" w:sz="0" w:space="0" w:color="auto"/>
                <w:bottom w:val="none" w:sz="0" w:space="0" w:color="auto"/>
                <w:right w:val="none" w:sz="0" w:space="0" w:color="auto"/>
              </w:divBdr>
            </w:div>
            <w:div w:id="2106799137">
              <w:marLeft w:val="0"/>
              <w:marRight w:val="0"/>
              <w:marTop w:val="0"/>
              <w:marBottom w:val="0"/>
              <w:divBdr>
                <w:top w:val="none" w:sz="0" w:space="0" w:color="auto"/>
                <w:left w:val="none" w:sz="0" w:space="0" w:color="auto"/>
                <w:bottom w:val="none" w:sz="0" w:space="0" w:color="auto"/>
                <w:right w:val="none" w:sz="0" w:space="0" w:color="auto"/>
              </w:divBdr>
            </w:div>
          </w:divsChild>
        </w:div>
        <w:div w:id="1945651044">
          <w:marLeft w:val="0"/>
          <w:marRight w:val="0"/>
          <w:marTop w:val="0"/>
          <w:marBottom w:val="0"/>
          <w:divBdr>
            <w:top w:val="none" w:sz="0" w:space="0" w:color="auto"/>
            <w:left w:val="none" w:sz="0" w:space="0" w:color="auto"/>
            <w:bottom w:val="none" w:sz="0" w:space="0" w:color="auto"/>
            <w:right w:val="none" w:sz="0" w:space="0" w:color="auto"/>
          </w:divBdr>
          <w:divsChild>
            <w:div w:id="300117655">
              <w:marLeft w:val="0"/>
              <w:marRight w:val="0"/>
              <w:marTop w:val="0"/>
              <w:marBottom w:val="0"/>
              <w:divBdr>
                <w:top w:val="none" w:sz="0" w:space="0" w:color="auto"/>
                <w:left w:val="none" w:sz="0" w:space="0" w:color="auto"/>
                <w:bottom w:val="none" w:sz="0" w:space="0" w:color="auto"/>
                <w:right w:val="none" w:sz="0" w:space="0" w:color="auto"/>
              </w:divBdr>
            </w:div>
            <w:div w:id="557939643">
              <w:marLeft w:val="0"/>
              <w:marRight w:val="0"/>
              <w:marTop w:val="0"/>
              <w:marBottom w:val="0"/>
              <w:divBdr>
                <w:top w:val="none" w:sz="0" w:space="0" w:color="auto"/>
                <w:left w:val="none" w:sz="0" w:space="0" w:color="auto"/>
                <w:bottom w:val="none" w:sz="0" w:space="0" w:color="auto"/>
                <w:right w:val="none" w:sz="0" w:space="0" w:color="auto"/>
              </w:divBdr>
            </w:div>
            <w:div w:id="677850009">
              <w:marLeft w:val="0"/>
              <w:marRight w:val="0"/>
              <w:marTop w:val="0"/>
              <w:marBottom w:val="0"/>
              <w:divBdr>
                <w:top w:val="none" w:sz="0" w:space="0" w:color="auto"/>
                <w:left w:val="none" w:sz="0" w:space="0" w:color="auto"/>
                <w:bottom w:val="none" w:sz="0" w:space="0" w:color="auto"/>
                <w:right w:val="none" w:sz="0" w:space="0" w:color="auto"/>
              </w:divBdr>
            </w:div>
            <w:div w:id="713969722">
              <w:marLeft w:val="0"/>
              <w:marRight w:val="0"/>
              <w:marTop w:val="0"/>
              <w:marBottom w:val="0"/>
              <w:divBdr>
                <w:top w:val="none" w:sz="0" w:space="0" w:color="auto"/>
                <w:left w:val="none" w:sz="0" w:space="0" w:color="auto"/>
                <w:bottom w:val="none" w:sz="0" w:space="0" w:color="auto"/>
                <w:right w:val="none" w:sz="0" w:space="0" w:color="auto"/>
              </w:divBdr>
            </w:div>
            <w:div w:id="735395532">
              <w:marLeft w:val="0"/>
              <w:marRight w:val="0"/>
              <w:marTop w:val="0"/>
              <w:marBottom w:val="0"/>
              <w:divBdr>
                <w:top w:val="none" w:sz="0" w:space="0" w:color="auto"/>
                <w:left w:val="none" w:sz="0" w:space="0" w:color="auto"/>
                <w:bottom w:val="none" w:sz="0" w:space="0" w:color="auto"/>
                <w:right w:val="none" w:sz="0" w:space="0" w:color="auto"/>
              </w:divBdr>
            </w:div>
            <w:div w:id="1124083272">
              <w:marLeft w:val="0"/>
              <w:marRight w:val="0"/>
              <w:marTop w:val="0"/>
              <w:marBottom w:val="0"/>
              <w:divBdr>
                <w:top w:val="none" w:sz="0" w:space="0" w:color="auto"/>
                <w:left w:val="none" w:sz="0" w:space="0" w:color="auto"/>
                <w:bottom w:val="none" w:sz="0" w:space="0" w:color="auto"/>
                <w:right w:val="none" w:sz="0" w:space="0" w:color="auto"/>
              </w:divBdr>
            </w:div>
            <w:div w:id="1799295805">
              <w:marLeft w:val="0"/>
              <w:marRight w:val="0"/>
              <w:marTop w:val="0"/>
              <w:marBottom w:val="0"/>
              <w:divBdr>
                <w:top w:val="none" w:sz="0" w:space="0" w:color="auto"/>
                <w:left w:val="none" w:sz="0" w:space="0" w:color="auto"/>
                <w:bottom w:val="none" w:sz="0" w:space="0" w:color="auto"/>
                <w:right w:val="none" w:sz="0" w:space="0" w:color="auto"/>
              </w:divBdr>
            </w:div>
            <w:div w:id="1978686074">
              <w:marLeft w:val="0"/>
              <w:marRight w:val="0"/>
              <w:marTop w:val="0"/>
              <w:marBottom w:val="0"/>
              <w:divBdr>
                <w:top w:val="none" w:sz="0" w:space="0" w:color="auto"/>
                <w:left w:val="none" w:sz="0" w:space="0" w:color="auto"/>
                <w:bottom w:val="none" w:sz="0" w:space="0" w:color="auto"/>
                <w:right w:val="none" w:sz="0" w:space="0" w:color="auto"/>
              </w:divBdr>
            </w:div>
          </w:divsChild>
        </w:div>
        <w:div w:id="1950425459">
          <w:marLeft w:val="0"/>
          <w:marRight w:val="0"/>
          <w:marTop w:val="0"/>
          <w:marBottom w:val="0"/>
          <w:divBdr>
            <w:top w:val="none" w:sz="0" w:space="0" w:color="auto"/>
            <w:left w:val="none" w:sz="0" w:space="0" w:color="auto"/>
            <w:bottom w:val="none" w:sz="0" w:space="0" w:color="auto"/>
            <w:right w:val="none" w:sz="0" w:space="0" w:color="auto"/>
          </w:divBdr>
          <w:divsChild>
            <w:div w:id="283774753">
              <w:marLeft w:val="0"/>
              <w:marRight w:val="0"/>
              <w:marTop w:val="0"/>
              <w:marBottom w:val="0"/>
              <w:divBdr>
                <w:top w:val="none" w:sz="0" w:space="0" w:color="auto"/>
                <w:left w:val="none" w:sz="0" w:space="0" w:color="auto"/>
                <w:bottom w:val="none" w:sz="0" w:space="0" w:color="auto"/>
                <w:right w:val="none" w:sz="0" w:space="0" w:color="auto"/>
              </w:divBdr>
            </w:div>
            <w:div w:id="1056050465">
              <w:marLeft w:val="0"/>
              <w:marRight w:val="0"/>
              <w:marTop w:val="0"/>
              <w:marBottom w:val="0"/>
              <w:divBdr>
                <w:top w:val="none" w:sz="0" w:space="0" w:color="auto"/>
                <w:left w:val="none" w:sz="0" w:space="0" w:color="auto"/>
                <w:bottom w:val="none" w:sz="0" w:space="0" w:color="auto"/>
                <w:right w:val="none" w:sz="0" w:space="0" w:color="auto"/>
              </w:divBdr>
            </w:div>
            <w:div w:id="1070426552">
              <w:marLeft w:val="0"/>
              <w:marRight w:val="0"/>
              <w:marTop w:val="0"/>
              <w:marBottom w:val="0"/>
              <w:divBdr>
                <w:top w:val="none" w:sz="0" w:space="0" w:color="auto"/>
                <w:left w:val="none" w:sz="0" w:space="0" w:color="auto"/>
                <w:bottom w:val="none" w:sz="0" w:space="0" w:color="auto"/>
                <w:right w:val="none" w:sz="0" w:space="0" w:color="auto"/>
              </w:divBdr>
            </w:div>
            <w:div w:id="1373968405">
              <w:marLeft w:val="0"/>
              <w:marRight w:val="0"/>
              <w:marTop w:val="0"/>
              <w:marBottom w:val="0"/>
              <w:divBdr>
                <w:top w:val="none" w:sz="0" w:space="0" w:color="auto"/>
                <w:left w:val="none" w:sz="0" w:space="0" w:color="auto"/>
                <w:bottom w:val="none" w:sz="0" w:space="0" w:color="auto"/>
                <w:right w:val="none" w:sz="0" w:space="0" w:color="auto"/>
              </w:divBdr>
            </w:div>
            <w:div w:id="1793212191">
              <w:marLeft w:val="0"/>
              <w:marRight w:val="0"/>
              <w:marTop w:val="0"/>
              <w:marBottom w:val="0"/>
              <w:divBdr>
                <w:top w:val="none" w:sz="0" w:space="0" w:color="auto"/>
                <w:left w:val="none" w:sz="0" w:space="0" w:color="auto"/>
                <w:bottom w:val="none" w:sz="0" w:space="0" w:color="auto"/>
                <w:right w:val="none" w:sz="0" w:space="0" w:color="auto"/>
              </w:divBdr>
            </w:div>
          </w:divsChild>
        </w:div>
        <w:div w:id="1969506999">
          <w:marLeft w:val="0"/>
          <w:marRight w:val="0"/>
          <w:marTop w:val="0"/>
          <w:marBottom w:val="0"/>
          <w:divBdr>
            <w:top w:val="none" w:sz="0" w:space="0" w:color="auto"/>
            <w:left w:val="none" w:sz="0" w:space="0" w:color="auto"/>
            <w:bottom w:val="none" w:sz="0" w:space="0" w:color="auto"/>
            <w:right w:val="none" w:sz="0" w:space="0" w:color="auto"/>
          </w:divBdr>
          <w:divsChild>
            <w:div w:id="203373329">
              <w:marLeft w:val="0"/>
              <w:marRight w:val="0"/>
              <w:marTop w:val="0"/>
              <w:marBottom w:val="0"/>
              <w:divBdr>
                <w:top w:val="none" w:sz="0" w:space="0" w:color="auto"/>
                <w:left w:val="none" w:sz="0" w:space="0" w:color="auto"/>
                <w:bottom w:val="none" w:sz="0" w:space="0" w:color="auto"/>
                <w:right w:val="none" w:sz="0" w:space="0" w:color="auto"/>
              </w:divBdr>
            </w:div>
            <w:div w:id="517701320">
              <w:marLeft w:val="0"/>
              <w:marRight w:val="0"/>
              <w:marTop w:val="0"/>
              <w:marBottom w:val="0"/>
              <w:divBdr>
                <w:top w:val="none" w:sz="0" w:space="0" w:color="auto"/>
                <w:left w:val="none" w:sz="0" w:space="0" w:color="auto"/>
                <w:bottom w:val="none" w:sz="0" w:space="0" w:color="auto"/>
                <w:right w:val="none" w:sz="0" w:space="0" w:color="auto"/>
              </w:divBdr>
            </w:div>
            <w:div w:id="575625106">
              <w:marLeft w:val="0"/>
              <w:marRight w:val="0"/>
              <w:marTop w:val="0"/>
              <w:marBottom w:val="0"/>
              <w:divBdr>
                <w:top w:val="none" w:sz="0" w:space="0" w:color="auto"/>
                <w:left w:val="none" w:sz="0" w:space="0" w:color="auto"/>
                <w:bottom w:val="none" w:sz="0" w:space="0" w:color="auto"/>
                <w:right w:val="none" w:sz="0" w:space="0" w:color="auto"/>
              </w:divBdr>
            </w:div>
          </w:divsChild>
        </w:div>
        <w:div w:id="1971011656">
          <w:marLeft w:val="0"/>
          <w:marRight w:val="0"/>
          <w:marTop w:val="0"/>
          <w:marBottom w:val="0"/>
          <w:divBdr>
            <w:top w:val="none" w:sz="0" w:space="0" w:color="auto"/>
            <w:left w:val="none" w:sz="0" w:space="0" w:color="auto"/>
            <w:bottom w:val="none" w:sz="0" w:space="0" w:color="auto"/>
            <w:right w:val="none" w:sz="0" w:space="0" w:color="auto"/>
          </w:divBdr>
          <w:divsChild>
            <w:div w:id="148180159">
              <w:marLeft w:val="0"/>
              <w:marRight w:val="0"/>
              <w:marTop w:val="0"/>
              <w:marBottom w:val="0"/>
              <w:divBdr>
                <w:top w:val="none" w:sz="0" w:space="0" w:color="auto"/>
                <w:left w:val="none" w:sz="0" w:space="0" w:color="auto"/>
                <w:bottom w:val="none" w:sz="0" w:space="0" w:color="auto"/>
                <w:right w:val="none" w:sz="0" w:space="0" w:color="auto"/>
              </w:divBdr>
            </w:div>
            <w:div w:id="1700474857">
              <w:marLeft w:val="0"/>
              <w:marRight w:val="0"/>
              <w:marTop w:val="0"/>
              <w:marBottom w:val="0"/>
              <w:divBdr>
                <w:top w:val="none" w:sz="0" w:space="0" w:color="auto"/>
                <w:left w:val="none" w:sz="0" w:space="0" w:color="auto"/>
                <w:bottom w:val="none" w:sz="0" w:space="0" w:color="auto"/>
                <w:right w:val="none" w:sz="0" w:space="0" w:color="auto"/>
              </w:divBdr>
            </w:div>
          </w:divsChild>
        </w:div>
        <w:div w:id="1975480893">
          <w:marLeft w:val="0"/>
          <w:marRight w:val="0"/>
          <w:marTop w:val="0"/>
          <w:marBottom w:val="0"/>
          <w:divBdr>
            <w:top w:val="none" w:sz="0" w:space="0" w:color="auto"/>
            <w:left w:val="none" w:sz="0" w:space="0" w:color="auto"/>
            <w:bottom w:val="none" w:sz="0" w:space="0" w:color="auto"/>
            <w:right w:val="none" w:sz="0" w:space="0" w:color="auto"/>
          </w:divBdr>
          <w:divsChild>
            <w:div w:id="669218324">
              <w:marLeft w:val="0"/>
              <w:marRight w:val="0"/>
              <w:marTop w:val="0"/>
              <w:marBottom w:val="0"/>
              <w:divBdr>
                <w:top w:val="none" w:sz="0" w:space="0" w:color="auto"/>
                <w:left w:val="none" w:sz="0" w:space="0" w:color="auto"/>
                <w:bottom w:val="none" w:sz="0" w:space="0" w:color="auto"/>
                <w:right w:val="none" w:sz="0" w:space="0" w:color="auto"/>
              </w:divBdr>
            </w:div>
          </w:divsChild>
        </w:div>
        <w:div w:id="1976064464">
          <w:marLeft w:val="0"/>
          <w:marRight w:val="0"/>
          <w:marTop w:val="0"/>
          <w:marBottom w:val="0"/>
          <w:divBdr>
            <w:top w:val="none" w:sz="0" w:space="0" w:color="auto"/>
            <w:left w:val="none" w:sz="0" w:space="0" w:color="auto"/>
            <w:bottom w:val="none" w:sz="0" w:space="0" w:color="auto"/>
            <w:right w:val="none" w:sz="0" w:space="0" w:color="auto"/>
          </w:divBdr>
          <w:divsChild>
            <w:div w:id="1579441061">
              <w:marLeft w:val="0"/>
              <w:marRight w:val="0"/>
              <w:marTop w:val="0"/>
              <w:marBottom w:val="0"/>
              <w:divBdr>
                <w:top w:val="none" w:sz="0" w:space="0" w:color="auto"/>
                <w:left w:val="none" w:sz="0" w:space="0" w:color="auto"/>
                <w:bottom w:val="none" w:sz="0" w:space="0" w:color="auto"/>
                <w:right w:val="none" w:sz="0" w:space="0" w:color="auto"/>
              </w:divBdr>
            </w:div>
          </w:divsChild>
        </w:div>
        <w:div w:id="1982297585">
          <w:marLeft w:val="0"/>
          <w:marRight w:val="0"/>
          <w:marTop w:val="0"/>
          <w:marBottom w:val="0"/>
          <w:divBdr>
            <w:top w:val="none" w:sz="0" w:space="0" w:color="auto"/>
            <w:left w:val="none" w:sz="0" w:space="0" w:color="auto"/>
            <w:bottom w:val="none" w:sz="0" w:space="0" w:color="auto"/>
            <w:right w:val="none" w:sz="0" w:space="0" w:color="auto"/>
          </w:divBdr>
          <w:divsChild>
            <w:div w:id="1410465821">
              <w:marLeft w:val="0"/>
              <w:marRight w:val="0"/>
              <w:marTop w:val="0"/>
              <w:marBottom w:val="0"/>
              <w:divBdr>
                <w:top w:val="none" w:sz="0" w:space="0" w:color="auto"/>
                <w:left w:val="none" w:sz="0" w:space="0" w:color="auto"/>
                <w:bottom w:val="none" w:sz="0" w:space="0" w:color="auto"/>
                <w:right w:val="none" w:sz="0" w:space="0" w:color="auto"/>
              </w:divBdr>
            </w:div>
            <w:div w:id="1918898357">
              <w:marLeft w:val="0"/>
              <w:marRight w:val="0"/>
              <w:marTop w:val="0"/>
              <w:marBottom w:val="0"/>
              <w:divBdr>
                <w:top w:val="none" w:sz="0" w:space="0" w:color="auto"/>
                <w:left w:val="none" w:sz="0" w:space="0" w:color="auto"/>
                <w:bottom w:val="none" w:sz="0" w:space="0" w:color="auto"/>
                <w:right w:val="none" w:sz="0" w:space="0" w:color="auto"/>
              </w:divBdr>
            </w:div>
          </w:divsChild>
        </w:div>
        <w:div w:id="1984461555">
          <w:marLeft w:val="0"/>
          <w:marRight w:val="0"/>
          <w:marTop w:val="0"/>
          <w:marBottom w:val="0"/>
          <w:divBdr>
            <w:top w:val="none" w:sz="0" w:space="0" w:color="auto"/>
            <w:left w:val="none" w:sz="0" w:space="0" w:color="auto"/>
            <w:bottom w:val="none" w:sz="0" w:space="0" w:color="auto"/>
            <w:right w:val="none" w:sz="0" w:space="0" w:color="auto"/>
          </w:divBdr>
          <w:divsChild>
            <w:div w:id="1534733368">
              <w:marLeft w:val="0"/>
              <w:marRight w:val="0"/>
              <w:marTop w:val="0"/>
              <w:marBottom w:val="0"/>
              <w:divBdr>
                <w:top w:val="none" w:sz="0" w:space="0" w:color="auto"/>
                <w:left w:val="none" w:sz="0" w:space="0" w:color="auto"/>
                <w:bottom w:val="none" w:sz="0" w:space="0" w:color="auto"/>
                <w:right w:val="none" w:sz="0" w:space="0" w:color="auto"/>
              </w:divBdr>
            </w:div>
          </w:divsChild>
        </w:div>
        <w:div w:id="1989554888">
          <w:marLeft w:val="0"/>
          <w:marRight w:val="0"/>
          <w:marTop w:val="0"/>
          <w:marBottom w:val="0"/>
          <w:divBdr>
            <w:top w:val="none" w:sz="0" w:space="0" w:color="auto"/>
            <w:left w:val="none" w:sz="0" w:space="0" w:color="auto"/>
            <w:bottom w:val="none" w:sz="0" w:space="0" w:color="auto"/>
            <w:right w:val="none" w:sz="0" w:space="0" w:color="auto"/>
          </w:divBdr>
          <w:divsChild>
            <w:div w:id="1051883531">
              <w:marLeft w:val="0"/>
              <w:marRight w:val="0"/>
              <w:marTop w:val="0"/>
              <w:marBottom w:val="0"/>
              <w:divBdr>
                <w:top w:val="none" w:sz="0" w:space="0" w:color="auto"/>
                <w:left w:val="none" w:sz="0" w:space="0" w:color="auto"/>
                <w:bottom w:val="none" w:sz="0" w:space="0" w:color="auto"/>
                <w:right w:val="none" w:sz="0" w:space="0" w:color="auto"/>
              </w:divBdr>
            </w:div>
            <w:div w:id="1710758445">
              <w:marLeft w:val="0"/>
              <w:marRight w:val="0"/>
              <w:marTop w:val="0"/>
              <w:marBottom w:val="0"/>
              <w:divBdr>
                <w:top w:val="none" w:sz="0" w:space="0" w:color="auto"/>
                <w:left w:val="none" w:sz="0" w:space="0" w:color="auto"/>
                <w:bottom w:val="none" w:sz="0" w:space="0" w:color="auto"/>
                <w:right w:val="none" w:sz="0" w:space="0" w:color="auto"/>
              </w:divBdr>
            </w:div>
          </w:divsChild>
        </w:div>
        <w:div w:id="1990288102">
          <w:marLeft w:val="0"/>
          <w:marRight w:val="0"/>
          <w:marTop w:val="0"/>
          <w:marBottom w:val="0"/>
          <w:divBdr>
            <w:top w:val="none" w:sz="0" w:space="0" w:color="auto"/>
            <w:left w:val="none" w:sz="0" w:space="0" w:color="auto"/>
            <w:bottom w:val="none" w:sz="0" w:space="0" w:color="auto"/>
            <w:right w:val="none" w:sz="0" w:space="0" w:color="auto"/>
          </w:divBdr>
          <w:divsChild>
            <w:div w:id="1100836421">
              <w:marLeft w:val="0"/>
              <w:marRight w:val="0"/>
              <w:marTop w:val="0"/>
              <w:marBottom w:val="0"/>
              <w:divBdr>
                <w:top w:val="none" w:sz="0" w:space="0" w:color="auto"/>
                <w:left w:val="none" w:sz="0" w:space="0" w:color="auto"/>
                <w:bottom w:val="none" w:sz="0" w:space="0" w:color="auto"/>
                <w:right w:val="none" w:sz="0" w:space="0" w:color="auto"/>
              </w:divBdr>
            </w:div>
          </w:divsChild>
        </w:div>
        <w:div w:id="1992362305">
          <w:marLeft w:val="0"/>
          <w:marRight w:val="0"/>
          <w:marTop w:val="0"/>
          <w:marBottom w:val="0"/>
          <w:divBdr>
            <w:top w:val="none" w:sz="0" w:space="0" w:color="auto"/>
            <w:left w:val="none" w:sz="0" w:space="0" w:color="auto"/>
            <w:bottom w:val="none" w:sz="0" w:space="0" w:color="auto"/>
            <w:right w:val="none" w:sz="0" w:space="0" w:color="auto"/>
          </w:divBdr>
          <w:divsChild>
            <w:div w:id="1281108247">
              <w:marLeft w:val="0"/>
              <w:marRight w:val="0"/>
              <w:marTop w:val="0"/>
              <w:marBottom w:val="0"/>
              <w:divBdr>
                <w:top w:val="none" w:sz="0" w:space="0" w:color="auto"/>
                <w:left w:val="none" w:sz="0" w:space="0" w:color="auto"/>
                <w:bottom w:val="none" w:sz="0" w:space="0" w:color="auto"/>
                <w:right w:val="none" w:sz="0" w:space="0" w:color="auto"/>
              </w:divBdr>
            </w:div>
            <w:div w:id="1684700028">
              <w:marLeft w:val="0"/>
              <w:marRight w:val="0"/>
              <w:marTop w:val="0"/>
              <w:marBottom w:val="0"/>
              <w:divBdr>
                <w:top w:val="none" w:sz="0" w:space="0" w:color="auto"/>
                <w:left w:val="none" w:sz="0" w:space="0" w:color="auto"/>
                <w:bottom w:val="none" w:sz="0" w:space="0" w:color="auto"/>
                <w:right w:val="none" w:sz="0" w:space="0" w:color="auto"/>
              </w:divBdr>
            </w:div>
          </w:divsChild>
        </w:div>
        <w:div w:id="2000036156">
          <w:marLeft w:val="0"/>
          <w:marRight w:val="0"/>
          <w:marTop w:val="0"/>
          <w:marBottom w:val="0"/>
          <w:divBdr>
            <w:top w:val="none" w:sz="0" w:space="0" w:color="auto"/>
            <w:left w:val="none" w:sz="0" w:space="0" w:color="auto"/>
            <w:bottom w:val="none" w:sz="0" w:space="0" w:color="auto"/>
            <w:right w:val="none" w:sz="0" w:space="0" w:color="auto"/>
          </w:divBdr>
          <w:divsChild>
            <w:div w:id="1272395842">
              <w:marLeft w:val="0"/>
              <w:marRight w:val="0"/>
              <w:marTop w:val="0"/>
              <w:marBottom w:val="0"/>
              <w:divBdr>
                <w:top w:val="none" w:sz="0" w:space="0" w:color="auto"/>
                <w:left w:val="none" w:sz="0" w:space="0" w:color="auto"/>
                <w:bottom w:val="none" w:sz="0" w:space="0" w:color="auto"/>
                <w:right w:val="none" w:sz="0" w:space="0" w:color="auto"/>
              </w:divBdr>
            </w:div>
            <w:div w:id="1579437765">
              <w:marLeft w:val="0"/>
              <w:marRight w:val="0"/>
              <w:marTop w:val="0"/>
              <w:marBottom w:val="0"/>
              <w:divBdr>
                <w:top w:val="none" w:sz="0" w:space="0" w:color="auto"/>
                <w:left w:val="none" w:sz="0" w:space="0" w:color="auto"/>
                <w:bottom w:val="none" w:sz="0" w:space="0" w:color="auto"/>
                <w:right w:val="none" w:sz="0" w:space="0" w:color="auto"/>
              </w:divBdr>
            </w:div>
            <w:div w:id="1964462404">
              <w:marLeft w:val="0"/>
              <w:marRight w:val="0"/>
              <w:marTop w:val="0"/>
              <w:marBottom w:val="0"/>
              <w:divBdr>
                <w:top w:val="none" w:sz="0" w:space="0" w:color="auto"/>
                <w:left w:val="none" w:sz="0" w:space="0" w:color="auto"/>
                <w:bottom w:val="none" w:sz="0" w:space="0" w:color="auto"/>
                <w:right w:val="none" w:sz="0" w:space="0" w:color="auto"/>
              </w:divBdr>
            </w:div>
            <w:div w:id="1988047021">
              <w:marLeft w:val="0"/>
              <w:marRight w:val="0"/>
              <w:marTop w:val="0"/>
              <w:marBottom w:val="0"/>
              <w:divBdr>
                <w:top w:val="none" w:sz="0" w:space="0" w:color="auto"/>
                <w:left w:val="none" w:sz="0" w:space="0" w:color="auto"/>
                <w:bottom w:val="none" w:sz="0" w:space="0" w:color="auto"/>
                <w:right w:val="none" w:sz="0" w:space="0" w:color="auto"/>
              </w:divBdr>
            </w:div>
          </w:divsChild>
        </w:div>
        <w:div w:id="2001956859">
          <w:marLeft w:val="0"/>
          <w:marRight w:val="0"/>
          <w:marTop w:val="0"/>
          <w:marBottom w:val="0"/>
          <w:divBdr>
            <w:top w:val="none" w:sz="0" w:space="0" w:color="auto"/>
            <w:left w:val="none" w:sz="0" w:space="0" w:color="auto"/>
            <w:bottom w:val="none" w:sz="0" w:space="0" w:color="auto"/>
            <w:right w:val="none" w:sz="0" w:space="0" w:color="auto"/>
          </w:divBdr>
          <w:divsChild>
            <w:div w:id="274753997">
              <w:marLeft w:val="0"/>
              <w:marRight w:val="0"/>
              <w:marTop w:val="0"/>
              <w:marBottom w:val="0"/>
              <w:divBdr>
                <w:top w:val="none" w:sz="0" w:space="0" w:color="auto"/>
                <w:left w:val="none" w:sz="0" w:space="0" w:color="auto"/>
                <w:bottom w:val="none" w:sz="0" w:space="0" w:color="auto"/>
                <w:right w:val="none" w:sz="0" w:space="0" w:color="auto"/>
              </w:divBdr>
            </w:div>
            <w:div w:id="314992544">
              <w:marLeft w:val="0"/>
              <w:marRight w:val="0"/>
              <w:marTop w:val="0"/>
              <w:marBottom w:val="0"/>
              <w:divBdr>
                <w:top w:val="none" w:sz="0" w:space="0" w:color="auto"/>
                <w:left w:val="none" w:sz="0" w:space="0" w:color="auto"/>
                <w:bottom w:val="none" w:sz="0" w:space="0" w:color="auto"/>
                <w:right w:val="none" w:sz="0" w:space="0" w:color="auto"/>
              </w:divBdr>
            </w:div>
          </w:divsChild>
        </w:div>
        <w:div w:id="2003269403">
          <w:marLeft w:val="0"/>
          <w:marRight w:val="0"/>
          <w:marTop w:val="0"/>
          <w:marBottom w:val="0"/>
          <w:divBdr>
            <w:top w:val="none" w:sz="0" w:space="0" w:color="auto"/>
            <w:left w:val="none" w:sz="0" w:space="0" w:color="auto"/>
            <w:bottom w:val="none" w:sz="0" w:space="0" w:color="auto"/>
            <w:right w:val="none" w:sz="0" w:space="0" w:color="auto"/>
          </w:divBdr>
          <w:divsChild>
            <w:div w:id="917666560">
              <w:marLeft w:val="0"/>
              <w:marRight w:val="0"/>
              <w:marTop w:val="0"/>
              <w:marBottom w:val="0"/>
              <w:divBdr>
                <w:top w:val="none" w:sz="0" w:space="0" w:color="auto"/>
                <w:left w:val="none" w:sz="0" w:space="0" w:color="auto"/>
                <w:bottom w:val="none" w:sz="0" w:space="0" w:color="auto"/>
                <w:right w:val="none" w:sz="0" w:space="0" w:color="auto"/>
              </w:divBdr>
            </w:div>
            <w:div w:id="1269922764">
              <w:marLeft w:val="0"/>
              <w:marRight w:val="0"/>
              <w:marTop w:val="0"/>
              <w:marBottom w:val="0"/>
              <w:divBdr>
                <w:top w:val="none" w:sz="0" w:space="0" w:color="auto"/>
                <w:left w:val="none" w:sz="0" w:space="0" w:color="auto"/>
                <w:bottom w:val="none" w:sz="0" w:space="0" w:color="auto"/>
                <w:right w:val="none" w:sz="0" w:space="0" w:color="auto"/>
              </w:divBdr>
            </w:div>
          </w:divsChild>
        </w:div>
        <w:div w:id="2006277928">
          <w:marLeft w:val="0"/>
          <w:marRight w:val="0"/>
          <w:marTop w:val="0"/>
          <w:marBottom w:val="0"/>
          <w:divBdr>
            <w:top w:val="none" w:sz="0" w:space="0" w:color="auto"/>
            <w:left w:val="none" w:sz="0" w:space="0" w:color="auto"/>
            <w:bottom w:val="none" w:sz="0" w:space="0" w:color="auto"/>
            <w:right w:val="none" w:sz="0" w:space="0" w:color="auto"/>
          </w:divBdr>
          <w:divsChild>
            <w:div w:id="997148533">
              <w:marLeft w:val="0"/>
              <w:marRight w:val="0"/>
              <w:marTop w:val="0"/>
              <w:marBottom w:val="0"/>
              <w:divBdr>
                <w:top w:val="none" w:sz="0" w:space="0" w:color="auto"/>
                <w:left w:val="none" w:sz="0" w:space="0" w:color="auto"/>
                <w:bottom w:val="none" w:sz="0" w:space="0" w:color="auto"/>
                <w:right w:val="none" w:sz="0" w:space="0" w:color="auto"/>
              </w:divBdr>
            </w:div>
          </w:divsChild>
        </w:div>
        <w:div w:id="2012098655">
          <w:marLeft w:val="0"/>
          <w:marRight w:val="0"/>
          <w:marTop w:val="0"/>
          <w:marBottom w:val="0"/>
          <w:divBdr>
            <w:top w:val="none" w:sz="0" w:space="0" w:color="auto"/>
            <w:left w:val="none" w:sz="0" w:space="0" w:color="auto"/>
            <w:bottom w:val="none" w:sz="0" w:space="0" w:color="auto"/>
            <w:right w:val="none" w:sz="0" w:space="0" w:color="auto"/>
          </w:divBdr>
          <w:divsChild>
            <w:div w:id="265621051">
              <w:marLeft w:val="0"/>
              <w:marRight w:val="0"/>
              <w:marTop w:val="0"/>
              <w:marBottom w:val="0"/>
              <w:divBdr>
                <w:top w:val="none" w:sz="0" w:space="0" w:color="auto"/>
                <w:left w:val="none" w:sz="0" w:space="0" w:color="auto"/>
                <w:bottom w:val="none" w:sz="0" w:space="0" w:color="auto"/>
                <w:right w:val="none" w:sz="0" w:space="0" w:color="auto"/>
              </w:divBdr>
            </w:div>
            <w:div w:id="317269952">
              <w:marLeft w:val="0"/>
              <w:marRight w:val="0"/>
              <w:marTop w:val="0"/>
              <w:marBottom w:val="0"/>
              <w:divBdr>
                <w:top w:val="none" w:sz="0" w:space="0" w:color="auto"/>
                <w:left w:val="none" w:sz="0" w:space="0" w:color="auto"/>
                <w:bottom w:val="none" w:sz="0" w:space="0" w:color="auto"/>
                <w:right w:val="none" w:sz="0" w:space="0" w:color="auto"/>
              </w:divBdr>
            </w:div>
            <w:div w:id="679703117">
              <w:marLeft w:val="0"/>
              <w:marRight w:val="0"/>
              <w:marTop w:val="0"/>
              <w:marBottom w:val="0"/>
              <w:divBdr>
                <w:top w:val="none" w:sz="0" w:space="0" w:color="auto"/>
                <w:left w:val="none" w:sz="0" w:space="0" w:color="auto"/>
                <w:bottom w:val="none" w:sz="0" w:space="0" w:color="auto"/>
                <w:right w:val="none" w:sz="0" w:space="0" w:color="auto"/>
              </w:divBdr>
            </w:div>
            <w:div w:id="1260023402">
              <w:marLeft w:val="0"/>
              <w:marRight w:val="0"/>
              <w:marTop w:val="0"/>
              <w:marBottom w:val="0"/>
              <w:divBdr>
                <w:top w:val="none" w:sz="0" w:space="0" w:color="auto"/>
                <w:left w:val="none" w:sz="0" w:space="0" w:color="auto"/>
                <w:bottom w:val="none" w:sz="0" w:space="0" w:color="auto"/>
                <w:right w:val="none" w:sz="0" w:space="0" w:color="auto"/>
              </w:divBdr>
            </w:div>
            <w:div w:id="1940717792">
              <w:marLeft w:val="0"/>
              <w:marRight w:val="0"/>
              <w:marTop w:val="0"/>
              <w:marBottom w:val="0"/>
              <w:divBdr>
                <w:top w:val="none" w:sz="0" w:space="0" w:color="auto"/>
                <w:left w:val="none" w:sz="0" w:space="0" w:color="auto"/>
                <w:bottom w:val="none" w:sz="0" w:space="0" w:color="auto"/>
                <w:right w:val="none" w:sz="0" w:space="0" w:color="auto"/>
              </w:divBdr>
            </w:div>
            <w:div w:id="2010910498">
              <w:marLeft w:val="0"/>
              <w:marRight w:val="0"/>
              <w:marTop w:val="0"/>
              <w:marBottom w:val="0"/>
              <w:divBdr>
                <w:top w:val="none" w:sz="0" w:space="0" w:color="auto"/>
                <w:left w:val="none" w:sz="0" w:space="0" w:color="auto"/>
                <w:bottom w:val="none" w:sz="0" w:space="0" w:color="auto"/>
                <w:right w:val="none" w:sz="0" w:space="0" w:color="auto"/>
              </w:divBdr>
            </w:div>
            <w:div w:id="2062165573">
              <w:marLeft w:val="0"/>
              <w:marRight w:val="0"/>
              <w:marTop w:val="0"/>
              <w:marBottom w:val="0"/>
              <w:divBdr>
                <w:top w:val="none" w:sz="0" w:space="0" w:color="auto"/>
                <w:left w:val="none" w:sz="0" w:space="0" w:color="auto"/>
                <w:bottom w:val="none" w:sz="0" w:space="0" w:color="auto"/>
                <w:right w:val="none" w:sz="0" w:space="0" w:color="auto"/>
              </w:divBdr>
            </w:div>
          </w:divsChild>
        </w:div>
        <w:div w:id="2019959681">
          <w:marLeft w:val="0"/>
          <w:marRight w:val="0"/>
          <w:marTop w:val="0"/>
          <w:marBottom w:val="0"/>
          <w:divBdr>
            <w:top w:val="none" w:sz="0" w:space="0" w:color="auto"/>
            <w:left w:val="none" w:sz="0" w:space="0" w:color="auto"/>
            <w:bottom w:val="none" w:sz="0" w:space="0" w:color="auto"/>
            <w:right w:val="none" w:sz="0" w:space="0" w:color="auto"/>
          </w:divBdr>
          <w:divsChild>
            <w:div w:id="887716832">
              <w:marLeft w:val="0"/>
              <w:marRight w:val="0"/>
              <w:marTop w:val="0"/>
              <w:marBottom w:val="0"/>
              <w:divBdr>
                <w:top w:val="none" w:sz="0" w:space="0" w:color="auto"/>
                <w:left w:val="none" w:sz="0" w:space="0" w:color="auto"/>
                <w:bottom w:val="none" w:sz="0" w:space="0" w:color="auto"/>
                <w:right w:val="none" w:sz="0" w:space="0" w:color="auto"/>
              </w:divBdr>
            </w:div>
          </w:divsChild>
        </w:div>
        <w:div w:id="2027168656">
          <w:marLeft w:val="0"/>
          <w:marRight w:val="0"/>
          <w:marTop w:val="0"/>
          <w:marBottom w:val="0"/>
          <w:divBdr>
            <w:top w:val="none" w:sz="0" w:space="0" w:color="auto"/>
            <w:left w:val="none" w:sz="0" w:space="0" w:color="auto"/>
            <w:bottom w:val="none" w:sz="0" w:space="0" w:color="auto"/>
            <w:right w:val="none" w:sz="0" w:space="0" w:color="auto"/>
          </w:divBdr>
          <w:divsChild>
            <w:div w:id="15467165">
              <w:marLeft w:val="0"/>
              <w:marRight w:val="0"/>
              <w:marTop w:val="0"/>
              <w:marBottom w:val="0"/>
              <w:divBdr>
                <w:top w:val="none" w:sz="0" w:space="0" w:color="auto"/>
                <w:left w:val="none" w:sz="0" w:space="0" w:color="auto"/>
                <w:bottom w:val="none" w:sz="0" w:space="0" w:color="auto"/>
                <w:right w:val="none" w:sz="0" w:space="0" w:color="auto"/>
              </w:divBdr>
            </w:div>
            <w:div w:id="1500078359">
              <w:marLeft w:val="0"/>
              <w:marRight w:val="0"/>
              <w:marTop w:val="0"/>
              <w:marBottom w:val="0"/>
              <w:divBdr>
                <w:top w:val="none" w:sz="0" w:space="0" w:color="auto"/>
                <w:left w:val="none" w:sz="0" w:space="0" w:color="auto"/>
                <w:bottom w:val="none" w:sz="0" w:space="0" w:color="auto"/>
                <w:right w:val="none" w:sz="0" w:space="0" w:color="auto"/>
              </w:divBdr>
            </w:div>
            <w:div w:id="1544174099">
              <w:marLeft w:val="0"/>
              <w:marRight w:val="0"/>
              <w:marTop w:val="0"/>
              <w:marBottom w:val="0"/>
              <w:divBdr>
                <w:top w:val="none" w:sz="0" w:space="0" w:color="auto"/>
                <w:left w:val="none" w:sz="0" w:space="0" w:color="auto"/>
                <w:bottom w:val="none" w:sz="0" w:space="0" w:color="auto"/>
                <w:right w:val="none" w:sz="0" w:space="0" w:color="auto"/>
              </w:divBdr>
            </w:div>
          </w:divsChild>
        </w:div>
        <w:div w:id="2036035548">
          <w:marLeft w:val="0"/>
          <w:marRight w:val="0"/>
          <w:marTop w:val="0"/>
          <w:marBottom w:val="0"/>
          <w:divBdr>
            <w:top w:val="none" w:sz="0" w:space="0" w:color="auto"/>
            <w:left w:val="none" w:sz="0" w:space="0" w:color="auto"/>
            <w:bottom w:val="none" w:sz="0" w:space="0" w:color="auto"/>
            <w:right w:val="none" w:sz="0" w:space="0" w:color="auto"/>
          </w:divBdr>
          <w:divsChild>
            <w:div w:id="584147243">
              <w:marLeft w:val="0"/>
              <w:marRight w:val="0"/>
              <w:marTop w:val="0"/>
              <w:marBottom w:val="0"/>
              <w:divBdr>
                <w:top w:val="none" w:sz="0" w:space="0" w:color="auto"/>
                <w:left w:val="none" w:sz="0" w:space="0" w:color="auto"/>
                <w:bottom w:val="none" w:sz="0" w:space="0" w:color="auto"/>
                <w:right w:val="none" w:sz="0" w:space="0" w:color="auto"/>
              </w:divBdr>
            </w:div>
            <w:div w:id="1442457606">
              <w:marLeft w:val="0"/>
              <w:marRight w:val="0"/>
              <w:marTop w:val="0"/>
              <w:marBottom w:val="0"/>
              <w:divBdr>
                <w:top w:val="none" w:sz="0" w:space="0" w:color="auto"/>
                <w:left w:val="none" w:sz="0" w:space="0" w:color="auto"/>
                <w:bottom w:val="none" w:sz="0" w:space="0" w:color="auto"/>
                <w:right w:val="none" w:sz="0" w:space="0" w:color="auto"/>
              </w:divBdr>
            </w:div>
            <w:div w:id="1929389293">
              <w:marLeft w:val="0"/>
              <w:marRight w:val="0"/>
              <w:marTop w:val="0"/>
              <w:marBottom w:val="0"/>
              <w:divBdr>
                <w:top w:val="none" w:sz="0" w:space="0" w:color="auto"/>
                <w:left w:val="none" w:sz="0" w:space="0" w:color="auto"/>
                <w:bottom w:val="none" w:sz="0" w:space="0" w:color="auto"/>
                <w:right w:val="none" w:sz="0" w:space="0" w:color="auto"/>
              </w:divBdr>
            </w:div>
          </w:divsChild>
        </w:div>
        <w:div w:id="2041542564">
          <w:marLeft w:val="0"/>
          <w:marRight w:val="0"/>
          <w:marTop w:val="0"/>
          <w:marBottom w:val="0"/>
          <w:divBdr>
            <w:top w:val="none" w:sz="0" w:space="0" w:color="auto"/>
            <w:left w:val="none" w:sz="0" w:space="0" w:color="auto"/>
            <w:bottom w:val="none" w:sz="0" w:space="0" w:color="auto"/>
            <w:right w:val="none" w:sz="0" w:space="0" w:color="auto"/>
          </w:divBdr>
          <w:divsChild>
            <w:div w:id="1833838174">
              <w:marLeft w:val="0"/>
              <w:marRight w:val="0"/>
              <w:marTop w:val="0"/>
              <w:marBottom w:val="0"/>
              <w:divBdr>
                <w:top w:val="none" w:sz="0" w:space="0" w:color="auto"/>
                <w:left w:val="none" w:sz="0" w:space="0" w:color="auto"/>
                <w:bottom w:val="none" w:sz="0" w:space="0" w:color="auto"/>
                <w:right w:val="none" w:sz="0" w:space="0" w:color="auto"/>
              </w:divBdr>
            </w:div>
            <w:div w:id="2046830190">
              <w:marLeft w:val="0"/>
              <w:marRight w:val="0"/>
              <w:marTop w:val="0"/>
              <w:marBottom w:val="0"/>
              <w:divBdr>
                <w:top w:val="none" w:sz="0" w:space="0" w:color="auto"/>
                <w:left w:val="none" w:sz="0" w:space="0" w:color="auto"/>
                <w:bottom w:val="none" w:sz="0" w:space="0" w:color="auto"/>
                <w:right w:val="none" w:sz="0" w:space="0" w:color="auto"/>
              </w:divBdr>
            </w:div>
          </w:divsChild>
        </w:div>
        <w:div w:id="2043630011">
          <w:marLeft w:val="0"/>
          <w:marRight w:val="0"/>
          <w:marTop w:val="0"/>
          <w:marBottom w:val="0"/>
          <w:divBdr>
            <w:top w:val="none" w:sz="0" w:space="0" w:color="auto"/>
            <w:left w:val="none" w:sz="0" w:space="0" w:color="auto"/>
            <w:bottom w:val="none" w:sz="0" w:space="0" w:color="auto"/>
            <w:right w:val="none" w:sz="0" w:space="0" w:color="auto"/>
          </w:divBdr>
          <w:divsChild>
            <w:div w:id="200362115">
              <w:marLeft w:val="0"/>
              <w:marRight w:val="0"/>
              <w:marTop w:val="0"/>
              <w:marBottom w:val="0"/>
              <w:divBdr>
                <w:top w:val="none" w:sz="0" w:space="0" w:color="auto"/>
                <w:left w:val="none" w:sz="0" w:space="0" w:color="auto"/>
                <w:bottom w:val="none" w:sz="0" w:space="0" w:color="auto"/>
                <w:right w:val="none" w:sz="0" w:space="0" w:color="auto"/>
              </w:divBdr>
            </w:div>
          </w:divsChild>
        </w:div>
        <w:div w:id="2045447961">
          <w:marLeft w:val="0"/>
          <w:marRight w:val="0"/>
          <w:marTop w:val="0"/>
          <w:marBottom w:val="0"/>
          <w:divBdr>
            <w:top w:val="none" w:sz="0" w:space="0" w:color="auto"/>
            <w:left w:val="none" w:sz="0" w:space="0" w:color="auto"/>
            <w:bottom w:val="none" w:sz="0" w:space="0" w:color="auto"/>
            <w:right w:val="none" w:sz="0" w:space="0" w:color="auto"/>
          </w:divBdr>
          <w:divsChild>
            <w:div w:id="1231037772">
              <w:marLeft w:val="0"/>
              <w:marRight w:val="0"/>
              <w:marTop w:val="0"/>
              <w:marBottom w:val="0"/>
              <w:divBdr>
                <w:top w:val="none" w:sz="0" w:space="0" w:color="auto"/>
                <w:left w:val="none" w:sz="0" w:space="0" w:color="auto"/>
                <w:bottom w:val="none" w:sz="0" w:space="0" w:color="auto"/>
                <w:right w:val="none" w:sz="0" w:space="0" w:color="auto"/>
              </w:divBdr>
            </w:div>
            <w:div w:id="1515151245">
              <w:marLeft w:val="0"/>
              <w:marRight w:val="0"/>
              <w:marTop w:val="0"/>
              <w:marBottom w:val="0"/>
              <w:divBdr>
                <w:top w:val="none" w:sz="0" w:space="0" w:color="auto"/>
                <w:left w:val="none" w:sz="0" w:space="0" w:color="auto"/>
                <w:bottom w:val="none" w:sz="0" w:space="0" w:color="auto"/>
                <w:right w:val="none" w:sz="0" w:space="0" w:color="auto"/>
              </w:divBdr>
            </w:div>
          </w:divsChild>
        </w:div>
        <w:div w:id="2051681637">
          <w:marLeft w:val="0"/>
          <w:marRight w:val="0"/>
          <w:marTop w:val="0"/>
          <w:marBottom w:val="0"/>
          <w:divBdr>
            <w:top w:val="none" w:sz="0" w:space="0" w:color="auto"/>
            <w:left w:val="none" w:sz="0" w:space="0" w:color="auto"/>
            <w:bottom w:val="none" w:sz="0" w:space="0" w:color="auto"/>
            <w:right w:val="none" w:sz="0" w:space="0" w:color="auto"/>
          </w:divBdr>
          <w:divsChild>
            <w:div w:id="2120295773">
              <w:marLeft w:val="0"/>
              <w:marRight w:val="0"/>
              <w:marTop w:val="0"/>
              <w:marBottom w:val="0"/>
              <w:divBdr>
                <w:top w:val="none" w:sz="0" w:space="0" w:color="auto"/>
                <w:left w:val="none" w:sz="0" w:space="0" w:color="auto"/>
                <w:bottom w:val="none" w:sz="0" w:space="0" w:color="auto"/>
                <w:right w:val="none" w:sz="0" w:space="0" w:color="auto"/>
              </w:divBdr>
            </w:div>
          </w:divsChild>
        </w:div>
        <w:div w:id="2056201374">
          <w:marLeft w:val="0"/>
          <w:marRight w:val="0"/>
          <w:marTop w:val="0"/>
          <w:marBottom w:val="0"/>
          <w:divBdr>
            <w:top w:val="none" w:sz="0" w:space="0" w:color="auto"/>
            <w:left w:val="none" w:sz="0" w:space="0" w:color="auto"/>
            <w:bottom w:val="none" w:sz="0" w:space="0" w:color="auto"/>
            <w:right w:val="none" w:sz="0" w:space="0" w:color="auto"/>
          </w:divBdr>
          <w:divsChild>
            <w:div w:id="1935280398">
              <w:marLeft w:val="0"/>
              <w:marRight w:val="0"/>
              <w:marTop w:val="0"/>
              <w:marBottom w:val="0"/>
              <w:divBdr>
                <w:top w:val="none" w:sz="0" w:space="0" w:color="auto"/>
                <w:left w:val="none" w:sz="0" w:space="0" w:color="auto"/>
                <w:bottom w:val="none" w:sz="0" w:space="0" w:color="auto"/>
                <w:right w:val="none" w:sz="0" w:space="0" w:color="auto"/>
              </w:divBdr>
            </w:div>
          </w:divsChild>
        </w:div>
        <w:div w:id="2059863964">
          <w:marLeft w:val="0"/>
          <w:marRight w:val="0"/>
          <w:marTop w:val="0"/>
          <w:marBottom w:val="0"/>
          <w:divBdr>
            <w:top w:val="none" w:sz="0" w:space="0" w:color="auto"/>
            <w:left w:val="none" w:sz="0" w:space="0" w:color="auto"/>
            <w:bottom w:val="none" w:sz="0" w:space="0" w:color="auto"/>
            <w:right w:val="none" w:sz="0" w:space="0" w:color="auto"/>
          </w:divBdr>
          <w:divsChild>
            <w:div w:id="262543507">
              <w:marLeft w:val="0"/>
              <w:marRight w:val="0"/>
              <w:marTop w:val="0"/>
              <w:marBottom w:val="0"/>
              <w:divBdr>
                <w:top w:val="none" w:sz="0" w:space="0" w:color="auto"/>
                <w:left w:val="none" w:sz="0" w:space="0" w:color="auto"/>
                <w:bottom w:val="none" w:sz="0" w:space="0" w:color="auto"/>
                <w:right w:val="none" w:sz="0" w:space="0" w:color="auto"/>
              </w:divBdr>
            </w:div>
            <w:div w:id="1404838510">
              <w:marLeft w:val="0"/>
              <w:marRight w:val="0"/>
              <w:marTop w:val="0"/>
              <w:marBottom w:val="0"/>
              <w:divBdr>
                <w:top w:val="none" w:sz="0" w:space="0" w:color="auto"/>
                <w:left w:val="none" w:sz="0" w:space="0" w:color="auto"/>
                <w:bottom w:val="none" w:sz="0" w:space="0" w:color="auto"/>
                <w:right w:val="none" w:sz="0" w:space="0" w:color="auto"/>
              </w:divBdr>
            </w:div>
            <w:div w:id="1642808081">
              <w:marLeft w:val="0"/>
              <w:marRight w:val="0"/>
              <w:marTop w:val="0"/>
              <w:marBottom w:val="0"/>
              <w:divBdr>
                <w:top w:val="none" w:sz="0" w:space="0" w:color="auto"/>
                <w:left w:val="none" w:sz="0" w:space="0" w:color="auto"/>
                <w:bottom w:val="none" w:sz="0" w:space="0" w:color="auto"/>
                <w:right w:val="none" w:sz="0" w:space="0" w:color="auto"/>
              </w:divBdr>
            </w:div>
          </w:divsChild>
        </w:div>
        <w:div w:id="2067529919">
          <w:marLeft w:val="0"/>
          <w:marRight w:val="0"/>
          <w:marTop w:val="0"/>
          <w:marBottom w:val="0"/>
          <w:divBdr>
            <w:top w:val="none" w:sz="0" w:space="0" w:color="auto"/>
            <w:left w:val="none" w:sz="0" w:space="0" w:color="auto"/>
            <w:bottom w:val="none" w:sz="0" w:space="0" w:color="auto"/>
            <w:right w:val="none" w:sz="0" w:space="0" w:color="auto"/>
          </w:divBdr>
          <w:divsChild>
            <w:div w:id="1536116734">
              <w:marLeft w:val="0"/>
              <w:marRight w:val="0"/>
              <w:marTop w:val="0"/>
              <w:marBottom w:val="0"/>
              <w:divBdr>
                <w:top w:val="none" w:sz="0" w:space="0" w:color="auto"/>
                <w:left w:val="none" w:sz="0" w:space="0" w:color="auto"/>
                <w:bottom w:val="none" w:sz="0" w:space="0" w:color="auto"/>
                <w:right w:val="none" w:sz="0" w:space="0" w:color="auto"/>
              </w:divBdr>
            </w:div>
            <w:div w:id="1726677141">
              <w:marLeft w:val="0"/>
              <w:marRight w:val="0"/>
              <w:marTop w:val="0"/>
              <w:marBottom w:val="0"/>
              <w:divBdr>
                <w:top w:val="none" w:sz="0" w:space="0" w:color="auto"/>
                <w:left w:val="none" w:sz="0" w:space="0" w:color="auto"/>
                <w:bottom w:val="none" w:sz="0" w:space="0" w:color="auto"/>
                <w:right w:val="none" w:sz="0" w:space="0" w:color="auto"/>
              </w:divBdr>
            </w:div>
          </w:divsChild>
        </w:div>
        <w:div w:id="2077194030">
          <w:marLeft w:val="0"/>
          <w:marRight w:val="0"/>
          <w:marTop w:val="0"/>
          <w:marBottom w:val="0"/>
          <w:divBdr>
            <w:top w:val="none" w:sz="0" w:space="0" w:color="auto"/>
            <w:left w:val="none" w:sz="0" w:space="0" w:color="auto"/>
            <w:bottom w:val="none" w:sz="0" w:space="0" w:color="auto"/>
            <w:right w:val="none" w:sz="0" w:space="0" w:color="auto"/>
          </w:divBdr>
          <w:divsChild>
            <w:div w:id="315649862">
              <w:marLeft w:val="0"/>
              <w:marRight w:val="0"/>
              <w:marTop w:val="0"/>
              <w:marBottom w:val="0"/>
              <w:divBdr>
                <w:top w:val="none" w:sz="0" w:space="0" w:color="auto"/>
                <w:left w:val="none" w:sz="0" w:space="0" w:color="auto"/>
                <w:bottom w:val="none" w:sz="0" w:space="0" w:color="auto"/>
                <w:right w:val="none" w:sz="0" w:space="0" w:color="auto"/>
              </w:divBdr>
            </w:div>
            <w:div w:id="1071276401">
              <w:marLeft w:val="0"/>
              <w:marRight w:val="0"/>
              <w:marTop w:val="0"/>
              <w:marBottom w:val="0"/>
              <w:divBdr>
                <w:top w:val="none" w:sz="0" w:space="0" w:color="auto"/>
                <w:left w:val="none" w:sz="0" w:space="0" w:color="auto"/>
                <w:bottom w:val="none" w:sz="0" w:space="0" w:color="auto"/>
                <w:right w:val="none" w:sz="0" w:space="0" w:color="auto"/>
              </w:divBdr>
            </w:div>
            <w:div w:id="1409495874">
              <w:marLeft w:val="0"/>
              <w:marRight w:val="0"/>
              <w:marTop w:val="0"/>
              <w:marBottom w:val="0"/>
              <w:divBdr>
                <w:top w:val="none" w:sz="0" w:space="0" w:color="auto"/>
                <w:left w:val="none" w:sz="0" w:space="0" w:color="auto"/>
                <w:bottom w:val="none" w:sz="0" w:space="0" w:color="auto"/>
                <w:right w:val="none" w:sz="0" w:space="0" w:color="auto"/>
              </w:divBdr>
            </w:div>
          </w:divsChild>
        </w:div>
        <w:div w:id="2079327979">
          <w:marLeft w:val="0"/>
          <w:marRight w:val="0"/>
          <w:marTop w:val="0"/>
          <w:marBottom w:val="0"/>
          <w:divBdr>
            <w:top w:val="none" w:sz="0" w:space="0" w:color="auto"/>
            <w:left w:val="none" w:sz="0" w:space="0" w:color="auto"/>
            <w:bottom w:val="none" w:sz="0" w:space="0" w:color="auto"/>
            <w:right w:val="none" w:sz="0" w:space="0" w:color="auto"/>
          </w:divBdr>
          <w:divsChild>
            <w:div w:id="635530883">
              <w:marLeft w:val="0"/>
              <w:marRight w:val="0"/>
              <w:marTop w:val="0"/>
              <w:marBottom w:val="0"/>
              <w:divBdr>
                <w:top w:val="none" w:sz="0" w:space="0" w:color="auto"/>
                <w:left w:val="none" w:sz="0" w:space="0" w:color="auto"/>
                <w:bottom w:val="none" w:sz="0" w:space="0" w:color="auto"/>
                <w:right w:val="none" w:sz="0" w:space="0" w:color="auto"/>
              </w:divBdr>
            </w:div>
            <w:div w:id="794520319">
              <w:marLeft w:val="0"/>
              <w:marRight w:val="0"/>
              <w:marTop w:val="0"/>
              <w:marBottom w:val="0"/>
              <w:divBdr>
                <w:top w:val="none" w:sz="0" w:space="0" w:color="auto"/>
                <w:left w:val="none" w:sz="0" w:space="0" w:color="auto"/>
                <w:bottom w:val="none" w:sz="0" w:space="0" w:color="auto"/>
                <w:right w:val="none" w:sz="0" w:space="0" w:color="auto"/>
              </w:divBdr>
            </w:div>
            <w:div w:id="1170606347">
              <w:marLeft w:val="0"/>
              <w:marRight w:val="0"/>
              <w:marTop w:val="0"/>
              <w:marBottom w:val="0"/>
              <w:divBdr>
                <w:top w:val="none" w:sz="0" w:space="0" w:color="auto"/>
                <w:left w:val="none" w:sz="0" w:space="0" w:color="auto"/>
                <w:bottom w:val="none" w:sz="0" w:space="0" w:color="auto"/>
                <w:right w:val="none" w:sz="0" w:space="0" w:color="auto"/>
              </w:divBdr>
            </w:div>
            <w:div w:id="1571689405">
              <w:marLeft w:val="0"/>
              <w:marRight w:val="0"/>
              <w:marTop w:val="0"/>
              <w:marBottom w:val="0"/>
              <w:divBdr>
                <w:top w:val="none" w:sz="0" w:space="0" w:color="auto"/>
                <w:left w:val="none" w:sz="0" w:space="0" w:color="auto"/>
                <w:bottom w:val="none" w:sz="0" w:space="0" w:color="auto"/>
                <w:right w:val="none" w:sz="0" w:space="0" w:color="auto"/>
              </w:divBdr>
            </w:div>
          </w:divsChild>
        </w:div>
        <w:div w:id="2079860984">
          <w:marLeft w:val="0"/>
          <w:marRight w:val="0"/>
          <w:marTop w:val="0"/>
          <w:marBottom w:val="0"/>
          <w:divBdr>
            <w:top w:val="none" w:sz="0" w:space="0" w:color="auto"/>
            <w:left w:val="none" w:sz="0" w:space="0" w:color="auto"/>
            <w:bottom w:val="none" w:sz="0" w:space="0" w:color="auto"/>
            <w:right w:val="none" w:sz="0" w:space="0" w:color="auto"/>
          </w:divBdr>
          <w:divsChild>
            <w:div w:id="564026628">
              <w:marLeft w:val="0"/>
              <w:marRight w:val="0"/>
              <w:marTop w:val="0"/>
              <w:marBottom w:val="0"/>
              <w:divBdr>
                <w:top w:val="none" w:sz="0" w:space="0" w:color="auto"/>
                <w:left w:val="none" w:sz="0" w:space="0" w:color="auto"/>
                <w:bottom w:val="none" w:sz="0" w:space="0" w:color="auto"/>
                <w:right w:val="none" w:sz="0" w:space="0" w:color="auto"/>
              </w:divBdr>
            </w:div>
            <w:div w:id="1683705170">
              <w:marLeft w:val="0"/>
              <w:marRight w:val="0"/>
              <w:marTop w:val="0"/>
              <w:marBottom w:val="0"/>
              <w:divBdr>
                <w:top w:val="none" w:sz="0" w:space="0" w:color="auto"/>
                <w:left w:val="none" w:sz="0" w:space="0" w:color="auto"/>
                <w:bottom w:val="none" w:sz="0" w:space="0" w:color="auto"/>
                <w:right w:val="none" w:sz="0" w:space="0" w:color="auto"/>
              </w:divBdr>
            </w:div>
            <w:div w:id="1906911699">
              <w:marLeft w:val="0"/>
              <w:marRight w:val="0"/>
              <w:marTop w:val="0"/>
              <w:marBottom w:val="0"/>
              <w:divBdr>
                <w:top w:val="none" w:sz="0" w:space="0" w:color="auto"/>
                <w:left w:val="none" w:sz="0" w:space="0" w:color="auto"/>
                <w:bottom w:val="none" w:sz="0" w:space="0" w:color="auto"/>
                <w:right w:val="none" w:sz="0" w:space="0" w:color="auto"/>
              </w:divBdr>
            </w:div>
          </w:divsChild>
        </w:div>
        <w:div w:id="2092963341">
          <w:marLeft w:val="0"/>
          <w:marRight w:val="0"/>
          <w:marTop w:val="0"/>
          <w:marBottom w:val="0"/>
          <w:divBdr>
            <w:top w:val="none" w:sz="0" w:space="0" w:color="auto"/>
            <w:left w:val="none" w:sz="0" w:space="0" w:color="auto"/>
            <w:bottom w:val="none" w:sz="0" w:space="0" w:color="auto"/>
            <w:right w:val="none" w:sz="0" w:space="0" w:color="auto"/>
          </w:divBdr>
          <w:divsChild>
            <w:div w:id="349718682">
              <w:marLeft w:val="0"/>
              <w:marRight w:val="0"/>
              <w:marTop w:val="0"/>
              <w:marBottom w:val="0"/>
              <w:divBdr>
                <w:top w:val="none" w:sz="0" w:space="0" w:color="auto"/>
                <w:left w:val="none" w:sz="0" w:space="0" w:color="auto"/>
                <w:bottom w:val="none" w:sz="0" w:space="0" w:color="auto"/>
                <w:right w:val="none" w:sz="0" w:space="0" w:color="auto"/>
              </w:divBdr>
            </w:div>
            <w:div w:id="1457944978">
              <w:marLeft w:val="0"/>
              <w:marRight w:val="0"/>
              <w:marTop w:val="0"/>
              <w:marBottom w:val="0"/>
              <w:divBdr>
                <w:top w:val="none" w:sz="0" w:space="0" w:color="auto"/>
                <w:left w:val="none" w:sz="0" w:space="0" w:color="auto"/>
                <w:bottom w:val="none" w:sz="0" w:space="0" w:color="auto"/>
                <w:right w:val="none" w:sz="0" w:space="0" w:color="auto"/>
              </w:divBdr>
            </w:div>
            <w:div w:id="1552040987">
              <w:marLeft w:val="0"/>
              <w:marRight w:val="0"/>
              <w:marTop w:val="0"/>
              <w:marBottom w:val="0"/>
              <w:divBdr>
                <w:top w:val="none" w:sz="0" w:space="0" w:color="auto"/>
                <w:left w:val="none" w:sz="0" w:space="0" w:color="auto"/>
                <w:bottom w:val="none" w:sz="0" w:space="0" w:color="auto"/>
                <w:right w:val="none" w:sz="0" w:space="0" w:color="auto"/>
              </w:divBdr>
            </w:div>
          </w:divsChild>
        </w:div>
        <w:div w:id="2101481343">
          <w:marLeft w:val="0"/>
          <w:marRight w:val="0"/>
          <w:marTop w:val="0"/>
          <w:marBottom w:val="0"/>
          <w:divBdr>
            <w:top w:val="none" w:sz="0" w:space="0" w:color="auto"/>
            <w:left w:val="none" w:sz="0" w:space="0" w:color="auto"/>
            <w:bottom w:val="none" w:sz="0" w:space="0" w:color="auto"/>
            <w:right w:val="none" w:sz="0" w:space="0" w:color="auto"/>
          </w:divBdr>
          <w:divsChild>
            <w:div w:id="1265579572">
              <w:marLeft w:val="0"/>
              <w:marRight w:val="0"/>
              <w:marTop w:val="0"/>
              <w:marBottom w:val="0"/>
              <w:divBdr>
                <w:top w:val="none" w:sz="0" w:space="0" w:color="auto"/>
                <w:left w:val="none" w:sz="0" w:space="0" w:color="auto"/>
                <w:bottom w:val="none" w:sz="0" w:space="0" w:color="auto"/>
                <w:right w:val="none" w:sz="0" w:space="0" w:color="auto"/>
              </w:divBdr>
            </w:div>
          </w:divsChild>
        </w:div>
        <w:div w:id="2111655793">
          <w:marLeft w:val="0"/>
          <w:marRight w:val="0"/>
          <w:marTop w:val="0"/>
          <w:marBottom w:val="0"/>
          <w:divBdr>
            <w:top w:val="none" w:sz="0" w:space="0" w:color="auto"/>
            <w:left w:val="none" w:sz="0" w:space="0" w:color="auto"/>
            <w:bottom w:val="none" w:sz="0" w:space="0" w:color="auto"/>
            <w:right w:val="none" w:sz="0" w:space="0" w:color="auto"/>
          </w:divBdr>
          <w:divsChild>
            <w:div w:id="239142956">
              <w:marLeft w:val="0"/>
              <w:marRight w:val="0"/>
              <w:marTop w:val="0"/>
              <w:marBottom w:val="0"/>
              <w:divBdr>
                <w:top w:val="none" w:sz="0" w:space="0" w:color="auto"/>
                <w:left w:val="none" w:sz="0" w:space="0" w:color="auto"/>
                <w:bottom w:val="none" w:sz="0" w:space="0" w:color="auto"/>
                <w:right w:val="none" w:sz="0" w:space="0" w:color="auto"/>
              </w:divBdr>
            </w:div>
          </w:divsChild>
        </w:div>
        <w:div w:id="2112966247">
          <w:marLeft w:val="0"/>
          <w:marRight w:val="0"/>
          <w:marTop w:val="0"/>
          <w:marBottom w:val="0"/>
          <w:divBdr>
            <w:top w:val="none" w:sz="0" w:space="0" w:color="auto"/>
            <w:left w:val="none" w:sz="0" w:space="0" w:color="auto"/>
            <w:bottom w:val="none" w:sz="0" w:space="0" w:color="auto"/>
            <w:right w:val="none" w:sz="0" w:space="0" w:color="auto"/>
          </w:divBdr>
          <w:divsChild>
            <w:div w:id="251814684">
              <w:marLeft w:val="0"/>
              <w:marRight w:val="0"/>
              <w:marTop w:val="0"/>
              <w:marBottom w:val="0"/>
              <w:divBdr>
                <w:top w:val="none" w:sz="0" w:space="0" w:color="auto"/>
                <w:left w:val="none" w:sz="0" w:space="0" w:color="auto"/>
                <w:bottom w:val="none" w:sz="0" w:space="0" w:color="auto"/>
                <w:right w:val="none" w:sz="0" w:space="0" w:color="auto"/>
              </w:divBdr>
            </w:div>
            <w:div w:id="1007631327">
              <w:marLeft w:val="0"/>
              <w:marRight w:val="0"/>
              <w:marTop w:val="0"/>
              <w:marBottom w:val="0"/>
              <w:divBdr>
                <w:top w:val="none" w:sz="0" w:space="0" w:color="auto"/>
                <w:left w:val="none" w:sz="0" w:space="0" w:color="auto"/>
                <w:bottom w:val="none" w:sz="0" w:space="0" w:color="auto"/>
                <w:right w:val="none" w:sz="0" w:space="0" w:color="auto"/>
              </w:divBdr>
            </w:div>
          </w:divsChild>
        </w:div>
        <w:div w:id="2115320074">
          <w:marLeft w:val="0"/>
          <w:marRight w:val="0"/>
          <w:marTop w:val="0"/>
          <w:marBottom w:val="0"/>
          <w:divBdr>
            <w:top w:val="none" w:sz="0" w:space="0" w:color="auto"/>
            <w:left w:val="none" w:sz="0" w:space="0" w:color="auto"/>
            <w:bottom w:val="none" w:sz="0" w:space="0" w:color="auto"/>
            <w:right w:val="none" w:sz="0" w:space="0" w:color="auto"/>
          </w:divBdr>
          <w:divsChild>
            <w:div w:id="444157611">
              <w:marLeft w:val="0"/>
              <w:marRight w:val="0"/>
              <w:marTop w:val="0"/>
              <w:marBottom w:val="0"/>
              <w:divBdr>
                <w:top w:val="none" w:sz="0" w:space="0" w:color="auto"/>
                <w:left w:val="none" w:sz="0" w:space="0" w:color="auto"/>
                <w:bottom w:val="none" w:sz="0" w:space="0" w:color="auto"/>
                <w:right w:val="none" w:sz="0" w:space="0" w:color="auto"/>
              </w:divBdr>
            </w:div>
            <w:div w:id="645203998">
              <w:marLeft w:val="0"/>
              <w:marRight w:val="0"/>
              <w:marTop w:val="0"/>
              <w:marBottom w:val="0"/>
              <w:divBdr>
                <w:top w:val="none" w:sz="0" w:space="0" w:color="auto"/>
                <w:left w:val="none" w:sz="0" w:space="0" w:color="auto"/>
                <w:bottom w:val="none" w:sz="0" w:space="0" w:color="auto"/>
                <w:right w:val="none" w:sz="0" w:space="0" w:color="auto"/>
              </w:divBdr>
            </w:div>
            <w:div w:id="737897162">
              <w:marLeft w:val="0"/>
              <w:marRight w:val="0"/>
              <w:marTop w:val="0"/>
              <w:marBottom w:val="0"/>
              <w:divBdr>
                <w:top w:val="none" w:sz="0" w:space="0" w:color="auto"/>
                <w:left w:val="none" w:sz="0" w:space="0" w:color="auto"/>
                <w:bottom w:val="none" w:sz="0" w:space="0" w:color="auto"/>
                <w:right w:val="none" w:sz="0" w:space="0" w:color="auto"/>
              </w:divBdr>
            </w:div>
            <w:div w:id="1187984694">
              <w:marLeft w:val="0"/>
              <w:marRight w:val="0"/>
              <w:marTop w:val="0"/>
              <w:marBottom w:val="0"/>
              <w:divBdr>
                <w:top w:val="none" w:sz="0" w:space="0" w:color="auto"/>
                <w:left w:val="none" w:sz="0" w:space="0" w:color="auto"/>
                <w:bottom w:val="none" w:sz="0" w:space="0" w:color="auto"/>
                <w:right w:val="none" w:sz="0" w:space="0" w:color="auto"/>
              </w:divBdr>
            </w:div>
            <w:div w:id="1441222255">
              <w:marLeft w:val="0"/>
              <w:marRight w:val="0"/>
              <w:marTop w:val="0"/>
              <w:marBottom w:val="0"/>
              <w:divBdr>
                <w:top w:val="none" w:sz="0" w:space="0" w:color="auto"/>
                <w:left w:val="none" w:sz="0" w:space="0" w:color="auto"/>
                <w:bottom w:val="none" w:sz="0" w:space="0" w:color="auto"/>
                <w:right w:val="none" w:sz="0" w:space="0" w:color="auto"/>
              </w:divBdr>
            </w:div>
            <w:div w:id="1447583478">
              <w:marLeft w:val="0"/>
              <w:marRight w:val="0"/>
              <w:marTop w:val="0"/>
              <w:marBottom w:val="0"/>
              <w:divBdr>
                <w:top w:val="none" w:sz="0" w:space="0" w:color="auto"/>
                <w:left w:val="none" w:sz="0" w:space="0" w:color="auto"/>
                <w:bottom w:val="none" w:sz="0" w:space="0" w:color="auto"/>
                <w:right w:val="none" w:sz="0" w:space="0" w:color="auto"/>
              </w:divBdr>
            </w:div>
            <w:div w:id="1681614581">
              <w:marLeft w:val="0"/>
              <w:marRight w:val="0"/>
              <w:marTop w:val="0"/>
              <w:marBottom w:val="0"/>
              <w:divBdr>
                <w:top w:val="none" w:sz="0" w:space="0" w:color="auto"/>
                <w:left w:val="none" w:sz="0" w:space="0" w:color="auto"/>
                <w:bottom w:val="none" w:sz="0" w:space="0" w:color="auto"/>
                <w:right w:val="none" w:sz="0" w:space="0" w:color="auto"/>
              </w:divBdr>
            </w:div>
            <w:div w:id="2111315722">
              <w:marLeft w:val="0"/>
              <w:marRight w:val="0"/>
              <w:marTop w:val="0"/>
              <w:marBottom w:val="0"/>
              <w:divBdr>
                <w:top w:val="none" w:sz="0" w:space="0" w:color="auto"/>
                <w:left w:val="none" w:sz="0" w:space="0" w:color="auto"/>
                <w:bottom w:val="none" w:sz="0" w:space="0" w:color="auto"/>
                <w:right w:val="none" w:sz="0" w:space="0" w:color="auto"/>
              </w:divBdr>
            </w:div>
          </w:divsChild>
        </w:div>
        <w:div w:id="2115904550">
          <w:marLeft w:val="0"/>
          <w:marRight w:val="0"/>
          <w:marTop w:val="0"/>
          <w:marBottom w:val="0"/>
          <w:divBdr>
            <w:top w:val="none" w:sz="0" w:space="0" w:color="auto"/>
            <w:left w:val="none" w:sz="0" w:space="0" w:color="auto"/>
            <w:bottom w:val="none" w:sz="0" w:space="0" w:color="auto"/>
            <w:right w:val="none" w:sz="0" w:space="0" w:color="auto"/>
          </w:divBdr>
          <w:divsChild>
            <w:div w:id="1167289134">
              <w:marLeft w:val="0"/>
              <w:marRight w:val="0"/>
              <w:marTop w:val="0"/>
              <w:marBottom w:val="0"/>
              <w:divBdr>
                <w:top w:val="none" w:sz="0" w:space="0" w:color="auto"/>
                <w:left w:val="none" w:sz="0" w:space="0" w:color="auto"/>
                <w:bottom w:val="none" w:sz="0" w:space="0" w:color="auto"/>
                <w:right w:val="none" w:sz="0" w:space="0" w:color="auto"/>
              </w:divBdr>
            </w:div>
            <w:div w:id="1882203734">
              <w:marLeft w:val="0"/>
              <w:marRight w:val="0"/>
              <w:marTop w:val="0"/>
              <w:marBottom w:val="0"/>
              <w:divBdr>
                <w:top w:val="none" w:sz="0" w:space="0" w:color="auto"/>
                <w:left w:val="none" w:sz="0" w:space="0" w:color="auto"/>
                <w:bottom w:val="none" w:sz="0" w:space="0" w:color="auto"/>
                <w:right w:val="none" w:sz="0" w:space="0" w:color="auto"/>
              </w:divBdr>
            </w:div>
          </w:divsChild>
        </w:div>
        <w:div w:id="2118211088">
          <w:marLeft w:val="0"/>
          <w:marRight w:val="0"/>
          <w:marTop w:val="0"/>
          <w:marBottom w:val="0"/>
          <w:divBdr>
            <w:top w:val="none" w:sz="0" w:space="0" w:color="auto"/>
            <w:left w:val="none" w:sz="0" w:space="0" w:color="auto"/>
            <w:bottom w:val="none" w:sz="0" w:space="0" w:color="auto"/>
            <w:right w:val="none" w:sz="0" w:space="0" w:color="auto"/>
          </w:divBdr>
          <w:divsChild>
            <w:div w:id="1090201845">
              <w:marLeft w:val="0"/>
              <w:marRight w:val="0"/>
              <w:marTop w:val="0"/>
              <w:marBottom w:val="0"/>
              <w:divBdr>
                <w:top w:val="none" w:sz="0" w:space="0" w:color="auto"/>
                <w:left w:val="none" w:sz="0" w:space="0" w:color="auto"/>
                <w:bottom w:val="none" w:sz="0" w:space="0" w:color="auto"/>
                <w:right w:val="none" w:sz="0" w:space="0" w:color="auto"/>
              </w:divBdr>
            </w:div>
            <w:div w:id="1635985204">
              <w:marLeft w:val="0"/>
              <w:marRight w:val="0"/>
              <w:marTop w:val="0"/>
              <w:marBottom w:val="0"/>
              <w:divBdr>
                <w:top w:val="none" w:sz="0" w:space="0" w:color="auto"/>
                <w:left w:val="none" w:sz="0" w:space="0" w:color="auto"/>
                <w:bottom w:val="none" w:sz="0" w:space="0" w:color="auto"/>
                <w:right w:val="none" w:sz="0" w:space="0" w:color="auto"/>
              </w:divBdr>
            </w:div>
          </w:divsChild>
        </w:div>
        <w:div w:id="2129274147">
          <w:marLeft w:val="0"/>
          <w:marRight w:val="0"/>
          <w:marTop w:val="0"/>
          <w:marBottom w:val="0"/>
          <w:divBdr>
            <w:top w:val="none" w:sz="0" w:space="0" w:color="auto"/>
            <w:left w:val="none" w:sz="0" w:space="0" w:color="auto"/>
            <w:bottom w:val="none" w:sz="0" w:space="0" w:color="auto"/>
            <w:right w:val="none" w:sz="0" w:space="0" w:color="auto"/>
          </w:divBdr>
          <w:divsChild>
            <w:div w:id="656571190">
              <w:marLeft w:val="0"/>
              <w:marRight w:val="0"/>
              <w:marTop w:val="0"/>
              <w:marBottom w:val="0"/>
              <w:divBdr>
                <w:top w:val="none" w:sz="0" w:space="0" w:color="auto"/>
                <w:left w:val="none" w:sz="0" w:space="0" w:color="auto"/>
                <w:bottom w:val="none" w:sz="0" w:space="0" w:color="auto"/>
                <w:right w:val="none" w:sz="0" w:space="0" w:color="auto"/>
              </w:divBdr>
            </w:div>
            <w:div w:id="1739085948">
              <w:marLeft w:val="0"/>
              <w:marRight w:val="0"/>
              <w:marTop w:val="0"/>
              <w:marBottom w:val="0"/>
              <w:divBdr>
                <w:top w:val="none" w:sz="0" w:space="0" w:color="auto"/>
                <w:left w:val="none" w:sz="0" w:space="0" w:color="auto"/>
                <w:bottom w:val="none" w:sz="0" w:space="0" w:color="auto"/>
                <w:right w:val="none" w:sz="0" w:space="0" w:color="auto"/>
              </w:divBdr>
            </w:div>
          </w:divsChild>
        </w:div>
        <w:div w:id="2134908212">
          <w:marLeft w:val="0"/>
          <w:marRight w:val="0"/>
          <w:marTop w:val="0"/>
          <w:marBottom w:val="0"/>
          <w:divBdr>
            <w:top w:val="none" w:sz="0" w:space="0" w:color="auto"/>
            <w:left w:val="none" w:sz="0" w:space="0" w:color="auto"/>
            <w:bottom w:val="none" w:sz="0" w:space="0" w:color="auto"/>
            <w:right w:val="none" w:sz="0" w:space="0" w:color="auto"/>
          </w:divBdr>
          <w:divsChild>
            <w:div w:id="527990666">
              <w:marLeft w:val="0"/>
              <w:marRight w:val="0"/>
              <w:marTop w:val="0"/>
              <w:marBottom w:val="0"/>
              <w:divBdr>
                <w:top w:val="none" w:sz="0" w:space="0" w:color="auto"/>
                <w:left w:val="none" w:sz="0" w:space="0" w:color="auto"/>
                <w:bottom w:val="none" w:sz="0" w:space="0" w:color="auto"/>
                <w:right w:val="none" w:sz="0" w:space="0" w:color="auto"/>
              </w:divBdr>
            </w:div>
          </w:divsChild>
        </w:div>
        <w:div w:id="2138716361">
          <w:marLeft w:val="0"/>
          <w:marRight w:val="0"/>
          <w:marTop w:val="0"/>
          <w:marBottom w:val="0"/>
          <w:divBdr>
            <w:top w:val="none" w:sz="0" w:space="0" w:color="auto"/>
            <w:left w:val="none" w:sz="0" w:space="0" w:color="auto"/>
            <w:bottom w:val="none" w:sz="0" w:space="0" w:color="auto"/>
            <w:right w:val="none" w:sz="0" w:space="0" w:color="auto"/>
          </w:divBdr>
          <w:divsChild>
            <w:div w:id="372072454">
              <w:marLeft w:val="0"/>
              <w:marRight w:val="0"/>
              <w:marTop w:val="0"/>
              <w:marBottom w:val="0"/>
              <w:divBdr>
                <w:top w:val="none" w:sz="0" w:space="0" w:color="auto"/>
                <w:left w:val="none" w:sz="0" w:space="0" w:color="auto"/>
                <w:bottom w:val="none" w:sz="0" w:space="0" w:color="auto"/>
                <w:right w:val="none" w:sz="0" w:space="0" w:color="auto"/>
              </w:divBdr>
            </w:div>
            <w:div w:id="2058624716">
              <w:marLeft w:val="0"/>
              <w:marRight w:val="0"/>
              <w:marTop w:val="0"/>
              <w:marBottom w:val="0"/>
              <w:divBdr>
                <w:top w:val="none" w:sz="0" w:space="0" w:color="auto"/>
                <w:left w:val="none" w:sz="0" w:space="0" w:color="auto"/>
                <w:bottom w:val="none" w:sz="0" w:space="0" w:color="auto"/>
                <w:right w:val="none" w:sz="0" w:space="0" w:color="auto"/>
              </w:divBdr>
            </w:div>
          </w:divsChild>
        </w:div>
        <w:div w:id="2143837914">
          <w:marLeft w:val="0"/>
          <w:marRight w:val="0"/>
          <w:marTop w:val="0"/>
          <w:marBottom w:val="0"/>
          <w:divBdr>
            <w:top w:val="none" w:sz="0" w:space="0" w:color="auto"/>
            <w:left w:val="none" w:sz="0" w:space="0" w:color="auto"/>
            <w:bottom w:val="none" w:sz="0" w:space="0" w:color="auto"/>
            <w:right w:val="none" w:sz="0" w:space="0" w:color="auto"/>
          </w:divBdr>
          <w:divsChild>
            <w:div w:id="458959303">
              <w:marLeft w:val="0"/>
              <w:marRight w:val="0"/>
              <w:marTop w:val="0"/>
              <w:marBottom w:val="0"/>
              <w:divBdr>
                <w:top w:val="none" w:sz="0" w:space="0" w:color="auto"/>
                <w:left w:val="none" w:sz="0" w:space="0" w:color="auto"/>
                <w:bottom w:val="none" w:sz="0" w:space="0" w:color="auto"/>
                <w:right w:val="none" w:sz="0" w:space="0" w:color="auto"/>
              </w:divBdr>
            </w:div>
            <w:div w:id="1280606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525207">
      <w:bodyDiv w:val="1"/>
      <w:marLeft w:val="0"/>
      <w:marRight w:val="0"/>
      <w:marTop w:val="0"/>
      <w:marBottom w:val="0"/>
      <w:divBdr>
        <w:top w:val="none" w:sz="0" w:space="0" w:color="auto"/>
        <w:left w:val="none" w:sz="0" w:space="0" w:color="auto"/>
        <w:bottom w:val="none" w:sz="0" w:space="0" w:color="auto"/>
        <w:right w:val="none" w:sz="0" w:space="0" w:color="auto"/>
      </w:divBdr>
    </w:div>
    <w:div w:id="1509172208">
      <w:bodyDiv w:val="1"/>
      <w:marLeft w:val="0"/>
      <w:marRight w:val="0"/>
      <w:marTop w:val="0"/>
      <w:marBottom w:val="0"/>
      <w:divBdr>
        <w:top w:val="none" w:sz="0" w:space="0" w:color="auto"/>
        <w:left w:val="none" w:sz="0" w:space="0" w:color="auto"/>
        <w:bottom w:val="none" w:sz="0" w:space="0" w:color="auto"/>
        <w:right w:val="none" w:sz="0" w:space="0" w:color="auto"/>
      </w:divBdr>
      <w:divsChild>
        <w:div w:id="96099543">
          <w:marLeft w:val="0"/>
          <w:marRight w:val="0"/>
          <w:marTop w:val="0"/>
          <w:marBottom w:val="0"/>
          <w:divBdr>
            <w:top w:val="none" w:sz="0" w:space="0" w:color="auto"/>
            <w:left w:val="none" w:sz="0" w:space="0" w:color="auto"/>
            <w:bottom w:val="none" w:sz="0" w:space="0" w:color="auto"/>
            <w:right w:val="none" w:sz="0" w:space="0" w:color="auto"/>
          </w:divBdr>
          <w:divsChild>
            <w:div w:id="379132136">
              <w:marLeft w:val="0"/>
              <w:marRight w:val="0"/>
              <w:marTop w:val="0"/>
              <w:marBottom w:val="0"/>
              <w:divBdr>
                <w:top w:val="none" w:sz="0" w:space="0" w:color="auto"/>
                <w:left w:val="none" w:sz="0" w:space="0" w:color="auto"/>
                <w:bottom w:val="none" w:sz="0" w:space="0" w:color="auto"/>
                <w:right w:val="none" w:sz="0" w:space="0" w:color="auto"/>
              </w:divBdr>
            </w:div>
          </w:divsChild>
        </w:div>
        <w:div w:id="111559928">
          <w:marLeft w:val="0"/>
          <w:marRight w:val="0"/>
          <w:marTop w:val="0"/>
          <w:marBottom w:val="0"/>
          <w:divBdr>
            <w:top w:val="none" w:sz="0" w:space="0" w:color="auto"/>
            <w:left w:val="none" w:sz="0" w:space="0" w:color="auto"/>
            <w:bottom w:val="none" w:sz="0" w:space="0" w:color="auto"/>
            <w:right w:val="none" w:sz="0" w:space="0" w:color="auto"/>
          </w:divBdr>
          <w:divsChild>
            <w:div w:id="1051270847">
              <w:marLeft w:val="0"/>
              <w:marRight w:val="0"/>
              <w:marTop w:val="0"/>
              <w:marBottom w:val="0"/>
              <w:divBdr>
                <w:top w:val="none" w:sz="0" w:space="0" w:color="auto"/>
                <w:left w:val="none" w:sz="0" w:space="0" w:color="auto"/>
                <w:bottom w:val="none" w:sz="0" w:space="0" w:color="auto"/>
                <w:right w:val="none" w:sz="0" w:space="0" w:color="auto"/>
              </w:divBdr>
            </w:div>
          </w:divsChild>
        </w:div>
        <w:div w:id="121581285">
          <w:marLeft w:val="0"/>
          <w:marRight w:val="0"/>
          <w:marTop w:val="0"/>
          <w:marBottom w:val="0"/>
          <w:divBdr>
            <w:top w:val="none" w:sz="0" w:space="0" w:color="auto"/>
            <w:left w:val="none" w:sz="0" w:space="0" w:color="auto"/>
            <w:bottom w:val="none" w:sz="0" w:space="0" w:color="auto"/>
            <w:right w:val="none" w:sz="0" w:space="0" w:color="auto"/>
          </w:divBdr>
          <w:divsChild>
            <w:div w:id="1544898962">
              <w:marLeft w:val="0"/>
              <w:marRight w:val="0"/>
              <w:marTop w:val="0"/>
              <w:marBottom w:val="0"/>
              <w:divBdr>
                <w:top w:val="none" w:sz="0" w:space="0" w:color="auto"/>
                <w:left w:val="none" w:sz="0" w:space="0" w:color="auto"/>
                <w:bottom w:val="none" w:sz="0" w:space="0" w:color="auto"/>
                <w:right w:val="none" w:sz="0" w:space="0" w:color="auto"/>
              </w:divBdr>
            </w:div>
          </w:divsChild>
        </w:div>
        <w:div w:id="165754896">
          <w:marLeft w:val="0"/>
          <w:marRight w:val="0"/>
          <w:marTop w:val="0"/>
          <w:marBottom w:val="0"/>
          <w:divBdr>
            <w:top w:val="none" w:sz="0" w:space="0" w:color="auto"/>
            <w:left w:val="none" w:sz="0" w:space="0" w:color="auto"/>
            <w:bottom w:val="none" w:sz="0" w:space="0" w:color="auto"/>
            <w:right w:val="none" w:sz="0" w:space="0" w:color="auto"/>
          </w:divBdr>
          <w:divsChild>
            <w:div w:id="964968666">
              <w:marLeft w:val="0"/>
              <w:marRight w:val="0"/>
              <w:marTop w:val="0"/>
              <w:marBottom w:val="0"/>
              <w:divBdr>
                <w:top w:val="none" w:sz="0" w:space="0" w:color="auto"/>
                <w:left w:val="none" w:sz="0" w:space="0" w:color="auto"/>
                <w:bottom w:val="none" w:sz="0" w:space="0" w:color="auto"/>
                <w:right w:val="none" w:sz="0" w:space="0" w:color="auto"/>
              </w:divBdr>
            </w:div>
          </w:divsChild>
        </w:div>
        <w:div w:id="198275101">
          <w:marLeft w:val="0"/>
          <w:marRight w:val="0"/>
          <w:marTop w:val="0"/>
          <w:marBottom w:val="0"/>
          <w:divBdr>
            <w:top w:val="none" w:sz="0" w:space="0" w:color="auto"/>
            <w:left w:val="none" w:sz="0" w:space="0" w:color="auto"/>
            <w:bottom w:val="none" w:sz="0" w:space="0" w:color="auto"/>
            <w:right w:val="none" w:sz="0" w:space="0" w:color="auto"/>
          </w:divBdr>
          <w:divsChild>
            <w:div w:id="422728823">
              <w:marLeft w:val="0"/>
              <w:marRight w:val="0"/>
              <w:marTop w:val="0"/>
              <w:marBottom w:val="0"/>
              <w:divBdr>
                <w:top w:val="none" w:sz="0" w:space="0" w:color="auto"/>
                <w:left w:val="none" w:sz="0" w:space="0" w:color="auto"/>
                <w:bottom w:val="none" w:sz="0" w:space="0" w:color="auto"/>
                <w:right w:val="none" w:sz="0" w:space="0" w:color="auto"/>
              </w:divBdr>
            </w:div>
          </w:divsChild>
        </w:div>
        <w:div w:id="214859453">
          <w:marLeft w:val="0"/>
          <w:marRight w:val="0"/>
          <w:marTop w:val="0"/>
          <w:marBottom w:val="0"/>
          <w:divBdr>
            <w:top w:val="none" w:sz="0" w:space="0" w:color="auto"/>
            <w:left w:val="none" w:sz="0" w:space="0" w:color="auto"/>
            <w:bottom w:val="none" w:sz="0" w:space="0" w:color="auto"/>
            <w:right w:val="none" w:sz="0" w:space="0" w:color="auto"/>
          </w:divBdr>
          <w:divsChild>
            <w:div w:id="1131904876">
              <w:marLeft w:val="0"/>
              <w:marRight w:val="0"/>
              <w:marTop w:val="0"/>
              <w:marBottom w:val="0"/>
              <w:divBdr>
                <w:top w:val="none" w:sz="0" w:space="0" w:color="auto"/>
                <w:left w:val="none" w:sz="0" w:space="0" w:color="auto"/>
                <w:bottom w:val="none" w:sz="0" w:space="0" w:color="auto"/>
                <w:right w:val="none" w:sz="0" w:space="0" w:color="auto"/>
              </w:divBdr>
            </w:div>
            <w:div w:id="1619408755">
              <w:marLeft w:val="0"/>
              <w:marRight w:val="0"/>
              <w:marTop w:val="0"/>
              <w:marBottom w:val="0"/>
              <w:divBdr>
                <w:top w:val="none" w:sz="0" w:space="0" w:color="auto"/>
                <w:left w:val="none" w:sz="0" w:space="0" w:color="auto"/>
                <w:bottom w:val="none" w:sz="0" w:space="0" w:color="auto"/>
                <w:right w:val="none" w:sz="0" w:space="0" w:color="auto"/>
              </w:divBdr>
            </w:div>
          </w:divsChild>
        </w:div>
        <w:div w:id="224535309">
          <w:marLeft w:val="0"/>
          <w:marRight w:val="0"/>
          <w:marTop w:val="0"/>
          <w:marBottom w:val="0"/>
          <w:divBdr>
            <w:top w:val="none" w:sz="0" w:space="0" w:color="auto"/>
            <w:left w:val="none" w:sz="0" w:space="0" w:color="auto"/>
            <w:bottom w:val="none" w:sz="0" w:space="0" w:color="auto"/>
            <w:right w:val="none" w:sz="0" w:space="0" w:color="auto"/>
          </w:divBdr>
          <w:divsChild>
            <w:div w:id="263151620">
              <w:marLeft w:val="0"/>
              <w:marRight w:val="0"/>
              <w:marTop w:val="0"/>
              <w:marBottom w:val="0"/>
              <w:divBdr>
                <w:top w:val="none" w:sz="0" w:space="0" w:color="auto"/>
                <w:left w:val="none" w:sz="0" w:space="0" w:color="auto"/>
                <w:bottom w:val="none" w:sz="0" w:space="0" w:color="auto"/>
                <w:right w:val="none" w:sz="0" w:space="0" w:color="auto"/>
              </w:divBdr>
            </w:div>
          </w:divsChild>
        </w:div>
        <w:div w:id="267125629">
          <w:marLeft w:val="0"/>
          <w:marRight w:val="0"/>
          <w:marTop w:val="0"/>
          <w:marBottom w:val="0"/>
          <w:divBdr>
            <w:top w:val="none" w:sz="0" w:space="0" w:color="auto"/>
            <w:left w:val="none" w:sz="0" w:space="0" w:color="auto"/>
            <w:bottom w:val="none" w:sz="0" w:space="0" w:color="auto"/>
            <w:right w:val="none" w:sz="0" w:space="0" w:color="auto"/>
          </w:divBdr>
          <w:divsChild>
            <w:div w:id="1632053845">
              <w:marLeft w:val="0"/>
              <w:marRight w:val="0"/>
              <w:marTop w:val="0"/>
              <w:marBottom w:val="0"/>
              <w:divBdr>
                <w:top w:val="none" w:sz="0" w:space="0" w:color="auto"/>
                <w:left w:val="none" w:sz="0" w:space="0" w:color="auto"/>
                <w:bottom w:val="none" w:sz="0" w:space="0" w:color="auto"/>
                <w:right w:val="none" w:sz="0" w:space="0" w:color="auto"/>
              </w:divBdr>
            </w:div>
          </w:divsChild>
        </w:div>
        <w:div w:id="274946050">
          <w:marLeft w:val="0"/>
          <w:marRight w:val="0"/>
          <w:marTop w:val="0"/>
          <w:marBottom w:val="0"/>
          <w:divBdr>
            <w:top w:val="none" w:sz="0" w:space="0" w:color="auto"/>
            <w:left w:val="none" w:sz="0" w:space="0" w:color="auto"/>
            <w:bottom w:val="none" w:sz="0" w:space="0" w:color="auto"/>
            <w:right w:val="none" w:sz="0" w:space="0" w:color="auto"/>
          </w:divBdr>
          <w:divsChild>
            <w:div w:id="873154639">
              <w:marLeft w:val="0"/>
              <w:marRight w:val="0"/>
              <w:marTop w:val="0"/>
              <w:marBottom w:val="0"/>
              <w:divBdr>
                <w:top w:val="none" w:sz="0" w:space="0" w:color="auto"/>
                <w:left w:val="none" w:sz="0" w:space="0" w:color="auto"/>
                <w:bottom w:val="none" w:sz="0" w:space="0" w:color="auto"/>
                <w:right w:val="none" w:sz="0" w:space="0" w:color="auto"/>
              </w:divBdr>
            </w:div>
          </w:divsChild>
        </w:div>
        <w:div w:id="301540719">
          <w:marLeft w:val="0"/>
          <w:marRight w:val="0"/>
          <w:marTop w:val="0"/>
          <w:marBottom w:val="0"/>
          <w:divBdr>
            <w:top w:val="none" w:sz="0" w:space="0" w:color="auto"/>
            <w:left w:val="none" w:sz="0" w:space="0" w:color="auto"/>
            <w:bottom w:val="none" w:sz="0" w:space="0" w:color="auto"/>
            <w:right w:val="none" w:sz="0" w:space="0" w:color="auto"/>
          </w:divBdr>
          <w:divsChild>
            <w:div w:id="1295678119">
              <w:marLeft w:val="0"/>
              <w:marRight w:val="0"/>
              <w:marTop w:val="0"/>
              <w:marBottom w:val="0"/>
              <w:divBdr>
                <w:top w:val="none" w:sz="0" w:space="0" w:color="auto"/>
                <w:left w:val="none" w:sz="0" w:space="0" w:color="auto"/>
                <w:bottom w:val="none" w:sz="0" w:space="0" w:color="auto"/>
                <w:right w:val="none" w:sz="0" w:space="0" w:color="auto"/>
              </w:divBdr>
            </w:div>
          </w:divsChild>
        </w:div>
        <w:div w:id="462578228">
          <w:marLeft w:val="0"/>
          <w:marRight w:val="0"/>
          <w:marTop w:val="0"/>
          <w:marBottom w:val="0"/>
          <w:divBdr>
            <w:top w:val="none" w:sz="0" w:space="0" w:color="auto"/>
            <w:left w:val="none" w:sz="0" w:space="0" w:color="auto"/>
            <w:bottom w:val="none" w:sz="0" w:space="0" w:color="auto"/>
            <w:right w:val="none" w:sz="0" w:space="0" w:color="auto"/>
          </w:divBdr>
          <w:divsChild>
            <w:div w:id="865406174">
              <w:marLeft w:val="0"/>
              <w:marRight w:val="0"/>
              <w:marTop w:val="0"/>
              <w:marBottom w:val="0"/>
              <w:divBdr>
                <w:top w:val="none" w:sz="0" w:space="0" w:color="auto"/>
                <w:left w:val="none" w:sz="0" w:space="0" w:color="auto"/>
                <w:bottom w:val="none" w:sz="0" w:space="0" w:color="auto"/>
                <w:right w:val="none" w:sz="0" w:space="0" w:color="auto"/>
              </w:divBdr>
            </w:div>
          </w:divsChild>
        </w:div>
        <w:div w:id="497498193">
          <w:marLeft w:val="0"/>
          <w:marRight w:val="0"/>
          <w:marTop w:val="0"/>
          <w:marBottom w:val="0"/>
          <w:divBdr>
            <w:top w:val="none" w:sz="0" w:space="0" w:color="auto"/>
            <w:left w:val="none" w:sz="0" w:space="0" w:color="auto"/>
            <w:bottom w:val="none" w:sz="0" w:space="0" w:color="auto"/>
            <w:right w:val="none" w:sz="0" w:space="0" w:color="auto"/>
          </w:divBdr>
          <w:divsChild>
            <w:div w:id="1375883674">
              <w:marLeft w:val="0"/>
              <w:marRight w:val="0"/>
              <w:marTop w:val="0"/>
              <w:marBottom w:val="0"/>
              <w:divBdr>
                <w:top w:val="none" w:sz="0" w:space="0" w:color="auto"/>
                <w:left w:val="none" w:sz="0" w:space="0" w:color="auto"/>
                <w:bottom w:val="none" w:sz="0" w:space="0" w:color="auto"/>
                <w:right w:val="none" w:sz="0" w:space="0" w:color="auto"/>
              </w:divBdr>
            </w:div>
          </w:divsChild>
        </w:div>
        <w:div w:id="565533309">
          <w:marLeft w:val="0"/>
          <w:marRight w:val="0"/>
          <w:marTop w:val="0"/>
          <w:marBottom w:val="0"/>
          <w:divBdr>
            <w:top w:val="none" w:sz="0" w:space="0" w:color="auto"/>
            <w:left w:val="none" w:sz="0" w:space="0" w:color="auto"/>
            <w:bottom w:val="none" w:sz="0" w:space="0" w:color="auto"/>
            <w:right w:val="none" w:sz="0" w:space="0" w:color="auto"/>
          </w:divBdr>
          <w:divsChild>
            <w:div w:id="1928423986">
              <w:marLeft w:val="0"/>
              <w:marRight w:val="0"/>
              <w:marTop w:val="0"/>
              <w:marBottom w:val="0"/>
              <w:divBdr>
                <w:top w:val="none" w:sz="0" w:space="0" w:color="auto"/>
                <w:left w:val="none" w:sz="0" w:space="0" w:color="auto"/>
                <w:bottom w:val="none" w:sz="0" w:space="0" w:color="auto"/>
                <w:right w:val="none" w:sz="0" w:space="0" w:color="auto"/>
              </w:divBdr>
            </w:div>
          </w:divsChild>
        </w:div>
        <w:div w:id="611865966">
          <w:marLeft w:val="0"/>
          <w:marRight w:val="0"/>
          <w:marTop w:val="0"/>
          <w:marBottom w:val="0"/>
          <w:divBdr>
            <w:top w:val="none" w:sz="0" w:space="0" w:color="auto"/>
            <w:left w:val="none" w:sz="0" w:space="0" w:color="auto"/>
            <w:bottom w:val="none" w:sz="0" w:space="0" w:color="auto"/>
            <w:right w:val="none" w:sz="0" w:space="0" w:color="auto"/>
          </w:divBdr>
          <w:divsChild>
            <w:div w:id="1330214087">
              <w:marLeft w:val="0"/>
              <w:marRight w:val="0"/>
              <w:marTop w:val="0"/>
              <w:marBottom w:val="0"/>
              <w:divBdr>
                <w:top w:val="none" w:sz="0" w:space="0" w:color="auto"/>
                <w:left w:val="none" w:sz="0" w:space="0" w:color="auto"/>
                <w:bottom w:val="none" w:sz="0" w:space="0" w:color="auto"/>
                <w:right w:val="none" w:sz="0" w:space="0" w:color="auto"/>
              </w:divBdr>
            </w:div>
          </w:divsChild>
        </w:div>
        <w:div w:id="619729657">
          <w:marLeft w:val="0"/>
          <w:marRight w:val="0"/>
          <w:marTop w:val="0"/>
          <w:marBottom w:val="0"/>
          <w:divBdr>
            <w:top w:val="none" w:sz="0" w:space="0" w:color="auto"/>
            <w:left w:val="none" w:sz="0" w:space="0" w:color="auto"/>
            <w:bottom w:val="none" w:sz="0" w:space="0" w:color="auto"/>
            <w:right w:val="none" w:sz="0" w:space="0" w:color="auto"/>
          </w:divBdr>
          <w:divsChild>
            <w:div w:id="408044633">
              <w:marLeft w:val="0"/>
              <w:marRight w:val="0"/>
              <w:marTop w:val="0"/>
              <w:marBottom w:val="0"/>
              <w:divBdr>
                <w:top w:val="none" w:sz="0" w:space="0" w:color="auto"/>
                <w:left w:val="none" w:sz="0" w:space="0" w:color="auto"/>
                <w:bottom w:val="none" w:sz="0" w:space="0" w:color="auto"/>
                <w:right w:val="none" w:sz="0" w:space="0" w:color="auto"/>
              </w:divBdr>
            </w:div>
          </w:divsChild>
        </w:div>
        <w:div w:id="632638926">
          <w:marLeft w:val="0"/>
          <w:marRight w:val="0"/>
          <w:marTop w:val="0"/>
          <w:marBottom w:val="0"/>
          <w:divBdr>
            <w:top w:val="none" w:sz="0" w:space="0" w:color="auto"/>
            <w:left w:val="none" w:sz="0" w:space="0" w:color="auto"/>
            <w:bottom w:val="none" w:sz="0" w:space="0" w:color="auto"/>
            <w:right w:val="none" w:sz="0" w:space="0" w:color="auto"/>
          </w:divBdr>
          <w:divsChild>
            <w:div w:id="1715810882">
              <w:marLeft w:val="0"/>
              <w:marRight w:val="0"/>
              <w:marTop w:val="0"/>
              <w:marBottom w:val="0"/>
              <w:divBdr>
                <w:top w:val="none" w:sz="0" w:space="0" w:color="auto"/>
                <w:left w:val="none" w:sz="0" w:space="0" w:color="auto"/>
                <w:bottom w:val="none" w:sz="0" w:space="0" w:color="auto"/>
                <w:right w:val="none" w:sz="0" w:space="0" w:color="auto"/>
              </w:divBdr>
            </w:div>
          </w:divsChild>
        </w:div>
        <w:div w:id="638463362">
          <w:marLeft w:val="0"/>
          <w:marRight w:val="0"/>
          <w:marTop w:val="0"/>
          <w:marBottom w:val="0"/>
          <w:divBdr>
            <w:top w:val="none" w:sz="0" w:space="0" w:color="auto"/>
            <w:left w:val="none" w:sz="0" w:space="0" w:color="auto"/>
            <w:bottom w:val="none" w:sz="0" w:space="0" w:color="auto"/>
            <w:right w:val="none" w:sz="0" w:space="0" w:color="auto"/>
          </w:divBdr>
          <w:divsChild>
            <w:div w:id="572743634">
              <w:marLeft w:val="0"/>
              <w:marRight w:val="0"/>
              <w:marTop w:val="0"/>
              <w:marBottom w:val="0"/>
              <w:divBdr>
                <w:top w:val="none" w:sz="0" w:space="0" w:color="auto"/>
                <w:left w:val="none" w:sz="0" w:space="0" w:color="auto"/>
                <w:bottom w:val="none" w:sz="0" w:space="0" w:color="auto"/>
                <w:right w:val="none" w:sz="0" w:space="0" w:color="auto"/>
              </w:divBdr>
            </w:div>
          </w:divsChild>
        </w:div>
        <w:div w:id="645092714">
          <w:marLeft w:val="0"/>
          <w:marRight w:val="0"/>
          <w:marTop w:val="0"/>
          <w:marBottom w:val="0"/>
          <w:divBdr>
            <w:top w:val="none" w:sz="0" w:space="0" w:color="auto"/>
            <w:left w:val="none" w:sz="0" w:space="0" w:color="auto"/>
            <w:bottom w:val="none" w:sz="0" w:space="0" w:color="auto"/>
            <w:right w:val="none" w:sz="0" w:space="0" w:color="auto"/>
          </w:divBdr>
          <w:divsChild>
            <w:div w:id="1621916398">
              <w:marLeft w:val="0"/>
              <w:marRight w:val="0"/>
              <w:marTop w:val="0"/>
              <w:marBottom w:val="0"/>
              <w:divBdr>
                <w:top w:val="none" w:sz="0" w:space="0" w:color="auto"/>
                <w:left w:val="none" w:sz="0" w:space="0" w:color="auto"/>
                <w:bottom w:val="none" w:sz="0" w:space="0" w:color="auto"/>
                <w:right w:val="none" w:sz="0" w:space="0" w:color="auto"/>
              </w:divBdr>
            </w:div>
          </w:divsChild>
        </w:div>
        <w:div w:id="691230248">
          <w:marLeft w:val="0"/>
          <w:marRight w:val="0"/>
          <w:marTop w:val="0"/>
          <w:marBottom w:val="0"/>
          <w:divBdr>
            <w:top w:val="none" w:sz="0" w:space="0" w:color="auto"/>
            <w:left w:val="none" w:sz="0" w:space="0" w:color="auto"/>
            <w:bottom w:val="none" w:sz="0" w:space="0" w:color="auto"/>
            <w:right w:val="none" w:sz="0" w:space="0" w:color="auto"/>
          </w:divBdr>
          <w:divsChild>
            <w:div w:id="1029063229">
              <w:marLeft w:val="0"/>
              <w:marRight w:val="0"/>
              <w:marTop w:val="0"/>
              <w:marBottom w:val="0"/>
              <w:divBdr>
                <w:top w:val="none" w:sz="0" w:space="0" w:color="auto"/>
                <w:left w:val="none" w:sz="0" w:space="0" w:color="auto"/>
                <w:bottom w:val="none" w:sz="0" w:space="0" w:color="auto"/>
                <w:right w:val="none" w:sz="0" w:space="0" w:color="auto"/>
              </w:divBdr>
            </w:div>
          </w:divsChild>
        </w:div>
        <w:div w:id="697698548">
          <w:marLeft w:val="0"/>
          <w:marRight w:val="0"/>
          <w:marTop w:val="0"/>
          <w:marBottom w:val="0"/>
          <w:divBdr>
            <w:top w:val="none" w:sz="0" w:space="0" w:color="auto"/>
            <w:left w:val="none" w:sz="0" w:space="0" w:color="auto"/>
            <w:bottom w:val="none" w:sz="0" w:space="0" w:color="auto"/>
            <w:right w:val="none" w:sz="0" w:space="0" w:color="auto"/>
          </w:divBdr>
          <w:divsChild>
            <w:div w:id="1383671832">
              <w:marLeft w:val="0"/>
              <w:marRight w:val="0"/>
              <w:marTop w:val="0"/>
              <w:marBottom w:val="0"/>
              <w:divBdr>
                <w:top w:val="none" w:sz="0" w:space="0" w:color="auto"/>
                <w:left w:val="none" w:sz="0" w:space="0" w:color="auto"/>
                <w:bottom w:val="none" w:sz="0" w:space="0" w:color="auto"/>
                <w:right w:val="none" w:sz="0" w:space="0" w:color="auto"/>
              </w:divBdr>
            </w:div>
          </w:divsChild>
        </w:div>
        <w:div w:id="748695464">
          <w:marLeft w:val="0"/>
          <w:marRight w:val="0"/>
          <w:marTop w:val="0"/>
          <w:marBottom w:val="0"/>
          <w:divBdr>
            <w:top w:val="none" w:sz="0" w:space="0" w:color="auto"/>
            <w:left w:val="none" w:sz="0" w:space="0" w:color="auto"/>
            <w:bottom w:val="none" w:sz="0" w:space="0" w:color="auto"/>
            <w:right w:val="none" w:sz="0" w:space="0" w:color="auto"/>
          </w:divBdr>
          <w:divsChild>
            <w:div w:id="205605542">
              <w:marLeft w:val="0"/>
              <w:marRight w:val="0"/>
              <w:marTop w:val="0"/>
              <w:marBottom w:val="0"/>
              <w:divBdr>
                <w:top w:val="none" w:sz="0" w:space="0" w:color="auto"/>
                <w:left w:val="none" w:sz="0" w:space="0" w:color="auto"/>
                <w:bottom w:val="none" w:sz="0" w:space="0" w:color="auto"/>
                <w:right w:val="none" w:sz="0" w:space="0" w:color="auto"/>
              </w:divBdr>
            </w:div>
            <w:div w:id="1781295653">
              <w:marLeft w:val="0"/>
              <w:marRight w:val="0"/>
              <w:marTop w:val="0"/>
              <w:marBottom w:val="0"/>
              <w:divBdr>
                <w:top w:val="none" w:sz="0" w:space="0" w:color="auto"/>
                <w:left w:val="none" w:sz="0" w:space="0" w:color="auto"/>
                <w:bottom w:val="none" w:sz="0" w:space="0" w:color="auto"/>
                <w:right w:val="none" w:sz="0" w:space="0" w:color="auto"/>
              </w:divBdr>
            </w:div>
          </w:divsChild>
        </w:div>
        <w:div w:id="816185806">
          <w:marLeft w:val="0"/>
          <w:marRight w:val="0"/>
          <w:marTop w:val="0"/>
          <w:marBottom w:val="0"/>
          <w:divBdr>
            <w:top w:val="none" w:sz="0" w:space="0" w:color="auto"/>
            <w:left w:val="none" w:sz="0" w:space="0" w:color="auto"/>
            <w:bottom w:val="none" w:sz="0" w:space="0" w:color="auto"/>
            <w:right w:val="none" w:sz="0" w:space="0" w:color="auto"/>
          </w:divBdr>
          <w:divsChild>
            <w:div w:id="1251348696">
              <w:marLeft w:val="0"/>
              <w:marRight w:val="0"/>
              <w:marTop w:val="0"/>
              <w:marBottom w:val="0"/>
              <w:divBdr>
                <w:top w:val="none" w:sz="0" w:space="0" w:color="auto"/>
                <w:left w:val="none" w:sz="0" w:space="0" w:color="auto"/>
                <w:bottom w:val="none" w:sz="0" w:space="0" w:color="auto"/>
                <w:right w:val="none" w:sz="0" w:space="0" w:color="auto"/>
              </w:divBdr>
            </w:div>
          </w:divsChild>
        </w:div>
        <w:div w:id="843013918">
          <w:marLeft w:val="0"/>
          <w:marRight w:val="0"/>
          <w:marTop w:val="0"/>
          <w:marBottom w:val="0"/>
          <w:divBdr>
            <w:top w:val="none" w:sz="0" w:space="0" w:color="auto"/>
            <w:left w:val="none" w:sz="0" w:space="0" w:color="auto"/>
            <w:bottom w:val="none" w:sz="0" w:space="0" w:color="auto"/>
            <w:right w:val="none" w:sz="0" w:space="0" w:color="auto"/>
          </w:divBdr>
          <w:divsChild>
            <w:div w:id="1406953123">
              <w:marLeft w:val="0"/>
              <w:marRight w:val="0"/>
              <w:marTop w:val="0"/>
              <w:marBottom w:val="0"/>
              <w:divBdr>
                <w:top w:val="none" w:sz="0" w:space="0" w:color="auto"/>
                <w:left w:val="none" w:sz="0" w:space="0" w:color="auto"/>
                <w:bottom w:val="none" w:sz="0" w:space="0" w:color="auto"/>
                <w:right w:val="none" w:sz="0" w:space="0" w:color="auto"/>
              </w:divBdr>
            </w:div>
          </w:divsChild>
        </w:div>
        <w:div w:id="1106778079">
          <w:marLeft w:val="0"/>
          <w:marRight w:val="0"/>
          <w:marTop w:val="0"/>
          <w:marBottom w:val="0"/>
          <w:divBdr>
            <w:top w:val="none" w:sz="0" w:space="0" w:color="auto"/>
            <w:left w:val="none" w:sz="0" w:space="0" w:color="auto"/>
            <w:bottom w:val="none" w:sz="0" w:space="0" w:color="auto"/>
            <w:right w:val="none" w:sz="0" w:space="0" w:color="auto"/>
          </w:divBdr>
          <w:divsChild>
            <w:div w:id="1055934517">
              <w:marLeft w:val="0"/>
              <w:marRight w:val="0"/>
              <w:marTop w:val="0"/>
              <w:marBottom w:val="0"/>
              <w:divBdr>
                <w:top w:val="none" w:sz="0" w:space="0" w:color="auto"/>
                <w:left w:val="none" w:sz="0" w:space="0" w:color="auto"/>
                <w:bottom w:val="none" w:sz="0" w:space="0" w:color="auto"/>
                <w:right w:val="none" w:sz="0" w:space="0" w:color="auto"/>
              </w:divBdr>
            </w:div>
          </w:divsChild>
        </w:div>
        <w:div w:id="1156335965">
          <w:marLeft w:val="0"/>
          <w:marRight w:val="0"/>
          <w:marTop w:val="0"/>
          <w:marBottom w:val="0"/>
          <w:divBdr>
            <w:top w:val="none" w:sz="0" w:space="0" w:color="auto"/>
            <w:left w:val="none" w:sz="0" w:space="0" w:color="auto"/>
            <w:bottom w:val="none" w:sz="0" w:space="0" w:color="auto"/>
            <w:right w:val="none" w:sz="0" w:space="0" w:color="auto"/>
          </w:divBdr>
          <w:divsChild>
            <w:div w:id="420033546">
              <w:marLeft w:val="0"/>
              <w:marRight w:val="0"/>
              <w:marTop w:val="0"/>
              <w:marBottom w:val="0"/>
              <w:divBdr>
                <w:top w:val="none" w:sz="0" w:space="0" w:color="auto"/>
                <w:left w:val="none" w:sz="0" w:space="0" w:color="auto"/>
                <w:bottom w:val="none" w:sz="0" w:space="0" w:color="auto"/>
                <w:right w:val="none" w:sz="0" w:space="0" w:color="auto"/>
              </w:divBdr>
            </w:div>
            <w:div w:id="2060201048">
              <w:marLeft w:val="0"/>
              <w:marRight w:val="0"/>
              <w:marTop w:val="0"/>
              <w:marBottom w:val="0"/>
              <w:divBdr>
                <w:top w:val="none" w:sz="0" w:space="0" w:color="auto"/>
                <w:left w:val="none" w:sz="0" w:space="0" w:color="auto"/>
                <w:bottom w:val="none" w:sz="0" w:space="0" w:color="auto"/>
                <w:right w:val="none" w:sz="0" w:space="0" w:color="auto"/>
              </w:divBdr>
            </w:div>
          </w:divsChild>
        </w:div>
        <w:div w:id="1177503314">
          <w:marLeft w:val="0"/>
          <w:marRight w:val="0"/>
          <w:marTop w:val="0"/>
          <w:marBottom w:val="0"/>
          <w:divBdr>
            <w:top w:val="none" w:sz="0" w:space="0" w:color="auto"/>
            <w:left w:val="none" w:sz="0" w:space="0" w:color="auto"/>
            <w:bottom w:val="none" w:sz="0" w:space="0" w:color="auto"/>
            <w:right w:val="none" w:sz="0" w:space="0" w:color="auto"/>
          </w:divBdr>
          <w:divsChild>
            <w:div w:id="1332949252">
              <w:marLeft w:val="0"/>
              <w:marRight w:val="0"/>
              <w:marTop w:val="0"/>
              <w:marBottom w:val="0"/>
              <w:divBdr>
                <w:top w:val="none" w:sz="0" w:space="0" w:color="auto"/>
                <w:left w:val="none" w:sz="0" w:space="0" w:color="auto"/>
                <w:bottom w:val="none" w:sz="0" w:space="0" w:color="auto"/>
                <w:right w:val="none" w:sz="0" w:space="0" w:color="auto"/>
              </w:divBdr>
            </w:div>
            <w:div w:id="1383286267">
              <w:marLeft w:val="0"/>
              <w:marRight w:val="0"/>
              <w:marTop w:val="0"/>
              <w:marBottom w:val="0"/>
              <w:divBdr>
                <w:top w:val="none" w:sz="0" w:space="0" w:color="auto"/>
                <w:left w:val="none" w:sz="0" w:space="0" w:color="auto"/>
                <w:bottom w:val="none" w:sz="0" w:space="0" w:color="auto"/>
                <w:right w:val="none" w:sz="0" w:space="0" w:color="auto"/>
              </w:divBdr>
            </w:div>
            <w:div w:id="2036038844">
              <w:marLeft w:val="0"/>
              <w:marRight w:val="0"/>
              <w:marTop w:val="0"/>
              <w:marBottom w:val="0"/>
              <w:divBdr>
                <w:top w:val="none" w:sz="0" w:space="0" w:color="auto"/>
                <w:left w:val="none" w:sz="0" w:space="0" w:color="auto"/>
                <w:bottom w:val="none" w:sz="0" w:space="0" w:color="auto"/>
                <w:right w:val="none" w:sz="0" w:space="0" w:color="auto"/>
              </w:divBdr>
            </w:div>
            <w:div w:id="2060592533">
              <w:marLeft w:val="0"/>
              <w:marRight w:val="0"/>
              <w:marTop w:val="0"/>
              <w:marBottom w:val="0"/>
              <w:divBdr>
                <w:top w:val="none" w:sz="0" w:space="0" w:color="auto"/>
                <w:left w:val="none" w:sz="0" w:space="0" w:color="auto"/>
                <w:bottom w:val="none" w:sz="0" w:space="0" w:color="auto"/>
                <w:right w:val="none" w:sz="0" w:space="0" w:color="auto"/>
              </w:divBdr>
            </w:div>
          </w:divsChild>
        </w:div>
        <w:div w:id="1254120842">
          <w:marLeft w:val="0"/>
          <w:marRight w:val="0"/>
          <w:marTop w:val="0"/>
          <w:marBottom w:val="0"/>
          <w:divBdr>
            <w:top w:val="none" w:sz="0" w:space="0" w:color="auto"/>
            <w:left w:val="none" w:sz="0" w:space="0" w:color="auto"/>
            <w:bottom w:val="none" w:sz="0" w:space="0" w:color="auto"/>
            <w:right w:val="none" w:sz="0" w:space="0" w:color="auto"/>
          </w:divBdr>
          <w:divsChild>
            <w:div w:id="1801418082">
              <w:marLeft w:val="0"/>
              <w:marRight w:val="0"/>
              <w:marTop w:val="0"/>
              <w:marBottom w:val="0"/>
              <w:divBdr>
                <w:top w:val="none" w:sz="0" w:space="0" w:color="auto"/>
                <w:left w:val="none" w:sz="0" w:space="0" w:color="auto"/>
                <w:bottom w:val="none" w:sz="0" w:space="0" w:color="auto"/>
                <w:right w:val="none" w:sz="0" w:space="0" w:color="auto"/>
              </w:divBdr>
            </w:div>
          </w:divsChild>
        </w:div>
        <w:div w:id="1261253670">
          <w:marLeft w:val="0"/>
          <w:marRight w:val="0"/>
          <w:marTop w:val="0"/>
          <w:marBottom w:val="0"/>
          <w:divBdr>
            <w:top w:val="none" w:sz="0" w:space="0" w:color="auto"/>
            <w:left w:val="none" w:sz="0" w:space="0" w:color="auto"/>
            <w:bottom w:val="none" w:sz="0" w:space="0" w:color="auto"/>
            <w:right w:val="none" w:sz="0" w:space="0" w:color="auto"/>
          </w:divBdr>
          <w:divsChild>
            <w:div w:id="108594799">
              <w:marLeft w:val="0"/>
              <w:marRight w:val="0"/>
              <w:marTop w:val="0"/>
              <w:marBottom w:val="0"/>
              <w:divBdr>
                <w:top w:val="none" w:sz="0" w:space="0" w:color="auto"/>
                <w:left w:val="none" w:sz="0" w:space="0" w:color="auto"/>
                <w:bottom w:val="none" w:sz="0" w:space="0" w:color="auto"/>
                <w:right w:val="none" w:sz="0" w:space="0" w:color="auto"/>
              </w:divBdr>
            </w:div>
          </w:divsChild>
        </w:div>
        <w:div w:id="1329019585">
          <w:marLeft w:val="0"/>
          <w:marRight w:val="0"/>
          <w:marTop w:val="0"/>
          <w:marBottom w:val="0"/>
          <w:divBdr>
            <w:top w:val="none" w:sz="0" w:space="0" w:color="auto"/>
            <w:left w:val="none" w:sz="0" w:space="0" w:color="auto"/>
            <w:bottom w:val="none" w:sz="0" w:space="0" w:color="auto"/>
            <w:right w:val="none" w:sz="0" w:space="0" w:color="auto"/>
          </w:divBdr>
          <w:divsChild>
            <w:div w:id="1347093797">
              <w:marLeft w:val="0"/>
              <w:marRight w:val="0"/>
              <w:marTop w:val="0"/>
              <w:marBottom w:val="0"/>
              <w:divBdr>
                <w:top w:val="none" w:sz="0" w:space="0" w:color="auto"/>
                <w:left w:val="none" w:sz="0" w:space="0" w:color="auto"/>
                <w:bottom w:val="none" w:sz="0" w:space="0" w:color="auto"/>
                <w:right w:val="none" w:sz="0" w:space="0" w:color="auto"/>
              </w:divBdr>
            </w:div>
            <w:div w:id="1666325478">
              <w:marLeft w:val="0"/>
              <w:marRight w:val="0"/>
              <w:marTop w:val="0"/>
              <w:marBottom w:val="0"/>
              <w:divBdr>
                <w:top w:val="none" w:sz="0" w:space="0" w:color="auto"/>
                <w:left w:val="none" w:sz="0" w:space="0" w:color="auto"/>
                <w:bottom w:val="none" w:sz="0" w:space="0" w:color="auto"/>
                <w:right w:val="none" w:sz="0" w:space="0" w:color="auto"/>
              </w:divBdr>
            </w:div>
          </w:divsChild>
        </w:div>
        <w:div w:id="1347362594">
          <w:marLeft w:val="0"/>
          <w:marRight w:val="0"/>
          <w:marTop w:val="0"/>
          <w:marBottom w:val="0"/>
          <w:divBdr>
            <w:top w:val="none" w:sz="0" w:space="0" w:color="auto"/>
            <w:left w:val="none" w:sz="0" w:space="0" w:color="auto"/>
            <w:bottom w:val="none" w:sz="0" w:space="0" w:color="auto"/>
            <w:right w:val="none" w:sz="0" w:space="0" w:color="auto"/>
          </w:divBdr>
          <w:divsChild>
            <w:div w:id="85540840">
              <w:marLeft w:val="0"/>
              <w:marRight w:val="0"/>
              <w:marTop w:val="0"/>
              <w:marBottom w:val="0"/>
              <w:divBdr>
                <w:top w:val="none" w:sz="0" w:space="0" w:color="auto"/>
                <w:left w:val="none" w:sz="0" w:space="0" w:color="auto"/>
                <w:bottom w:val="none" w:sz="0" w:space="0" w:color="auto"/>
                <w:right w:val="none" w:sz="0" w:space="0" w:color="auto"/>
              </w:divBdr>
            </w:div>
          </w:divsChild>
        </w:div>
        <w:div w:id="1396926241">
          <w:marLeft w:val="0"/>
          <w:marRight w:val="0"/>
          <w:marTop w:val="0"/>
          <w:marBottom w:val="0"/>
          <w:divBdr>
            <w:top w:val="none" w:sz="0" w:space="0" w:color="auto"/>
            <w:left w:val="none" w:sz="0" w:space="0" w:color="auto"/>
            <w:bottom w:val="none" w:sz="0" w:space="0" w:color="auto"/>
            <w:right w:val="none" w:sz="0" w:space="0" w:color="auto"/>
          </w:divBdr>
          <w:divsChild>
            <w:div w:id="2102094377">
              <w:marLeft w:val="0"/>
              <w:marRight w:val="0"/>
              <w:marTop w:val="0"/>
              <w:marBottom w:val="0"/>
              <w:divBdr>
                <w:top w:val="none" w:sz="0" w:space="0" w:color="auto"/>
                <w:left w:val="none" w:sz="0" w:space="0" w:color="auto"/>
                <w:bottom w:val="none" w:sz="0" w:space="0" w:color="auto"/>
                <w:right w:val="none" w:sz="0" w:space="0" w:color="auto"/>
              </w:divBdr>
            </w:div>
          </w:divsChild>
        </w:div>
        <w:div w:id="1459035443">
          <w:marLeft w:val="0"/>
          <w:marRight w:val="0"/>
          <w:marTop w:val="0"/>
          <w:marBottom w:val="0"/>
          <w:divBdr>
            <w:top w:val="none" w:sz="0" w:space="0" w:color="auto"/>
            <w:left w:val="none" w:sz="0" w:space="0" w:color="auto"/>
            <w:bottom w:val="none" w:sz="0" w:space="0" w:color="auto"/>
            <w:right w:val="none" w:sz="0" w:space="0" w:color="auto"/>
          </w:divBdr>
          <w:divsChild>
            <w:div w:id="654727839">
              <w:marLeft w:val="0"/>
              <w:marRight w:val="0"/>
              <w:marTop w:val="0"/>
              <w:marBottom w:val="0"/>
              <w:divBdr>
                <w:top w:val="none" w:sz="0" w:space="0" w:color="auto"/>
                <w:left w:val="none" w:sz="0" w:space="0" w:color="auto"/>
                <w:bottom w:val="none" w:sz="0" w:space="0" w:color="auto"/>
                <w:right w:val="none" w:sz="0" w:space="0" w:color="auto"/>
              </w:divBdr>
            </w:div>
            <w:div w:id="940379386">
              <w:marLeft w:val="0"/>
              <w:marRight w:val="0"/>
              <w:marTop w:val="0"/>
              <w:marBottom w:val="0"/>
              <w:divBdr>
                <w:top w:val="none" w:sz="0" w:space="0" w:color="auto"/>
                <w:left w:val="none" w:sz="0" w:space="0" w:color="auto"/>
                <w:bottom w:val="none" w:sz="0" w:space="0" w:color="auto"/>
                <w:right w:val="none" w:sz="0" w:space="0" w:color="auto"/>
              </w:divBdr>
            </w:div>
          </w:divsChild>
        </w:div>
        <w:div w:id="1472362163">
          <w:marLeft w:val="0"/>
          <w:marRight w:val="0"/>
          <w:marTop w:val="0"/>
          <w:marBottom w:val="0"/>
          <w:divBdr>
            <w:top w:val="none" w:sz="0" w:space="0" w:color="auto"/>
            <w:left w:val="none" w:sz="0" w:space="0" w:color="auto"/>
            <w:bottom w:val="none" w:sz="0" w:space="0" w:color="auto"/>
            <w:right w:val="none" w:sz="0" w:space="0" w:color="auto"/>
          </w:divBdr>
          <w:divsChild>
            <w:div w:id="1974752888">
              <w:marLeft w:val="0"/>
              <w:marRight w:val="0"/>
              <w:marTop w:val="0"/>
              <w:marBottom w:val="0"/>
              <w:divBdr>
                <w:top w:val="none" w:sz="0" w:space="0" w:color="auto"/>
                <w:left w:val="none" w:sz="0" w:space="0" w:color="auto"/>
                <w:bottom w:val="none" w:sz="0" w:space="0" w:color="auto"/>
                <w:right w:val="none" w:sz="0" w:space="0" w:color="auto"/>
              </w:divBdr>
            </w:div>
          </w:divsChild>
        </w:div>
        <w:div w:id="1483961025">
          <w:marLeft w:val="0"/>
          <w:marRight w:val="0"/>
          <w:marTop w:val="0"/>
          <w:marBottom w:val="0"/>
          <w:divBdr>
            <w:top w:val="none" w:sz="0" w:space="0" w:color="auto"/>
            <w:left w:val="none" w:sz="0" w:space="0" w:color="auto"/>
            <w:bottom w:val="none" w:sz="0" w:space="0" w:color="auto"/>
            <w:right w:val="none" w:sz="0" w:space="0" w:color="auto"/>
          </w:divBdr>
          <w:divsChild>
            <w:div w:id="1642223875">
              <w:marLeft w:val="0"/>
              <w:marRight w:val="0"/>
              <w:marTop w:val="0"/>
              <w:marBottom w:val="0"/>
              <w:divBdr>
                <w:top w:val="none" w:sz="0" w:space="0" w:color="auto"/>
                <w:left w:val="none" w:sz="0" w:space="0" w:color="auto"/>
                <w:bottom w:val="none" w:sz="0" w:space="0" w:color="auto"/>
                <w:right w:val="none" w:sz="0" w:space="0" w:color="auto"/>
              </w:divBdr>
            </w:div>
          </w:divsChild>
        </w:div>
        <w:div w:id="1490949231">
          <w:marLeft w:val="0"/>
          <w:marRight w:val="0"/>
          <w:marTop w:val="0"/>
          <w:marBottom w:val="0"/>
          <w:divBdr>
            <w:top w:val="none" w:sz="0" w:space="0" w:color="auto"/>
            <w:left w:val="none" w:sz="0" w:space="0" w:color="auto"/>
            <w:bottom w:val="none" w:sz="0" w:space="0" w:color="auto"/>
            <w:right w:val="none" w:sz="0" w:space="0" w:color="auto"/>
          </w:divBdr>
          <w:divsChild>
            <w:div w:id="712775751">
              <w:marLeft w:val="0"/>
              <w:marRight w:val="0"/>
              <w:marTop w:val="0"/>
              <w:marBottom w:val="0"/>
              <w:divBdr>
                <w:top w:val="none" w:sz="0" w:space="0" w:color="auto"/>
                <w:left w:val="none" w:sz="0" w:space="0" w:color="auto"/>
                <w:bottom w:val="none" w:sz="0" w:space="0" w:color="auto"/>
                <w:right w:val="none" w:sz="0" w:space="0" w:color="auto"/>
              </w:divBdr>
            </w:div>
          </w:divsChild>
        </w:div>
        <w:div w:id="1604723410">
          <w:marLeft w:val="0"/>
          <w:marRight w:val="0"/>
          <w:marTop w:val="0"/>
          <w:marBottom w:val="0"/>
          <w:divBdr>
            <w:top w:val="none" w:sz="0" w:space="0" w:color="auto"/>
            <w:left w:val="none" w:sz="0" w:space="0" w:color="auto"/>
            <w:bottom w:val="none" w:sz="0" w:space="0" w:color="auto"/>
            <w:right w:val="none" w:sz="0" w:space="0" w:color="auto"/>
          </w:divBdr>
          <w:divsChild>
            <w:div w:id="495805059">
              <w:marLeft w:val="0"/>
              <w:marRight w:val="0"/>
              <w:marTop w:val="0"/>
              <w:marBottom w:val="0"/>
              <w:divBdr>
                <w:top w:val="none" w:sz="0" w:space="0" w:color="auto"/>
                <w:left w:val="none" w:sz="0" w:space="0" w:color="auto"/>
                <w:bottom w:val="none" w:sz="0" w:space="0" w:color="auto"/>
                <w:right w:val="none" w:sz="0" w:space="0" w:color="auto"/>
              </w:divBdr>
            </w:div>
            <w:div w:id="1440753709">
              <w:marLeft w:val="0"/>
              <w:marRight w:val="0"/>
              <w:marTop w:val="0"/>
              <w:marBottom w:val="0"/>
              <w:divBdr>
                <w:top w:val="none" w:sz="0" w:space="0" w:color="auto"/>
                <w:left w:val="none" w:sz="0" w:space="0" w:color="auto"/>
                <w:bottom w:val="none" w:sz="0" w:space="0" w:color="auto"/>
                <w:right w:val="none" w:sz="0" w:space="0" w:color="auto"/>
              </w:divBdr>
            </w:div>
          </w:divsChild>
        </w:div>
        <w:div w:id="1612862441">
          <w:marLeft w:val="0"/>
          <w:marRight w:val="0"/>
          <w:marTop w:val="0"/>
          <w:marBottom w:val="0"/>
          <w:divBdr>
            <w:top w:val="none" w:sz="0" w:space="0" w:color="auto"/>
            <w:left w:val="none" w:sz="0" w:space="0" w:color="auto"/>
            <w:bottom w:val="none" w:sz="0" w:space="0" w:color="auto"/>
            <w:right w:val="none" w:sz="0" w:space="0" w:color="auto"/>
          </w:divBdr>
          <w:divsChild>
            <w:div w:id="1882207308">
              <w:marLeft w:val="0"/>
              <w:marRight w:val="0"/>
              <w:marTop w:val="0"/>
              <w:marBottom w:val="0"/>
              <w:divBdr>
                <w:top w:val="none" w:sz="0" w:space="0" w:color="auto"/>
                <w:left w:val="none" w:sz="0" w:space="0" w:color="auto"/>
                <w:bottom w:val="none" w:sz="0" w:space="0" w:color="auto"/>
                <w:right w:val="none" w:sz="0" w:space="0" w:color="auto"/>
              </w:divBdr>
            </w:div>
          </w:divsChild>
        </w:div>
        <w:div w:id="1665011266">
          <w:marLeft w:val="0"/>
          <w:marRight w:val="0"/>
          <w:marTop w:val="0"/>
          <w:marBottom w:val="0"/>
          <w:divBdr>
            <w:top w:val="none" w:sz="0" w:space="0" w:color="auto"/>
            <w:left w:val="none" w:sz="0" w:space="0" w:color="auto"/>
            <w:bottom w:val="none" w:sz="0" w:space="0" w:color="auto"/>
            <w:right w:val="none" w:sz="0" w:space="0" w:color="auto"/>
          </w:divBdr>
          <w:divsChild>
            <w:div w:id="519853398">
              <w:marLeft w:val="0"/>
              <w:marRight w:val="0"/>
              <w:marTop w:val="0"/>
              <w:marBottom w:val="0"/>
              <w:divBdr>
                <w:top w:val="none" w:sz="0" w:space="0" w:color="auto"/>
                <w:left w:val="none" w:sz="0" w:space="0" w:color="auto"/>
                <w:bottom w:val="none" w:sz="0" w:space="0" w:color="auto"/>
                <w:right w:val="none" w:sz="0" w:space="0" w:color="auto"/>
              </w:divBdr>
            </w:div>
            <w:div w:id="1699888096">
              <w:marLeft w:val="0"/>
              <w:marRight w:val="0"/>
              <w:marTop w:val="0"/>
              <w:marBottom w:val="0"/>
              <w:divBdr>
                <w:top w:val="none" w:sz="0" w:space="0" w:color="auto"/>
                <w:left w:val="none" w:sz="0" w:space="0" w:color="auto"/>
                <w:bottom w:val="none" w:sz="0" w:space="0" w:color="auto"/>
                <w:right w:val="none" w:sz="0" w:space="0" w:color="auto"/>
              </w:divBdr>
            </w:div>
          </w:divsChild>
        </w:div>
        <w:div w:id="1928617347">
          <w:marLeft w:val="0"/>
          <w:marRight w:val="0"/>
          <w:marTop w:val="0"/>
          <w:marBottom w:val="0"/>
          <w:divBdr>
            <w:top w:val="none" w:sz="0" w:space="0" w:color="auto"/>
            <w:left w:val="none" w:sz="0" w:space="0" w:color="auto"/>
            <w:bottom w:val="none" w:sz="0" w:space="0" w:color="auto"/>
            <w:right w:val="none" w:sz="0" w:space="0" w:color="auto"/>
          </w:divBdr>
          <w:divsChild>
            <w:div w:id="151918249">
              <w:marLeft w:val="0"/>
              <w:marRight w:val="0"/>
              <w:marTop w:val="0"/>
              <w:marBottom w:val="0"/>
              <w:divBdr>
                <w:top w:val="none" w:sz="0" w:space="0" w:color="auto"/>
                <w:left w:val="none" w:sz="0" w:space="0" w:color="auto"/>
                <w:bottom w:val="none" w:sz="0" w:space="0" w:color="auto"/>
                <w:right w:val="none" w:sz="0" w:space="0" w:color="auto"/>
              </w:divBdr>
            </w:div>
          </w:divsChild>
        </w:div>
        <w:div w:id="1945182882">
          <w:marLeft w:val="0"/>
          <w:marRight w:val="0"/>
          <w:marTop w:val="0"/>
          <w:marBottom w:val="0"/>
          <w:divBdr>
            <w:top w:val="none" w:sz="0" w:space="0" w:color="auto"/>
            <w:left w:val="none" w:sz="0" w:space="0" w:color="auto"/>
            <w:bottom w:val="none" w:sz="0" w:space="0" w:color="auto"/>
            <w:right w:val="none" w:sz="0" w:space="0" w:color="auto"/>
          </w:divBdr>
          <w:divsChild>
            <w:div w:id="914166718">
              <w:marLeft w:val="0"/>
              <w:marRight w:val="0"/>
              <w:marTop w:val="0"/>
              <w:marBottom w:val="0"/>
              <w:divBdr>
                <w:top w:val="none" w:sz="0" w:space="0" w:color="auto"/>
                <w:left w:val="none" w:sz="0" w:space="0" w:color="auto"/>
                <w:bottom w:val="none" w:sz="0" w:space="0" w:color="auto"/>
                <w:right w:val="none" w:sz="0" w:space="0" w:color="auto"/>
              </w:divBdr>
            </w:div>
          </w:divsChild>
        </w:div>
        <w:div w:id="1978757528">
          <w:marLeft w:val="0"/>
          <w:marRight w:val="0"/>
          <w:marTop w:val="0"/>
          <w:marBottom w:val="0"/>
          <w:divBdr>
            <w:top w:val="none" w:sz="0" w:space="0" w:color="auto"/>
            <w:left w:val="none" w:sz="0" w:space="0" w:color="auto"/>
            <w:bottom w:val="none" w:sz="0" w:space="0" w:color="auto"/>
            <w:right w:val="none" w:sz="0" w:space="0" w:color="auto"/>
          </w:divBdr>
          <w:divsChild>
            <w:div w:id="984771431">
              <w:marLeft w:val="0"/>
              <w:marRight w:val="0"/>
              <w:marTop w:val="0"/>
              <w:marBottom w:val="0"/>
              <w:divBdr>
                <w:top w:val="none" w:sz="0" w:space="0" w:color="auto"/>
                <w:left w:val="none" w:sz="0" w:space="0" w:color="auto"/>
                <w:bottom w:val="none" w:sz="0" w:space="0" w:color="auto"/>
                <w:right w:val="none" w:sz="0" w:space="0" w:color="auto"/>
              </w:divBdr>
            </w:div>
          </w:divsChild>
        </w:div>
        <w:div w:id="2066829286">
          <w:marLeft w:val="0"/>
          <w:marRight w:val="0"/>
          <w:marTop w:val="0"/>
          <w:marBottom w:val="0"/>
          <w:divBdr>
            <w:top w:val="none" w:sz="0" w:space="0" w:color="auto"/>
            <w:left w:val="none" w:sz="0" w:space="0" w:color="auto"/>
            <w:bottom w:val="none" w:sz="0" w:space="0" w:color="auto"/>
            <w:right w:val="none" w:sz="0" w:space="0" w:color="auto"/>
          </w:divBdr>
          <w:divsChild>
            <w:div w:id="873662851">
              <w:marLeft w:val="0"/>
              <w:marRight w:val="0"/>
              <w:marTop w:val="0"/>
              <w:marBottom w:val="0"/>
              <w:divBdr>
                <w:top w:val="none" w:sz="0" w:space="0" w:color="auto"/>
                <w:left w:val="none" w:sz="0" w:space="0" w:color="auto"/>
                <w:bottom w:val="none" w:sz="0" w:space="0" w:color="auto"/>
                <w:right w:val="none" w:sz="0" w:space="0" w:color="auto"/>
              </w:divBdr>
            </w:div>
          </w:divsChild>
        </w:div>
        <w:div w:id="2070221877">
          <w:marLeft w:val="0"/>
          <w:marRight w:val="0"/>
          <w:marTop w:val="0"/>
          <w:marBottom w:val="0"/>
          <w:divBdr>
            <w:top w:val="none" w:sz="0" w:space="0" w:color="auto"/>
            <w:left w:val="none" w:sz="0" w:space="0" w:color="auto"/>
            <w:bottom w:val="none" w:sz="0" w:space="0" w:color="auto"/>
            <w:right w:val="none" w:sz="0" w:space="0" w:color="auto"/>
          </w:divBdr>
          <w:divsChild>
            <w:div w:id="1910728811">
              <w:marLeft w:val="0"/>
              <w:marRight w:val="0"/>
              <w:marTop w:val="0"/>
              <w:marBottom w:val="0"/>
              <w:divBdr>
                <w:top w:val="none" w:sz="0" w:space="0" w:color="auto"/>
                <w:left w:val="none" w:sz="0" w:space="0" w:color="auto"/>
                <w:bottom w:val="none" w:sz="0" w:space="0" w:color="auto"/>
                <w:right w:val="none" w:sz="0" w:space="0" w:color="auto"/>
              </w:divBdr>
            </w:div>
          </w:divsChild>
        </w:div>
        <w:div w:id="2094356137">
          <w:marLeft w:val="0"/>
          <w:marRight w:val="0"/>
          <w:marTop w:val="0"/>
          <w:marBottom w:val="0"/>
          <w:divBdr>
            <w:top w:val="none" w:sz="0" w:space="0" w:color="auto"/>
            <w:left w:val="none" w:sz="0" w:space="0" w:color="auto"/>
            <w:bottom w:val="none" w:sz="0" w:space="0" w:color="auto"/>
            <w:right w:val="none" w:sz="0" w:space="0" w:color="auto"/>
          </w:divBdr>
          <w:divsChild>
            <w:div w:id="376709149">
              <w:marLeft w:val="0"/>
              <w:marRight w:val="0"/>
              <w:marTop w:val="0"/>
              <w:marBottom w:val="0"/>
              <w:divBdr>
                <w:top w:val="none" w:sz="0" w:space="0" w:color="auto"/>
                <w:left w:val="none" w:sz="0" w:space="0" w:color="auto"/>
                <w:bottom w:val="none" w:sz="0" w:space="0" w:color="auto"/>
                <w:right w:val="none" w:sz="0" w:space="0" w:color="auto"/>
              </w:divBdr>
            </w:div>
          </w:divsChild>
        </w:div>
        <w:div w:id="2121948151">
          <w:marLeft w:val="0"/>
          <w:marRight w:val="0"/>
          <w:marTop w:val="0"/>
          <w:marBottom w:val="0"/>
          <w:divBdr>
            <w:top w:val="none" w:sz="0" w:space="0" w:color="auto"/>
            <w:left w:val="none" w:sz="0" w:space="0" w:color="auto"/>
            <w:bottom w:val="none" w:sz="0" w:space="0" w:color="auto"/>
            <w:right w:val="none" w:sz="0" w:space="0" w:color="auto"/>
          </w:divBdr>
          <w:divsChild>
            <w:div w:id="63963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847572">
      <w:bodyDiv w:val="1"/>
      <w:marLeft w:val="0"/>
      <w:marRight w:val="0"/>
      <w:marTop w:val="0"/>
      <w:marBottom w:val="0"/>
      <w:divBdr>
        <w:top w:val="none" w:sz="0" w:space="0" w:color="auto"/>
        <w:left w:val="none" w:sz="0" w:space="0" w:color="auto"/>
        <w:bottom w:val="none" w:sz="0" w:space="0" w:color="auto"/>
        <w:right w:val="none" w:sz="0" w:space="0" w:color="auto"/>
      </w:divBdr>
      <w:divsChild>
        <w:div w:id="163862838">
          <w:marLeft w:val="0"/>
          <w:marRight w:val="0"/>
          <w:marTop w:val="0"/>
          <w:marBottom w:val="0"/>
          <w:divBdr>
            <w:top w:val="none" w:sz="0" w:space="0" w:color="auto"/>
            <w:left w:val="none" w:sz="0" w:space="0" w:color="auto"/>
            <w:bottom w:val="none" w:sz="0" w:space="0" w:color="auto"/>
            <w:right w:val="none" w:sz="0" w:space="0" w:color="auto"/>
          </w:divBdr>
          <w:divsChild>
            <w:div w:id="247346063">
              <w:marLeft w:val="0"/>
              <w:marRight w:val="0"/>
              <w:marTop w:val="0"/>
              <w:marBottom w:val="0"/>
              <w:divBdr>
                <w:top w:val="none" w:sz="0" w:space="0" w:color="auto"/>
                <w:left w:val="none" w:sz="0" w:space="0" w:color="auto"/>
                <w:bottom w:val="none" w:sz="0" w:space="0" w:color="auto"/>
                <w:right w:val="none" w:sz="0" w:space="0" w:color="auto"/>
              </w:divBdr>
            </w:div>
          </w:divsChild>
        </w:div>
        <w:div w:id="187792084">
          <w:marLeft w:val="0"/>
          <w:marRight w:val="0"/>
          <w:marTop w:val="0"/>
          <w:marBottom w:val="0"/>
          <w:divBdr>
            <w:top w:val="none" w:sz="0" w:space="0" w:color="auto"/>
            <w:left w:val="none" w:sz="0" w:space="0" w:color="auto"/>
            <w:bottom w:val="none" w:sz="0" w:space="0" w:color="auto"/>
            <w:right w:val="none" w:sz="0" w:space="0" w:color="auto"/>
          </w:divBdr>
          <w:divsChild>
            <w:div w:id="295061853">
              <w:marLeft w:val="0"/>
              <w:marRight w:val="0"/>
              <w:marTop w:val="0"/>
              <w:marBottom w:val="0"/>
              <w:divBdr>
                <w:top w:val="none" w:sz="0" w:space="0" w:color="auto"/>
                <w:left w:val="none" w:sz="0" w:space="0" w:color="auto"/>
                <w:bottom w:val="none" w:sz="0" w:space="0" w:color="auto"/>
                <w:right w:val="none" w:sz="0" w:space="0" w:color="auto"/>
              </w:divBdr>
            </w:div>
          </w:divsChild>
        </w:div>
        <w:div w:id="403377758">
          <w:marLeft w:val="0"/>
          <w:marRight w:val="0"/>
          <w:marTop w:val="0"/>
          <w:marBottom w:val="0"/>
          <w:divBdr>
            <w:top w:val="none" w:sz="0" w:space="0" w:color="auto"/>
            <w:left w:val="none" w:sz="0" w:space="0" w:color="auto"/>
            <w:bottom w:val="none" w:sz="0" w:space="0" w:color="auto"/>
            <w:right w:val="none" w:sz="0" w:space="0" w:color="auto"/>
          </w:divBdr>
          <w:divsChild>
            <w:div w:id="459541982">
              <w:marLeft w:val="0"/>
              <w:marRight w:val="0"/>
              <w:marTop w:val="0"/>
              <w:marBottom w:val="0"/>
              <w:divBdr>
                <w:top w:val="none" w:sz="0" w:space="0" w:color="auto"/>
                <w:left w:val="none" w:sz="0" w:space="0" w:color="auto"/>
                <w:bottom w:val="none" w:sz="0" w:space="0" w:color="auto"/>
                <w:right w:val="none" w:sz="0" w:space="0" w:color="auto"/>
              </w:divBdr>
            </w:div>
          </w:divsChild>
        </w:div>
        <w:div w:id="503669006">
          <w:marLeft w:val="0"/>
          <w:marRight w:val="0"/>
          <w:marTop w:val="0"/>
          <w:marBottom w:val="0"/>
          <w:divBdr>
            <w:top w:val="none" w:sz="0" w:space="0" w:color="auto"/>
            <w:left w:val="none" w:sz="0" w:space="0" w:color="auto"/>
            <w:bottom w:val="none" w:sz="0" w:space="0" w:color="auto"/>
            <w:right w:val="none" w:sz="0" w:space="0" w:color="auto"/>
          </w:divBdr>
          <w:divsChild>
            <w:div w:id="277839608">
              <w:marLeft w:val="0"/>
              <w:marRight w:val="0"/>
              <w:marTop w:val="0"/>
              <w:marBottom w:val="0"/>
              <w:divBdr>
                <w:top w:val="none" w:sz="0" w:space="0" w:color="auto"/>
                <w:left w:val="none" w:sz="0" w:space="0" w:color="auto"/>
                <w:bottom w:val="none" w:sz="0" w:space="0" w:color="auto"/>
                <w:right w:val="none" w:sz="0" w:space="0" w:color="auto"/>
              </w:divBdr>
            </w:div>
          </w:divsChild>
        </w:div>
        <w:div w:id="742027443">
          <w:marLeft w:val="0"/>
          <w:marRight w:val="0"/>
          <w:marTop w:val="0"/>
          <w:marBottom w:val="0"/>
          <w:divBdr>
            <w:top w:val="none" w:sz="0" w:space="0" w:color="auto"/>
            <w:left w:val="none" w:sz="0" w:space="0" w:color="auto"/>
            <w:bottom w:val="none" w:sz="0" w:space="0" w:color="auto"/>
            <w:right w:val="none" w:sz="0" w:space="0" w:color="auto"/>
          </w:divBdr>
          <w:divsChild>
            <w:div w:id="1754204422">
              <w:marLeft w:val="0"/>
              <w:marRight w:val="0"/>
              <w:marTop w:val="0"/>
              <w:marBottom w:val="0"/>
              <w:divBdr>
                <w:top w:val="none" w:sz="0" w:space="0" w:color="auto"/>
                <w:left w:val="none" w:sz="0" w:space="0" w:color="auto"/>
                <w:bottom w:val="none" w:sz="0" w:space="0" w:color="auto"/>
                <w:right w:val="none" w:sz="0" w:space="0" w:color="auto"/>
              </w:divBdr>
            </w:div>
          </w:divsChild>
        </w:div>
        <w:div w:id="1210846530">
          <w:marLeft w:val="0"/>
          <w:marRight w:val="0"/>
          <w:marTop w:val="0"/>
          <w:marBottom w:val="0"/>
          <w:divBdr>
            <w:top w:val="none" w:sz="0" w:space="0" w:color="auto"/>
            <w:left w:val="none" w:sz="0" w:space="0" w:color="auto"/>
            <w:bottom w:val="none" w:sz="0" w:space="0" w:color="auto"/>
            <w:right w:val="none" w:sz="0" w:space="0" w:color="auto"/>
          </w:divBdr>
          <w:divsChild>
            <w:div w:id="867257571">
              <w:marLeft w:val="0"/>
              <w:marRight w:val="0"/>
              <w:marTop w:val="0"/>
              <w:marBottom w:val="0"/>
              <w:divBdr>
                <w:top w:val="none" w:sz="0" w:space="0" w:color="auto"/>
                <w:left w:val="none" w:sz="0" w:space="0" w:color="auto"/>
                <w:bottom w:val="none" w:sz="0" w:space="0" w:color="auto"/>
                <w:right w:val="none" w:sz="0" w:space="0" w:color="auto"/>
              </w:divBdr>
            </w:div>
          </w:divsChild>
        </w:div>
        <w:div w:id="1407070005">
          <w:marLeft w:val="0"/>
          <w:marRight w:val="0"/>
          <w:marTop w:val="0"/>
          <w:marBottom w:val="0"/>
          <w:divBdr>
            <w:top w:val="none" w:sz="0" w:space="0" w:color="auto"/>
            <w:left w:val="none" w:sz="0" w:space="0" w:color="auto"/>
            <w:bottom w:val="none" w:sz="0" w:space="0" w:color="auto"/>
            <w:right w:val="none" w:sz="0" w:space="0" w:color="auto"/>
          </w:divBdr>
          <w:divsChild>
            <w:div w:id="709190004">
              <w:marLeft w:val="0"/>
              <w:marRight w:val="0"/>
              <w:marTop w:val="0"/>
              <w:marBottom w:val="0"/>
              <w:divBdr>
                <w:top w:val="none" w:sz="0" w:space="0" w:color="auto"/>
                <w:left w:val="none" w:sz="0" w:space="0" w:color="auto"/>
                <w:bottom w:val="none" w:sz="0" w:space="0" w:color="auto"/>
                <w:right w:val="none" w:sz="0" w:space="0" w:color="auto"/>
              </w:divBdr>
            </w:div>
          </w:divsChild>
        </w:div>
        <w:div w:id="1563522267">
          <w:marLeft w:val="0"/>
          <w:marRight w:val="0"/>
          <w:marTop w:val="0"/>
          <w:marBottom w:val="0"/>
          <w:divBdr>
            <w:top w:val="none" w:sz="0" w:space="0" w:color="auto"/>
            <w:left w:val="none" w:sz="0" w:space="0" w:color="auto"/>
            <w:bottom w:val="none" w:sz="0" w:space="0" w:color="auto"/>
            <w:right w:val="none" w:sz="0" w:space="0" w:color="auto"/>
          </w:divBdr>
          <w:divsChild>
            <w:div w:id="1645819683">
              <w:marLeft w:val="0"/>
              <w:marRight w:val="0"/>
              <w:marTop w:val="0"/>
              <w:marBottom w:val="0"/>
              <w:divBdr>
                <w:top w:val="none" w:sz="0" w:space="0" w:color="auto"/>
                <w:left w:val="none" w:sz="0" w:space="0" w:color="auto"/>
                <w:bottom w:val="none" w:sz="0" w:space="0" w:color="auto"/>
                <w:right w:val="none" w:sz="0" w:space="0" w:color="auto"/>
              </w:divBdr>
            </w:div>
          </w:divsChild>
        </w:div>
        <w:div w:id="1632204615">
          <w:marLeft w:val="0"/>
          <w:marRight w:val="0"/>
          <w:marTop w:val="0"/>
          <w:marBottom w:val="0"/>
          <w:divBdr>
            <w:top w:val="none" w:sz="0" w:space="0" w:color="auto"/>
            <w:left w:val="none" w:sz="0" w:space="0" w:color="auto"/>
            <w:bottom w:val="none" w:sz="0" w:space="0" w:color="auto"/>
            <w:right w:val="none" w:sz="0" w:space="0" w:color="auto"/>
          </w:divBdr>
          <w:divsChild>
            <w:div w:id="1516842860">
              <w:marLeft w:val="0"/>
              <w:marRight w:val="0"/>
              <w:marTop w:val="0"/>
              <w:marBottom w:val="0"/>
              <w:divBdr>
                <w:top w:val="none" w:sz="0" w:space="0" w:color="auto"/>
                <w:left w:val="none" w:sz="0" w:space="0" w:color="auto"/>
                <w:bottom w:val="none" w:sz="0" w:space="0" w:color="auto"/>
                <w:right w:val="none" w:sz="0" w:space="0" w:color="auto"/>
              </w:divBdr>
            </w:div>
          </w:divsChild>
        </w:div>
        <w:div w:id="1689942594">
          <w:marLeft w:val="0"/>
          <w:marRight w:val="0"/>
          <w:marTop w:val="0"/>
          <w:marBottom w:val="0"/>
          <w:divBdr>
            <w:top w:val="none" w:sz="0" w:space="0" w:color="auto"/>
            <w:left w:val="none" w:sz="0" w:space="0" w:color="auto"/>
            <w:bottom w:val="none" w:sz="0" w:space="0" w:color="auto"/>
            <w:right w:val="none" w:sz="0" w:space="0" w:color="auto"/>
          </w:divBdr>
          <w:divsChild>
            <w:div w:id="91904663">
              <w:marLeft w:val="0"/>
              <w:marRight w:val="0"/>
              <w:marTop w:val="0"/>
              <w:marBottom w:val="0"/>
              <w:divBdr>
                <w:top w:val="none" w:sz="0" w:space="0" w:color="auto"/>
                <w:left w:val="none" w:sz="0" w:space="0" w:color="auto"/>
                <w:bottom w:val="none" w:sz="0" w:space="0" w:color="auto"/>
                <w:right w:val="none" w:sz="0" w:space="0" w:color="auto"/>
              </w:divBdr>
            </w:div>
          </w:divsChild>
        </w:div>
        <w:div w:id="1756975512">
          <w:marLeft w:val="0"/>
          <w:marRight w:val="0"/>
          <w:marTop w:val="0"/>
          <w:marBottom w:val="0"/>
          <w:divBdr>
            <w:top w:val="none" w:sz="0" w:space="0" w:color="auto"/>
            <w:left w:val="none" w:sz="0" w:space="0" w:color="auto"/>
            <w:bottom w:val="none" w:sz="0" w:space="0" w:color="auto"/>
            <w:right w:val="none" w:sz="0" w:space="0" w:color="auto"/>
          </w:divBdr>
          <w:divsChild>
            <w:div w:id="413548898">
              <w:marLeft w:val="0"/>
              <w:marRight w:val="0"/>
              <w:marTop w:val="0"/>
              <w:marBottom w:val="0"/>
              <w:divBdr>
                <w:top w:val="none" w:sz="0" w:space="0" w:color="auto"/>
                <w:left w:val="none" w:sz="0" w:space="0" w:color="auto"/>
                <w:bottom w:val="none" w:sz="0" w:space="0" w:color="auto"/>
                <w:right w:val="none" w:sz="0" w:space="0" w:color="auto"/>
              </w:divBdr>
            </w:div>
          </w:divsChild>
        </w:div>
        <w:div w:id="1784761031">
          <w:marLeft w:val="0"/>
          <w:marRight w:val="0"/>
          <w:marTop w:val="0"/>
          <w:marBottom w:val="0"/>
          <w:divBdr>
            <w:top w:val="none" w:sz="0" w:space="0" w:color="auto"/>
            <w:left w:val="none" w:sz="0" w:space="0" w:color="auto"/>
            <w:bottom w:val="none" w:sz="0" w:space="0" w:color="auto"/>
            <w:right w:val="none" w:sz="0" w:space="0" w:color="auto"/>
          </w:divBdr>
          <w:divsChild>
            <w:div w:id="1060011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120444">
      <w:bodyDiv w:val="1"/>
      <w:marLeft w:val="0"/>
      <w:marRight w:val="0"/>
      <w:marTop w:val="0"/>
      <w:marBottom w:val="0"/>
      <w:divBdr>
        <w:top w:val="none" w:sz="0" w:space="0" w:color="auto"/>
        <w:left w:val="none" w:sz="0" w:space="0" w:color="auto"/>
        <w:bottom w:val="none" w:sz="0" w:space="0" w:color="auto"/>
        <w:right w:val="none" w:sz="0" w:space="0" w:color="auto"/>
      </w:divBdr>
      <w:divsChild>
        <w:div w:id="982537067">
          <w:marLeft w:val="0"/>
          <w:marRight w:val="0"/>
          <w:marTop w:val="0"/>
          <w:marBottom w:val="0"/>
          <w:divBdr>
            <w:top w:val="none" w:sz="0" w:space="0" w:color="auto"/>
            <w:left w:val="none" w:sz="0" w:space="0" w:color="auto"/>
            <w:bottom w:val="none" w:sz="0" w:space="0" w:color="auto"/>
            <w:right w:val="none" w:sz="0" w:space="0" w:color="auto"/>
          </w:divBdr>
        </w:div>
        <w:div w:id="1296065335">
          <w:marLeft w:val="0"/>
          <w:marRight w:val="0"/>
          <w:marTop w:val="0"/>
          <w:marBottom w:val="0"/>
          <w:divBdr>
            <w:top w:val="none" w:sz="0" w:space="0" w:color="auto"/>
            <w:left w:val="none" w:sz="0" w:space="0" w:color="auto"/>
            <w:bottom w:val="none" w:sz="0" w:space="0" w:color="auto"/>
            <w:right w:val="none" w:sz="0" w:space="0" w:color="auto"/>
          </w:divBdr>
        </w:div>
      </w:divsChild>
    </w:div>
    <w:div w:id="1736003960">
      <w:bodyDiv w:val="1"/>
      <w:marLeft w:val="0"/>
      <w:marRight w:val="0"/>
      <w:marTop w:val="0"/>
      <w:marBottom w:val="0"/>
      <w:divBdr>
        <w:top w:val="none" w:sz="0" w:space="0" w:color="auto"/>
        <w:left w:val="none" w:sz="0" w:space="0" w:color="auto"/>
        <w:bottom w:val="none" w:sz="0" w:space="0" w:color="auto"/>
        <w:right w:val="none" w:sz="0" w:space="0" w:color="auto"/>
      </w:divBdr>
    </w:div>
    <w:div w:id="1869757623">
      <w:bodyDiv w:val="1"/>
      <w:marLeft w:val="0"/>
      <w:marRight w:val="0"/>
      <w:marTop w:val="0"/>
      <w:marBottom w:val="0"/>
      <w:divBdr>
        <w:top w:val="none" w:sz="0" w:space="0" w:color="auto"/>
        <w:left w:val="none" w:sz="0" w:space="0" w:color="auto"/>
        <w:bottom w:val="none" w:sz="0" w:space="0" w:color="auto"/>
        <w:right w:val="none" w:sz="0" w:space="0" w:color="auto"/>
      </w:divBdr>
      <w:divsChild>
        <w:div w:id="324944611">
          <w:marLeft w:val="0"/>
          <w:marRight w:val="0"/>
          <w:marTop w:val="0"/>
          <w:marBottom w:val="0"/>
          <w:divBdr>
            <w:top w:val="none" w:sz="0" w:space="0" w:color="auto"/>
            <w:left w:val="none" w:sz="0" w:space="0" w:color="auto"/>
            <w:bottom w:val="none" w:sz="0" w:space="0" w:color="auto"/>
            <w:right w:val="none" w:sz="0" w:space="0" w:color="auto"/>
          </w:divBdr>
          <w:divsChild>
            <w:div w:id="514274665">
              <w:marLeft w:val="0"/>
              <w:marRight w:val="0"/>
              <w:marTop w:val="0"/>
              <w:marBottom w:val="0"/>
              <w:divBdr>
                <w:top w:val="none" w:sz="0" w:space="0" w:color="auto"/>
                <w:left w:val="none" w:sz="0" w:space="0" w:color="auto"/>
                <w:bottom w:val="none" w:sz="0" w:space="0" w:color="auto"/>
                <w:right w:val="none" w:sz="0" w:space="0" w:color="auto"/>
              </w:divBdr>
            </w:div>
          </w:divsChild>
        </w:div>
        <w:div w:id="653532884">
          <w:marLeft w:val="0"/>
          <w:marRight w:val="0"/>
          <w:marTop w:val="0"/>
          <w:marBottom w:val="0"/>
          <w:divBdr>
            <w:top w:val="none" w:sz="0" w:space="0" w:color="auto"/>
            <w:left w:val="none" w:sz="0" w:space="0" w:color="auto"/>
            <w:bottom w:val="none" w:sz="0" w:space="0" w:color="auto"/>
            <w:right w:val="none" w:sz="0" w:space="0" w:color="auto"/>
          </w:divBdr>
          <w:divsChild>
            <w:div w:id="1573345781">
              <w:marLeft w:val="0"/>
              <w:marRight w:val="0"/>
              <w:marTop w:val="0"/>
              <w:marBottom w:val="0"/>
              <w:divBdr>
                <w:top w:val="none" w:sz="0" w:space="0" w:color="auto"/>
                <w:left w:val="none" w:sz="0" w:space="0" w:color="auto"/>
                <w:bottom w:val="none" w:sz="0" w:space="0" w:color="auto"/>
                <w:right w:val="none" w:sz="0" w:space="0" w:color="auto"/>
              </w:divBdr>
            </w:div>
          </w:divsChild>
        </w:div>
        <w:div w:id="657467538">
          <w:marLeft w:val="0"/>
          <w:marRight w:val="0"/>
          <w:marTop w:val="0"/>
          <w:marBottom w:val="0"/>
          <w:divBdr>
            <w:top w:val="none" w:sz="0" w:space="0" w:color="auto"/>
            <w:left w:val="none" w:sz="0" w:space="0" w:color="auto"/>
            <w:bottom w:val="none" w:sz="0" w:space="0" w:color="auto"/>
            <w:right w:val="none" w:sz="0" w:space="0" w:color="auto"/>
          </w:divBdr>
          <w:divsChild>
            <w:div w:id="362101471">
              <w:marLeft w:val="0"/>
              <w:marRight w:val="0"/>
              <w:marTop w:val="0"/>
              <w:marBottom w:val="0"/>
              <w:divBdr>
                <w:top w:val="none" w:sz="0" w:space="0" w:color="auto"/>
                <w:left w:val="none" w:sz="0" w:space="0" w:color="auto"/>
                <w:bottom w:val="none" w:sz="0" w:space="0" w:color="auto"/>
                <w:right w:val="none" w:sz="0" w:space="0" w:color="auto"/>
              </w:divBdr>
            </w:div>
          </w:divsChild>
        </w:div>
        <w:div w:id="734357143">
          <w:marLeft w:val="0"/>
          <w:marRight w:val="0"/>
          <w:marTop w:val="0"/>
          <w:marBottom w:val="0"/>
          <w:divBdr>
            <w:top w:val="none" w:sz="0" w:space="0" w:color="auto"/>
            <w:left w:val="none" w:sz="0" w:space="0" w:color="auto"/>
            <w:bottom w:val="none" w:sz="0" w:space="0" w:color="auto"/>
            <w:right w:val="none" w:sz="0" w:space="0" w:color="auto"/>
          </w:divBdr>
          <w:divsChild>
            <w:div w:id="2039546508">
              <w:marLeft w:val="0"/>
              <w:marRight w:val="0"/>
              <w:marTop w:val="0"/>
              <w:marBottom w:val="0"/>
              <w:divBdr>
                <w:top w:val="none" w:sz="0" w:space="0" w:color="auto"/>
                <w:left w:val="none" w:sz="0" w:space="0" w:color="auto"/>
                <w:bottom w:val="none" w:sz="0" w:space="0" w:color="auto"/>
                <w:right w:val="none" w:sz="0" w:space="0" w:color="auto"/>
              </w:divBdr>
            </w:div>
          </w:divsChild>
        </w:div>
        <w:div w:id="869957523">
          <w:marLeft w:val="0"/>
          <w:marRight w:val="0"/>
          <w:marTop w:val="0"/>
          <w:marBottom w:val="0"/>
          <w:divBdr>
            <w:top w:val="none" w:sz="0" w:space="0" w:color="auto"/>
            <w:left w:val="none" w:sz="0" w:space="0" w:color="auto"/>
            <w:bottom w:val="none" w:sz="0" w:space="0" w:color="auto"/>
            <w:right w:val="none" w:sz="0" w:space="0" w:color="auto"/>
          </w:divBdr>
          <w:divsChild>
            <w:div w:id="1924415273">
              <w:marLeft w:val="0"/>
              <w:marRight w:val="0"/>
              <w:marTop w:val="0"/>
              <w:marBottom w:val="0"/>
              <w:divBdr>
                <w:top w:val="none" w:sz="0" w:space="0" w:color="auto"/>
                <w:left w:val="none" w:sz="0" w:space="0" w:color="auto"/>
                <w:bottom w:val="none" w:sz="0" w:space="0" w:color="auto"/>
                <w:right w:val="none" w:sz="0" w:space="0" w:color="auto"/>
              </w:divBdr>
            </w:div>
          </w:divsChild>
        </w:div>
        <w:div w:id="870725718">
          <w:marLeft w:val="0"/>
          <w:marRight w:val="0"/>
          <w:marTop w:val="0"/>
          <w:marBottom w:val="0"/>
          <w:divBdr>
            <w:top w:val="none" w:sz="0" w:space="0" w:color="auto"/>
            <w:left w:val="none" w:sz="0" w:space="0" w:color="auto"/>
            <w:bottom w:val="none" w:sz="0" w:space="0" w:color="auto"/>
            <w:right w:val="none" w:sz="0" w:space="0" w:color="auto"/>
          </w:divBdr>
          <w:divsChild>
            <w:div w:id="977881081">
              <w:marLeft w:val="0"/>
              <w:marRight w:val="0"/>
              <w:marTop w:val="0"/>
              <w:marBottom w:val="0"/>
              <w:divBdr>
                <w:top w:val="none" w:sz="0" w:space="0" w:color="auto"/>
                <w:left w:val="none" w:sz="0" w:space="0" w:color="auto"/>
                <w:bottom w:val="none" w:sz="0" w:space="0" w:color="auto"/>
                <w:right w:val="none" w:sz="0" w:space="0" w:color="auto"/>
              </w:divBdr>
            </w:div>
          </w:divsChild>
        </w:div>
        <w:div w:id="1010374815">
          <w:marLeft w:val="0"/>
          <w:marRight w:val="0"/>
          <w:marTop w:val="0"/>
          <w:marBottom w:val="0"/>
          <w:divBdr>
            <w:top w:val="none" w:sz="0" w:space="0" w:color="auto"/>
            <w:left w:val="none" w:sz="0" w:space="0" w:color="auto"/>
            <w:bottom w:val="none" w:sz="0" w:space="0" w:color="auto"/>
            <w:right w:val="none" w:sz="0" w:space="0" w:color="auto"/>
          </w:divBdr>
          <w:divsChild>
            <w:div w:id="1560168081">
              <w:marLeft w:val="0"/>
              <w:marRight w:val="0"/>
              <w:marTop w:val="0"/>
              <w:marBottom w:val="0"/>
              <w:divBdr>
                <w:top w:val="none" w:sz="0" w:space="0" w:color="auto"/>
                <w:left w:val="none" w:sz="0" w:space="0" w:color="auto"/>
                <w:bottom w:val="none" w:sz="0" w:space="0" w:color="auto"/>
                <w:right w:val="none" w:sz="0" w:space="0" w:color="auto"/>
              </w:divBdr>
            </w:div>
          </w:divsChild>
        </w:div>
        <w:div w:id="1205288590">
          <w:marLeft w:val="0"/>
          <w:marRight w:val="0"/>
          <w:marTop w:val="0"/>
          <w:marBottom w:val="0"/>
          <w:divBdr>
            <w:top w:val="none" w:sz="0" w:space="0" w:color="auto"/>
            <w:left w:val="none" w:sz="0" w:space="0" w:color="auto"/>
            <w:bottom w:val="none" w:sz="0" w:space="0" w:color="auto"/>
            <w:right w:val="none" w:sz="0" w:space="0" w:color="auto"/>
          </w:divBdr>
          <w:divsChild>
            <w:div w:id="1536769744">
              <w:marLeft w:val="0"/>
              <w:marRight w:val="0"/>
              <w:marTop w:val="0"/>
              <w:marBottom w:val="0"/>
              <w:divBdr>
                <w:top w:val="none" w:sz="0" w:space="0" w:color="auto"/>
                <w:left w:val="none" w:sz="0" w:space="0" w:color="auto"/>
                <w:bottom w:val="none" w:sz="0" w:space="0" w:color="auto"/>
                <w:right w:val="none" w:sz="0" w:space="0" w:color="auto"/>
              </w:divBdr>
            </w:div>
          </w:divsChild>
        </w:div>
        <w:div w:id="1206865865">
          <w:marLeft w:val="0"/>
          <w:marRight w:val="0"/>
          <w:marTop w:val="0"/>
          <w:marBottom w:val="0"/>
          <w:divBdr>
            <w:top w:val="none" w:sz="0" w:space="0" w:color="auto"/>
            <w:left w:val="none" w:sz="0" w:space="0" w:color="auto"/>
            <w:bottom w:val="none" w:sz="0" w:space="0" w:color="auto"/>
            <w:right w:val="none" w:sz="0" w:space="0" w:color="auto"/>
          </w:divBdr>
          <w:divsChild>
            <w:div w:id="1171069986">
              <w:marLeft w:val="0"/>
              <w:marRight w:val="0"/>
              <w:marTop w:val="0"/>
              <w:marBottom w:val="0"/>
              <w:divBdr>
                <w:top w:val="none" w:sz="0" w:space="0" w:color="auto"/>
                <w:left w:val="none" w:sz="0" w:space="0" w:color="auto"/>
                <w:bottom w:val="none" w:sz="0" w:space="0" w:color="auto"/>
                <w:right w:val="none" w:sz="0" w:space="0" w:color="auto"/>
              </w:divBdr>
            </w:div>
          </w:divsChild>
        </w:div>
        <w:div w:id="1275210849">
          <w:marLeft w:val="0"/>
          <w:marRight w:val="0"/>
          <w:marTop w:val="0"/>
          <w:marBottom w:val="0"/>
          <w:divBdr>
            <w:top w:val="none" w:sz="0" w:space="0" w:color="auto"/>
            <w:left w:val="none" w:sz="0" w:space="0" w:color="auto"/>
            <w:bottom w:val="none" w:sz="0" w:space="0" w:color="auto"/>
            <w:right w:val="none" w:sz="0" w:space="0" w:color="auto"/>
          </w:divBdr>
          <w:divsChild>
            <w:div w:id="249854232">
              <w:marLeft w:val="0"/>
              <w:marRight w:val="0"/>
              <w:marTop w:val="0"/>
              <w:marBottom w:val="0"/>
              <w:divBdr>
                <w:top w:val="none" w:sz="0" w:space="0" w:color="auto"/>
                <w:left w:val="none" w:sz="0" w:space="0" w:color="auto"/>
                <w:bottom w:val="none" w:sz="0" w:space="0" w:color="auto"/>
                <w:right w:val="none" w:sz="0" w:space="0" w:color="auto"/>
              </w:divBdr>
            </w:div>
          </w:divsChild>
        </w:div>
        <w:div w:id="1547646625">
          <w:marLeft w:val="0"/>
          <w:marRight w:val="0"/>
          <w:marTop w:val="0"/>
          <w:marBottom w:val="0"/>
          <w:divBdr>
            <w:top w:val="none" w:sz="0" w:space="0" w:color="auto"/>
            <w:left w:val="none" w:sz="0" w:space="0" w:color="auto"/>
            <w:bottom w:val="none" w:sz="0" w:space="0" w:color="auto"/>
            <w:right w:val="none" w:sz="0" w:space="0" w:color="auto"/>
          </w:divBdr>
          <w:divsChild>
            <w:div w:id="1092357026">
              <w:marLeft w:val="0"/>
              <w:marRight w:val="0"/>
              <w:marTop w:val="0"/>
              <w:marBottom w:val="0"/>
              <w:divBdr>
                <w:top w:val="none" w:sz="0" w:space="0" w:color="auto"/>
                <w:left w:val="none" w:sz="0" w:space="0" w:color="auto"/>
                <w:bottom w:val="none" w:sz="0" w:space="0" w:color="auto"/>
                <w:right w:val="none" w:sz="0" w:space="0" w:color="auto"/>
              </w:divBdr>
            </w:div>
          </w:divsChild>
        </w:div>
        <w:div w:id="1798331556">
          <w:marLeft w:val="0"/>
          <w:marRight w:val="0"/>
          <w:marTop w:val="0"/>
          <w:marBottom w:val="0"/>
          <w:divBdr>
            <w:top w:val="none" w:sz="0" w:space="0" w:color="auto"/>
            <w:left w:val="none" w:sz="0" w:space="0" w:color="auto"/>
            <w:bottom w:val="none" w:sz="0" w:space="0" w:color="auto"/>
            <w:right w:val="none" w:sz="0" w:space="0" w:color="auto"/>
          </w:divBdr>
          <w:divsChild>
            <w:div w:id="1481071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802139">
      <w:bodyDiv w:val="1"/>
      <w:marLeft w:val="0"/>
      <w:marRight w:val="0"/>
      <w:marTop w:val="0"/>
      <w:marBottom w:val="0"/>
      <w:divBdr>
        <w:top w:val="none" w:sz="0" w:space="0" w:color="auto"/>
        <w:left w:val="none" w:sz="0" w:space="0" w:color="auto"/>
        <w:bottom w:val="none" w:sz="0" w:space="0" w:color="auto"/>
        <w:right w:val="none" w:sz="0" w:space="0" w:color="auto"/>
      </w:divBdr>
    </w:div>
    <w:div w:id="1954946151">
      <w:bodyDiv w:val="1"/>
      <w:marLeft w:val="0"/>
      <w:marRight w:val="0"/>
      <w:marTop w:val="0"/>
      <w:marBottom w:val="0"/>
      <w:divBdr>
        <w:top w:val="none" w:sz="0" w:space="0" w:color="auto"/>
        <w:left w:val="none" w:sz="0" w:space="0" w:color="auto"/>
        <w:bottom w:val="none" w:sz="0" w:space="0" w:color="auto"/>
        <w:right w:val="none" w:sz="0" w:space="0" w:color="auto"/>
      </w:divBdr>
    </w:div>
    <w:div w:id="2121950636">
      <w:bodyDiv w:val="1"/>
      <w:marLeft w:val="0"/>
      <w:marRight w:val="0"/>
      <w:marTop w:val="0"/>
      <w:marBottom w:val="0"/>
      <w:divBdr>
        <w:top w:val="none" w:sz="0" w:space="0" w:color="auto"/>
        <w:left w:val="none" w:sz="0" w:space="0" w:color="auto"/>
        <w:bottom w:val="none" w:sz="0" w:space="0" w:color="auto"/>
        <w:right w:val="none" w:sz="0" w:space="0" w:color="auto"/>
      </w:divBdr>
      <w:divsChild>
        <w:div w:id="33237259">
          <w:marLeft w:val="0"/>
          <w:marRight w:val="0"/>
          <w:marTop w:val="0"/>
          <w:marBottom w:val="0"/>
          <w:divBdr>
            <w:top w:val="none" w:sz="0" w:space="0" w:color="auto"/>
            <w:left w:val="none" w:sz="0" w:space="0" w:color="auto"/>
            <w:bottom w:val="none" w:sz="0" w:space="0" w:color="auto"/>
            <w:right w:val="none" w:sz="0" w:space="0" w:color="auto"/>
          </w:divBdr>
          <w:divsChild>
            <w:div w:id="1159464110">
              <w:marLeft w:val="0"/>
              <w:marRight w:val="0"/>
              <w:marTop w:val="0"/>
              <w:marBottom w:val="0"/>
              <w:divBdr>
                <w:top w:val="none" w:sz="0" w:space="0" w:color="auto"/>
                <w:left w:val="none" w:sz="0" w:space="0" w:color="auto"/>
                <w:bottom w:val="none" w:sz="0" w:space="0" w:color="auto"/>
                <w:right w:val="none" w:sz="0" w:space="0" w:color="auto"/>
              </w:divBdr>
            </w:div>
          </w:divsChild>
        </w:div>
        <w:div w:id="55521057">
          <w:marLeft w:val="0"/>
          <w:marRight w:val="0"/>
          <w:marTop w:val="0"/>
          <w:marBottom w:val="0"/>
          <w:divBdr>
            <w:top w:val="none" w:sz="0" w:space="0" w:color="auto"/>
            <w:left w:val="none" w:sz="0" w:space="0" w:color="auto"/>
            <w:bottom w:val="none" w:sz="0" w:space="0" w:color="auto"/>
            <w:right w:val="none" w:sz="0" w:space="0" w:color="auto"/>
          </w:divBdr>
          <w:divsChild>
            <w:div w:id="92286038">
              <w:marLeft w:val="0"/>
              <w:marRight w:val="0"/>
              <w:marTop w:val="0"/>
              <w:marBottom w:val="0"/>
              <w:divBdr>
                <w:top w:val="none" w:sz="0" w:space="0" w:color="auto"/>
                <w:left w:val="none" w:sz="0" w:space="0" w:color="auto"/>
                <w:bottom w:val="none" w:sz="0" w:space="0" w:color="auto"/>
                <w:right w:val="none" w:sz="0" w:space="0" w:color="auto"/>
              </w:divBdr>
            </w:div>
          </w:divsChild>
        </w:div>
        <w:div w:id="70393665">
          <w:marLeft w:val="0"/>
          <w:marRight w:val="0"/>
          <w:marTop w:val="0"/>
          <w:marBottom w:val="0"/>
          <w:divBdr>
            <w:top w:val="none" w:sz="0" w:space="0" w:color="auto"/>
            <w:left w:val="none" w:sz="0" w:space="0" w:color="auto"/>
            <w:bottom w:val="none" w:sz="0" w:space="0" w:color="auto"/>
            <w:right w:val="none" w:sz="0" w:space="0" w:color="auto"/>
          </w:divBdr>
          <w:divsChild>
            <w:div w:id="803542124">
              <w:marLeft w:val="0"/>
              <w:marRight w:val="0"/>
              <w:marTop w:val="0"/>
              <w:marBottom w:val="0"/>
              <w:divBdr>
                <w:top w:val="none" w:sz="0" w:space="0" w:color="auto"/>
                <w:left w:val="none" w:sz="0" w:space="0" w:color="auto"/>
                <w:bottom w:val="none" w:sz="0" w:space="0" w:color="auto"/>
                <w:right w:val="none" w:sz="0" w:space="0" w:color="auto"/>
              </w:divBdr>
            </w:div>
          </w:divsChild>
        </w:div>
        <w:div w:id="87384021">
          <w:marLeft w:val="0"/>
          <w:marRight w:val="0"/>
          <w:marTop w:val="0"/>
          <w:marBottom w:val="0"/>
          <w:divBdr>
            <w:top w:val="none" w:sz="0" w:space="0" w:color="auto"/>
            <w:left w:val="none" w:sz="0" w:space="0" w:color="auto"/>
            <w:bottom w:val="none" w:sz="0" w:space="0" w:color="auto"/>
            <w:right w:val="none" w:sz="0" w:space="0" w:color="auto"/>
          </w:divBdr>
          <w:divsChild>
            <w:div w:id="1561792473">
              <w:marLeft w:val="0"/>
              <w:marRight w:val="0"/>
              <w:marTop w:val="0"/>
              <w:marBottom w:val="0"/>
              <w:divBdr>
                <w:top w:val="none" w:sz="0" w:space="0" w:color="auto"/>
                <w:left w:val="none" w:sz="0" w:space="0" w:color="auto"/>
                <w:bottom w:val="none" w:sz="0" w:space="0" w:color="auto"/>
                <w:right w:val="none" w:sz="0" w:space="0" w:color="auto"/>
              </w:divBdr>
            </w:div>
            <w:div w:id="1608077187">
              <w:marLeft w:val="0"/>
              <w:marRight w:val="0"/>
              <w:marTop w:val="0"/>
              <w:marBottom w:val="0"/>
              <w:divBdr>
                <w:top w:val="none" w:sz="0" w:space="0" w:color="auto"/>
                <w:left w:val="none" w:sz="0" w:space="0" w:color="auto"/>
                <w:bottom w:val="none" w:sz="0" w:space="0" w:color="auto"/>
                <w:right w:val="none" w:sz="0" w:space="0" w:color="auto"/>
              </w:divBdr>
            </w:div>
            <w:div w:id="2111242533">
              <w:marLeft w:val="0"/>
              <w:marRight w:val="0"/>
              <w:marTop w:val="0"/>
              <w:marBottom w:val="0"/>
              <w:divBdr>
                <w:top w:val="none" w:sz="0" w:space="0" w:color="auto"/>
                <w:left w:val="none" w:sz="0" w:space="0" w:color="auto"/>
                <w:bottom w:val="none" w:sz="0" w:space="0" w:color="auto"/>
                <w:right w:val="none" w:sz="0" w:space="0" w:color="auto"/>
              </w:divBdr>
            </w:div>
          </w:divsChild>
        </w:div>
        <w:div w:id="101652731">
          <w:marLeft w:val="0"/>
          <w:marRight w:val="0"/>
          <w:marTop w:val="0"/>
          <w:marBottom w:val="0"/>
          <w:divBdr>
            <w:top w:val="none" w:sz="0" w:space="0" w:color="auto"/>
            <w:left w:val="none" w:sz="0" w:space="0" w:color="auto"/>
            <w:bottom w:val="none" w:sz="0" w:space="0" w:color="auto"/>
            <w:right w:val="none" w:sz="0" w:space="0" w:color="auto"/>
          </w:divBdr>
          <w:divsChild>
            <w:div w:id="257296740">
              <w:marLeft w:val="0"/>
              <w:marRight w:val="0"/>
              <w:marTop w:val="0"/>
              <w:marBottom w:val="0"/>
              <w:divBdr>
                <w:top w:val="none" w:sz="0" w:space="0" w:color="auto"/>
                <w:left w:val="none" w:sz="0" w:space="0" w:color="auto"/>
                <w:bottom w:val="none" w:sz="0" w:space="0" w:color="auto"/>
                <w:right w:val="none" w:sz="0" w:space="0" w:color="auto"/>
              </w:divBdr>
            </w:div>
            <w:div w:id="975991279">
              <w:marLeft w:val="0"/>
              <w:marRight w:val="0"/>
              <w:marTop w:val="0"/>
              <w:marBottom w:val="0"/>
              <w:divBdr>
                <w:top w:val="none" w:sz="0" w:space="0" w:color="auto"/>
                <w:left w:val="none" w:sz="0" w:space="0" w:color="auto"/>
                <w:bottom w:val="none" w:sz="0" w:space="0" w:color="auto"/>
                <w:right w:val="none" w:sz="0" w:space="0" w:color="auto"/>
              </w:divBdr>
            </w:div>
            <w:div w:id="1195146430">
              <w:marLeft w:val="0"/>
              <w:marRight w:val="0"/>
              <w:marTop w:val="0"/>
              <w:marBottom w:val="0"/>
              <w:divBdr>
                <w:top w:val="none" w:sz="0" w:space="0" w:color="auto"/>
                <w:left w:val="none" w:sz="0" w:space="0" w:color="auto"/>
                <w:bottom w:val="none" w:sz="0" w:space="0" w:color="auto"/>
                <w:right w:val="none" w:sz="0" w:space="0" w:color="auto"/>
              </w:divBdr>
            </w:div>
          </w:divsChild>
        </w:div>
        <w:div w:id="106506160">
          <w:marLeft w:val="0"/>
          <w:marRight w:val="0"/>
          <w:marTop w:val="0"/>
          <w:marBottom w:val="0"/>
          <w:divBdr>
            <w:top w:val="none" w:sz="0" w:space="0" w:color="auto"/>
            <w:left w:val="none" w:sz="0" w:space="0" w:color="auto"/>
            <w:bottom w:val="none" w:sz="0" w:space="0" w:color="auto"/>
            <w:right w:val="none" w:sz="0" w:space="0" w:color="auto"/>
          </w:divBdr>
          <w:divsChild>
            <w:div w:id="1183281263">
              <w:marLeft w:val="0"/>
              <w:marRight w:val="0"/>
              <w:marTop w:val="0"/>
              <w:marBottom w:val="0"/>
              <w:divBdr>
                <w:top w:val="none" w:sz="0" w:space="0" w:color="auto"/>
                <w:left w:val="none" w:sz="0" w:space="0" w:color="auto"/>
                <w:bottom w:val="none" w:sz="0" w:space="0" w:color="auto"/>
                <w:right w:val="none" w:sz="0" w:space="0" w:color="auto"/>
              </w:divBdr>
            </w:div>
          </w:divsChild>
        </w:div>
        <w:div w:id="129133990">
          <w:marLeft w:val="0"/>
          <w:marRight w:val="0"/>
          <w:marTop w:val="0"/>
          <w:marBottom w:val="0"/>
          <w:divBdr>
            <w:top w:val="none" w:sz="0" w:space="0" w:color="auto"/>
            <w:left w:val="none" w:sz="0" w:space="0" w:color="auto"/>
            <w:bottom w:val="none" w:sz="0" w:space="0" w:color="auto"/>
            <w:right w:val="none" w:sz="0" w:space="0" w:color="auto"/>
          </w:divBdr>
          <w:divsChild>
            <w:div w:id="491063483">
              <w:marLeft w:val="0"/>
              <w:marRight w:val="0"/>
              <w:marTop w:val="0"/>
              <w:marBottom w:val="0"/>
              <w:divBdr>
                <w:top w:val="none" w:sz="0" w:space="0" w:color="auto"/>
                <w:left w:val="none" w:sz="0" w:space="0" w:color="auto"/>
                <w:bottom w:val="none" w:sz="0" w:space="0" w:color="auto"/>
                <w:right w:val="none" w:sz="0" w:space="0" w:color="auto"/>
              </w:divBdr>
            </w:div>
            <w:div w:id="1706368730">
              <w:marLeft w:val="0"/>
              <w:marRight w:val="0"/>
              <w:marTop w:val="0"/>
              <w:marBottom w:val="0"/>
              <w:divBdr>
                <w:top w:val="none" w:sz="0" w:space="0" w:color="auto"/>
                <w:left w:val="none" w:sz="0" w:space="0" w:color="auto"/>
                <w:bottom w:val="none" w:sz="0" w:space="0" w:color="auto"/>
                <w:right w:val="none" w:sz="0" w:space="0" w:color="auto"/>
              </w:divBdr>
            </w:div>
          </w:divsChild>
        </w:div>
        <w:div w:id="169029745">
          <w:marLeft w:val="0"/>
          <w:marRight w:val="0"/>
          <w:marTop w:val="0"/>
          <w:marBottom w:val="0"/>
          <w:divBdr>
            <w:top w:val="none" w:sz="0" w:space="0" w:color="auto"/>
            <w:left w:val="none" w:sz="0" w:space="0" w:color="auto"/>
            <w:bottom w:val="none" w:sz="0" w:space="0" w:color="auto"/>
            <w:right w:val="none" w:sz="0" w:space="0" w:color="auto"/>
          </w:divBdr>
          <w:divsChild>
            <w:div w:id="928002088">
              <w:marLeft w:val="0"/>
              <w:marRight w:val="0"/>
              <w:marTop w:val="0"/>
              <w:marBottom w:val="0"/>
              <w:divBdr>
                <w:top w:val="none" w:sz="0" w:space="0" w:color="auto"/>
                <w:left w:val="none" w:sz="0" w:space="0" w:color="auto"/>
                <w:bottom w:val="none" w:sz="0" w:space="0" w:color="auto"/>
                <w:right w:val="none" w:sz="0" w:space="0" w:color="auto"/>
              </w:divBdr>
            </w:div>
            <w:div w:id="1069957366">
              <w:marLeft w:val="0"/>
              <w:marRight w:val="0"/>
              <w:marTop w:val="0"/>
              <w:marBottom w:val="0"/>
              <w:divBdr>
                <w:top w:val="none" w:sz="0" w:space="0" w:color="auto"/>
                <w:left w:val="none" w:sz="0" w:space="0" w:color="auto"/>
                <w:bottom w:val="none" w:sz="0" w:space="0" w:color="auto"/>
                <w:right w:val="none" w:sz="0" w:space="0" w:color="auto"/>
              </w:divBdr>
            </w:div>
            <w:div w:id="1101024707">
              <w:marLeft w:val="0"/>
              <w:marRight w:val="0"/>
              <w:marTop w:val="0"/>
              <w:marBottom w:val="0"/>
              <w:divBdr>
                <w:top w:val="none" w:sz="0" w:space="0" w:color="auto"/>
                <w:left w:val="none" w:sz="0" w:space="0" w:color="auto"/>
                <w:bottom w:val="none" w:sz="0" w:space="0" w:color="auto"/>
                <w:right w:val="none" w:sz="0" w:space="0" w:color="auto"/>
              </w:divBdr>
            </w:div>
          </w:divsChild>
        </w:div>
        <w:div w:id="197814005">
          <w:marLeft w:val="0"/>
          <w:marRight w:val="0"/>
          <w:marTop w:val="0"/>
          <w:marBottom w:val="0"/>
          <w:divBdr>
            <w:top w:val="none" w:sz="0" w:space="0" w:color="auto"/>
            <w:left w:val="none" w:sz="0" w:space="0" w:color="auto"/>
            <w:bottom w:val="none" w:sz="0" w:space="0" w:color="auto"/>
            <w:right w:val="none" w:sz="0" w:space="0" w:color="auto"/>
          </w:divBdr>
          <w:divsChild>
            <w:div w:id="597635815">
              <w:marLeft w:val="0"/>
              <w:marRight w:val="0"/>
              <w:marTop w:val="0"/>
              <w:marBottom w:val="0"/>
              <w:divBdr>
                <w:top w:val="none" w:sz="0" w:space="0" w:color="auto"/>
                <w:left w:val="none" w:sz="0" w:space="0" w:color="auto"/>
                <w:bottom w:val="none" w:sz="0" w:space="0" w:color="auto"/>
                <w:right w:val="none" w:sz="0" w:space="0" w:color="auto"/>
              </w:divBdr>
            </w:div>
            <w:div w:id="1496677825">
              <w:marLeft w:val="0"/>
              <w:marRight w:val="0"/>
              <w:marTop w:val="0"/>
              <w:marBottom w:val="0"/>
              <w:divBdr>
                <w:top w:val="none" w:sz="0" w:space="0" w:color="auto"/>
                <w:left w:val="none" w:sz="0" w:space="0" w:color="auto"/>
                <w:bottom w:val="none" w:sz="0" w:space="0" w:color="auto"/>
                <w:right w:val="none" w:sz="0" w:space="0" w:color="auto"/>
              </w:divBdr>
            </w:div>
            <w:div w:id="1659268768">
              <w:marLeft w:val="0"/>
              <w:marRight w:val="0"/>
              <w:marTop w:val="0"/>
              <w:marBottom w:val="0"/>
              <w:divBdr>
                <w:top w:val="none" w:sz="0" w:space="0" w:color="auto"/>
                <w:left w:val="none" w:sz="0" w:space="0" w:color="auto"/>
                <w:bottom w:val="none" w:sz="0" w:space="0" w:color="auto"/>
                <w:right w:val="none" w:sz="0" w:space="0" w:color="auto"/>
              </w:divBdr>
            </w:div>
          </w:divsChild>
        </w:div>
        <w:div w:id="220212643">
          <w:marLeft w:val="0"/>
          <w:marRight w:val="0"/>
          <w:marTop w:val="0"/>
          <w:marBottom w:val="0"/>
          <w:divBdr>
            <w:top w:val="none" w:sz="0" w:space="0" w:color="auto"/>
            <w:left w:val="none" w:sz="0" w:space="0" w:color="auto"/>
            <w:bottom w:val="none" w:sz="0" w:space="0" w:color="auto"/>
            <w:right w:val="none" w:sz="0" w:space="0" w:color="auto"/>
          </w:divBdr>
          <w:divsChild>
            <w:div w:id="127016255">
              <w:marLeft w:val="0"/>
              <w:marRight w:val="0"/>
              <w:marTop w:val="0"/>
              <w:marBottom w:val="0"/>
              <w:divBdr>
                <w:top w:val="none" w:sz="0" w:space="0" w:color="auto"/>
                <w:left w:val="none" w:sz="0" w:space="0" w:color="auto"/>
                <w:bottom w:val="none" w:sz="0" w:space="0" w:color="auto"/>
                <w:right w:val="none" w:sz="0" w:space="0" w:color="auto"/>
              </w:divBdr>
            </w:div>
            <w:div w:id="168764191">
              <w:marLeft w:val="0"/>
              <w:marRight w:val="0"/>
              <w:marTop w:val="0"/>
              <w:marBottom w:val="0"/>
              <w:divBdr>
                <w:top w:val="none" w:sz="0" w:space="0" w:color="auto"/>
                <w:left w:val="none" w:sz="0" w:space="0" w:color="auto"/>
                <w:bottom w:val="none" w:sz="0" w:space="0" w:color="auto"/>
                <w:right w:val="none" w:sz="0" w:space="0" w:color="auto"/>
              </w:divBdr>
            </w:div>
            <w:div w:id="535580427">
              <w:marLeft w:val="0"/>
              <w:marRight w:val="0"/>
              <w:marTop w:val="0"/>
              <w:marBottom w:val="0"/>
              <w:divBdr>
                <w:top w:val="none" w:sz="0" w:space="0" w:color="auto"/>
                <w:left w:val="none" w:sz="0" w:space="0" w:color="auto"/>
                <w:bottom w:val="none" w:sz="0" w:space="0" w:color="auto"/>
                <w:right w:val="none" w:sz="0" w:space="0" w:color="auto"/>
              </w:divBdr>
            </w:div>
            <w:div w:id="968509414">
              <w:marLeft w:val="0"/>
              <w:marRight w:val="0"/>
              <w:marTop w:val="0"/>
              <w:marBottom w:val="0"/>
              <w:divBdr>
                <w:top w:val="none" w:sz="0" w:space="0" w:color="auto"/>
                <w:left w:val="none" w:sz="0" w:space="0" w:color="auto"/>
                <w:bottom w:val="none" w:sz="0" w:space="0" w:color="auto"/>
                <w:right w:val="none" w:sz="0" w:space="0" w:color="auto"/>
              </w:divBdr>
            </w:div>
            <w:div w:id="1420062856">
              <w:marLeft w:val="0"/>
              <w:marRight w:val="0"/>
              <w:marTop w:val="0"/>
              <w:marBottom w:val="0"/>
              <w:divBdr>
                <w:top w:val="none" w:sz="0" w:space="0" w:color="auto"/>
                <w:left w:val="none" w:sz="0" w:space="0" w:color="auto"/>
                <w:bottom w:val="none" w:sz="0" w:space="0" w:color="auto"/>
                <w:right w:val="none" w:sz="0" w:space="0" w:color="auto"/>
              </w:divBdr>
            </w:div>
            <w:div w:id="1853572224">
              <w:marLeft w:val="0"/>
              <w:marRight w:val="0"/>
              <w:marTop w:val="0"/>
              <w:marBottom w:val="0"/>
              <w:divBdr>
                <w:top w:val="none" w:sz="0" w:space="0" w:color="auto"/>
                <w:left w:val="none" w:sz="0" w:space="0" w:color="auto"/>
                <w:bottom w:val="none" w:sz="0" w:space="0" w:color="auto"/>
                <w:right w:val="none" w:sz="0" w:space="0" w:color="auto"/>
              </w:divBdr>
            </w:div>
            <w:div w:id="2006125539">
              <w:marLeft w:val="0"/>
              <w:marRight w:val="0"/>
              <w:marTop w:val="0"/>
              <w:marBottom w:val="0"/>
              <w:divBdr>
                <w:top w:val="none" w:sz="0" w:space="0" w:color="auto"/>
                <w:left w:val="none" w:sz="0" w:space="0" w:color="auto"/>
                <w:bottom w:val="none" w:sz="0" w:space="0" w:color="auto"/>
                <w:right w:val="none" w:sz="0" w:space="0" w:color="auto"/>
              </w:divBdr>
            </w:div>
            <w:div w:id="2096366141">
              <w:marLeft w:val="0"/>
              <w:marRight w:val="0"/>
              <w:marTop w:val="0"/>
              <w:marBottom w:val="0"/>
              <w:divBdr>
                <w:top w:val="none" w:sz="0" w:space="0" w:color="auto"/>
                <w:left w:val="none" w:sz="0" w:space="0" w:color="auto"/>
                <w:bottom w:val="none" w:sz="0" w:space="0" w:color="auto"/>
                <w:right w:val="none" w:sz="0" w:space="0" w:color="auto"/>
              </w:divBdr>
            </w:div>
          </w:divsChild>
        </w:div>
        <w:div w:id="224412633">
          <w:marLeft w:val="0"/>
          <w:marRight w:val="0"/>
          <w:marTop w:val="0"/>
          <w:marBottom w:val="0"/>
          <w:divBdr>
            <w:top w:val="none" w:sz="0" w:space="0" w:color="auto"/>
            <w:left w:val="none" w:sz="0" w:space="0" w:color="auto"/>
            <w:bottom w:val="none" w:sz="0" w:space="0" w:color="auto"/>
            <w:right w:val="none" w:sz="0" w:space="0" w:color="auto"/>
          </w:divBdr>
          <w:divsChild>
            <w:div w:id="108625075">
              <w:marLeft w:val="0"/>
              <w:marRight w:val="0"/>
              <w:marTop w:val="0"/>
              <w:marBottom w:val="0"/>
              <w:divBdr>
                <w:top w:val="none" w:sz="0" w:space="0" w:color="auto"/>
                <w:left w:val="none" w:sz="0" w:space="0" w:color="auto"/>
                <w:bottom w:val="none" w:sz="0" w:space="0" w:color="auto"/>
                <w:right w:val="none" w:sz="0" w:space="0" w:color="auto"/>
              </w:divBdr>
            </w:div>
          </w:divsChild>
        </w:div>
        <w:div w:id="225840955">
          <w:marLeft w:val="0"/>
          <w:marRight w:val="0"/>
          <w:marTop w:val="0"/>
          <w:marBottom w:val="0"/>
          <w:divBdr>
            <w:top w:val="none" w:sz="0" w:space="0" w:color="auto"/>
            <w:left w:val="none" w:sz="0" w:space="0" w:color="auto"/>
            <w:bottom w:val="none" w:sz="0" w:space="0" w:color="auto"/>
            <w:right w:val="none" w:sz="0" w:space="0" w:color="auto"/>
          </w:divBdr>
          <w:divsChild>
            <w:div w:id="686716012">
              <w:marLeft w:val="0"/>
              <w:marRight w:val="0"/>
              <w:marTop w:val="0"/>
              <w:marBottom w:val="0"/>
              <w:divBdr>
                <w:top w:val="none" w:sz="0" w:space="0" w:color="auto"/>
                <w:left w:val="none" w:sz="0" w:space="0" w:color="auto"/>
                <w:bottom w:val="none" w:sz="0" w:space="0" w:color="auto"/>
                <w:right w:val="none" w:sz="0" w:space="0" w:color="auto"/>
              </w:divBdr>
            </w:div>
          </w:divsChild>
        </w:div>
        <w:div w:id="249002693">
          <w:marLeft w:val="0"/>
          <w:marRight w:val="0"/>
          <w:marTop w:val="0"/>
          <w:marBottom w:val="0"/>
          <w:divBdr>
            <w:top w:val="none" w:sz="0" w:space="0" w:color="auto"/>
            <w:left w:val="none" w:sz="0" w:space="0" w:color="auto"/>
            <w:bottom w:val="none" w:sz="0" w:space="0" w:color="auto"/>
            <w:right w:val="none" w:sz="0" w:space="0" w:color="auto"/>
          </w:divBdr>
          <w:divsChild>
            <w:div w:id="1147863315">
              <w:marLeft w:val="0"/>
              <w:marRight w:val="0"/>
              <w:marTop w:val="0"/>
              <w:marBottom w:val="0"/>
              <w:divBdr>
                <w:top w:val="none" w:sz="0" w:space="0" w:color="auto"/>
                <w:left w:val="none" w:sz="0" w:space="0" w:color="auto"/>
                <w:bottom w:val="none" w:sz="0" w:space="0" w:color="auto"/>
                <w:right w:val="none" w:sz="0" w:space="0" w:color="auto"/>
              </w:divBdr>
            </w:div>
            <w:div w:id="1148982904">
              <w:marLeft w:val="0"/>
              <w:marRight w:val="0"/>
              <w:marTop w:val="0"/>
              <w:marBottom w:val="0"/>
              <w:divBdr>
                <w:top w:val="none" w:sz="0" w:space="0" w:color="auto"/>
                <w:left w:val="none" w:sz="0" w:space="0" w:color="auto"/>
                <w:bottom w:val="none" w:sz="0" w:space="0" w:color="auto"/>
                <w:right w:val="none" w:sz="0" w:space="0" w:color="auto"/>
              </w:divBdr>
            </w:div>
            <w:div w:id="1466048863">
              <w:marLeft w:val="0"/>
              <w:marRight w:val="0"/>
              <w:marTop w:val="0"/>
              <w:marBottom w:val="0"/>
              <w:divBdr>
                <w:top w:val="none" w:sz="0" w:space="0" w:color="auto"/>
                <w:left w:val="none" w:sz="0" w:space="0" w:color="auto"/>
                <w:bottom w:val="none" w:sz="0" w:space="0" w:color="auto"/>
                <w:right w:val="none" w:sz="0" w:space="0" w:color="auto"/>
              </w:divBdr>
            </w:div>
          </w:divsChild>
        </w:div>
        <w:div w:id="322201623">
          <w:marLeft w:val="0"/>
          <w:marRight w:val="0"/>
          <w:marTop w:val="0"/>
          <w:marBottom w:val="0"/>
          <w:divBdr>
            <w:top w:val="none" w:sz="0" w:space="0" w:color="auto"/>
            <w:left w:val="none" w:sz="0" w:space="0" w:color="auto"/>
            <w:bottom w:val="none" w:sz="0" w:space="0" w:color="auto"/>
            <w:right w:val="none" w:sz="0" w:space="0" w:color="auto"/>
          </w:divBdr>
          <w:divsChild>
            <w:div w:id="1863980534">
              <w:marLeft w:val="0"/>
              <w:marRight w:val="0"/>
              <w:marTop w:val="0"/>
              <w:marBottom w:val="0"/>
              <w:divBdr>
                <w:top w:val="none" w:sz="0" w:space="0" w:color="auto"/>
                <w:left w:val="none" w:sz="0" w:space="0" w:color="auto"/>
                <w:bottom w:val="none" w:sz="0" w:space="0" w:color="auto"/>
                <w:right w:val="none" w:sz="0" w:space="0" w:color="auto"/>
              </w:divBdr>
            </w:div>
            <w:div w:id="2051609984">
              <w:marLeft w:val="0"/>
              <w:marRight w:val="0"/>
              <w:marTop w:val="0"/>
              <w:marBottom w:val="0"/>
              <w:divBdr>
                <w:top w:val="none" w:sz="0" w:space="0" w:color="auto"/>
                <w:left w:val="none" w:sz="0" w:space="0" w:color="auto"/>
                <w:bottom w:val="none" w:sz="0" w:space="0" w:color="auto"/>
                <w:right w:val="none" w:sz="0" w:space="0" w:color="auto"/>
              </w:divBdr>
            </w:div>
          </w:divsChild>
        </w:div>
        <w:div w:id="455376043">
          <w:marLeft w:val="0"/>
          <w:marRight w:val="0"/>
          <w:marTop w:val="0"/>
          <w:marBottom w:val="0"/>
          <w:divBdr>
            <w:top w:val="none" w:sz="0" w:space="0" w:color="auto"/>
            <w:left w:val="none" w:sz="0" w:space="0" w:color="auto"/>
            <w:bottom w:val="none" w:sz="0" w:space="0" w:color="auto"/>
            <w:right w:val="none" w:sz="0" w:space="0" w:color="auto"/>
          </w:divBdr>
          <w:divsChild>
            <w:div w:id="327246109">
              <w:marLeft w:val="0"/>
              <w:marRight w:val="0"/>
              <w:marTop w:val="0"/>
              <w:marBottom w:val="0"/>
              <w:divBdr>
                <w:top w:val="none" w:sz="0" w:space="0" w:color="auto"/>
                <w:left w:val="none" w:sz="0" w:space="0" w:color="auto"/>
                <w:bottom w:val="none" w:sz="0" w:space="0" w:color="auto"/>
                <w:right w:val="none" w:sz="0" w:space="0" w:color="auto"/>
              </w:divBdr>
            </w:div>
            <w:div w:id="1209604452">
              <w:marLeft w:val="0"/>
              <w:marRight w:val="0"/>
              <w:marTop w:val="0"/>
              <w:marBottom w:val="0"/>
              <w:divBdr>
                <w:top w:val="none" w:sz="0" w:space="0" w:color="auto"/>
                <w:left w:val="none" w:sz="0" w:space="0" w:color="auto"/>
                <w:bottom w:val="none" w:sz="0" w:space="0" w:color="auto"/>
                <w:right w:val="none" w:sz="0" w:space="0" w:color="auto"/>
              </w:divBdr>
            </w:div>
          </w:divsChild>
        </w:div>
        <w:div w:id="455493110">
          <w:marLeft w:val="0"/>
          <w:marRight w:val="0"/>
          <w:marTop w:val="0"/>
          <w:marBottom w:val="0"/>
          <w:divBdr>
            <w:top w:val="none" w:sz="0" w:space="0" w:color="auto"/>
            <w:left w:val="none" w:sz="0" w:space="0" w:color="auto"/>
            <w:bottom w:val="none" w:sz="0" w:space="0" w:color="auto"/>
            <w:right w:val="none" w:sz="0" w:space="0" w:color="auto"/>
          </w:divBdr>
          <w:divsChild>
            <w:div w:id="5912879">
              <w:marLeft w:val="0"/>
              <w:marRight w:val="0"/>
              <w:marTop w:val="0"/>
              <w:marBottom w:val="0"/>
              <w:divBdr>
                <w:top w:val="none" w:sz="0" w:space="0" w:color="auto"/>
                <w:left w:val="none" w:sz="0" w:space="0" w:color="auto"/>
                <w:bottom w:val="none" w:sz="0" w:space="0" w:color="auto"/>
                <w:right w:val="none" w:sz="0" w:space="0" w:color="auto"/>
              </w:divBdr>
            </w:div>
            <w:div w:id="573705550">
              <w:marLeft w:val="0"/>
              <w:marRight w:val="0"/>
              <w:marTop w:val="0"/>
              <w:marBottom w:val="0"/>
              <w:divBdr>
                <w:top w:val="none" w:sz="0" w:space="0" w:color="auto"/>
                <w:left w:val="none" w:sz="0" w:space="0" w:color="auto"/>
                <w:bottom w:val="none" w:sz="0" w:space="0" w:color="auto"/>
                <w:right w:val="none" w:sz="0" w:space="0" w:color="auto"/>
              </w:divBdr>
            </w:div>
            <w:div w:id="1327130772">
              <w:marLeft w:val="0"/>
              <w:marRight w:val="0"/>
              <w:marTop w:val="0"/>
              <w:marBottom w:val="0"/>
              <w:divBdr>
                <w:top w:val="none" w:sz="0" w:space="0" w:color="auto"/>
                <w:left w:val="none" w:sz="0" w:space="0" w:color="auto"/>
                <w:bottom w:val="none" w:sz="0" w:space="0" w:color="auto"/>
                <w:right w:val="none" w:sz="0" w:space="0" w:color="auto"/>
              </w:divBdr>
            </w:div>
          </w:divsChild>
        </w:div>
        <w:div w:id="478231905">
          <w:marLeft w:val="0"/>
          <w:marRight w:val="0"/>
          <w:marTop w:val="0"/>
          <w:marBottom w:val="0"/>
          <w:divBdr>
            <w:top w:val="none" w:sz="0" w:space="0" w:color="auto"/>
            <w:left w:val="none" w:sz="0" w:space="0" w:color="auto"/>
            <w:bottom w:val="none" w:sz="0" w:space="0" w:color="auto"/>
            <w:right w:val="none" w:sz="0" w:space="0" w:color="auto"/>
          </w:divBdr>
          <w:divsChild>
            <w:div w:id="119231641">
              <w:marLeft w:val="0"/>
              <w:marRight w:val="0"/>
              <w:marTop w:val="0"/>
              <w:marBottom w:val="0"/>
              <w:divBdr>
                <w:top w:val="none" w:sz="0" w:space="0" w:color="auto"/>
                <w:left w:val="none" w:sz="0" w:space="0" w:color="auto"/>
                <w:bottom w:val="none" w:sz="0" w:space="0" w:color="auto"/>
                <w:right w:val="none" w:sz="0" w:space="0" w:color="auto"/>
              </w:divBdr>
            </w:div>
          </w:divsChild>
        </w:div>
        <w:div w:id="481695939">
          <w:marLeft w:val="0"/>
          <w:marRight w:val="0"/>
          <w:marTop w:val="0"/>
          <w:marBottom w:val="0"/>
          <w:divBdr>
            <w:top w:val="none" w:sz="0" w:space="0" w:color="auto"/>
            <w:left w:val="none" w:sz="0" w:space="0" w:color="auto"/>
            <w:bottom w:val="none" w:sz="0" w:space="0" w:color="auto"/>
            <w:right w:val="none" w:sz="0" w:space="0" w:color="auto"/>
          </w:divBdr>
          <w:divsChild>
            <w:div w:id="1523327119">
              <w:marLeft w:val="0"/>
              <w:marRight w:val="0"/>
              <w:marTop w:val="0"/>
              <w:marBottom w:val="0"/>
              <w:divBdr>
                <w:top w:val="none" w:sz="0" w:space="0" w:color="auto"/>
                <w:left w:val="none" w:sz="0" w:space="0" w:color="auto"/>
                <w:bottom w:val="none" w:sz="0" w:space="0" w:color="auto"/>
                <w:right w:val="none" w:sz="0" w:space="0" w:color="auto"/>
              </w:divBdr>
            </w:div>
          </w:divsChild>
        </w:div>
        <w:div w:id="486439636">
          <w:marLeft w:val="0"/>
          <w:marRight w:val="0"/>
          <w:marTop w:val="0"/>
          <w:marBottom w:val="0"/>
          <w:divBdr>
            <w:top w:val="none" w:sz="0" w:space="0" w:color="auto"/>
            <w:left w:val="none" w:sz="0" w:space="0" w:color="auto"/>
            <w:bottom w:val="none" w:sz="0" w:space="0" w:color="auto"/>
            <w:right w:val="none" w:sz="0" w:space="0" w:color="auto"/>
          </w:divBdr>
          <w:divsChild>
            <w:div w:id="562639012">
              <w:marLeft w:val="0"/>
              <w:marRight w:val="0"/>
              <w:marTop w:val="0"/>
              <w:marBottom w:val="0"/>
              <w:divBdr>
                <w:top w:val="none" w:sz="0" w:space="0" w:color="auto"/>
                <w:left w:val="none" w:sz="0" w:space="0" w:color="auto"/>
                <w:bottom w:val="none" w:sz="0" w:space="0" w:color="auto"/>
                <w:right w:val="none" w:sz="0" w:space="0" w:color="auto"/>
              </w:divBdr>
            </w:div>
            <w:div w:id="1991399438">
              <w:marLeft w:val="0"/>
              <w:marRight w:val="0"/>
              <w:marTop w:val="0"/>
              <w:marBottom w:val="0"/>
              <w:divBdr>
                <w:top w:val="none" w:sz="0" w:space="0" w:color="auto"/>
                <w:left w:val="none" w:sz="0" w:space="0" w:color="auto"/>
                <w:bottom w:val="none" w:sz="0" w:space="0" w:color="auto"/>
                <w:right w:val="none" w:sz="0" w:space="0" w:color="auto"/>
              </w:divBdr>
            </w:div>
          </w:divsChild>
        </w:div>
        <w:div w:id="506603950">
          <w:marLeft w:val="0"/>
          <w:marRight w:val="0"/>
          <w:marTop w:val="0"/>
          <w:marBottom w:val="0"/>
          <w:divBdr>
            <w:top w:val="none" w:sz="0" w:space="0" w:color="auto"/>
            <w:left w:val="none" w:sz="0" w:space="0" w:color="auto"/>
            <w:bottom w:val="none" w:sz="0" w:space="0" w:color="auto"/>
            <w:right w:val="none" w:sz="0" w:space="0" w:color="auto"/>
          </w:divBdr>
          <w:divsChild>
            <w:div w:id="777406186">
              <w:marLeft w:val="0"/>
              <w:marRight w:val="0"/>
              <w:marTop w:val="0"/>
              <w:marBottom w:val="0"/>
              <w:divBdr>
                <w:top w:val="none" w:sz="0" w:space="0" w:color="auto"/>
                <w:left w:val="none" w:sz="0" w:space="0" w:color="auto"/>
                <w:bottom w:val="none" w:sz="0" w:space="0" w:color="auto"/>
                <w:right w:val="none" w:sz="0" w:space="0" w:color="auto"/>
              </w:divBdr>
            </w:div>
            <w:div w:id="1761177469">
              <w:marLeft w:val="0"/>
              <w:marRight w:val="0"/>
              <w:marTop w:val="0"/>
              <w:marBottom w:val="0"/>
              <w:divBdr>
                <w:top w:val="none" w:sz="0" w:space="0" w:color="auto"/>
                <w:left w:val="none" w:sz="0" w:space="0" w:color="auto"/>
                <w:bottom w:val="none" w:sz="0" w:space="0" w:color="auto"/>
                <w:right w:val="none" w:sz="0" w:space="0" w:color="auto"/>
              </w:divBdr>
            </w:div>
          </w:divsChild>
        </w:div>
        <w:div w:id="511146046">
          <w:marLeft w:val="0"/>
          <w:marRight w:val="0"/>
          <w:marTop w:val="0"/>
          <w:marBottom w:val="0"/>
          <w:divBdr>
            <w:top w:val="none" w:sz="0" w:space="0" w:color="auto"/>
            <w:left w:val="none" w:sz="0" w:space="0" w:color="auto"/>
            <w:bottom w:val="none" w:sz="0" w:space="0" w:color="auto"/>
            <w:right w:val="none" w:sz="0" w:space="0" w:color="auto"/>
          </w:divBdr>
          <w:divsChild>
            <w:div w:id="1069810018">
              <w:marLeft w:val="0"/>
              <w:marRight w:val="0"/>
              <w:marTop w:val="0"/>
              <w:marBottom w:val="0"/>
              <w:divBdr>
                <w:top w:val="none" w:sz="0" w:space="0" w:color="auto"/>
                <w:left w:val="none" w:sz="0" w:space="0" w:color="auto"/>
                <w:bottom w:val="none" w:sz="0" w:space="0" w:color="auto"/>
                <w:right w:val="none" w:sz="0" w:space="0" w:color="auto"/>
              </w:divBdr>
            </w:div>
            <w:div w:id="1295254326">
              <w:marLeft w:val="0"/>
              <w:marRight w:val="0"/>
              <w:marTop w:val="0"/>
              <w:marBottom w:val="0"/>
              <w:divBdr>
                <w:top w:val="none" w:sz="0" w:space="0" w:color="auto"/>
                <w:left w:val="none" w:sz="0" w:space="0" w:color="auto"/>
                <w:bottom w:val="none" w:sz="0" w:space="0" w:color="auto"/>
                <w:right w:val="none" w:sz="0" w:space="0" w:color="auto"/>
              </w:divBdr>
            </w:div>
          </w:divsChild>
        </w:div>
        <w:div w:id="531654384">
          <w:marLeft w:val="0"/>
          <w:marRight w:val="0"/>
          <w:marTop w:val="0"/>
          <w:marBottom w:val="0"/>
          <w:divBdr>
            <w:top w:val="none" w:sz="0" w:space="0" w:color="auto"/>
            <w:left w:val="none" w:sz="0" w:space="0" w:color="auto"/>
            <w:bottom w:val="none" w:sz="0" w:space="0" w:color="auto"/>
            <w:right w:val="none" w:sz="0" w:space="0" w:color="auto"/>
          </w:divBdr>
          <w:divsChild>
            <w:div w:id="81878877">
              <w:marLeft w:val="0"/>
              <w:marRight w:val="0"/>
              <w:marTop w:val="0"/>
              <w:marBottom w:val="0"/>
              <w:divBdr>
                <w:top w:val="none" w:sz="0" w:space="0" w:color="auto"/>
                <w:left w:val="none" w:sz="0" w:space="0" w:color="auto"/>
                <w:bottom w:val="none" w:sz="0" w:space="0" w:color="auto"/>
                <w:right w:val="none" w:sz="0" w:space="0" w:color="auto"/>
              </w:divBdr>
            </w:div>
            <w:div w:id="322861065">
              <w:marLeft w:val="0"/>
              <w:marRight w:val="0"/>
              <w:marTop w:val="0"/>
              <w:marBottom w:val="0"/>
              <w:divBdr>
                <w:top w:val="none" w:sz="0" w:space="0" w:color="auto"/>
                <w:left w:val="none" w:sz="0" w:space="0" w:color="auto"/>
                <w:bottom w:val="none" w:sz="0" w:space="0" w:color="auto"/>
                <w:right w:val="none" w:sz="0" w:space="0" w:color="auto"/>
              </w:divBdr>
            </w:div>
          </w:divsChild>
        </w:div>
        <w:div w:id="579867986">
          <w:marLeft w:val="0"/>
          <w:marRight w:val="0"/>
          <w:marTop w:val="0"/>
          <w:marBottom w:val="0"/>
          <w:divBdr>
            <w:top w:val="none" w:sz="0" w:space="0" w:color="auto"/>
            <w:left w:val="none" w:sz="0" w:space="0" w:color="auto"/>
            <w:bottom w:val="none" w:sz="0" w:space="0" w:color="auto"/>
            <w:right w:val="none" w:sz="0" w:space="0" w:color="auto"/>
          </w:divBdr>
          <w:divsChild>
            <w:div w:id="588734358">
              <w:marLeft w:val="0"/>
              <w:marRight w:val="0"/>
              <w:marTop w:val="0"/>
              <w:marBottom w:val="0"/>
              <w:divBdr>
                <w:top w:val="none" w:sz="0" w:space="0" w:color="auto"/>
                <w:left w:val="none" w:sz="0" w:space="0" w:color="auto"/>
                <w:bottom w:val="none" w:sz="0" w:space="0" w:color="auto"/>
                <w:right w:val="none" w:sz="0" w:space="0" w:color="auto"/>
              </w:divBdr>
            </w:div>
            <w:div w:id="759374826">
              <w:marLeft w:val="0"/>
              <w:marRight w:val="0"/>
              <w:marTop w:val="0"/>
              <w:marBottom w:val="0"/>
              <w:divBdr>
                <w:top w:val="none" w:sz="0" w:space="0" w:color="auto"/>
                <w:left w:val="none" w:sz="0" w:space="0" w:color="auto"/>
                <w:bottom w:val="none" w:sz="0" w:space="0" w:color="auto"/>
                <w:right w:val="none" w:sz="0" w:space="0" w:color="auto"/>
              </w:divBdr>
            </w:div>
            <w:div w:id="1044984166">
              <w:marLeft w:val="0"/>
              <w:marRight w:val="0"/>
              <w:marTop w:val="0"/>
              <w:marBottom w:val="0"/>
              <w:divBdr>
                <w:top w:val="none" w:sz="0" w:space="0" w:color="auto"/>
                <w:left w:val="none" w:sz="0" w:space="0" w:color="auto"/>
                <w:bottom w:val="none" w:sz="0" w:space="0" w:color="auto"/>
                <w:right w:val="none" w:sz="0" w:space="0" w:color="auto"/>
              </w:divBdr>
            </w:div>
            <w:div w:id="1478112438">
              <w:marLeft w:val="0"/>
              <w:marRight w:val="0"/>
              <w:marTop w:val="0"/>
              <w:marBottom w:val="0"/>
              <w:divBdr>
                <w:top w:val="none" w:sz="0" w:space="0" w:color="auto"/>
                <w:left w:val="none" w:sz="0" w:space="0" w:color="auto"/>
                <w:bottom w:val="none" w:sz="0" w:space="0" w:color="auto"/>
                <w:right w:val="none" w:sz="0" w:space="0" w:color="auto"/>
              </w:divBdr>
            </w:div>
          </w:divsChild>
        </w:div>
        <w:div w:id="619452884">
          <w:marLeft w:val="0"/>
          <w:marRight w:val="0"/>
          <w:marTop w:val="0"/>
          <w:marBottom w:val="0"/>
          <w:divBdr>
            <w:top w:val="none" w:sz="0" w:space="0" w:color="auto"/>
            <w:left w:val="none" w:sz="0" w:space="0" w:color="auto"/>
            <w:bottom w:val="none" w:sz="0" w:space="0" w:color="auto"/>
            <w:right w:val="none" w:sz="0" w:space="0" w:color="auto"/>
          </w:divBdr>
          <w:divsChild>
            <w:div w:id="1004473743">
              <w:marLeft w:val="0"/>
              <w:marRight w:val="0"/>
              <w:marTop w:val="0"/>
              <w:marBottom w:val="0"/>
              <w:divBdr>
                <w:top w:val="none" w:sz="0" w:space="0" w:color="auto"/>
                <w:left w:val="none" w:sz="0" w:space="0" w:color="auto"/>
                <w:bottom w:val="none" w:sz="0" w:space="0" w:color="auto"/>
                <w:right w:val="none" w:sz="0" w:space="0" w:color="auto"/>
              </w:divBdr>
            </w:div>
            <w:div w:id="1143422027">
              <w:marLeft w:val="0"/>
              <w:marRight w:val="0"/>
              <w:marTop w:val="0"/>
              <w:marBottom w:val="0"/>
              <w:divBdr>
                <w:top w:val="none" w:sz="0" w:space="0" w:color="auto"/>
                <w:left w:val="none" w:sz="0" w:space="0" w:color="auto"/>
                <w:bottom w:val="none" w:sz="0" w:space="0" w:color="auto"/>
                <w:right w:val="none" w:sz="0" w:space="0" w:color="auto"/>
              </w:divBdr>
            </w:div>
          </w:divsChild>
        </w:div>
        <w:div w:id="635721322">
          <w:marLeft w:val="0"/>
          <w:marRight w:val="0"/>
          <w:marTop w:val="0"/>
          <w:marBottom w:val="0"/>
          <w:divBdr>
            <w:top w:val="none" w:sz="0" w:space="0" w:color="auto"/>
            <w:left w:val="none" w:sz="0" w:space="0" w:color="auto"/>
            <w:bottom w:val="none" w:sz="0" w:space="0" w:color="auto"/>
            <w:right w:val="none" w:sz="0" w:space="0" w:color="auto"/>
          </w:divBdr>
          <w:divsChild>
            <w:div w:id="201212059">
              <w:marLeft w:val="0"/>
              <w:marRight w:val="0"/>
              <w:marTop w:val="0"/>
              <w:marBottom w:val="0"/>
              <w:divBdr>
                <w:top w:val="none" w:sz="0" w:space="0" w:color="auto"/>
                <w:left w:val="none" w:sz="0" w:space="0" w:color="auto"/>
                <w:bottom w:val="none" w:sz="0" w:space="0" w:color="auto"/>
                <w:right w:val="none" w:sz="0" w:space="0" w:color="auto"/>
              </w:divBdr>
            </w:div>
            <w:div w:id="213349328">
              <w:marLeft w:val="0"/>
              <w:marRight w:val="0"/>
              <w:marTop w:val="0"/>
              <w:marBottom w:val="0"/>
              <w:divBdr>
                <w:top w:val="none" w:sz="0" w:space="0" w:color="auto"/>
                <w:left w:val="none" w:sz="0" w:space="0" w:color="auto"/>
                <w:bottom w:val="none" w:sz="0" w:space="0" w:color="auto"/>
                <w:right w:val="none" w:sz="0" w:space="0" w:color="auto"/>
              </w:divBdr>
            </w:div>
          </w:divsChild>
        </w:div>
        <w:div w:id="672951356">
          <w:marLeft w:val="0"/>
          <w:marRight w:val="0"/>
          <w:marTop w:val="0"/>
          <w:marBottom w:val="0"/>
          <w:divBdr>
            <w:top w:val="none" w:sz="0" w:space="0" w:color="auto"/>
            <w:left w:val="none" w:sz="0" w:space="0" w:color="auto"/>
            <w:bottom w:val="none" w:sz="0" w:space="0" w:color="auto"/>
            <w:right w:val="none" w:sz="0" w:space="0" w:color="auto"/>
          </w:divBdr>
          <w:divsChild>
            <w:div w:id="301814040">
              <w:marLeft w:val="0"/>
              <w:marRight w:val="0"/>
              <w:marTop w:val="0"/>
              <w:marBottom w:val="0"/>
              <w:divBdr>
                <w:top w:val="none" w:sz="0" w:space="0" w:color="auto"/>
                <w:left w:val="none" w:sz="0" w:space="0" w:color="auto"/>
                <w:bottom w:val="none" w:sz="0" w:space="0" w:color="auto"/>
                <w:right w:val="none" w:sz="0" w:space="0" w:color="auto"/>
              </w:divBdr>
            </w:div>
          </w:divsChild>
        </w:div>
        <w:div w:id="704065770">
          <w:marLeft w:val="0"/>
          <w:marRight w:val="0"/>
          <w:marTop w:val="0"/>
          <w:marBottom w:val="0"/>
          <w:divBdr>
            <w:top w:val="none" w:sz="0" w:space="0" w:color="auto"/>
            <w:left w:val="none" w:sz="0" w:space="0" w:color="auto"/>
            <w:bottom w:val="none" w:sz="0" w:space="0" w:color="auto"/>
            <w:right w:val="none" w:sz="0" w:space="0" w:color="auto"/>
          </w:divBdr>
          <w:divsChild>
            <w:div w:id="454060627">
              <w:marLeft w:val="0"/>
              <w:marRight w:val="0"/>
              <w:marTop w:val="0"/>
              <w:marBottom w:val="0"/>
              <w:divBdr>
                <w:top w:val="none" w:sz="0" w:space="0" w:color="auto"/>
                <w:left w:val="none" w:sz="0" w:space="0" w:color="auto"/>
                <w:bottom w:val="none" w:sz="0" w:space="0" w:color="auto"/>
                <w:right w:val="none" w:sz="0" w:space="0" w:color="auto"/>
              </w:divBdr>
            </w:div>
          </w:divsChild>
        </w:div>
        <w:div w:id="711461367">
          <w:marLeft w:val="0"/>
          <w:marRight w:val="0"/>
          <w:marTop w:val="0"/>
          <w:marBottom w:val="0"/>
          <w:divBdr>
            <w:top w:val="none" w:sz="0" w:space="0" w:color="auto"/>
            <w:left w:val="none" w:sz="0" w:space="0" w:color="auto"/>
            <w:bottom w:val="none" w:sz="0" w:space="0" w:color="auto"/>
            <w:right w:val="none" w:sz="0" w:space="0" w:color="auto"/>
          </w:divBdr>
          <w:divsChild>
            <w:div w:id="187111333">
              <w:marLeft w:val="0"/>
              <w:marRight w:val="0"/>
              <w:marTop w:val="0"/>
              <w:marBottom w:val="0"/>
              <w:divBdr>
                <w:top w:val="none" w:sz="0" w:space="0" w:color="auto"/>
                <w:left w:val="none" w:sz="0" w:space="0" w:color="auto"/>
                <w:bottom w:val="none" w:sz="0" w:space="0" w:color="auto"/>
                <w:right w:val="none" w:sz="0" w:space="0" w:color="auto"/>
              </w:divBdr>
            </w:div>
            <w:div w:id="1389720407">
              <w:marLeft w:val="0"/>
              <w:marRight w:val="0"/>
              <w:marTop w:val="0"/>
              <w:marBottom w:val="0"/>
              <w:divBdr>
                <w:top w:val="none" w:sz="0" w:space="0" w:color="auto"/>
                <w:left w:val="none" w:sz="0" w:space="0" w:color="auto"/>
                <w:bottom w:val="none" w:sz="0" w:space="0" w:color="auto"/>
                <w:right w:val="none" w:sz="0" w:space="0" w:color="auto"/>
              </w:divBdr>
            </w:div>
          </w:divsChild>
        </w:div>
        <w:div w:id="715861685">
          <w:marLeft w:val="0"/>
          <w:marRight w:val="0"/>
          <w:marTop w:val="0"/>
          <w:marBottom w:val="0"/>
          <w:divBdr>
            <w:top w:val="none" w:sz="0" w:space="0" w:color="auto"/>
            <w:left w:val="none" w:sz="0" w:space="0" w:color="auto"/>
            <w:bottom w:val="none" w:sz="0" w:space="0" w:color="auto"/>
            <w:right w:val="none" w:sz="0" w:space="0" w:color="auto"/>
          </w:divBdr>
          <w:divsChild>
            <w:div w:id="32509281">
              <w:marLeft w:val="0"/>
              <w:marRight w:val="0"/>
              <w:marTop w:val="0"/>
              <w:marBottom w:val="0"/>
              <w:divBdr>
                <w:top w:val="none" w:sz="0" w:space="0" w:color="auto"/>
                <w:left w:val="none" w:sz="0" w:space="0" w:color="auto"/>
                <w:bottom w:val="none" w:sz="0" w:space="0" w:color="auto"/>
                <w:right w:val="none" w:sz="0" w:space="0" w:color="auto"/>
              </w:divBdr>
            </w:div>
            <w:div w:id="1181237227">
              <w:marLeft w:val="0"/>
              <w:marRight w:val="0"/>
              <w:marTop w:val="0"/>
              <w:marBottom w:val="0"/>
              <w:divBdr>
                <w:top w:val="none" w:sz="0" w:space="0" w:color="auto"/>
                <w:left w:val="none" w:sz="0" w:space="0" w:color="auto"/>
                <w:bottom w:val="none" w:sz="0" w:space="0" w:color="auto"/>
                <w:right w:val="none" w:sz="0" w:space="0" w:color="auto"/>
              </w:divBdr>
            </w:div>
          </w:divsChild>
        </w:div>
        <w:div w:id="815924799">
          <w:marLeft w:val="0"/>
          <w:marRight w:val="0"/>
          <w:marTop w:val="0"/>
          <w:marBottom w:val="0"/>
          <w:divBdr>
            <w:top w:val="none" w:sz="0" w:space="0" w:color="auto"/>
            <w:left w:val="none" w:sz="0" w:space="0" w:color="auto"/>
            <w:bottom w:val="none" w:sz="0" w:space="0" w:color="auto"/>
            <w:right w:val="none" w:sz="0" w:space="0" w:color="auto"/>
          </w:divBdr>
          <w:divsChild>
            <w:div w:id="2052218654">
              <w:marLeft w:val="0"/>
              <w:marRight w:val="0"/>
              <w:marTop w:val="0"/>
              <w:marBottom w:val="0"/>
              <w:divBdr>
                <w:top w:val="none" w:sz="0" w:space="0" w:color="auto"/>
                <w:left w:val="none" w:sz="0" w:space="0" w:color="auto"/>
                <w:bottom w:val="none" w:sz="0" w:space="0" w:color="auto"/>
                <w:right w:val="none" w:sz="0" w:space="0" w:color="auto"/>
              </w:divBdr>
            </w:div>
          </w:divsChild>
        </w:div>
        <w:div w:id="871302719">
          <w:marLeft w:val="0"/>
          <w:marRight w:val="0"/>
          <w:marTop w:val="0"/>
          <w:marBottom w:val="0"/>
          <w:divBdr>
            <w:top w:val="none" w:sz="0" w:space="0" w:color="auto"/>
            <w:left w:val="none" w:sz="0" w:space="0" w:color="auto"/>
            <w:bottom w:val="none" w:sz="0" w:space="0" w:color="auto"/>
            <w:right w:val="none" w:sz="0" w:space="0" w:color="auto"/>
          </w:divBdr>
          <w:divsChild>
            <w:div w:id="386033809">
              <w:marLeft w:val="0"/>
              <w:marRight w:val="0"/>
              <w:marTop w:val="0"/>
              <w:marBottom w:val="0"/>
              <w:divBdr>
                <w:top w:val="none" w:sz="0" w:space="0" w:color="auto"/>
                <w:left w:val="none" w:sz="0" w:space="0" w:color="auto"/>
                <w:bottom w:val="none" w:sz="0" w:space="0" w:color="auto"/>
                <w:right w:val="none" w:sz="0" w:space="0" w:color="auto"/>
              </w:divBdr>
            </w:div>
            <w:div w:id="2013528211">
              <w:marLeft w:val="0"/>
              <w:marRight w:val="0"/>
              <w:marTop w:val="0"/>
              <w:marBottom w:val="0"/>
              <w:divBdr>
                <w:top w:val="none" w:sz="0" w:space="0" w:color="auto"/>
                <w:left w:val="none" w:sz="0" w:space="0" w:color="auto"/>
                <w:bottom w:val="none" w:sz="0" w:space="0" w:color="auto"/>
                <w:right w:val="none" w:sz="0" w:space="0" w:color="auto"/>
              </w:divBdr>
            </w:div>
          </w:divsChild>
        </w:div>
        <w:div w:id="880089096">
          <w:marLeft w:val="0"/>
          <w:marRight w:val="0"/>
          <w:marTop w:val="0"/>
          <w:marBottom w:val="0"/>
          <w:divBdr>
            <w:top w:val="none" w:sz="0" w:space="0" w:color="auto"/>
            <w:left w:val="none" w:sz="0" w:space="0" w:color="auto"/>
            <w:bottom w:val="none" w:sz="0" w:space="0" w:color="auto"/>
            <w:right w:val="none" w:sz="0" w:space="0" w:color="auto"/>
          </w:divBdr>
          <w:divsChild>
            <w:div w:id="202640640">
              <w:marLeft w:val="0"/>
              <w:marRight w:val="0"/>
              <w:marTop w:val="0"/>
              <w:marBottom w:val="0"/>
              <w:divBdr>
                <w:top w:val="none" w:sz="0" w:space="0" w:color="auto"/>
                <w:left w:val="none" w:sz="0" w:space="0" w:color="auto"/>
                <w:bottom w:val="none" w:sz="0" w:space="0" w:color="auto"/>
                <w:right w:val="none" w:sz="0" w:space="0" w:color="auto"/>
              </w:divBdr>
            </w:div>
            <w:div w:id="1376347520">
              <w:marLeft w:val="0"/>
              <w:marRight w:val="0"/>
              <w:marTop w:val="0"/>
              <w:marBottom w:val="0"/>
              <w:divBdr>
                <w:top w:val="none" w:sz="0" w:space="0" w:color="auto"/>
                <w:left w:val="none" w:sz="0" w:space="0" w:color="auto"/>
                <w:bottom w:val="none" w:sz="0" w:space="0" w:color="auto"/>
                <w:right w:val="none" w:sz="0" w:space="0" w:color="auto"/>
              </w:divBdr>
            </w:div>
          </w:divsChild>
        </w:div>
        <w:div w:id="911936347">
          <w:marLeft w:val="0"/>
          <w:marRight w:val="0"/>
          <w:marTop w:val="0"/>
          <w:marBottom w:val="0"/>
          <w:divBdr>
            <w:top w:val="none" w:sz="0" w:space="0" w:color="auto"/>
            <w:left w:val="none" w:sz="0" w:space="0" w:color="auto"/>
            <w:bottom w:val="none" w:sz="0" w:space="0" w:color="auto"/>
            <w:right w:val="none" w:sz="0" w:space="0" w:color="auto"/>
          </w:divBdr>
          <w:divsChild>
            <w:div w:id="322244391">
              <w:marLeft w:val="0"/>
              <w:marRight w:val="0"/>
              <w:marTop w:val="0"/>
              <w:marBottom w:val="0"/>
              <w:divBdr>
                <w:top w:val="none" w:sz="0" w:space="0" w:color="auto"/>
                <w:left w:val="none" w:sz="0" w:space="0" w:color="auto"/>
                <w:bottom w:val="none" w:sz="0" w:space="0" w:color="auto"/>
                <w:right w:val="none" w:sz="0" w:space="0" w:color="auto"/>
              </w:divBdr>
            </w:div>
            <w:div w:id="985278737">
              <w:marLeft w:val="0"/>
              <w:marRight w:val="0"/>
              <w:marTop w:val="0"/>
              <w:marBottom w:val="0"/>
              <w:divBdr>
                <w:top w:val="none" w:sz="0" w:space="0" w:color="auto"/>
                <w:left w:val="none" w:sz="0" w:space="0" w:color="auto"/>
                <w:bottom w:val="none" w:sz="0" w:space="0" w:color="auto"/>
                <w:right w:val="none" w:sz="0" w:space="0" w:color="auto"/>
              </w:divBdr>
            </w:div>
            <w:div w:id="1236357757">
              <w:marLeft w:val="0"/>
              <w:marRight w:val="0"/>
              <w:marTop w:val="0"/>
              <w:marBottom w:val="0"/>
              <w:divBdr>
                <w:top w:val="none" w:sz="0" w:space="0" w:color="auto"/>
                <w:left w:val="none" w:sz="0" w:space="0" w:color="auto"/>
                <w:bottom w:val="none" w:sz="0" w:space="0" w:color="auto"/>
                <w:right w:val="none" w:sz="0" w:space="0" w:color="auto"/>
              </w:divBdr>
            </w:div>
          </w:divsChild>
        </w:div>
        <w:div w:id="924000591">
          <w:marLeft w:val="0"/>
          <w:marRight w:val="0"/>
          <w:marTop w:val="0"/>
          <w:marBottom w:val="0"/>
          <w:divBdr>
            <w:top w:val="none" w:sz="0" w:space="0" w:color="auto"/>
            <w:left w:val="none" w:sz="0" w:space="0" w:color="auto"/>
            <w:bottom w:val="none" w:sz="0" w:space="0" w:color="auto"/>
            <w:right w:val="none" w:sz="0" w:space="0" w:color="auto"/>
          </w:divBdr>
          <w:divsChild>
            <w:div w:id="627593016">
              <w:marLeft w:val="0"/>
              <w:marRight w:val="0"/>
              <w:marTop w:val="0"/>
              <w:marBottom w:val="0"/>
              <w:divBdr>
                <w:top w:val="none" w:sz="0" w:space="0" w:color="auto"/>
                <w:left w:val="none" w:sz="0" w:space="0" w:color="auto"/>
                <w:bottom w:val="none" w:sz="0" w:space="0" w:color="auto"/>
                <w:right w:val="none" w:sz="0" w:space="0" w:color="auto"/>
              </w:divBdr>
            </w:div>
            <w:div w:id="1623338568">
              <w:marLeft w:val="0"/>
              <w:marRight w:val="0"/>
              <w:marTop w:val="0"/>
              <w:marBottom w:val="0"/>
              <w:divBdr>
                <w:top w:val="none" w:sz="0" w:space="0" w:color="auto"/>
                <w:left w:val="none" w:sz="0" w:space="0" w:color="auto"/>
                <w:bottom w:val="none" w:sz="0" w:space="0" w:color="auto"/>
                <w:right w:val="none" w:sz="0" w:space="0" w:color="auto"/>
              </w:divBdr>
            </w:div>
          </w:divsChild>
        </w:div>
        <w:div w:id="966354056">
          <w:marLeft w:val="0"/>
          <w:marRight w:val="0"/>
          <w:marTop w:val="0"/>
          <w:marBottom w:val="0"/>
          <w:divBdr>
            <w:top w:val="none" w:sz="0" w:space="0" w:color="auto"/>
            <w:left w:val="none" w:sz="0" w:space="0" w:color="auto"/>
            <w:bottom w:val="none" w:sz="0" w:space="0" w:color="auto"/>
            <w:right w:val="none" w:sz="0" w:space="0" w:color="auto"/>
          </w:divBdr>
          <w:divsChild>
            <w:div w:id="1958683308">
              <w:marLeft w:val="0"/>
              <w:marRight w:val="0"/>
              <w:marTop w:val="0"/>
              <w:marBottom w:val="0"/>
              <w:divBdr>
                <w:top w:val="none" w:sz="0" w:space="0" w:color="auto"/>
                <w:left w:val="none" w:sz="0" w:space="0" w:color="auto"/>
                <w:bottom w:val="none" w:sz="0" w:space="0" w:color="auto"/>
                <w:right w:val="none" w:sz="0" w:space="0" w:color="auto"/>
              </w:divBdr>
            </w:div>
          </w:divsChild>
        </w:div>
        <w:div w:id="975183992">
          <w:marLeft w:val="0"/>
          <w:marRight w:val="0"/>
          <w:marTop w:val="0"/>
          <w:marBottom w:val="0"/>
          <w:divBdr>
            <w:top w:val="none" w:sz="0" w:space="0" w:color="auto"/>
            <w:left w:val="none" w:sz="0" w:space="0" w:color="auto"/>
            <w:bottom w:val="none" w:sz="0" w:space="0" w:color="auto"/>
            <w:right w:val="none" w:sz="0" w:space="0" w:color="auto"/>
          </w:divBdr>
          <w:divsChild>
            <w:div w:id="1381250367">
              <w:marLeft w:val="0"/>
              <w:marRight w:val="0"/>
              <w:marTop w:val="0"/>
              <w:marBottom w:val="0"/>
              <w:divBdr>
                <w:top w:val="none" w:sz="0" w:space="0" w:color="auto"/>
                <w:left w:val="none" w:sz="0" w:space="0" w:color="auto"/>
                <w:bottom w:val="none" w:sz="0" w:space="0" w:color="auto"/>
                <w:right w:val="none" w:sz="0" w:space="0" w:color="auto"/>
              </w:divBdr>
            </w:div>
            <w:div w:id="2082678599">
              <w:marLeft w:val="0"/>
              <w:marRight w:val="0"/>
              <w:marTop w:val="0"/>
              <w:marBottom w:val="0"/>
              <w:divBdr>
                <w:top w:val="none" w:sz="0" w:space="0" w:color="auto"/>
                <w:left w:val="none" w:sz="0" w:space="0" w:color="auto"/>
                <w:bottom w:val="none" w:sz="0" w:space="0" w:color="auto"/>
                <w:right w:val="none" w:sz="0" w:space="0" w:color="auto"/>
              </w:divBdr>
            </w:div>
          </w:divsChild>
        </w:div>
        <w:div w:id="977609693">
          <w:marLeft w:val="0"/>
          <w:marRight w:val="0"/>
          <w:marTop w:val="0"/>
          <w:marBottom w:val="0"/>
          <w:divBdr>
            <w:top w:val="none" w:sz="0" w:space="0" w:color="auto"/>
            <w:left w:val="none" w:sz="0" w:space="0" w:color="auto"/>
            <w:bottom w:val="none" w:sz="0" w:space="0" w:color="auto"/>
            <w:right w:val="none" w:sz="0" w:space="0" w:color="auto"/>
          </w:divBdr>
          <w:divsChild>
            <w:div w:id="928738678">
              <w:marLeft w:val="0"/>
              <w:marRight w:val="0"/>
              <w:marTop w:val="0"/>
              <w:marBottom w:val="0"/>
              <w:divBdr>
                <w:top w:val="none" w:sz="0" w:space="0" w:color="auto"/>
                <w:left w:val="none" w:sz="0" w:space="0" w:color="auto"/>
                <w:bottom w:val="none" w:sz="0" w:space="0" w:color="auto"/>
                <w:right w:val="none" w:sz="0" w:space="0" w:color="auto"/>
              </w:divBdr>
            </w:div>
            <w:div w:id="1224217302">
              <w:marLeft w:val="0"/>
              <w:marRight w:val="0"/>
              <w:marTop w:val="0"/>
              <w:marBottom w:val="0"/>
              <w:divBdr>
                <w:top w:val="none" w:sz="0" w:space="0" w:color="auto"/>
                <w:left w:val="none" w:sz="0" w:space="0" w:color="auto"/>
                <w:bottom w:val="none" w:sz="0" w:space="0" w:color="auto"/>
                <w:right w:val="none" w:sz="0" w:space="0" w:color="auto"/>
              </w:divBdr>
            </w:div>
            <w:div w:id="1951231950">
              <w:marLeft w:val="0"/>
              <w:marRight w:val="0"/>
              <w:marTop w:val="0"/>
              <w:marBottom w:val="0"/>
              <w:divBdr>
                <w:top w:val="none" w:sz="0" w:space="0" w:color="auto"/>
                <w:left w:val="none" w:sz="0" w:space="0" w:color="auto"/>
                <w:bottom w:val="none" w:sz="0" w:space="0" w:color="auto"/>
                <w:right w:val="none" w:sz="0" w:space="0" w:color="auto"/>
              </w:divBdr>
            </w:div>
            <w:div w:id="2058625493">
              <w:marLeft w:val="0"/>
              <w:marRight w:val="0"/>
              <w:marTop w:val="0"/>
              <w:marBottom w:val="0"/>
              <w:divBdr>
                <w:top w:val="none" w:sz="0" w:space="0" w:color="auto"/>
                <w:left w:val="none" w:sz="0" w:space="0" w:color="auto"/>
                <w:bottom w:val="none" w:sz="0" w:space="0" w:color="auto"/>
                <w:right w:val="none" w:sz="0" w:space="0" w:color="auto"/>
              </w:divBdr>
            </w:div>
          </w:divsChild>
        </w:div>
        <w:div w:id="985475715">
          <w:marLeft w:val="0"/>
          <w:marRight w:val="0"/>
          <w:marTop w:val="0"/>
          <w:marBottom w:val="0"/>
          <w:divBdr>
            <w:top w:val="none" w:sz="0" w:space="0" w:color="auto"/>
            <w:left w:val="none" w:sz="0" w:space="0" w:color="auto"/>
            <w:bottom w:val="none" w:sz="0" w:space="0" w:color="auto"/>
            <w:right w:val="none" w:sz="0" w:space="0" w:color="auto"/>
          </w:divBdr>
          <w:divsChild>
            <w:div w:id="894857831">
              <w:marLeft w:val="0"/>
              <w:marRight w:val="0"/>
              <w:marTop w:val="0"/>
              <w:marBottom w:val="0"/>
              <w:divBdr>
                <w:top w:val="none" w:sz="0" w:space="0" w:color="auto"/>
                <w:left w:val="none" w:sz="0" w:space="0" w:color="auto"/>
                <w:bottom w:val="none" w:sz="0" w:space="0" w:color="auto"/>
                <w:right w:val="none" w:sz="0" w:space="0" w:color="auto"/>
              </w:divBdr>
            </w:div>
            <w:div w:id="1968007734">
              <w:marLeft w:val="0"/>
              <w:marRight w:val="0"/>
              <w:marTop w:val="0"/>
              <w:marBottom w:val="0"/>
              <w:divBdr>
                <w:top w:val="none" w:sz="0" w:space="0" w:color="auto"/>
                <w:left w:val="none" w:sz="0" w:space="0" w:color="auto"/>
                <w:bottom w:val="none" w:sz="0" w:space="0" w:color="auto"/>
                <w:right w:val="none" w:sz="0" w:space="0" w:color="auto"/>
              </w:divBdr>
            </w:div>
          </w:divsChild>
        </w:div>
        <w:div w:id="985668637">
          <w:marLeft w:val="0"/>
          <w:marRight w:val="0"/>
          <w:marTop w:val="0"/>
          <w:marBottom w:val="0"/>
          <w:divBdr>
            <w:top w:val="none" w:sz="0" w:space="0" w:color="auto"/>
            <w:left w:val="none" w:sz="0" w:space="0" w:color="auto"/>
            <w:bottom w:val="none" w:sz="0" w:space="0" w:color="auto"/>
            <w:right w:val="none" w:sz="0" w:space="0" w:color="auto"/>
          </w:divBdr>
          <w:divsChild>
            <w:div w:id="1318416653">
              <w:marLeft w:val="0"/>
              <w:marRight w:val="0"/>
              <w:marTop w:val="0"/>
              <w:marBottom w:val="0"/>
              <w:divBdr>
                <w:top w:val="none" w:sz="0" w:space="0" w:color="auto"/>
                <w:left w:val="none" w:sz="0" w:space="0" w:color="auto"/>
                <w:bottom w:val="none" w:sz="0" w:space="0" w:color="auto"/>
                <w:right w:val="none" w:sz="0" w:space="0" w:color="auto"/>
              </w:divBdr>
            </w:div>
          </w:divsChild>
        </w:div>
        <w:div w:id="1035694020">
          <w:marLeft w:val="0"/>
          <w:marRight w:val="0"/>
          <w:marTop w:val="0"/>
          <w:marBottom w:val="0"/>
          <w:divBdr>
            <w:top w:val="none" w:sz="0" w:space="0" w:color="auto"/>
            <w:left w:val="none" w:sz="0" w:space="0" w:color="auto"/>
            <w:bottom w:val="none" w:sz="0" w:space="0" w:color="auto"/>
            <w:right w:val="none" w:sz="0" w:space="0" w:color="auto"/>
          </w:divBdr>
          <w:divsChild>
            <w:div w:id="412167094">
              <w:marLeft w:val="0"/>
              <w:marRight w:val="0"/>
              <w:marTop w:val="0"/>
              <w:marBottom w:val="0"/>
              <w:divBdr>
                <w:top w:val="none" w:sz="0" w:space="0" w:color="auto"/>
                <w:left w:val="none" w:sz="0" w:space="0" w:color="auto"/>
                <w:bottom w:val="none" w:sz="0" w:space="0" w:color="auto"/>
                <w:right w:val="none" w:sz="0" w:space="0" w:color="auto"/>
              </w:divBdr>
            </w:div>
            <w:div w:id="1079329925">
              <w:marLeft w:val="0"/>
              <w:marRight w:val="0"/>
              <w:marTop w:val="0"/>
              <w:marBottom w:val="0"/>
              <w:divBdr>
                <w:top w:val="none" w:sz="0" w:space="0" w:color="auto"/>
                <w:left w:val="none" w:sz="0" w:space="0" w:color="auto"/>
                <w:bottom w:val="none" w:sz="0" w:space="0" w:color="auto"/>
                <w:right w:val="none" w:sz="0" w:space="0" w:color="auto"/>
              </w:divBdr>
            </w:div>
            <w:div w:id="1890914046">
              <w:marLeft w:val="0"/>
              <w:marRight w:val="0"/>
              <w:marTop w:val="0"/>
              <w:marBottom w:val="0"/>
              <w:divBdr>
                <w:top w:val="none" w:sz="0" w:space="0" w:color="auto"/>
                <w:left w:val="none" w:sz="0" w:space="0" w:color="auto"/>
                <w:bottom w:val="none" w:sz="0" w:space="0" w:color="auto"/>
                <w:right w:val="none" w:sz="0" w:space="0" w:color="auto"/>
              </w:divBdr>
            </w:div>
          </w:divsChild>
        </w:div>
        <w:div w:id="1073969366">
          <w:marLeft w:val="0"/>
          <w:marRight w:val="0"/>
          <w:marTop w:val="0"/>
          <w:marBottom w:val="0"/>
          <w:divBdr>
            <w:top w:val="none" w:sz="0" w:space="0" w:color="auto"/>
            <w:left w:val="none" w:sz="0" w:space="0" w:color="auto"/>
            <w:bottom w:val="none" w:sz="0" w:space="0" w:color="auto"/>
            <w:right w:val="none" w:sz="0" w:space="0" w:color="auto"/>
          </w:divBdr>
          <w:divsChild>
            <w:div w:id="1782141062">
              <w:marLeft w:val="0"/>
              <w:marRight w:val="0"/>
              <w:marTop w:val="0"/>
              <w:marBottom w:val="0"/>
              <w:divBdr>
                <w:top w:val="none" w:sz="0" w:space="0" w:color="auto"/>
                <w:left w:val="none" w:sz="0" w:space="0" w:color="auto"/>
                <w:bottom w:val="none" w:sz="0" w:space="0" w:color="auto"/>
                <w:right w:val="none" w:sz="0" w:space="0" w:color="auto"/>
              </w:divBdr>
            </w:div>
          </w:divsChild>
        </w:div>
        <w:div w:id="1139957769">
          <w:marLeft w:val="0"/>
          <w:marRight w:val="0"/>
          <w:marTop w:val="0"/>
          <w:marBottom w:val="0"/>
          <w:divBdr>
            <w:top w:val="none" w:sz="0" w:space="0" w:color="auto"/>
            <w:left w:val="none" w:sz="0" w:space="0" w:color="auto"/>
            <w:bottom w:val="none" w:sz="0" w:space="0" w:color="auto"/>
            <w:right w:val="none" w:sz="0" w:space="0" w:color="auto"/>
          </w:divBdr>
          <w:divsChild>
            <w:div w:id="2038962857">
              <w:marLeft w:val="0"/>
              <w:marRight w:val="0"/>
              <w:marTop w:val="0"/>
              <w:marBottom w:val="0"/>
              <w:divBdr>
                <w:top w:val="none" w:sz="0" w:space="0" w:color="auto"/>
                <w:left w:val="none" w:sz="0" w:space="0" w:color="auto"/>
                <w:bottom w:val="none" w:sz="0" w:space="0" w:color="auto"/>
                <w:right w:val="none" w:sz="0" w:space="0" w:color="auto"/>
              </w:divBdr>
            </w:div>
          </w:divsChild>
        </w:div>
        <w:div w:id="1159881258">
          <w:marLeft w:val="0"/>
          <w:marRight w:val="0"/>
          <w:marTop w:val="0"/>
          <w:marBottom w:val="0"/>
          <w:divBdr>
            <w:top w:val="none" w:sz="0" w:space="0" w:color="auto"/>
            <w:left w:val="none" w:sz="0" w:space="0" w:color="auto"/>
            <w:bottom w:val="none" w:sz="0" w:space="0" w:color="auto"/>
            <w:right w:val="none" w:sz="0" w:space="0" w:color="auto"/>
          </w:divBdr>
          <w:divsChild>
            <w:div w:id="266232788">
              <w:marLeft w:val="0"/>
              <w:marRight w:val="0"/>
              <w:marTop w:val="0"/>
              <w:marBottom w:val="0"/>
              <w:divBdr>
                <w:top w:val="none" w:sz="0" w:space="0" w:color="auto"/>
                <w:left w:val="none" w:sz="0" w:space="0" w:color="auto"/>
                <w:bottom w:val="none" w:sz="0" w:space="0" w:color="auto"/>
                <w:right w:val="none" w:sz="0" w:space="0" w:color="auto"/>
              </w:divBdr>
            </w:div>
            <w:div w:id="1562982376">
              <w:marLeft w:val="0"/>
              <w:marRight w:val="0"/>
              <w:marTop w:val="0"/>
              <w:marBottom w:val="0"/>
              <w:divBdr>
                <w:top w:val="none" w:sz="0" w:space="0" w:color="auto"/>
                <w:left w:val="none" w:sz="0" w:space="0" w:color="auto"/>
                <w:bottom w:val="none" w:sz="0" w:space="0" w:color="auto"/>
                <w:right w:val="none" w:sz="0" w:space="0" w:color="auto"/>
              </w:divBdr>
            </w:div>
          </w:divsChild>
        </w:div>
        <w:div w:id="1162114746">
          <w:marLeft w:val="0"/>
          <w:marRight w:val="0"/>
          <w:marTop w:val="0"/>
          <w:marBottom w:val="0"/>
          <w:divBdr>
            <w:top w:val="none" w:sz="0" w:space="0" w:color="auto"/>
            <w:left w:val="none" w:sz="0" w:space="0" w:color="auto"/>
            <w:bottom w:val="none" w:sz="0" w:space="0" w:color="auto"/>
            <w:right w:val="none" w:sz="0" w:space="0" w:color="auto"/>
          </w:divBdr>
          <w:divsChild>
            <w:div w:id="322049564">
              <w:marLeft w:val="0"/>
              <w:marRight w:val="0"/>
              <w:marTop w:val="0"/>
              <w:marBottom w:val="0"/>
              <w:divBdr>
                <w:top w:val="none" w:sz="0" w:space="0" w:color="auto"/>
                <w:left w:val="none" w:sz="0" w:space="0" w:color="auto"/>
                <w:bottom w:val="none" w:sz="0" w:space="0" w:color="auto"/>
                <w:right w:val="none" w:sz="0" w:space="0" w:color="auto"/>
              </w:divBdr>
            </w:div>
          </w:divsChild>
        </w:div>
        <w:div w:id="1198394161">
          <w:marLeft w:val="0"/>
          <w:marRight w:val="0"/>
          <w:marTop w:val="0"/>
          <w:marBottom w:val="0"/>
          <w:divBdr>
            <w:top w:val="none" w:sz="0" w:space="0" w:color="auto"/>
            <w:left w:val="none" w:sz="0" w:space="0" w:color="auto"/>
            <w:bottom w:val="none" w:sz="0" w:space="0" w:color="auto"/>
            <w:right w:val="none" w:sz="0" w:space="0" w:color="auto"/>
          </w:divBdr>
          <w:divsChild>
            <w:div w:id="1400636282">
              <w:marLeft w:val="0"/>
              <w:marRight w:val="0"/>
              <w:marTop w:val="0"/>
              <w:marBottom w:val="0"/>
              <w:divBdr>
                <w:top w:val="none" w:sz="0" w:space="0" w:color="auto"/>
                <w:left w:val="none" w:sz="0" w:space="0" w:color="auto"/>
                <w:bottom w:val="none" w:sz="0" w:space="0" w:color="auto"/>
                <w:right w:val="none" w:sz="0" w:space="0" w:color="auto"/>
              </w:divBdr>
            </w:div>
            <w:div w:id="1445462318">
              <w:marLeft w:val="0"/>
              <w:marRight w:val="0"/>
              <w:marTop w:val="0"/>
              <w:marBottom w:val="0"/>
              <w:divBdr>
                <w:top w:val="none" w:sz="0" w:space="0" w:color="auto"/>
                <w:left w:val="none" w:sz="0" w:space="0" w:color="auto"/>
                <w:bottom w:val="none" w:sz="0" w:space="0" w:color="auto"/>
                <w:right w:val="none" w:sz="0" w:space="0" w:color="auto"/>
              </w:divBdr>
            </w:div>
          </w:divsChild>
        </w:div>
        <w:div w:id="1214073286">
          <w:marLeft w:val="0"/>
          <w:marRight w:val="0"/>
          <w:marTop w:val="0"/>
          <w:marBottom w:val="0"/>
          <w:divBdr>
            <w:top w:val="none" w:sz="0" w:space="0" w:color="auto"/>
            <w:left w:val="none" w:sz="0" w:space="0" w:color="auto"/>
            <w:bottom w:val="none" w:sz="0" w:space="0" w:color="auto"/>
            <w:right w:val="none" w:sz="0" w:space="0" w:color="auto"/>
          </w:divBdr>
          <w:divsChild>
            <w:div w:id="643043304">
              <w:marLeft w:val="0"/>
              <w:marRight w:val="0"/>
              <w:marTop w:val="0"/>
              <w:marBottom w:val="0"/>
              <w:divBdr>
                <w:top w:val="none" w:sz="0" w:space="0" w:color="auto"/>
                <w:left w:val="none" w:sz="0" w:space="0" w:color="auto"/>
                <w:bottom w:val="none" w:sz="0" w:space="0" w:color="auto"/>
                <w:right w:val="none" w:sz="0" w:space="0" w:color="auto"/>
              </w:divBdr>
            </w:div>
          </w:divsChild>
        </w:div>
        <w:div w:id="1231382128">
          <w:marLeft w:val="0"/>
          <w:marRight w:val="0"/>
          <w:marTop w:val="0"/>
          <w:marBottom w:val="0"/>
          <w:divBdr>
            <w:top w:val="none" w:sz="0" w:space="0" w:color="auto"/>
            <w:left w:val="none" w:sz="0" w:space="0" w:color="auto"/>
            <w:bottom w:val="none" w:sz="0" w:space="0" w:color="auto"/>
            <w:right w:val="none" w:sz="0" w:space="0" w:color="auto"/>
          </w:divBdr>
          <w:divsChild>
            <w:div w:id="767387847">
              <w:marLeft w:val="0"/>
              <w:marRight w:val="0"/>
              <w:marTop w:val="0"/>
              <w:marBottom w:val="0"/>
              <w:divBdr>
                <w:top w:val="none" w:sz="0" w:space="0" w:color="auto"/>
                <w:left w:val="none" w:sz="0" w:space="0" w:color="auto"/>
                <w:bottom w:val="none" w:sz="0" w:space="0" w:color="auto"/>
                <w:right w:val="none" w:sz="0" w:space="0" w:color="auto"/>
              </w:divBdr>
            </w:div>
            <w:div w:id="1602491097">
              <w:marLeft w:val="0"/>
              <w:marRight w:val="0"/>
              <w:marTop w:val="0"/>
              <w:marBottom w:val="0"/>
              <w:divBdr>
                <w:top w:val="none" w:sz="0" w:space="0" w:color="auto"/>
                <w:left w:val="none" w:sz="0" w:space="0" w:color="auto"/>
                <w:bottom w:val="none" w:sz="0" w:space="0" w:color="auto"/>
                <w:right w:val="none" w:sz="0" w:space="0" w:color="auto"/>
              </w:divBdr>
            </w:div>
          </w:divsChild>
        </w:div>
        <w:div w:id="1244223999">
          <w:marLeft w:val="0"/>
          <w:marRight w:val="0"/>
          <w:marTop w:val="0"/>
          <w:marBottom w:val="0"/>
          <w:divBdr>
            <w:top w:val="none" w:sz="0" w:space="0" w:color="auto"/>
            <w:left w:val="none" w:sz="0" w:space="0" w:color="auto"/>
            <w:bottom w:val="none" w:sz="0" w:space="0" w:color="auto"/>
            <w:right w:val="none" w:sz="0" w:space="0" w:color="auto"/>
          </w:divBdr>
          <w:divsChild>
            <w:div w:id="521824772">
              <w:marLeft w:val="0"/>
              <w:marRight w:val="0"/>
              <w:marTop w:val="0"/>
              <w:marBottom w:val="0"/>
              <w:divBdr>
                <w:top w:val="none" w:sz="0" w:space="0" w:color="auto"/>
                <w:left w:val="none" w:sz="0" w:space="0" w:color="auto"/>
                <w:bottom w:val="none" w:sz="0" w:space="0" w:color="auto"/>
                <w:right w:val="none" w:sz="0" w:space="0" w:color="auto"/>
              </w:divBdr>
            </w:div>
            <w:div w:id="1430082217">
              <w:marLeft w:val="0"/>
              <w:marRight w:val="0"/>
              <w:marTop w:val="0"/>
              <w:marBottom w:val="0"/>
              <w:divBdr>
                <w:top w:val="none" w:sz="0" w:space="0" w:color="auto"/>
                <w:left w:val="none" w:sz="0" w:space="0" w:color="auto"/>
                <w:bottom w:val="none" w:sz="0" w:space="0" w:color="auto"/>
                <w:right w:val="none" w:sz="0" w:space="0" w:color="auto"/>
              </w:divBdr>
            </w:div>
            <w:div w:id="1996449116">
              <w:marLeft w:val="0"/>
              <w:marRight w:val="0"/>
              <w:marTop w:val="0"/>
              <w:marBottom w:val="0"/>
              <w:divBdr>
                <w:top w:val="none" w:sz="0" w:space="0" w:color="auto"/>
                <w:left w:val="none" w:sz="0" w:space="0" w:color="auto"/>
                <w:bottom w:val="none" w:sz="0" w:space="0" w:color="auto"/>
                <w:right w:val="none" w:sz="0" w:space="0" w:color="auto"/>
              </w:divBdr>
            </w:div>
          </w:divsChild>
        </w:div>
        <w:div w:id="1298217526">
          <w:marLeft w:val="0"/>
          <w:marRight w:val="0"/>
          <w:marTop w:val="0"/>
          <w:marBottom w:val="0"/>
          <w:divBdr>
            <w:top w:val="none" w:sz="0" w:space="0" w:color="auto"/>
            <w:left w:val="none" w:sz="0" w:space="0" w:color="auto"/>
            <w:bottom w:val="none" w:sz="0" w:space="0" w:color="auto"/>
            <w:right w:val="none" w:sz="0" w:space="0" w:color="auto"/>
          </w:divBdr>
          <w:divsChild>
            <w:div w:id="1525632634">
              <w:marLeft w:val="0"/>
              <w:marRight w:val="0"/>
              <w:marTop w:val="0"/>
              <w:marBottom w:val="0"/>
              <w:divBdr>
                <w:top w:val="none" w:sz="0" w:space="0" w:color="auto"/>
                <w:left w:val="none" w:sz="0" w:space="0" w:color="auto"/>
                <w:bottom w:val="none" w:sz="0" w:space="0" w:color="auto"/>
                <w:right w:val="none" w:sz="0" w:space="0" w:color="auto"/>
              </w:divBdr>
            </w:div>
            <w:div w:id="1987851977">
              <w:marLeft w:val="0"/>
              <w:marRight w:val="0"/>
              <w:marTop w:val="0"/>
              <w:marBottom w:val="0"/>
              <w:divBdr>
                <w:top w:val="none" w:sz="0" w:space="0" w:color="auto"/>
                <w:left w:val="none" w:sz="0" w:space="0" w:color="auto"/>
                <w:bottom w:val="none" w:sz="0" w:space="0" w:color="auto"/>
                <w:right w:val="none" w:sz="0" w:space="0" w:color="auto"/>
              </w:divBdr>
            </w:div>
          </w:divsChild>
        </w:div>
        <w:div w:id="1298415773">
          <w:marLeft w:val="0"/>
          <w:marRight w:val="0"/>
          <w:marTop w:val="0"/>
          <w:marBottom w:val="0"/>
          <w:divBdr>
            <w:top w:val="none" w:sz="0" w:space="0" w:color="auto"/>
            <w:left w:val="none" w:sz="0" w:space="0" w:color="auto"/>
            <w:bottom w:val="none" w:sz="0" w:space="0" w:color="auto"/>
            <w:right w:val="none" w:sz="0" w:space="0" w:color="auto"/>
          </w:divBdr>
          <w:divsChild>
            <w:div w:id="102264531">
              <w:marLeft w:val="0"/>
              <w:marRight w:val="0"/>
              <w:marTop w:val="0"/>
              <w:marBottom w:val="0"/>
              <w:divBdr>
                <w:top w:val="none" w:sz="0" w:space="0" w:color="auto"/>
                <w:left w:val="none" w:sz="0" w:space="0" w:color="auto"/>
                <w:bottom w:val="none" w:sz="0" w:space="0" w:color="auto"/>
                <w:right w:val="none" w:sz="0" w:space="0" w:color="auto"/>
              </w:divBdr>
            </w:div>
            <w:div w:id="999894128">
              <w:marLeft w:val="0"/>
              <w:marRight w:val="0"/>
              <w:marTop w:val="0"/>
              <w:marBottom w:val="0"/>
              <w:divBdr>
                <w:top w:val="none" w:sz="0" w:space="0" w:color="auto"/>
                <w:left w:val="none" w:sz="0" w:space="0" w:color="auto"/>
                <w:bottom w:val="none" w:sz="0" w:space="0" w:color="auto"/>
                <w:right w:val="none" w:sz="0" w:space="0" w:color="auto"/>
              </w:divBdr>
            </w:div>
            <w:div w:id="1226259309">
              <w:marLeft w:val="0"/>
              <w:marRight w:val="0"/>
              <w:marTop w:val="0"/>
              <w:marBottom w:val="0"/>
              <w:divBdr>
                <w:top w:val="none" w:sz="0" w:space="0" w:color="auto"/>
                <w:left w:val="none" w:sz="0" w:space="0" w:color="auto"/>
                <w:bottom w:val="none" w:sz="0" w:space="0" w:color="auto"/>
                <w:right w:val="none" w:sz="0" w:space="0" w:color="auto"/>
              </w:divBdr>
            </w:div>
            <w:div w:id="1444155059">
              <w:marLeft w:val="0"/>
              <w:marRight w:val="0"/>
              <w:marTop w:val="0"/>
              <w:marBottom w:val="0"/>
              <w:divBdr>
                <w:top w:val="none" w:sz="0" w:space="0" w:color="auto"/>
                <w:left w:val="none" w:sz="0" w:space="0" w:color="auto"/>
                <w:bottom w:val="none" w:sz="0" w:space="0" w:color="auto"/>
                <w:right w:val="none" w:sz="0" w:space="0" w:color="auto"/>
              </w:divBdr>
            </w:div>
          </w:divsChild>
        </w:div>
        <w:div w:id="1304114651">
          <w:marLeft w:val="0"/>
          <w:marRight w:val="0"/>
          <w:marTop w:val="0"/>
          <w:marBottom w:val="0"/>
          <w:divBdr>
            <w:top w:val="none" w:sz="0" w:space="0" w:color="auto"/>
            <w:left w:val="none" w:sz="0" w:space="0" w:color="auto"/>
            <w:bottom w:val="none" w:sz="0" w:space="0" w:color="auto"/>
            <w:right w:val="none" w:sz="0" w:space="0" w:color="auto"/>
          </w:divBdr>
          <w:divsChild>
            <w:div w:id="383483025">
              <w:marLeft w:val="0"/>
              <w:marRight w:val="0"/>
              <w:marTop w:val="0"/>
              <w:marBottom w:val="0"/>
              <w:divBdr>
                <w:top w:val="none" w:sz="0" w:space="0" w:color="auto"/>
                <w:left w:val="none" w:sz="0" w:space="0" w:color="auto"/>
                <w:bottom w:val="none" w:sz="0" w:space="0" w:color="auto"/>
                <w:right w:val="none" w:sz="0" w:space="0" w:color="auto"/>
              </w:divBdr>
            </w:div>
            <w:div w:id="1237395277">
              <w:marLeft w:val="0"/>
              <w:marRight w:val="0"/>
              <w:marTop w:val="0"/>
              <w:marBottom w:val="0"/>
              <w:divBdr>
                <w:top w:val="none" w:sz="0" w:space="0" w:color="auto"/>
                <w:left w:val="none" w:sz="0" w:space="0" w:color="auto"/>
                <w:bottom w:val="none" w:sz="0" w:space="0" w:color="auto"/>
                <w:right w:val="none" w:sz="0" w:space="0" w:color="auto"/>
              </w:divBdr>
            </w:div>
            <w:div w:id="1413164039">
              <w:marLeft w:val="0"/>
              <w:marRight w:val="0"/>
              <w:marTop w:val="0"/>
              <w:marBottom w:val="0"/>
              <w:divBdr>
                <w:top w:val="none" w:sz="0" w:space="0" w:color="auto"/>
                <w:left w:val="none" w:sz="0" w:space="0" w:color="auto"/>
                <w:bottom w:val="none" w:sz="0" w:space="0" w:color="auto"/>
                <w:right w:val="none" w:sz="0" w:space="0" w:color="auto"/>
              </w:divBdr>
            </w:div>
            <w:div w:id="1467317496">
              <w:marLeft w:val="0"/>
              <w:marRight w:val="0"/>
              <w:marTop w:val="0"/>
              <w:marBottom w:val="0"/>
              <w:divBdr>
                <w:top w:val="none" w:sz="0" w:space="0" w:color="auto"/>
                <w:left w:val="none" w:sz="0" w:space="0" w:color="auto"/>
                <w:bottom w:val="none" w:sz="0" w:space="0" w:color="auto"/>
                <w:right w:val="none" w:sz="0" w:space="0" w:color="auto"/>
              </w:divBdr>
            </w:div>
            <w:div w:id="1897356888">
              <w:marLeft w:val="0"/>
              <w:marRight w:val="0"/>
              <w:marTop w:val="0"/>
              <w:marBottom w:val="0"/>
              <w:divBdr>
                <w:top w:val="none" w:sz="0" w:space="0" w:color="auto"/>
                <w:left w:val="none" w:sz="0" w:space="0" w:color="auto"/>
                <w:bottom w:val="none" w:sz="0" w:space="0" w:color="auto"/>
                <w:right w:val="none" w:sz="0" w:space="0" w:color="auto"/>
              </w:divBdr>
            </w:div>
            <w:div w:id="1955162892">
              <w:marLeft w:val="0"/>
              <w:marRight w:val="0"/>
              <w:marTop w:val="0"/>
              <w:marBottom w:val="0"/>
              <w:divBdr>
                <w:top w:val="none" w:sz="0" w:space="0" w:color="auto"/>
                <w:left w:val="none" w:sz="0" w:space="0" w:color="auto"/>
                <w:bottom w:val="none" w:sz="0" w:space="0" w:color="auto"/>
                <w:right w:val="none" w:sz="0" w:space="0" w:color="auto"/>
              </w:divBdr>
            </w:div>
          </w:divsChild>
        </w:div>
        <w:div w:id="1330602344">
          <w:marLeft w:val="0"/>
          <w:marRight w:val="0"/>
          <w:marTop w:val="0"/>
          <w:marBottom w:val="0"/>
          <w:divBdr>
            <w:top w:val="none" w:sz="0" w:space="0" w:color="auto"/>
            <w:left w:val="none" w:sz="0" w:space="0" w:color="auto"/>
            <w:bottom w:val="none" w:sz="0" w:space="0" w:color="auto"/>
            <w:right w:val="none" w:sz="0" w:space="0" w:color="auto"/>
          </w:divBdr>
          <w:divsChild>
            <w:div w:id="609170184">
              <w:marLeft w:val="0"/>
              <w:marRight w:val="0"/>
              <w:marTop w:val="0"/>
              <w:marBottom w:val="0"/>
              <w:divBdr>
                <w:top w:val="none" w:sz="0" w:space="0" w:color="auto"/>
                <w:left w:val="none" w:sz="0" w:space="0" w:color="auto"/>
                <w:bottom w:val="none" w:sz="0" w:space="0" w:color="auto"/>
                <w:right w:val="none" w:sz="0" w:space="0" w:color="auto"/>
              </w:divBdr>
            </w:div>
            <w:div w:id="1109549060">
              <w:marLeft w:val="0"/>
              <w:marRight w:val="0"/>
              <w:marTop w:val="0"/>
              <w:marBottom w:val="0"/>
              <w:divBdr>
                <w:top w:val="none" w:sz="0" w:space="0" w:color="auto"/>
                <w:left w:val="none" w:sz="0" w:space="0" w:color="auto"/>
                <w:bottom w:val="none" w:sz="0" w:space="0" w:color="auto"/>
                <w:right w:val="none" w:sz="0" w:space="0" w:color="auto"/>
              </w:divBdr>
            </w:div>
            <w:div w:id="1311786534">
              <w:marLeft w:val="0"/>
              <w:marRight w:val="0"/>
              <w:marTop w:val="0"/>
              <w:marBottom w:val="0"/>
              <w:divBdr>
                <w:top w:val="none" w:sz="0" w:space="0" w:color="auto"/>
                <w:left w:val="none" w:sz="0" w:space="0" w:color="auto"/>
                <w:bottom w:val="none" w:sz="0" w:space="0" w:color="auto"/>
                <w:right w:val="none" w:sz="0" w:space="0" w:color="auto"/>
              </w:divBdr>
            </w:div>
            <w:div w:id="1408501969">
              <w:marLeft w:val="0"/>
              <w:marRight w:val="0"/>
              <w:marTop w:val="0"/>
              <w:marBottom w:val="0"/>
              <w:divBdr>
                <w:top w:val="none" w:sz="0" w:space="0" w:color="auto"/>
                <w:left w:val="none" w:sz="0" w:space="0" w:color="auto"/>
                <w:bottom w:val="none" w:sz="0" w:space="0" w:color="auto"/>
                <w:right w:val="none" w:sz="0" w:space="0" w:color="auto"/>
              </w:divBdr>
            </w:div>
          </w:divsChild>
        </w:div>
        <w:div w:id="1357537515">
          <w:marLeft w:val="0"/>
          <w:marRight w:val="0"/>
          <w:marTop w:val="0"/>
          <w:marBottom w:val="0"/>
          <w:divBdr>
            <w:top w:val="none" w:sz="0" w:space="0" w:color="auto"/>
            <w:left w:val="none" w:sz="0" w:space="0" w:color="auto"/>
            <w:bottom w:val="none" w:sz="0" w:space="0" w:color="auto"/>
            <w:right w:val="none" w:sz="0" w:space="0" w:color="auto"/>
          </w:divBdr>
          <w:divsChild>
            <w:div w:id="400908291">
              <w:marLeft w:val="0"/>
              <w:marRight w:val="0"/>
              <w:marTop w:val="0"/>
              <w:marBottom w:val="0"/>
              <w:divBdr>
                <w:top w:val="none" w:sz="0" w:space="0" w:color="auto"/>
                <w:left w:val="none" w:sz="0" w:space="0" w:color="auto"/>
                <w:bottom w:val="none" w:sz="0" w:space="0" w:color="auto"/>
                <w:right w:val="none" w:sz="0" w:space="0" w:color="auto"/>
              </w:divBdr>
            </w:div>
            <w:div w:id="1795560371">
              <w:marLeft w:val="0"/>
              <w:marRight w:val="0"/>
              <w:marTop w:val="0"/>
              <w:marBottom w:val="0"/>
              <w:divBdr>
                <w:top w:val="none" w:sz="0" w:space="0" w:color="auto"/>
                <w:left w:val="none" w:sz="0" w:space="0" w:color="auto"/>
                <w:bottom w:val="none" w:sz="0" w:space="0" w:color="auto"/>
                <w:right w:val="none" w:sz="0" w:space="0" w:color="auto"/>
              </w:divBdr>
            </w:div>
            <w:div w:id="1957635802">
              <w:marLeft w:val="0"/>
              <w:marRight w:val="0"/>
              <w:marTop w:val="0"/>
              <w:marBottom w:val="0"/>
              <w:divBdr>
                <w:top w:val="none" w:sz="0" w:space="0" w:color="auto"/>
                <w:left w:val="none" w:sz="0" w:space="0" w:color="auto"/>
                <w:bottom w:val="none" w:sz="0" w:space="0" w:color="auto"/>
                <w:right w:val="none" w:sz="0" w:space="0" w:color="auto"/>
              </w:divBdr>
            </w:div>
          </w:divsChild>
        </w:div>
        <w:div w:id="1384910212">
          <w:marLeft w:val="0"/>
          <w:marRight w:val="0"/>
          <w:marTop w:val="0"/>
          <w:marBottom w:val="0"/>
          <w:divBdr>
            <w:top w:val="none" w:sz="0" w:space="0" w:color="auto"/>
            <w:left w:val="none" w:sz="0" w:space="0" w:color="auto"/>
            <w:bottom w:val="none" w:sz="0" w:space="0" w:color="auto"/>
            <w:right w:val="none" w:sz="0" w:space="0" w:color="auto"/>
          </w:divBdr>
          <w:divsChild>
            <w:div w:id="680664238">
              <w:marLeft w:val="0"/>
              <w:marRight w:val="0"/>
              <w:marTop w:val="0"/>
              <w:marBottom w:val="0"/>
              <w:divBdr>
                <w:top w:val="none" w:sz="0" w:space="0" w:color="auto"/>
                <w:left w:val="none" w:sz="0" w:space="0" w:color="auto"/>
                <w:bottom w:val="none" w:sz="0" w:space="0" w:color="auto"/>
                <w:right w:val="none" w:sz="0" w:space="0" w:color="auto"/>
              </w:divBdr>
            </w:div>
            <w:div w:id="798962175">
              <w:marLeft w:val="0"/>
              <w:marRight w:val="0"/>
              <w:marTop w:val="0"/>
              <w:marBottom w:val="0"/>
              <w:divBdr>
                <w:top w:val="none" w:sz="0" w:space="0" w:color="auto"/>
                <w:left w:val="none" w:sz="0" w:space="0" w:color="auto"/>
                <w:bottom w:val="none" w:sz="0" w:space="0" w:color="auto"/>
                <w:right w:val="none" w:sz="0" w:space="0" w:color="auto"/>
              </w:divBdr>
            </w:div>
            <w:div w:id="1185092168">
              <w:marLeft w:val="0"/>
              <w:marRight w:val="0"/>
              <w:marTop w:val="0"/>
              <w:marBottom w:val="0"/>
              <w:divBdr>
                <w:top w:val="none" w:sz="0" w:space="0" w:color="auto"/>
                <w:left w:val="none" w:sz="0" w:space="0" w:color="auto"/>
                <w:bottom w:val="none" w:sz="0" w:space="0" w:color="auto"/>
                <w:right w:val="none" w:sz="0" w:space="0" w:color="auto"/>
              </w:divBdr>
            </w:div>
          </w:divsChild>
        </w:div>
        <w:div w:id="1472090150">
          <w:marLeft w:val="0"/>
          <w:marRight w:val="0"/>
          <w:marTop w:val="0"/>
          <w:marBottom w:val="0"/>
          <w:divBdr>
            <w:top w:val="none" w:sz="0" w:space="0" w:color="auto"/>
            <w:left w:val="none" w:sz="0" w:space="0" w:color="auto"/>
            <w:bottom w:val="none" w:sz="0" w:space="0" w:color="auto"/>
            <w:right w:val="none" w:sz="0" w:space="0" w:color="auto"/>
          </w:divBdr>
          <w:divsChild>
            <w:div w:id="966013474">
              <w:marLeft w:val="0"/>
              <w:marRight w:val="0"/>
              <w:marTop w:val="0"/>
              <w:marBottom w:val="0"/>
              <w:divBdr>
                <w:top w:val="none" w:sz="0" w:space="0" w:color="auto"/>
                <w:left w:val="none" w:sz="0" w:space="0" w:color="auto"/>
                <w:bottom w:val="none" w:sz="0" w:space="0" w:color="auto"/>
                <w:right w:val="none" w:sz="0" w:space="0" w:color="auto"/>
              </w:divBdr>
            </w:div>
          </w:divsChild>
        </w:div>
        <w:div w:id="1482424528">
          <w:marLeft w:val="0"/>
          <w:marRight w:val="0"/>
          <w:marTop w:val="0"/>
          <w:marBottom w:val="0"/>
          <w:divBdr>
            <w:top w:val="none" w:sz="0" w:space="0" w:color="auto"/>
            <w:left w:val="none" w:sz="0" w:space="0" w:color="auto"/>
            <w:bottom w:val="none" w:sz="0" w:space="0" w:color="auto"/>
            <w:right w:val="none" w:sz="0" w:space="0" w:color="auto"/>
          </w:divBdr>
          <w:divsChild>
            <w:div w:id="144008878">
              <w:marLeft w:val="0"/>
              <w:marRight w:val="0"/>
              <w:marTop w:val="0"/>
              <w:marBottom w:val="0"/>
              <w:divBdr>
                <w:top w:val="none" w:sz="0" w:space="0" w:color="auto"/>
                <w:left w:val="none" w:sz="0" w:space="0" w:color="auto"/>
                <w:bottom w:val="none" w:sz="0" w:space="0" w:color="auto"/>
                <w:right w:val="none" w:sz="0" w:space="0" w:color="auto"/>
              </w:divBdr>
            </w:div>
            <w:div w:id="678124956">
              <w:marLeft w:val="0"/>
              <w:marRight w:val="0"/>
              <w:marTop w:val="0"/>
              <w:marBottom w:val="0"/>
              <w:divBdr>
                <w:top w:val="none" w:sz="0" w:space="0" w:color="auto"/>
                <w:left w:val="none" w:sz="0" w:space="0" w:color="auto"/>
                <w:bottom w:val="none" w:sz="0" w:space="0" w:color="auto"/>
                <w:right w:val="none" w:sz="0" w:space="0" w:color="auto"/>
              </w:divBdr>
            </w:div>
            <w:div w:id="1123377567">
              <w:marLeft w:val="0"/>
              <w:marRight w:val="0"/>
              <w:marTop w:val="0"/>
              <w:marBottom w:val="0"/>
              <w:divBdr>
                <w:top w:val="none" w:sz="0" w:space="0" w:color="auto"/>
                <w:left w:val="none" w:sz="0" w:space="0" w:color="auto"/>
                <w:bottom w:val="none" w:sz="0" w:space="0" w:color="auto"/>
                <w:right w:val="none" w:sz="0" w:space="0" w:color="auto"/>
              </w:divBdr>
            </w:div>
            <w:div w:id="1566259883">
              <w:marLeft w:val="0"/>
              <w:marRight w:val="0"/>
              <w:marTop w:val="0"/>
              <w:marBottom w:val="0"/>
              <w:divBdr>
                <w:top w:val="none" w:sz="0" w:space="0" w:color="auto"/>
                <w:left w:val="none" w:sz="0" w:space="0" w:color="auto"/>
                <w:bottom w:val="none" w:sz="0" w:space="0" w:color="auto"/>
                <w:right w:val="none" w:sz="0" w:space="0" w:color="auto"/>
              </w:divBdr>
            </w:div>
          </w:divsChild>
        </w:div>
        <w:div w:id="1527713689">
          <w:marLeft w:val="0"/>
          <w:marRight w:val="0"/>
          <w:marTop w:val="0"/>
          <w:marBottom w:val="0"/>
          <w:divBdr>
            <w:top w:val="none" w:sz="0" w:space="0" w:color="auto"/>
            <w:left w:val="none" w:sz="0" w:space="0" w:color="auto"/>
            <w:bottom w:val="none" w:sz="0" w:space="0" w:color="auto"/>
            <w:right w:val="none" w:sz="0" w:space="0" w:color="auto"/>
          </w:divBdr>
          <w:divsChild>
            <w:div w:id="1590649529">
              <w:marLeft w:val="0"/>
              <w:marRight w:val="0"/>
              <w:marTop w:val="0"/>
              <w:marBottom w:val="0"/>
              <w:divBdr>
                <w:top w:val="none" w:sz="0" w:space="0" w:color="auto"/>
                <w:left w:val="none" w:sz="0" w:space="0" w:color="auto"/>
                <w:bottom w:val="none" w:sz="0" w:space="0" w:color="auto"/>
                <w:right w:val="none" w:sz="0" w:space="0" w:color="auto"/>
              </w:divBdr>
            </w:div>
            <w:div w:id="2106488716">
              <w:marLeft w:val="0"/>
              <w:marRight w:val="0"/>
              <w:marTop w:val="0"/>
              <w:marBottom w:val="0"/>
              <w:divBdr>
                <w:top w:val="none" w:sz="0" w:space="0" w:color="auto"/>
                <w:left w:val="none" w:sz="0" w:space="0" w:color="auto"/>
                <w:bottom w:val="none" w:sz="0" w:space="0" w:color="auto"/>
                <w:right w:val="none" w:sz="0" w:space="0" w:color="auto"/>
              </w:divBdr>
            </w:div>
          </w:divsChild>
        </w:div>
        <w:div w:id="1555431529">
          <w:marLeft w:val="0"/>
          <w:marRight w:val="0"/>
          <w:marTop w:val="0"/>
          <w:marBottom w:val="0"/>
          <w:divBdr>
            <w:top w:val="none" w:sz="0" w:space="0" w:color="auto"/>
            <w:left w:val="none" w:sz="0" w:space="0" w:color="auto"/>
            <w:bottom w:val="none" w:sz="0" w:space="0" w:color="auto"/>
            <w:right w:val="none" w:sz="0" w:space="0" w:color="auto"/>
          </w:divBdr>
          <w:divsChild>
            <w:div w:id="218058243">
              <w:marLeft w:val="0"/>
              <w:marRight w:val="0"/>
              <w:marTop w:val="0"/>
              <w:marBottom w:val="0"/>
              <w:divBdr>
                <w:top w:val="none" w:sz="0" w:space="0" w:color="auto"/>
                <w:left w:val="none" w:sz="0" w:space="0" w:color="auto"/>
                <w:bottom w:val="none" w:sz="0" w:space="0" w:color="auto"/>
                <w:right w:val="none" w:sz="0" w:space="0" w:color="auto"/>
              </w:divBdr>
            </w:div>
          </w:divsChild>
        </w:div>
        <w:div w:id="1574780974">
          <w:marLeft w:val="0"/>
          <w:marRight w:val="0"/>
          <w:marTop w:val="0"/>
          <w:marBottom w:val="0"/>
          <w:divBdr>
            <w:top w:val="none" w:sz="0" w:space="0" w:color="auto"/>
            <w:left w:val="none" w:sz="0" w:space="0" w:color="auto"/>
            <w:bottom w:val="none" w:sz="0" w:space="0" w:color="auto"/>
            <w:right w:val="none" w:sz="0" w:space="0" w:color="auto"/>
          </w:divBdr>
          <w:divsChild>
            <w:div w:id="8800610">
              <w:marLeft w:val="0"/>
              <w:marRight w:val="0"/>
              <w:marTop w:val="0"/>
              <w:marBottom w:val="0"/>
              <w:divBdr>
                <w:top w:val="none" w:sz="0" w:space="0" w:color="auto"/>
                <w:left w:val="none" w:sz="0" w:space="0" w:color="auto"/>
                <w:bottom w:val="none" w:sz="0" w:space="0" w:color="auto"/>
                <w:right w:val="none" w:sz="0" w:space="0" w:color="auto"/>
              </w:divBdr>
            </w:div>
            <w:div w:id="1267074919">
              <w:marLeft w:val="0"/>
              <w:marRight w:val="0"/>
              <w:marTop w:val="0"/>
              <w:marBottom w:val="0"/>
              <w:divBdr>
                <w:top w:val="none" w:sz="0" w:space="0" w:color="auto"/>
                <w:left w:val="none" w:sz="0" w:space="0" w:color="auto"/>
                <w:bottom w:val="none" w:sz="0" w:space="0" w:color="auto"/>
                <w:right w:val="none" w:sz="0" w:space="0" w:color="auto"/>
              </w:divBdr>
            </w:div>
            <w:div w:id="1553886721">
              <w:marLeft w:val="0"/>
              <w:marRight w:val="0"/>
              <w:marTop w:val="0"/>
              <w:marBottom w:val="0"/>
              <w:divBdr>
                <w:top w:val="none" w:sz="0" w:space="0" w:color="auto"/>
                <w:left w:val="none" w:sz="0" w:space="0" w:color="auto"/>
                <w:bottom w:val="none" w:sz="0" w:space="0" w:color="auto"/>
                <w:right w:val="none" w:sz="0" w:space="0" w:color="auto"/>
              </w:divBdr>
            </w:div>
          </w:divsChild>
        </w:div>
        <w:div w:id="1628853732">
          <w:marLeft w:val="0"/>
          <w:marRight w:val="0"/>
          <w:marTop w:val="0"/>
          <w:marBottom w:val="0"/>
          <w:divBdr>
            <w:top w:val="none" w:sz="0" w:space="0" w:color="auto"/>
            <w:left w:val="none" w:sz="0" w:space="0" w:color="auto"/>
            <w:bottom w:val="none" w:sz="0" w:space="0" w:color="auto"/>
            <w:right w:val="none" w:sz="0" w:space="0" w:color="auto"/>
          </w:divBdr>
          <w:divsChild>
            <w:div w:id="85271797">
              <w:marLeft w:val="0"/>
              <w:marRight w:val="0"/>
              <w:marTop w:val="0"/>
              <w:marBottom w:val="0"/>
              <w:divBdr>
                <w:top w:val="none" w:sz="0" w:space="0" w:color="auto"/>
                <w:left w:val="none" w:sz="0" w:space="0" w:color="auto"/>
                <w:bottom w:val="none" w:sz="0" w:space="0" w:color="auto"/>
                <w:right w:val="none" w:sz="0" w:space="0" w:color="auto"/>
              </w:divBdr>
            </w:div>
            <w:div w:id="489248390">
              <w:marLeft w:val="0"/>
              <w:marRight w:val="0"/>
              <w:marTop w:val="0"/>
              <w:marBottom w:val="0"/>
              <w:divBdr>
                <w:top w:val="none" w:sz="0" w:space="0" w:color="auto"/>
                <w:left w:val="none" w:sz="0" w:space="0" w:color="auto"/>
                <w:bottom w:val="none" w:sz="0" w:space="0" w:color="auto"/>
                <w:right w:val="none" w:sz="0" w:space="0" w:color="auto"/>
              </w:divBdr>
            </w:div>
          </w:divsChild>
        </w:div>
        <w:div w:id="1691881547">
          <w:marLeft w:val="0"/>
          <w:marRight w:val="0"/>
          <w:marTop w:val="0"/>
          <w:marBottom w:val="0"/>
          <w:divBdr>
            <w:top w:val="none" w:sz="0" w:space="0" w:color="auto"/>
            <w:left w:val="none" w:sz="0" w:space="0" w:color="auto"/>
            <w:bottom w:val="none" w:sz="0" w:space="0" w:color="auto"/>
            <w:right w:val="none" w:sz="0" w:space="0" w:color="auto"/>
          </w:divBdr>
          <w:divsChild>
            <w:div w:id="139269067">
              <w:marLeft w:val="0"/>
              <w:marRight w:val="0"/>
              <w:marTop w:val="0"/>
              <w:marBottom w:val="0"/>
              <w:divBdr>
                <w:top w:val="none" w:sz="0" w:space="0" w:color="auto"/>
                <w:left w:val="none" w:sz="0" w:space="0" w:color="auto"/>
                <w:bottom w:val="none" w:sz="0" w:space="0" w:color="auto"/>
                <w:right w:val="none" w:sz="0" w:space="0" w:color="auto"/>
              </w:divBdr>
            </w:div>
            <w:div w:id="629357031">
              <w:marLeft w:val="0"/>
              <w:marRight w:val="0"/>
              <w:marTop w:val="0"/>
              <w:marBottom w:val="0"/>
              <w:divBdr>
                <w:top w:val="none" w:sz="0" w:space="0" w:color="auto"/>
                <w:left w:val="none" w:sz="0" w:space="0" w:color="auto"/>
                <w:bottom w:val="none" w:sz="0" w:space="0" w:color="auto"/>
                <w:right w:val="none" w:sz="0" w:space="0" w:color="auto"/>
              </w:divBdr>
            </w:div>
            <w:div w:id="1117918606">
              <w:marLeft w:val="0"/>
              <w:marRight w:val="0"/>
              <w:marTop w:val="0"/>
              <w:marBottom w:val="0"/>
              <w:divBdr>
                <w:top w:val="none" w:sz="0" w:space="0" w:color="auto"/>
                <w:left w:val="none" w:sz="0" w:space="0" w:color="auto"/>
                <w:bottom w:val="none" w:sz="0" w:space="0" w:color="auto"/>
                <w:right w:val="none" w:sz="0" w:space="0" w:color="auto"/>
              </w:divBdr>
            </w:div>
            <w:div w:id="1549341279">
              <w:marLeft w:val="0"/>
              <w:marRight w:val="0"/>
              <w:marTop w:val="0"/>
              <w:marBottom w:val="0"/>
              <w:divBdr>
                <w:top w:val="none" w:sz="0" w:space="0" w:color="auto"/>
                <w:left w:val="none" w:sz="0" w:space="0" w:color="auto"/>
                <w:bottom w:val="none" w:sz="0" w:space="0" w:color="auto"/>
                <w:right w:val="none" w:sz="0" w:space="0" w:color="auto"/>
              </w:divBdr>
            </w:div>
            <w:div w:id="1693608144">
              <w:marLeft w:val="0"/>
              <w:marRight w:val="0"/>
              <w:marTop w:val="0"/>
              <w:marBottom w:val="0"/>
              <w:divBdr>
                <w:top w:val="none" w:sz="0" w:space="0" w:color="auto"/>
                <w:left w:val="none" w:sz="0" w:space="0" w:color="auto"/>
                <w:bottom w:val="none" w:sz="0" w:space="0" w:color="auto"/>
                <w:right w:val="none" w:sz="0" w:space="0" w:color="auto"/>
              </w:divBdr>
            </w:div>
          </w:divsChild>
        </w:div>
        <w:div w:id="1747143285">
          <w:marLeft w:val="0"/>
          <w:marRight w:val="0"/>
          <w:marTop w:val="0"/>
          <w:marBottom w:val="0"/>
          <w:divBdr>
            <w:top w:val="none" w:sz="0" w:space="0" w:color="auto"/>
            <w:left w:val="none" w:sz="0" w:space="0" w:color="auto"/>
            <w:bottom w:val="none" w:sz="0" w:space="0" w:color="auto"/>
            <w:right w:val="none" w:sz="0" w:space="0" w:color="auto"/>
          </w:divBdr>
          <w:divsChild>
            <w:div w:id="284508695">
              <w:marLeft w:val="0"/>
              <w:marRight w:val="0"/>
              <w:marTop w:val="0"/>
              <w:marBottom w:val="0"/>
              <w:divBdr>
                <w:top w:val="none" w:sz="0" w:space="0" w:color="auto"/>
                <w:left w:val="none" w:sz="0" w:space="0" w:color="auto"/>
                <w:bottom w:val="none" w:sz="0" w:space="0" w:color="auto"/>
                <w:right w:val="none" w:sz="0" w:space="0" w:color="auto"/>
              </w:divBdr>
            </w:div>
            <w:div w:id="2053922021">
              <w:marLeft w:val="0"/>
              <w:marRight w:val="0"/>
              <w:marTop w:val="0"/>
              <w:marBottom w:val="0"/>
              <w:divBdr>
                <w:top w:val="none" w:sz="0" w:space="0" w:color="auto"/>
                <w:left w:val="none" w:sz="0" w:space="0" w:color="auto"/>
                <w:bottom w:val="none" w:sz="0" w:space="0" w:color="auto"/>
                <w:right w:val="none" w:sz="0" w:space="0" w:color="auto"/>
              </w:divBdr>
            </w:div>
          </w:divsChild>
        </w:div>
        <w:div w:id="1782257025">
          <w:marLeft w:val="0"/>
          <w:marRight w:val="0"/>
          <w:marTop w:val="0"/>
          <w:marBottom w:val="0"/>
          <w:divBdr>
            <w:top w:val="none" w:sz="0" w:space="0" w:color="auto"/>
            <w:left w:val="none" w:sz="0" w:space="0" w:color="auto"/>
            <w:bottom w:val="none" w:sz="0" w:space="0" w:color="auto"/>
            <w:right w:val="none" w:sz="0" w:space="0" w:color="auto"/>
          </w:divBdr>
          <w:divsChild>
            <w:div w:id="1536582786">
              <w:marLeft w:val="0"/>
              <w:marRight w:val="0"/>
              <w:marTop w:val="0"/>
              <w:marBottom w:val="0"/>
              <w:divBdr>
                <w:top w:val="none" w:sz="0" w:space="0" w:color="auto"/>
                <w:left w:val="none" w:sz="0" w:space="0" w:color="auto"/>
                <w:bottom w:val="none" w:sz="0" w:space="0" w:color="auto"/>
                <w:right w:val="none" w:sz="0" w:space="0" w:color="auto"/>
              </w:divBdr>
            </w:div>
            <w:div w:id="1981498479">
              <w:marLeft w:val="0"/>
              <w:marRight w:val="0"/>
              <w:marTop w:val="0"/>
              <w:marBottom w:val="0"/>
              <w:divBdr>
                <w:top w:val="none" w:sz="0" w:space="0" w:color="auto"/>
                <w:left w:val="none" w:sz="0" w:space="0" w:color="auto"/>
                <w:bottom w:val="none" w:sz="0" w:space="0" w:color="auto"/>
                <w:right w:val="none" w:sz="0" w:space="0" w:color="auto"/>
              </w:divBdr>
            </w:div>
          </w:divsChild>
        </w:div>
        <w:div w:id="1827041699">
          <w:marLeft w:val="0"/>
          <w:marRight w:val="0"/>
          <w:marTop w:val="0"/>
          <w:marBottom w:val="0"/>
          <w:divBdr>
            <w:top w:val="none" w:sz="0" w:space="0" w:color="auto"/>
            <w:left w:val="none" w:sz="0" w:space="0" w:color="auto"/>
            <w:bottom w:val="none" w:sz="0" w:space="0" w:color="auto"/>
            <w:right w:val="none" w:sz="0" w:space="0" w:color="auto"/>
          </w:divBdr>
          <w:divsChild>
            <w:div w:id="400371079">
              <w:marLeft w:val="0"/>
              <w:marRight w:val="0"/>
              <w:marTop w:val="0"/>
              <w:marBottom w:val="0"/>
              <w:divBdr>
                <w:top w:val="none" w:sz="0" w:space="0" w:color="auto"/>
                <w:left w:val="none" w:sz="0" w:space="0" w:color="auto"/>
                <w:bottom w:val="none" w:sz="0" w:space="0" w:color="auto"/>
                <w:right w:val="none" w:sz="0" w:space="0" w:color="auto"/>
              </w:divBdr>
            </w:div>
            <w:div w:id="733626253">
              <w:marLeft w:val="0"/>
              <w:marRight w:val="0"/>
              <w:marTop w:val="0"/>
              <w:marBottom w:val="0"/>
              <w:divBdr>
                <w:top w:val="none" w:sz="0" w:space="0" w:color="auto"/>
                <w:left w:val="none" w:sz="0" w:space="0" w:color="auto"/>
                <w:bottom w:val="none" w:sz="0" w:space="0" w:color="auto"/>
                <w:right w:val="none" w:sz="0" w:space="0" w:color="auto"/>
              </w:divBdr>
            </w:div>
            <w:div w:id="753162893">
              <w:marLeft w:val="0"/>
              <w:marRight w:val="0"/>
              <w:marTop w:val="0"/>
              <w:marBottom w:val="0"/>
              <w:divBdr>
                <w:top w:val="none" w:sz="0" w:space="0" w:color="auto"/>
                <w:left w:val="none" w:sz="0" w:space="0" w:color="auto"/>
                <w:bottom w:val="none" w:sz="0" w:space="0" w:color="auto"/>
                <w:right w:val="none" w:sz="0" w:space="0" w:color="auto"/>
              </w:divBdr>
            </w:div>
          </w:divsChild>
        </w:div>
        <w:div w:id="1844010291">
          <w:marLeft w:val="0"/>
          <w:marRight w:val="0"/>
          <w:marTop w:val="0"/>
          <w:marBottom w:val="0"/>
          <w:divBdr>
            <w:top w:val="none" w:sz="0" w:space="0" w:color="auto"/>
            <w:left w:val="none" w:sz="0" w:space="0" w:color="auto"/>
            <w:bottom w:val="none" w:sz="0" w:space="0" w:color="auto"/>
            <w:right w:val="none" w:sz="0" w:space="0" w:color="auto"/>
          </w:divBdr>
          <w:divsChild>
            <w:div w:id="466435277">
              <w:marLeft w:val="0"/>
              <w:marRight w:val="0"/>
              <w:marTop w:val="0"/>
              <w:marBottom w:val="0"/>
              <w:divBdr>
                <w:top w:val="none" w:sz="0" w:space="0" w:color="auto"/>
                <w:left w:val="none" w:sz="0" w:space="0" w:color="auto"/>
                <w:bottom w:val="none" w:sz="0" w:space="0" w:color="auto"/>
                <w:right w:val="none" w:sz="0" w:space="0" w:color="auto"/>
              </w:divBdr>
            </w:div>
            <w:div w:id="514924419">
              <w:marLeft w:val="0"/>
              <w:marRight w:val="0"/>
              <w:marTop w:val="0"/>
              <w:marBottom w:val="0"/>
              <w:divBdr>
                <w:top w:val="none" w:sz="0" w:space="0" w:color="auto"/>
                <w:left w:val="none" w:sz="0" w:space="0" w:color="auto"/>
                <w:bottom w:val="none" w:sz="0" w:space="0" w:color="auto"/>
                <w:right w:val="none" w:sz="0" w:space="0" w:color="auto"/>
              </w:divBdr>
            </w:div>
          </w:divsChild>
        </w:div>
        <w:div w:id="1976449444">
          <w:marLeft w:val="0"/>
          <w:marRight w:val="0"/>
          <w:marTop w:val="0"/>
          <w:marBottom w:val="0"/>
          <w:divBdr>
            <w:top w:val="none" w:sz="0" w:space="0" w:color="auto"/>
            <w:left w:val="none" w:sz="0" w:space="0" w:color="auto"/>
            <w:bottom w:val="none" w:sz="0" w:space="0" w:color="auto"/>
            <w:right w:val="none" w:sz="0" w:space="0" w:color="auto"/>
          </w:divBdr>
          <w:divsChild>
            <w:div w:id="191190060">
              <w:marLeft w:val="0"/>
              <w:marRight w:val="0"/>
              <w:marTop w:val="0"/>
              <w:marBottom w:val="0"/>
              <w:divBdr>
                <w:top w:val="none" w:sz="0" w:space="0" w:color="auto"/>
                <w:left w:val="none" w:sz="0" w:space="0" w:color="auto"/>
                <w:bottom w:val="none" w:sz="0" w:space="0" w:color="auto"/>
                <w:right w:val="none" w:sz="0" w:space="0" w:color="auto"/>
              </w:divBdr>
            </w:div>
            <w:div w:id="367679819">
              <w:marLeft w:val="0"/>
              <w:marRight w:val="0"/>
              <w:marTop w:val="0"/>
              <w:marBottom w:val="0"/>
              <w:divBdr>
                <w:top w:val="none" w:sz="0" w:space="0" w:color="auto"/>
                <w:left w:val="none" w:sz="0" w:space="0" w:color="auto"/>
                <w:bottom w:val="none" w:sz="0" w:space="0" w:color="auto"/>
                <w:right w:val="none" w:sz="0" w:space="0" w:color="auto"/>
              </w:divBdr>
            </w:div>
            <w:div w:id="588928159">
              <w:marLeft w:val="0"/>
              <w:marRight w:val="0"/>
              <w:marTop w:val="0"/>
              <w:marBottom w:val="0"/>
              <w:divBdr>
                <w:top w:val="none" w:sz="0" w:space="0" w:color="auto"/>
                <w:left w:val="none" w:sz="0" w:space="0" w:color="auto"/>
                <w:bottom w:val="none" w:sz="0" w:space="0" w:color="auto"/>
                <w:right w:val="none" w:sz="0" w:space="0" w:color="auto"/>
              </w:divBdr>
            </w:div>
            <w:div w:id="658119918">
              <w:marLeft w:val="0"/>
              <w:marRight w:val="0"/>
              <w:marTop w:val="0"/>
              <w:marBottom w:val="0"/>
              <w:divBdr>
                <w:top w:val="none" w:sz="0" w:space="0" w:color="auto"/>
                <w:left w:val="none" w:sz="0" w:space="0" w:color="auto"/>
                <w:bottom w:val="none" w:sz="0" w:space="0" w:color="auto"/>
                <w:right w:val="none" w:sz="0" w:space="0" w:color="auto"/>
              </w:divBdr>
            </w:div>
            <w:div w:id="995114437">
              <w:marLeft w:val="0"/>
              <w:marRight w:val="0"/>
              <w:marTop w:val="0"/>
              <w:marBottom w:val="0"/>
              <w:divBdr>
                <w:top w:val="none" w:sz="0" w:space="0" w:color="auto"/>
                <w:left w:val="none" w:sz="0" w:space="0" w:color="auto"/>
                <w:bottom w:val="none" w:sz="0" w:space="0" w:color="auto"/>
                <w:right w:val="none" w:sz="0" w:space="0" w:color="auto"/>
              </w:divBdr>
            </w:div>
            <w:div w:id="997151758">
              <w:marLeft w:val="0"/>
              <w:marRight w:val="0"/>
              <w:marTop w:val="0"/>
              <w:marBottom w:val="0"/>
              <w:divBdr>
                <w:top w:val="none" w:sz="0" w:space="0" w:color="auto"/>
                <w:left w:val="none" w:sz="0" w:space="0" w:color="auto"/>
                <w:bottom w:val="none" w:sz="0" w:space="0" w:color="auto"/>
                <w:right w:val="none" w:sz="0" w:space="0" w:color="auto"/>
              </w:divBdr>
            </w:div>
            <w:div w:id="1000694058">
              <w:marLeft w:val="0"/>
              <w:marRight w:val="0"/>
              <w:marTop w:val="0"/>
              <w:marBottom w:val="0"/>
              <w:divBdr>
                <w:top w:val="none" w:sz="0" w:space="0" w:color="auto"/>
                <w:left w:val="none" w:sz="0" w:space="0" w:color="auto"/>
                <w:bottom w:val="none" w:sz="0" w:space="0" w:color="auto"/>
                <w:right w:val="none" w:sz="0" w:space="0" w:color="auto"/>
              </w:divBdr>
            </w:div>
            <w:div w:id="1017930986">
              <w:marLeft w:val="0"/>
              <w:marRight w:val="0"/>
              <w:marTop w:val="0"/>
              <w:marBottom w:val="0"/>
              <w:divBdr>
                <w:top w:val="none" w:sz="0" w:space="0" w:color="auto"/>
                <w:left w:val="none" w:sz="0" w:space="0" w:color="auto"/>
                <w:bottom w:val="none" w:sz="0" w:space="0" w:color="auto"/>
                <w:right w:val="none" w:sz="0" w:space="0" w:color="auto"/>
              </w:divBdr>
            </w:div>
            <w:div w:id="1231767451">
              <w:marLeft w:val="0"/>
              <w:marRight w:val="0"/>
              <w:marTop w:val="0"/>
              <w:marBottom w:val="0"/>
              <w:divBdr>
                <w:top w:val="none" w:sz="0" w:space="0" w:color="auto"/>
                <w:left w:val="none" w:sz="0" w:space="0" w:color="auto"/>
                <w:bottom w:val="none" w:sz="0" w:space="0" w:color="auto"/>
                <w:right w:val="none" w:sz="0" w:space="0" w:color="auto"/>
              </w:divBdr>
            </w:div>
            <w:div w:id="1939752839">
              <w:marLeft w:val="0"/>
              <w:marRight w:val="0"/>
              <w:marTop w:val="0"/>
              <w:marBottom w:val="0"/>
              <w:divBdr>
                <w:top w:val="none" w:sz="0" w:space="0" w:color="auto"/>
                <w:left w:val="none" w:sz="0" w:space="0" w:color="auto"/>
                <w:bottom w:val="none" w:sz="0" w:space="0" w:color="auto"/>
                <w:right w:val="none" w:sz="0" w:space="0" w:color="auto"/>
              </w:divBdr>
            </w:div>
            <w:div w:id="2018190118">
              <w:marLeft w:val="0"/>
              <w:marRight w:val="0"/>
              <w:marTop w:val="0"/>
              <w:marBottom w:val="0"/>
              <w:divBdr>
                <w:top w:val="none" w:sz="0" w:space="0" w:color="auto"/>
                <w:left w:val="none" w:sz="0" w:space="0" w:color="auto"/>
                <w:bottom w:val="none" w:sz="0" w:space="0" w:color="auto"/>
                <w:right w:val="none" w:sz="0" w:space="0" w:color="auto"/>
              </w:divBdr>
            </w:div>
          </w:divsChild>
        </w:div>
        <w:div w:id="1978294658">
          <w:marLeft w:val="0"/>
          <w:marRight w:val="0"/>
          <w:marTop w:val="0"/>
          <w:marBottom w:val="0"/>
          <w:divBdr>
            <w:top w:val="none" w:sz="0" w:space="0" w:color="auto"/>
            <w:left w:val="none" w:sz="0" w:space="0" w:color="auto"/>
            <w:bottom w:val="none" w:sz="0" w:space="0" w:color="auto"/>
            <w:right w:val="none" w:sz="0" w:space="0" w:color="auto"/>
          </w:divBdr>
          <w:divsChild>
            <w:div w:id="2323123">
              <w:marLeft w:val="0"/>
              <w:marRight w:val="0"/>
              <w:marTop w:val="0"/>
              <w:marBottom w:val="0"/>
              <w:divBdr>
                <w:top w:val="none" w:sz="0" w:space="0" w:color="auto"/>
                <w:left w:val="none" w:sz="0" w:space="0" w:color="auto"/>
                <w:bottom w:val="none" w:sz="0" w:space="0" w:color="auto"/>
                <w:right w:val="none" w:sz="0" w:space="0" w:color="auto"/>
              </w:divBdr>
            </w:div>
            <w:div w:id="409347718">
              <w:marLeft w:val="0"/>
              <w:marRight w:val="0"/>
              <w:marTop w:val="0"/>
              <w:marBottom w:val="0"/>
              <w:divBdr>
                <w:top w:val="none" w:sz="0" w:space="0" w:color="auto"/>
                <w:left w:val="none" w:sz="0" w:space="0" w:color="auto"/>
                <w:bottom w:val="none" w:sz="0" w:space="0" w:color="auto"/>
                <w:right w:val="none" w:sz="0" w:space="0" w:color="auto"/>
              </w:divBdr>
            </w:div>
            <w:div w:id="1781292649">
              <w:marLeft w:val="0"/>
              <w:marRight w:val="0"/>
              <w:marTop w:val="0"/>
              <w:marBottom w:val="0"/>
              <w:divBdr>
                <w:top w:val="none" w:sz="0" w:space="0" w:color="auto"/>
                <w:left w:val="none" w:sz="0" w:space="0" w:color="auto"/>
                <w:bottom w:val="none" w:sz="0" w:space="0" w:color="auto"/>
                <w:right w:val="none" w:sz="0" w:space="0" w:color="auto"/>
              </w:divBdr>
            </w:div>
          </w:divsChild>
        </w:div>
        <w:div w:id="1989897678">
          <w:marLeft w:val="0"/>
          <w:marRight w:val="0"/>
          <w:marTop w:val="0"/>
          <w:marBottom w:val="0"/>
          <w:divBdr>
            <w:top w:val="none" w:sz="0" w:space="0" w:color="auto"/>
            <w:left w:val="none" w:sz="0" w:space="0" w:color="auto"/>
            <w:bottom w:val="none" w:sz="0" w:space="0" w:color="auto"/>
            <w:right w:val="none" w:sz="0" w:space="0" w:color="auto"/>
          </w:divBdr>
          <w:divsChild>
            <w:div w:id="1643540104">
              <w:marLeft w:val="0"/>
              <w:marRight w:val="0"/>
              <w:marTop w:val="0"/>
              <w:marBottom w:val="0"/>
              <w:divBdr>
                <w:top w:val="none" w:sz="0" w:space="0" w:color="auto"/>
                <w:left w:val="none" w:sz="0" w:space="0" w:color="auto"/>
                <w:bottom w:val="none" w:sz="0" w:space="0" w:color="auto"/>
                <w:right w:val="none" w:sz="0" w:space="0" w:color="auto"/>
              </w:divBdr>
            </w:div>
          </w:divsChild>
        </w:div>
        <w:div w:id="2017536911">
          <w:marLeft w:val="0"/>
          <w:marRight w:val="0"/>
          <w:marTop w:val="0"/>
          <w:marBottom w:val="0"/>
          <w:divBdr>
            <w:top w:val="none" w:sz="0" w:space="0" w:color="auto"/>
            <w:left w:val="none" w:sz="0" w:space="0" w:color="auto"/>
            <w:bottom w:val="none" w:sz="0" w:space="0" w:color="auto"/>
            <w:right w:val="none" w:sz="0" w:space="0" w:color="auto"/>
          </w:divBdr>
          <w:divsChild>
            <w:div w:id="126433375">
              <w:marLeft w:val="0"/>
              <w:marRight w:val="0"/>
              <w:marTop w:val="0"/>
              <w:marBottom w:val="0"/>
              <w:divBdr>
                <w:top w:val="none" w:sz="0" w:space="0" w:color="auto"/>
                <w:left w:val="none" w:sz="0" w:space="0" w:color="auto"/>
                <w:bottom w:val="none" w:sz="0" w:space="0" w:color="auto"/>
                <w:right w:val="none" w:sz="0" w:space="0" w:color="auto"/>
              </w:divBdr>
            </w:div>
            <w:div w:id="459998558">
              <w:marLeft w:val="0"/>
              <w:marRight w:val="0"/>
              <w:marTop w:val="0"/>
              <w:marBottom w:val="0"/>
              <w:divBdr>
                <w:top w:val="none" w:sz="0" w:space="0" w:color="auto"/>
                <w:left w:val="none" w:sz="0" w:space="0" w:color="auto"/>
                <w:bottom w:val="none" w:sz="0" w:space="0" w:color="auto"/>
                <w:right w:val="none" w:sz="0" w:space="0" w:color="auto"/>
              </w:divBdr>
            </w:div>
            <w:div w:id="1046758498">
              <w:marLeft w:val="0"/>
              <w:marRight w:val="0"/>
              <w:marTop w:val="0"/>
              <w:marBottom w:val="0"/>
              <w:divBdr>
                <w:top w:val="none" w:sz="0" w:space="0" w:color="auto"/>
                <w:left w:val="none" w:sz="0" w:space="0" w:color="auto"/>
                <w:bottom w:val="none" w:sz="0" w:space="0" w:color="auto"/>
                <w:right w:val="none" w:sz="0" w:space="0" w:color="auto"/>
              </w:divBdr>
            </w:div>
          </w:divsChild>
        </w:div>
        <w:div w:id="2111662659">
          <w:marLeft w:val="0"/>
          <w:marRight w:val="0"/>
          <w:marTop w:val="0"/>
          <w:marBottom w:val="0"/>
          <w:divBdr>
            <w:top w:val="none" w:sz="0" w:space="0" w:color="auto"/>
            <w:left w:val="none" w:sz="0" w:space="0" w:color="auto"/>
            <w:bottom w:val="none" w:sz="0" w:space="0" w:color="auto"/>
            <w:right w:val="none" w:sz="0" w:space="0" w:color="auto"/>
          </w:divBdr>
          <w:divsChild>
            <w:div w:id="122980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2/1025/oj" TargetMode="External"/><Relationship Id="rId13" Type="http://schemas.openxmlformats.org/officeDocument/2006/relationships/hyperlink" Target="http://data.europa.eu/eli/dir/2022/2555/oj" TargetMode="External"/><Relationship Id="rId18" Type="http://schemas.openxmlformats.org/officeDocument/2006/relationships/hyperlink" Target="https://commission.europa.eu/about/organisation/college-commissioners/henna-virkkunen_en" TargetMode="External"/><Relationship Id="rId26" Type="http://schemas.openxmlformats.org/officeDocument/2006/relationships/hyperlink" Target="https://eur-lex.europa.eu/eli/reg/2019/881/oj/eng" TargetMode="External"/><Relationship Id="rId3" Type="http://schemas.openxmlformats.org/officeDocument/2006/relationships/hyperlink" Target="https://single-market-economy.ec.europa.eu/news/commission-launches-call-evidence-and-public-consultation-evaluation-public-procurement-directives-2024-12-13_en" TargetMode="External"/><Relationship Id="rId21" Type="http://schemas.openxmlformats.org/officeDocument/2006/relationships/hyperlink" Target="https://www.consilium.europa.eu/media/ny3j24sm/much-more-than-a-market-report-by-enrico-letta.pdf" TargetMode="External"/><Relationship Id="rId7" Type="http://schemas.openxmlformats.org/officeDocument/2006/relationships/hyperlink" Target="http://data.europa.eu/eli/reg/2008/765/oj" TargetMode="External"/><Relationship Id="rId12" Type="http://schemas.openxmlformats.org/officeDocument/2006/relationships/hyperlink" Target="https://european-union.europa.eu/document/download/d4199ff4-1e3d-45e6-af7e-90cf1a7b10bc_en?filename=joint_statement_on_decentralised_agencies_en.pdf" TargetMode="External"/><Relationship Id="rId17" Type="http://schemas.openxmlformats.org/officeDocument/2006/relationships/hyperlink" Target="https://commission.europa.eu/document/download/e6cd4328-673c-4e7a-8683-f63ffb2cf648_en?filename=Political%20Guidelines%202024-2029_EN.pdf" TargetMode="External"/><Relationship Id="rId25" Type="http://schemas.openxmlformats.org/officeDocument/2006/relationships/hyperlink" Target="https://eur-lex.europa.eu/eli/reg_del/2019/715/oj/eng" TargetMode="External"/><Relationship Id="rId2" Type="http://schemas.openxmlformats.org/officeDocument/2006/relationships/hyperlink" Target="https://commission.europa.eu/document/download/97e481fd-2dc3-412d-be4c-f152a8232961_en?filename=The%20future%20of%20European%20competitiveness%20_%20A%20competitiveness%20strategy%20for%20Europe.pdf" TargetMode="External"/><Relationship Id="rId16" Type="http://schemas.openxmlformats.org/officeDocument/2006/relationships/hyperlink" Target="http://data.europa.eu/eli/reg/2018/1725/oj" TargetMode="External"/><Relationship Id="rId20" Type="http://schemas.openxmlformats.org/officeDocument/2006/relationships/hyperlink" Target="https://commission.europa.eu/topics/eu-competitiveness/draghi-report_en" TargetMode="External"/><Relationship Id="rId29" Type="http://schemas.openxmlformats.org/officeDocument/2006/relationships/hyperlink" Target="https://www.enisa.europa.eu/sites/default/files/all_files/MB%20Decision%202019_8%20Financial%20rules_adopted.pdf" TargetMode="External"/><Relationship Id="rId1" Type="http://schemas.openxmlformats.org/officeDocument/2006/relationships/hyperlink" Target="https://www.enisa.europa.eu/publications/enisa-threat-landscape-2024" TargetMode="External"/><Relationship Id="rId6" Type="http://schemas.openxmlformats.org/officeDocument/2006/relationships/hyperlink" Target="http://data.europa.eu/eli/dir/2022/2555/oj" TargetMode="External"/><Relationship Id="rId11" Type="http://schemas.openxmlformats.org/officeDocument/2006/relationships/hyperlink" Target="http://data.europa.eu/eli/reg_impl/2019/1583/oj" TargetMode="External"/><Relationship Id="rId24" Type="http://schemas.openxmlformats.org/officeDocument/2006/relationships/hyperlink" Target="https://europa.eu/european-union/sites/europaeu/files/docs/body/joint_statement_and_common_approach_2012_en.pdf" TargetMode="External"/><Relationship Id="rId5" Type="http://schemas.openxmlformats.org/officeDocument/2006/relationships/hyperlink" Target="http://data.europa.eu/eli/reg/2019/881/oj" TargetMode="External"/><Relationship Id="rId15" Type="http://schemas.openxmlformats.org/officeDocument/2006/relationships/hyperlink" Target="http://data.europa.eu/eli/reg_impl/2024/3143/oj" TargetMode="External"/><Relationship Id="rId23" Type="http://schemas.openxmlformats.org/officeDocument/2006/relationships/hyperlink" Target="https://op.europa.eu/en/publication-detail/-/publication/990fe2a6-8f52-11ef-a130-01aa75ed71a1/language-en" TargetMode="External"/><Relationship Id="rId28" Type="http://schemas.openxmlformats.org/officeDocument/2006/relationships/hyperlink" Target="https://www.enisa.europa.eu/sites/default/files/2024-11/2023%20Consolidated%20Annual%20Activity%20Report_1.pdf" TargetMode="External"/><Relationship Id="rId10" Type="http://schemas.openxmlformats.org/officeDocument/2006/relationships/hyperlink" Target="http://data.europa.eu/eli/reg_del/2022/1645/oj" TargetMode="External"/><Relationship Id="rId19" Type="http://schemas.openxmlformats.org/officeDocument/2006/relationships/hyperlink" Target="https://commission.europa.eu/document/download/5bb2881f-9e29-42f2-8b77-8739b19d047c_en?filename=2024_Niinisto-report_Book_VF.pdf" TargetMode="External"/><Relationship Id="rId31" Type="http://schemas.openxmlformats.org/officeDocument/2006/relationships/hyperlink" Target="https://www.snas.sk/storage/app/uploads/public/677/e79/e4c/677e79e4cac62903312474.pdf" TargetMode="External"/><Relationship Id="rId4" Type="http://schemas.openxmlformats.org/officeDocument/2006/relationships/hyperlink" Target="https://eur-lex.europa.eu/eli/reg/2019/881/oj/eng" TargetMode="External"/><Relationship Id="rId9" Type="http://schemas.openxmlformats.org/officeDocument/2006/relationships/hyperlink" Target="https://digital-strategy.ec.europa.eu/en/library/cybersecurity-5g-networks-eu-toolbox-risk-mitigating-measures" TargetMode="External"/><Relationship Id="rId14" Type="http://schemas.openxmlformats.org/officeDocument/2006/relationships/hyperlink" Target="http://data.europa.eu/eli/reg_impl/2025/2540/oj" TargetMode="External"/><Relationship Id="rId22" Type="http://schemas.openxmlformats.org/officeDocument/2006/relationships/hyperlink" Target="https://eur-lex.europa.eu/EN/legal-content/summary/the-eu-cybersecurity-act.html" TargetMode="External"/><Relationship Id="rId27" Type="http://schemas.openxmlformats.org/officeDocument/2006/relationships/hyperlink" Target="https://commission.europa.eu/document/download/dde9aced-6234-46e1-8ac9-34ab9fbdf109_en?filename=CNECT_AAR_2024_final.pdf" TargetMode="External"/><Relationship Id="rId30" Type="http://schemas.openxmlformats.org/officeDocument/2006/relationships/hyperlink" Target="https://eceuropaeu-my.sharepoint.com/personal/dinela_kaytazka_ec_europa_eu/Documents/Decision%20RR-02:%20Price%20list%20of%20SNAS%20servic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BFACA1-078C-4D6C-9BDE-687B0DB0D7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Template>
  <TotalTime>0</TotalTime>
  <Pages>3</Pages>
  <Words>95411</Words>
  <Characters>554343</Characters>
  <Application>Microsoft Office Word</Application>
  <DocSecurity>4</DocSecurity>
  <Lines>13520</Lines>
  <Paragraphs>5198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644556</CharactersWithSpaces>
  <SharedDoc>false</SharedDoc>
  <HLinks>
    <vt:vector size="246" baseType="variant">
      <vt:variant>
        <vt:i4>2818124</vt:i4>
      </vt:variant>
      <vt:variant>
        <vt:i4>0</vt:i4>
      </vt:variant>
      <vt:variant>
        <vt:i4>0</vt:i4>
      </vt:variant>
      <vt:variant>
        <vt:i4>5</vt:i4>
      </vt:variant>
      <vt:variant>
        <vt:lpwstr>https://euc-word-edit.officeapps.live.com/we/wordeditorframe.aspx?ui=en-US&amp;rs=en-IE&amp;actnavid=eyJjIjoxMjg4MzE4NTMyfQ&amp;wopisrc=https%3A%2F%2Feceuropaeu.sharepoint.com%2Fteams%2FGRP-CSA2.0%2F_vti_bin%2Fwopi.ashx%2Ffiles%2F7b32787078bc4bb6a2879d6e4a92ca0b&amp;wdenableroaming=1&amp;mscc=1&amp;hid=8F57EAA1-1082-0000-0173-5B8A04ACEF54.0&amp;uih=sharepointcom&amp;wdlcid=en-US&amp;jsapi=1&amp;jsapiver=v2&amp;corrid=49ecacb4-4e2e-6ed7-9a72-25f705f442b4&amp;usid=49ecacb4-4e2e-6ed7-9a72-25f705f442b4&amp;newsession=1&amp;sftc=1&amp;uihit=docaspx&amp;muv=1&amp;ats=PairwiseBroker&amp;cac=1&amp;sams=1&amp;mtf=1&amp;sfp=1&amp;sdp=1&amp;hch=1&amp;hwfh=1&amp;dchat=1&amp;sc=%7B%22pmo%22%3A%22https%3A%2F%2Feceuropaeu.sharepoint.com%22%2C%22pmshare%22%3Atrue%7D&amp;ctp=LeastProtected&amp;rct=Normal&amp;wdorigin=Outlook-Body.Sharing.DirectLink&amp;wdhostclicktime=1767702798101&amp;afdflight=94&amp;csiro=1&amp;instantedit=1&amp;wopicomplete=1&amp;wdredirectionreason=Unified_SingleFlush</vt:lpwstr>
      </vt:variant>
      <vt:variant>
        <vt:lpwstr>_ftn1</vt:lpwstr>
      </vt:variant>
      <vt:variant>
        <vt:i4>4194329</vt:i4>
      </vt:variant>
      <vt:variant>
        <vt:i4>99</vt:i4>
      </vt:variant>
      <vt:variant>
        <vt:i4>0</vt:i4>
      </vt:variant>
      <vt:variant>
        <vt:i4>5</vt:i4>
      </vt:variant>
      <vt:variant>
        <vt:lpwstr>https://www.snas.sk/storage/app/uploads/public/677/e79/e4c/677e79e4cac62903312474.pdf</vt:lpwstr>
      </vt:variant>
      <vt:variant>
        <vt:lpwstr/>
      </vt:variant>
      <vt:variant>
        <vt:i4>4259922</vt:i4>
      </vt:variant>
      <vt:variant>
        <vt:i4>96</vt:i4>
      </vt:variant>
      <vt:variant>
        <vt:i4>0</vt:i4>
      </vt:variant>
      <vt:variant>
        <vt:i4>5</vt:i4>
      </vt:variant>
      <vt:variant>
        <vt:lpwstr>https://eceuropaeu-my.sharepoint.com/personal/dinela_kaytazka_ec_europa_eu/Documents/Decision RR-02: Price list of SNAS services</vt:lpwstr>
      </vt:variant>
      <vt:variant>
        <vt:lpwstr/>
      </vt:variant>
      <vt:variant>
        <vt:i4>7536655</vt:i4>
      </vt:variant>
      <vt:variant>
        <vt:i4>93</vt:i4>
      </vt:variant>
      <vt:variant>
        <vt:i4>0</vt:i4>
      </vt:variant>
      <vt:variant>
        <vt:i4>5</vt:i4>
      </vt:variant>
      <vt:variant>
        <vt:lpwstr>https://www.enisa.europa.eu/sites/default/files/all_files/MB Decision 2019_8 Financial rules_adopted.pdf</vt:lpwstr>
      </vt:variant>
      <vt:variant>
        <vt:lpwstr/>
      </vt:variant>
      <vt:variant>
        <vt:i4>2228246</vt:i4>
      </vt:variant>
      <vt:variant>
        <vt:i4>90</vt:i4>
      </vt:variant>
      <vt:variant>
        <vt:i4>0</vt:i4>
      </vt:variant>
      <vt:variant>
        <vt:i4>5</vt:i4>
      </vt:variant>
      <vt:variant>
        <vt:lpwstr>https://www.enisa.europa.eu/sites/default/files/2024-11/2023 Consolidated Annual Activity Report_1.pdf</vt:lpwstr>
      </vt:variant>
      <vt:variant>
        <vt:lpwstr/>
      </vt:variant>
      <vt:variant>
        <vt:i4>3145839</vt:i4>
      </vt:variant>
      <vt:variant>
        <vt:i4>87</vt:i4>
      </vt:variant>
      <vt:variant>
        <vt:i4>0</vt:i4>
      </vt:variant>
      <vt:variant>
        <vt:i4>5</vt:i4>
      </vt:variant>
      <vt:variant>
        <vt:lpwstr>https://commission.europa.eu/document/download/dde9aced-6234-46e1-8ac9-34ab9fbdf109_en?filename=CNECT_AAR_2024_final.pdf</vt:lpwstr>
      </vt:variant>
      <vt:variant>
        <vt:lpwstr/>
      </vt:variant>
      <vt:variant>
        <vt:i4>1310802</vt:i4>
      </vt:variant>
      <vt:variant>
        <vt:i4>84</vt:i4>
      </vt:variant>
      <vt:variant>
        <vt:i4>0</vt:i4>
      </vt:variant>
      <vt:variant>
        <vt:i4>5</vt:i4>
      </vt:variant>
      <vt:variant>
        <vt:lpwstr>https://eur-lex.europa.eu/eli/reg/2019/881/oj/eng</vt:lpwstr>
      </vt:variant>
      <vt:variant>
        <vt:lpwstr/>
      </vt:variant>
      <vt:variant>
        <vt:i4>2424915</vt:i4>
      </vt:variant>
      <vt:variant>
        <vt:i4>81</vt:i4>
      </vt:variant>
      <vt:variant>
        <vt:i4>0</vt:i4>
      </vt:variant>
      <vt:variant>
        <vt:i4>5</vt:i4>
      </vt:variant>
      <vt:variant>
        <vt:lpwstr>https://eur-lex.europa.eu/eli/reg_del/2019/715/oj/eng</vt:lpwstr>
      </vt:variant>
      <vt:variant>
        <vt:lpwstr/>
      </vt:variant>
      <vt:variant>
        <vt:i4>3932272</vt:i4>
      </vt:variant>
      <vt:variant>
        <vt:i4>78</vt:i4>
      </vt:variant>
      <vt:variant>
        <vt:i4>0</vt:i4>
      </vt:variant>
      <vt:variant>
        <vt:i4>5</vt:i4>
      </vt:variant>
      <vt:variant>
        <vt:lpwstr>https://europa.eu/european-union/sites/europaeu/files/docs/body/joint_statement_and_common_approach_2012_en.pdf</vt:lpwstr>
      </vt:variant>
      <vt:variant>
        <vt:lpwstr/>
      </vt:variant>
      <vt:variant>
        <vt:i4>1179675</vt:i4>
      </vt:variant>
      <vt:variant>
        <vt:i4>75</vt:i4>
      </vt:variant>
      <vt:variant>
        <vt:i4>0</vt:i4>
      </vt:variant>
      <vt:variant>
        <vt:i4>5</vt:i4>
      </vt:variant>
      <vt:variant>
        <vt:lpwstr>https://op.europa.eu/en/publication-detail/-/publication/990fe2a6-8f52-11ef-a130-01aa75ed71a1/language-en</vt:lpwstr>
      </vt:variant>
      <vt:variant>
        <vt:lpwstr/>
      </vt:variant>
      <vt:variant>
        <vt:i4>720976</vt:i4>
      </vt:variant>
      <vt:variant>
        <vt:i4>72</vt:i4>
      </vt:variant>
      <vt:variant>
        <vt:i4>0</vt:i4>
      </vt:variant>
      <vt:variant>
        <vt:i4>5</vt:i4>
      </vt:variant>
      <vt:variant>
        <vt:lpwstr>https://eur-lex.europa.eu/EN/legal-content/summary/the-eu-cybersecurity-act.html</vt:lpwstr>
      </vt:variant>
      <vt:variant>
        <vt:lpwstr/>
      </vt:variant>
      <vt:variant>
        <vt:i4>6225928</vt:i4>
      </vt:variant>
      <vt:variant>
        <vt:i4>69</vt:i4>
      </vt:variant>
      <vt:variant>
        <vt:i4>0</vt:i4>
      </vt:variant>
      <vt:variant>
        <vt:i4>5</vt:i4>
      </vt:variant>
      <vt:variant>
        <vt:lpwstr>https://www.consilium.europa.eu/media/ny3j24sm/much-more-than-a-market-report-by-enrico-letta.pdf</vt:lpwstr>
      </vt:variant>
      <vt:variant>
        <vt:lpwstr/>
      </vt:variant>
      <vt:variant>
        <vt:i4>2424849</vt:i4>
      </vt:variant>
      <vt:variant>
        <vt:i4>66</vt:i4>
      </vt:variant>
      <vt:variant>
        <vt:i4>0</vt:i4>
      </vt:variant>
      <vt:variant>
        <vt:i4>5</vt:i4>
      </vt:variant>
      <vt:variant>
        <vt:lpwstr>https://commission.europa.eu/topics/eu-competitiveness/draghi-report_en</vt:lpwstr>
      </vt:variant>
      <vt:variant>
        <vt:lpwstr/>
      </vt:variant>
      <vt:variant>
        <vt:i4>4325401</vt:i4>
      </vt:variant>
      <vt:variant>
        <vt:i4>63</vt:i4>
      </vt:variant>
      <vt:variant>
        <vt:i4>0</vt:i4>
      </vt:variant>
      <vt:variant>
        <vt:i4>5</vt:i4>
      </vt:variant>
      <vt:variant>
        <vt:lpwstr>https://commission.europa.eu/document/download/5bb2881f-9e29-42f2-8b77-8739b19d047c_en?filename=2024_Niinisto-report_Book_VF.pdf</vt:lpwstr>
      </vt:variant>
      <vt:variant>
        <vt:lpwstr/>
      </vt:variant>
      <vt:variant>
        <vt:i4>6750223</vt:i4>
      </vt:variant>
      <vt:variant>
        <vt:i4>60</vt:i4>
      </vt:variant>
      <vt:variant>
        <vt:i4>0</vt:i4>
      </vt:variant>
      <vt:variant>
        <vt:i4>5</vt:i4>
      </vt:variant>
      <vt:variant>
        <vt:lpwstr>https://commission.europa.eu/about/organisation/college-commissioners/henna-virkkunen_en</vt:lpwstr>
      </vt:variant>
      <vt:variant>
        <vt:lpwstr/>
      </vt:variant>
      <vt:variant>
        <vt:i4>3932201</vt:i4>
      </vt:variant>
      <vt:variant>
        <vt:i4>57</vt:i4>
      </vt:variant>
      <vt:variant>
        <vt:i4>0</vt:i4>
      </vt:variant>
      <vt:variant>
        <vt:i4>5</vt:i4>
      </vt:variant>
      <vt:variant>
        <vt:lpwstr>https://commission.europa.eu/document/download/e6cd4328-673c-4e7a-8683-f63ffb2cf648_en?filename=Political%20Guidelines%202024-2029_EN.pdf</vt:lpwstr>
      </vt:variant>
      <vt:variant>
        <vt:lpwstr/>
      </vt:variant>
      <vt:variant>
        <vt:i4>6488173</vt:i4>
      </vt:variant>
      <vt:variant>
        <vt:i4>54</vt:i4>
      </vt:variant>
      <vt:variant>
        <vt:i4>0</vt:i4>
      </vt:variant>
      <vt:variant>
        <vt:i4>5</vt:i4>
      </vt:variant>
      <vt:variant>
        <vt:lpwstr>http://data.europa.eu/eli/reg/2018/1725/oj</vt:lpwstr>
      </vt:variant>
      <vt:variant>
        <vt:lpwstr/>
      </vt:variant>
      <vt:variant>
        <vt:i4>1966134</vt:i4>
      </vt:variant>
      <vt:variant>
        <vt:i4>48</vt:i4>
      </vt:variant>
      <vt:variant>
        <vt:i4>0</vt:i4>
      </vt:variant>
      <vt:variant>
        <vt:i4>5</vt:i4>
      </vt:variant>
      <vt:variant>
        <vt:lpwstr>http://data.europa.eu/eli/reg_impl/2024/3143/oj</vt:lpwstr>
      </vt:variant>
      <vt:variant>
        <vt:lpwstr/>
      </vt:variant>
      <vt:variant>
        <vt:i4>1638454</vt:i4>
      </vt:variant>
      <vt:variant>
        <vt:i4>45</vt:i4>
      </vt:variant>
      <vt:variant>
        <vt:i4>0</vt:i4>
      </vt:variant>
      <vt:variant>
        <vt:i4>5</vt:i4>
      </vt:variant>
      <vt:variant>
        <vt:lpwstr>http://data.europa.eu/eli/reg_impl/2025/2540/oj</vt:lpwstr>
      </vt:variant>
      <vt:variant>
        <vt:lpwstr/>
      </vt:variant>
      <vt:variant>
        <vt:i4>6357103</vt:i4>
      </vt:variant>
      <vt:variant>
        <vt:i4>42</vt:i4>
      </vt:variant>
      <vt:variant>
        <vt:i4>0</vt:i4>
      </vt:variant>
      <vt:variant>
        <vt:i4>5</vt:i4>
      </vt:variant>
      <vt:variant>
        <vt:lpwstr>http://data.europa.eu/eli/dir/2022/2555/oj</vt:lpwstr>
      </vt:variant>
      <vt:variant>
        <vt:lpwstr/>
      </vt:variant>
      <vt:variant>
        <vt:i4>917623</vt:i4>
      </vt:variant>
      <vt:variant>
        <vt:i4>39</vt:i4>
      </vt:variant>
      <vt:variant>
        <vt:i4>0</vt:i4>
      </vt:variant>
      <vt:variant>
        <vt:i4>5</vt:i4>
      </vt:variant>
      <vt:variant>
        <vt:lpwstr>http://data.europa.eu/eli/reg_impl/2024/482/oj</vt:lpwstr>
      </vt:variant>
      <vt:variant>
        <vt:lpwstr/>
      </vt:variant>
      <vt:variant>
        <vt:i4>1376328</vt:i4>
      </vt:variant>
      <vt:variant>
        <vt:i4>36</vt:i4>
      </vt:variant>
      <vt:variant>
        <vt:i4>0</vt:i4>
      </vt:variant>
      <vt:variant>
        <vt:i4>5</vt:i4>
      </vt:variant>
      <vt:variant>
        <vt:lpwstr>https://european-union.europa.eu/document/download/d4199ff4-1e3d-45e6-af7e-90cf1a7b10bc_en?filename=joint_statement_on_decentralised_agencies_en.pdf</vt:lpwstr>
      </vt:variant>
      <vt:variant>
        <vt:lpwstr/>
      </vt:variant>
      <vt:variant>
        <vt:i4>4587634</vt:i4>
      </vt:variant>
      <vt:variant>
        <vt:i4>33</vt:i4>
      </vt:variant>
      <vt:variant>
        <vt:i4>0</vt:i4>
      </vt:variant>
      <vt:variant>
        <vt:i4>5</vt:i4>
      </vt:variant>
      <vt:variant>
        <vt:lpwstr>https://eur-lex.europa.eu/eli/reg_impl/2025/1569/oj/eng</vt:lpwstr>
      </vt:variant>
      <vt:variant>
        <vt:lpwstr/>
      </vt:variant>
      <vt:variant>
        <vt:i4>1638453</vt:i4>
      </vt:variant>
      <vt:variant>
        <vt:i4>30</vt:i4>
      </vt:variant>
      <vt:variant>
        <vt:i4>0</vt:i4>
      </vt:variant>
      <vt:variant>
        <vt:i4>5</vt:i4>
      </vt:variant>
      <vt:variant>
        <vt:lpwstr>http://data.europa.eu/eli/reg_impl/2019/1583/oj</vt:lpwstr>
      </vt:variant>
      <vt:variant>
        <vt:lpwstr/>
      </vt:variant>
      <vt:variant>
        <vt:i4>5570663</vt:i4>
      </vt:variant>
      <vt:variant>
        <vt:i4>27</vt:i4>
      </vt:variant>
      <vt:variant>
        <vt:i4>0</vt:i4>
      </vt:variant>
      <vt:variant>
        <vt:i4>5</vt:i4>
      </vt:variant>
      <vt:variant>
        <vt:lpwstr>http://data.europa.eu/eli/reg_del/2022/1645/oj</vt:lpwstr>
      </vt:variant>
      <vt:variant>
        <vt:lpwstr/>
      </vt:variant>
      <vt:variant>
        <vt:i4>8061036</vt:i4>
      </vt:variant>
      <vt:variant>
        <vt:i4>24</vt:i4>
      </vt:variant>
      <vt:variant>
        <vt:i4>0</vt:i4>
      </vt:variant>
      <vt:variant>
        <vt:i4>5</vt:i4>
      </vt:variant>
      <vt:variant>
        <vt:lpwstr>https://digital-strategy.ec.europa.eu/en/library/cybersecurity-5g-networks-eu-toolbox-risk-mitigating-measures</vt:lpwstr>
      </vt:variant>
      <vt:variant>
        <vt:lpwstr/>
      </vt:variant>
      <vt:variant>
        <vt:i4>6881386</vt:i4>
      </vt:variant>
      <vt:variant>
        <vt:i4>21</vt:i4>
      </vt:variant>
      <vt:variant>
        <vt:i4>0</vt:i4>
      </vt:variant>
      <vt:variant>
        <vt:i4>5</vt:i4>
      </vt:variant>
      <vt:variant>
        <vt:lpwstr>http://data.europa.eu/eli/reg/2012/1025/oj</vt:lpwstr>
      </vt:variant>
      <vt:variant>
        <vt:lpwstr/>
      </vt:variant>
      <vt:variant>
        <vt:i4>4718616</vt:i4>
      </vt:variant>
      <vt:variant>
        <vt:i4>18</vt:i4>
      </vt:variant>
      <vt:variant>
        <vt:i4>0</vt:i4>
      </vt:variant>
      <vt:variant>
        <vt:i4>5</vt:i4>
      </vt:variant>
      <vt:variant>
        <vt:lpwstr>http://data.europa.eu/eli/reg/2008/765/oj</vt:lpwstr>
      </vt:variant>
      <vt:variant>
        <vt:lpwstr/>
      </vt:variant>
      <vt:variant>
        <vt:i4>6357103</vt:i4>
      </vt:variant>
      <vt:variant>
        <vt:i4>15</vt:i4>
      </vt:variant>
      <vt:variant>
        <vt:i4>0</vt:i4>
      </vt:variant>
      <vt:variant>
        <vt:i4>5</vt:i4>
      </vt:variant>
      <vt:variant>
        <vt:lpwstr>http://data.europa.eu/eli/dir/2022/2555/oj</vt:lpwstr>
      </vt:variant>
      <vt:variant>
        <vt:lpwstr/>
      </vt:variant>
      <vt:variant>
        <vt:i4>4325399</vt:i4>
      </vt:variant>
      <vt:variant>
        <vt:i4>12</vt:i4>
      </vt:variant>
      <vt:variant>
        <vt:i4>0</vt:i4>
      </vt:variant>
      <vt:variant>
        <vt:i4>5</vt:i4>
      </vt:variant>
      <vt:variant>
        <vt:lpwstr>http://data.europa.eu/eli/reg/2019/881/oj</vt:lpwstr>
      </vt:variant>
      <vt:variant>
        <vt:lpwstr/>
      </vt:variant>
      <vt:variant>
        <vt:i4>1310802</vt:i4>
      </vt:variant>
      <vt:variant>
        <vt:i4>9</vt:i4>
      </vt:variant>
      <vt:variant>
        <vt:i4>0</vt:i4>
      </vt:variant>
      <vt:variant>
        <vt:i4>5</vt:i4>
      </vt:variant>
      <vt:variant>
        <vt:lpwstr>https://eur-lex.europa.eu/eli/reg/2019/881/oj/eng</vt:lpwstr>
      </vt:variant>
      <vt:variant>
        <vt:lpwstr/>
      </vt:variant>
      <vt:variant>
        <vt:i4>6422551</vt:i4>
      </vt:variant>
      <vt:variant>
        <vt:i4>6</vt:i4>
      </vt:variant>
      <vt:variant>
        <vt:i4>0</vt:i4>
      </vt:variant>
      <vt:variant>
        <vt:i4>5</vt:i4>
      </vt:variant>
      <vt:variant>
        <vt:lpwstr>https://single-market-economy.ec.europa.eu/news/commission-launches-call-evidence-and-public-consultation-evaluation-public-procurement-directives-2024-12-13_en</vt:lpwstr>
      </vt:variant>
      <vt:variant>
        <vt:lpwstr/>
      </vt:variant>
      <vt:variant>
        <vt:i4>7798889</vt:i4>
      </vt:variant>
      <vt:variant>
        <vt:i4>3</vt:i4>
      </vt:variant>
      <vt:variant>
        <vt:i4>0</vt:i4>
      </vt:variant>
      <vt:variant>
        <vt:i4>5</vt:i4>
      </vt:variant>
      <vt:variant>
        <vt:lpwstr>https://commission.europa.eu/document/download/97e481fd-2dc3-412d-be4c-f152a8232961_en?filename=The%20future%20of%20European%20competitiveness%20_%20A%20competitiveness%20strategy%20for%20Europe.pdf</vt:lpwstr>
      </vt:variant>
      <vt:variant>
        <vt:lpwstr/>
      </vt:variant>
      <vt:variant>
        <vt:i4>4194335</vt:i4>
      </vt:variant>
      <vt:variant>
        <vt:i4>0</vt:i4>
      </vt:variant>
      <vt:variant>
        <vt:i4>0</vt:i4>
      </vt:variant>
      <vt:variant>
        <vt:i4>5</vt:i4>
      </vt:variant>
      <vt:variant>
        <vt:lpwstr>https://www.enisa.europa.eu/publications/enisa-threat-landscape-2024</vt:lpwstr>
      </vt:variant>
      <vt:variant>
        <vt:lpwstr/>
      </vt:variant>
      <vt:variant>
        <vt:i4>3276807</vt:i4>
      </vt:variant>
      <vt:variant>
        <vt:i4>18</vt:i4>
      </vt:variant>
      <vt:variant>
        <vt:i4>0</vt:i4>
      </vt:variant>
      <vt:variant>
        <vt:i4>5</vt:i4>
      </vt:variant>
      <vt:variant>
        <vt:lpwstr>mailto:Christiane.KIRKETERP@ec.europa.eu</vt:lpwstr>
      </vt:variant>
      <vt:variant>
        <vt:lpwstr/>
      </vt:variant>
      <vt:variant>
        <vt:i4>1900591</vt:i4>
      </vt:variant>
      <vt:variant>
        <vt:i4>15</vt:i4>
      </vt:variant>
      <vt:variant>
        <vt:i4>0</vt:i4>
      </vt:variant>
      <vt:variant>
        <vt:i4>5</vt:i4>
      </vt:variant>
      <vt:variant>
        <vt:lpwstr>mailto:Svetlana.SCHUSTER@ec.europa.eu</vt:lpwstr>
      </vt:variant>
      <vt:variant>
        <vt:lpwstr/>
      </vt:variant>
      <vt:variant>
        <vt:i4>1900591</vt:i4>
      </vt:variant>
      <vt:variant>
        <vt:i4>12</vt:i4>
      </vt:variant>
      <vt:variant>
        <vt:i4>0</vt:i4>
      </vt:variant>
      <vt:variant>
        <vt:i4>5</vt:i4>
      </vt:variant>
      <vt:variant>
        <vt:lpwstr>mailto:Svetlana.SCHUSTER@ec.europa.eu</vt:lpwstr>
      </vt:variant>
      <vt:variant>
        <vt:lpwstr/>
      </vt:variant>
      <vt:variant>
        <vt:i4>8061015</vt:i4>
      </vt:variant>
      <vt:variant>
        <vt:i4>9</vt:i4>
      </vt:variant>
      <vt:variant>
        <vt:i4>0</vt:i4>
      </vt:variant>
      <vt:variant>
        <vt:i4>5</vt:i4>
      </vt:variant>
      <vt:variant>
        <vt:lpwstr>mailto:Raluca.STEFANUC@ec.europa.eu</vt:lpwstr>
      </vt:variant>
      <vt:variant>
        <vt:lpwstr/>
      </vt:variant>
      <vt:variant>
        <vt:i4>5701746</vt:i4>
      </vt:variant>
      <vt:variant>
        <vt:i4>6</vt:i4>
      </vt:variant>
      <vt:variant>
        <vt:i4>0</vt:i4>
      </vt:variant>
      <vt:variant>
        <vt:i4>5</vt:i4>
      </vt:variant>
      <vt:variant>
        <vt:lpwstr>mailto:Agnieszka.WAWRZYK@ec.europa.eu</vt:lpwstr>
      </vt:variant>
      <vt:variant>
        <vt:lpwstr/>
      </vt:variant>
      <vt:variant>
        <vt:i4>1900591</vt:i4>
      </vt:variant>
      <vt:variant>
        <vt:i4>3</vt:i4>
      </vt:variant>
      <vt:variant>
        <vt:i4>0</vt:i4>
      </vt:variant>
      <vt:variant>
        <vt:i4>5</vt:i4>
      </vt:variant>
      <vt:variant>
        <vt:lpwstr>mailto:Svetlana.SCHUSTER@ec.europa.eu</vt:lpwstr>
      </vt:variant>
      <vt:variant>
        <vt:lpwstr/>
      </vt:variant>
      <vt:variant>
        <vt:i4>5701746</vt:i4>
      </vt:variant>
      <vt:variant>
        <vt:i4>0</vt:i4>
      </vt:variant>
      <vt:variant>
        <vt:i4>0</vt:i4>
      </vt:variant>
      <vt:variant>
        <vt:i4>5</vt:i4>
      </vt:variant>
      <vt:variant>
        <vt:lpwstr>mailto:Agnieszka.WAWRZYK@ec.europa.eu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2026-01-20T17:29:00Z</dcterms:created>
  <dcterms:modified xsi:type="dcterms:W3CDTF">2026-01-20T17:29:00Z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2026-01-16T13:15:34Z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d6f5810f-b21e-4351-95e7-9afc970a67ad</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SJ-023</vt:lpwstr>
  </property>
  <property fmtid="{D5CDD505-2E9C-101B-9397-08002B2CF9AE}" pid="16" name="DQCStatus">
    <vt:lpwstr>Yellow (DQC version 03)</vt:lpwstr>
  </property>
</Properties>
</file>